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A853" w14:textId="77777777" w:rsidR="009302E1" w:rsidRPr="00B4215C" w:rsidRDefault="009302E1" w:rsidP="009302E1">
      <w:pPr>
        <w:rPr>
          <w:rFonts w:ascii="Arial" w:hAnsi="Arial" w:cs="Arial"/>
          <w:b/>
          <w:sz w:val="36"/>
          <w:u w:val="single"/>
        </w:rPr>
      </w:pPr>
      <w:r w:rsidRPr="00B4215C">
        <w:rPr>
          <w:rFonts w:ascii="Arial" w:hAnsi="Arial" w:cs="Arial"/>
          <w:b/>
          <w:sz w:val="36"/>
          <w:u w:val="single"/>
        </w:rPr>
        <w:t>Original Research Article </w:t>
      </w:r>
    </w:p>
    <w:p w14:paraId="569534FE" w14:textId="77777777" w:rsidR="00A02599" w:rsidRPr="00B4215C" w:rsidRDefault="00F11FCC" w:rsidP="00F11FCC">
      <w:pPr>
        <w:jc w:val="right"/>
        <w:rPr>
          <w:rFonts w:ascii="Arial" w:hAnsi="Arial" w:cs="Arial"/>
          <w:b/>
          <w:bCs/>
        </w:rPr>
      </w:pPr>
      <w:r w:rsidRPr="00B4215C">
        <w:rPr>
          <w:rFonts w:ascii="Arial" w:hAnsi="Arial" w:cs="Arial"/>
          <w:b/>
          <w:sz w:val="36"/>
        </w:rPr>
        <w:t>Nutrient Loading and Phytoplankton Responses to  Open-Sea Cage Farming of Mud spiny lobster (</w:t>
      </w:r>
      <w:r w:rsidRPr="00B4215C">
        <w:rPr>
          <w:rFonts w:ascii="Arial" w:hAnsi="Arial" w:cs="Arial"/>
          <w:b/>
          <w:i/>
          <w:sz w:val="36"/>
        </w:rPr>
        <w:t>Panulirus polyphagus</w:t>
      </w:r>
      <w:r w:rsidRPr="00B4215C">
        <w:rPr>
          <w:rFonts w:ascii="Arial" w:hAnsi="Arial" w:cs="Arial"/>
          <w:b/>
          <w:sz w:val="36"/>
        </w:rPr>
        <w:t>)</w:t>
      </w:r>
    </w:p>
    <w:p w14:paraId="351EE0FF" w14:textId="77777777" w:rsidR="00B0006D" w:rsidRPr="00B4215C" w:rsidRDefault="00073000" w:rsidP="00B0006D">
      <w:pPr>
        <w:jc w:val="both"/>
        <w:rPr>
          <w:rFonts w:ascii="Arial" w:hAnsi="Arial" w:cs="Arial"/>
          <w:b/>
          <w:bCs/>
        </w:rPr>
      </w:pPr>
      <w:r w:rsidRPr="00B4215C">
        <w:rPr>
          <w:rFonts w:ascii="Arial" w:hAnsi="Arial" w:cs="Arial"/>
          <w:b/>
          <w:bCs/>
        </w:rPr>
        <w:t>ABSTRACT</w:t>
      </w:r>
    </w:p>
    <w:p w14:paraId="7CAA5F9D" w14:textId="77777777" w:rsidR="0059421E" w:rsidRPr="00B4215C" w:rsidRDefault="00B0006D" w:rsidP="00A2700D">
      <w:pPr>
        <w:jc w:val="both"/>
        <w:rPr>
          <w:rFonts w:ascii="Arial" w:hAnsi="Arial" w:cs="Arial"/>
          <w:b/>
        </w:rPr>
      </w:pPr>
      <w:r w:rsidRPr="00B4215C">
        <w:tab/>
        <w:t>The rapid expansion of offshore mariculture has raised concerns regarding nutrient enrichment and its ecological impacts on coastal ecosystems. Among emerging mariculture practices, open-sea cage culture of mud spiny lobster (</w:t>
      </w:r>
      <w:r w:rsidRPr="00B4215C">
        <w:rPr>
          <w:i/>
        </w:rPr>
        <w:t>Panulirus polyphagus</w:t>
      </w:r>
      <w:r w:rsidRPr="00B4215C">
        <w:t>) has gained increasing importance along the Indian coast; however, information on nutrient budgets and ecological responses remains limited. This study quantified nitrogen (N) and phosphorus (P) loading associated with lobster cage farming and evaluated phytoplankton responses in the north-eastern Arabian Sea off Veraval, Gujarat. Nutrient budgets were estimated using a mass-balance approach, while phytoplankton abundance and nutrient concentrations were monitored throughout the culture cycle. Approximately 88.9% of nitrogen and 89.3% of phosphorus supplied through feed were released into the surrounding environment, with only a small proportion retained in lobster biomass. Mean phytoplankton abundance was 2.01 × 10⁵ ± 1.21 × 10⁴ cells L⁻¹, with diatoms consistently dominating the community. Although nutrient discharge increased progressively with farming activity, no signs of eutrophication, harmful algal blooms, or ecological deterioration were observed. Nitrate exhibited the strongest positive association with phytoplankton abundance, suggesting a potential role of nitrogen availability in regulating primary productivity. The results suggest that efficient hydrodynamic flushing promotes nutrient dispersion and assimilation, enabling the receiving ecosystem to accommodate nutrient inputs at the current production scale. This study provides valuable baseline information for ecosystem-based environmental monitoring and the sustainable expansion of offshore lobster mariculture in the Arabian Sea.</w:t>
      </w:r>
    </w:p>
    <w:p w14:paraId="2F230718" w14:textId="77777777" w:rsidR="00A02599" w:rsidRPr="00B4215C" w:rsidRDefault="00A2700D" w:rsidP="00A2700D">
      <w:pPr>
        <w:jc w:val="both"/>
        <w:rPr>
          <w:rFonts w:ascii="Arial" w:hAnsi="Arial" w:cs="Arial"/>
        </w:rPr>
      </w:pPr>
      <w:r w:rsidRPr="00B4215C">
        <w:rPr>
          <w:rFonts w:ascii="Arial" w:hAnsi="Arial" w:cs="Arial"/>
          <w:b/>
          <w:sz w:val="20"/>
          <w:szCs w:val="20"/>
        </w:rPr>
        <w:t xml:space="preserve">Keywords: </w:t>
      </w:r>
      <w:r w:rsidRPr="00B4215C">
        <w:rPr>
          <w:rFonts w:ascii="Arial" w:hAnsi="Arial" w:cs="Arial"/>
          <w:sz w:val="20"/>
          <w:szCs w:val="20"/>
        </w:rPr>
        <w:t>Nutrient</w:t>
      </w:r>
      <w:r w:rsidRPr="00B4215C">
        <w:rPr>
          <w:rFonts w:ascii="Arial" w:hAnsi="Arial" w:cs="Arial"/>
          <w:sz w:val="20"/>
        </w:rPr>
        <w:t xml:space="preserve"> budget;</w:t>
      </w:r>
      <w:r w:rsidRPr="00B4215C">
        <w:rPr>
          <w:rFonts w:ascii="Arial" w:hAnsi="Arial" w:cs="Arial"/>
          <w:b/>
          <w:sz w:val="20"/>
        </w:rPr>
        <w:t xml:space="preserve"> </w:t>
      </w:r>
      <w:r w:rsidRPr="00B4215C">
        <w:rPr>
          <w:rFonts w:ascii="Arial" w:hAnsi="Arial" w:cs="Arial"/>
          <w:sz w:val="20"/>
        </w:rPr>
        <w:t>Phytoplankton; Lobster mariculture; Environmental sustainability</w:t>
      </w:r>
      <w:r w:rsidR="004B418C" w:rsidRPr="00B4215C">
        <w:rPr>
          <w:rFonts w:ascii="Arial" w:hAnsi="Arial" w:cs="Arial"/>
          <w:sz w:val="20"/>
        </w:rPr>
        <w:t xml:space="preserve">; </w:t>
      </w:r>
      <w:r w:rsidRPr="00B4215C">
        <w:rPr>
          <w:rFonts w:ascii="Arial" w:hAnsi="Arial" w:cs="Arial"/>
          <w:sz w:val="20"/>
        </w:rPr>
        <w:t>Coastal ecosystem</w:t>
      </w:r>
      <w:r w:rsidR="004B418C" w:rsidRPr="00B4215C">
        <w:rPr>
          <w:rFonts w:ascii="Arial" w:hAnsi="Arial" w:cs="Arial"/>
          <w:sz w:val="20"/>
        </w:rPr>
        <w:t xml:space="preserve"> and </w:t>
      </w:r>
      <w:r w:rsidR="00BE147F" w:rsidRPr="00B4215C">
        <w:rPr>
          <w:rFonts w:ascii="Arial" w:hAnsi="Arial" w:cs="Arial"/>
          <w:i/>
          <w:sz w:val="20"/>
        </w:rPr>
        <w:t>Panulirus polyphagus</w:t>
      </w:r>
    </w:p>
    <w:p w14:paraId="6DD3DD56" w14:textId="77777777" w:rsidR="009C2513" w:rsidRPr="00B4215C" w:rsidRDefault="009C2513" w:rsidP="009C2513">
      <w:pPr>
        <w:rPr>
          <w:rFonts w:ascii="Arial" w:hAnsi="Arial" w:cs="Arial"/>
          <w:b/>
          <w:bCs/>
        </w:rPr>
      </w:pPr>
      <w:r w:rsidRPr="00B4215C">
        <w:rPr>
          <w:rFonts w:ascii="Arial" w:hAnsi="Arial" w:cs="Arial"/>
          <w:b/>
          <w:bCs/>
        </w:rPr>
        <w:t>1</w:t>
      </w:r>
      <w:r w:rsidR="00073000" w:rsidRPr="00B4215C">
        <w:rPr>
          <w:rFonts w:ascii="Arial" w:hAnsi="Arial" w:cs="Arial"/>
          <w:b/>
          <w:bCs/>
        </w:rPr>
        <w:t>. INTRODUCTION</w:t>
      </w:r>
    </w:p>
    <w:p w14:paraId="73DF203A" w14:textId="77777777" w:rsidR="009C2513" w:rsidRPr="00B4215C" w:rsidRDefault="002C427F" w:rsidP="001415E9">
      <w:pPr>
        <w:jc w:val="both"/>
        <w:rPr>
          <w:rFonts w:ascii="Arial" w:hAnsi="Arial" w:cs="Arial"/>
          <w:sz w:val="20"/>
        </w:rPr>
      </w:pPr>
      <w:r w:rsidRPr="00B4215C">
        <w:rPr>
          <w:rFonts w:ascii="Arial" w:hAnsi="Arial" w:cs="Arial"/>
        </w:rPr>
        <w:tab/>
      </w:r>
      <w:r w:rsidR="009C2513" w:rsidRPr="00B4215C">
        <w:rPr>
          <w:rFonts w:ascii="Arial" w:hAnsi="Arial" w:cs="Arial"/>
          <w:sz w:val="20"/>
        </w:rPr>
        <w:t>Marine cage aquaculture has emerged as one of the fastest-growing sectors of global food production, contributing substantially to seafood supply and coastal livelihoods</w:t>
      </w:r>
      <w:r w:rsidR="0019228C" w:rsidRPr="00B4215C">
        <w:rPr>
          <w:rFonts w:ascii="Arial" w:hAnsi="Arial" w:cs="Arial"/>
          <w:sz w:val="20"/>
        </w:rPr>
        <w:t xml:space="preserve"> (</w:t>
      </w:r>
      <w:r w:rsidR="0019228C" w:rsidRPr="00B4215C">
        <w:rPr>
          <w:rFonts w:ascii="Arial" w:hAnsi="Arial" w:cs="Arial"/>
          <w:color w:val="0070C0"/>
          <w:sz w:val="20"/>
        </w:rPr>
        <w:t>Gentry et al., 2017</w:t>
      </w:r>
      <w:r w:rsidR="0019228C" w:rsidRPr="00B4215C">
        <w:rPr>
          <w:rFonts w:ascii="Arial" w:hAnsi="Arial" w:cs="Arial"/>
          <w:sz w:val="20"/>
        </w:rPr>
        <w:t>)</w:t>
      </w:r>
      <w:r w:rsidR="009C2513" w:rsidRPr="00B4215C">
        <w:rPr>
          <w:rFonts w:ascii="Arial" w:hAnsi="Arial" w:cs="Arial"/>
          <w:sz w:val="20"/>
        </w:rPr>
        <w:t xml:space="preserve">. The expansion of marine finfish and shellfish farming has </w:t>
      </w:r>
      <w:r w:rsidR="008F0602" w:rsidRPr="00B4215C">
        <w:rPr>
          <w:rFonts w:ascii="Arial" w:hAnsi="Arial" w:cs="Arial"/>
          <w:sz w:val="20"/>
        </w:rPr>
        <w:t xml:space="preserve">raised </w:t>
      </w:r>
      <w:r w:rsidR="009C2513" w:rsidRPr="00B4215C">
        <w:rPr>
          <w:rFonts w:ascii="Arial" w:hAnsi="Arial" w:cs="Arial"/>
          <w:sz w:val="20"/>
        </w:rPr>
        <w:t>concerns regarding the release of organic wastes and dissolved nutrients into</w:t>
      </w:r>
      <w:r w:rsidR="006C553F" w:rsidRPr="00B4215C">
        <w:rPr>
          <w:rFonts w:ascii="Arial" w:hAnsi="Arial" w:cs="Arial"/>
          <w:sz w:val="20"/>
        </w:rPr>
        <w:t xml:space="preserve"> coastal waters </w:t>
      </w:r>
      <w:r w:rsidR="0019228C" w:rsidRPr="00B4215C">
        <w:rPr>
          <w:rFonts w:ascii="Arial" w:hAnsi="Arial" w:cs="Arial"/>
          <w:sz w:val="20"/>
        </w:rPr>
        <w:t>(</w:t>
      </w:r>
      <w:r w:rsidR="0019228C" w:rsidRPr="00B4215C">
        <w:rPr>
          <w:rFonts w:ascii="Arial" w:hAnsi="Arial" w:cs="Arial"/>
          <w:color w:val="0070C0"/>
          <w:sz w:val="20"/>
        </w:rPr>
        <w:t>Price et al., 2015</w:t>
      </w:r>
      <w:r w:rsidR="0019228C" w:rsidRPr="00B4215C">
        <w:rPr>
          <w:rFonts w:ascii="Arial" w:hAnsi="Arial" w:cs="Arial"/>
          <w:sz w:val="20"/>
        </w:rPr>
        <w:t>)</w:t>
      </w:r>
      <w:r w:rsidR="009C2513" w:rsidRPr="00B4215C">
        <w:rPr>
          <w:rFonts w:ascii="Arial" w:hAnsi="Arial" w:cs="Arial"/>
          <w:sz w:val="20"/>
        </w:rPr>
        <w:t xml:space="preserve">. </w:t>
      </w:r>
      <w:r w:rsidR="006C553F" w:rsidRPr="00B4215C">
        <w:rPr>
          <w:rFonts w:ascii="Arial" w:hAnsi="Arial" w:cs="Arial"/>
          <w:sz w:val="20"/>
        </w:rPr>
        <w:t>Feed is the primary source of nitrogen (N) and phosphorus (P) inputs in cage aquaculture, with a considerable proportion entering the water column through uneaten feed, faeces, and metabolic excretions.</w:t>
      </w:r>
      <w:r w:rsidR="009C2513" w:rsidRPr="00B4215C">
        <w:rPr>
          <w:rFonts w:ascii="Arial" w:hAnsi="Arial" w:cs="Arial"/>
          <w:sz w:val="20"/>
        </w:rPr>
        <w:t xml:space="preserve"> </w:t>
      </w:r>
      <w:r w:rsidR="006C553F" w:rsidRPr="00B4215C">
        <w:rPr>
          <w:rFonts w:ascii="Arial" w:hAnsi="Arial" w:cs="Arial"/>
          <w:sz w:val="20"/>
        </w:rPr>
        <w:t xml:space="preserve">Consequently, these inputs can alter water quality, influence primary productivity, and affect the structure and functioning of coastal ecosystems </w:t>
      </w:r>
      <w:r w:rsidR="009C2513" w:rsidRPr="00B4215C">
        <w:rPr>
          <w:rFonts w:ascii="Arial" w:hAnsi="Arial" w:cs="Arial"/>
          <w:sz w:val="20"/>
        </w:rPr>
        <w:t>(</w:t>
      </w:r>
      <w:r w:rsidR="009C2513" w:rsidRPr="00B4215C">
        <w:rPr>
          <w:rFonts w:ascii="Arial" w:hAnsi="Arial" w:cs="Arial"/>
          <w:color w:val="0070C0"/>
          <w:sz w:val="20"/>
        </w:rPr>
        <w:t>Holmer et al., 2008; Islam, 2005</w:t>
      </w:r>
      <w:r w:rsidR="009C2513" w:rsidRPr="00B4215C">
        <w:rPr>
          <w:rFonts w:ascii="Arial" w:hAnsi="Arial" w:cs="Arial"/>
          <w:sz w:val="20"/>
        </w:rPr>
        <w:t>).</w:t>
      </w:r>
      <w:r w:rsidRPr="00B4215C">
        <w:rPr>
          <w:b/>
        </w:rPr>
        <w:t xml:space="preserve"> Recent synthesis further indicates that marine aquaculture can alter carbon, nitrogen and phosphorus cycling across local to broader spatial scales, supporting the need for system-specific nutrient accounting in cage-farming assessments (Ray et al., 2025).</w:t>
      </w:r>
    </w:p>
    <w:p w14:paraId="51E4582A" w14:textId="77777777" w:rsidR="009C2513" w:rsidRPr="00B4215C" w:rsidRDefault="002C427F" w:rsidP="001415E9">
      <w:pPr>
        <w:jc w:val="both"/>
        <w:rPr>
          <w:rFonts w:ascii="Arial" w:hAnsi="Arial" w:cs="Arial"/>
          <w:sz w:val="20"/>
        </w:rPr>
      </w:pPr>
      <w:r w:rsidRPr="00B4215C">
        <w:tab/>
        <w:t xml:space="preserve">Nitrogen and phosphorus are principal nutrients regulating phytoplankton productivity in marine ecosystems (Moschonas et al., 2017; Wen et al., 2007). Inputs from aquaculture activities may stimulate phytoplankton growth and modify community composition, particularly in semi-enclosed or </w:t>
      </w:r>
      <w:r w:rsidRPr="00B4215C">
        <w:lastRenderedPageBreak/>
        <w:t>poorly flushed coastal waters. The ecological response depends largely on hydrodynamic conditions, nutrient assimilation capacity, and the magnitude of farming activities (Tade et al., 2026). While moderate nutrient enrichment may stimulate primary productivity, excessive nutrient accumulation can contribute to eutrophication, harmful algal blooms, oxygen depletion, and biodiversity loss (Devlin and Brodie, 2023; Holmer et al., 2008). Consequently, quantifying nutrient budgets and evaluating their ecological implications are essential for developing sustainable aquaculture practices. Recent coastal cage-culture modelling also shows that nitrogen and phosphorus concentrations can decline with increasing distance from cages, although local nutrient release may still influence trophic conditions where dispersion is limited (Touni et al., 2024).</w:t>
      </w:r>
    </w:p>
    <w:p w14:paraId="40173047" w14:textId="77777777" w:rsidR="009C2513" w:rsidRPr="00B4215C" w:rsidRDefault="002C427F" w:rsidP="001415E9">
      <w:pPr>
        <w:jc w:val="both"/>
        <w:rPr>
          <w:rFonts w:ascii="Arial" w:hAnsi="Arial" w:cs="Arial"/>
          <w:sz w:val="20"/>
        </w:rPr>
      </w:pPr>
      <w:r w:rsidRPr="00B4215C">
        <w:tab/>
        <w:t>Among marine crustaceans, spiny lobsters represent a high-value aquaculture commodity with increasing commercial importance in several Asian countries (Radhakrishnan et al., 2019). Capture-based mariculture of mud spiny lobster (</w:t>
      </w:r>
      <w:r w:rsidRPr="00B4215C">
        <w:rPr>
          <w:i/>
        </w:rPr>
        <w:t>Panulirus polyphagus</w:t>
      </w:r>
      <w:r w:rsidRPr="00B4215C">
        <w:t>) has gained attention along the Indian coastline due to high market demand and favourable economic returns (Divu et al., 2023). In India, open-sea cage farming has been promoted as a sustainable production system owing to the availability of suitable coastal waters and favourable oceanographic conditions (Damodaran et al., 2018; Divu et al., 2023). However, the dependence on fresh trash fish as feed results in relatively low feed conversion efficiency and substantial losses of nitrogen and phosphorus to surrounding waters (Damodaran et al., 2018). Quantification of nutrient release from lobster farming systems is therefore important for evaluating their environmental footprint and long-term sustainability.</w:t>
      </w:r>
    </w:p>
    <w:p w14:paraId="54A3F8A5" w14:textId="77777777" w:rsidR="009C2513" w:rsidRPr="00B4215C" w:rsidRDefault="002C427F" w:rsidP="001415E9">
      <w:pPr>
        <w:jc w:val="both"/>
        <w:rPr>
          <w:rFonts w:ascii="Arial" w:hAnsi="Arial" w:cs="Arial"/>
          <w:sz w:val="20"/>
        </w:rPr>
      </w:pPr>
      <w:r w:rsidRPr="00B4215C">
        <w:rPr>
          <w:rFonts w:ascii="Arial" w:hAnsi="Arial" w:cs="Arial"/>
          <w:sz w:val="20"/>
        </w:rPr>
        <w:tab/>
      </w:r>
      <w:r w:rsidR="009C2513" w:rsidRPr="00B4215C">
        <w:rPr>
          <w:rFonts w:ascii="Arial" w:hAnsi="Arial" w:cs="Arial"/>
          <w:sz w:val="20"/>
        </w:rPr>
        <w:t>Phytoplankton communities are highly sensitive to environmental changes and are widely used as indicators of ecosystem health in marine environments. As the primary producers of aquatic food webs, phytoplankton respond rapidly to variations in nutrient availability and can provide valuable insights into ecological responses associated with aquaculture activities</w:t>
      </w:r>
      <w:r w:rsidR="00E73445" w:rsidRPr="00B4215C">
        <w:rPr>
          <w:rFonts w:ascii="Arial" w:hAnsi="Arial" w:cs="Arial"/>
          <w:sz w:val="20"/>
        </w:rPr>
        <w:t xml:space="preserve"> (</w:t>
      </w:r>
      <w:r w:rsidR="00E73445" w:rsidRPr="00B4215C">
        <w:rPr>
          <w:rFonts w:ascii="Arial" w:hAnsi="Arial" w:cs="Arial"/>
          <w:color w:val="0070C0"/>
          <w:sz w:val="20"/>
        </w:rPr>
        <w:t>Bisinicu et al., 2024; Gittings et al., 2021</w:t>
      </w:r>
      <w:r w:rsidR="00E73445" w:rsidRPr="00B4215C">
        <w:rPr>
          <w:rFonts w:ascii="Arial" w:hAnsi="Arial" w:cs="Arial"/>
          <w:sz w:val="20"/>
        </w:rPr>
        <w:t>)</w:t>
      </w:r>
      <w:r w:rsidR="009C2513" w:rsidRPr="00B4215C">
        <w:rPr>
          <w:rFonts w:ascii="Arial" w:hAnsi="Arial" w:cs="Arial"/>
          <w:sz w:val="20"/>
        </w:rPr>
        <w:t xml:space="preserve">. Diatoms, in particular, </w:t>
      </w:r>
      <w:r w:rsidR="00A572BD" w:rsidRPr="00B4215C">
        <w:rPr>
          <w:rFonts w:ascii="Arial" w:hAnsi="Arial" w:cs="Arial"/>
          <w:sz w:val="20"/>
        </w:rPr>
        <w:t>rapidly utilise available nutrients and frequently dominate productive coastal ecosystems</w:t>
      </w:r>
      <w:r w:rsidR="009C2513" w:rsidRPr="00B4215C">
        <w:rPr>
          <w:rFonts w:ascii="Arial" w:hAnsi="Arial" w:cs="Arial"/>
          <w:sz w:val="20"/>
        </w:rPr>
        <w:t>. Assessing phytoplankton abundance in conjunction with nutrient loading estimates can therefore improve our understanding of nutrient assimilation processes and the ecological consequences of aquaculture-derived nutrient inputs.</w:t>
      </w:r>
      <w:r w:rsidRPr="00B4215C">
        <w:rPr>
          <w:b/>
        </w:rPr>
        <w:t xml:space="preserve"> Evidence from floating net cage systems also shows that phytoplankton community structure can function as a useful bioindicator of cage-associated water-quality variation (Fathan et al., 2020). Recent observations from a tropical river-estuary system in South India further indicate that diatom-dominated assemblages can provide baseline information for interpreting spatial variation in phytoplankton productivity (Alexander, 2026).</w:t>
      </w:r>
    </w:p>
    <w:p w14:paraId="3186BE84" w14:textId="77777777" w:rsidR="009C2513" w:rsidRPr="00B4215C" w:rsidRDefault="002C427F" w:rsidP="001415E9">
      <w:pPr>
        <w:jc w:val="both"/>
        <w:rPr>
          <w:rFonts w:ascii="Arial" w:hAnsi="Arial" w:cs="Arial"/>
          <w:sz w:val="20"/>
        </w:rPr>
      </w:pPr>
      <w:r w:rsidRPr="00B4215C">
        <w:tab/>
        <w:t>Although several studies have examined environmental impacts of marine cage farming worldwide (Carroll et al., 2003; Challouf et al., 2017; Price et al., 2015), information on nutrient budgets and phytoplankton responses in open-sea lobster farming systems remains limited, particularly in the north-eastern Arabian Sea. Most previous investigations have focused on water quality monitoring and environmental assessments, whereas direct linkages between feed-derived nutrient inputs and phytoplankton dynamics have received comparatively little attention. Addressing this knowledge gap is essential for evaluating the assimilative capacity of offshore ecosystems and supporting ecosystem-based management of lobster mariculture in India. For the present study, this gap is especially relevant because feed-derived nutrient release, offshore flushing and phytoplankton abundance need to be interpreted together to assess whether lobster cages remain within the assimilative capacity of the receiving ecosystem.</w:t>
      </w:r>
    </w:p>
    <w:p w14:paraId="19478900" w14:textId="77777777" w:rsidR="009C2513" w:rsidRPr="00B4215C" w:rsidRDefault="002C427F" w:rsidP="001415E9">
      <w:pPr>
        <w:jc w:val="both"/>
        <w:rPr>
          <w:rFonts w:ascii="Arial" w:hAnsi="Arial" w:cs="Arial"/>
          <w:sz w:val="20"/>
        </w:rPr>
      </w:pPr>
      <w:r w:rsidRPr="00B4215C">
        <w:tab/>
        <w:t xml:space="preserve">Therefore, the present study aimed to quantify nitrogen and phosphorus budgets associated with open-sea culture of </w:t>
      </w:r>
      <w:r w:rsidRPr="00B4215C">
        <w:rPr>
          <w:i/>
        </w:rPr>
        <w:t>Panulirus polyphagus</w:t>
      </w:r>
      <w:r w:rsidRPr="00B4215C">
        <w:t xml:space="preserve"> and evaluate corresponding phytoplankton responses </w:t>
      </w:r>
      <w:r w:rsidRPr="00B4215C">
        <w:lastRenderedPageBreak/>
        <w:t>in the surrounding coastal waters of the Arabian Sea. Specifically, the study estimated nutrient inputs, retention, and release from the lobster farming system; examined temporal variations in phytoplankton abundance during the culture period; and assessed the ecological implications of feed-derived nutrient discharge for coastal ecosystem sustainability.</w:t>
      </w:r>
    </w:p>
    <w:p w14:paraId="685F7D92" w14:textId="77777777" w:rsidR="00D538EC" w:rsidRPr="00B4215C" w:rsidRDefault="00073000" w:rsidP="00D538EC">
      <w:pPr>
        <w:rPr>
          <w:rFonts w:ascii="Arial" w:hAnsi="Arial" w:cs="Arial"/>
          <w:b/>
          <w:bCs/>
        </w:rPr>
      </w:pPr>
      <w:r w:rsidRPr="00B4215C">
        <w:rPr>
          <w:rFonts w:ascii="Arial" w:hAnsi="Arial" w:cs="Arial"/>
          <w:b/>
          <w:bCs/>
        </w:rPr>
        <w:t>2. MATERIALS AND METHODS</w:t>
      </w:r>
    </w:p>
    <w:p w14:paraId="32612933" w14:textId="77777777" w:rsidR="00D538EC" w:rsidRPr="00B4215C" w:rsidRDefault="00D538EC" w:rsidP="00D538EC">
      <w:pPr>
        <w:rPr>
          <w:rFonts w:ascii="Arial" w:hAnsi="Arial" w:cs="Arial"/>
          <w:b/>
          <w:bCs/>
        </w:rPr>
      </w:pPr>
      <w:r w:rsidRPr="00B4215C">
        <w:rPr>
          <w:rFonts w:ascii="Arial" w:hAnsi="Arial" w:cs="Arial"/>
          <w:b/>
          <w:bCs/>
        </w:rPr>
        <w:t>2.1 Study Area</w:t>
      </w:r>
    </w:p>
    <w:p w14:paraId="5476573A" w14:textId="77777777" w:rsidR="00D538EC" w:rsidRPr="00B4215C" w:rsidRDefault="002C427F" w:rsidP="00D538EC">
      <w:pPr>
        <w:jc w:val="both"/>
        <w:rPr>
          <w:rFonts w:ascii="Arial" w:hAnsi="Arial" w:cs="Arial"/>
          <w:sz w:val="20"/>
        </w:rPr>
      </w:pPr>
      <w:r w:rsidRPr="00B4215C">
        <w:tab/>
        <w:t>The study was conducted at an open-sea lobster cage farming site located off the Veraval coast, Gujarat, along the north-eastern Arabian Sea. The study area is shown in Fig. 1. The farming site consisted of six circular sea cages deployed approximately 800 m offshore at a mean depth of 8.1 ± 1.2 m. A reference site situated approximately 1.2 km away from the farming site was selected for environmental monitoring. The reference site was selected outside the direct influence of cage farming but within the same hydrographic and topographic setting to provide a representative comparison with the farming site. Fortnightly sampling of environmental parameters and phytoplankton was conducted at both sites from September 2021 to August 2022. Sea cage farming of mud spiny lobster (</w:t>
      </w:r>
      <w:r w:rsidRPr="00B4215C">
        <w:rPr>
          <w:i/>
        </w:rPr>
        <w:t>Panulirus polyphagus</w:t>
      </w:r>
      <w:r w:rsidRPr="00B4215C">
        <w:t>) was conducted from January to April 2022, during which lobster growth was monitored at fortnightly intervals. Sampling was conducted consistently at both the cage farming site and reference station using identical sampling procedures throughout all study phases to ensure comparability of observations. As the primary objective of the study was to evaluate nutrient release from spiny lobster sea-cage farming, analyses focused mainly on the culture period, when farming activities and associated nutrient inputs were at their maximum.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64665" w:rsidRPr="00B4215C" w14:paraId="3EB7F564" w14:textId="77777777" w:rsidTr="00AA7E10">
        <w:tc>
          <w:tcPr>
            <w:tcW w:w="9016" w:type="dxa"/>
          </w:tcPr>
          <w:p w14:paraId="5AFD33C5" w14:textId="77777777" w:rsidR="00764665" w:rsidRPr="00B4215C" w:rsidRDefault="00E95E1A" w:rsidP="00897ADA">
            <w:pPr>
              <w:jc w:val="center"/>
              <w:rPr>
                <w:rFonts w:ascii="Arial" w:hAnsi="Arial" w:cs="Arial"/>
              </w:rPr>
            </w:pPr>
            <w:r w:rsidRPr="00B4215C">
              <w:rPr>
                <w:rFonts w:ascii="Arial" w:hAnsi="Arial" w:cs="Arial"/>
                <w:noProof/>
              </w:rPr>
              <w:drawing>
                <wp:inline distT="0" distB="0" distL="0" distR="0" wp14:anchorId="6C67DC7A" wp14:editId="678234BF">
                  <wp:extent cx="4571442" cy="3233161"/>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6807" cy="3236955"/>
                          </a:xfrm>
                          <a:prstGeom prst="rect">
                            <a:avLst/>
                          </a:prstGeom>
                          <a:noFill/>
                          <a:ln>
                            <a:noFill/>
                          </a:ln>
                        </pic:spPr>
                      </pic:pic>
                    </a:graphicData>
                  </a:graphic>
                </wp:inline>
              </w:drawing>
            </w:r>
          </w:p>
        </w:tc>
      </w:tr>
      <w:tr w:rsidR="00764665" w:rsidRPr="00B4215C" w14:paraId="6FEDF6A9" w14:textId="77777777" w:rsidTr="00AA7E10">
        <w:tc>
          <w:tcPr>
            <w:tcW w:w="9016" w:type="dxa"/>
          </w:tcPr>
          <w:p w14:paraId="324DDB97" w14:textId="77777777" w:rsidR="00764665" w:rsidRPr="00B4215C" w:rsidRDefault="00764665" w:rsidP="00897ADA">
            <w:pPr>
              <w:jc w:val="center"/>
              <w:rPr>
                <w:rFonts w:ascii="Arial" w:hAnsi="Arial" w:cs="Arial"/>
              </w:rPr>
            </w:pPr>
            <w:r w:rsidRPr="00B4215C">
              <w:rPr>
                <w:rFonts w:ascii="Arial" w:hAnsi="Arial" w:cs="Arial"/>
                <w:b/>
              </w:rPr>
              <w:t>Fig. 1</w:t>
            </w:r>
            <w:r w:rsidRPr="00B4215C">
              <w:rPr>
                <w:rFonts w:ascii="Arial" w:hAnsi="Arial" w:cs="Arial"/>
              </w:rPr>
              <w:t xml:space="preserve"> Study area showing sea cages of lobster deployed off Veraval coast</w:t>
            </w:r>
          </w:p>
        </w:tc>
      </w:tr>
    </w:tbl>
    <w:p w14:paraId="171CA430" w14:textId="77777777" w:rsidR="00764665" w:rsidRPr="00B4215C" w:rsidRDefault="00764665" w:rsidP="00D538EC">
      <w:pPr>
        <w:jc w:val="both"/>
        <w:rPr>
          <w:rFonts w:ascii="Arial" w:hAnsi="Arial" w:cs="Arial"/>
        </w:rPr>
      </w:pPr>
    </w:p>
    <w:p w14:paraId="40D38367" w14:textId="77777777" w:rsidR="00D538EC" w:rsidRPr="00B4215C" w:rsidRDefault="00D538EC" w:rsidP="00D538EC">
      <w:pPr>
        <w:jc w:val="both"/>
        <w:rPr>
          <w:rFonts w:ascii="Arial" w:hAnsi="Arial" w:cs="Arial"/>
          <w:b/>
          <w:bCs/>
        </w:rPr>
      </w:pPr>
      <w:r w:rsidRPr="00B4215C">
        <w:rPr>
          <w:rFonts w:ascii="Arial" w:hAnsi="Arial" w:cs="Arial"/>
          <w:b/>
          <w:bCs/>
        </w:rPr>
        <w:t>2.2 Lobster Culture and Feeding Practices</w:t>
      </w:r>
    </w:p>
    <w:p w14:paraId="0D64E894" w14:textId="77777777" w:rsidR="009C4BFC" w:rsidRPr="00B4215C" w:rsidRDefault="00090F6B" w:rsidP="00D538EC">
      <w:pPr>
        <w:jc w:val="both"/>
        <w:rPr>
          <w:rFonts w:ascii="Arial" w:hAnsi="Arial" w:cs="Arial"/>
          <w:sz w:val="20"/>
        </w:rPr>
      </w:pPr>
      <w:r w:rsidRPr="00B4215C">
        <w:tab/>
        <w:t>Mud spiny lobster (</w:t>
      </w:r>
      <w:r w:rsidRPr="00B4215C">
        <w:rPr>
          <w:i/>
        </w:rPr>
        <w:t>Panulirus polyphagus</w:t>
      </w:r>
      <w:r w:rsidRPr="00B4215C">
        <w:t xml:space="preserve">) juveniles were stocked in six sea cages and reared following standard capture-based mariculture protocols (Damodaran et al., 2018). During the culture </w:t>
      </w:r>
      <w:r w:rsidRPr="00B4215C">
        <w:lastRenderedPageBreak/>
        <w:t>period, the lobsters were fed daily with fresh trash fish, consisting predominantly of croakers (</w:t>
      </w:r>
      <w:r w:rsidRPr="00B4215C">
        <w:rPr>
          <w:i/>
        </w:rPr>
        <w:t>Johnius</w:t>
      </w:r>
      <w:r w:rsidRPr="00B4215C">
        <w:t xml:space="preserve"> spp.), lizardfish (</w:t>
      </w:r>
      <w:r w:rsidRPr="00B4215C">
        <w:rPr>
          <w:i/>
        </w:rPr>
        <w:t>Saurida</w:t>
      </w:r>
      <w:r w:rsidRPr="00B4215C">
        <w:t xml:space="preserve"> spp.), and threadfin bream (</w:t>
      </w:r>
      <w:r w:rsidRPr="00B4215C">
        <w:rPr>
          <w:i/>
        </w:rPr>
        <w:t>Nemipterus</w:t>
      </w:r>
      <w:r w:rsidRPr="00B4215C">
        <w:t xml:space="preserve"> spp.) at a feeding rate of approximately 8% of their body weight (Mojjada et al., 2012). The proximate composition of the feed and total feed supplied were recorded during the culture period (Appendix Tables A2 and A3). The production of mud spiny lobster and feeding records were used for nutrient budget estimation.</w:t>
      </w:r>
    </w:p>
    <w:p w14:paraId="733B274A" w14:textId="77777777" w:rsidR="00D538EC" w:rsidRPr="00B4215C" w:rsidRDefault="00D538EC" w:rsidP="009C4BFC">
      <w:pPr>
        <w:jc w:val="both"/>
        <w:rPr>
          <w:rFonts w:ascii="Arial" w:hAnsi="Arial" w:cs="Arial"/>
          <w:b/>
          <w:bCs/>
        </w:rPr>
      </w:pPr>
      <w:r w:rsidRPr="00B4215C">
        <w:rPr>
          <w:rFonts w:ascii="Arial" w:hAnsi="Arial" w:cs="Arial"/>
          <w:b/>
          <w:bCs/>
        </w:rPr>
        <w:t>2.3 Nutrient Budget Estimation</w:t>
      </w:r>
    </w:p>
    <w:p w14:paraId="3F5F448F" w14:textId="77777777" w:rsidR="00D538EC" w:rsidRPr="00B4215C" w:rsidRDefault="00D538EC" w:rsidP="00424AAE">
      <w:pPr>
        <w:jc w:val="both"/>
        <w:rPr>
          <w:rFonts w:ascii="Arial" w:hAnsi="Arial" w:cs="Arial"/>
          <w:sz w:val="20"/>
        </w:rPr>
      </w:pPr>
      <w:r w:rsidRPr="00B4215C">
        <w:t>Nitrogen (N) and phosphorus (P) budgets were estimated following mass-balance principles (Beveridge, 1984; Moruf et al., 2021; Perez et al., 2002), commonly used in aquaculture nutrient budget studies:</w:t>
      </w:r>
    </w:p>
    <w:p w14:paraId="44D5F365" w14:textId="77777777" w:rsidR="00D538EC" w:rsidRPr="00B4215C" w:rsidRDefault="00D538EC" w:rsidP="00D538EC">
      <w:pPr>
        <w:rPr>
          <w:rFonts w:ascii="Arial" w:hAnsi="Arial" w:cs="Arial"/>
          <w:b/>
          <w:bCs/>
          <w:sz w:val="20"/>
        </w:rPr>
      </w:pPr>
      <w:r w:rsidRPr="00B4215C">
        <w:rPr>
          <w:rFonts w:ascii="Arial" w:hAnsi="Arial" w:cs="Arial"/>
          <w:b/>
          <w:bCs/>
          <w:sz w:val="20"/>
        </w:rPr>
        <w:t>Nitrogen Budget</w:t>
      </w:r>
    </w:p>
    <w:p w14:paraId="5EE7548A" w14:textId="77777777" w:rsidR="00D538EC" w:rsidRPr="00B4215C" w:rsidRDefault="00000000">
      <w:pPr>
        <w:rPr>
          <w:rFonts w:ascii="Arial" w:eastAsiaTheme="minorEastAsia" w:hAnsi="Arial" w:cs="Arial"/>
          <w:sz w:val="20"/>
        </w:rPr>
      </w:pPr>
      <m:oMathPara>
        <m:oMath>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released</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input</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retained</m:t>
              </m:r>
            </m:sub>
          </m:sSub>
        </m:oMath>
      </m:oMathPara>
    </w:p>
    <w:p w14:paraId="6BA30CB8" w14:textId="77777777" w:rsidR="007825DB" w:rsidRPr="00B4215C" w:rsidRDefault="007825DB">
      <w:pPr>
        <w:rPr>
          <w:rFonts w:ascii="Arial" w:eastAsiaTheme="minorEastAsia" w:hAnsi="Arial" w:cs="Arial"/>
          <w:sz w:val="20"/>
        </w:rPr>
      </w:pPr>
      <w:r w:rsidRPr="00B4215C">
        <w:rPr>
          <w:rFonts w:ascii="Arial" w:eastAsiaTheme="minorEastAsia" w:hAnsi="Arial" w:cs="Arial"/>
          <w:sz w:val="20"/>
        </w:rPr>
        <w:t>where,</w:t>
      </w:r>
    </w:p>
    <w:p w14:paraId="692BDFD5" w14:textId="77777777" w:rsidR="00D538EC" w:rsidRPr="00B4215C" w:rsidRDefault="00000000">
      <w:pPr>
        <w:rPr>
          <w:rFonts w:ascii="Arial" w:eastAsiaTheme="minorEastAsia" w:hAnsi="Arial" w:cs="Arial"/>
          <w:sz w:val="20"/>
        </w:rPr>
      </w:pPr>
      <m:oMath>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input</m:t>
            </m:r>
          </m:sub>
        </m:sSub>
      </m:oMath>
      <w:r w:rsidR="00D538EC" w:rsidRPr="00B4215C">
        <w:rPr>
          <w:rFonts w:ascii="Arial" w:eastAsiaTheme="minorEastAsia" w:hAnsi="Arial" w:cs="Arial"/>
          <w:sz w:val="20"/>
        </w:rPr>
        <w:t xml:space="preserve"> = Total </w:t>
      </w:r>
      <w:r w:rsidR="003306D8" w:rsidRPr="00B4215C">
        <w:rPr>
          <w:rFonts w:ascii="Arial" w:eastAsiaTheme="minorEastAsia" w:hAnsi="Arial" w:cs="Arial"/>
          <w:sz w:val="20"/>
        </w:rPr>
        <w:t>nitrogen</w:t>
      </w:r>
      <w:r w:rsidR="00D538EC" w:rsidRPr="00B4215C">
        <w:rPr>
          <w:rFonts w:ascii="Arial" w:eastAsiaTheme="minorEastAsia" w:hAnsi="Arial" w:cs="Arial"/>
          <w:sz w:val="20"/>
        </w:rPr>
        <w:t xml:space="preserve"> supplied through feed</w:t>
      </w:r>
    </w:p>
    <w:p w14:paraId="5336EB49" w14:textId="77777777" w:rsidR="00D538EC" w:rsidRPr="00B4215C" w:rsidRDefault="00000000" w:rsidP="00D538EC">
      <w:pPr>
        <w:rPr>
          <w:rFonts w:ascii="Arial" w:eastAsiaTheme="minorEastAsia" w:hAnsi="Arial" w:cs="Arial"/>
          <w:sz w:val="20"/>
        </w:rPr>
      </w:pPr>
      <m:oMath>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retained</m:t>
            </m:r>
          </m:sub>
        </m:sSub>
      </m:oMath>
      <w:r w:rsidR="00D538EC" w:rsidRPr="00B4215C">
        <w:rPr>
          <w:rFonts w:ascii="Arial" w:eastAsiaTheme="minorEastAsia" w:hAnsi="Arial" w:cs="Arial"/>
          <w:sz w:val="20"/>
        </w:rPr>
        <w:t xml:space="preserve"> = </w:t>
      </w:r>
      <w:r w:rsidR="003306D8" w:rsidRPr="00B4215C">
        <w:rPr>
          <w:rFonts w:ascii="Arial" w:eastAsiaTheme="minorEastAsia" w:hAnsi="Arial" w:cs="Arial"/>
          <w:sz w:val="20"/>
        </w:rPr>
        <w:t>Nitrogen</w:t>
      </w:r>
      <w:r w:rsidR="00D538EC" w:rsidRPr="00B4215C">
        <w:rPr>
          <w:rFonts w:ascii="Arial" w:eastAsiaTheme="minorEastAsia" w:hAnsi="Arial" w:cs="Arial"/>
          <w:sz w:val="20"/>
        </w:rPr>
        <w:t xml:space="preserve"> incorporated into lobster biomass</w:t>
      </w:r>
    </w:p>
    <w:p w14:paraId="7CED217D" w14:textId="77777777" w:rsidR="003306D8" w:rsidRPr="00B4215C" w:rsidRDefault="003306D8" w:rsidP="00D538EC">
      <w:pPr>
        <w:rPr>
          <w:rFonts w:ascii="Arial" w:eastAsiaTheme="minorEastAsia" w:hAnsi="Arial" w:cs="Arial"/>
          <w:sz w:val="20"/>
        </w:rPr>
      </w:pPr>
    </w:p>
    <w:p w14:paraId="302AADAD" w14:textId="77777777" w:rsidR="003306D8" w:rsidRPr="00B4215C" w:rsidRDefault="003306D8" w:rsidP="003306D8">
      <w:pPr>
        <w:rPr>
          <w:rFonts w:ascii="Arial" w:hAnsi="Arial" w:cs="Arial"/>
          <w:b/>
          <w:bCs/>
          <w:sz w:val="20"/>
        </w:rPr>
      </w:pPr>
      <w:r w:rsidRPr="00B4215C">
        <w:rPr>
          <w:b/>
        </w:rPr>
        <w:t>Phosphorus Budget</w:t>
      </w:r>
    </w:p>
    <w:p w14:paraId="705583A9" w14:textId="77777777" w:rsidR="003306D8" w:rsidRPr="00B4215C" w:rsidRDefault="00000000" w:rsidP="003306D8">
      <w:pPr>
        <w:rPr>
          <w:rFonts w:ascii="Arial" w:eastAsiaTheme="minorEastAsia" w:hAnsi="Arial" w:cs="Arial"/>
          <w:sz w:val="20"/>
        </w:rPr>
      </w:pPr>
      <m:oMathPara>
        <m:oMath>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released</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input</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retained</m:t>
              </m:r>
            </m:sub>
          </m:sSub>
        </m:oMath>
      </m:oMathPara>
    </w:p>
    <w:p w14:paraId="1BA8E4FB" w14:textId="77777777" w:rsidR="007825DB" w:rsidRPr="00B4215C" w:rsidRDefault="007825DB" w:rsidP="003306D8">
      <w:pPr>
        <w:rPr>
          <w:rFonts w:ascii="Arial" w:eastAsiaTheme="minorEastAsia" w:hAnsi="Arial" w:cs="Arial"/>
          <w:sz w:val="20"/>
        </w:rPr>
      </w:pPr>
      <w:r w:rsidRPr="00B4215C">
        <w:rPr>
          <w:rFonts w:ascii="Arial" w:eastAsiaTheme="minorEastAsia" w:hAnsi="Arial" w:cs="Arial"/>
          <w:sz w:val="20"/>
        </w:rPr>
        <w:t>where,</w:t>
      </w:r>
    </w:p>
    <w:p w14:paraId="39652AF4" w14:textId="77777777" w:rsidR="003306D8" w:rsidRPr="00B4215C" w:rsidRDefault="00000000" w:rsidP="003306D8">
      <w:pPr>
        <w:rPr>
          <w:rFonts w:ascii="Arial" w:eastAsiaTheme="minorEastAsia" w:hAnsi="Arial" w:cs="Arial"/>
          <w:sz w:val="20"/>
        </w:rPr>
      </w:pPr>
      <w:r w:rsidRPr="00B4215C">
        <w:t xml:space="preserve"> = Total phosphorus supplied through feed</w:t>
      </w:r>
    </w:p>
    <w:p w14:paraId="792DAE33" w14:textId="77777777" w:rsidR="003306D8" w:rsidRPr="00B4215C" w:rsidRDefault="00000000" w:rsidP="003306D8">
      <w:pPr>
        <w:rPr>
          <w:rFonts w:ascii="Arial" w:eastAsiaTheme="minorEastAsia" w:hAnsi="Arial" w:cs="Arial"/>
          <w:sz w:val="20"/>
        </w:rPr>
      </w:pPr>
      <w:r w:rsidRPr="00B4215C">
        <w:t xml:space="preserve"> = Phosphorus incorporated into lobster biomass</w:t>
      </w:r>
    </w:p>
    <w:p w14:paraId="6880D961" w14:textId="77777777" w:rsidR="00BE3F3B" w:rsidRPr="00B4215C" w:rsidRDefault="00BE3F3B" w:rsidP="00D538EC">
      <w:pPr>
        <w:rPr>
          <w:rFonts w:ascii="Arial" w:eastAsiaTheme="minorEastAsia" w:hAnsi="Arial" w:cs="Arial"/>
          <w:sz w:val="20"/>
        </w:rPr>
      </w:pPr>
    </w:p>
    <w:p w14:paraId="32204C02" w14:textId="77777777" w:rsidR="00D538EC" w:rsidRPr="00B4215C" w:rsidRDefault="00D538EC" w:rsidP="00D538EC">
      <w:pPr>
        <w:rPr>
          <w:rFonts w:ascii="Arial" w:hAnsi="Arial" w:cs="Arial"/>
          <w:sz w:val="20"/>
        </w:rPr>
      </w:pPr>
      <w:r w:rsidRPr="00B4215C">
        <w:rPr>
          <w:rFonts w:ascii="Arial" w:hAnsi="Arial" w:cs="Arial"/>
          <w:sz w:val="20"/>
        </w:rPr>
        <w:t>The percentages of nutrient retention and release were calculated as:</w:t>
      </w:r>
    </w:p>
    <w:p w14:paraId="1C10C68A" w14:textId="77777777" w:rsidR="00D538EC" w:rsidRPr="00B4215C" w:rsidRDefault="00BA7AAC" w:rsidP="001E42EE">
      <w:pPr>
        <w:jc w:val="center"/>
        <w:rPr>
          <w:rFonts w:ascii="Arial" w:hAnsi="Arial" w:cs="Arial"/>
          <w:sz w:val="20"/>
        </w:rPr>
      </w:pPr>
      <m:oMathPara>
        <m:oMath>
          <m:r>
            <w:rPr>
              <w:rFonts w:ascii="Cambria Math" w:hAnsi="Cambria Math" w:cs="Arial"/>
              <w:sz w:val="20"/>
            </w:rPr>
            <m:t>Retention(%)=</m:t>
          </m:r>
          <m:f>
            <m:fPr>
              <m:ctrlPr>
                <w:rPr>
                  <w:rFonts w:ascii="Cambria Math" w:hAnsi="Cambria Math" w:cs="Arial"/>
                  <w:i/>
                  <w:sz w:val="20"/>
                </w:rPr>
              </m:ctrlPr>
            </m:fPr>
            <m:num>
              <m:r>
                <w:rPr>
                  <w:rFonts w:ascii="Cambria Math" w:hAnsi="Cambria Math" w:cs="Arial"/>
                  <w:sz w:val="20"/>
                </w:rPr>
                <m:t>Nutrient retained</m:t>
              </m:r>
            </m:num>
            <m:den>
              <m:r>
                <w:rPr>
                  <w:rFonts w:ascii="Cambria Math" w:hAnsi="Cambria Math" w:cs="Arial"/>
                  <w:sz w:val="20"/>
                </w:rPr>
                <m:t>Nutrient input</m:t>
              </m:r>
            </m:den>
          </m:f>
          <m:r>
            <w:rPr>
              <w:rFonts w:ascii="Cambria Math" w:hAnsi="Cambria Math" w:cs="Arial"/>
              <w:sz w:val="20"/>
            </w:rPr>
            <m:t>×100</m:t>
          </m:r>
        </m:oMath>
      </m:oMathPara>
    </w:p>
    <w:p w14:paraId="4A9D5F7E" w14:textId="77777777" w:rsidR="00BA7AAC" w:rsidRPr="00B4215C" w:rsidRDefault="00BA7AAC" w:rsidP="001E42EE">
      <w:pPr>
        <w:jc w:val="center"/>
        <w:rPr>
          <w:rFonts w:ascii="Arial" w:hAnsi="Arial" w:cs="Arial"/>
          <w:sz w:val="20"/>
        </w:rPr>
      </w:pPr>
      <m:oMathPara>
        <m:oMathParaPr>
          <m:jc m:val="center"/>
        </m:oMathParaPr>
        <m:oMath>
          <m:r>
            <w:rPr>
              <w:rFonts w:ascii="Cambria Math" w:hAnsi="Cambria Math" w:cs="Arial"/>
              <w:sz w:val="20"/>
            </w:rPr>
            <m:t>Release(%)=</m:t>
          </m:r>
          <m:f>
            <m:fPr>
              <m:ctrlPr>
                <w:rPr>
                  <w:rFonts w:ascii="Cambria Math" w:hAnsi="Cambria Math" w:cs="Arial"/>
                  <w:i/>
                  <w:sz w:val="20"/>
                </w:rPr>
              </m:ctrlPr>
            </m:fPr>
            <m:num>
              <m:r>
                <w:rPr>
                  <w:rFonts w:ascii="Cambria Math" w:hAnsi="Cambria Math" w:cs="Arial"/>
                  <w:sz w:val="20"/>
                </w:rPr>
                <m:t>Nutrient released</m:t>
              </m:r>
            </m:num>
            <m:den>
              <m:r>
                <w:rPr>
                  <w:rFonts w:ascii="Cambria Math" w:hAnsi="Cambria Math" w:cs="Arial"/>
                  <w:sz w:val="20"/>
                </w:rPr>
                <m:t>Nutrient input</m:t>
              </m:r>
            </m:den>
          </m:f>
          <m:r>
            <w:rPr>
              <w:rFonts w:ascii="Cambria Math" w:hAnsi="Cambria Math" w:cs="Arial"/>
              <w:sz w:val="20"/>
            </w:rPr>
            <m:t>×100</m:t>
          </m:r>
        </m:oMath>
      </m:oMathPara>
    </w:p>
    <w:p w14:paraId="126549EE" w14:textId="77777777" w:rsidR="00D538EC" w:rsidRPr="00B4215C" w:rsidRDefault="00BA7AAC">
      <w:pPr>
        <w:rPr>
          <w:rFonts w:ascii="Arial" w:hAnsi="Arial" w:cs="Arial"/>
          <w:sz w:val="20"/>
        </w:rPr>
      </w:pPr>
      <w:r w:rsidRPr="00B4215C">
        <w:rPr>
          <w:rFonts w:ascii="Arial" w:hAnsi="Arial" w:cs="Arial"/>
          <w:sz w:val="20"/>
        </w:rPr>
        <w:t xml:space="preserve">Monthly nutrient release estimates during the culture period (January–April 2022) were used for </w:t>
      </w:r>
      <w:r w:rsidR="000E302F" w:rsidRPr="00B4215C">
        <w:rPr>
          <w:rFonts w:ascii="Arial" w:hAnsi="Arial" w:cs="Arial"/>
          <w:sz w:val="20"/>
        </w:rPr>
        <w:t>statistical</w:t>
      </w:r>
      <w:r w:rsidRPr="00B4215C">
        <w:rPr>
          <w:rFonts w:ascii="Arial" w:hAnsi="Arial" w:cs="Arial"/>
          <w:sz w:val="20"/>
        </w:rPr>
        <w:t xml:space="preserve"> analysis.</w:t>
      </w:r>
    </w:p>
    <w:p w14:paraId="52D1EB2E" w14:textId="77777777" w:rsidR="00197A23" w:rsidRPr="00B4215C" w:rsidRDefault="00197A23" w:rsidP="00197A23">
      <w:pPr>
        <w:rPr>
          <w:rFonts w:ascii="Arial" w:hAnsi="Arial" w:cs="Arial"/>
          <w:b/>
          <w:bCs/>
        </w:rPr>
      </w:pPr>
      <w:r w:rsidRPr="00B4215C">
        <w:rPr>
          <w:rFonts w:ascii="Arial" w:hAnsi="Arial" w:cs="Arial"/>
          <w:b/>
          <w:bCs/>
        </w:rPr>
        <w:t>2.4 Phytoplankton Sampling and Enumeration</w:t>
      </w:r>
    </w:p>
    <w:p w14:paraId="5A3814A2" w14:textId="77777777" w:rsidR="00BC3ED9" w:rsidRPr="00B4215C" w:rsidRDefault="00B74271" w:rsidP="00403298">
      <w:pPr>
        <w:jc w:val="both"/>
        <w:rPr>
          <w:rFonts w:ascii="Arial" w:hAnsi="Arial" w:cs="Arial"/>
          <w:sz w:val="20"/>
        </w:rPr>
      </w:pPr>
      <w:r w:rsidRPr="00B4215C">
        <w:tab/>
        <w:t xml:space="preserve">Phytoplankton samples were collected fortnightly from both the cage culture and reference sites using a 20 µm mesh plankton net (0.62 m mouth radius). Surface hauls were conducted for 10 min during the early morning at a towing speed of approximately 1 knot h⁻¹, with adequate ballast to maintain a constant sampling depth. A flowmeter attached to the net mouth was used to estimate the volume of seawater filtered from the difference between the initial and final readings. Samples were preserved in 5% buffered formalin and analysed using a Sedgwick-Rafter counting chamber following Aktan et al. (2005) and Sidik et al. (2008). Phytoplankton abundance was expressed as cells </w:t>
      </w:r>
      <w:r w:rsidRPr="00B4215C">
        <w:lastRenderedPageBreak/>
        <w:t>L⁻¹. Only total phytoplankton abundance was considered to assess responses to nutrient inputs. For analysis, the study period was categorised into pre-culture, culture, and post-culture phases (Table 1):</w:t>
      </w:r>
    </w:p>
    <w:p w14:paraId="347C6B49" w14:textId="77777777" w:rsidR="00AE2CDB" w:rsidRPr="00B4215C" w:rsidRDefault="00AE2CDB" w:rsidP="00403298">
      <w:pPr>
        <w:jc w:val="both"/>
        <w:rPr>
          <w:rFonts w:ascii="Arial" w:hAnsi="Arial" w:cs="Arial"/>
        </w:rPr>
      </w:pPr>
      <w:r w:rsidRPr="00B4215C">
        <w:rPr>
          <w:rFonts w:ascii="Arial" w:hAnsi="Arial" w:cs="Arial"/>
          <w:b/>
        </w:rPr>
        <w:t>Table:</w:t>
      </w:r>
      <w:r w:rsidR="00C61268" w:rsidRPr="00B4215C">
        <w:rPr>
          <w:rFonts w:ascii="Arial" w:hAnsi="Arial" w:cs="Arial"/>
          <w:b/>
        </w:rPr>
        <w:t>1</w:t>
      </w:r>
      <w:r w:rsidRPr="00B4215C">
        <w:rPr>
          <w:rFonts w:ascii="Arial" w:hAnsi="Arial" w:cs="Arial"/>
        </w:rPr>
        <w:t xml:space="preserve"> Temporal Segmentation of the study period</w:t>
      </w:r>
    </w:p>
    <w:tbl>
      <w:tblPr>
        <w:tblW w:w="7241" w:type="dxa"/>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99"/>
        <w:gridCol w:w="5042"/>
      </w:tblGrid>
      <w:tr w:rsidR="00BC3ED9" w:rsidRPr="00B4215C" w14:paraId="77640CE6" w14:textId="77777777" w:rsidTr="005C7744">
        <w:trPr>
          <w:trHeight w:val="456"/>
          <w:tblHeader/>
          <w:tblCellSpacing w:w="15" w:type="dxa"/>
          <w:jc w:val="center"/>
        </w:trPr>
        <w:tc>
          <w:tcPr>
            <w:tcW w:w="0" w:type="auto"/>
            <w:tcBorders>
              <w:bottom w:val="single" w:sz="4" w:space="0" w:color="auto"/>
            </w:tcBorders>
            <w:vAlign w:val="center"/>
            <w:hideMark/>
          </w:tcPr>
          <w:p w14:paraId="242CA098" w14:textId="77777777" w:rsidR="00BC3ED9" w:rsidRPr="00B4215C" w:rsidRDefault="00BC3ED9" w:rsidP="00160931">
            <w:pPr>
              <w:jc w:val="center"/>
              <w:rPr>
                <w:rFonts w:ascii="Arial" w:hAnsi="Arial" w:cs="Arial"/>
                <w:b/>
                <w:bCs/>
              </w:rPr>
            </w:pPr>
            <w:r w:rsidRPr="00B4215C">
              <w:rPr>
                <w:rFonts w:ascii="Arial" w:hAnsi="Arial" w:cs="Arial"/>
                <w:b/>
                <w:bCs/>
              </w:rPr>
              <w:t>Phase</w:t>
            </w:r>
          </w:p>
        </w:tc>
        <w:tc>
          <w:tcPr>
            <w:tcW w:w="0" w:type="auto"/>
            <w:tcBorders>
              <w:bottom w:val="single" w:sz="4" w:space="0" w:color="auto"/>
            </w:tcBorders>
            <w:vAlign w:val="center"/>
            <w:hideMark/>
          </w:tcPr>
          <w:p w14:paraId="5F19AF39" w14:textId="77777777" w:rsidR="00BC3ED9" w:rsidRPr="00B4215C" w:rsidRDefault="00BC3ED9" w:rsidP="00160931">
            <w:pPr>
              <w:jc w:val="center"/>
              <w:rPr>
                <w:rFonts w:ascii="Arial" w:hAnsi="Arial" w:cs="Arial"/>
                <w:b/>
                <w:bCs/>
              </w:rPr>
            </w:pPr>
            <w:r w:rsidRPr="00B4215C">
              <w:rPr>
                <w:rFonts w:ascii="Arial" w:hAnsi="Arial" w:cs="Arial"/>
                <w:b/>
                <w:bCs/>
              </w:rPr>
              <w:t>Period</w:t>
            </w:r>
          </w:p>
        </w:tc>
      </w:tr>
      <w:tr w:rsidR="00BC3ED9" w:rsidRPr="00B4215C" w14:paraId="08E29AFF" w14:textId="77777777" w:rsidTr="005C7744">
        <w:trPr>
          <w:trHeight w:val="456"/>
          <w:tblCellSpacing w:w="15" w:type="dxa"/>
          <w:jc w:val="center"/>
        </w:trPr>
        <w:tc>
          <w:tcPr>
            <w:tcW w:w="0" w:type="auto"/>
            <w:vAlign w:val="center"/>
            <w:hideMark/>
          </w:tcPr>
          <w:p w14:paraId="544FC2AC" w14:textId="77777777" w:rsidR="00BC3ED9" w:rsidRPr="00B4215C" w:rsidRDefault="00BC3ED9" w:rsidP="00160931">
            <w:pPr>
              <w:jc w:val="center"/>
              <w:rPr>
                <w:rFonts w:ascii="Arial" w:hAnsi="Arial" w:cs="Arial"/>
              </w:rPr>
            </w:pPr>
            <w:r w:rsidRPr="00B4215C">
              <w:rPr>
                <w:rFonts w:ascii="Arial" w:hAnsi="Arial" w:cs="Arial"/>
              </w:rPr>
              <w:t>Pre-culture</w:t>
            </w:r>
          </w:p>
        </w:tc>
        <w:tc>
          <w:tcPr>
            <w:tcW w:w="0" w:type="auto"/>
            <w:vAlign w:val="center"/>
            <w:hideMark/>
          </w:tcPr>
          <w:p w14:paraId="12EC28B6" w14:textId="77777777" w:rsidR="00BC3ED9" w:rsidRPr="00B4215C" w:rsidRDefault="00BC3ED9" w:rsidP="00160931">
            <w:pPr>
              <w:jc w:val="center"/>
              <w:rPr>
                <w:rFonts w:ascii="Arial" w:hAnsi="Arial" w:cs="Arial"/>
              </w:rPr>
            </w:pPr>
            <w:r w:rsidRPr="00B4215C">
              <w:rPr>
                <w:rFonts w:ascii="Arial" w:hAnsi="Arial" w:cs="Arial"/>
              </w:rPr>
              <w:t>September–December 2021</w:t>
            </w:r>
          </w:p>
        </w:tc>
      </w:tr>
      <w:tr w:rsidR="00BC3ED9" w:rsidRPr="00B4215C" w14:paraId="462EB84F" w14:textId="77777777" w:rsidTr="005C7744">
        <w:trPr>
          <w:trHeight w:val="456"/>
          <w:tblCellSpacing w:w="15" w:type="dxa"/>
          <w:jc w:val="center"/>
        </w:trPr>
        <w:tc>
          <w:tcPr>
            <w:tcW w:w="0" w:type="auto"/>
            <w:vAlign w:val="center"/>
            <w:hideMark/>
          </w:tcPr>
          <w:p w14:paraId="7860EA0C" w14:textId="77777777" w:rsidR="00BC3ED9" w:rsidRPr="00B4215C" w:rsidRDefault="00BC3ED9" w:rsidP="00160931">
            <w:pPr>
              <w:jc w:val="center"/>
              <w:rPr>
                <w:rFonts w:ascii="Arial" w:hAnsi="Arial" w:cs="Arial"/>
              </w:rPr>
            </w:pPr>
            <w:r w:rsidRPr="00B4215C">
              <w:rPr>
                <w:rFonts w:ascii="Arial" w:hAnsi="Arial" w:cs="Arial"/>
              </w:rPr>
              <w:t>Culture</w:t>
            </w:r>
          </w:p>
        </w:tc>
        <w:tc>
          <w:tcPr>
            <w:tcW w:w="0" w:type="auto"/>
            <w:vAlign w:val="center"/>
            <w:hideMark/>
          </w:tcPr>
          <w:p w14:paraId="38FFBE27" w14:textId="77777777" w:rsidR="00BC3ED9" w:rsidRPr="00B4215C" w:rsidRDefault="00BC3ED9" w:rsidP="00160931">
            <w:pPr>
              <w:jc w:val="center"/>
              <w:rPr>
                <w:rFonts w:ascii="Arial" w:hAnsi="Arial" w:cs="Arial"/>
              </w:rPr>
            </w:pPr>
            <w:r w:rsidRPr="00B4215C">
              <w:rPr>
                <w:rFonts w:ascii="Arial" w:hAnsi="Arial" w:cs="Arial"/>
              </w:rPr>
              <w:t>January–April 2022</w:t>
            </w:r>
          </w:p>
        </w:tc>
      </w:tr>
      <w:tr w:rsidR="00BC3ED9" w:rsidRPr="00B4215C" w14:paraId="03AFA474" w14:textId="77777777" w:rsidTr="005C7744">
        <w:trPr>
          <w:trHeight w:val="456"/>
          <w:tblCellSpacing w:w="15" w:type="dxa"/>
          <w:jc w:val="center"/>
        </w:trPr>
        <w:tc>
          <w:tcPr>
            <w:tcW w:w="0" w:type="auto"/>
            <w:vAlign w:val="center"/>
            <w:hideMark/>
          </w:tcPr>
          <w:p w14:paraId="096175E2" w14:textId="77777777" w:rsidR="00BC3ED9" w:rsidRPr="00B4215C" w:rsidRDefault="00BC3ED9" w:rsidP="00160931">
            <w:pPr>
              <w:jc w:val="center"/>
              <w:rPr>
                <w:rFonts w:ascii="Arial" w:hAnsi="Arial" w:cs="Arial"/>
              </w:rPr>
            </w:pPr>
            <w:r w:rsidRPr="00B4215C">
              <w:rPr>
                <w:rFonts w:ascii="Arial" w:hAnsi="Arial" w:cs="Arial"/>
              </w:rPr>
              <w:t>Post-culture</w:t>
            </w:r>
          </w:p>
        </w:tc>
        <w:tc>
          <w:tcPr>
            <w:tcW w:w="0" w:type="auto"/>
            <w:vAlign w:val="center"/>
            <w:hideMark/>
          </w:tcPr>
          <w:p w14:paraId="7AF42801" w14:textId="77777777" w:rsidR="00BC3ED9" w:rsidRPr="00B4215C" w:rsidRDefault="00BC3ED9" w:rsidP="00160931">
            <w:pPr>
              <w:jc w:val="center"/>
              <w:rPr>
                <w:rFonts w:ascii="Arial" w:hAnsi="Arial" w:cs="Arial"/>
              </w:rPr>
            </w:pPr>
            <w:r w:rsidRPr="00B4215C">
              <w:rPr>
                <w:rFonts w:ascii="Arial" w:hAnsi="Arial" w:cs="Arial"/>
              </w:rPr>
              <w:t>May–August 2022</w:t>
            </w:r>
          </w:p>
        </w:tc>
      </w:tr>
    </w:tbl>
    <w:p w14:paraId="0444B3D0" w14:textId="77777777" w:rsidR="00197A23" w:rsidRPr="00B4215C" w:rsidRDefault="00197A23">
      <w:pPr>
        <w:rPr>
          <w:rFonts w:ascii="Arial" w:hAnsi="Arial" w:cs="Arial"/>
        </w:rPr>
      </w:pPr>
    </w:p>
    <w:p w14:paraId="5AB2D27B" w14:textId="77777777" w:rsidR="00044488" w:rsidRPr="00B4215C" w:rsidRDefault="00044488" w:rsidP="00044488">
      <w:pPr>
        <w:rPr>
          <w:rFonts w:ascii="Arial" w:hAnsi="Arial" w:cs="Arial"/>
          <w:b/>
          <w:bCs/>
        </w:rPr>
      </w:pPr>
      <w:r w:rsidRPr="00B4215C">
        <w:rPr>
          <w:b/>
        </w:rPr>
        <w:t>2.5 Statistical Analysis</w:t>
      </w:r>
    </w:p>
    <w:p w14:paraId="1941A110" w14:textId="77777777" w:rsidR="00044488" w:rsidRPr="00B4215C" w:rsidRDefault="00044488" w:rsidP="00D0169A">
      <w:pPr>
        <w:jc w:val="both"/>
        <w:rPr>
          <w:rFonts w:ascii="Arial" w:hAnsi="Arial" w:cs="Arial"/>
          <w:sz w:val="20"/>
        </w:rPr>
      </w:pPr>
      <w:r w:rsidRPr="00B4215C">
        <w:t>All data are presented as mean ± standard deviation (SD). Descriptive statistics were used to summarise temporal variations in nutrient loading and phytoplankton abundance during the study period. Prior to statistical analyses, data normality and homogeneity of variances were assessed using the Kolmogorov–Smirnov and Levene's tests, respectively. Pearson's correlation analysis was performed to examine the relationships between nutrient variables and phytoplankton abundance. Statistical significance was determined at p &lt; 0.05. All statistical analyses were performed using IBM SPSS Statistics version 22.0 (IBM Corp., 2013).</w:t>
      </w:r>
    </w:p>
    <w:p w14:paraId="05CC9744" w14:textId="77777777" w:rsidR="00CF5F73" w:rsidRPr="00B4215C" w:rsidRDefault="00073000" w:rsidP="00CF5F73">
      <w:pPr>
        <w:jc w:val="both"/>
        <w:rPr>
          <w:rFonts w:ascii="Arial" w:hAnsi="Arial" w:cs="Arial"/>
          <w:b/>
          <w:bCs/>
        </w:rPr>
      </w:pPr>
      <w:bookmarkStart w:id="0" w:name="_Hlk232524422"/>
      <w:r w:rsidRPr="00B4215C">
        <w:rPr>
          <w:rFonts w:ascii="Arial" w:hAnsi="Arial" w:cs="Arial"/>
          <w:b/>
          <w:bCs/>
        </w:rPr>
        <w:t>3. RESULTS AND DISCUSSION</w:t>
      </w:r>
    </w:p>
    <w:p w14:paraId="14D3C4E0" w14:textId="77777777" w:rsidR="00366549" w:rsidRPr="00B4215C" w:rsidRDefault="00366549" w:rsidP="00366549">
      <w:pPr>
        <w:jc w:val="both"/>
        <w:rPr>
          <w:rFonts w:ascii="Arial" w:hAnsi="Arial" w:cs="Arial"/>
          <w:b/>
          <w:bCs/>
        </w:rPr>
      </w:pPr>
      <w:r w:rsidRPr="00B4215C">
        <w:rPr>
          <w:rFonts w:ascii="Arial" w:hAnsi="Arial" w:cs="Arial"/>
          <w:b/>
          <w:bCs/>
        </w:rPr>
        <w:t>3.1 Nutrient Loading from Lobster Cage Farming</w:t>
      </w:r>
    </w:p>
    <w:p w14:paraId="1B348F8E" w14:textId="77777777" w:rsidR="00C610B5" w:rsidRPr="00B4215C" w:rsidRDefault="008051BF" w:rsidP="00C610B5">
      <w:pPr>
        <w:jc w:val="both"/>
        <w:rPr>
          <w:rFonts w:ascii="Arial" w:hAnsi="Arial" w:cs="Arial"/>
          <w:bCs/>
          <w:sz w:val="20"/>
        </w:rPr>
      </w:pPr>
      <w:r w:rsidRPr="00B4215C">
        <w:tab/>
        <w:t>The nutrient budget analysis revealed substantial nitrogen (N) and phosphorus (P) inputs into the open-sea lobster farming system through feed supplied during the culture period. Nutrient loading increased progressively with increasing lobster biomass and feed consumption, indicating a direct relationship between farming intensity and nutrient release. A total of 127.41 kg nitrogen was introduced into the farming system through feed inputs. Of this, 113.32 kg (88.9%) was released into the surrounding waters, whereas only a small proportion was incorporated into lobster biomass. Nitrogen discharge increased steadily during the culture period, from 23.36 ± 0.61 kg month⁻¹ in January to 35.61 ± 0.37 kg month⁻¹ in April (Fig. 2A). Ammonia nitrogen represented the largest component of nitrogen loss (79.32 kg), followed by urea nitrogen (16.99 kg), indicating that dissolved metabolic excretion constituted the major pathway of nitrogen release from the farming system.</w:t>
      </w:r>
    </w:p>
    <w:p w14:paraId="4A740DAE" w14:textId="77777777" w:rsidR="00366549" w:rsidRPr="00B4215C" w:rsidRDefault="00366549" w:rsidP="00366549">
      <w:pPr>
        <w:jc w:val="both"/>
        <w:rPr>
          <w:rFonts w:ascii="Arial" w:hAnsi="Arial" w:cs="Arial"/>
          <w:b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17F85" w:rsidRPr="00B4215C" w14:paraId="179ED54D" w14:textId="77777777" w:rsidTr="00E17F85">
        <w:tc>
          <w:tcPr>
            <w:tcW w:w="9016" w:type="dxa"/>
          </w:tcPr>
          <w:p w14:paraId="613DB6E8" w14:textId="77777777" w:rsidR="00E17F85" w:rsidRPr="00B4215C" w:rsidRDefault="00FA7BEE" w:rsidP="00E17F85">
            <w:pPr>
              <w:jc w:val="center"/>
              <w:rPr>
                <w:rFonts w:ascii="Arial" w:hAnsi="Arial" w:cs="Arial"/>
                <w:bCs/>
              </w:rPr>
            </w:pPr>
            <w:r w:rsidRPr="00B4215C">
              <w:rPr>
                <w:rFonts w:ascii="Arial" w:hAnsi="Arial" w:cs="Arial"/>
                <w:noProof/>
              </w:rPr>
              <w:lastRenderedPageBreak/>
              <w:drawing>
                <wp:inline distT="0" distB="0" distL="0" distR="0" wp14:anchorId="4C9395FB" wp14:editId="54EDA788">
                  <wp:extent cx="4777878" cy="4719572"/>
                  <wp:effectExtent l="0" t="0" r="381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983" t="4800" r="18446"/>
                          <a:stretch/>
                        </pic:blipFill>
                        <pic:spPr bwMode="auto">
                          <a:xfrm>
                            <a:off x="0" y="0"/>
                            <a:ext cx="4789712" cy="47312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17F85" w:rsidRPr="00B4215C" w14:paraId="44E51F7A" w14:textId="77777777" w:rsidTr="00E17F85">
        <w:tc>
          <w:tcPr>
            <w:tcW w:w="9016" w:type="dxa"/>
          </w:tcPr>
          <w:p w14:paraId="4369977B" w14:textId="77777777" w:rsidR="00E17F85" w:rsidRPr="00B4215C" w:rsidRDefault="00E17F85" w:rsidP="00366549">
            <w:pPr>
              <w:jc w:val="both"/>
              <w:rPr>
                <w:rFonts w:ascii="Arial" w:hAnsi="Arial" w:cs="Arial"/>
                <w:bCs/>
              </w:rPr>
            </w:pPr>
            <w:r w:rsidRPr="00B4215C">
              <w:rPr>
                <w:rFonts w:ascii="Arial" w:hAnsi="Arial" w:cs="Arial"/>
                <w:b/>
                <w:bCs/>
                <w:sz w:val="20"/>
              </w:rPr>
              <w:t>Fig. 2</w:t>
            </w:r>
            <w:r w:rsidRPr="00B4215C">
              <w:rPr>
                <w:rFonts w:ascii="Arial" w:hAnsi="Arial" w:cs="Arial"/>
                <w:bCs/>
                <w:sz w:val="20"/>
              </w:rPr>
              <w:t xml:space="preserve"> </w:t>
            </w:r>
            <w:r w:rsidR="001023B8" w:rsidRPr="00B4215C">
              <w:rPr>
                <w:rFonts w:ascii="Arial" w:hAnsi="Arial" w:cs="Arial"/>
                <w:bCs/>
                <w:sz w:val="20"/>
              </w:rPr>
              <w:t xml:space="preserve">Monthly nutrient budget showing feed-derived (A) nitrogen and (B) phosphorus inputs and their release to the surrounding waters during open-sea culture of </w:t>
            </w:r>
            <w:r w:rsidR="001023B8" w:rsidRPr="00B4215C">
              <w:rPr>
                <w:rFonts w:ascii="Arial" w:hAnsi="Arial" w:cs="Arial"/>
                <w:bCs/>
                <w:i/>
                <w:sz w:val="20"/>
              </w:rPr>
              <w:t>Panulirus polyphagus</w:t>
            </w:r>
            <w:r w:rsidRPr="00B4215C">
              <w:rPr>
                <w:rFonts w:ascii="Arial" w:hAnsi="Arial" w:cs="Arial"/>
                <w:bCs/>
                <w:sz w:val="20"/>
              </w:rPr>
              <w:t>.</w:t>
            </w:r>
          </w:p>
        </w:tc>
      </w:tr>
    </w:tbl>
    <w:p w14:paraId="24F56456" w14:textId="77777777" w:rsidR="00751915" w:rsidRPr="00B4215C" w:rsidRDefault="00751915" w:rsidP="00366549">
      <w:pPr>
        <w:jc w:val="both"/>
        <w:rPr>
          <w:rFonts w:ascii="Arial" w:hAnsi="Arial" w:cs="Arial"/>
          <w:bCs/>
        </w:rPr>
      </w:pPr>
    </w:p>
    <w:p w14:paraId="751708FC" w14:textId="77777777" w:rsidR="00C610B5" w:rsidRPr="00B4215C" w:rsidRDefault="00C44992" w:rsidP="00366549">
      <w:pPr>
        <w:jc w:val="both"/>
        <w:rPr>
          <w:rFonts w:ascii="Arial" w:hAnsi="Arial" w:cs="Arial"/>
          <w:bCs/>
          <w:sz w:val="20"/>
        </w:rPr>
      </w:pPr>
      <w:r w:rsidRPr="00B4215C">
        <w:tab/>
        <w:t>Similarly, a total phosphorus input through feed during the four-month culture cycle was estimated at 8.91 kg, of which 7.96 kg (89.3%) was released into the surrounding environment, while only 0.95 kg (10.7%) was retained in harvested lobster biomass. Monthly phosphorus discharge increased from 1.65 ± 0.04 kg in January to 2.47 ± 0.02 kg in April, reflecting the increased feed requirement associated with lobster growth (Fig. 2B).</w:t>
      </w:r>
    </w:p>
    <w:p w14:paraId="0FC0B245" w14:textId="77777777" w:rsidR="00366549" w:rsidRPr="00B4215C" w:rsidRDefault="00C44992" w:rsidP="00366549">
      <w:pPr>
        <w:jc w:val="both"/>
        <w:rPr>
          <w:rFonts w:ascii="Arial" w:hAnsi="Arial" w:cs="Arial"/>
          <w:bCs/>
          <w:sz w:val="20"/>
        </w:rPr>
      </w:pPr>
      <w:r w:rsidRPr="00B4215C">
        <w:tab/>
        <w:t>The low nutrient retention efficiencies observed in the present study suggest that the majority of feed-derived nutrients were not converted into harvestable biomass and instead entered the surrounding marine environment through uneaten feed, faecal matter, and metabolic wastes. Similar observations have been reported in marine cage aquaculture systems worldwide, where 70–90% of feed-derived nitrogen and phosphorus may be released into the environment rather than retained in cultured organisms (Islam, 2005; Holmer et al., 2008). The relatively high nutrient losses recorded in the present study are likely attributable to the use of fresh trash fish as feed, which typically exhibits lower nutrient utilisation efficiency and greater wastage compared with formulated feeds.</w:t>
      </w:r>
    </w:p>
    <w:p w14:paraId="6E83CB51" w14:textId="77777777" w:rsidR="00017DF9" w:rsidRPr="00B4215C" w:rsidRDefault="00C44992" w:rsidP="00366549">
      <w:pPr>
        <w:jc w:val="both"/>
        <w:rPr>
          <w:rFonts w:ascii="Arial" w:hAnsi="Arial" w:cs="Arial"/>
          <w:bCs/>
          <w:sz w:val="20"/>
        </w:rPr>
      </w:pPr>
      <w:r w:rsidRPr="00B4215C">
        <w:tab/>
        <w:t xml:space="preserve">When expressed on a production basis, nutrient discharge was estimated at 247.34 kg N t⁻¹ lobster production and 17.38 kg P t⁻¹ lobster production. These values exceed those reported for most finfish cage culture systems. Nitrogen and phosphorus discharges from rainbow trout culture ranged </w:t>
      </w:r>
      <w:r w:rsidRPr="00B4215C">
        <w:lastRenderedPageBreak/>
        <w:t>from 25.97–33.47 kg N t⁻¹ and 7.32–7.96 kg P t⁻¹, respectively (Asir and Pulatsü, 2008), while salmon farming released approximately 50 kg N t⁻¹ and 9.3 kg P t⁻¹ (Wang et al., 2012). Formulated feed-based finfish systems discharged 72 kg N t⁻¹ and 17.3 kg P t⁻¹, compared with 142 kg N t⁻¹ and 26 kg P t⁻¹ in trash fish-fed systems (Qi et al., 2019). Although phosphorus discharge in the present study was comparable to formulated feed-based systems, nitrogen discharge was substantially higher than previously reported values. This disproportionate nitrogen release suggests that lobster cage culture may contribute to localised nitrogen enrichment in coastal waters, potentially enhancing primary productivity and altering nutrient cycling processes (Howarth and Marino, 2006). Therefore, understanding the fate of feed-derived nitrogen is essential for assessing the environmental sustainability of marine cage aquaculture.</w:t>
      </w:r>
    </w:p>
    <w:p w14:paraId="511BE2DA" w14:textId="77777777" w:rsidR="00366549" w:rsidRPr="00B4215C" w:rsidRDefault="00017DF9" w:rsidP="00366549">
      <w:pPr>
        <w:jc w:val="both"/>
        <w:rPr>
          <w:rFonts w:ascii="Arial" w:hAnsi="Arial" w:cs="Arial"/>
          <w:bCs/>
          <w:sz w:val="20"/>
        </w:rPr>
      </w:pPr>
      <w:r w:rsidRPr="00B4215C">
        <w:tab/>
        <w:t xml:space="preserve">Despite the substantial nutrient discharge recorded during the study period, no evidence of severe environmental deterioration was observed at the farming site. The offshore location and prevailing hydrodynamic conditions likely facilitated rapid dilution and dispersal of dissolved and particulate wastes, thereby reducing nutrient accumulation in the vicinity of the cages. Similar findings have been reported for offshore cage farming systems where strong water exchange enhances the assimilative capacity of the receiving environment and mitigates the risk of localised eutrophication (Holmer et al., 2008; Holmer, 2010; Price et al., 2015). Nevertheless, the progressive increase in nutrient discharge observed throughout the culture cycle highlights the importance of efficient feed management practices and continuous environmental monitoring to ensure the long-term sustainability of lobster mariculture operations. The nutrient budget demonstrates that open-sea cage culture of </w:t>
      </w:r>
      <w:r w:rsidRPr="00B4215C">
        <w:rPr>
          <w:i/>
        </w:rPr>
        <w:t>Panulirus polyphagus</w:t>
      </w:r>
      <w:r w:rsidRPr="00B4215C">
        <w:t xml:space="preserve"> constitutes a measurable source of nitrogen and phosphorus to the surrounding coastal ecosystem. While the offshore environment appears capable of assimilating these nutrient inputs under the current scale of production, the high proportion of nutrients released to the environment underscores the need for strategies aimed at improving nutrient utilisation efficiency and reducing waste generation in lobster farming systems.</w:t>
      </w:r>
    </w:p>
    <w:p w14:paraId="35DAABEC" w14:textId="77777777" w:rsidR="00CB1EBB" w:rsidRPr="00B4215C" w:rsidRDefault="00CB1EBB" w:rsidP="00CB1EBB">
      <w:pPr>
        <w:jc w:val="both"/>
        <w:rPr>
          <w:rFonts w:ascii="Arial" w:hAnsi="Arial" w:cs="Arial"/>
          <w:b/>
          <w:bCs/>
        </w:rPr>
      </w:pPr>
      <w:r w:rsidRPr="00B4215C">
        <w:rPr>
          <w:rFonts w:ascii="Arial" w:hAnsi="Arial" w:cs="Arial"/>
          <w:b/>
          <w:bCs/>
        </w:rPr>
        <w:t>3.2 Nutrient Dynamics and Phytoplankton Responses</w:t>
      </w:r>
    </w:p>
    <w:p w14:paraId="210257B3" w14:textId="77777777" w:rsidR="00CB1EBB" w:rsidRPr="00B4215C" w:rsidRDefault="005B323E" w:rsidP="00CB1EBB">
      <w:pPr>
        <w:jc w:val="both"/>
        <w:rPr>
          <w:rFonts w:ascii="Arial" w:hAnsi="Arial" w:cs="Arial"/>
          <w:bCs/>
        </w:rPr>
      </w:pPr>
      <w:r w:rsidRPr="00B4215C">
        <w:rPr>
          <w:rFonts w:ascii="Arial" w:hAnsi="Arial" w:cs="Arial"/>
          <w:bCs/>
        </w:rPr>
        <w:tab/>
      </w:r>
      <w:r w:rsidR="00CB1EBB" w:rsidRPr="00B4215C">
        <w:rPr>
          <w:rFonts w:ascii="Arial" w:hAnsi="Arial" w:cs="Arial"/>
          <w:bCs/>
          <w:sz w:val="20"/>
        </w:rPr>
        <w:t>The nutrient-enriched environment generated by lobster cage farming was reflected in the nutrient concentrations and phytoplankton abundance observed during the culture period. Across the study period, mean nitrate concentration was 4.39 ± 0.63 µM, while phosphate and ammonia concentrations averaged 0.065 ± 0.008 µM and 0.311 ± 0.059 µM, respectively. Mean phytoplankton abundance was 2.01 × 10⁵ ± 1.21 × 10⁴ cells L</w:t>
      </w:r>
      <w:r w:rsidR="00CB1EBB" w:rsidRPr="00B4215C">
        <w:rPr>
          <w:rFonts w:ascii="Cambria Math" w:hAnsi="Cambria Math" w:cs="Cambria Math"/>
          <w:bCs/>
          <w:sz w:val="20"/>
        </w:rPr>
        <w:t>⁻</w:t>
      </w:r>
      <w:r w:rsidR="00CB1EBB" w:rsidRPr="00B4215C">
        <w:rPr>
          <w:rFonts w:ascii="Arial" w:hAnsi="Arial" w:cs="Arial"/>
          <w:bCs/>
          <w:sz w:val="20"/>
        </w:rPr>
        <w:t>¹</w:t>
      </w:r>
      <w:r w:rsidR="00F6606F" w:rsidRPr="00B4215C">
        <w:rPr>
          <w:rFonts w:ascii="Arial" w:hAnsi="Arial" w:cs="Arial"/>
          <w:bCs/>
          <w:sz w:val="20"/>
        </w:rPr>
        <w:t xml:space="preserve"> (</w:t>
      </w:r>
      <w:r w:rsidR="00F6606F" w:rsidRPr="00B4215C">
        <w:rPr>
          <w:rFonts w:ascii="Arial" w:hAnsi="Arial" w:cs="Arial"/>
          <w:bCs/>
          <w:color w:val="0070C0"/>
          <w:sz w:val="20"/>
        </w:rPr>
        <w:t xml:space="preserve">Table </w:t>
      </w:r>
      <w:r w:rsidR="00295A2D" w:rsidRPr="00B4215C">
        <w:rPr>
          <w:rFonts w:ascii="Arial" w:hAnsi="Arial" w:cs="Arial"/>
          <w:bCs/>
          <w:color w:val="0070C0"/>
          <w:sz w:val="20"/>
        </w:rPr>
        <w:t>2</w:t>
      </w:r>
      <w:r w:rsidR="00F6606F" w:rsidRPr="00B4215C">
        <w:rPr>
          <w:rFonts w:ascii="Arial" w:hAnsi="Arial" w:cs="Arial"/>
          <w:bCs/>
          <w:sz w:val="20"/>
        </w:rPr>
        <w:t>)</w:t>
      </w:r>
      <w:r w:rsidR="00CB1EBB" w:rsidRPr="00B4215C">
        <w:rPr>
          <w:rFonts w:ascii="Arial" w:hAnsi="Arial" w:cs="Arial"/>
          <w:bCs/>
          <w:sz w:val="20"/>
        </w:rPr>
        <w:t>.</w:t>
      </w:r>
    </w:p>
    <w:p w14:paraId="71EB3522" w14:textId="77777777" w:rsidR="00CF5A62" w:rsidRPr="00B4215C" w:rsidRDefault="00CF5A62" w:rsidP="00CB1EBB">
      <w:pPr>
        <w:jc w:val="both"/>
        <w:rPr>
          <w:rFonts w:ascii="Arial" w:hAnsi="Arial" w:cs="Arial"/>
          <w:bCs/>
          <w:sz w:val="20"/>
          <w:szCs w:val="20"/>
        </w:rPr>
      </w:pPr>
      <w:r w:rsidRPr="00B4215C">
        <w:rPr>
          <w:rFonts w:ascii="Arial" w:hAnsi="Arial" w:cs="Arial"/>
          <w:b/>
          <w:bCs/>
          <w:sz w:val="20"/>
          <w:szCs w:val="20"/>
        </w:rPr>
        <w:t xml:space="preserve">Table </w:t>
      </w:r>
      <w:r w:rsidR="00FE687D" w:rsidRPr="00B4215C">
        <w:rPr>
          <w:rFonts w:ascii="Arial" w:hAnsi="Arial" w:cs="Arial"/>
          <w:b/>
          <w:bCs/>
          <w:sz w:val="20"/>
          <w:szCs w:val="20"/>
        </w:rPr>
        <w:t>2.</w:t>
      </w:r>
      <w:r w:rsidR="00FE687D" w:rsidRPr="00B4215C">
        <w:rPr>
          <w:rFonts w:ascii="Arial" w:hAnsi="Arial" w:cs="Arial"/>
          <w:bCs/>
          <w:sz w:val="20"/>
          <w:szCs w:val="20"/>
        </w:rPr>
        <w:t xml:space="preserve"> Mean (± SD) phytoplankton abundance and nutrient concentrations associated with open-sea culture of </w:t>
      </w:r>
      <w:r w:rsidR="00FE687D" w:rsidRPr="00B4215C">
        <w:rPr>
          <w:rFonts w:ascii="Arial" w:hAnsi="Arial" w:cs="Arial"/>
          <w:bCs/>
          <w:i/>
          <w:iCs/>
          <w:sz w:val="20"/>
          <w:szCs w:val="20"/>
        </w:rPr>
        <w:t>Panulirus polyphagus</w:t>
      </w:r>
      <w:r w:rsidR="00FE687D" w:rsidRPr="00B4215C">
        <w:rPr>
          <w:rFonts w:ascii="Arial" w:hAnsi="Arial" w:cs="Arial"/>
          <w:bCs/>
          <w:sz w:val="20"/>
          <w:szCs w:val="20"/>
        </w:rPr>
        <w:t xml:space="preserve"> during the study period.</w:t>
      </w:r>
    </w:p>
    <w:tbl>
      <w:tblPr>
        <w:tblW w:w="8587"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281"/>
        <w:gridCol w:w="4306"/>
      </w:tblGrid>
      <w:tr w:rsidR="000D47E4" w:rsidRPr="00B4215C" w14:paraId="4B5EC03E" w14:textId="77777777" w:rsidTr="0055080F">
        <w:trPr>
          <w:trHeight w:val="277"/>
          <w:tblHeader/>
          <w:tblCellSpacing w:w="15" w:type="dxa"/>
        </w:trPr>
        <w:tc>
          <w:tcPr>
            <w:tcW w:w="0" w:type="auto"/>
            <w:vAlign w:val="center"/>
            <w:hideMark/>
          </w:tcPr>
          <w:p w14:paraId="676241A6" w14:textId="77777777" w:rsidR="000D47E4" w:rsidRPr="00B4215C" w:rsidRDefault="000D47E4" w:rsidP="0055080F">
            <w:pPr>
              <w:spacing w:after="0" w:line="24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Parameter</w:t>
            </w:r>
          </w:p>
        </w:tc>
        <w:tc>
          <w:tcPr>
            <w:tcW w:w="0" w:type="auto"/>
            <w:vAlign w:val="center"/>
            <w:hideMark/>
          </w:tcPr>
          <w:p w14:paraId="3F7D7783" w14:textId="77777777" w:rsidR="000D47E4" w:rsidRPr="00B4215C" w:rsidRDefault="000D47E4" w:rsidP="0055080F">
            <w:pPr>
              <w:spacing w:after="0" w:line="24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Mean ± SD</w:t>
            </w:r>
          </w:p>
        </w:tc>
      </w:tr>
      <w:tr w:rsidR="000D47E4" w:rsidRPr="00B4215C" w14:paraId="0243C651" w14:textId="77777777" w:rsidTr="0055080F">
        <w:trPr>
          <w:trHeight w:val="289"/>
          <w:tblCellSpacing w:w="15" w:type="dxa"/>
        </w:trPr>
        <w:tc>
          <w:tcPr>
            <w:tcW w:w="0" w:type="auto"/>
            <w:tcBorders>
              <w:top w:val="single" w:sz="4" w:space="0" w:color="auto"/>
            </w:tcBorders>
            <w:vAlign w:val="center"/>
            <w:hideMark/>
          </w:tcPr>
          <w:p w14:paraId="0D01FAB2" w14:textId="77777777" w:rsidR="000D47E4" w:rsidRPr="00B4215C" w:rsidRDefault="000D47E4" w:rsidP="0055080F">
            <w:pPr>
              <w:spacing w:after="0" w:line="24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Phytoplankton abundance</w:t>
            </w:r>
          </w:p>
        </w:tc>
        <w:tc>
          <w:tcPr>
            <w:tcW w:w="0" w:type="auto"/>
            <w:tcBorders>
              <w:top w:val="single" w:sz="4" w:space="0" w:color="auto"/>
            </w:tcBorders>
            <w:vAlign w:val="center"/>
            <w:hideMark/>
          </w:tcPr>
          <w:p w14:paraId="1FFB2EEC" w14:textId="77777777" w:rsidR="000D47E4" w:rsidRPr="00B4215C" w:rsidRDefault="000D47E4" w:rsidP="0055080F">
            <w:pPr>
              <w:spacing w:after="0" w:line="24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201,398 ± 12,092 cells L</w:t>
            </w:r>
            <w:r w:rsidRPr="00B4215C">
              <w:rPr>
                <w:rFonts w:ascii="Cambria Math" w:eastAsia="Times New Roman" w:hAnsi="Cambria Math" w:cs="Cambria Math"/>
                <w:sz w:val="20"/>
                <w:szCs w:val="20"/>
                <w:lang w:eastAsia="en-IN"/>
              </w:rPr>
              <w:t>⁻</w:t>
            </w:r>
            <w:r w:rsidRPr="00B4215C">
              <w:rPr>
                <w:rFonts w:ascii="Arial" w:eastAsia="Times New Roman" w:hAnsi="Arial" w:cs="Arial"/>
                <w:sz w:val="20"/>
                <w:szCs w:val="20"/>
                <w:lang w:eastAsia="en-IN"/>
              </w:rPr>
              <w:t>¹</w:t>
            </w:r>
          </w:p>
        </w:tc>
      </w:tr>
      <w:tr w:rsidR="000D47E4" w:rsidRPr="00B4215C" w14:paraId="6710A439" w14:textId="77777777" w:rsidTr="0055080F">
        <w:trPr>
          <w:trHeight w:val="277"/>
          <w:tblCellSpacing w:w="15" w:type="dxa"/>
        </w:trPr>
        <w:tc>
          <w:tcPr>
            <w:tcW w:w="0" w:type="auto"/>
            <w:vAlign w:val="center"/>
            <w:hideMark/>
          </w:tcPr>
          <w:p w14:paraId="7D1BB5D6" w14:textId="77777777" w:rsidR="000D47E4" w:rsidRPr="00B4215C" w:rsidRDefault="000D47E4" w:rsidP="0055080F">
            <w:pPr>
              <w:spacing w:after="0" w:line="24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Ammonia</w:t>
            </w:r>
          </w:p>
        </w:tc>
        <w:tc>
          <w:tcPr>
            <w:tcW w:w="0" w:type="auto"/>
            <w:vAlign w:val="center"/>
            <w:hideMark/>
          </w:tcPr>
          <w:p w14:paraId="2B1BDD97" w14:textId="77777777" w:rsidR="000D47E4" w:rsidRPr="00B4215C" w:rsidRDefault="000D47E4" w:rsidP="0055080F">
            <w:pPr>
              <w:spacing w:after="0" w:line="24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0.311 ± 0.059 µM</w:t>
            </w:r>
          </w:p>
        </w:tc>
      </w:tr>
      <w:tr w:rsidR="000D47E4" w:rsidRPr="00B4215C" w14:paraId="2CE688EB" w14:textId="77777777" w:rsidTr="0055080F">
        <w:trPr>
          <w:trHeight w:val="277"/>
          <w:tblCellSpacing w:w="15" w:type="dxa"/>
        </w:trPr>
        <w:tc>
          <w:tcPr>
            <w:tcW w:w="0" w:type="auto"/>
            <w:vAlign w:val="center"/>
            <w:hideMark/>
          </w:tcPr>
          <w:p w14:paraId="04790BA8" w14:textId="77777777" w:rsidR="000D47E4" w:rsidRPr="00B4215C" w:rsidRDefault="000D47E4" w:rsidP="0055080F">
            <w:pPr>
              <w:spacing w:after="0" w:line="24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Phosphate</w:t>
            </w:r>
          </w:p>
        </w:tc>
        <w:tc>
          <w:tcPr>
            <w:tcW w:w="0" w:type="auto"/>
            <w:vAlign w:val="center"/>
            <w:hideMark/>
          </w:tcPr>
          <w:p w14:paraId="32C0E38E" w14:textId="77777777" w:rsidR="000D47E4" w:rsidRPr="00B4215C" w:rsidRDefault="000D47E4" w:rsidP="0055080F">
            <w:pPr>
              <w:spacing w:after="0" w:line="24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0.065 ± 0.008 µM</w:t>
            </w:r>
          </w:p>
        </w:tc>
      </w:tr>
      <w:tr w:rsidR="000D47E4" w:rsidRPr="00B4215C" w14:paraId="70E583C1" w14:textId="77777777" w:rsidTr="0055080F">
        <w:trPr>
          <w:trHeight w:val="289"/>
          <w:tblCellSpacing w:w="15" w:type="dxa"/>
        </w:trPr>
        <w:tc>
          <w:tcPr>
            <w:tcW w:w="0" w:type="auto"/>
            <w:vAlign w:val="center"/>
            <w:hideMark/>
          </w:tcPr>
          <w:p w14:paraId="231F5A0B" w14:textId="77777777" w:rsidR="000D47E4" w:rsidRPr="00B4215C" w:rsidRDefault="000D47E4" w:rsidP="0055080F">
            <w:pPr>
              <w:spacing w:after="0" w:line="24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Nitrate</w:t>
            </w:r>
          </w:p>
        </w:tc>
        <w:tc>
          <w:tcPr>
            <w:tcW w:w="0" w:type="auto"/>
            <w:vAlign w:val="center"/>
            <w:hideMark/>
          </w:tcPr>
          <w:p w14:paraId="04CE1418" w14:textId="77777777" w:rsidR="000D47E4" w:rsidRPr="00B4215C" w:rsidRDefault="000D47E4" w:rsidP="0055080F">
            <w:pPr>
              <w:spacing w:after="0" w:line="24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4.388 ± 0.632 µM</w:t>
            </w:r>
          </w:p>
        </w:tc>
      </w:tr>
    </w:tbl>
    <w:p w14:paraId="2FFC754E" w14:textId="77777777" w:rsidR="000D47E4" w:rsidRPr="00B4215C" w:rsidRDefault="000D47E4" w:rsidP="00CB1EBB">
      <w:pPr>
        <w:jc w:val="both"/>
        <w:rPr>
          <w:rFonts w:ascii="Arial" w:hAnsi="Arial" w:cs="Arial"/>
          <w:bCs/>
          <w:sz w:val="20"/>
          <w:szCs w:val="20"/>
        </w:rPr>
      </w:pPr>
    </w:p>
    <w:p w14:paraId="032D0449" w14:textId="77777777" w:rsidR="007210BE" w:rsidRPr="00B4215C" w:rsidRDefault="00FC05EB" w:rsidP="00CB1EBB">
      <w:pPr>
        <w:jc w:val="both"/>
        <w:rPr>
          <w:rFonts w:ascii="Arial" w:hAnsi="Arial" w:cs="Arial"/>
          <w:bCs/>
          <w:sz w:val="20"/>
          <w:szCs w:val="20"/>
        </w:rPr>
      </w:pPr>
      <w:r w:rsidRPr="00B4215C">
        <w:rPr>
          <w:rFonts w:ascii="Arial" w:hAnsi="Arial" w:cs="Arial"/>
          <w:bCs/>
          <w:sz w:val="20"/>
          <w:szCs w:val="20"/>
        </w:rPr>
        <w:tab/>
      </w:r>
      <w:r w:rsidR="00A824B6" w:rsidRPr="00B4215C">
        <w:rPr>
          <w:rFonts w:ascii="Arial" w:hAnsi="Arial" w:cs="Arial"/>
          <w:bCs/>
          <w:sz w:val="20"/>
          <w:szCs w:val="20"/>
        </w:rPr>
        <w:t>Nitrogen and phosphorus inputs increased progressively throughout the culture period as feed application and lobster biomass increased (</w:t>
      </w:r>
      <w:r w:rsidR="00A824B6" w:rsidRPr="00B4215C">
        <w:rPr>
          <w:rFonts w:ascii="Arial" w:hAnsi="Arial" w:cs="Arial"/>
          <w:bCs/>
          <w:color w:val="0070C0"/>
          <w:sz w:val="20"/>
          <w:szCs w:val="20"/>
        </w:rPr>
        <w:t>Fig. 2; Table 3</w:t>
      </w:r>
      <w:r w:rsidR="00A824B6" w:rsidRPr="00B4215C">
        <w:rPr>
          <w:rFonts w:ascii="Arial" w:hAnsi="Arial" w:cs="Arial"/>
          <w:bCs/>
          <w:sz w:val="20"/>
          <w:szCs w:val="20"/>
        </w:rPr>
        <w:t xml:space="preserve">). The corresponding increase in nutrient availability was accompanied by relatively stable phytoplankton abundance, indicating that the released </w:t>
      </w:r>
      <w:r w:rsidR="00A824B6" w:rsidRPr="00B4215C">
        <w:rPr>
          <w:rFonts w:ascii="Arial" w:hAnsi="Arial" w:cs="Arial"/>
          <w:bCs/>
          <w:sz w:val="20"/>
          <w:szCs w:val="20"/>
        </w:rPr>
        <w:lastRenderedPageBreak/>
        <w:t>nutrients were effectively dispersed and assimilated under the prevailing offshore environmental conditions without causing excessive phytoplankton proliferation (</w:t>
      </w:r>
      <w:r w:rsidR="00A824B6" w:rsidRPr="00B4215C">
        <w:rPr>
          <w:rFonts w:ascii="Arial" w:hAnsi="Arial" w:cs="Arial"/>
          <w:bCs/>
          <w:color w:val="0070C0"/>
          <w:sz w:val="20"/>
          <w:szCs w:val="20"/>
        </w:rPr>
        <w:t>Fig. 3</w:t>
      </w:r>
      <w:r w:rsidR="00A824B6" w:rsidRPr="00B4215C">
        <w:rPr>
          <w:rFonts w:ascii="Arial" w:hAnsi="Arial" w:cs="Arial"/>
          <w:bCs/>
          <w:sz w:val="20"/>
          <w:szCs w:val="20"/>
        </w:rPr>
        <w:t>).</w:t>
      </w:r>
    </w:p>
    <w:p w14:paraId="710A1AEA" w14:textId="77777777" w:rsidR="008029B8" w:rsidRPr="00B4215C" w:rsidRDefault="008029B8" w:rsidP="007210BE">
      <w:pPr>
        <w:jc w:val="both"/>
        <w:rPr>
          <w:rFonts w:ascii="Arial" w:hAnsi="Arial" w:cs="Arial"/>
          <w:bCs/>
          <w:sz w:val="20"/>
          <w:szCs w:val="20"/>
        </w:rPr>
      </w:pPr>
      <w:bookmarkStart w:id="1" w:name="_Hlk201594960"/>
      <w:r w:rsidRPr="00B4215C">
        <w:rPr>
          <w:rFonts w:ascii="Arial" w:hAnsi="Arial" w:cs="Arial"/>
          <w:b/>
          <w:bCs/>
          <w:sz w:val="20"/>
          <w:szCs w:val="20"/>
        </w:rPr>
        <w:t>Table</w:t>
      </w:r>
      <w:r w:rsidR="00295A2D" w:rsidRPr="00B4215C">
        <w:rPr>
          <w:rFonts w:ascii="Arial" w:hAnsi="Arial" w:cs="Arial"/>
          <w:b/>
          <w:bCs/>
          <w:sz w:val="20"/>
          <w:szCs w:val="20"/>
        </w:rPr>
        <w:t xml:space="preserve"> 3.</w:t>
      </w:r>
      <w:r w:rsidRPr="00B4215C">
        <w:rPr>
          <w:rFonts w:ascii="Arial" w:hAnsi="Arial" w:cs="Arial"/>
          <w:b/>
          <w:bCs/>
          <w:color w:val="FF0000"/>
          <w:sz w:val="20"/>
          <w:szCs w:val="20"/>
        </w:rPr>
        <w:t xml:space="preserve">  </w:t>
      </w:r>
      <w:r w:rsidRPr="00B4215C">
        <w:rPr>
          <w:rFonts w:ascii="Arial" w:hAnsi="Arial" w:cs="Arial"/>
          <w:bCs/>
          <w:sz w:val="20"/>
          <w:szCs w:val="20"/>
        </w:rPr>
        <w:t>Lobster production biomass and FCR</w:t>
      </w:r>
    </w:p>
    <w:tbl>
      <w:tblPr>
        <w:tblW w:w="8471" w:type="dxa"/>
        <w:jc w:val="center"/>
        <w:tblBorders>
          <w:top w:val="single" w:sz="4" w:space="0" w:color="auto"/>
          <w:bottom w:val="single" w:sz="4" w:space="0" w:color="auto"/>
        </w:tblBorders>
        <w:tblLook w:val="04A0" w:firstRow="1" w:lastRow="0" w:firstColumn="1" w:lastColumn="0" w:noHBand="0" w:noVBand="1"/>
      </w:tblPr>
      <w:tblGrid>
        <w:gridCol w:w="1325"/>
        <w:gridCol w:w="3294"/>
        <w:gridCol w:w="1603"/>
        <w:gridCol w:w="2249"/>
      </w:tblGrid>
      <w:tr w:rsidR="008029B8" w:rsidRPr="00B4215C" w14:paraId="77BDCFAD" w14:textId="77777777" w:rsidTr="0026055A">
        <w:trPr>
          <w:trHeight w:val="764"/>
          <w:jc w:val="center"/>
        </w:trPr>
        <w:tc>
          <w:tcPr>
            <w:tcW w:w="1325" w:type="dxa"/>
            <w:tcBorders>
              <w:bottom w:val="single" w:sz="4" w:space="0" w:color="auto"/>
            </w:tcBorders>
            <w:noWrap/>
            <w:vAlign w:val="center"/>
            <w:hideMark/>
          </w:tcPr>
          <w:p w14:paraId="2BB77E45"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Cages</w:t>
            </w:r>
          </w:p>
        </w:tc>
        <w:tc>
          <w:tcPr>
            <w:tcW w:w="3294" w:type="dxa"/>
            <w:tcBorders>
              <w:bottom w:val="single" w:sz="4" w:space="0" w:color="auto"/>
            </w:tcBorders>
            <w:noWrap/>
            <w:vAlign w:val="bottom"/>
            <w:hideMark/>
          </w:tcPr>
          <w:p w14:paraId="3973DFD4"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Production (kg)</w:t>
            </w:r>
          </w:p>
        </w:tc>
        <w:tc>
          <w:tcPr>
            <w:tcW w:w="1603" w:type="dxa"/>
            <w:tcBorders>
              <w:bottom w:val="single" w:sz="4" w:space="0" w:color="auto"/>
            </w:tcBorders>
          </w:tcPr>
          <w:p w14:paraId="2D5E9BC9"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Biomass (kg/m</w:t>
            </w:r>
            <w:r w:rsidRPr="00B4215C">
              <w:rPr>
                <w:rFonts w:ascii="Arial" w:eastAsia="Times New Roman" w:hAnsi="Arial" w:cs="Arial"/>
                <w:b/>
                <w:bCs/>
                <w:sz w:val="20"/>
                <w:szCs w:val="20"/>
                <w:vertAlign w:val="superscript"/>
                <w:lang w:eastAsia="en-IN"/>
              </w:rPr>
              <w:t>3</w:t>
            </w:r>
            <w:r w:rsidRPr="00B4215C">
              <w:rPr>
                <w:rFonts w:ascii="Arial" w:eastAsia="Times New Roman" w:hAnsi="Arial" w:cs="Arial"/>
                <w:b/>
                <w:bCs/>
                <w:sz w:val="20"/>
                <w:szCs w:val="20"/>
                <w:lang w:eastAsia="en-IN"/>
              </w:rPr>
              <w:t>)</w:t>
            </w:r>
          </w:p>
        </w:tc>
        <w:tc>
          <w:tcPr>
            <w:tcW w:w="2249" w:type="dxa"/>
            <w:tcBorders>
              <w:bottom w:val="single" w:sz="4" w:space="0" w:color="auto"/>
            </w:tcBorders>
            <w:noWrap/>
            <w:vAlign w:val="bottom"/>
            <w:hideMark/>
          </w:tcPr>
          <w:p w14:paraId="218B4AB5"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FCR</w:t>
            </w:r>
          </w:p>
        </w:tc>
      </w:tr>
      <w:tr w:rsidR="008029B8" w:rsidRPr="00B4215C" w14:paraId="0A7CA2CE" w14:textId="77777777" w:rsidTr="0026055A">
        <w:trPr>
          <w:trHeight w:val="227"/>
          <w:jc w:val="center"/>
        </w:trPr>
        <w:tc>
          <w:tcPr>
            <w:tcW w:w="1325" w:type="dxa"/>
            <w:tcBorders>
              <w:top w:val="single" w:sz="4" w:space="0" w:color="auto"/>
            </w:tcBorders>
            <w:noWrap/>
            <w:vAlign w:val="bottom"/>
            <w:hideMark/>
          </w:tcPr>
          <w:p w14:paraId="47D51C74"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Cage 1</w:t>
            </w:r>
          </w:p>
        </w:tc>
        <w:tc>
          <w:tcPr>
            <w:tcW w:w="3294" w:type="dxa"/>
            <w:tcBorders>
              <w:top w:val="single" w:sz="4" w:space="0" w:color="auto"/>
            </w:tcBorders>
            <w:noWrap/>
            <w:vAlign w:val="bottom"/>
            <w:hideMark/>
          </w:tcPr>
          <w:p w14:paraId="55B16AAD"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71.40</w:t>
            </w:r>
          </w:p>
        </w:tc>
        <w:tc>
          <w:tcPr>
            <w:tcW w:w="1603" w:type="dxa"/>
            <w:tcBorders>
              <w:top w:val="single" w:sz="4" w:space="0" w:color="auto"/>
            </w:tcBorders>
            <w:vAlign w:val="bottom"/>
          </w:tcPr>
          <w:p w14:paraId="12565534"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hAnsi="Arial" w:cs="Arial"/>
                <w:sz w:val="20"/>
                <w:szCs w:val="20"/>
              </w:rPr>
              <w:t>0.727</w:t>
            </w:r>
          </w:p>
        </w:tc>
        <w:tc>
          <w:tcPr>
            <w:tcW w:w="2249" w:type="dxa"/>
            <w:tcBorders>
              <w:top w:val="single" w:sz="4" w:space="0" w:color="auto"/>
            </w:tcBorders>
            <w:noWrap/>
            <w:vAlign w:val="bottom"/>
            <w:hideMark/>
          </w:tcPr>
          <w:p w14:paraId="150F6404"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7.07</w:t>
            </w:r>
          </w:p>
        </w:tc>
      </w:tr>
      <w:tr w:rsidR="008029B8" w:rsidRPr="00B4215C" w14:paraId="7AAC4200" w14:textId="77777777" w:rsidTr="0026055A">
        <w:trPr>
          <w:trHeight w:val="269"/>
          <w:jc w:val="center"/>
        </w:trPr>
        <w:tc>
          <w:tcPr>
            <w:tcW w:w="1325" w:type="dxa"/>
            <w:noWrap/>
            <w:vAlign w:val="bottom"/>
            <w:hideMark/>
          </w:tcPr>
          <w:p w14:paraId="6A7E78E6"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Cage 2</w:t>
            </w:r>
          </w:p>
        </w:tc>
        <w:tc>
          <w:tcPr>
            <w:tcW w:w="3294" w:type="dxa"/>
            <w:noWrap/>
            <w:vAlign w:val="bottom"/>
            <w:hideMark/>
          </w:tcPr>
          <w:p w14:paraId="10F0F503"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73.07</w:t>
            </w:r>
          </w:p>
        </w:tc>
        <w:tc>
          <w:tcPr>
            <w:tcW w:w="1603" w:type="dxa"/>
            <w:vAlign w:val="bottom"/>
          </w:tcPr>
          <w:p w14:paraId="06F42552"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hAnsi="Arial" w:cs="Arial"/>
                <w:sz w:val="20"/>
                <w:szCs w:val="20"/>
              </w:rPr>
              <w:t>0.744</w:t>
            </w:r>
          </w:p>
        </w:tc>
        <w:tc>
          <w:tcPr>
            <w:tcW w:w="2249" w:type="dxa"/>
            <w:noWrap/>
            <w:vAlign w:val="bottom"/>
            <w:hideMark/>
          </w:tcPr>
          <w:p w14:paraId="5F487B3A"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7.17</w:t>
            </w:r>
          </w:p>
        </w:tc>
      </w:tr>
      <w:tr w:rsidR="008029B8" w:rsidRPr="00B4215C" w14:paraId="006F8804" w14:textId="77777777" w:rsidTr="0026055A">
        <w:trPr>
          <w:trHeight w:val="269"/>
          <w:jc w:val="center"/>
        </w:trPr>
        <w:tc>
          <w:tcPr>
            <w:tcW w:w="1325" w:type="dxa"/>
            <w:noWrap/>
            <w:vAlign w:val="bottom"/>
            <w:hideMark/>
          </w:tcPr>
          <w:p w14:paraId="3D6CE35A"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Cage 3</w:t>
            </w:r>
          </w:p>
        </w:tc>
        <w:tc>
          <w:tcPr>
            <w:tcW w:w="3294" w:type="dxa"/>
            <w:noWrap/>
            <w:vAlign w:val="bottom"/>
            <w:hideMark/>
          </w:tcPr>
          <w:p w14:paraId="155AB629"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77.31</w:t>
            </w:r>
          </w:p>
        </w:tc>
        <w:tc>
          <w:tcPr>
            <w:tcW w:w="1603" w:type="dxa"/>
            <w:vAlign w:val="bottom"/>
          </w:tcPr>
          <w:p w14:paraId="540AFACA"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hAnsi="Arial" w:cs="Arial"/>
                <w:sz w:val="20"/>
                <w:szCs w:val="20"/>
              </w:rPr>
              <w:t>0.787</w:t>
            </w:r>
          </w:p>
        </w:tc>
        <w:tc>
          <w:tcPr>
            <w:tcW w:w="2249" w:type="dxa"/>
            <w:noWrap/>
            <w:vAlign w:val="bottom"/>
            <w:hideMark/>
          </w:tcPr>
          <w:p w14:paraId="4444048E"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7.06</w:t>
            </w:r>
          </w:p>
        </w:tc>
      </w:tr>
      <w:tr w:rsidR="008029B8" w:rsidRPr="00B4215C" w14:paraId="3C0FD802" w14:textId="77777777" w:rsidTr="0026055A">
        <w:trPr>
          <w:trHeight w:val="269"/>
          <w:jc w:val="center"/>
        </w:trPr>
        <w:tc>
          <w:tcPr>
            <w:tcW w:w="1325" w:type="dxa"/>
            <w:noWrap/>
            <w:vAlign w:val="bottom"/>
            <w:hideMark/>
          </w:tcPr>
          <w:p w14:paraId="51C1BF6B"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Cage 4</w:t>
            </w:r>
          </w:p>
        </w:tc>
        <w:tc>
          <w:tcPr>
            <w:tcW w:w="3294" w:type="dxa"/>
            <w:noWrap/>
            <w:vAlign w:val="bottom"/>
            <w:hideMark/>
          </w:tcPr>
          <w:p w14:paraId="10D94E08"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77.41</w:t>
            </w:r>
          </w:p>
        </w:tc>
        <w:tc>
          <w:tcPr>
            <w:tcW w:w="1603" w:type="dxa"/>
            <w:vAlign w:val="bottom"/>
          </w:tcPr>
          <w:p w14:paraId="7B9345E5"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hAnsi="Arial" w:cs="Arial"/>
                <w:sz w:val="20"/>
                <w:szCs w:val="20"/>
              </w:rPr>
              <w:t>0.788</w:t>
            </w:r>
          </w:p>
        </w:tc>
        <w:tc>
          <w:tcPr>
            <w:tcW w:w="2249" w:type="dxa"/>
            <w:noWrap/>
            <w:vAlign w:val="bottom"/>
            <w:hideMark/>
          </w:tcPr>
          <w:p w14:paraId="5BED5CD9"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7.52</w:t>
            </w:r>
          </w:p>
        </w:tc>
      </w:tr>
      <w:tr w:rsidR="008029B8" w:rsidRPr="00B4215C" w14:paraId="54D36B96" w14:textId="77777777" w:rsidTr="0026055A">
        <w:trPr>
          <w:trHeight w:val="269"/>
          <w:jc w:val="center"/>
        </w:trPr>
        <w:tc>
          <w:tcPr>
            <w:tcW w:w="1325" w:type="dxa"/>
            <w:noWrap/>
            <w:vAlign w:val="bottom"/>
            <w:hideMark/>
          </w:tcPr>
          <w:p w14:paraId="46DEA323"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Cage 5</w:t>
            </w:r>
          </w:p>
        </w:tc>
        <w:tc>
          <w:tcPr>
            <w:tcW w:w="3294" w:type="dxa"/>
            <w:noWrap/>
            <w:vAlign w:val="bottom"/>
            <w:hideMark/>
          </w:tcPr>
          <w:p w14:paraId="66254A75"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77.89</w:t>
            </w:r>
          </w:p>
        </w:tc>
        <w:tc>
          <w:tcPr>
            <w:tcW w:w="1603" w:type="dxa"/>
            <w:vAlign w:val="bottom"/>
          </w:tcPr>
          <w:p w14:paraId="3FA6550D"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hAnsi="Arial" w:cs="Arial"/>
                <w:sz w:val="20"/>
                <w:szCs w:val="20"/>
              </w:rPr>
              <w:t>0.793</w:t>
            </w:r>
          </w:p>
        </w:tc>
        <w:tc>
          <w:tcPr>
            <w:tcW w:w="2249" w:type="dxa"/>
            <w:noWrap/>
            <w:vAlign w:val="bottom"/>
            <w:hideMark/>
          </w:tcPr>
          <w:p w14:paraId="6B19B8CC"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8.06</w:t>
            </w:r>
          </w:p>
        </w:tc>
      </w:tr>
      <w:tr w:rsidR="008029B8" w:rsidRPr="00B4215C" w14:paraId="0852927B" w14:textId="77777777" w:rsidTr="0026055A">
        <w:trPr>
          <w:trHeight w:val="269"/>
          <w:jc w:val="center"/>
        </w:trPr>
        <w:tc>
          <w:tcPr>
            <w:tcW w:w="1325" w:type="dxa"/>
            <w:noWrap/>
            <w:vAlign w:val="bottom"/>
            <w:hideMark/>
          </w:tcPr>
          <w:p w14:paraId="4DD32E89" w14:textId="77777777" w:rsidR="008029B8" w:rsidRPr="00B4215C" w:rsidRDefault="008029B8" w:rsidP="008E5836">
            <w:pPr>
              <w:spacing w:after="0" w:line="360" w:lineRule="auto"/>
              <w:jc w:val="center"/>
              <w:rPr>
                <w:rFonts w:ascii="Arial" w:eastAsia="Times New Roman" w:hAnsi="Arial" w:cs="Arial"/>
                <w:b/>
                <w:bCs/>
                <w:sz w:val="20"/>
                <w:szCs w:val="20"/>
                <w:lang w:eastAsia="en-IN"/>
              </w:rPr>
            </w:pPr>
            <w:r w:rsidRPr="00B4215C">
              <w:rPr>
                <w:rFonts w:ascii="Arial" w:eastAsia="Times New Roman" w:hAnsi="Arial" w:cs="Arial"/>
                <w:b/>
                <w:bCs/>
                <w:sz w:val="20"/>
                <w:szCs w:val="20"/>
                <w:lang w:eastAsia="en-IN"/>
              </w:rPr>
              <w:t>Cage 6</w:t>
            </w:r>
          </w:p>
        </w:tc>
        <w:tc>
          <w:tcPr>
            <w:tcW w:w="3294" w:type="dxa"/>
            <w:noWrap/>
            <w:vAlign w:val="bottom"/>
            <w:hideMark/>
          </w:tcPr>
          <w:p w14:paraId="39AD1DD4"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81.05</w:t>
            </w:r>
          </w:p>
        </w:tc>
        <w:tc>
          <w:tcPr>
            <w:tcW w:w="1603" w:type="dxa"/>
            <w:vAlign w:val="bottom"/>
          </w:tcPr>
          <w:p w14:paraId="415E229C"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hAnsi="Arial" w:cs="Arial"/>
                <w:sz w:val="20"/>
                <w:szCs w:val="20"/>
              </w:rPr>
              <w:t>0.825</w:t>
            </w:r>
          </w:p>
        </w:tc>
        <w:tc>
          <w:tcPr>
            <w:tcW w:w="2249" w:type="dxa"/>
            <w:noWrap/>
            <w:vAlign w:val="bottom"/>
            <w:hideMark/>
          </w:tcPr>
          <w:p w14:paraId="53629748" w14:textId="77777777" w:rsidR="008029B8" w:rsidRPr="00B4215C" w:rsidRDefault="008029B8" w:rsidP="008E5836">
            <w:pPr>
              <w:spacing w:after="0" w:line="360" w:lineRule="auto"/>
              <w:jc w:val="center"/>
              <w:rPr>
                <w:rFonts w:ascii="Arial" w:eastAsia="Times New Roman" w:hAnsi="Arial" w:cs="Arial"/>
                <w:sz w:val="20"/>
                <w:szCs w:val="20"/>
                <w:lang w:eastAsia="en-IN"/>
              </w:rPr>
            </w:pPr>
            <w:r w:rsidRPr="00B4215C">
              <w:rPr>
                <w:rFonts w:ascii="Arial" w:eastAsia="Times New Roman" w:hAnsi="Arial" w:cs="Arial"/>
                <w:sz w:val="20"/>
                <w:szCs w:val="20"/>
                <w:lang w:eastAsia="en-IN"/>
              </w:rPr>
              <w:t>7.76</w:t>
            </w:r>
          </w:p>
        </w:tc>
      </w:tr>
      <w:bookmarkEnd w:id="1"/>
    </w:tbl>
    <w:p w14:paraId="62CA2CAF" w14:textId="77777777" w:rsidR="00B108AA" w:rsidRPr="00B4215C" w:rsidRDefault="00B108AA" w:rsidP="00CB1EBB">
      <w:pPr>
        <w:jc w:val="both"/>
        <w:rPr>
          <w:rFonts w:ascii="Arial" w:hAnsi="Arial" w:cs="Arial"/>
          <w:bCs/>
          <w:sz w:val="20"/>
          <w:szCs w:val="20"/>
        </w:rPr>
      </w:pPr>
    </w:p>
    <w:p w14:paraId="012111AA" w14:textId="77777777" w:rsidR="00C73AAB" w:rsidRPr="00B4215C" w:rsidRDefault="00031162" w:rsidP="00CB1EBB">
      <w:pPr>
        <w:jc w:val="both"/>
        <w:rPr>
          <w:rFonts w:ascii="Arial" w:hAnsi="Arial" w:cs="Arial"/>
          <w:bCs/>
          <w:sz w:val="20"/>
          <w:szCs w:val="20"/>
        </w:rPr>
      </w:pPr>
      <w:r w:rsidRPr="00B4215C">
        <w:rPr>
          <w:rFonts w:ascii="Arial" w:hAnsi="Arial" w:cs="Arial"/>
          <w:bCs/>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73AAB" w:rsidRPr="00B4215C" w14:paraId="1F8151D3" w14:textId="77777777" w:rsidTr="00817E5A">
        <w:tc>
          <w:tcPr>
            <w:tcW w:w="9016" w:type="dxa"/>
          </w:tcPr>
          <w:p w14:paraId="6CAF634C" w14:textId="77777777" w:rsidR="00C73AAB" w:rsidRPr="00B4215C" w:rsidRDefault="000625FD" w:rsidP="00817E5A">
            <w:pPr>
              <w:jc w:val="both"/>
              <w:rPr>
                <w:rFonts w:ascii="Arial" w:hAnsi="Arial" w:cs="Arial"/>
                <w:bCs/>
                <w:sz w:val="20"/>
                <w:szCs w:val="20"/>
              </w:rPr>
            </w:pPr>
            <w:r w:rsidRPr="00B4215C">
              <w:t xml:space="preserve"> </w:t>
            </w:r>
            <w:r w:rsidR="00B23F2B" w:rsidRPr="00B4215C">
              <w:rPr>
                <w:noProof/>
              </w:rPr>
              <w:drawing>
                <wp:inline distT="0" distB="0" distL="0" distR="0" wp14:anchorId="7A149FED" wp14:editId="78512A0F">
                  <wp:extent cx="5624261" cy="46002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5973" cy="4601633"/>
                          </a:xfrm>
                          <a:prstGeom prst="rect">
                            <a:avLst/>
                          </a:prstGeom>
                          <a:noFill/>
                          <a:ln>
                            <a:noFill/>
                          </a:ln>
                        </pic:spPr>
                      </pic:pic>
                    </a:graphicData>
                  </a:graphic>
                </wp:inline>
              </w:drawing>
            </w:r>
          </w:p>
        </w:tc>
      </w:tr>
      <w:tr w:rsidR="00C73AAB" w:rsidRPr="00B4215C" w14:paraId="345C5343" w14:textId="77777777" w:rsidTr="00817E5A">
        <w:tc>
          <w:tcPr>
            <w:tcW w:w="9016" w:type="dxa"/>
          </w:tcPr>
          <w:p w14:paraId="3F2CCA5E" w14:textId="77777777" w:rsidR="00C73AAB" w:rsidRPr="00B4215C" w:rsidRDefault="00C73AAB" w:rsidP="00817E5A">
            <w:pPr>
              <w:jc w:val="both"/>
              <w:rPr>
                <w:rFonts w:ascii="Arial" w:hAnsi="Arial" w:cs="Arial"/>
                <w:bCs/>
                <w:sz w:val="20"/>
                <w:szCs w:val="20"/>
              </w:rPr>
            </w:pPr>
            <w:r w:rsidRPr="00B4215C">
              <w:rPr>
                <w:rFonts w:ascii="Arial" w:hAnsi="Arial" w:cs="Arial"/>
                <w:b/>
                <w:bCs/>
                <w:sz w:val="20"/>
                <w:szCs w:val="20"/>
              </w:rPr>
              <w:t>Fig. 3.</w:t>
            </w:r>
            <w:r w:rsidRPr="00B4215C">
              <w:rPr>
                <w:rFonts w:ascii="Arial" w:hAnsi="Arial" w:cs="Arial"/>
                <w:bCs/>
                <w:sz w:val="20"/>
                <w:szCs w:val="20"/>
              </w:rPr>
              <w:t xml:space="preserve"> Monthly variation in phytoplankton abundance and nutrient concentrations at the lobster cage farming site during the culture period.</w:t>
            </w:r>
          </w:p>
        </w:tc>
      </w:tr>
    </w:tbl>
    <w:p w14:paraId="54F30662" w14:textId="77777777" w:rsidR="00C73AAB" w:rsidRPr="00B4215C" w:rsidRDefault="00C73AAB" w:rsidP="00CB1EBB">
      <w:pPr>
        <w:jc w:val="both"/>
        <w:rPr>
          <w:rFonts w:ascii="Arial" w:hAnsi="Arial" w:cs="Arial"/>
          <w:bCs/>
          <w:sz w:val="20"/>
          <w:szCs w:val="20"/>
        </w:rPr>
      </w:pPr>
    </w:p>
    <w:p w14:paraId="0A48BDAA" w14:textId="77777777" w:rsidR="00CB1EBB" w:rsidRPr="00B4215C" w:rsidRDefault="00FC139B" w:rsidP="00CB1EBB">
      <w:pPr>
        <w:jc w:val="both"/>
        <w:rPr>
          <w:rFonts w:ascii="Arial" w:hAnsi="Arial" w:cs="Arial"/>
          <w:bCs/>
          <w:sz w:val="20"/>
          <w:szCs w:val="20"/>
        </w:rPr>
      </w:pPr>
      <w:r w:rsidRPr="00B4215C">
        <w:lastRenderedPageBreak/>
        <w:tab/>
        <w:t xml:space="preserve">Phytoplankton communities in the study area remained dominated by diatoms, including </w:t>
      </w:r>
      <w:r w:rsidRPr="00B4215C">
        <w:rPr>
          <w:i/>
        </w:rPr>
        <w:t>Chaetoceros</w:t>
      </w:r>
      <w:r w:rsidRPr="00B4215C">
        <w:t xml:space="preserve"> spp., </w:t>
      </w:r>
      <w:r w:rsidRPr="00B4215C">
        <w:rPr>
          <w:i/>
        </w:rPr>
        <w:t>Skeletonema costatum</w:t>
      </w:r>
      <w:r w:rsidRPr="00B4215C">
        <w:t xml:space="preserve">, </w:t>
      </w:r>
      <w:r w:rsidRPr="00B4215C">
        <w:rPr>
          <w:i/>
        </w:rPr>
        <w:t>Rhizosolenia robusta</w:t>
      </w:r>
      <w:r w:rsidRPr="00B4215C">
        <w:t xml:space="preserve">, </w:t>
      </w:r>
      <w:r w:rsidRPr="00B4215C">
        <w:rPr>
          <w:i/>
        </w:rPr>
        <w:t>Stephanopyxis palmeriana</w:t>
      </w:r>
      <w:r w:rsidRPr="00B4215C">
        <w:t xml:space="preserve">, </w:t>
      </w:r>
      <w:r w:rsidRPr="00B4215C">
        <w:rPr>
          <w:i/>
        </w:rPr>
        <w:t>Navicula</w:t>
      </w:r>
      <w:r w:rsidRPr="00B4215C">
        <w:t xml:space="preserve"> spp., and </w:t>
      </w:r>
      <w:r w:rsidRPr="00B4215C">
        <w:rPr>
          <w:i/>
        </w:rPr>
        <w:t>Nitzschia</w:t>
      </w:r>
      <w:r w:rsidRPr="00B4215C">
        <w:t xml:space="preserve"> spp. (Appendix Table A1), which are widely recognised as opportunistic taxa capable of rapidly utilising available nutrients (Ristea et al., 2025). The persistence of these taxa during the farming period suggests that feed-derived nutrient inputs contributed to enhanced primary productivity within the farming area.</w:t>
      </w:r>
    </w:p>
    <w:p w14:paraId="23A0D0FE" w14:textId="77777777" w:rsidR="00CB1EBB" w:rsidRPr="00B4215C" w:rsidRDefault="00031162" w:rsidP="00CB1EBB">
      <w:pPr>
        <w:jc w:val="both"/>
        <w:rPr>
          <w:rFonts w:ascii="Arial" w:hAnsi="Arial" w:cs="Arial"/>
          <w:bCs/>
          <w:sz w:val="20"/>
          <w:szCs w:val="20"/>
        </w:rPr>
      </w:pPr>
      <w:r w:rsidRPr="00B4215C">
        <w:tab/>
        <w:t>Despite substantial nutrient release, phytoplankton abundance remained within the normal range reported for productive coastal waters of the Arabian Sea. No evidence of harmful algal blooms or excessive phytoplankton proliferation was observed during the study period. Similar observations have been reported from offshore cage farming systems where strong water exchange prevents excessive nutrient accumulation and promotes rapid dilution of dissolved wastes (Holmer et al., 2008; Price et al., 2015). These findings indicate that although lobster farming contributed measurable nutrient inputs to the surrounding waters, the assimilative capacity of the farming environment was not exceeded during the study period.</w:t>
      </w:r>
    </w:p>
    <w:p w14:paraId="6B7E5685" w14:textId="77777777" w:rsidR="00366549" w:rsidRPr="00B4215C" w:rsidRDefault="00366549" w:rsidP="00366549">
      <w:pPr>
        <w:jc w:val="both"/>
        <w:rPr>
          <w:rFonts w:ascii="Arial" w:hAnsi="Arial" w:cs="Arial"/>
          <w:b/>
          <w:bCs/>
        </w:rPr>
      </w:pPr>
      <w:r w:rsidRPr="00B4215C">
        <w:rPr>
          <w:rFonts w:ascii="Arial" w:hAnsi="Arial" w:cs="Arial"/>
          <w:b/>
          <w:bCs/>
        </w:rPr>
        <w:t>3.3 Nutrient</w:t>
      </w:r>
      <w:r w:rsidR="00FE50C9" w:rsidRPr="00B4215C">
        <w:rPr>
          <w:rFonts w:ascii="Arial" w:hAnsi="Arial" w:cs="Arial"/>
          <w:b/>
          <w:bCs/>
        </w:rPr>
        <w:t>-</w:t>
      </w:r>
      <w:r w:rsidRPr="00B4215C">
        <w:rPr>
          <w:rFonts w:ascii="Arial" w:hAnsi="Arial" w:cs="Arial"/>
          <w:b/>
          <w:bCs/>
        </w:rPr>
        <w:t>Phytoplankton Relationships</w:t>
      </w:r>
    </w:p>
    <w:p w14:paraId="68CA19A2" w14:textId="77777777" w:rsidR="00366549" w:rsidRPr="00B4215C" w:rsidRDefault="00FE50C9" w:rsidP="00366549">
      <w:pPr>
        <w:jc w:val="both"/>
        <w:rPr>
          <w:rFonts w:ascii="Arial" w:hAnsi="Arial" w:cs="Arial"/>
          <w:bCs/>
        </w:rPr>
      </w:pPr>
      <w:r w:rsidRPr="00B4215C">
        <w:tab/>
        <w:t>Pearson correlation analysis revealed variable relationships between nutrient concentrations and phytoplankton abundance. Among the measured nutrient variables, nitrate exhibited the strongest association with phytoplankton abundance, displaying a moderate positive correlation (r = 0.63, p = 0.094). In contrast, ammonia (r = −0.33, p = 0.429) and phosphate (r = −0.13, p = 0.766) (Fig. 4) showed weak negative relationships with phytoplankton abundance. Although none of the correlations were statistically significant at the 5% significance level, nitrate consistently demonstrated the strongest influence on phytoplankton variability.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52078" w:rsidRPr="00B4215C" w14:paraId="225D55BA" w14:textId="77777777" w:rsidTr="003465A1">
        <w:tc>
          <w:tcPr>
            <w:tcW w:w="9016" w:type="dxa"/>
          </w:tcPr>
          <w:p w14:paraId="2C465CA8" w14:textId="77777777" w:rsidR="00252078" w:rsidRPr="00B4215C" w:rsidRDefault="00F3455D" w:rsidP="00A76033">
            <w:pPr>
              <w:jc w:val="center"/>
              <w:rPr>
                <w:rFonts w:ascii="Arial" w:hAnsi="Arial" w:cs="Arial"/>
                <w:bCs/>
              </w:rPr>
            </w:pPr>
            <w:r w:rsidRPr="00B4215C">
              <w:rPr>
                <w:rFonts w:ascii="Arial" w:hAnsi="Arial" w:cs="Arial"/>
                <w:noProof/>
              </w:rPr>
              <w:drawing>
                <wp:inline distT="0" distB="0" distL="0" distR="0" wp14:anchorId="3C40F515" wp14:editId="331A6116">
                  <wp:extent cx="3953130" cy="3249637"/>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391" t="3532" r="8325" b="8497"/>
                          <a:stretch/>
                        </pic:blipFill>
                        <pic:spPr bwMode="auto">
                          <a:xfrm>
                            <a:off x="0" y="0"/>
                            <a:ext cx="3988221" cy="32784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2078" w:rsidRPr="00B4215C" w14:paraId="4D64797F" w14:textId="77777777" w:rsidTr="003465A1">
        <w:tc>
          <w:tcPr>
            <w:tcW w:w="9016" w:type="dxa"/>
          </w:tcPr>
          <w:p w14:paraId="71AE78FD" w14:textId="77777777" w:rsidR="00252078" w:rsidRPr="00B4215C" w:rsidRDefault="00F3455D" w:rsidP="00366549">
            <w:pPr>
              <w:jc w:val="both"/>
              <w:rPr>
                <w:rFonts w:ascii="Arial" w:hAnsi="Arial" w:cs="Arial"/>
                <w:bCs/>
              </w:rPr>
            </w:pPr>
            <w:r w:rsidRPr="00B4215C">
              <w:rPr>
                <w:rFonts w:ascii="Arial" w:hAnsi="Arial" w:cs="Arial"/>
                <w:b/>
                <w:bCs/>
                <w:sz w:val="20"/>
              </w:rPr>
              <w:t>Fig.</w:t>
            </w:r>
            <w:r w:rsidR="00C73AAB" w:rsidRPr="00B4215C">
              <w:rPr>
                <w:rFonts w:ascii="Arial" w:hAnsi="Arial" w:cs="Arial"/>
                <w:b/>
                <w:bCs/>
                <w:sz w:val="20"/>
              </w:rPr>
              <w:t>4</w:t>
            </w:r>
            <w:r w:rsidRPr="00B4215C">
              <w:rPr>
                <w:rFonts w:ascii="Arial" w:hAnsi="Arial" w:cs="Arial"/>
                <w:bCs/>
                <w:sz w:val="20"/>
              </w:rPr>
              <w:t xml:space="preserve"> Pearson correlation matrix showing relationships between phytoplankton abundance and nutrient variables.</w:t>
            </w:r>
          </w:p>
        </w:tc>
      </w:tr>
    </w:tbl>
    <w:p w14:paraId="2295D315" w14:textId="77777777" w:rsidR="00252078" w:rsidRPr="00B4215C" w:rsidRDefault="00252078" w:rsidP="00366549">
      <w:pPr>
        <w:jc w:val="both"/>
        <w:rPr>
          <w:rFonts w:ascii="Arial" w:hAnsi="Arial" w:cs="Arial"/>
          <w:bCs/>
        </w:rPr>
      </w:pPr>
    </w:p>
    <w:p w14:paraId="68CF8D37" w14:textId="77777777" w:rsidR="00366549" w:rsidRPr="00B4215C" w:rsidRDefault="00993144" w:rsidP="00366549">
      <w:pPr>
        <w:jc w:val="both"/>
        <w:rPr>
          <w:rFonts w:ascii="Arial" w:hAnsi="Arial" w:cs="Arial"/>
          <w:bCs/>
          <w:sz w:val="20"/>
        </w:rPr>
      </w:pPr>
      <w:r w:rsidRPr="00B4215C">
        <w:lastRenderedPageBreak/>
        <w:tab/>
        <w:t>The positive relationship between nitrate concentration and phytoplankton abundance can be interpreted in relation to nitrate, which is the principal dissolved inorganic nitrogen source available for phytoplankton growth in coastal marine ecosystems. Global assessments have identified nitrogen as a primary regulator of phytoplankton productivity across large oceanic regions, with communities often experiencing nitrogen limitation or co-limitation under natural conditions (Browning and Moore, 2023). Consistent with this, positive relationships between nitrate availability and phytoplankton biomass have been widely reported in nutrient-enriched coastal waters, where nitrogen availability plays a key role in regulating primary production and community structure (Cloern, 2001; Howarth and Marino, 2006).</w:t>
      </w:r>
    </w:p>
    <w:p w14:paraId="7D6966D8" w14:textId="77777777" w:rsidR="00FD40AE" w:rsidRPr="00B4215C" w:rsidRDefault="0065444F" w:rsidP="00FD40AE">
      <w:pPr>
        <w:jc w:val="both"/>
        <w:rPr>
          <w:rFonts w:ascii="Arial" w:hAnsi="Arial" w:cs="Arial"/>
          <w:bCs/>
          <w:sz w:val="20"/>
        </w:rPr>
      </w:pPr>
      <w:r w:rsidRPr="00B4215C">
        <w:rPr>
          <w:rFonts w:ascii="Arial" w:hAnsi="Arial" w:cs="Arial"/>
          <w:bCs/>
          <w:sz w:val="20"/>
        </w:rPr>
        <w:tab/>
      </w:r>
      <w:r w:rsidR="00FD40AE" w:rsidRPr="00B4215C">
        <w:rPr>
          <w:rFonts w:ascii="Arial" w:hAnsi="Arial" w:cs="Arial"/>
          <w:bCs/>
          <w:sz w:val="20"/>
        </w:rPr>
        <w:t xml:space="preserve">Multiple linear regression analysis further highlighted the role of nitrate as a potential driver of phytoplankton abundance. The </w:t>
      </w:r>
      <w:r w:rsidR="00E12B73" w:rsidRPr="00B4215C">
        <w:rPr>
          <w:rFonts w:ascii="Arial" w:hAnsi="Arial" w:cs="Arial"/>
          <w:bCs/>
          <w:sz w:val="20"/>
        </w:rPr>
        <w:t xml:space="preserve">regression </w:t>
      </w:r>
      <w:r w:rsidR="00FD40AE" w:rsidRPr="00B4215C">
        <w:rPr>
          <w:rFonts w:ascii="Arial" w:hAnsi="Arial" w:cs="Arial"/>
          <w:bCs/>
          <w:sz w:val="20"/>
        </w:rPr>
        <w:t>model, incorporating nitrate and phosphate concentrations, explained 52.6% of the variation in phytoplankton abundance (R² = 0.526; adjusted R² = 0.336), indicating moderate explanatory capacity. However, the overall model was not statistically significant (F = 2.773, p = 0.155), likely reflecting the limited sample size and the inherent variability of open marine environments.</w:t>
      </w:r>
    </w:p>
    <w:p w14:paraId="4F9B73F0" w14:textId="77777777" w:rsidR="0095129F" w:rsidRPr="00B4215C" w:rsidRDefault="00FD40AE" w:rsidP="00366549">
      <w:pPr>
        <w:jc w:val="both"/>
        <w:rPr>
          <w:rFonts w:ascii="Arial" w:hAnsi="Arial" w:cs="Arial"/>
          <w:bCs/>
          <w:sz w:val="20"/>
        </w:rPr>
      </w:pPr>
      <w:r w:rsidRPr="00B4215C">
        <w:rPr>
          <w:rFonts w:ascii="Arial" w:hAnsi="Arial" w:cs="Arial"/>
          <w:bCs/>
          <w:sz w:val="20"/>
        </w:rPr>
        <w:tab/>
        <w:t xml:space="preserve">Within the model, nitrate showed a positive association with phytoplankton abundance (β = 14511, p = 0.068), whereas phosphate exhibited a negative but non-significant effect (β = −561993, p = 0.295). Although the nitrate coefficient was marginally non-significant, its positive trend suggests that increasing nitrate availability may promote phytoplankton growth. In contrast, the weak influence of phosphate indicates that phosphorus was unlikely to be a primary limiting nutrient during the study period. The absence of stronger statistical relationships may be attributed to </w:t>
      </w:r>
      <w:r w:rsidR="001D6F5B" w:rsidRPr="00B4215C">
        <w:rPr>
          <w:rFonts w:ascii="Arial" w:hAnsi="Arial" w:cs="Arial"/>
          <w:bCs/>
          <w:sz w:val="20"/>
        </w:rPr>
        <w:t xml:space="preserve">efficient </w:t>
      </w:r>
      <w:r w:rsidR="00990D9C" w:rsidRPr="00B4215C">
        <w:rPr>
          <w:rFonts w:ascii="Arial" w:hAnsi="Arial" w:cs="Arial"/>
          <w:bCs/>
          <w:sz w:val="20"/>
        </w:rPr>
        <w:t xml:space="preserve">flushing </w:t>
      </w:r>
      <w:r w:rsidRPr="00B4215C">
        <w:rPr>
          <w:rFonts w:ascii="Arial" w:hAnsi="Arial" w:cs="Arial"/>
          <w:bCs/>
          <w:sz w:val="20"/>
        </w:rPr>
        <w:t>and nutrient dilution, which enhance nutrient dispersion and can mask phytoplankton responses in well-flushed offshore aquaculture environments (</w:t>
      </w:r>
      <w:r w:rsidRPr="00B4215C">
        <w:rPr>
          <w:rFonts w:ascii="Arial" w:hAnsi="Arial" w:cs="Arial"/>
          <w:bCs/>
          <w:color w:val="0070C0"/>
          <w:sz w:val="20"/>
        </w:rPr>
        <w:t>Morro et al., 2022; NOAA Fisheries, 2024</w:t>
      </w:r>
      <w:r w:rsidRPr="00B4215C">
        <w:rPr>
          <w:rFonts w:ascii="Arial" w:hAnsi="Arial" w:cs="Arial"/>
          <w:bCs/>
          <w:sz w:val="20"/>
        </w:rPr>
        <w:t>).</w:t>
      </w:r>
    </w:p>
    <w:p w14:paraId="19BBA79D" w14:textId="77777777" w:rsidR="00366549" w:rsidRPr="00B4215C" w:rsidRDefault="00284F9F" w:rsidP="00366549">
      <w:pPr>
        <w:jc w:val="both"/>
        <w:rPr>
          <w:rFonts w:ascii="Arial" w:hAnsi="Arial" w:cs="Arial"/>
          <w:bCs/>
          <w:sz w:val="20"/>
        </w:rPr>
      </w:pPr>
      <w:r w:rsidRPr="00B4215C">
        <w:tab/>
        <w:t>The observed relationship suggests that feed-derived nutrients released from uneaten feed, faecal matter, and metabolic excretion were mineralised into dissolved inorganic forms, particularly nitrate and ammonia, which became available for phytoplankton uptake. As highlighted by Verdegem (2013), the magnitude of nutrient release from cage aquaculture is largely determined by feed inputs and nutrient retention efficiency. The positive association between nitrate concentration and phytoplankton abundance observed in the present study indicates that these dissolved nutrients contributed to localised primary production without causing eutrophication or harmful algal blooms. Similar nutrient–phytoplankton relationships have been reported in offshore cage farming systems, where efficient water exchange facilitates nutrient assimilation while minimising adverse environmental effects (Holmer et al., 2008; Morro et al., 2022).</w:t>
      </w:r>
    </w:p>
    <w:p w14:paraId="4F19FB50" w14:textId="77777777" w:rsidR="00694715" w:rsidRPr="00B4215C" w:rsidRDefault="00694715" w:rsidP="00694715">
      <w:pPr>
        <w:jc w:val="both"/>
        <w:rPr>
          <w:rFonts w:ascii="Arial" w:hAnsi="Arial" w:cs="Arial"/>
          <w:b/>
          <w:bCs/>
        </w:rPr>
      </w:pPr>
      <w:r w:rsidRPr="00B4215C">
        <w:rPr>
          <w:rFonts w:ascii="Arial" w:hAnsi="Arial" w:cs="Arial"/>
          <w:b/>
          <w:bCs/>
        </w:rPr>
        <w:t>3.4 Implications for Sustainable Offshore Lobster Mariculture</w:t>
      </w:r>
    </w:p>
    <w:bookmarkEnd w:id="0"/>
    <w:p w14:paraId="32CB1EA1" w14:textId="77777777" w:rsidR="006B79DF" w:rsidRPr="00B4215C" w:rsidRDefault="006B79DF" w:rsidP="006B79DF">
      <w:pPr>
        <w:jc w:val="both"/>
        <w:rPr>
          <w:rFonts w:ascii="Arial" w:hAnsi="Arial" w:cs="Arial"/>
          <w:bCs/>
          <w:sz w:val="20"/>
        </w:rPr>
      </w:pPr>
      <w:r w:rsidRPr="00B4215C">
        <w:rPr>
          <w:rFonts w:ascii="Arial" w:hAnsi="Arial" w:cs="Arial"/>
          <w:b/>
          <w:bCs/>
        </w:rPr>
        <w:tab/>
      </w:r>
      <w:r w:rsidRPr="00B4215C">
        <w:rPr>
          <w:rFonts w:ascii="Arial" w:hAnsi="Arial" w:cs="Arial"/>
          <w:bCs/>
          <w:sz w:val="20"/>
        </w:rPr>
        <w:t>The present study highlights the importance of understanding nutrient pathways and ecosystem responses in assessing the environmental sustainability of offshore mariculture systems. Although nutrient release is an unavoidable component of cage-based aquaculture, its ecological significance depends largely on the capacity of the receiving environment to assimilate and process these inputs. The offshore farming conditions observed in this study indicate that hydrodynamic exchange and natural ecosystem processes can effectively moderate the environmental footprint of lobster cage farming under the current production scale.</w:t>
      </w:r>
    </w:p>
    <w:p w14:paraId="3562D5EA" w14:textId="77777777" w:rsidR="006B79DF" w:rsidRPr="00B4215C" w:rsidRDefault="006B79DF" w:rsidP="006B79DF">
      <w:pPr>
        <w:jc w:val="both"/>
        <w:rPr>
          <w:rFonts w:ascii="Arial" w:hAnsi="Arial" w:cs="Arial"/>
          <w:bCs/>
          <w:sz w:val="20"/>
        </w:rPr>
      </w:pPr>
      <w:r w:rsidRPr="00B4215C">
        <w:tab/>
        <w:t xml:space="preserve">These observations support the ecosystem-based approach to mariculture development advocated for Indian coastal waters, where site suitability, environmental carrying capacity, and adaptive management are considered fundamental to sustainable expansion. Previous studies have emphasised the integration of oceanographic, environmental, and operational criteria in mariculture planning to ensure environmentally responsible utilisation of offshore resources (Divu et al., 2021). </w:t>
      </w:r>
      <w:r w:rsidRPr="00B4215C">
        <w:lastRenderedPageBreak/>
        <w:t>Similarly, technological advancements in lobster farming systems have demonstrated that improved culture practices and resource-use efficiency can enhance both production performance and sustainability outcomes (Divu et al., 2023).</w:t>
      </w:r>
    </w:p>
    <w:p w14:paraId="2BB53A2A" w14:textId="77777777" w:rsidR="006B79DF" w:rsidRPr="00B4215C" w:rsidRDefault="00894DBC" w:rsidP="006B79DF">
      <w:pPr>
        <w:jc w:val="both"/>
        <w:rPr>
          <w:rFonts w:ascii="Arial" w:hAnsi="Arial" w:cs="Arial"/>
          <w:bCs/>
          <w:sz w:val="20"/>
        </w:rPr>
      </w:pPr>
      <w:r w:rsidRPr="00B4215C">
        <w:tab/>
        <w:t>From an ecological perspective, the results suggest that nutrients released from lobster farming can become incorporated into natural biogeochemical processes rather than accumulating as persistent pollutants. The observed phytoplankton responses indicate that feed-derived nutrient inputs contributed to localised nutrient recycling and primary productivity without causing signs of ecological imbalance. Such responses are characteristic of well-flushed offshore environments, where biological uptake and physical dispersion collectively regulate nutrient availability and reduce the risk of eutrophication.</w:t>
      </w:r>
    </w:p>
    <w:p w14:paraId="62853406" w14:textId="77777777" w:rsidR="006B79DF" w:rsidRPr="00B4215C" w:rsidRDefault="00894DBC" w:rsidP="006B79DF">
      <w:pPr>
        <w:jc w:val="both"/>
        <w:rPr>
          <w:rFonts w:ascii="Arial" w:hAnsi="Arial" w:cs="Arial"/>
          <w:bCs/>
          <w:sz w:val="20"/>
        </w:rPr>
      </w:pPr>
      <w:r w:rsidRPr="00B4215C">
        <w:rPr>
          <w:rFonts w:ascii="Arial" w:hAnsi="Arial" w:cs="Arial"/>
          <w:bCs/>
          <w:sz w:val="20"/>
        </w:rPr>
        <w:tab/>
      </w:r>
      <w:r w:rsidR="006B79DF" w:rsidRPr="00B4215C">
        <w:rPr>
          <w:rFonts w:ascii="Arial" w:hAnsi="Arial" w:cs="Arial"/>
          <w:bCs/>
          <w:sz w:val="20"/>
        </w:rPr>
        <w:t>Despite the apparent assimilative capacity of the farming environment, the high proportion of nutrients lost from feed underscores the need to improve nutrient-use efficiency within lobster production systems. Enhanced feeding strategies, improved feed conversion performance, and the development of nutritionally balanced formulated feeds could substantially reduce nutrient wastage. In addition, emerging approaches such as Integrated Multi-Trophic Aquaculture (IMTA), involving nutrient-extractive species such as seaweeds and filter-feeding bivalves, offer promising opportunities to recover excess nutrients and further improve environmental performance</w:t>
      </w:r>
      <w:r w:rsidR="00880742" w:rsidRPr="00B4215C">
        <w:rPr>
          <w:rFonts w:ascii="Arial" w:hAnsi="Arial" w:cs="Arial"/>
          <w:bCs/>
          <w:sz w:val="20"/>
        </w:rPr>
        <w:t xml:space="preserve"> (</w:t>
      </w:r>
      <w:r w:rsidR="00880742" w:rsidRPr="00B4215C">
        <w:rPr>
          <w:rFonts w:ascii="Arial" w:hAnsi="Arial" w:cs="Arial"/>
          <w:bCs/>
          <w:color w:val="0070C0"/>
          <w:sz w:val="20"/>
        </w:rPr>
        <w:t>Angel et al., 2019</w:t>
      </w:r>
      <w:r w:rsidR="00880742" w:rsidRPr="00B4215C">
        <w:rPr>
          <w:rFonts w:ascii="Arial" w:hAnsi="Arial" w:cs="Arial"/>
          <w:bCs/>
          <w:sz w:val="20"/>
        </w:rPr>
        <w:t>)</w:t>
      </w:r>
      <w:r w:rsidR="006B79DF" w:rsidRPr="00B4215C">
        <w:rPr>
          <w:rFonts w:ascii="Arial" w:hAnsi="Arial" w:cs="Arial"/>
          <w:bCs/>
          <w:sz w:val="20"/>
        </w:rPr>
        <w:t>.</w:t>
      </w:r>
    </w:p>
    <w:p w14:paraId="2B29B10F" w14:textId="77777777" w:rsidR="00190E57" w:rsidRPr="00B4215C" w:rsidRDefault="00894DBC" w:rsidP="00CF5F73">
      <w:pPr>
        <w:jc w:val="both"/>
        <w:rPr>
          <w:rFonts w:ascii="Arial" w:hAnsi="Arial" w:cs="Arial"/>
          <w:bCs/>
          <w:sz w:val="20"/>
        </w:rPr>
      </w:pPr>
      <w:r w:rsidRPr="00B4215C">
        <w:tab/>
        <w:t xml:space="preserve">The findings indicate that open-sea culture of </w:t>
      </w:r>
      <w:r w:rsidRPr="00B4215C">
        <w:rPr>
          <w:i/>
        </w:rPr>
        <w:t>Panulirus polyphagus</w:t>
      </w:r>
      <w:r w:rsidRPr="00B4215C">
        <w:t xml:space="preserve"> can be undertaken in an environmentally sustainable manner when supported by suitable site selection, effective farm management, and regular environmental monitoring. As offshore mariculture continues to expand in India, the integration of ecosystem-based planning and nutrient mitigation strategies will be essential to ensure that production remains within the ecological carrying capacity of coastal ecosystems while supporting long-term sectoral growth and sustainable blue economy objectives.</w:t>
      </w:r>
    </w:p>
    <w:p w14:paraId="797A4EFB" w14:textId="77777777" w:rsidR="00A02599" w:rsidRPr="00B4215C" w:rsidRDefault="00073000" w:rsidP="00A02599">
      <w:pPr>
        <w:jc w:val="both"/>
        <w:rPr>
          <w:rFonts w:ascii="Arial" w:hAnsi="Arial" w:cs="Arial"/>
          <w:b/>
          <w:bCs/>
        </w:rPr>
      </w:pPr>
      <w:r w:rsidRPr="00B4215C">
        <w:rPr>
          <w:rFonts w:ascii="Arial" w:hAnsi="Arial" w:cs="Arial"/>
          <w:b/>
          <w:bCs/>
        </w:rPr>
        <w:t>CONCLUSION</w:t>
      </w:r>
    </w:p>
    <w:p w14:paraId="6434FEC6" w14:textId="77777777" w:rsidR="00A02599" w:rsidRDefault="00A02599" w:rsidP="00A02599">
      <w:pPr>
        <w:jc w:val="both"/>
      </w:pPr>
      <w:r w:rsidRPr="00B4215C">
        <w:tab/>
        <w:t>This study quantified nutrient loading associated with open-sea cage culture of the mud spiny lobster (</w:t>
      </w:r>
      <w:r w:rsidRPr="00B4215C">
        <w:rPr>
          <w:i/>
        </w:rPr>
        <w:t>Panulirus polyphagus</w:t>
      </w:r>
      <w:r w:rsidRPr="00B4215C">
        <w:t>) and evaluated its influence on phytoplankton dynamics in the north-eastern Arabian Sea. Nutrient budget analysis revealed that approximately 88.9% of nitrogen and 89.3% of phosphorus supplied through feed were released into the surrounding waters, indicating low nutrient retention associated with trash fish-based feeding. Nitrogen losses were particularly high, reflecting the low nutrient-use efficiency associated with trash fish-based feeding practices. Despite these substantial nutrient releases, no evidence of eutrophication, harmful algal blooms, or ecological degradation was observed, and phytoplankton communities remained dominated by diatoms throughout the culture period. Nitrate showed the strongest positive relationship with phytoplankton abundance, indicating that nitrogen availability may contribute to localised enhancement of primary productivity. The findings demonstrate that, under the current production scale and environmental conditions, the receiving ecosystem possesses sufficient assimilative capacity to accommodate nutrient inputs from lobster cage farming. Nevertheless, the high proportion of nutrients lost from feed highlights the need for improved feeding strategies, better feed conversion efficiency, and the adoption of nutrient mitigation approaches such as formulated feeds and integrated multi-trophic aquaculture. Continued environmental monitoring and ecosystem-based management will be essential to support the sustainable expansion of offshore lobster mariculture in India.</w:t>
      </w:r>
    </w:p>
    <w:p w14:paraId="514F91AC" w14:textId="77777777" w:rsidR="004627D6" w:rsidRDefault="004627D6" w:rsidP="00A02599">
      <w:pPr>
        <w:jc w:val="both"/>
      </w:pPr>
    </w:p>
    <w:p w14:paraId="79F3E8F9" w14:textId="4BB97926" w:rsidR="004627D6" w:rsidRPr="00B4215C" w:rsidRDefault="004627D6" w:rsidP="00A02599">
      <w:pPr>
        <w:jc w:val="both"/>
        <w:rPr>
          <w:rFonts w:ascii="Arial" w:hAnsi="Arial" w:cs="Arial"/>
          <w:bCs/>
          <w:sz w:val="20"/>
        </w:rPr>
      </w:pPr>
      <w:r>
        <w:rPr>
          <w:rStyle w:val="Strong"/>
        </w:rPr>
        <w:lastRenderedPageBreak/>
        <w:t>Limitations</w:t>
      </w:r>
      <w:r>
        <w:br/>
        <w:t>The study was limited to one open-sea lobster farming site and one culture cycle, which may restrict broader seasonal or spatial interpretation. The statistical analysis was also constrained by the limited number of culture-period observations. Only total phytoplankton abundance and selected nutrient variables were assessed; therefore, longer-term monitoring with detailed community, hydrodynamic and sediment assessments would strengthen future evaluations of ecosystem response.</w:t>
      </w:r>
    </w:p>
    <w:p w14:paraId="601EDB0D" w14:textId="77777777" w:rsidR="00CE64D6" w:rsidRPr="00B4215C" w:rsidRDefault="00CE64D6" w:rsidP="00A02599">
      <w:pPr>
        <w:jc w:val="both"/>
        <w:rPr>
          <w:rFonts w:ascii="Arial" w:hAnsi="Arial" w:cs="Arial"/>
          <w:bCs/>
          <w:sz w:val="20"/>
        </w:rPr>
      </w:pPr>
    </w:p>
    <w:p w14:paraId="1AC67BDC" w14:textId="77777777" w:rsidR="00CE64D6" w:rsidRPr="00B4215C" w:rsidRDefault="00CE64D6" w:rsidP="00CE64D6">
      <w:pPr>
        <w:spacing w:after="0" w:line="240" w:lineRule="auto"/>
        <w:rPr>
          <w:rFonts w:ascii="Arial" w:eastAsia="Calibri" w:hAnsi="Arial" w:cs="Arial"/>
          <w:b/>
          <w:lang w:val="en-US"/>
        </w:rPr>
      </w:pPr>
      <w:r w:rsidRPr="00B4215C">
        <w:rPr>
          <w:rFonts w:ascii="Arial" w:eastAsia="Calibri" w:hAnsi="Arial" w:cs="Arial"/>
          <w:b/>
          <w:lang w:val="en-US"/>
        </w:rPr>
        <w:t>Declaration of AI Use</w:t>
      </w:r>
    </w:p>
    <w:p w14:paraId="4B8A5D3F" w14:textId="77777777" w:rsidR="00CE64D6" w:rsidRPr="00B4215C" w:rsidRDefault="00CE64D6" w:rsidP="00CE64D6">
      <w:pPr>
        <w:spacing w:after="0" w:line="240" w:lineRule="auto"/>
        <w:rPr>
          <w:rFonts w:ascii="Arial" w:eastAsia="Calibri" w:hAnsi="Arial" w:cs="Arial"/>
          <w:lang w:val="en-US"/>
        </w:rPr>
      </w:pPr>
    </w:p>
    <w:p w14:paraId="162807D1" w14:textId="77777777" w:rsidR="00CE64D6" w:rsidRPr="00B4215C" w:rsidRDefault="00CE64D6" w:rsidP="00CE64D6">
      <w:pPr>
        <w:spacing w:after="0" w:line="240" w:lineRule="auto"/>
        <w:jc w:val="both"/>
        <w:rPr>
          <w:rFonts w:ascii="Arial" w:eastAsia="Calibri" w:hAnsi="Arial" w:cs="Arial"/>
          <w:sz w:val="20"/>
          <w:lang w:val="en-US"/>
        </w:rPr>
      </w:pPr>
      <w:r w:rsidRPr="00B4215C">
        <w:rPr>
          <w:rFonts w:ascii="Arial" w:eastAsia="Calibri" w:hAnsi="Arial" w:cs="Arial"/>
          <w:sz w:val="20"/>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8C08CCF" w14:textId="77777777" w:rsidR="00CE64D6" w:rsidRPr="00B4215C" w:rsidRDefault="00CE64D6" w:rsidP="00A02599">
      <w:pPr>
        <w:jc w:val="both"/>
        <w:rPr>
          <w:rFonts w:ascii="Arial" w:hAnsi="Arial" w:cs="Arial"/>
          <w:bCs/>
          <w:sz w:val="20"/>
        </w:rPr>
      </w:pPr>
    </w:p>
    <w:p w14:paraId="2DE6974D" w14:textId="77777777" w:rsidR="005B7EFC" w:rsidRPr="00B4215C" w:rsidRDefault="00E312E3" w:rsidP="005B7EFC">
      <w:pPr>
        <w:jc w:val="both"/>
        <w:rPr>
          <w:rFonts w:ascii="Arial" w:hAnsi="Arial" w:cs="Arial"/>
          <w:bCs/>
        </w:rPr>
      </w:pPr>
      <w:r w:rsidRPr="00B4215C">
        <w:rPr>
          <w:rFonts w:ascii="Arial" w:hAnsi="Arial" w:cs="Arial"/>
          <w:b/>
          <w:bCs/>
        </w:rPr>
        <w:t>ETHICAL APPROVAL</w:t>
      </w:r>
    </w:p>
    <w:p w14:paraId="02471DFF" w14:textId="77777777" w:rsidR="005B7EFC" w:rsidRPr="00B4215C" w:rsidRDefault="005B7EFC" w:rsidP="005B7EFC">
      <w:pPr>
        <w:jc w:val="both"/>
        <w:rPr>
          <w:rFonts w:ascii="Arial" w:hAnsi="Arial" w:cs="Arial"/>
          <w:bCs/>
          <w:sz w:val="20"/>
        </w:rPr>
      </w:pPr>
      <w:r w:rsidRPr="00B4215C">
        <w:rPr>
          <w:rFonts w:ascii="Arial" w:hAnsi="Arial" w:cs="Arial"/>
          <w:bCs/>
          <w:sz w:val="20"/>
        </w:rPr>
        <w:t>This study was conducted under the mariculture research programme of ICAR–Central Marine Fisheries Research Institute (ICAR-CMFRI), India. The work involved routine open-sea cage farming and environmental monitoring, including nutrient and phytoplankton assessments. No invasive procedures or experimental manipulation of animals were undertaken; therefore, specific ethical committee approval was not required.</w:t>
      </w:r>
    </w:p>
    <w:p w14:paraId="2C4F3EED" w14:textId="2A852658" w:rsidR="009302E1" w:rsidRPr="00B4215C" w:rsidRDefault="009302E1" w:rsidP="009302E1">
      <w:pPr>
        <w:jc w:val="both"/>
        <w:rPr>
          <w:rFonts w:ascii="Arial" w:hAnsi="Arial" w:cs="Arial"/>
          <w:b/>
          <w:bCs/>
          <w:sz w:val="20"/>
        </w:rPr>
      </w:pPr>
      <w:r w:rsidRPr="00B4215C">
        <w:rPr>
          <w:rFonts w:ascii="Arial" w:hAnsi="Arial" w:cs="Arial"/>
          <w:b/>
          <w:bCs/>
          <w:sz w:val="20"/>
        </w:rPr>
        <w:t>COMPETING INTERESTS:</w:t>
      </w:r>
    </w:p>
    <w:p w14:paraId="772DDEEA" w14:textId="77777777" w:rsidR="009302E1" w:rsidRPr="00B4215C" w:rsidRDefault="009302E1" w:rsidP="009302E1">
      <w:pPr>
        <w:jc w:val="both"/>
        <w:rPr>
          <w:rFonts w:ascii="Arial" w:hAnsi="Arial" w:cs="Arial"/>
          <w:bCs/>
          <w:sz w:val="20"/>
        </w:rPr>
      </w:pPr>
      <w:r w:rsidRPr="00B4215C">
        <w:rPr>
          <w:rFonts w:ascii="Arial" w:hAnsi="Arial" w:cs="Arial"/>
          <w:bCs/>
          <w:sz w:val="20"/>
        </w:rPr>
        <w:t xml:space="preserve">Authors have declared that they have no known competing financial interests OR non-financial interests OR personal relationships that could have appeared to influence the work reported in this paper. </w:t>
      </w:r>
    </w:p>
    <w:p w14:paraId="35CDA886" w14:textId="77777777" w:rsidR="008A6955" w:rsidRPr="00B4215C" w:rsidRDefault="00E312E3" w:rsidP="00CF5F73">
      <w:pPr>
        <w:jc w:val="both"/>
        <w:rPr>
          <w:rFonts w:ascii="Arial" w:hAnsi="Arial" w:cs="Arial"/>
          <w:b/>
          <w:bCs/>
        </w:rPr>
      </w:pPr>
      <w:r w:rsidRPr="00B4215C">
        <w:rPr>
          <w:rFonts w:ascii="Arial" w:hAnsi="Arial" w:cs="Arial"/>
          <w:b/>
          <w:bCs/>
        </w:rPr>
        <w:t>REFERENCES:</w:t>
      </w:r>
    </w:p>
    <w:p w14:paraId="6C7A32A7" w14:textId="1FD85C80"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Aktan, Y., Tüfekçi, V., Tüfekçi, H., &amp; Aykulu, G. (2005). Distribution patterns, biomass estimates and diversity of phytoplankton in İzmit Bay (Turkey). </w:t>
      </w:r>
      <w:r w:rsidRPr="008F7DC7">
        <w:rPr>
          <w:rFonts w:ascii="Times New Roman" w:eastAsia="Times New Roman" w:hAnsi="Times New Roman" w:cs="Times New Roman"/>
          <w:i/>
          <w:iCs/>
          <w:sz w:val="24"/>
          <w:szCs w:val="24"/>
          <w:lang w:val="en-US"/>
        </w:rPr>
        <w:t>Estuarine, Coastal and Shelf Science, 64</w:t>
      </w:r>
      <w:r w:rsidRPr="008F7DC7">
        <w:rPr>
          <w:rFonts w:ascii="Times New Roman" w:eastAsia="Times New Roman" w:hAnsi="Times New Roman" w:cs="Times New Roman"/>
          <w:sz w:val="24"/>
          <w:szCs w:val="24"/>
          <w:lang w:val="en-US"/>
        </w:rPr>
        <w:t xml:space="preserve">(2–3), 372–384. </w:t>
      </w:r>
      <w:hyperlink r:id="rId12" w:tgtFrame="_new" w:history="1">
        <w:r w:rsidRPr="008F7DC7">
          <w:rPr>
            <w:rFonts w:ascii="Times New Roman" w:eastAsia="Times New Roman" w:hAnsi="Times New Roman" w:cs="Times New Roman"/>
            <w:color w:val="0000FF"/>
            <w:sz w:val="24"/>
            <w:szCs w:val="24"/>
            <w:u w:val="single"/>
            <w:lang w:val="en-US"/>
          </w:rPr>
          <w:t>https://doi.org/10.1016/j.ecss.2005.03.003</w:t>
        </w:r>
      </w:hyperlink>
      <w:r w:rsidRPr="008F7DC7">
        <w:rPr>
          <w:rFonts w:ascii="Times New Roman" w:eastAsia="Times New Roman" w:hAnsi="Times New Roman" w:cs="Times New Roman"/>
          <w:sz w:val="24"/>
          <w:szCs w:val="24"/>
          <w:lang w:val="en-US"/>
        </w:rPr>
        <w:t xml:space="preserve"> </w:t>
      </w:r>
    </w:p>
    <w:p w14:paraId="26F6141A" w14:textId="2115157A"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nl-BE"/>
        </w:rPr>
        <w:t xml:space="preserve">Angel, D., Jokumsen, A., &amp; Lembo, G. (2019). </w:t>
      </w:r>
      <w:r w:rsidRPr="008F7DC7">
        <w:rPr>
          <w:rFonts w:ascii="Times New Roman" w:eastAsia="Times New Roman" w:hAnsi="Times New Roman" w:cs="Times New Roman"/>
          <w:sz w:val="24"/>
          <w:szCs w:val="24"/>
          <w:lang w:val="en-US"/>
        </w:rPr>
        <w:t xml:space="preserve">Aquaculture production systems and environmental interactions. In G. Lembo &amp; E. Mente (Eds.), </w:t>
      </w:r>
      <w:r w:rsidRPr="008F7DC7">
        <w:rPr>
          <w:rFonts w:ascii="Times New Roman" w:eastAsia="Times New Roman" w:hAnsi="Times New Roman" w:cs="Times New Roman"/>
          <w:i/>
          <w:iCs/>
          <w:sz w:val="24"/>
          <w:szCs w:val="24"/>
          <w:lang w:val="en-US"/>
        </w:rPr>
        <w:t>Organic aquaculture: Impacts and future developments</w:t>
      </w:r>
      <w:r w:rsidRPr="008F7DC7">
        <w:rPr>
          <w:rFonts w:ascii="Times New Roman" w:eastAsia="Times New Roman" w:hAnsi="Times New Roman" w:cs="Times New Roman"/>
          <w:sz w:val="24"/>
          <w:szCs w:val="24"/>
          <w:lang w:val="en-US"/>
        </w:rPr>
        <w:t xml:space="preserve"> (pp. 103–118). Springer International Publishing. </w:t>
      </w:r>
      <w:hyperlink r:id="rId13" w:tgtFrame="_new" w:history="1">
        <w:r w:rsidRPr="008F7DC7">
          <w:rPr>
            <w:rFonts w:ascii="Times New Roman" w:eastAsia="Times New Roman" w:hAnsi="Times New Roman" w:cs="Times New Roman"/>
            <w:color w:val="0000FF"/>
            <w:sz w:val="24"/>
            <w:szCs w:val="24"/>
            <w:u w:val="single"/>
            <w:lang w:val="en-US"/>
          </w:rPr>
          <w:t>https://doi.org/10.1007/978-3-030-05603-2_6</w:t>
        </w:r>
      </w:hyperlink>
      <w:r w:rsidRPr="008F7DC7">
        <w:rPr>
          <w:rFonts w:ascii="Times New Roman" w:eastAsia="Times New Roman" w:hAnsi="Times New Roman" w:cs="Times New Roman"/>
          <w:sz w:val="24"/>
          <w:szCs w:val="24"/>
          <w:lang w:val="en-US"/>
        </w:rPr>
        <w:t xml:space="preserve"> </w:t>
      </w:r>
    </w:p>
    <w:p w14:paraId="496DDE6B" w14:textId="6936664F"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Aşır, U., &amp; Pulatsü, S. (2008). Estimation of the nitrogen-phosphorus load caused by rainbow trout (</w:t>
      </w:r>
      <w:r w:rsidRPr="008F7DC7">
        <w:rPr>
          <w:rFonts w:ascii="Times New Roman" w:eastAsia="Times New Roman" w:hAnsi="Times New Roman" w:cs="Times New Roman"/>
          <w:i/>
          <w:iCs/>
          <w:sz w:val="24"/>
          <w:szCs w:val="24"/>
          <w:lang w:val="en-US"/>
        </w:rPr>
        <w:t>Oncorhynchus mykiss</w:t>
      </w:r>
      <w:r w:rsidRPr="008F7DC7">
        <w:rPr>
          <w:rFonts w:ascii="Times New Roman" w:eastAsia="Times New Roman" w:hAnsi="Times New Roman" w:cs="Times New Roman"/>
          <w:sz w:val="24"/>
          <w:szCs w:val="24"/>
          <w:lang w:val="en-US"/>
        </w:rPr>
        <w:t xml:space="preserve"> Walbaum, 1792) cage-culture farms in Kesikköprü Dam Lake: A comparison of pelleted and extruded feed. </w:t>
      </w:r>
      <w:r w:rsidRPr="008F7DC7">
        <w:rPr>
          <w:rFonts w:ascii="Times New Roman" w:eastAsia="Times New Roman" w:hAnsi="Times New Roman" w:cs="Times New Roman"/>
          <w:i/>
          <w:iCs/>
          <w:sz w:val="24"/>
          <w:szCs w:val="24"/>
          <w:lang w:val="en-US"/>
        </w:rPr>
        <w:t>Turkish Journal of Veterinary and Animal Sciences, 32</w:t>
      </w:r>
      <w:r w:rsidRPr="008F7DC7">
        <w:rPr>
          <w:rFonts w:ascii="Times New Roman" w:eastAsia="Times New Roman" w:hAnsi="Times New Roman" w:cs="Times New Roman"/>
          <w:sz w:val="24"/>
          <w:szCs w:val="24"/>
          <w:lang w:val="en-US"/>
        </w:rPr>
        <w:t xml:space="preserve">(6), 417–422. </w:t>
      </w:r>
      <w:hyperlink r:id="rId14" w:tgtFrame="_new" w:history="1">
        <w:r w:rsidRPr="008F7DC7">
          <w:rPr>
            <w:rFonts w:ascii="Times New Roman" w:eastAsia="Times New Roman" w:hAnsi="Times New Roman" w:cs="Times New Roman"/>
            <w:color w:val="0000FF"/>
            <w:sz w:val="24"/>
            <w:szCs w:val="24"/>
            <w:u w:val="single"/>
            <w:lang w:val="en-US"/>
          </w:rPr>
          <w:t>https://journals.tubitak.gov.tr/veterinary/vol32/iss6/3/</w:t>
        </w:r>
      </w:hyperlink>
      <w:r w:rsidRPr="008F7DC7">
        <w:rPr>
          <w:rFonts w:ascii="Times New Roman" w:eastAsia="Times New Roman" w:hAnsi="Times New Roman" w:cs="Times New Roman"/>
          <w:sz w:val="24"/>
          <w:szCs w:val="24"/>
          <w:lang w:val="en-US"/>
        </w:rPr>
        <w:t xml:space="preserve"> </w:t>
      </w:r>
    </w:p>
    <w:p w14:paraId="16FA98D3" w14:textId="62879368"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Beveridge, M. C. M. (1984). </w:t>
      </w:r>
      <w:r w:rsidRPr="008F7DC7">
        <w:rPr>
          <w:rFonts w:ascii="Times New Roman" w:eastAsia="Times New Roman" w:hAnsi="Times New Roman" w:cs="Times New Roman"/>
          <w:i/>
          <w:iCs/>
          <w:sz w:val="24"/>
          <w:szCs w:val="24"/>
          <w:lang w:val="en-US"/>
        </w:rPr>
        <w:t>Cage and pen fish farming: Carrying capacity models and environmental impact</w:t>
      </w:r>
      <w:r w:rsidRPr="008F7DC7">
        <w:rPr>
          <w:rFonts w:ascii="Times New Roman" w:eastAsia="Times New Roman" w:hAnsi="Times New Roman" w:cs="Times New Roman"/>
          <w:sz w:val="24"/>
          <w:szCs w:val="24"/>
          <w:lang w:val="en-US"/>
        </w:rPr>
        <w:t xml:space="preserve"> (FAO Fisheries Technical Paper No. 255). Food and Agriculture Organization of the United Nations. </w:t>
      </w:r>
      <w:hyperlink r:id="rId15" w:tgtFrame="_new" w:history="1">
        <w:r w:rsidRPr="008F7DC7">
          <w:rPr>
            <w:rFonts w:ascii="Times New Roman" w:eastAsia="Times New Roman" w:hAnsi="Times New Roman" w:cs="Times New Roman"/>
            <w:color w:val="0000FF"/>
            <w:sz w:val="24"/>
            <w:szCs w:val="24"/>
            <w:u w:val="single"/>
            <w:lang w:val="en-US"/>
          </w:rPr>
          <w:t>https://www.fao.org/4/AD021E/AD021E00.htm</w:t>
        </w:r>
      </w:hyperlink>
      <w:r w:rsidRPr="008F7DC7">
        <w:rPr>
          <w:rFonts w:ascii="Times New Roman" w:eastAsia="Times New Roman" w:hAnsi="Times New Roman" w:cs="Times New Roman"/>
          <w:sz w:val="24"/>
          <w:szCs w:val="24"/>
          <w:lang w:val="en-US"/>
        </w:rPr>
        <w:t xml:space="preserve"> </w:t>
      </w:r>
    </w:p>
    <w:p w14:paraId="26C583FC" w14:textId="6B8C059B"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Bișinicu, E., Boicenco, L., Pantea, E., Timofte, F., Lazăr, L., &amp; Vlaș, O. (2024). Qualitative model of the causal interactions between phytoplankton, zooplankton, and environmental factors in the Romanian Black Sea. </w:t>
      </w:r>
      <w:r w:rsidRPr="008F7DC7">
        <w:rPr>
          <w:rFonts w:ascii="Times New Roman" w:eastAsia="Times New Roman" w:hAnsi="Times New Roman" w:cs="Times New Roman"/>
          <w:i/>
          <w:iCs/>
          <w:sz w:val="24"/>
          <w:szCs w:val="24"/>
          <w:lang w:val="en-US"/>
        </w:rPr>
        <w:t>Phycology, 4</w:t>
      </w:r>
      <w:r w:rsidRPr="008F7DC7">
        <w:rPr>
          <w:rFonts w:ascii="Times New Roman" w:eastAsia="Times New Roman" w:hAnsi="Times New Roman" w:cs="Times New Roman"/>
          <w:sz w:val="24"/>
          <w:szCs w:val="24"/>
          <w:lang w:val="en-US"/>
        </w:rPr>
        <w:t xml:space="preserve">(1), 168–189. </w:t>
      </w:r>
      <w:hyperlink r:id="rId16" w:tgtFrame="_new" w:history="1">
        <w:r w:rsidRPr="008F7DC7">
          <w:rPr>
            <w:rFonts w:ascii="Times New Roman" w:eastAsia="Times New Roman" w:hAnsi="Times New Roman" w:cs="Times New Roman"/>
            <w:color w:val="0000FF"/>
            <w:sz w:val="24"/>
            <w:szCs w:val="24"/>
            <w:u w:val="single"/>
            <w:lang w:val="en-US"/>
          </w:rPr>
          <w:t>https://doi.org/10.3390/phycology4010010</w:t>
        </w:r>
      </w:hyperlink>
      <w:r w:rsidRPr="008F7DC7">
        <w:rPr>
          <w:rFonts w:ascii="Times New Roman" w:eastAsia="Times New Roman" w:hAnsi="Times New Roman" w:cs="Times New Roman"/>
          <w:sz w:val="24"/>
          <w:szCs w:val="24"/>
          <w:lang w:val="en-US"/>
        </w:rPr>
        <w:t xml:space="preserve"> </w:t>
      </w:r>
    </w:p>
    <w:p w14:paraId="02653045" w14:textId="25F0DDED"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lastRenderedPageBreak/>
        <w:t xml:space="preserve">Browning, T. J., &amp; Moore, C. M. (2023). Global analysis of ocean phytoplankton nutrient limitation reveals high prevalence of co-limitation. </w:t>
      </w:r>
      <w:r w:rsidRPr="008F7DC7">
        <w:rPr>
          <w:rFonts w:ascii="Times New Roman" w:eastAsia="Times New Roman" w:hAnsi="Times New Roman" w:cs="Times New Roman"/>
          <w:i/>
          <w:iCs/>
          <w:sz w:val="24"/>
          <w:szCs w:val="24"/>
          <w:lang w:val="en-US"/>
        </w:rPr>
        <w:t>Nature Communications, 14</w:t>
      </w:r>
      <w:r w:rsidRPr="008F7DC7">
        <w:rPr>
          <w:rFonts w:ascii="Times New Roman" w:eastAsia="Times New Roman" w:hAnsi="Times New Roman" w:cs="Times New Roman"/>
          <w:sz w:val="24"/>
          <w:szCs w:val="24"/>
          <w:lang w:val="en-US"/>
        </w:rPr>
        <w:t xml:space="preserve">, Article 5014. </w:t>
      </w:r>
      <w:hyperlink r:id="rId17" w:tgtFrame="_new" w:history="1">
        <w:r w:rsidRPr="008F7DC7">
          <w:rPr>
            <w:rFonts w:ascii="Times New Roman" w:eastAsia="Times New Roman" w:hAnsi="Times New Roman" w:cs="Times New Roman"/>
            <w:color w:val="0000FF"/>
            <w:sz w:val="24"/>
            <w:szCs w:val="24"/>
            <w:u w:val="single"/>
            <w:lang w:val="en-US"/>
          </w:rPr>
          <w:t>https://doi.org/10.1038/s41467-023-40774-0</w:t>
        </w:r>
      </w:hyperlink>
      <w:r w:rsidRPr="008F7DC7">
        <w:rPr>
          <w:rFonts w:ascii="Times New Roman" w:eastAsia="Times New Roman" w:hAnsi="Times New Roman" w:cs="Times New Roman"/>
          <w:sz w:val="24"/>
          <w:szCs w:val="24"/>
          <w:lang w:val="en-US"/>
        </w:rPr>
        <w:t xml:space="preserve"> </w:t>
      </w:r>
    </w:p>
    <w:p w14:paraId="7EF972BF" w14:textId="419F2608"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Carroll, M. L., Cochrane, S., Fieler, R., Velvin, R., &amp; White, P. (2003). Organic enrichment of sediments from salmon farming in Norway: Environmental factors, management practices, and monitoring techniques. </w:t>
      </w:r>
      <w:r w:rsidRPr="008F7DC7">
        <w:rPr>
          <w:rFonts w:ascii="Times New Roman" w:eastAsia="Times New Roman" w:hAnsi="Times New Roman" w:cs="Times New Roman"/>
          <w:i/>
          <w:iCs/>
          <w:sz w:val="24"/>
          <w:szCs w:val="24"/>
          <w:lang w:val="en-US"/>
        </w:rPr>
        <w:t>Aquaculture, 226</w:t>
      </w:r>
      <w:r w:rsidRPr="008F7DC7">
        <w:rPr>
          <w:rFonts w:ascii="Times New Roman" w:eastAsia="Times New Roman" w:hAnsi="Times New Roman" w:cs="Times New Roman"/>
          <w:sz w:val="24"/>
          <w:szCs w:val="24"/>
          <w:lang w:val="en-US"/>
        </w:rPr>
        <w:t xml:space="preserve">(1–4), 165–180. </w:t>
      </w:r>
      <w:hyperlink r:id="rId18" w:tgtFrame="_new" w:history="1">
        <w:r w:rsidRPr="008F7DC7">
          <w:rPr>
            <w:rFonts w:ascii="Times New Roman" w:eastAsia="Times New Roman" w:hAnsi="Times New Roman" w:cs="Times New Roman"/>
            <w:color w:val="0000FF"/>
            <w:sz w:val="24"/>
            <w:szCs w:val="24"/>
            <w:u w:val="single"/>
            <w:lang w:val="en-US"/>
          </w:rPr>
          <w:t>https://doi.org/10.1016/S0044-8486(03)00475-7</w:t>
        </w:r>
      </w:hyperlink>
      <w:r w:rsidRPr="008F7DC7">
        <w:rPr>
          <w:rFonts w:ascii="Times New Roman" w:eastAsia="Times New Roman" w:hAnsi="Times New Roman" w:cs="Times New Roman"/>
          <w:sz w:val="24"/>
          <w:szCs w:val="24"/>
          <w:lang w:val="en-US"/>
        </w:rPr>
        <w:t xml:space="preserve"> </w:t>
      </w:r>
    </w:p>
    <w:p w14:paraId="42B4059F" w14:textId="7B4289E2"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Challouf, R., Hamza, A., Mahfoudhi, M., Ghozzi, K., &amp; Bradai, M. N. (2017). Environmental assessment of the impact of cage fish farming on water quality and phytoplankton status in Monastir Bay (eastern coast of Tunisia). </w:t>
      </w:r>
      <w:r w:rsidRPr="008F7DC7">
        <w:rPr>
          <w:rFonts w:ascii="Times New Roman" w:eastAsia="Times New Roman" w:hAnsi="Times New Roman" w:cs="Times New Roman"/>
          <w:i/>
          <w:iCs/>
          <w:sz w:val="24"/>
          <w:szCs w:val="24"/>
          <w:lang w:val="en-US"/>
        </w:rPr>
        <w:t>Aquaculture International, 25</w:t>
      </w:r>
      <w:r w:rsidRPr="008F7DC7">
        <w:rPr>
          <w:rFonts w:ascii="Times New Roman" w:eastAsia="Times New Roman" w:hAnsi="Times New Roman" w:cs="Times New Roman"/>
          <w:sz w:val="24"/>
          <w:szCs w:val="24"/>
          <w:lang w:val="en-US"/>
        </w:rPr>
        <w:t xml:space="preserve">, 2275–2292. </w:t>
      </w:r>
      <w:hyperlink r:id="rId19" w:tgtFrame="_new" w:history="1">
        <w:r w:rsidRPr="008F7DC7">
          <w:rPr>
            <w:rFonts w:ascii="Times New Roman" w:eastAsia="Times New Roman" w:hAnsi="Times New Roman" w:cs="Times New Roman"/>
            <w:color w:val="0000FF"/>
            <w:sz w:val="24"/>
            <w:szCs w:val="24"/>
            <w:u w:val="single"/>
            <w:lang w:val="en-US"/>
          </w:rPr>
          <w:t>https://doi.org/10.1007/s10499-017-0187-1</w:t>
        </w:r>
      </w:hyperlink>
      <w:r w:rsidRPr="008F7DC7">
        <w:rPr>
          <w:rFonts w:ascii="Times New Roman" w:eastAsia="Times New Roman" w:hAnsi="Times New Roman" w:cs="Times New Roman"/>
          <w:sz w:val="24"/>
          <w:szCs w:val="24"/>
          <w:lang w:val="en-US"/>
        </w:rPr>
        <w:t xml:space="preserve"> </w:t>
      </w:r>
    </w:p>
    <w:p w14:paraId="0F487576" w14:textId="0D3E3C0D"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Cloern, J. E. (2001). Our evolving conceptual model of the coastal eutrophication problem. </w:t>
      </w:r>
      <w:r w:rsidRPr="008F7DC7">
        <w:rPr>
          <w:rFonts w:ascii="Times New Roman" w:eastAsia="Times New Roman" w:hAnsi="Times New Roman" w:cs="Times New Roman"/>
          <w:i/>
          <w:iCs/>
          <w:sz w:val="24"/>
          <w:szCs w:val="24"/>
          <w:lang w:val="en-US"/>
        </w:rPr>
        <w:t>Marine Ecology Progress Series, 210</w:t>
      </w:r>
      <w:r w:rsidRPr="008F7DC7">
        <w:rPr>
          <w:rFonts w:ascii="Times New Roman" w:eastAsia="Times New Roman" w:hAnsi="Times New Roman" w:cs="Times New Roman"/>
          <w:sz w:val="24"/>
          <w:szCs w:val="24"/>
          <w:lang w:val="en-US"/>
        </w:rPr>
        <w:t xml:space="preserve">, 223–253. </w:t>
      </w:r>
      <w:hyperlink r:id="rId20" w:tgtFrame="_new" w:history="1">
        <w:r w:rsidRPr="008F7DC7">
          <w:rPr>
            <w:rFonts w:ascii="Times New Roman" w:eastAsia="Times New Roman" w:hAnsi="Times New Roman" w:cs="Times New Roman"/>
            <w:color w:val="0000FF"/>
            <w:sz w:val="24"/>
            <w:szCs w:val="24"/>
            <w:u w:val="single"/>
            <w:lang w:val="en-US"/>
          </w:rPr>
          <w:t>https://doi.org/10.3354/meps210223</w:t>
        </w:r>
      </w:hyperlink>
      <w:r w:rsidRPr="008F7DC7">
        <w:rPr>
          <w:rFonts w:ascii="Times New Roman" w:eastAsia="Times New Roman" w:hAnsi="Times New Roman" w:cs="Times New Roman"/>
          <w:sz w:val="24"/>
          <w:szCs w:val="24"/>
          <w:lang w:val="en-US"/>
        </w:rPr>
        <w:t xml:space="preserve"> </w:t>
      </w:r>
    </w:p>
    <w:p w14:paraId="69CEFB65" w14:textId="5CA824D9"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Damodaran, D., Mohammed Koya, K., Mojjada, S. K., Chauhan, D. L., Dash, G., Vase, V. K., &amp; Sreenath, K. R. (2018). Optimization of the stocking parameters for mud spiny lobster </w:t>
      </w:r>
      <w:r w:rsidRPr="008F7DC7">
        <w:rPr>
          <w:rFonts w:ascii="Times New Roman" w:eastAsia="Times New Roman" w:hAnsi="Times New Roman" w:cs="Times New Roman"/>
          <w:i/>
          <w:iCs/>
          <w:sz w:val="24"/>
          <w:szCs w:val="24"/>
          <w:lang w:val="en-US"/>
        </w:rPr>
        <w:t>Panulirus polyphagus</w:t>
      </w:r>
      <w:r w:rsidRPr="008F7DC7">
        <w:rPr>
          <w:rFonts w:ascii="Times New Roman" w:eastAsia="Times New Roman" w:hAnsi="Times New Roman" w:cs="Times New Roman"/>
          <w:sz w:val="24"/>
          <w:szCs w:val="24"/>
          <w:lang w:val="en-US"/>
        </w:rPr>
        <w:t xml:space="preserve"> (Herbst, 1793) capture-based aquaculture in tropical open sea floating net cages. </w:t>
      </w:r>
      <w:r w:rsidRPr="008F7DC7">
        <w:rPr>
          <w:rFonts w:ascii="Times New Roman" w:eastAsia="Times New Roman" w:hAnsi="Times New Roman" w:cs="Times New Roman"/>
          <w:i/>
          <w:iCs/>
          <w:sz w:val="24"/>
          <w:szCs w:val="24"/>
          <w:lang w:val="en-US"/>
        </w:rPr>
        <w:t>Aquaculture Research, 49</w:t>
      </w:r>
      <w:r w:rsidRPr="008F7DC7">
        <w:rPr>
          <w:rFonts w:ascii="Times New Roman" w:eastAsia="Times New Roman" w:hAnsi="Times New Roman" w:cs="Times New Roman"/>
          <w:sz w:val="24"/>
          <w:szCs w:val="24"/>
          <w:lang w:val="en-US"/>
        </w:rPr>
        <w:t xml:space="preserve">(2), 1080–1086. </w:t>
      </w:r>
      <w:hyperlink r:id="rId21" w:tgtFrame="_new" w:history="1">
        <w:r w:rsidRPr="008F7DC7">
          <w:rPr>
            <w:rFonts w:ascii="Times New Roman" w:eastAsia="Times New Roman" w:hAnsi="Times New Roman" w:cs="Times New Roman"/>
            <w:color w:val="0000FF"/>
            <w:sz w:val="24"/>
            <w:szCs w:val="24"/>
            <w:u w:val="single"/>
            <w:lang w:val="en-US"/>
          </w:rPr>
          <w:t>https://doi.org/10.1111/are.13557</w:t>
        </w:r>
      </w:hyperlink>
      <w:r w:rsidRPr="008F7DC7">
        <w:rPr>
          <w:rFonts w:ascii="Times New Roman" w:eastAsia="Times New Roman" w:hAnsi="Times New Roman" w:cs="Times New Roman"/>
          <w:sz w:val="24"/>
          <w:szCs w:val="24"/>
          <w:lang w:val="en-US"/>
        </w:rPr>
        <w:t xml:space="preserve"> </w:t>
      </w:r>
    </w:p>
    <w:p w14:paraId="448F2F21" w14:textId="67EAA5D6"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Devlin, M., &amp; Brodie, J. (2023). Nutrients and eutrophication. In M. Reichelt-Brushett (Ed.), </w:t>
      </w:r>
      <w:r w:rsidRPr="008F7DC7">
        <w:rPr>
          <w:rFonts w:ascii="Times New Roman" w:eastAsia="Times New Roman" w:hAnsi="Times New Roman" w:cs="Times New Roman"/>
          <w:i/>
          <w:iCs/>
          <w:sz w:val="24"/>
          <w:szCs w:val="24"/>
          <w:lang w:val="en-US"/>
        </w:rPr>
        <w:t>Marine pollution: Monitoring, management and mitigation</w:t>
      </w:r>
      <w:r w:rsidRPr="008F7DC7">
        <w:rPr>
          <w:rFonts w:ascii="Times New Roman" w:eastAsia="Times New Roman" w:hAnsi="Times New Roman" w:cs="Times New Roman"/>
          <w:sz w:val="24"/>
          <w:szCs w:val="24"/>
          <w:lang w:val="en-US"/>
        </w:rPr>
        <w:t xml:space="preserve"> (pp. 75–100). Springer Nature Switzerland. </w:t>
      </w:r>
      <w:hyperlink r:id="rId22" w:tgtFrame="_new" w:history="1">
        <w:r w:rsidRPr="008F7DC7">
          <w:rPr>
            <w:rFonts w:ascii="Times New Roman" w:eastAsia="Times New Roman" w:hAnsi="Times New Roman" w:cs="Times New Roman"/>
            <w:color w:val="0000FF"/>
            <w:sz w:val="24"/>
            <w:szCs w:val="24"/>
            <w:u w:val="single"/>
            <w:lang w:val="en-US"/>
          </w:rPr>
          <w:t>https://doi.org/10.1007/978-3-031-10127-4_4</w:t>
        </w:r>
      </w:hyperlink>
      <w:r w:rsidRPr="008F7DC7">
        <w:rPr>
          <w:rFonts w:ascii="Times New Roman" w:eastAsia="Times New Roman" w:hAnsi="Times New Roman" w:cs="Times New Roman"/>
          <w:sz w:val="24"/>
          <w:szCs w:val="24"/>
          <w:lang w:val="en-US"/>
        </w:rPr>
        <w:t xml:space="preserve"> </w:t>
      </w:r>
    </w:p>
    <w:p w14:paraId="440FCBDF" w14:textId="52728263"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Divu, D. N., Mojjada, S. K., Dash, G., Sundaram, S. L. P., Menon, M., Tade, M. S., Mojjada, R. K., Bhint, H. M., Bhardwaj, J., Subramanian, A., Suresh, V. R., &amp; Gopalakrishnan, A. (2023). A novel decision-support system for augmenting sustainable lobster production through comparison of mariculture systems at increasing stages of technological development. </w:t>
      </w:r>
      <w:r w:rsidRPr="008F7DC7">
        <w:rPr>
          <w:rFonts w:ascii="Times New Roman" w:eastAsia="Times New Roman" w:hAnsi="Times New Roman" w:cs="Times New Roman"/>
          <w:i/>
          <w:iCs/>
          <w:sz w:val="24"/>
          <w:szCs w:val="24"/>
          <w:lang w:val="en-US"/>
        </w:rPr>
        <w:t>Journal of Cleaner Production, 401</w:t>
      </w:r>
      <w:r w:rsidRPr="008F7DC7">
        <w:rPr>
          <w:rFonts w:ascii="Times New Roman" w:eastAsia="Times New Roman" w:hAnsi="Times New Roman" w:cs="Times New Roman"/>
          <w:sz w:val="24"/>
          <w:szCs w:val="24"/>
          <w:lang w:val="en-US"/>
        </w:rPr>
        <w:t xml:space="preserve">, Article 136759. </w:t>
      </w:r>
      <w:hyperlink r:id="rId23" w:tgtFrame="_new" w:history="1">
        <w:r w:rsidRPr="008F7DC7">
          <w:rPr>
            <w:rFonts w:ascii="Times New Roman" w:eastAsia="Times New Roman" w:hAnsi="Times New Roman" w:cs="Times New Roman"/>
            <w:color w:val="0000FF"/>
            <w:sz w:val="24"/>
            <w:szCs w:val="24"/>
            <w:u w:val="single"/>
            <w:lang w:val="en-US"/>
          </w:rPr>
          <w:t>https://doi.org/10.1016/j.jclepro.2023.136759</w:t>
        </w:r>
      </w:hyperlink>
      <w:r w:rsidRPr="008F7DC7">
        <w:rPr>
          <w:rFonts w:ascii="Times New Roman" w:eastAsia="Times New Roman" w:hAnsi="Times New Roman" w:cs="Times New Roman"/>
          <w:sz w:val="24"/>
          <w:szCs w:val="24"/>
          <w:lang w:val="en-US"/>
        </w:rPr>
        <w:t xml:space="preserve"> </w:t>
      </w:r>
    </w:p>
    <w:p w14:paraId="2D0CFD69" w14:textId="73CFEDAE"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Divu, D. N., Mojjada, S. K., Abdul Azeez, P., Sukhdhane, K. S., Muktha, M., Mojjada, R. K., Tade, M. S., Bhint, H. M., &amp; Gopalakrishnan, A. (2021). Decision-making framework for identifying best suitable mariculture sites along north east coast of Arabian Sea, India: A preliminary GIS-MCE based modelling approach. </w:t>
      </w:r>
      <w:r w:rsidRPr="008F7DC7">
        <w:rPr>
          <w:rFonts w:ascii="Times New Roman" w:eastAsia="Times New Roman" w:hAnsi="Times New Roman" w:cs="Times New Roman"/>
          <w:i/>
          <w:iCs/>
          <w:sz w:val="24"/>
          <w:szCs w:val="24"/>
          <w:lang w:val="en-US"/>
        </w:rPr>
        <w:t>Journal of Cleaner Production, 284</w:t>
      </w:r>
      <w:r w:rsidRPr="008F7DC7">
        <w:rPr>
          <w:rFonts w:ascii="Times New Roman" w:eastAsia="Times New Roman" w:hAnsi="Times New Roman" w:cs="Times New Roman"/>
          <w:sz w:val="24"/>
          <w:szCs w:val="24"/>
          <w:lang w:val="en-US"/>
        </w:rPr>
        <w:t xml:space="preserve">, Article 124760. </w:t>
      </w:r>
      <w:hyperlink r:id="rId24" w:tgtFrame="_new" w:history="1">
        <w:r w:rsidRPr="008F7DC7">
          <w:rPr>
            <w:rFonts w:ascii="Times New Roman" w:eastAsia="Times New Roman" w:hAnsi="Times New Roman" w:cs="Times New Roman"/>
            <w:color w:val="0000FF"/>
            <w:sz w:val="24"/>
            <w:szCs w:val="24"/>
            <w:u w:val="single"/>
            <w:lang w:val="en-US"/>
          </w:rPr>
          <w:t>https://doi.org/10.1016/j.jclepro.2020.124760</w:t>
        </w:r>
      </w:hyperlink>
      <w:r w:rsidRPr="008F7DC7">
        <w:rPr>
          <w:rFonts w:ascii="Times New Roman" w:eastAsia="Times New Roman" w:hAnsi="Times New Roman" w:cs="Times New Roman"/>
          <w:sz w:val="24"/>
          <w:szCs w:val="24"/>
          <w:lang w:val="en-US"/>
        </w:rPr>
        <w:t xml:space="preserve"> </w:t>
      </w:r>
    </w:p>
    <w:p w14:paraId="66625EFD" w14:textId="6B57468A"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Gentry, R. R., Froehlich, H. E., Grimm, D., Kareiva, P., Parke, M., Rust, M., Gaines, S. D., &amp; Halpern, B. S. (2017). Mapping the global potential for marine aquaculture. </w:t>
      </w:r>
      <w:r w:rsidRPr="008F7DC7">
        <w:rPr>
          <w:rFonts w:ascii="Times New Roman" w:eastAsia="Times New Roman" w:hAnsi="Times New Roman" w:cs="Times New Roman"/>
          <w:i/>
          <w:iCs/>
          <w:sz w:val="24"/>
          <w:szCs w:val="24"/>
          <w:lang w:val="en-US"/>
        </w:rPr>
        <w:t>Nature Ecology &amp; Evolution, 1</w:t>
      </w:r>
      <w:r w:rsidRPr="008F7DC7">
        <w:rPr>
          <w:rFonts w:ascii="Times New Roman" w:eastAsia="Times New Roman" w:hAnsi="Times New Roman" w:cs="Times New Roman"/>
          <w:sz w:val="24"/>
          <w:szCs w:val="24"/>
          <w:lang w:val="en-US"/>
        </w:rPr>
        <w:t xml:space="preserve">, 1317–1324. </w:t>
      </w:r>
      <w:hyperlink r:id="rId25" w:tgtFrame="_new" w:history="1">
        <w:r w:rsidRPr="008F7DC7">
          <w:rPr>
            <w:rFonts w:ascii="Times New Roman" w:eastAsia="Times New Roman" w:hAnsi="Times New Roman" w:cs="Times New Roman"/>
            <w:color w:val="0000FF"/>
            <w:sz w:val="24"/>
            <w:szCs w:val="24"/>
            <w:u w:val="single"/>
            <w:lang w:val="en-US"/>
          </w:rPr>
          <w:t>https://doi.org/10.1038/s41559-017-0257-9</w:t>
        </w:r>
      </w:hyperlink>
      <w:r w:rsidRPr="008F7DC7">
        <w:rPr>
          <w:rFonts w:ascii="Times New Roman" w:eastAsia="Times New Roman" w:hAnsi="Times New Roman" w:cs="Times New Roman"/>
          <w:sz w:val="24"/>
          <w:szCs w:val="24"/>
          <w:lang w:val="en-US"/>
        </w:rPr>
        <w:t xml:space="preserve"> </w:t>
      </w:r>
    </w:p>
    <w:p w14:paraId="66E2F270" w14:textId="19BD5B03"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Gittings, J. A., Raitsos, D. E., Brewin, R. J. W., &amp; Hoteit, I. (2021). Links between phenology of large phytoplankton and fisheries in the Northern and Central Red Sea. </w:t>
      </w:r>
      <w:r w:rsidRPr="008F7DC7">
        <w:rPr>
          <w:rFonts w:ascii="Times New Roman" w:eastAsia="Times New Roman" w:hAnsi="Times New Roman" w:cs="Times New Roman"/>
          <w:i/>
          <w:iCs/>
          <w:sz w:val="24"/>
          <w:szCs w:val="24"/>
          <w:lang w:val="en-US"/>
        </w:rPr>
        <w:t>Remote Sensing, 13</w:t>
      </w:r>
      <w:r w:rsidRPr="008F7DC7">
        <w:rPr>
          <w:rFonts w:ascii="Times New Roman" w:eastAsia="Times New Roman" w:hAnsi="Times New Roman" w:cs="Times New Roman"/>
          <w:sz w:val="24"/>
          <w:szCs w:val="24"/>
          <w:lang w:val="en-US"/>
        </w:rPr>
        <w:t xml:space="preserve">(2), Article 231. </w:t>
      </w:r>
      <w:hyperlink r:id="rId26" w:tgtFrame="_new" w:history="1">
        <w:r w:rsidRPr="008F7DC7">
          <w:rPr>
            <w:rFonts w:ascii="Times New Roman" w:eastAsia="Times New Roman" w:hAnsi="Times New Roman" w:cs="Times New Roman"/>
            <w:color w:val="0000FF"/>
            <w:sz w:val="24"/>
            <w:szCs w:val="24"/>
            <w:u w:val="single"/>
            <w:lang w:val="en-US"/>
          </w:rPr>
          <w:t>https://doi.org/10.3390/rs13020231</w:t>
        </w:r>
      </w:hyperlink>
      <w:r w:rsidRPr="008F7DC7">
        <w:rPr>
          <w:rFonts w:ascii="Times New Roman" w:eastAsia="Times New Roman" w:hAnsi="Times New Roman" w:cs="Times New Roman"/>
          <w:sz w:val="24"/>
          <w:szCs w:val="24"/>
          <w:lang w:val="en-US"/>
        </w:rPr>
        <w:t xml:space="preserve"> </w:t>
      </w:r>
    </w:p>
    <w:p w14:paraId="2B7BAD6C" w14:textId="33EED4D5"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Holmer, M., Hansen, P. K., Karakassis, I., Borg, J. A., &amp; Schembri, P. J. (2008). Monitoring of environmental impacts of marine aquaculture. In M. Holmer, K. Black, C. M. Duarte, N. Marbà, &amp; I. Karakassis (Eds.), </w:t>
      </w:r>
      <w:r w:rsidRPr="008F7DC7">
        <w:rPr>
          <w:rFonts w:ascii="Times New Roman" w:eastAsia="Times New Roman" w:hAnsi="Times New Roman" w:cs="Times New Roman"/>
          <w:i/>
          <w:iCs/>
          <w:sz w:val="24"/>
          <w:szCs w:val="24"/>
          <w:lang w:val="en-US"/>
        </w:rPr>
        <w:t>Aquaculture in the ecosystem</w:t>
      </w:r>
      <w:r w:rsidRPr="008F7DC7">
        <w:rPr>
          <w:rFonts w:ascii="Times New Roman" w:eastAsia="Times New Roman" w:hAnsi="Times New Roman" w:cs="Times New Roman"/>
          <w:sz w:val="24"/>
          <w:szCs w:val="24"/>
          <w:lang w:val="en-US"/>
        </w:rPr>
        <w:t xml:space="preserve"> (pp. 47–86). Springer. </w:t>
      </w:r>
      <w:hyperlink r:id="rId27" w:tgtFrame="_new" w:history="1">
        <w:r w:rsidRPr="008F7DC7">
          <w:rPr>
            <w:rFonts w:ascii="Times New Roman" w:eastAsia="Times New Roman" w:hAnsi="Times New Roman" w:cs="Times New Roman"/>
            <w:color w:val="0000FF"/>
            <w:sz w:val="24"/>
            <w:szCs w:val="24"/>
            <w:u w:val="single"/>
            <w:lang w:val="en-US"/>
          </w:rPr>
          <w:t>https://doi.org/10.1007/978-1-4020-6810-2_2</w:t>
        </w:r>
      </w:hyperlink>
      <w:r w:rsidRPr="008F7DC7">
        <w:rPr>
          <w:rFonts w:ascii="Times New Roman" w:eastAsia="Times New Roman" w:hAnsi="Times New Roman" w:cs="Times New Roman"/>
          <w:sz w:val="24"/>
          <w:szCs w:val="24"/>
          <w:lang w:val="en-US"/>
        </w:rPr>
        <w:t xml:space="preserve"> </w:t>
      </w:r>
    </w:p>
    <w:p w14:paraId="42B8CFF1" w14:textId="44C9BC1A"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Holmer, M. (2010). Environmental issues of fish farming in offshore waters: Perspectives, concerns and research needs. </w:t>
      </w:r>
      <w:r w:rsidRPr="008F7DC7">
        <w:rPr>
          <w:rFonts w:ascii="Times New Roman" w:eastAsia="Times New Roman" w:hAnsi="Times New Roman" w:cs="Times New Roman"/>
          <w:i/>
          <w:iCs/>
          <w:sz w:val="24"/>
          <w:szCs w:val="24"/>
          <w:lang w:val="en-US"/>
        </w:rPr>
        <w:t>Aquaculture Environment Interactions, 1</w:t>
      </w:r>
      <w:r w:rsidRPr="008F7DC7">
        <w:rPr>
          <w:rFonts w:ascii="Times New Roman" w:eastAsia="Times New Roman" w:hAnsi="Times New Roman" w:cs="Times New Roman"/>
          <w:sz w:val="24"/>
          <w:szCs w:val="24"/>
          <w:lang w:val="en-US"/>
        </w:rPr>
        <w:t xml:space="preserve">(1), 57–70. </w:t>
      </w:r>
      <w:hyperlink r:id="rId28" w:tgtFrame="_new" w:history="1">
        <w:r w:rsidRPr="008F7DC7">
          <w:rPr>
            <w:rFonts w:ascii="Times New Roman" w:eastAsia="Times New Roman" w:hAnsi="Times New Roman" w:cs="Times New Roman"/>
            <w:color w:val="0000FF"/>
            <w:sz w:val="24"/>
            <w:szCs w:val="24"/>
            <w:u w:val="single"/>
            <w:lang w:val="en-US"/>
          </w:rPr>
          <w:t>https://doi.org/10.3354/aei00007</w:t>
        </w:r>
      </w:hyperlink>
      <w:r w:rsidRPr="008F7DC7">
        <w:rPr>
          <w:rFonts w:ascii="Times New Roman" w:eastAsia="Times New Roman" w:hAnsi="Times New Roman" w:cs="Times New Roman"/>
          <w:sz w:val="24"/>
          <w:szCs w:val="24"/>
          <w:lang w:val="en-US"/>
        </w:rPr>
        <w:t xml:space="preserve"> </w:t>
      </w:r>
    </w:p>
    <w:p w14:paraId="470E23DF" w14:textId="4D11A575"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Howarth, R. W., &amp; Marino, R. (2006). Nitrogen as the limiting nutrient for eutrophication in coastal marine ecosystems: Evolving views over three decades. </w:t>
      </w:r>
      <w:r w:rsidRPr="008F7DC7">
        <w:rPr>
          <w:rFonts w:ascii="Times New Roman" w:eastAsia="Times New Roman" w:hAnsi="Times New Roman" w:cs="Times New Roman"/>
          <w:i/>
          <w:iCs/>
          <w:sz w:val="24"/>
          <w:szCs w:val="24"/>
          <w:lang w:val="en-US"/>
        </w:rPr>
        <w:t xml:space="preserve">Limnology and </w:t>
      </w:r>
      <w:r w:rsidRPr="008F7DC7">
        <w:rPr>
          <w:rFonts w:ascii="Times New Roman" w:eastAsia="Times New Roman" w:hAnsi="Times New Roman" w:cs="Times New Roman"/>
          <w:i/>
          <w:iCs/>
          <w:sz w:val="24"/>
          <w:szCs w:val="24"/>
          <w:lang w:val="en-US"/>
        </w:rPr>
        <w:lastRenderedPageBreak/>
        <w:t>Oceanography, 51</w:t>
      </w:r>
      <w:r w:rsidRPr="008F7DC7">
        <w:rPr>
          <w:rFonts w:ascii="Times New Roman" w:eastAsia="Times New Roman" w:hAnsi="Times New Roman" w:cs="Times New Roman"/>
          <w:sz w:val="24"/>
          <w:szCs w:val="24"/>
          <w:lang w:val="en-US"/>
        </w:rPr>
        <w:t xml:space="preserve">(1, Part 2), 364–376. </w:t>
      </w:r>
      <w:hyperlink r:id="rId29" w:tgtFrame="_new" w:history="1">
        <w:r w:rsidRPr="008F7DC7">
          <w:rPr>
            <w:rFonts w:ascii="Times New Roman" w:eastAsia="Times New Roman" w:hAnsi="Times New Roman" w:cs="Times New Roman"/>
            <w:color w:val="0000FF"/>
            <w:sz w:val="24"/>
            <w:szCs w:val="24"/>
            <w:u w:val="single"/>
            <w:lang w:val="en-US"/>
          </w:rPr>
          <w:t>https://doi.org/10.4319/lo.2006.51.1_part_2.0364</w:t>
        </w:r>
      </w:hyperlink>
      <w:r w:rsidRPr="008F7DC7">
        <w:rPr>
          <w:rFonts w:ascii="Times New Roman" w:eastAsia="Times New Roman" w:hAnsi="Times New Roman" w:cs="Times New Roman"/>
          <w:sz w:val="24"/>
          <w:szCs w:val="24"/>
          <w:lang w:val="en-US"/>
        </w:rPr>
        <w:t xml:space="preserve"> </w:t>
      </w:r>
    </w:p>
    <w:p w14:paraId="0482FB41" w14:textId="40F90009"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IBM Corp. (2013). </w:t>
      </w:r>
      <w:r w:rsidRPr="008F7DC7">
        <w:rPr>
          <w:rFonts w:ascii="Times New Roman" w:eastAsia="Times New Roman" w:hAnsi="Times New Roman" w:cs="Times New Roman"/>
          <w:i/>
          <w:iCs/>
          <w:sz w:val="24"/>
          <w:szCs w:val="24"/>
          <w:lang w:val="en-US"/>
        </w:rPr>
        <w:t>IBM SPSS Statistics for Windows</w:t>
      </w:r>
      <w:r w:rsidRPr="008F7DC7">
        <w:rPr>
          <w:rFonts w:ascii="Times New Roman" w:eastAsia="Times New Roman" w:hAnsi="Times New Roman" w:cs="Times New Roman"/>
          <w:sz w:val="24"/>
          <w:szCs w:val="24"/>
          <w:lang w:val="en-US"/>
        </w:rPr>
        <w:t xml:space="preserve"> (Version 22.0) [Computer software]. IBM Corp. </w:t>
      </w:r>
      <w:hyperlink r:id="rId30" w:tgtFrame="_new" w:history="1">
        <w:r w:rsidRPr="008F7DC7">
          <w:rPr>
            <w:rFonts w:ascii="Times New Roman" w:eastAsia="Times New Roman" w:hAnsi="Times New Roman" w:cs="Times New Roman"/>
            <w:color w:val="0000FF"/>
            <w:sz w:val="24"/>
            <w:szCs w:val="24"/>
            <w:u w:val="single"/>
            <w:lang w:val="en-US"/>
          </w:rPr>
          <w:t>https://www.ibm.com/support/pages/how-cite-ibm-spss-statistics-or-earlier-versions-spss</w:t>
        </w:r>
      </w:hyperlink>
      <w:r w:rsidRPr="008F7DC7">
        <w:rPr>
          <w:rFonts w:ascii="Times New Roman" w:eastAsia="Times New Roman" w:hAnsi="Times New Roman" w:cs="Times New Roman"/>
          <w:sz w:val="24"/>
          <w:szCs w:val="24"/>
          <w:lang w:val="en-US"/>
        </w:rPr>
        <w:t xml:space="preserve"> </w:t>
      </w:r>
    </w:p>
    <w:p w14:paraId="2FEDACE7" w14:textId="42F8D7B2"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Islam, M. S. (2005). Nitrogen and phosphorus budget in coastal and marine cage aquaculture and impacts of effluent loading on ecosystem: Review and analysis towards model development. </w:t>
      </w:r>
      <w:r w:rsidRPr="008F7DC7">
        <w:rPr>
          <w:rFonts w:ascii="Times New Roman" w:eastAsia="Times New Roman" w:hAnsi="Times New Roman" w:cs="Times New Roman"/>
          <w:i/>
          <w:iCs/>
          <w:sz w:val="24"/>
          <w:szCs w:val="24"/>
          <w:lang w:val="en-US"/>
        </w:rPr>
        <w:t>Marine Pollution Bulletin, 50</w:t>
      </w:r>
      <w:r w:rsidRPr="008F7DC7">
        <w:rPr>
          <w:rFonts w:ascii="Times New Roman" w:eastAsia="Times New Roman" w:hAnsi="Times New Roman" w:cs="Times New Roman"/>
          <w:sz w:val="24"/>
          <w:szCs w:val="24"/>
          <w:lang w:val="en-US"/>
        </w:rPr>
        <w:t xml:space="preserve">(1), 48–61. https://doi.org/10.1016/j.marpolbul.2004.08.008 </w:t>
      </w:r>
    </w:p>
    <w:p w14:paraId="4C0EEDEA" w14:textId="54C76508"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Mojjada, S. K., Joseph, I., Koya, K. M., Sreenath, K. R., Dash, G., Sen, S., Fofandi, M. D., Anbarasu, M., Bhint, H. M., Pradeep, S., Shiju, P., &amp; Rao, G. S. (2012). Capture based aquaculture of mud spiny lobster, </w:t>
      </w:r>
      <w:r w:rsidRPr="008F7DC7">
        <w:rPr>
          <w:rFonts w:ascii="Times New Roman" w:eastAsia="Times New Roman" w:hAnsi="Times New Roman" w:cs="Times New Roman"/>
          <w:i/>
          <w:iCs/>
          <w:sz w:val="24"/>
          <w:szCs w:val="24"/>
          <w:lang w:val="en-US"/>
        </w:rPr>
        <w:t>Panulirus polyphagus</w:t>
      </w:r>
      <w:r w:rsidRPr="008F7DC7">
        <w:rPr>
          <w:rFonts w:ascii="Times New Roman" w:eastAsia="Times New Roman" w:hAnsi="Times New Roman" w:cs="Times New Roman"/>
          <w:sz w:val="24"/>
          <w:szCs w:val="24"/>
          <w:lang w:val="en-US"/>
        </w:rPr>
        <w:t xml:space="preserve"> (Herbst, 1793) in open sea floating net cages off Veraval, north-west coast of India. </w:t>
      </w:r>
      <w:r w:rsidRPr="008F7DC7">
        <w:rPr>
          <w:rFonts w:ascii="Times New Roman" w:eastAsia="Times New Roman" w:hAnsi="Times New Roman" w:cs="Times New Roman"/>
          <w:i/>
          <w:iCs/>
          <w:sz w:val="24"/>
          <w:szCs w:val="24"/>
          <w:lang w:val="en-US"/>
        </w:rPr>
        <w:t>Indian Journal of Fisheries, 59</w:t>
      </w:r>
      <w:r w:rsidRPr="008F7DC7">
        <w:rPr>
          <w:rFonts w:ascii="Times New Roman" w:eastAsia="Times New Roman" w:hAnsi="Times New Roman" w:cs="Times New Roman"/>
          <w:sz w:val="24"/>
          <w:szCs w:val="24"/>
          <w:lang w:val="en-US"/>
        </w:rPr>
        <w:t xml:space="preserve">(4), 29–33. </w:t>
      </w:r>
      <w:hyperlink r:id="rId31" w:tgtFrame="_new" w:history="1">
        <w:r w:rsidRPr="008F7DC7">
          <w:rPr>
            <w:rFonts w:ascii="Times New Roman" w:eastAsia="Times New Roman" w:hAnsi="Times New Roman" w:cs="Times New Roman"/>
            <w:color w:val="0000FF"/>
            <w:sz w:val="24"/>
            <w:szCs w:val="24"/>
            <w:u w:val="single"/>
            <w:lang w:val="en-US"/>
          </w:rPr>
          <w:t>https://epubs.icar.org.in/index.php/IJF/article/view/22246</w:t>
        </w:r>
      </w:hyperlink>
      <w:r w:rsidRPr="008F7DC7">
        <w:rPr>
          <w:rFonts w:ascii="Times New Roman" w:eastAsia="Times New Roman" w:hAnsi="Times New Roman" w:cs="Times New Roman"/>
          <w:sz w:val="24"/>
          <w:szCs w:val="24"/>
          <w:lang w:val="en-US"/>
        </w:rPr>
        <w:t xml:space="preserve"> </w:t>
      </w:r>
    </w:p>
    <w:p w14:paraId="73C9F53C" w14:textId="4D74B638"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Morro, B., Davidson, K., Adams, T. P., Falconer, L., Holloway, M., Dale, A., Aleynik, D., Thies, P. R., Khalid, F., Hardwick, J., Smith, H., Gillibrand, P. A., &amp; Rey-Planellas, S. (2022). Offshore aquaculture of finfish: Big expectations at sea. </w:t>
      </w:r>
      <w:r w:rsidRPr="008F7DC7">
        <w:rPr>
          <w:rFonts w:ascii="Times New Roman" w:eastAsia="Times New Roman" w:hAnsi="Times New Roman" w:cs="Times New Roman"/>
          <w:i/>
          <w:iCs/>
          <w:sz w:val="24"/>
          <w:szCs w:val="24"/>
          <w:lang w:val="en-US"/>
        </w:rPr>
        <w:t>Reviews in Aquaculture, 14</w:t>
      </w:r>
      <w:r w:rsidRPr="008F7DC7">
        <w:rPr>
          <w:rFonts w:ascii="Times New Roman" w:eastAsia="Times New Roman" w:hAnsi="Times New Roman" w:cs="Times New Roman"/>
          <w:sz w:val="24"/>
          <w:szCs w:val="24"/>
          <w:lang w:val="en-US"/>
        </w:rPr>
        <w:t xml:space="preserve">(2), 791–815. </w:t>
      </w:r>
      <w:hyperlink r:id="rId32" w:tgtFrame="_new" w:history="1">
        <w:r w:rsidRPr="008F7DC7">
          <w:rPr>
            <w:rFonts w:ascii="Times New Roman" w:eastAsia="Times New Roman" w:hAnsi="Times New Roman" w:cs="Times New Roman"/>
            <w:color w:val="0000FF"/>
            <w:sz w:val="24"/>
            <w:szCs w:val="24"/>
            <w:u w:val="single"/>
            <w:lang w:val="en-US"/>
          </w:rPr>
          <w:t>https://doi.org/10.1111/raq.12625</w:t>
        </w:r>
      </w:hyperlink>
      <w:r w:rsidRPr="008F7DC7">
        <w:rPr>
          <w:rFonts w:ascii="Times New Roman" w:eastAsia="Times New Roman" w:hAnsi="Times New Roman" w:cs="Times New Roman"/>
          <w:sz w:val="24"/>
          <w:szCs w:val="24"/>
          <w:lang w:val="en-US"/>
        </w:rPr>
        <w:t xml:space="preserve"> </w:t>
      </w:r>
    </w:p>
    <w:p w14:paraId="25D1E6B9" w14:textId="617C9AAD"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Moruf, R. O., Afolayan, O. A., Taiwo, M. A., &amp; Ogunbambo, M. M. (2021). Estimation of nutritional energy values, mineral ratio and mineral safety index in the royal spiny lobster, </w:t>
      </w:r>
      <w:r w:rsidRPr="008F7DC7">
        <w:rPr>
          <w:rFonts w:ascii="Times New Roman" w:eastAsia="Times New Roman" w:hAnsi="Times New Roman" w:cs="Times New Roman"/>
          <w:i/>
          <w:iCs/>
          <w:sz w:val="24"/>
          <w:szCs w:val="24"/>
          <w:lang w:val="en-US"/>
        </w:rPr>
        <w:t>Panulirus regius</w:t>
      </w:r>
      <w:r w:rsidRPr="008F7DC7">
        <w:rPr>
          <w:rFonts w:ascii="Times New Roman" w:eastAsia="Times New Roman" w:hAnsi="Times New Roman" w:cs="Times New Roman"/>
          <w:sz w:val="24"/>
          <w:szCs w:val="24"/>
          <w:lang w:val="en-US"/>
        </w:rPr>
        <w:t xml:space="preserve"> (De Brito Capello, 1864). </w:t>
      </w:r>
      <w:r w:rsidRPr="008F7DC7">
        <w:rPr>
          <w:rFonts w:ascii="Times New Roman" w:eastAsia="Times New Roman" w:hAnsi="Times New Roman" w:cs="Times New Roman"/>
          <w:i/>
          <w:iCs/>
          <w:sz w:val="24"/>
          <w:szCs w:val="24"/>
          <w:lang w:val="en-US"/>
        </w:rPr>
        <w:t>Croatian Journal of Food Science and Technology, 13</w:t>
      </w:r>
      <w:r w:rsidRPr="008F7DC7">
        <w:rPr>
          <w:rFonts w:ascii="Times New Roman" w:eastAsia="Times New Roman" w:hAnsi="Times New Roman" w:cs="Times New Roman"/>
          <w:sz w:val="24"/>
          <w:szCs w:val="24"/>
          <w:lang w:val="en-US"/>
        </w:rPr>
        <w:t xml:space="preserve">(1), 105–110. https://doi.org/10.17508/CJFST.2021.13.1.13 </w:t>
      </w:r>
    </w:p>
    <w:p w14:paraId="008D1EA7" w14:textId="6BDDF07B"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Moschonas, G., Gowen, R. J., Paterson, R. F., Mitchell, E., Stewart, B. M., McNeill, S., Glibert, P. M., &amp; Davidson, K. (2017). Nitrogen dynamics and phytoplankton community structure: The role of organic nutrients. </w:t>
      </w:r>
      <w:r w:rsidRPr="008F7DC7">
        <w:rPr>
          <w:rFonts w:ascii="Times New Roman" w:eastAsia="Times New Roman" w:hAnsi="Times New Roman" w:cs="Times New Roman"/>
          <w:i/>
          <w:iCs/>
          <w:sz w:val="24"/>
          <w:szCs w:val="24"/>
          <w:lang w:val="en-US"/>
        </w:rPr>
        <w:t>Biogeochemistry, 134</w:t>
      </w:r>
      <w:r w:rsidRPr="008F7DC7">
        <w:rPr>
          <w:rFonts w:ascii="Times New Roman" w:eastAsia="Times New Roman" w:hAnsi="Times New Roman" w:cs="Times New Roman"/>
          <w:sz w:val="24"/>
          <w:szCs w:val="24"/>
          <w:lang w:val="en-US"/>
        </w:rPr>
        <w:t xml:space="preserve">, 125–145. </w:t>
      </w:r>
      <w:hyperlink r:id="rId33" w:tgtFrame="_new" w:history="1">
        <w:r w:rsidRPr="008F7DC7">
          <w:rPr>
            <w:rFonts w:ascii="Times New Roman" w:eastAsia="Times New Roman" w:hAnsi="Times New Roman" w:cs="Times New Roman"/>
            <w:color w:val="0000FF"/>
            <w:sz w:val="24"/>
            <w:szCs w:val="24"/>
            <w:u w:val="single"/>
            <w:lang w:val="en-US"/>
          </w:rPr>
          <w:t>https://doi.org/10.1007/s10533-017-0351-8</w:t>
        </w:r>
      </w:hyperlink>
      <w:r w:rsidRPr="008F7DC7">
        <w:rPr>
          <w:rFonts w:ascii="Times New Roman" w:eastAsia="Times New Roman" w:hAnsi="Times New Roman" w:cs="Times New Roman"/>
          <w:sz w:val="24"/>
          <w:szCs w:val="24"/>
          <w:lang w:val="en-US"/>
        </w:rPr>
        <w:t xml:space="preserve"> </w:t>
      </w:r>
    </w:p>
    <w:p w14:paraId="40DD9F2B" w14:textId="3AA82F63"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National Oceanic and Atmospheric Administration Fisheries. (2024, March 26). </w:t>
      </w:r>
      <w:r w:rsidRPr="008F7DC7">
        <w:rPr>
          <w:rFonts w:ascii="Times New Roman" w:eastAsia="Times New Roman" w:hAnsi="Times New Roman" w:cs="Times New Roman"/>
          <w:i/>
          <w:iCs/>
          <w:sz w:val="24"/>
          <w:szCs w:val="24"/>
          <w:lang w:val="en-US"/>
        </w:rPr>
        <w:t>Nutrient impacts of finfish aquaculture</w:t>
      </w:r>
      <w:r w:rsidRPr="008F7DC7">
        <w:rPr>
          <w:rFonts w:ascii="Times New Roman" w:eastAsia="Times New Roman" w:hAnsi="Times New Roman" w:cs="Times New Roman"/>
          <w:sz w:val="24"/>
          <w:szCs w:val="24"/>
          <w:lang w:val="en-US"/>
        </w:rPr>
        <w:t xml:space="preserve">. NOAA Fisheries. </w:t>
      </w:r>
      <w:hyperlink r:id="rId34" w:tgtFrame="_new" w:history="1">
        <w:r w:rsidRPr="008F7DC7">
          <w:rPr>
            <w:rFonts w:ascii="Times New Roman" w:eastAsia="Times New Roman" w:hAnsi="Times New Roman" w:cs="Times New Roman"/>
            <w:color w:val="0000FF"/>
            <w:sz w:val="24"/>
            <w:szCs w:val="24"/>
            <w:u w:val="single"/>
            <w:lang w:val="en-US"/>
          </w:rPr>
          <w:t>https://www.fisheries.noaa.gov/aquaculture/nutrient-impacts-finfish-aquaculture</w:t>
        </w:r>
      </w:hyperlink>
      <w:r w:rsidRPr="008F7DC7">
        <w:rPr>
          <w:rFonts w:ascii="Times New Roman" w:eastAsia="Times New Roman" w:hAnsi="Times New Roman" w:cs="Times New Roman"/>
          <w:sz w:val="24"/>
          <w:szCs w:val="24"/>
          <w:lang w:val="en-US"/>
        </w:rPr>
        <w:t xml:space="preserve"> </w:t>
      </w:r>
    </w:p>
    <w:p w14:paraId="11301ECD" w14:textId="03B1DEAF"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Price, C., Black, K. D., Hargrave, B. T., &amp; Morris, J. A., Jr. (2015). Marine cage culture and the environment: Effects on water quality and primary production. </w:t>
      </w:r>
      <w:r w:rsidRPr="008F7DC7">
        <w:rPr>
          <w:rFonts w:ascii="Times New Roman" w:eastAsia="Times New Roman" w:hAnsi="Times New Roman" w:cs="Times New Roman"/>
          <w:i/>
          <w:iCs/>
          <w:sz w:val="24"/>
          <w:szCs w:val="24"/>
          <w:lang w:val="en-US"/>
        </w:rPr>
        <w:t>Aquaculture Environment Interactions, 6</w:t>
      </w:r>
      <w:r w:rsidRPr="008F7DC7">
        <w:rPr>
          <w:rFonts w:ascii="Times New Roman" w:eastAsia="Times New Roman" w:hAnsi="Times New Roman" w:cs="Times New Roman"/>
          <w:sz w:val="24"/>
          <w:szCs w:val="24"/>
          <w:lang w:val="en-US"/>
        </w:rPr>
        <w:t xml:space="preserve">(2), 151–174. </w:t>
      </w:r>
      <w:hyperlink r:id="rId35" w:tgtFrame="_new" w:history="1">
        <w:r w:rsidRPr="008F7DC7">
          <w:rPr>
            <w:rFonts w:ascii="Times New Roman" w:eastAsia="Times New Roman" w:hAnsi="Times New Roman" w:cs="Times New Roman"/>
            <w:color w:val="0000FF"/>
            <w:sz w:val="24"/>
            <w:szCs w:val="24"/>
            <w:u w:val="single"/>
            <w:lang w:val="en-US"/>
          </w:rPr>
          <w:t>https://doi.org/10.3354/aei00122</w:t>
        </w:r>
      </w:hyperlink>
      <w:r w:rsidRPr="008F7DC7">
        <w:rPr>
          <w:rFonts w:ascii="Times New Roman" w:eastAsia="Times New Roman" w:hAnsi="Times New Roman" w:cs="Times New Roman"/>
          <w:sz w:val="24"/>
          <w:szCs w:val="24"/>
          <w:lang w:val="en-US"/>
        </w:rPr>
        <w:t xml:space="preserve"> </w:t>
      </w:r>
    </w:p>
    <w:p w14:paraId="7E1A45CE" w14:textId="30677803"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Pérez, O. M., Telfer, T. C., Beveridge, M. C. M., &amp; Ross, L. G. (2002). Geographical Information Systems (GIS) as a simple tool to aid modelling of particulate waste distribution at marine fish cage sites. </w:t>
      </w:r>
      <w:r w:rsidRPr="008F7DC7">
        <w:rPr>
          <w:rFonts w:ascii="Times New Roman" w:eastAsia="Times New Roman" w:hAnsi="Times New Roman" w:cs="Times New Roman"/>
          <w:i/>
          <w:iCs/>
          <w:sz w:val="24"/>
          <w:szCs w:val="24"/>
          <w:lang w:val="en-US"/>
        </w:rPr>
        <w:t>Estuarine, Coastal and Shelf Science, 54</w:t>
      </w:r>
      <w:r w:rsidRPr="008F7DC7">
        <w:rPr>
          <w:rFonts w:ascii="Times New Roman" w:eastAsia="Times New Roman" w:hAnsi="Times New Roman" w:cs="Times New Roman"/>
          <w:sz w:val="24"/>
          <w:szCs w:val="24"/>
          <w:lang w:val="en-US"/>
        </w:rPr>
        <w:t xml:space="preserve">(4), 761–768. </w:t>
      </w:r>
      <w:hyperlink r:id="rId36" w:tgtFrame="_new" w:history="1">
        <w:r w:rsidRPr="008F7DC7">
          <w:rPr>
            <w:rFonts w:ascii="Times New Roman" w:eastAsia="Times New Roman" w:hAnsi="Times New Roman" w:cs="Times New Roman"/>
            <w:color w:val="0000FF"/>
            <w:sz w:val="24"/>
            <w:szCs w:val="24"/>
            <w:u w:val="single"/>
            <w:lang w:val="en-US"/>
          </w:rPr>
          <w:t>https://doi.org/10.1006/ecss.2001.0870</w:t>
        </w:r>
      </w:hyperlink>
      <w:r w:rsidRPr="008F7DC7">
        <w:rPr>
          <w:rFonts w:ascii="Times New Roman" w:eastAsia="Times New Roman" w:hAnsi="Times New Roman" w:cs="Times New Roman"/>
          <w:sz w:val="24"/>
          <w:szCs w:val="24"/>
          <w:lang w:val="en-US"/>
        </w:rPr>
        <w:t xml:space="preserve"> </w:t>
      </w:r>
    </w:p>
    <w:p w14:paraId="50F4FDE6" w14:textId="2E7F29F4"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Qi, Z., Shi, R., Yu, Z., Han, T., Li, C., Xu, S., Xu, S., Liang, Q., Yu, W., Lin, H., &amp; Huang, H. (2019). Nutrient release from fish cage aquaculture and mitigation strategies in Daya Bay, southern China. </w:t>
      </w:r>
      <w:r w:rsidRPr="008F7DC7">
        <w:rPr>
          <w:rFonts w:ascii="Times New Roman" w:eastAsia="Times New Roman" w:hAnsi="Times New Roman" w:cs="Times New Roman"/>
          <w:i/>
          <w:iCs/>
          <w:sz w:val="24"/>
          <w:szCs w:val="24"/>
          <w:lang w:val="en-US"/>
        </w:rPr>
        <w:t>Marine Pollution Bulletin, 146</w:t>
      </w:r>
      <w:r w:rsidRPr="008F7DC7">
        <w:rPr>
          <w:rFonts w:ascii="Times New Roman" w:eastAsia="Times New Roman" w:hAnsi="Times New Roman" w:cs="Times New Roman"/>
          <w:sz w:val="24"/>
          <w:szCs w:val="24"/>
          <w:lang w:val="en-US"/>
        </w:rPr>
        <w:t xml:space="preserve">, 399–407. https://doi.org/10.1016/j.marpolbul.2019.06.079 </w:t>
      </w:r>
    </w:p>
    <w:p w14:paraId="61BD4961" w14:textId="6ED2D5A5"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Radhakrishnan, E. V., Kizhakudan, J. K., &amp; Phillips, B. F. (2019). Introduction to lobsters: Biology, fisheries and aquaculture. In E. V. Radhakrishnan, B. F. Phillips, &amp; A. Gopalakrishnan (Eds.), </w:t>
      </w:r>
      <w:r w:rsidRPr="008F7DC7">
        <w:rPr>
          <w:rFonts w:ascii="Times New Roman" w:eastAsia="Times New Roman" w:hAnsi="Times New Roman" w:cs="Times New Roman"/>
          <w:i/>
          <w:iCs/>
          <w:sz w:val="24"/>
          <w:szCs w:val="24"/>
          <w:lang w:val="en-US"/>
        </w:rPr>
        <w:t>Lobsters: Biology, fisheries and aquaculture</w:t>
      </w:r>
      <w:r w:rsidRPr="008F7DC7">
        <w:rPr>
          <w:rFonts w:ascii="Times New Roman" w:eastAsia="Times New Roman" w:hAnsi="Times New Roman" w:cs="Times New Roman"/>
          <w:sz w:val="24"/>
          <w:szCs w:val="24"/>
          <w:lang w:val="en-US"/>
        </w:rPr>
        <w:t xml:space="preserve"> (2nd ed., pp. 1–33). Springer. https://doi.org/10.1007/978-981-32-9094-5_1 </w:t>
      </w:r>
    </w:p>
    <w:p w14:paraId="35B4EC80" w14:textId="089D43CC"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Ristea, E., Bisinicu, E., Lavric, V., Parvulescu, O. C., &amp; Lazar, L. (2025). A long-term perspective of seasonal shifts in nutrient dynamics and eutrophication in the Romanian Black Sea Coast. </w:t>
      </w:r>
      <w:r w:rsidRPr="008F7DC7">
        <w:rPr>
          <w:rFonts w:ascii="Times New Roman" w:eastAsia="Times New Roman" w:hAnsi="Times New Roman" w:cs="Times New Roman"/>
          <w:i/>
          <w:iCs/>
          <w:sz w:val="24"/>
          <w:szCs w:val="24"/>
          <w:lang w:val="en-US"/>
        </w:rPr>
        <w:t>Sustainability, 17</w:t>
      </w:r>
      <w:r w:rsidRPr="008F7DC7">
        <w:rPr>
          <w:rFonts w:ascii="Times New Roman" w:eastAsia="Times New Roman" w:hAnsi="Times New Roman" w:cs="Times New Roman"/>
          <w:sz w:val="24"/>
          <w:szCs w:val="24"/>
          <w:lang w:val="en-US"/>
        </w:rPr>
        <w:t xml:space="preserve">(3), Article 1090. </w:t>
      </w:r>
      <w:hyperlink r:id="rId37" w:tgtFrame="_new" w:history="1">
        <w:r w:rsidRPr="008F7DC7">
          <w:rPr>
            <w:rFonts w:ascii="Times New Roman" w:eastAsia="Times New Roman" w:hAnsi="Times New Roman" w:cs="Times New Roman"/>
            <w:color w:val="0000FF"/>
            <w:sz w:val="24"/>
            <w:szCs w:val="24"/>
            <w:u w:val="single"/>
            <w:lang w:val="en-US"/>
          </w:rPr>
          <w:t>https://doi.org/10.3390/su17031090</w:t>
        </w:r>
      </w:hyperlink>
      <w:r w:rsidRPr="008F7DC7">
        <w:rPr>
          <w:rFonts w:ascii="Times New Roman" w:eastAsia="Times New Roman" w:hAnsi="Times New Roman" w:cs="Times New Roman"/>
          <w:sz w:val="24"/>
          <w:szCs w:val="24"/>
          <w:lang w:val="en-US"/>
        </w:rPr>
        <w:t xml:space="preserve"> </w:t>
      </w:r>
    </w:p>
    <w:p w14:paraId="78E1B14E" w14:textId="68137AD2"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lastRenderedPageBreak/>
        <w:t xml:space="preserve">Sidik, M. J., Rashed-Un-Nabi, M., &amp; Hoque, M. A. (2008). Distribution of phytoplankton community in relation to environmental parameters in cage culture area of Sepanggar Bay, Sabah, Malaysia. </w:t>
      </w:r>
      <w:r w:rsidRPr="008F7DC7">
        <w:rPr>
          <w:rFonts w:ascii="Times New Roman" w:eastAsia="Times New Roman" w:hAnsi="Times New Roman" w:cs="Times New Roman"/>
          <w:i/>
          <w:iCs/>
          <w:sz w:val="24"/>
          <w:szCs w:val="24"/>
          <w:lang w:val="en-US"/>
        </w:rPr>
        <w:t>Estuarine, Coastal and Shelf Science, 80</w:t>
      </w:r>
      <w:r w:rsidRPr="008F7DC7">
        <w:rPr>
          <w:rFonts w:ascii="Times New Roman" w:eastAsia="Times New Roman" w:hAnsi="Times New Roman" w:cs="Times New Roman"/>
          <w:sz w:val="24"/>
          <w:szCs w:val="24"/>
          <w:lang w:val="en-US"/>
        </w:rPr>
        <w:t xml:space="preserve">(2), 251–260. </w:t>
      </w:r>
      <w:hyperlink r:id="rId38" w:tgtFrame="_new" w:history="1">
        <w:r w:rsidRPr="008F7DC7">
          <w:rPr>
            <w:rFonts w:ascii="Times New Roman" w:eastAsia="Times New Roman" w:hAnsi="Times New Roman" w:cs="Times New Roman"/>
            <w:color w:val="0000FF"/>
            <w:sz w:val="24"/>
            <w:szCs w:val="24"/>
            <w:u w:val="single"/>
            <w:lang w:val="en-US"/>
          </w:rPr>
          <w:t>https://doi.org/10.1016/j.ecss.2008.08.004</w:t>
        </w:r>
      </w:hyperlink>
      <w:r w:rsidRPr="008F7DC7">
        <w:rPr>
          <w:rFonts w:ascii="Times New Roman" w:eastAsia="Times New Roman" w:hAnsi="Times New Roman" w:cs="Times New Roman"/>
          <w:sz w:val="24"/>
          <w:szCs w:val="24"/>
          <w:lang w:val="en-US"/>
        </w:rPr>
        <w:t xml:space="preserve"> </w:t>
      </w:r>
    </w:p>
    <w:p w14:paraId="055BF021" w14:textId="593CA6BD"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Tade, M. S., Mojjada, S. K., Pokkathappada, A. A., Bagde, P. S., Ramshad, T. S., Soni, M., Subramanian, A., Sundaram, S. L. P., Ignatius, B., Raghavan, S. V., Gopalakrishnan, A., &amp; Divu, D. N. (2026). Ecosystem-based assessment of tropical lobster sea cage farming impact: A novel BACI-framework for sustainable mariculture expansion along the Northeast coast of Arabian Sea. </w:t>
      </w:r>
      <w:r w:rsidRPr="008F7DC7">
        <w:rPr>
          <w:rFonts w:ascii="Times New Roman" w:eastAsia="Times New Roman" w:hAnsi="Times New Roman" w:cs="Times New Roman"/>
          <w:i/>
          <w:iCs/>
          <w:sz w:val="24"/>
          <w:szCs w:val="24"/>
          <w:lang w:val="en-US"/>
        </w:rPr>
        <w:t>Aquaculture, 613</w:t>
      </w:r>
      <w:r w:rsidRPr="008F7DC7">
        <w:rPr>
          <w:rFonts w:ascii="Times New Roman" w:eastAsia="Times New Roman" w:hAnsi="Times New Roman" w:cs="Times New Roman"/>
          <w:sz w:val="24"/>
          <w:szCs w:val="24"/>
          <w:lang w:val="en-US"/>
        </w:rPr>
        <w:t xml:space="preserve">, Article 743294. </w:t>
      </w:r>
      <w:hyperlink r:id="rId39" w:tgtFrame="_new" w:history="1">
        <w:r w:rsidRPr="008F7DC7">
          <w:rPr>
            <w:rFonts w:ascii="Times New Roman" w:eastAsia="Times New Roman" w:hAnsi="Times New Roman" w:cs="Times New Roman"/>
            <w:color w:val="0000FF"/>
            <w:sz w:val="24"/>
            <w:szCs w:val="24"/>
            <w:u w:val="single"/>
            <w:lang w:val="en-US"/>
          </w:rPr>
          <w:t>https://doi.org/10.1016/j.aquaculture.2025.743294</w:t>
        </w:r>
      </w:hyperlink>
      <w:r w:rsidRPr="008F7DC7">
        <w:rPr>
          <w:rFonts w:ascii="Times New Roman" w:eastAsia="Times New Roman" w:hAnsi="Times New Roman" w:cs="Times New Roman"/>
          <w:sz w:val="24"/>
          <w:szCs w:val="24"/>
          <w:lang w:val="en-US"/>
        </w:rPr>
        <w:t xml:space="preserve"> </w:t>
      </w:r>
    </w:p>
    <w:p w14:paraId="3317DFF5" w14:textId="13BC20A0"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Verdegem, M. C. J. (2013). Nutrient discharge from aquaculture operations in function of system design and production environment. </w:t>
      </w:r>
      <w:r w:rsidRPr="008F7DC7">
        <w:rPr>
          <w:rFonts w:ascii="Times New Roman" w:eastAsia="Times New Roman" w:hAnsi="Times New Roman" w:cs="Times New Roman"/>
          <w:i/>
          <w:iCs/>
          <w:sz w:val="24"/>
          <w:szCs w:val="24"/>
          <w:lang w:val="en-US"/>
        </w:rPr>
        <w:t>Reviews in Aquaculture, 5</w:t>
      </w:r>
      <w:r w:rsidRPr="008F7DC7">
        <w:rPr>
          <w:rFonts w:ascii="Times New Roman" w:eastAsia="Times New Roman" w:hAnsi="Times New Roman" w:cs="Times New Roman"/>
          <w:sz w:val="24"/>
          <w:szCs w:val="24"/>
          <w:lang w:val="en-US"/>
        </w:rPr>
        <w:t xml:space="preserve">(3), 158–171. </w:t>
      </w:r>
      <w:hyperlink r:id="rId40" w:tgtFrame="_new" w:history="1">
        <w:r w:rsidRPr="008F7DC7">
          <w:rPr>
            <w:rFonts w:ascii="Times New Roman" w:eastAsia="Times New Roman" w:hAnsi="Times New Roman" w:cs="Times New Roman"/>
            <w:color w:val="0000FF"/>
            <w:sz w:val="24"/>
            <w:szCs w:val="24"/>
            <w:u w:val="single"/>
            <w:lang w:val="en-US"/>
          </w:rPr>
          <w:t>https://doi.org/10.1111/raq.12011</w:t>
        </w:r>
      </w:hyperlink>
      <w:r w:rsidRPr="008F7DC7">
        <w:rPr>
          <w:rFonts w:ascii="Times New Roman" w:eastAsia="Times New Roman" w:hAnsi="Times New Roman" w:cs="Times New Roman"/>
          <w:sz w:val="24"/>
          <w:szCs w:val="24"/>
          <w:lang w:val="en-US"/>
        </w:rPr>
        <w:t xml:space="preserve"> </w:t>
      </w:r>
    </w:p>
    <w:p w14:paraId="35F775CC" w14:textId="43EE1DC7"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Wang, X., Olsen, L. M., Reitan, K. I., &amp; Olsen, Y. (2012). Discharge of nutrient wastes from salmon farms: Environmental effects, and potential for integrated multi-trophic aquaculture. </w:t>
      </w:r>
      <w:r w:rsidRPr="008F7DC7">
        <w:rPr>
          <w:rFonts w:ascii="Times New Roman" w:eastAsia="Times New Roman" w:hAnsi="Times New Roman" w:cs="Times New Roman"/>
          <w:i/>
          <w:iCs/>
          <w:sz w:val="24"/>
          <w:szCs w:val="24"/>
          <w:lang w:val="en-US"/>
        </w:rPr>
        <w:t>Aquaculture Environment Interactions, 2</w:t>
      </w:r>
      <w:r w:rsidRPr="008F7DC7">
        <w:rPr>
          <w:rFonts w:ascii="Times New Roman" w:eastAsia="Times New Roman" w:hAnsi="Times New Roman" w:cs="Times New Roman"/>
          <w:sz w:val="24"/>
          <w:szCs w:val="24"/>
          <w:lang w:val="en-US"/>
        </w:rPr>
        <w:t xml:space="preserve">(3), 267–283. https://doi.org/10.3354/aei00044 </w:t>
      </w:r>
    </w:p>
    <w:p w14:paraId="716EEAFF" w14:textId="35CD630C"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nl-BE"/>
        </w:rPr>
        <w:t xml:space="preserve">Wen, Y., Wei, X., Shu, T., Zhou, J., Yu, G., Li, F., &amp; Huang, Y. (2007). </w:t>
      </w:r>
      <w:r w:rsidRPr="008F7DC7">
        <w:rPr>
          <w:rFonts w:ascii="Times New Roman" w:eastAsia="Times New Roman" w:hAnsi="Times New Roman" w:cs="Times New Roman"/>
          <w:sz w:val="24"/>
          <w:szCs w:val="24"/>
          <w:lang w:val="en-US"/>
        </w:rPr>
        <w:t xml:space="preserve">Forms and balance of nitrogen and phosphorus in cage culture waters in Guangdong Province, China. </w:t>
      </w:r>
      <w:r w:rsidRPr="008F7DC7">
        <w:rPr>
          <w:rFonts w:ascii="Times New Roman" w:eastAsia="Times New Roman" w:hAnsi="Times New Roman" w:cs="Times New Roman"/>
          <w:i/>
          <w:iCs/>
          <w:sz w:val="24"/>
          <w:szCs w:val="24"/>
          <w:lang w:val="en-US"/>
        </w:rPr>
        <w:t>Chinese Geographical Science, 17</w:t>
      </w:r>
      <w:r w:rsidRPr="008F7DC7">
        <w:rPr>
          <w:rFonts w:ascii="Times New Roman" w:eastAsia="Times New Roman" w:hAnsi="Times New Roman" w:cs="Times New Roman"/>
          <w:sz w:val="24"/>
          <w:szCs w:val="24"/>
          <w:lang w:val="en-US"/>
        </w:rPr>
        <w:t xml:space="preserve">, 370–375. </w:t>
      </w:r>
      <w:hyperlink r:id="rId41" w:tgtFrame="_new" w:history="1">
        <w:r w:rsidRPr="008F7DC7">
          <w:rPr>
            <w:rFonts w:ascii="Times New Roman" w:eastAsia="Times New Roman" w:hAnsi="Times New Roman" w:cs="Times New Roman"/>
            <w:color w:val="0000FF"/>
            <w:sz w:val="24"/>
            <w:szCs w:val="24"/>
            <w:u w:val="single"/>
            <w:lang w:val="en-US"/>
          </w:rPr>
          <w:t>https://doi.org/10.1007/s11769-007-0370-9</w:t>
        </w:r>
      </w:hyperlink>
      <w:r w:rsidRPr="008F7DC7">
        <w:rPr>
          <w:rFonts w:ascii="Times New Roman" w:eastAsia="Times New Roman" w:hAnsi="Times New Roman" w:cs="Times New Roman"/>
          <w:sz w:val="24"/>
          <w:szCs w:val="24"/>
          <w:lang w:val="en-US"/>
        </w:rPr>
        <w:t xml:space="preserve"> </w:t>
      </w:r>
    </w:p>
    <w:p w14:paraId="473A3B50" w14:textId="387A0764"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Fathan, M. R. R. N., Hasan, Z., Apriliani, I. M., &amp; Herawati, H. (2020). Phytoplankton community structure as bioindicator of water quality in floating net cage area with different density at Cirata Reservoir. </w:t>
      </w:r>
      <w:r w:rsidRPr="008F7DC7">
        <w:rPr>
          <w:rFonts w:ascii="Times New Roman" w:eastAsia="Times New Roman" w:hAnsi="Times New Roman" w:cs="Times New Roman"/>
          <w:i/>
          <w:iCs/>
          <w:sz w:val="24"/>
          <w:szCs w:val="24"/>
          <w:lang w:val="en-US"/>
        </w:rPr>
        <w:t>Asian Journal of Fisheries and Aquatic Research, 6</w:t>
      </w:r>
      <w:r w:rsidRPr="008F7DC7">
        <w:rPr>
          <w:rFonts w:ascii="Times New Roman" w:eastAsia="Times New Roman" w:hAnsi="Times New Roman" w:cs="Times New Roman"/>
          <w:sz w:val="24"/>
          <w:szCs w:val="24"/>
          <w:lang w:val="en-US"/>
        </w:rPr>
        <w:t xml:space="preserve">(4), 19–30. </w:t>
      </w:r>
      <w:hyperlink r:id="rId42" w:tgtFrame="_new" w:history="1">
        <w:r w:rsidRPr="008F7DC7">
          <w:rPr>
            <w:rFonts w:ascii="Times New Roman" w:eastAsia="Times New Roman" w:hAnsi="Times New Roman" w:cs="Times New Roman"/>
            <w:color w:val="0000FF"/>
            <w:sz w:val="24"/>
            <w:szCs w:val="24"/>
            <w:u w:val="single"/>
            <w:lang w:val="en-US"/>
          </w:rPr>
          <w:t>https://doi.org/10.9734/ajfar/2020/v6i430103</w:t>
        </w:r>
      </w:hyperlink>
      <w:r w:rsidRPr="008F7DC7">
        <w:rPr>
          <w:rFonts w:ascii="Times New Roman" w:eastAsia="Times New Roman" w:hAnsi="Times New Roman" w:cs="Times New Roman"/>
          <w:sz w:val="24"/>
          <w:szCs w:val="24"/>
          <w:lang w:val="en-US"/>
        </w:rPr>
        <w:t xml:space="preserve"> </w:t>
      </w:r>
    </w:p>
    <w:p w14:paraId="20023D83" w14:textId="28BB0033"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Alexander, T. (2026). Post-monsoon phytoplankton productivity and community structure in the lower reaches of the Kallada River, South India. </w:t>
      </w:r>
      <w:r w:rsidRPr="008F7DC7">
        <w:rPr>
          <w:rFonts w:ascii="Times New Roman" w:eastAsia="Times New Roman" w:hAnsi="Times New Roman" w:cs="Times New Roman"/>
          <w:i/>
          <w:iCs/>
          <w:sz w:val="24"/>
          <w:szCs w:val="24"/>
          <w:lang w:val="en-US"/>
        </w:rPr>
        <w:t>Journal of Biology and Nature, 18</w:t>
      </w:r>
      <w:r w:rsidRPr="008F7DC7">
        <w:rPr>
          <w:rFonts w:ascii="Times New Roman" w:eastAsia="Times New Roman" w:hAnsi="Times New Roman" w:cs="Times New Roman"/>
          <w:sz w:val="24"/>
          <w:szCs w:val="24"/>
          <w:lang w:val="en-US"/>
        </w:rPr>
        <w:t xml:space="preserve">(1), 234–244. </w:t>
      </w:r>
      <w:hyperlink r:id="rId43" w:tgtFrame="_new" w:history="1">
        <w:r w:rsidRPr="008F7DC7">
          <w:rPr>
            <w:rFonts w:ascii="Times New Roman" w:eastAsia="Times New Roman" w:hAnsi="Times New Roman" w:cs="Times New Roman"/>
            <w:color w:val="0000FF"/>
            <w:sz w:val="24"/>
            <w:szCs w:val="24"/>
            <w:u w:val="single"/>
            <w:lang w:val="en-US"/>
          </w:rPr>
          <w:t>https://doi.org/10.56557/joban/2026/v18i110291</w:t>
        </w:r>
      </w:hyperlink>
      <w:r w:rsidRPr="008F7DC7">
        <w:rPr>
          <w:rFonts w:ascii="Times New Roman" w:eastAsia="Times New Roman" w:hAnsi="Times New Roman" w:cs="Times New Roman"/>
          <w:sz w:val="24"/>
          <w:szCs w:val="24"/>
          <w:lang w:val="en-US"/>
        </w:rPr>
        <w:t xml:space="preserve"> </w:t>
      </w:r>
    </w:p>
    <w:p w14:paraId="10FE8F14" w14:textId="727CC6EB" w:rsidR="008F7DC7" w:rsidRPr="008F7DC7" w:rsidRDefault="008F7DC7" w:rsidP="008F7DC7">
      <w:pPr>
        <w:spacing w:after="0" w:line="240" w:lineRule="auto"/>
        <w:ind w:left="540" w:hanging="540"/>
        <w:jc w:val="both"/>
        <w:rPr>
          <w:rFonts w:ascii="Times New Roman" w:eastAsia="Times New Roman" w:hAnsi="Times New Roman" w:cs="Times New Roman"/>
          <w:sz w:val="24"/>
          <w:szCs w:val="24"/>
          <w:lang w:val="en-US"/>
        </w:rPr>
      </w:pPr>
      <w:r w:rsidRPr="008F7DC7">
        <w:rPr>
          <w:rFonts w:ascii="Times New Roman" w:eastAsia="Times New Roman" w:hAnsi="Times New Roman" w:cs="Times New Roman"/>
          <w:sz w:val="24"/>
          <w:szCs w:val="24"/>
          <w:lang w:val="en-US"/>
        </w:rPr>
        <w:t xml:space="preserve">Ray, N. E., Bonaglia, S., Cavan, E. L., Sampaio, F. G., Gephart, J. A., Hillman, J. R., Hornborg, S., Paradis, S., Petrik, C. M., Tiano, J., &amp; Yuan, J. (2025). Biogeochemical consequences of marine fisheries and aquaculture. </w:t>
      </w:r>
      <w:r w:rsidRPr="008F7DC7">
        <w:rPr>
          <w:rFonts w:ascii="Times New Roman" w:eastAsia="Times New Roman" w:hAnsi="Times New Roman" w:cs="Times New Roman"/>
          <w:i/>
          <w:iCs/>
          <w:sz w:val="24"/>
          <w:szCs w:val="24"/>
          <w:lang w:val="en-US"/>
        </w:rPr>
        <w:t>Nature Reviews Earth &amp; Environment, 6</w:t>
      </w:r>
      <w:r w:rsidRPr="008F7DC7">
        <w:rPr>
          <w:rFonts w:ascii="Times New Roman" w:eastAsia="Times New Roman" w:hAnsi="Times New Roman" w:cs="Times New Roman"/>
          <w:sz w:val="24"/>
          <w:szCs w:val="24"/>
          <w:lang w:val="en-US"/>
        </w:rPr>
        <w:t xml:space="preserve">, 163–177. </w:t>
      </w:r>
      <w:hyperlink r:id="rId44" w:tgtFrame="_new" w:history="1">
        <w:r w:rsidRPr="008F7DC7">
          <w:rPr>
            <w:rFonts w:ascii="Times New Roman" w:eastAsia="Times New Roman" w:hAnsi="Times New Roman" w:cs="Times New Roman"/>
            <w:color w:val="0000FF"/>
            <w:sz w:val="24"/>
            <w:szCs w:val="24"/>
            <w:u w:val="single"/>
            <w:lang w:val="en-US"/>
          </w:rPr>
          <w:t>https://doi.org/10.1038/s43017-024-00633-y</w:t>
        </w:r>
      </w:hyperlink>
      <w:r w:rsidRPr="008F7DC7">
        <w:rPr>
          <w:rFonts w:ascii="Times New Roman" w:eastAsia="Times New Roman" w:hAnsi="Times New Roman" w:cs="Times New Roman"/>
          <w:sz w:val="24"/>
          <w:szCs w:val="24"/>
          <w:lang w:val="en-US"/>
        </w:rPr>
        <w:t xml:space="preserve"> </w:t>
      </w:r>
    </w:p>
    <w:p w14:paraId="4503C557" w14:textId="34089B0A" w:rsidR="006B76B5" w:rsidRPr="008F7DC7" w:rsidRDefault="008F7DC7" w:rsidP="008F7DC7">
      <w:pPr>
        <w:ind w:left="540" w:hanging="540"/>
        <w:jc w:val="both"/>
        <w:rPr>
          <w:rFonts w:ascii="Arial" w:hAnsi="Arial" w:cs="Arial"/>
          <w:bCs/>
          <w:sz w:val="20"/>
        </w:rPr>
      </w:pPr>
      <w:r w:rsidRPr="008F7DC7">
        <w:rPr>
          <w:rFonts w:ascii="Times New Roman" w:eastAsia="Times New Roman" w:hAnsi="Times New Roman" w:cs="Times New Roman"/>
          <w:sz w:val="24"/>
          <w:szCs w:val="24"/>
          <w:lang w:val="en-US"/>
        </w:rPr>
        <w:t xml:space="preserve">Touni, O., Sajjadi, N., Moosakhani, F., &amp; Mahmoudkhani, R. (2024). Assessing the impact and spatial pattern of diffusion of nutrient from cage culture by using CORMIX modeling in the coastal ecosystem of the Caspian Sea. </w:t>
      </w:r>
      <w:r w:rsidRPr="008F7DC7">
        <w:rPr>
          <w:rFonts w:ascii="Times New Roman" w:eastAsia="Times New Roman" w:hAnsi="Times New Roman" w:cs="Times New Roman"/>
          <w:i/>
          <w:iCs/>
          <w:sz w:val="24"/>
          <w:szCs w:val="24"/>
          <w:lang w:val="en-US"/>
        </w:rPr>
        <w:t>Iranian Journal of Science and Technology, Transactions A: Science, 48</w:t>
      </w:r>
      <w:r w:rsidRPr="008F7DC7">
        <w:rPr>
          <w:rFonts w:ascii="Times New Roman" w:eastAsia="Times New Roman" w:hAnsi="Times New Roman" w:cs="Times New Roman"/>
          <w:sz w:val="24"/>
          <w:szCs w:val="24"/>
          <w:lang w:val="en-US"/>
        </w:rPr>
        <w:t xml:space="preserve">, 1443–1452. </w:t>
      </w:r>
      <w:hyperlink r:id="rId45" w:tgtFrame="_new" w:history="1">
        <w:r w:rsidRPr="008F7DC7">
          <w:rPr>
            <w:rFonts w:ascii="Times New Roman" w:eastAsia="Times New Roman" w:hAnsi="Times New Roman" w:cs="Times New Roman"/>
            <w:color w:val="0000FF"/>
            <w:sz w:val="24"/>
            <w:szCs w:val="24"/>
            <w:u w:val="single"/>
            <w:lang w:val="en-US"/>
          </w:rPr>
          <w:t>https://doi.org/10.1007/s40995-024-01687-9</w:t>
        </w:r>
      </w:hyperlink>
    </w:p>
    <w:p w14:paraId="3CB68514" w14:textId="77777777" w:rsidR="001F6A02" w:rsidRPr="00B4215C" w:rsidRDefault="001F6A02" w:rsidP="00EF2630">
      <w:pPr>
        <w:jc w:val="both"/>
        <w:rPr>
          <w:rFonts w:ascii="Arial" w:hAnsi="Arial" w:cs="Arial"/>
          <w:bCs/>
          <w:sz w:val="20"/>
        </w:rPr>
      </w:pPr>
    </w:p>
    <w:p w14:paraId="411C2E60" w14:textId="77777777" w:rsidR="001F6A02" w:rsidRPr="00B4215C" w:rsidRDefault="001F6A02" w:rsidP="00EF2630">
      <w:pPr>
        <w:jc w:val="both"/>
        <w:rPr>
          <w:rFonts w:ascii="Arial" w:hAnsi="Arial" w:cs="Arial"/>
          <w:bCs/>
          <w:sz w:val="20"/>
        </w:rPr>
      </w:pPr>
    </w:p>
    <w:p w14:paraId="712BF81B" w14:textId="77777777" w:rsidR="001F6A02" w:rsidRPr="00B4215C" w:rsidRDefault="001F6A02" w:rsidP="00EF2630">
      <w:pPr>
        <w:jc w:val="both"/>
        <w:rPr>
          <w:rFonts w:ascii="Arial" w:hAnsi="Arial" w:cs="Arial"/>
          <w:bCs/>
          <w:sz w:val="20"/>
        </w:rPr>
      </w:pPr>
    </w:p>
    <w:p w14:paraId="3EDA1ED7" w14:textId="77777777" w:rsidR="001F6A02" w:rsidRPr="00B4215C" w:rsidRDefault="001F6A02" w:rsidP="00EF2630">
      <w:pPr>
        <w:jc w:val="both"/>
        <w:rPr>
          <w:rFonts w:ascii="Arial" w:hAnsi="Arial" w:cs="Arial"/>
          <w:bCs/>
          <w:sz w:val="20"/>
        </w:rPr>
      </w:pPr>
    </w:p>
    <w:p w14:paraId="50DE01D6" w14:textId="77777777" w:rsidR="001F6A02" w:rsidRPr="00B4215C" w:rsidRDefault="001F6A02" w:rsidP="00EF2630">
      <w:pPr>
        <w:jc w:val="both"/>
        <w:rPr>
          <w:rFonts w:ascii="Arial" w:hAnsi="Arial" w:cs="Arial"/>
          <w:bCs/>
          <w:sz w:val="20"/>
        </w:rPr>
      </w:pPr>
    </w:p>
    <w:p w14:paraId="6FF93F83" w14:textId="77777777" w:rsidR="001F6A02" w:rsidRPr="00B4215C" w:rsidRDefault="001F6A02" w:rsidP="00EF2630">
      <w:pPr>
        <w:jc w:val="both"/>
        <w:rPr>
          <w:rFonts w:ascii="Arial" w:hAnsi="Arial" w:cs="Arial"/>
          <w:bCs/>
          <w:sz w:val="20"/>
        </w:rPr>
      </w:pPr>
    </w:p>
    <w:p w14:paraId="48067D73" w14:textId="77777777" w:rsidR="001F6A02" w:rsidRPr="00B4215C" w:rsidRDefault="001F6A02" w:rsidP="00EF2630">
      <w:pPr>
        <w:jc w:val="both"/>
        <w:rPr>
          <w:rFonts w:ascii="Arial" w:hAnsi="Arial" w:cs="Arial"/>
          <w:bCs/>
          <w:sz w:val="20"/>
        </w:rPr>
      </w:pPr>
    </w:p>
    <w:p w14:paraId="3C077E2B" w14:textId="77777777" w:rsidR="001F6A02" w:rsidRPr="00B4215C" w:rsidRDefault="001F6A02" w:rsidP="00EF2630">
      <w:pPr>
        <w:jc w:val="both"/>
        <w:rPr>
          <w:rFonts w:ascii="Arial" w:hAnsi="Arial" w:cs="Arial"/>
          <w:bCs/>
          <w:sz w:val="20"/>
        </w:rPr>
      </w:pPr>
    </w:p>
    <w:p w14:paraId="068005DA" w14:textId="77777777" w:rsidR="001F6A02" w:rsidRPr="00B4215C" w:rsidRDefault="001F6A02" w:rsidP="00EF2630">
      <w:pPr>
        <w:jc w:val="both"/>
        <w:rPr>
          <w:rFonts w:ascii="Arial" w:hAnsi="Arial" w:cs="Arial"/>
          <w:bCs/>
          <w:sz w:val="20"/>
        </w:rPr>
      </w:pPr>
    </w:p>
    <w:p w14:paraId="786D2195" w14:textId="77777777" w:rsidR="001F6A02" w:rsidRPr="00B4215C" w:rsidRDefault="001F6A02" w:rsidP="00EF2630">
      <w:pPr>
        <w:jc w:val="both"/>
        <w:rPr>
          <w:rFonts w:ascii="Arial" w:hAnsi="Arial" w:cs="Arial"/>
          <w:bCs/>
          <w:sz w:val="20"/>
        </w:rPr>
      </w:pPr>
    </w:p>
    <w:p w14:paraId="0DAE4379" w14:textId="77777777" w:rsidR="001F6A02" w:rsidRPr="00B4215C" w:rsidRDefault="001F6A02" w:rsidP="00EF2630">
      <w:pPr>
        <w:jc w:val="both"/>
        <w:rPr>
          <w:rFonts w:ascii="Arial" w:hAnsi="Arial" w:cs="Arial"/>
          <w:bCs/>
          <w:sz w:val="20"/>
        </w:rPr>
      </w:pPr>
    </w:p>
    <w:p w14:paraId="715F33A0" w14:textId="77777777" w:rsidR="001F6A02" w:rsidRPr="00B4215C" w:rsidRDefault="001F6A02" w:rsidP="00EF2630">
      <w:pPr>
        <w:jc w:val="both"/>
        <w:rPr>
          <w:rFonts w:ascii="Arial" w:hAnsi="Arial" w:cs="Arial"/>
          <w:bCs/>
          <w:sz w:val="20"/>
        </w:rPr>
      </w:pPr>
    </w:p>
    <w:p w14:paraId="6C4C6394" w14:textId="77777777" w:rsidR="001F6A02" w:rsidRPr="00B4215C" w:rsidRDefault="001F6A02" w:rsidP="00EF2630">
      <w:pPr>
        <w:jc w:val="both"/>
        <w:rPr>
          <w:rFonts w:ascii="Arial" w:hAnsi="Arial" w:cs="Arial"/>
          <w:bCs/>
          <w:sz w:val="20"/>
        </w:rPr>
      </w:pPr>
    </w:p>
    <w:p w14:paraId="499518AE" w14:textId="77777777" w:rsidR="001F6A02" w:rsidRPr="00B4215C" w:rsidRDefault="001F6A02" w:rsidP="00EF2630">
      <w:pPr>
        <w:jc w:val="both"/>
        <w:rPr>
          <w:rFonts w:ascii="Arial" w:hAnsi="Arial" w:cs="Arial"/>
          <w:bCs/>
          <w:sz w:val="20"/>
        </w:rPr>
      </w:pPr>
    </w:p>
    <w:p w14:paraId="77E0A50C" w14:textId="77777777" w:rsidR="006B76B5" w:rsidRPr="00B4215C" w:rsidRDefault="006B76B5" w:rsidP="00EF2630">
      <w:pPr>
        <w:jc w:val="both"/>
        <w:rPr>
          <w:rFonts w:ascii="Arial" w:hAnsi="Arial" w:cs="Arial"/>
          <w:bCs/>
          <w:sz w:val="20"/>
        </w:rPr>
      </w:pPr>
    </w:p>
    <w:p w14:paraId="0028B566" w14:textId="77777777" w:rsidR="00EF2630" w:rsidRPr="00B4215C" w:rsidRDefault="00EF2630" w:rsidP="00EF2630">
      <w:pPr>
        <w:spacing w:before="100" w:beforeAutospacing="1" w:after="100" w:afterAutospacing="1" w:line="240" w:lineRule="auto"/>
        <w:jc w:val="both"/>
        <w:rPr>
          <w:rFonts w:ascii="Arial" w:eastAsia="Times New Roman" w:hAnsi="Arial" w:cs="Arial"/>
          <w:b/>
          <w:lang w:eastAsia="en-IN"/>
        </w:rPr>
      </w:pPr>
      <w:r w:rsidRPr="00B4215C">
        <w:rPr>
          <w:rFonts w:ascii="Arial" w:eastAsia="Times New Roman" w:hAnsi="Arial" w:cs="Arial"/>
          <w:b/>
          <w:lang w:eastAsia="en-IN"/>
        </w:rPr>
        <w:t>APPENDIX:</w:t>
      </w:r>
    </w:p>
    <w:p w14:paraId="34C3BD3B" w14:textId="77777777" w:rsidR="00EF2630" w:rsidRPr="00B4215C" w:rsidRDefault="00EF2630" w:rsidP="00424AAE">
      <w:pPr>
        <w:autoSpaceDE w:val="0"/>
        <w:autoSpaceDN w:val="0"/>
        <w:adjustRightInd w:val="0"/>
        <w:spacing w:after="0" w:line="480" w:lineRule="auto"/>
        <w:jc w:val="both"/>
        <w:rPr>
          <w:rFonts w:ascii="Arial" w:hAnsi="Arial" w:cs="Arial"/>
        </w:rPr>
      </w:pPr>
      <w:r w:rsidRPr="00B4215C">
        <w:rPr>
          <w:rFonts w:ascii="Arial" w:hAnsi="Arial" w:cs="Arial"/>
          <w:b/>
        </w:rPr>
        <w:t>Table A1</w:t>
      </w:r>
      <w:r w:rsidRPr="00B4215C">
        <w:rPr>
          <w:rFonts w:ascii="Arial" w:hAnsi="Arial" w:cs="Arial"/>
        </w:rPr>
        <w:t xml:space="preserve"> List of phytoplankton species and their abundance recorded during the study period.</w:t>
      </w:r>
    </w:p>
    <w:tbl>
      <w:tblPr>
        <w:tblW w:w="10114" w:type="dxa"/>
        <w:jc w:val="center"/>
        <w:tblLook w:val="04A0" w:firstRow="1" w:lastRow="0" w:firstColumn="1" w:lastColumn="0" w:noHBand="0" w:noVBand="1"/>
      </w:tblPr>
      <w:tblGrid>
        <w:gridCol w:w="740"/>
        <w:gridCol w:w="3513"/>
        <w:gridCol w:w="1388"/>
        <w:gridCol w:w="1520"/>
        <w:gridCol w:w="1520"/>
        <w:gridCol w:w="1433"/>
      </w:tblGrid>
      <w:tr w:rsidR="00EF2630" w:rsidRPr="00B4215C" w14:paraId="44AFD043" w14:textId="77777777" w:rsidTr="00817E5A">
        <w:trPr>
          <w:trHeight w:val="338"/>
          <w:jc w:val="center"/>
        </w:trPr>
        <w:tc>
          <w:tcPr>
            <w:tcW w:w="4253" w:type="dxa"/>
            <w:gridSpan w:val="2"/>
            <w:vMerge w:val="restart"/>
            <w:tcBorders>
              <w:top w:val="single" w:sz="4" w:space="0" w:color="auto"/>
              <w:left w:val="single" w:sz="4" w:space="0" w:color="auto"/>
              <w:right w:val="single" w:sz="4" w:space="0" w:color="auto"/>
            </w:tcBorders>
            <w:noWrap/>
            <w:hideMark/>
          </w:tcPr>
          <w:p w14:paraId="543F5C99" w14:textId="77777777" w:rsidR="00EF2630" w:rsidRPr="00B4215C" w:rsidRDefault="00EF2630" w:rsidP="00817E5A">
            <w:pPr>
              <w:spacing w:after="0" w:line="240" w:lineRule="auto"/>
              <w:jc w:val="center"/>
              <w:rPr>
                <w:rFonts w:ascii="Arial" w:eastAsia="Times New Roman" w:hAnsi="Arial" w:cs="Arial"/>
                <w:color w:val="000000"/>
                <w:lang w:eastAsia="en-IN"/>
              </w:rPr>
            </w:pPr>
            <w:bookmarkStart w:id="2" w:name="_Hlk202363024"/>
            <w:r w:rsidRPr="00B4215C">
              <w:rPr>
                <w:rFonts w:ascii="Arial" w:eastAsia="Times New Roman" w:hAnsi="Arial" w:cs="Arial"/>
                <w:color w:val="000000"/>
                <w:lang w:eastAsia="en-IN"/>
              </w:rPr>
              <w:t>Phytoplankton Species and (Symbols)</w:t>
            </w:r>
          </w:p>
          <w:p w14:paraId="1DD02B7B" w14:textId="77777777" w:rsidR="00EF2630" w:rsidRPr="00B4215C" w:rsidRDefault="00EF2630" w:rsidP="00817E5A">
            <w:pPr>
              <w:spacing w:after="0" w:line="240" w:lineRule="auto"/>
              <w:jc w:val="center"/>
              <w:rPr>
                <w:rFonts w:ascii="Arial" w:eastAsia="Times New Roman" w:hAnsi="Arial" w:cs="Arial"/>
                <w:color w:val="000000"/>
                <w:lang w:eastAsia="en-IN"/>
              </w:rPr>
            </w:pPr>
          </w:p>
        </w:tc>
        <w:tc>
          <w:tcPr>
            <w:tcW w:w="5861" w:type="dxa"/>
            <w:gridSpan w:val="4"/>
            <w:tcBorders>
              <w:top w:val="single" w:sz="4" w:space="0" w:color="auto"/>
              <w:left w:val="single" w:sz="4" w:space="0" w:color="auto"/>
              <w:bottom w:val="single" w:sz="4" w:space="0" w:color="auto"/>
              <w:right w:val="single" w:sz="4" w:space="0" w:color="auto"/>
            </w:tcBorders>
            <w:noWrap/>
            <w:hideMark/>
          </w:tcPr>
          <w:p w14:paraId="5620D59D"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Abundance</w:t>
            </w:r>
          </w:p>
        </w:tc>
      </w:tr>
      <w:tr w:rsidR="00EF2630" w:rsidRPr="00B4215C" w14:paraId="79651F6A" w14:textId="77777777" w:rsidTr="00817E5A">
        <w:trPr>
          <w:trHeight w:val="338"/>
          <w:jc w:val="center"/>
        </w:trPr>
        <w:tc>
          <w:tcPr>
            <w:tcW w:w="4253" w:type="dxa"/>
            <w:gridSpan w:val="2"/>
            <w:vMerge/>
            <w:tcBorders>
              <w:left w:val="single" w:sz="4" w:space="0" w:color="auto"/>
              <w:bottom w:val="single" w:sz="4" w:space="0" w:color="auto"/>
              <w:right w:val="single" w:sz="4" w:space="0" w:color="auto"/>
            </w:tcBorders>
            <w:noWrap/>
            <w:hideMark/>
          </w:tcPr>
          <w:p w14:paraId="27D56738" w14:textId="77777777" w:rsidR="00EF2630" w:rsidRPr="00B4215C" w:rsidRDefault="00EF2630" w:rsidP="00817E5A">
            <w:pPr>
              <w:spacing w:after="0" w:line="240" w:lineRule="auto"/>
              <w:jc w:val="center"/>
              <w:rPr>
                <w:rFonts w:ascii="Arial" w:eastAsia="Times New Roman" w:hAnsi="Arial" w:cs="Arial"/>
                <w:color w:val="000000"/>
                <w:lang w:eastAsia="en-IN"/>
              </w:rPr>
            </w:pPr>
          </w:p>
        </w:tc>
        <w:tc>
          <w:tcPr>
            <w:tcW w:w="1388" w:type="dxa"/>
            <w:vMerge w:val="restart"/>
            <w:tcBorders>
              <w:top w:val="single" w:sz="4" w:space="0" w:color="auto"/>
              <w:left w:val="single" w:sz="4" w:space="0" w:color="auto"/>
              <w:right w:val="single" w:sz="4" w:space="0" w:color="auto"/>
            </w:tcBorders>
            <w:noWrap/>
            <w:hideMark/>
          </w:tcPr>
          <w:p w14:paraId="40E590C2" w14:textId="77777777" w:rsidR="00EF2630" w:rsidRPr="00B4215C" w:rsidRDefault="00EF2630" w:rsidP="00817E5A">
            <w:pPr>
              <w:spacing w:after="0" w:line="240" w:lineRule="auto"/>
              <w:jc w:val="center"/>
              <w:rPr>
                <w:rFonts w:ascii="Arial" w:eastAsia="Times New Roman" w:hAnsi="Arial" w:cs="Arial"/>
                <w:color w:val="000000"/>
                <w:lang w:eastAsia="en-IN"/>
              </w:rPr>
            </w:pPr>
          </w:p>
          <w:p w14:paraId="41EF2BE8"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Reference Site</w:t>
            </w:r>
          </w:p>
        </w:tc>
        <w:tc>
          <w:tcPr>
            <w:tcW w:w="4473" w:type="dxa"/>
            <w:gridSpan w:val="3"/>
            <w:tcBorders>
              <w:top w:val="single" w:sz="4" w:space="0" w:color="auto"/>
              <w:left w:val="single" w:sz="4" w:space="0" w:color="auto"/>
              <w:bottom w:val="single" w:sz="4" w:space="0" w:color="auto"/>
              <w:right w:val="single" w:sz="4" w:space="0" w:color="auto"/>
            </w:tcBorders>
            <w:noWrap/>
            <w:hideMark/>
          </w:tcPr>
          <w:p w14:paraId="0F743D6C"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Lobster Cage Culture Site</w:t>
            </w:r>
          </w:p>
        </w:tc>
      </w:tr>
      <w:tr w:rsidR="00EF2630" w:rsidRPr="00B4215C" w14:paraId="36B54D03" w14:textId="77777777" w:rsidTr="00817E5A">
        <w:trPr>
          <w:trHeight w:val="327"/>
          <w:jc w:val="center"/>
        </w:trPr>
        <w:tc>
          <w:tcPr>
            <w:tcW w:w="4253" w:type="dxa"/>
            <w:gridSpan w:val="2"/>
            <w:tcBorders>
              <w:top w:val="single" w:sz="4" w:space="0" w:color="auto"/>
              <w:left w:val="single" w:sz="4" w:space="0" w:color="auto"/>
              <w:bottom w:val="single" w:sz="4" w:space="0" w:color="auto"/>
              <w:right w:val="single" w:sz="4" w:space="0" w:color="auto"/>
            </w:tcBorders>
            <w:noWrap/>
            <w:hideMark/>
          </w:tcPr>
          <w:p w14:paraId="377314C7" w14:textId="77777777" w:rsidR="00EF2630" w:rsidRPr="00B4215C" w:rsidRDefault="00EF2630" w:rsidP="00817E5A">
            <w:pPr>
              <w:spacing w:after="0" w:line="240" w:lineRule="auto"/>
              <w:jc w:val="center"/>
              <w:rPr>
                <w:rFonts w:ascii="Arial" w:eastAsia="Times New Roman" w:hAnsi="Arial" w:cs="Arial"/>
                <w:b/>
                <w:bCs/>
                <w:color w:val="000000"/>
                <w:lang w:eastAsia="en-IN"/>
              </w:rPr>
            </w:pPr>
            <w:r w:rsidRPr="00B4215C">
              <w:rPr>
                <w:rFonts w:ascii="Arial" w:eastAsia="Times New Roman" w:hAnsi="Arial" w:cs="Arial"/>
                <w:color w:val="000000"/>
                <w:lang w:eastAsia="en-IN"/>
              </w:rPr>
              <w:t>Class: Bacillariophyceae (Diatoms)</w:t>
            </w:r>
          </w:p>
        </w:tc>
        <w:tc>
          <w:tcPr>
            <w:tcW w:w="1388" w:type="dxa"/>
            <w:vMerge/>
            <w:tcBorders>
              <w:left w:val="single" w:sz="4" w:space="0" w:color="auto"/>
              <w:right w:val="single" w:sz="4" w:space="0" w:color="auto"/>
            </w:tcBorders>
            <w:noWrap/>
            <w:hideMark/>
          </w:tcPr>
          <w:p w14:paraId="54F0E617" w14:textId="77777777" w:rsidR="00EF2630" w:rsidRPr="00B4215C" w:rsidRDefault="00EF2630" w:rsidP="00817E5A">
            <w:pPr>
              <w:spacing w:after="0" w:line="240" w:lineRule="auto"/>
              <w:jc w:val="center"/>
              <w:rPr>
                <w:rFonts w:ascii="Arial" w:eastAsia="Times New Roman" w:hAnsi="Arial" w:cs="Arial"/>
                <w:color w:val="000000"/>
                <w:lang w:eastAsia="en-IN"/>
              </w:rPr>
            </w:pPr>
          </w:p>
        </w:tc>
        <w:tc>
          <w:tcPr>
            <w:tcW w:w="1520" w:type="dxa"/>
            <w:vMerge w:val="restart"/>
            <w:tcBorders>
              <w:top w:val="single" w:sz="4" w:space="0" w:color="auto"/>
              <w:left w:val="single" w:sz="4" w:space="0" w:color="auto"/>
              <w:bottom w:val="single" w:sz="4" w:space="0" w:color="auto"/>
              <w:right w:val="single" w:sz="4" w:space="0" w:color="auto"/>
            </w:tcBorders>
            <w:noWrap/>
            <w:hideMark/>
          </w:tcPr>
          <w:p w14:paraId="38B7EB5B"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Before Culture</w:t>
            </w:r>
          </w:p>
        </w:tc>
        <w:tc>
          <w:tcPr>
            <w:tcW w:w="1520" w:type="dxa"/>
            <w:vMerge w:val="restart"/>
            <w:tcBorders>
              <w:top w:val="single" w:sz="4" w:space="0" w:color="auto"/>
              <w:left w:val="single" w:sz="4" w:space="0" w:color="auto"/>
              <w:bottom w:val="single" w:sz="4" w:space="0" w:color="auto"/>
              <w:right w:val="single" w:sz="4" w:space="0" w:color="auto"/>
            </w:tcBorders>
            <w:noWrap/>
            <w:hideMark/>
          </w:tcPr>
          <w:p w14:paraId="02CCC439"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During Culture</w:t>
            </w:r>
          </w:p>
        </w:tc>
        <w:tc>
          <w:tcPr>
            <w:tcW w:w="1433" w:type="dxa"/>
            <w:vMerge w:val="restart"/>
            <w:tcBorders>
              <w:top w:val="single" w:sz="4" w:space="0" w:color="auto"/>
              <w:left w:val="single" w:sz="4" w:space="0" w:color="auto"/>
              <w:bottom w:val="single" w:sz="4" w:space="0" w:color="auto"/>
              <w:right w:val="single" w:sz="4" w:space="0" w:color="auto"/>
            </w:tcBorders>
            <w:noWrap/>
            <w:hideMark/>
          </w:tcPr>
          <w:p w14:paraId="04908119"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After culture</w:t>
            </w:r>
          </w:p>
        </w:tc>
      </w:tr>
      <w:tr w:rsidR="00EF2630" w:rsidRPr="00B4215C" w14:paraId="4BCE9B2F" w14:textId="77777777" w:rsidTr="00817E5A">
        <w:trPr>
          <w:trHeight w:val="327"/>
          <w:jc w:val="center"/>
        </w:trPr>
        <w:tc>
          <w:tcPr>
            <w:tcW w:w="4253" w:type="dxa"/>
            <w:gridSpan w:val="2"/>
            <w:tcBorders>
              <w:top w:val="single" w:sz="4" w:space="0" w:color="auto"/>
              <w:left w:val="single" w:sz="4" w:space="0" w:color="auto"/>
              <w:bottom w:val="single" w:sz="4" w:space="0" w:color="auto"/>
              <w:right w:val="single" w:sz="4" w:space="0" w:color="auto"/>
            </w:tcBorders>
            <w:noWrap/>
            <w:hideMark/>
          </w:tcPr>
          <w:p w14:paraId="64584E03" w14:textId="77777777" w:rsidR="00EF2630" w:rsidRPr="00B4215C" w:rsidRDefault="00EF2630" w:rsidP="00817E5A">
            <w:pPr>
              <w:spacing w:after="0" w:line="240" w:lineRule="auto"/>
              <w:jc w:val="center"/>
              <w:rPr>
                <w:rFonts w:ascii="Arial" w:eastAsia="Times New Roman" w:hAnsi="Arial" w:cs="Arial"/>
                <w:b/>
                <w:bCs/>
                <w:color w:val="000000"/>
                <w:lang w:eastAsia="en-IN"/>
              </w:rPr>
            </w:pPr>
            <w:bookmarkStart w:id="3" w:name="_Hlk221201169"/>
            <w:r w:rsidRPr="00B4215C">
              <w:rPr>
                <w:rFonts w:ascii="Arial" w:eastAsia="Times New Roman" w:hAnsi="Arial" w:cs="Arial"/>
                <w:color w:val="000000"/>
                <w:lang w:eastAsia="en-IN"/>
              </w:rPr>
              <w:t>Order: Centrales</w:t>
            </w:r>
          </w:p>
        </w:tc>
        <w:tc>
          <w:tcPr>
            <w:tcW w:w="1388" w:type="dxa"/>
            <w:vMerge/>
            <w:tcBorders>
              <w:left w:val="single" w:sz="4" w:space="0" w:color="auto"/>
              <w:bottom w:val="single" w:sz="4" w:space="0" w:color="auto"/>
              <w:right w:val="single" w:sz="4" w:space="0" w:color="auto"/>
            </w:tcBorders>
            <w:hideMark/>
          </w:tcPr>
          <w:p w14:paraId="2AB5A328" w14:textId="77777777" w:rsidR="00EF2630" w:rsidRPr="00B4215C" w:rsidRDefault="00EF2630" w:rsidP="00817E5A">
            <w:pPr>
              <w:spacing w:after="0" w:line="240" w:lineRule="auto"/>
              <w:jc w:val="center"/>
              <w:rPr>
                <w:rFonts w:ascii="Arial" w:eastAsia="Times New Roman" w:hAnsi="Arial" w:cs="Arial"/>
                <w:color w:val="000000"/>
                <w:lang w:eastAsia="en-IN"/>
              </w:rPr>
            </w:pPr>
          </w:p>
        </w:tc>
        <w:tc>
          <w:tcPr>
            <w:tcW w:w="1520" w:type="dxa"/>
            <w:vMerge/>
            <w:tcBorders>
              <w:top w:val="single" w:sz="4" w:space="0" w:color="auto"/>
              <w:left w:val="single" w:sz="4" w:space="0" w:color="auto"/>
              <w:bottom w:val="single" w:sz="4" w:space="0" w:color="auto"/>
              <w:right w:val="single" w:sz="4" w:space="0" w:color="auto"/>
            </w:tcBorders>
            <w:hideMark/>
          </w:tcPr>
          <w:p w14:paraId="1540F5BF" w14:textId="77777777" w:rsidR="00EF2630" w:rsidRPr="00B4215C" w:rsidRDefault="00EF2630" w:rsidP="00817E5A">
            <w:pPr>
              <w:spacing w:after="0" w:line="240" w:lineRule="auto"/>
              <w:jc w:val="center"/>
              <w:rPr>
                <w:rFonts w:ascii="Arial" w:eastAsia="Times New Roman" w:hAnsi="Arial" w:cs="Arial"/>
                <w:color w:val="000000"/>
                <w:lang w:eastAsia="en-IN"/>
              </w:rPr>
            </w:pPr>
          </w:p>
        </w:tc>
        <w:tc>
          <w:tcPr>
            <w:tcW w:w="1520" w:type="dxa"/>
            <w:vMerge/>
            <w:tcBorders>
              <w:top w:val="single" w:sz="4" w:space="0" w:color="auto"/>
              <w:left w:val="single" w:sz="4" w:space="0" w:color="auto"/>
              <w:bottom w:val="single" w:sz="4" w:space="0" w:color="auto"/>
              <w:right w:val="single" w:sz="4" w:space="0" w:color="auto"/>
            </w:tcBorders>
            <w:hideMark/>
          </w:tcPr>
          <w:p w14:paraId="78206D69" w14:textId="77777777" w:rsidR="00EF2630" w:rsidRPr="00B4215C" w:rsidRDefault="00EF2630" w:rsidP="00817E5A">
            <w:pPr>
              <w:spacing w:after="0" w:line="240" w:lineRule="auto"/>
              <w:jc w:val="center"/>
              <w:rPr>
                <w:rFonts w:ascii="Arial" w:eastAsia="Times New Roman" w:hAnsi="Arial" w:cs="Arial"/>
                <w:color w:val="000000"/>
                <w:lang w:eastAsia="en-IN"/>
              </w:rPr>
            </w:pPr>
          </w:p>
        </w:tc>
        <w:tc>
          <w:tcPr>
            <w:tcW w:w="1433" w:type="dxa"/>
            <w:vMerge/>
            <w:tcBorders>
              <w:top w:val="single" w:sz="4" w:space="0" w:color="auto"/>
              <w:left w:val="single" w:sz="4" w:space="0" w:color="auto"/>
              <w:bottom w:val="single" w:sz="4" w:space="0" w:color="auto"/>
              <w:right w:val="single" w:sz="4" w:space="0" w:color="auto"/>
            </w:tcBorders>
            <w:hideMark/>
          </w:tcPr>
          <w:p w14:paraId="0F124ADC" w14:textId="77777777" w:rsidR="00EF2630" w:rsidRPr="00B4215C" w:rsidRDefault="00EF2630" w:rsidP="00817E5A">
            <w:pPr>
              <w:spacing w:after="0" w:line="240" w:lineRule="auto"/>
              <w:jc w:val="center"/>
              <w:rPr>
                <w:rFonts w:ascii="Arial" w:eastAsia="Times New Roman" w:hAnsi="Arial" w:cs="Arial"/>
                <w:color w:val="000000"/>
                <w:lang w:eastAsia="en-IN"/>
              </w:rPr>
            </w:pPr>
          </w:p>
        </w:tc>
      </w:tr>
      <w:tr w:rsidR="00EF2630" w:rsidRPr="00B4215C" w14:paraId="4BC88AA0"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50243BEE" w14:textId="77777777" w:rsidR="00EF2630" w:rsidRPr="00B4215C" w:rsidRDefault="00EF2630" w:rsidP="00817E5A">
            <w:pPr>
              <w:spacing w:after="0" w:line="240" w:lineRule="auto"/>
              <w:jc w:val="center"/>
              <w:rPr>
                <w:rFonts w:ascii="Arial" w:eastAsia="Times New Roman" w:hAnsi="Arial" w:cs="Arial"/>
                <w:color w:val="000000"/>
                <w:lang w:eastAsia="en-IN"/>
              </w:rPr>
            </w:pPr>
            <w:bookmarkStart w:id="4" w:name="_Hlk187166674"/>
            <w:bookmarkStart w:id="5" w:name="_Hlk201246633"/>
            <w:r w:rsidRPr="00B4215C">
              <w:rPr>
                <w:rFonts w:ascii="Arial" w:eastAsia="Times New Roman" w:hAnsi="Arial" w:cs="Arial"/>
                <w:color w:val="000000"/>
                <w:lang w:eastAsia="en-IN"/>
              </w:rPr>
              <w:t>1</w:t>
            </w:r>
          </w:p>
        </w:tc>
        <w:tc>
          <w:tcPr>
            <w:tcW w:w="3513" w:type="dxa"/>
            <w:tcBorders>
              <w:top w:val="single" w:sz="4" w:space="0" w:color="auto"/>
              <w:left w:val="single" w:sz="4" w:space="0" w:color="auto"/>
              <w:bottom w:val="single" w:sz="4" w:space="0" w:color="auto"/>
              <w:right w:val="single" w:sz="4" w:space="0" w:color="auto"/>
            </w:tcBorders>
            <w:noWrap/>
            <w:hideMark/>
          </w:tcPr>
          <w:p w14:paraId="191BFBD8"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Biddulphia mobiliensis </w:t>
            </w:r>
            <w:r w:rsidRPr="00B4215C">
              <w:rPr>
                <w:rFonts w:ascii="Arial" w:eastAsia="Times New Roman" w:hAnsi="Arial" w:cs="Arial"/>
                <w:iCs/>
                <w:color w:val="000000"/>
                <w:lang w:eastAsia="en-IN"/>
              </w:rPr>
              <w:t>(BM)</w:t>
            </w:r>
          </w:p>
        </w:tc>
        <w:tc>
          <w:tcPr>
            <w:tcW w:w="1388" w:type="dxa"/>
            <w:tcBorders>
              <w:top w:val="single" w:sz="4" w:space="0" w:color="auto"/>
              <w:left w:val="single" w:sz="4" w:space="0" w:color="auto"/>
              <w:bottom w:val="single" w:sz="4" w:space="0" w:color="auto"/>
              <w:right w:val="single" w:sz="4" w:space="0" w:color="auto"/>
            </w:tcBorders>
            <w:noWrap/>
            <w:hideMark/>
          </w:tcPr>
          <w:p w14:paraId="619953E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23494D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463FDB3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AC9D3A1"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44ECF9CD"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677AEC5F"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2</w:t>
            </w:r>
          </w:p>
        </w:tc>
        <w:tc>
          <w:tcPr>
            <w:tcW w:w="3513" w:type="dxa"/>
            <w:tcBorders>
              <w:top w:val="single" w:sz="4" w:space="0" w:color="auto"/>
              <w:left w:val="single" w:sz="4" w:space="0" w:color="auto"/>
              <w:bottom w:val="single" w:sz="4" w:space="0" w:color="auto"/>
              <w:right w:val="single" w:sz="4" w:space="0" w:color="auto"/>
            </w:tcBorders>
            <w:hideMark/>
          </w:tcPr>
          <w:p w14:paraId="71CAE6F4"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Biddulphia sinensis </w:t>
            </w:r>
            <w:r w:rsidRPr="00B4215C">
              <w:rPr>
                <w:rFonts w:ascii="Arial" w:eastAsia="Times New Roman" w:hAnsi="Arial" w:cs="Arial"/>
                <w:iCs/>
                <w:color w:val="000000"/>
                <w:lang w:eastAsia="en-IN"/>
              </w:rPr>
              <w:t>(BS)</w:t>
            </w:r>
          </w:p>
        </w:tc>
        <w:tc>
          <w:tcPr>
            <w:tcW w:w="1388" w:type="dxa"/>
            <w:tcBorders>
              <w:top w:val="single" w:sz="4" w:space="0" w:color="auto"/>
              <w:left w:val="single" w:sz="4" w:space="0" w:color="auto"/>
              <w:bottom w:val="single" w:sz="4" w:space="0" w:color="auto"/>
              <w:right w:val="single" w:sz="4" w:space="0" w:color="auto"/>
            </w:tcBorders>
            <w:noWrap/>
            <w:hideMark/>
          </w:tcPr>
          <w:p w14:paraId="100B14C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1429E78C"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26A4AEF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6DA048B"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7FDC190F"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5237F4E1"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3</w:t>
            </w:r>
          </w:p>
        </w:tc>
        <w:tc>
          <w:tcPr>
            <w:tcW w:w="3513" w:type="dxa"/>
            <w:tcBorders>
              <w:top w:val="single" w:sz="4" w:space="0" w:color="auto"/>
              <w:left w:val="single" w:sz="4" w:space="0" w:color="auto"/>
              <w:bottom w:val="single" w:sz="4" w:space="0" w:color="auto"/>
              <w:right w:val="single" w:sz="4" w:space="0" w:color="auto"/>
            </w:tcBorders>
            <w:noWrap/>
            <w:hideMark/>
          </w:tcPr>
          <w:p w14:paraId="47BA398C"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Cerataulina bergonii </w:t>
            </w:r>
            <w:r w:rsidRPr="00B4215C">
              <w:rPr>
                <w:rFonts w:ascii="Arial" w:eastAsia="Times New Roman" w:hAnsi="Arial" w:cs="Arial"/>
                <w:iCs/>
                <w:color w:val="000000"/>
                <w:lang w:eastAsia="en-IN"/>
              </w:rPr>
              <w:t>(CB)</w:t>
            </w:r>
          </w:p>
        </w:tc>
        <w:tc>
          <w:tcPr>
            <w:tcW w:w="1388" w:type="dxa"/>
            <w:tcBorders>
              <w:top w:val="single" w:sz="4" w:space="0" w:color="auto"/>
              <w:left w:val="single" w:sz="4" w:space="0" w:color="auto"/>
              <w:bottom w:val="single" w:sz="4" w:space="0" w:color="auto"/>
              <w:right w:val="single" w:sz="4" w:space="0" w:color="auto"/>
            </w:tcBorders>
            <w:noWrap/>
            <w:hideMark/>
          </w:tcPr>
          <w:p w14:paraId="4E3E9995"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296CE4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E74823C"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56B52F15"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12E0B04C"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39BA4BE3"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4</w:t>
            </w:r>
          </w:p>
        </w:tc>
        <w:tc>
          <w:tcPr>
            <w:tcW w:w="3513" w:type="dxa"/>
            <w:tcBorders>
              <w:top w:val="single" w:sz="4" w:space="0" w:color="auto"/>
              <w:left w:val="single" w:sz="4" w:space="0" w:color="auto"/>
              <w:bottom w:val="single" w:sz="4" w:space="0" w:color="auto"/>
              <w:right w:val="single" w:sz="4" w:space="0" w:color="auto"/>
            </w:tcBorders>
            <w:hideMark/>
          </w:tcPr>
          <w:p w14:paraId="3AFE0B9F"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Chaetoceros sp. </w:t>
            </w:r>
            <w:r w:rsidRPr="00B4215C">
              <w:rPr>
                <w:rFonts w:ascii="Arial" w:eastAsia="Times New Roman" w:hAnsi="Arial" w:cs="Arial"/>
                <w:iCs/>
                <w:color w:val="000000"/>
                <w:lang w:eastAsia="en-IN"/>
              </w:rPr>
              <w:t>(C)</w:t>
            </w:r>
          </w:p>
        </w:tc>
        <w:tc>
          <w:tcPr>
            <w:tcW w:w="1388" w:type="dxa"/>
            <w:tcBorders>
              <w:top w:val="single" w:sz="4" w:space="0" w:color="auto"/>
              <w:left w:val="single" w:sz="4" w:space="0" w:color="auto"/>
              <w:bottom w:val="single" w:sz="4" w:space="0" w:color="auto"/>
              <w:right w:val="single" w:sz="4" w:space="0" w:color="auto"/>
            </w:tcBorders>
            <w:noWrap/>
            <w:hideMark/>
          </w:tcPr>
          <w:p w14:paraId="3F10A98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7D4486EB"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8F8CE45"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0C0E124C"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4E814D9A"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50D82069"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5</w:t>
            </w:r>
          </w:p>
        </w:tc>
        <w:tc>
          <w:tcPr>
            <w:tcW w:w="3513" w:type="dxa"/>
            <w:tcBorders>
              <w:top w:val="single" w:sz="4" w:space="0" w:color="auto"/>
              <w:left w:val="single" w:sz="4" w:space="0" w:color="auto"/>
              <w:bottom w:val="single" w:sz="4" w:space="0" w:color="auto"/>
              <w:right w:val="single" w:sz="4" w:space="0" w:color="auto"/>
            </w:tcBorders>
            <w:noWrap/>
            <w:hideMark/>
          </w:tcPr>
          <w:p w14:paraId="0E603CF5"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Coscinodiscus excentricus </w:t>
            </w:r>
            <w:r w:rsidRPr="00B4215C">
              <w:rPr>
                <w:rFonts w:ascii="Arial" w:eastAsia="Times New Roman" w:hAnsi="Arial" w:cs="Arial"/>
                <w:iCs/>
                <w:color w:val="000000"/>
                <w:lang w:eastAsia="en-IN"/>
              </w:rPr>
              <w:t>(CE)</w:t>
            </w:r>
          </w:p>
        </w:tc>
        <w:tc>
          <w:tcPr>
            <w:tcW w:w="1388" w:type="dxa"/>
            <w:tcBorders>
              <w:top w:val="single" w:sz="4" w:space="0" w:color="auto"/>
              <w:left w:val="single" w:sz="4" w:space="0" w:color="auto"/>
              <w:bottom w:val="single" w:sz="4" w:space="0" w:color="auto"/>
              <w:right w:val="single" w:sz="4" w:space="0" w:color="auto"/>
            </w:tcBorders>
            <w:noWrap/>
            <w:hideMark/>
          </w:tcPr>
          <w:p w14:paraId="1D0F2A32"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69D27390"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49A84C6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588702BF"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45E60C19"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518ADC38"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6</w:t>
            </w:r>
          </w:p>
        </w:tc>
        <w:tc>
          <w:tcPr>
            <w:tcW w:w="3513" w:type="dxa"/>
            <w:tcBorders>
              <w:top w:val="single" w:sz="4" w:space="0" w:color="auto"/>
              <w:left w:val="single" w:sz="4" w:space="0" w:color="auto"/>
              <w:bottom w:val="single" w:sz="4" w:space="0" w:color="auto"/>
              <w:right w:val="single" w:sz="4" w:space="0" w:color="auto"/>
            </w:tcBorders>
            <w:hideMark/>
          </w:tcPr>
          <w:p w14:paraId="572F30ED"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Coscinodiscus radiatus </w:t>
            </w:r>
            <w:r w:rsidRPr="00B4215C">
              <w:rPr>
                <w:rFonts w:ascii="Arial" w:eastAsia="Times New Roman" w:hAnsi="Arial" w:cs="Arial"/>
                <w:iCs/>
                <w:color w:val="000000"/>
                <w:lang w:eastAsia="en-IN"/>
              </w:rPr>
              <w:t>(CR)</w:t>
            </w:r>
          </w:p>
        </w:tc>
        <w:tc>
          <w:tcPr>
            <w:tcW w:w="1388" w:type="dxa"/>
            <w:tcBorders>
              <w:top w:val="single" w:sz="4" w:space="0" w:color="auto"/>
              <w:left w:val="single" w:sz="4" w:space="0" w:color="auto"/>
              <w:bottom w:val="single" w:sz="4" w:space="0" w:color="auto"/>
              <w:right w:val="single" w:sz="4" w:space="0" w:color="auto"/>
            </w:tcBorders>
            <w:noWrap/>
            <w:hideMark/>
          </w:tcPr>
          <w:p w14:paraId="4874D31B"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44D398F0"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049EF8C5"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61BA5F47"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2F5E91EE"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256AE4BD"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7</w:t>
            </w:r>
          </w:p>
        </w:tc>
        <w:tc>
          <w:tcPr>
            <w:tcW w:w="3513" w:type="dxa"/>
            <w:tcBorders>
              <w:top w:val="single" w:sz="4" w:space="0" w:color="auto"/>
              <w:left w:val="single" w:sz="4" w:space="0" w:color="auto"/>
              <w:bottom w:val="single" w:sz="4" w:space="0" w:color="auto"/>
              <w:right w:val="single" w:sz="4" w:space="0" w:color="auto"/>
            </w:tcBorders>
            <w:noWrap/>
            <w:hideMark/>
          </w:tcPr>
          <w:p w14:paraId="10D5EF58"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Cyclotella sp. </w:t>
            </w:r>
            <w:r w:rsidRPr="00B4215C">
              <w:rPr>
                <w:rFonts w:ascii="Arial" w:eastAsia="Times New Roman" w:hAnsi="Arial" w:cs="Arial"/>
                <w:iCs/>
                <w:color w:val="000000"/>
                <w:lang w:eastAsia="en-IN"/>
              </w:rPr>
              <w:t>(Cyo)</w:t>
            </w:r>
          </w:p>
        </w:tc>
        <w:tc>
          <w:tcPr>
            <w:tcW w:w="1388" w:type="dxa"/>
            <w:tcBorders>
              <w:top w:val="single" w:sz="4" w:space="0" w:color="auto"/>
              <w:left w:val="single" w:sz="4" w:space="0" w:color="auto"/>
              <w:bottom w:val="single" w:sz="4" w:space="0" w:color="auto"/>
              <w:right w:val="single" w:sz="4" w:space="0" w:color="auto"/>
            </w:tcBorders>
            <w:noWrap/>
            <w:hideMark/>
          </w:tcPr>
          <w:p w14:paraId="7A4BBDC9"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46BCB869"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0FB7FAA"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5B5D8FB2"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51EB92CF"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5A113160"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8</w:t>
            </w:r>
          </w:p>
        </w:tc>
        <w:tc>
          <w:tcPr>
            <w:tcW w:w="3513" w:type="dxa"/>
            <w:tcBorders>
              <w:top w:val="single" w:sz="4" w:space="0" w:color="auto"/>
              <w:left w:val="single" w:sz="4" w:space="0" w:color="auto"/>
              <w:bottom w:val="single" w:sz="4" w:space="0" w:color="auto"/>
              <w:right w:val="single" w:sz="4" w:space="0" w:color="auto"/>
            </w:tcBorders>
            <w:hideMark/>
          </w:tcPr>
          <w:p w14:paraId="60A00883"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Ditylum brightwelli </w:t>
            </w:r>
            <w:r w:rsidRPr="00B4215C">
              <w:rPr>
                <w:rFonts w:ascii="Arial" w:eastAsia="Times New Roman" w:hAnsi="Arial" w:cs="Arial"/>
                <w:iCs/>
                <w:color w:val="000000"/>
                <w:lang w:eastAsia="en-IN"/>
              </w:rPr>
              <w:t>(DB)</w:t>
            </w:r>
          </w:p>
        </w:tc>
        <w:tc>
          <w:tcPr>
            <w:tcW w:w="1388" w:type="dxa"/>
            <w:tcBorders>
              <w:top w:val="single" w:sz="4" w:space="0" w:color="auto"/>
              <w:left w:val="single" w:sz="4" w:space="0" w:color="auto"/>
              <w:bottom w:val="single" w:sz="4" w:space="0" w:color="auto"/>
              <w:right w:val="single" w:sz="4" w:space="0" w:color="auto"/>
            </w:tcBorders>
            <w:noWrap/>
            <w:hideMark/>
          </w:tcPr>
          <w:p w14:paraId="7673853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48CAAA4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21F46102"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373A4811"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2D014AD0"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556BF8D9"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9</w:t>
            </w:r>
          </w:p>
        </w:tc>
        <w:tc>
          <w:tcPr>
            <w:tcW w:w="3513" w:type="dxa"/>
            <w:tcBorders>
              <w:top w:val="single" w:sz="4" w:space="0" w:color="auto"/>
              <w:left w:val="single" w:sz="4" w:space="0" w:color="auto"/>
              <w:bottom w:val="single" w:sz="4" w:space="0" w:color="auto"/>
              <w:right w:val="single" w:sz="4" w:space="0" w:color="auto"/>
            </w:tcBorders>
            <w:noWrap/>
            <w:hideMark/>
          </w:tcPr>
          <w:p w14:paraId="2A367B05"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Eucampia cornuta </w:t>
            </w:r>
            <w:r w:rsidRPr="00B4215C">
              <w:rPr>
                <w:rFonts w:ascii="Arial" w:eastAsia="Times New Roman" w:hAnsi="Arial" w:cs="Arial"/>
                <w:iCs/>
                <w:color w:val="000000"/>
                <w:lang w:eastAsia="en-IN"/>
              </w:rPr>
              <w:t>(EC)</w:t>
            </w:r>
          </w:p>
        </w:tc>
        <w:tc>
          <w:tcPr>
            <w:tcW w:w="1388" w:type="dxa"/>
            <w:tcBorders>
              <w:top w:val="single" w:sz="4" w:space="0" w:color="auto"/>
              <w:left w:val="single" w:sz="4" w:space="0" w:color="auto"/>
              <w:bottom w:val="single" w:sz="4" w:space="0" w:color="auto"/>
              <w:right w:val="single" w:sz="4" w:space="0" w:color="auto"/>
            </w:tcBorders>
            <w:noWrap/>
            <w:hideMark/>
          </w:tcPr>
          <w:p w14:paraId="071A2EA9"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127CB395"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50218B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4C7B3085"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1A45DDB9"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259FE801"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10</w:t>
            </w:r>
          </w:p>
        </w:tc>
        <w:tc>
          <w:tcPr>
            <w:tcW w:w="3513" w:type="dxa"/>
            <w:tcBorders>
              <w:top w:val="single" w:sz="4" w:space="0" w:color="auto"/>
              <w:left w:val="single" w:sz="4" w:space="0" w:color="auto"/>
              <w:bottom w:val="single" w:sz="4" w:space="0" w:color="auto"/>
              <w:right w:val="single" w:sz="4" w:space="0" w:color="auto"/>
            </w:tcBorders>
            <w:noWrap/>
            <w:hideMark/>
          </w:tcPr>
          <w:p w14:paraId="02942B0F"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Lauderia annulate </w:t>
            </w:r>
            <w:r w:rsidRPr="00B4215C">
              <w:rPr>
                <w:rFonts w:ascii="Arial" w:eastAsia="Times New Roman" w:hAnsi="Arial" w:cs="Arial"/>
                <w:iCs/>
                <w:color w:val="000000"/>
                <w:lang w:eastAsia="en-IN"/>
              </w:rPr>
              <w:t>(LA)</w:t>
            </w:r>
          </w:p>
        </w:tc>
        <w:tc>
          <w:tcPr>
            <w:tcW w:w="1388" w:type="dxa"/>
            <w:tcBorders>
              <w:top w:val="single" w:sz="4" w:space="0" w:color="auto"/>
              <w:left w:val="single" w:sz="4" w:space="0" w:color="auto"/>
              <w:bottom w:val="single" w:sz="4" w:space="0" w:color="auto"/>
              <w:right w:val="single" w:sz="4" w:space="0" w:color="auto"/>
            </w:tcBorders>
            <w:noWrap/>
            <w:hideMark/>
          </w:tcPr>
          <w:p w14:paraId="094496E0"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275CBA3D"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2B617CBC"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55FB06EF"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66B3E1BD"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0557CABE"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11</w:t>
            </w:r>
          </w:p>
        </w:tc>
        <w:tc>
          <w:tcPr>
            <w:tcW w:w="3513" w:type="dxa"/>
            <w:tcBorders>
              <w:top w:val="single" w:sz="4" w:space="0" w:color="auto"/>
              <w:left w:val="single" w:sz="4" w:space="0" w:color="auto"/>
              <w:bottom w:val="single" w:sz="4" w:space="0" w:color="auto"/>
              <w:right w:val="single" w:sz="4" w:space="0" w:color="auto"/>
            </w:tcBorders>
            <w:noWrap/>
            <w:hideMark/>
          </w:tcPr>
          <w:p w14:paraId="140987E9"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Lithodesmium sp. </w:t>
            </w:r>
            <w:r w:rsidRPr="00B4215C">
              <w:rPr>
                <w:rFonts w:ascii="Arial" w:eastAsia="Times New Roman" w:hAnsi="Arial" w:cs="Arial"/>
                <w:iCs/>
                <w:color w:val="000000"/>
                <w:lang w:eastAsia="en-IN"/>
              </w:rPr>
              <w:t>(Li)</w:t>
            </w:r>
          </w:p>
        </w:tc>
        <w:tc>
          <w:tcPr>
            <w:tcW w:w="1388" w:type="dxa"/>
            <w:tcBorders>
              <w:top w:val="single" w:sz="4" w:space="0" w:color="auto"/>
              <w:left w:val="single" w:sz="4" w:space="0" w:color="auto"/>
              <w:bottom w:val="single" w:sz="4" w:space="0" w:color="auto"/>
              <w:right w:val="single" w:sz="4" w:space="0" w:color="auto"/>
            </w:tcBorders>
            <w:noWrap/>
            <w:hideMark/>
          </w:tcPr>
          <w:p w14:paraId="4CAFA18D"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8D58900"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2F57243"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D2D1CBB"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0D97886C"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DE7FC29"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12</w:t>
            </w:r>
          </w:p>
        </w:tc>
        <w:tc>
          <w:tcPr>
            <w:tcW w:w="3513" w:type="dxa"/>
            <w:tcBorders>
              <w:top w:val="single" w:sz="4" w:space="0" w:color="auto"/>
              <w:left w:val="single" w:sz="4" w:space="0" w:color="auto"/>
              <w:bottom w:val="single" w:sz="4" w:space="0" w:color="auto"/>
              <w:right w:val="single" w:sz="4" w:space="0" w:color="auto"/>
            </w:tcBorders>
            <w:noWrap/>
            <w:hideMark/>
          </w:tcPr>
          <w:p w14:paraId="67C164F8"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Planktoniella sol </w:t>
            </w:r>
            <w:r w:rsidRPr="00B4215C">
              <w:rPr>
                <w:rFonts w:ascii="Arial" w:eastAsia="Times New Roman" w:hAnsi="Arial" w:cs="Arial"/>
                <w:iCs/>
                <w:color w:val="000000"/>
                <w:lang w:eastAsia="en-IN"/>
              </w:rPr>
              <w:t>(PS)</w:t>
            </w:r>
          </w:p>
        </w:tc>
        <w:tc>
          <w:tcPr>
            <w:tcW w:w="1388" w:type="dxa"/>
            <w:tcBorders>
              <w:top w:val="single" w:sz="4" w:space="0" w:color="auto"/>
              <w:left w:val="single" w:sz="4" w:space="0" w:color="auto"/>
              <w:bottom w:val="single" w:sz="4" w:space="0" w:color="auto"/>
              <w:right w:val="single" w:sz="4" w:space="0" w:color="auto"/>
            </w:tcBorders>
            <w:noWrap/>
            <w:hideMark/>
          </w:tcPr>
          <w:p w14:paraId="014B612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43DACD9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3C0DEB14"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7D003FAB"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18A33F25"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0959501C"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13</w:t>
            </w:r>
          </w:p>
        </w:tc>
        <w:tc>
          <w:tcPr>
            <w:tcW w:w="3513" w:type="dxa"/>
            <w:tcBorders>
              <w:top w:val="single" w:sz="4" w:space="0" w:color="auto"/>
              <w:left w:val="single" w:sz="4" w:space="0" w:color="auto"/>
              <w:bottom w:val="single" w:sz="4" w:space="0" w:color="auto"/>
              <w:right w:val="single" w:sz="4" w:space="0" w:color="auto"/>
            </w:tcBorders>
            <w:noWrap/>
            <w:hideMark/>
          </w:tcPr>
          <w:p w14:paraId="4262F07A"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Rhizosolenia alata </w:t>
            </w:r>
            <w:r w:rsidRPr="00B4215C">
              <w:rPr>
                <w:rFonts w:ascii="Arial" w:eastAsia="Times New Roman" w:hAnsi="Arial" w:cs="Arial"/>
                <w:iCs/>
                <w:color w:val="000000"/>
                <w:lang w:eastAsia="en-IN"/>
              </w:rPr>
              <w:t>(RA)</w:t>
            </w:r>
          </w:p>
        </w:tc>
        <w:tc>
          <w:tcPr>
            <w:tcW w:w="1388" w:type="dxa"/>
            <w:tcBorders>
              <w:top w:val="single" w:sz="4" w:space="0" w:color="auto"/>
              <w:left w:val="single" w:sz="4" w:space="0" w:color="auto"/>
              <w:bottom w:val="single" w:sz="4" w:space="0" w:color="auto"/>
              <w:right w:val="single" w:sz="4" w:space="0" w:color="auto"/>
            </w:tcBorders>
            <w:noWrap/>
            <w:hideMark/>
          </w:tcPr>
          <w:p w14:paraId="68B05BE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0C26FC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4E4619DA"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725A98C2"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4C0A998C"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49BA1AE0"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14</w:t>
            </w:r>
          </w:p>
        </w:tc>
        <w:tc>
          <w:tcPr>
            <w:tcW w:w="3513" w:type="dxa"/>
            <w:tcBorders>
              <w:top w:val="single" w:sz="4" w:space="0" w:color="auto"/>
              <w:left w:val="single" w:sz="4" w:space="0" w:color="auto"/>
              <w:bottom w:val="single" w:sz="4" w:space="0" w:color="auto"/>
              <w:right w:val="single" w:sz="4" w:space="0" w:color="auto"/>
            </w:tcBorders>
            <w:noWrap/>
            <w:hideMark/>
          </w:tcPr>
          <w:p w14:paraId="03A5D234"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Rhizosolenia robusta </w:t>
            </w:r>
            <w:r w:rsidRPr="00B4215C">
              <w:rPr>
                <w:rFonts w:ascii="Arial" w:eastAsia="Times New Roman" w:hAnsi="Arial" w:cs="Arial"/>
                <w:iCs/>
                <w:color w:val="000000"/>
                <w:lang w:eastAsia="en-IN"/>
              </w:rPr>
              <w:t>(RR)</w:t>
            </w:r>
          </w:p>
        </w:tc>
        <w:tc>
          <w:tcPr>
            <w:tcW w:w="1388" w:type="dxa"/>
            <w:tcBorders>
              <w:top w:val="single" w:sz="4" w:space="0" w:color="auto"/>
              <w:left w:val="single" w:sz="4" w:space="0" w:color="auto"/>
              <w:bottom w:val="single" w:sz="4" w:space="0" w:color="auto"/>
              <w:right w:val="single" w:sz="4" w:space="0" w:color="auto"/>
            </w:tcBorders>
            <w:noWrap/>
            <w:hideMark/>
          </w:tcPr>
          <w:p w14:paraId="0B7DCBAB"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73FB0A2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00C077DF"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72C35E6E"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004B5A7C"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4DB17157"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15</w:t>
            </w:r>
          </w:p>
        </w:tc>
        <w:tc>
          <w:tcPr>
            <w:tcW w:w="3513" w:type="dxa"/>
            <w:tcBorders>
              <w:top w:val="single" w:sz="4" w:space="0" w:color="auto"/>
              <w:left w:val="single" w:sz="4" w:space="0" w:color="auto"/>
              <w:bottom w:val="single" w:sz="4" w:space="0" w:color="auto"/>
              <w:right w:val="single" w:sz="4" w:space="0" w:color="auto"/>
            </w:tcBorders>
            <w:noWrap/>
            <w:hideMark/>
          </w:tcPr>
          <w:p w14:paraId="2B55FC82"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Skeletonema costatum </w:t>
            </w:r>
            <w:r w:rsidRPr="00B4215C">
              <w:rPr>
                <w:rFonts w:ascii="Arial" w:eastAsia="Times New Roman" w:hAnsi="Arial" w:cs="Arial"/>
                <w:iCs/>
                <w:color w:val="000000"/>
                <w:lang w:eastAsia="en-IN"/>
              </w:rPr>
              <w:t>(SC)</w:t>
            </w:r>
          </w:p>
        </w:tc>
        <w:tc>
          <w:tcPr>
            <w:tcW w:w="1388" w:type="dxa"/>
            <w:tcBorders>
              <w:top w:val="single" w:sz="4" w:space="0" w:color="auto"/>
              <w:left w:val="single" w:sz="4" w:space="0" w:color="auto"/>
              <w:bottom w:val="single" w:sz="4" w:space="0" w:color="auto"/>
              <w:right w:val="single" w:sz="4" w:space="0" w:color="auto"/>
            </w:tcBorders>
            <w:noWrap/>
            <w:hideMark/>
          </w:tcPr>
          <w:p w14:paraId="1CC4E244"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82918C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6BA86E7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37A2EC2D"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00E4E97A"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5DAFC3E"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16</w:t>
            </w:r>
          </w:p>
        </w:tc>
        <w:tc>
          <w:tcPr>
            <w:tcW w:w="3513" w:type="dxa"/>
            <w:tcBorders>
              <w:top w:val="single" w:sz="4" w:space="0" w:color="auto"/>
              <w:left w:val="single" w:sz="4" w:space="0" w:color="auto"/>
              <w:bottom w:val="single" w:sz="4" w:space="0" w:color="auto"/>
              <w:right w:val="single" w:sz="4" w:space="0" w:color="auto"/>
            </w:tcBorders>
            <w:noWrap/>
            <w:hideMark/>
          </w:tcPr>
          <w:p w14:paraId="1D0BD562"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Stephanopyxis palmeriana </w:t>
            </w:r>
            <w:r w:rsidRPr="00B4215C">
              <w:rPr>
                <w:rFonts w:ascii="Arial" w:eastAsia="Times New Roman" w:hAnsi="Arial" w:cs="Arial"/>
                <w:iCs/>
                <w:color w:val="000000"/>
                <w:lang w:eastAsia="en-IN"/>
              </w:rPr>
              <w:t>(TP)</w:t>
            </w:r>
          </w:p>
        </w:tc>
        <w:tc>
          <w:tcPr>
            <w:tcW w:w="1388" w:type="dxa"/>
            <w:tcBorders>
              <w:top w:val="single" w:sz="4" w:space="0" w:color="auto"/>
              <w:left w:val="single" w:sz="4" w:space="0" w:color="auto"/>
              <w:bottom w:val="single" w:sz="4" w:space="0" w:color="auto"/>
              <w:right w:val="single" w:sz="4" w:space="0" w:color="auto"/>
            </w:tcBorders>
            <w:noWrap/>
            <w:hideMark/>
          </w:tcPr>
          <w:p w14:paraId="6A05BFF4"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9A1EC0C"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3E9849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409074FD"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530B1AE2"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8DD9F72"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17</w:t>
            </w:r>
          </w:p>
        </w:tc>
        <w:tc>
          <w:tcPr>
            <w:tcW w:w="3513" w:type="dxa"/>
            <w:tcBorders>
              <w:top w:val="single" w:sz="4" w:space="0" w:color="auto"/>
              <w:left w:val="single" w:sz="4" w:space="0" w:color="auto"/>
              <w:bottom w:val="single" w:sz="4" w:space="0" w:color="auto"/>
              <w:right w:val="single" w:sz="4" w:space="0" w:color="auto"/>
            </w:tcBorders>
            <w:noWrap/>
            <w:hideMark/>
          </w:tcPr>
          <w:p w14:paraId="193AC61D"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Thallassiosira subtilis </w:t>
            </w:r>
            <w:r w:rsidRPr="00B4215C">
              <w:rPr>
                <w:rFonts w:ascii="Arial" w:eastAsia="Times New Roman" w:hAnsi="Arial" w:cs="Arial"/>
                <w:iCs/>
                <w:color w:val="000000"/>
                <w:lang w:eastAsia="en-IN"/>
              </w:rPr>
              <w:t>(TS)</w:t>
            </w:r>
          </w:p>
        </w:tc>
        <w:tc>
          <w:tcPr>
            <w:tcW w:w="1388" w:type="dxa"/>
            <w:tcBorders>
              <w:top w:val="single" w:sz="4" w:space="0" w:color="auto"/>
              <w:left w:val="single" w:sz="4" w:space="0" w:color="auto"/>
              <w:bottom w:val="single" w:sz="4" w:space="0" w:color="auto"/>
              <w:right w:val="single" w:sz="4" w:space="0" w:color="auto"/>
            </w:tcBorders>
            <w:noWrap/>
            <w:hideMark/>
          </w:tcPr>
          <w:p w14:paraId="7ECF0279"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669EE825"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793CCDF2"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2CB5BC72"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38115F25" w14:textId="77777777" w:rsidTr="00817E5A">
        <w:trPr>
          <w:trHeight w:val="327"/>
          <w:jc w:val="center"/>
        </w:trPr>
        <w:tc>
          <w:tcPr>
            <w:tcW w:w="10114" w:type="dxa"/>
            <w:gridSpan w:val="6"/>
            <w:tcBorders>
              <w:top w:val="single" w:sz="4" w:space="0" w:color="auto"/>
              <w:left w:val="single" w:sz="4" w:space="0" w:color="auto"/>
              <w:bottom w:val="single" w:sz="4" w:space="0" w:color="auto"/>
              <w:right w:val="single" w:sz="4" w:space="0" w:color="auto"/>
            </w:tcBorders>
            <w:noWrap/>
            <w:hideMark/>
          </w:tcPr>
          <w:p w14:paraId="6C13362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color w:val="000000"/>
                <w:lang w:eastAsia="en-IN"/>
              </w:rPr>
              <w:t>Order: Pennales</w:t>
            </w:r>
          </w:p>
        </w:tc>
      </w:tr>
      <w:tr w:rsidR="00EF2630" w:rsidRPr="00B4215C" w14:paraId="537F8E31"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0D7BD45A"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w:t>
            </w:r>
          </w:p>
        </w:tc>
        <w:tc>
          <w:tcPr>
            <w:tcW w:w="3513" w:type="dxa"/>
            <w:tcBorders>
              <w:top w:val="single" w:sz="4" w:space="0" w:color="auto"/>
              <w:left w:val="single" w:sz="4" w:space="0" w:color="auto"/>
              <w:bottom w:val="single" w:sz="4" w:space="0" w:color="auto"/>
              <w:right w:val="single" w:sz="4" w:space="0" w:color="auto"/>
            </w:tcBorders>
            <w:noWrap/>
            <w:hideMark/>
          </w:tcPr>
          <w:p w14:paraId="628E463A"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Bacillaria paradoxa </w:t>
            </w:r>
            <w:r w:rsidRPr="00B4215C">
              <w:rPr>
                <w:rFonts w:ascii="Arial" w:eastAsia="Times New Roman" w:hAnsi="Arial" w:cs="Arial"/>
                <w:iCs/>
                <w:color w:val="000000"/>
                <w:lang w:eastAsia="en-IN"/>
              </w:rPr>
              <w:t>(BP)</w:t>
            </w:r>
          </w:p>
        </w:tc>
        <w:tc>
          <w:tcPr>
            <w:tcW w:w="1388" w:type="dxa"/>
            <w:tcBorders>
              <w:top w:val="single" w:sz="4" w:space="0" w:color="auto"/>
              <w:left w:val="single" w:sz="4" w:space="0" w:color="auto"/>
              <w:bottom w:val="single" w:sz="4" w:space="0" w:color="auto"/>
              <w:right w:val="single" w:sz="4" w:space="0" w:color="auto"/>
            </w:tcBorders>
            <w:noWrap/>
            <w:hideMark/>
          </w:tcPr>
          <w:p w14:paraId="07290E7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D1DAF12"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6D22154"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46555A8C"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64970366"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5F7EC5C4"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2</w:t>
            </w:r>
          </w:p>
        </w:tc>
        <w:tc>
          <w:tcPr>
            <w:tcW w:w="3513" w:type="dxa"/>
            <w:tcBorders>
              <w:top w:val="single" w:sz="4" w:space="0" w:color="auto"/>
              <w:left w:val="single" w:sz="4" w:space="0" w:color="auto"/>
              <w:bottom w:val="single" w:sz="4" w:space="0" w:color="auto"/>
              <w:right w:val="single" w:sz="4" w:space="0" w:color="auto"/>
            </w:tcBorders>
            <w:noWrap/>
            <w:hideMark/>
          </w:tcPr>
          <w:p w14:paraId="1D75D37C"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Campylodiscus iyengarii </w:t>
            </w:r>
            <w:r w:rsidRPr="00B4215C">
              <w:rPr>
                <w:rFonts w:ascii="Arial" w:eastAsia="Times New Roman" w:hAnsi="Arial" w:cs="Arial"/>
                <w:iCs/>
                <w:color w:val="000000"/>
                <w:lang w:eastAsia="en-IN"/>
              </w:rPr>
              <w:t>(CI)</w:t>
            </w:r>
          </w:p>
        </w:tc>
        <w:tc>
          <w:tcPr>
            <w:tcW w:w="1388" w:type="dxa"/>
            <w:tcBorders>
              <w:top w:val="single" w:sz="4" w:space="0" w:color="auto"/>
              <w:left w:val="single" w:sz="4" w:space="0" w:color="auto"/>
              <w:bottom w:val="single" w:sz="4" w:space="0" w:color="auto"/>
              <w:right w:val="single" w:sz="4" w:space="0" w:color="auto"/>
            </w:tcBorders>
            <w:noWrap/>
            <w:hideMark/>
          </w:tcPr>
          <w:p w14:paraId="4C3F095F"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29576CBC"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19F33F5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23D2AF2C"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5726DA2D"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06A46C9"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3</w:t>
            </w:r>
          </w:p>
        </w:tc>
        <w:tc>
          <w:tcPr>
            <w:tcW w:w="3513" w:type="dxa"/>
            <w:tcBorders>
              <w:top w:val="single" w:sz="4" w:space="0" w:color="auto"/>
              <w:left w:val="single" w:sz="4" w:space="0" w:color="auto"/>
              <w:bottom w:val="single" w:sz="4" w:space="0" w:color="auto"/>
              <w:right w:val="single" w:sz="4" w:space="0" w:color="auto"/>
            </w:tcBorders>
            <w:noWrap/>
            <w:hideMark/>
          </w:tcPr>
          <w:p w14:paraId="582A419E"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Cocconeis littoralis </w:t>
            </w:r>
            <w:r w:rsidRPr="00B4215C">
              <w:rPr>
                <w:rFonts w:ascii="Arial" w:eastAsia="Times New Roman" w:hAnsi="Arial" w:cs="Arial"/>
                <w:iCs/>
                <w:color w:val="000000"/>
                <w:lang w:eastAsia="en-IN"/>
              </w:rPr>
              <w:t>(CL)</w:t>
            </w:r>
          </w:p>
        </w:tc>
        <w:tc>
          <w:tcPr>
            <w:tcW w:w="1388" w:type="dxa"/>
            <w:tcBorders>
              <w:top w:val="single" w:sz="4" w:space="0" w:color="auto"/>
              <w:left w:val="single" w:sz="4" w:space="0" w:color="auto"/>
              <w:bottom w:val="single" w:sz="4" w:space="0" w:color="auto"/>
              <w:right w:val="single" w:sz="4" w:space="0" w:color="auto"/>
            </w:tcBorders>
            <w:noWrap/>
            <w:hideMark/>
          </w:tcPr>
          <w:p w14:paraId="682437D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08027F3"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F89691F"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3592ADEB"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044D804C"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088CC6F8"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4</w:t>
            </w:r>
          </w:p>
        </w:tc>
        <w:tc>
          <w:tcPr>
            <w:tcW w:w="3513" w:type="dxa"/>
            <w:tcBorders>
              <w:top w:val="single" w:sz="4" w:space="0" w:color="auto"/>
              <w:left w:val="single" w:sz="4" w:space="0" w:color="auto"/>
              <w:bottom w:val="single" w:sz="4" w:space="0" w:color="auto"/>
              <w:right w:val="single" w:sz="4" w:space="0" w:color="auto"/>
            </w:tcBorders>
            <w:noWrap/>
            <w:hideMark/>
          </w:tcPr>
          <w:p w14:paraId="1BB9CAAC"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Fragilaria oceanic </w:t>
            </w:r>
            <w:r w:rsidRPr="00B4215C">
              <w:rPr>
                <w:rFonts w:ascii="Arial" w:eastAsia="Times New Roman" w:hAnsi="Arial" w:cs="Arial"/>
                <w:iCs/>
                <w:color w:val="000000"/>
                <w:lang w:eastAsia="en-IN"/>
              </w:rPr>
              <w:t>(FO)</w:t>
            </w:r>
          </w:p>
        </w:tc>
        <w:tc>
          <w:tcPr>
            <w:tcW w:w="1388" w:type="dxa"/>
            <w:tcBorders>
              <w:top w:val="single" w:sz="4" w:space="0" w:color="auto"/>
              <w:left w:val="single" w:sz="4" w:space="0" w:color="auto"/>
              <w:bottom w:val="single" w:sz="4" w:space="0" w:color="auto"/>
              <w:right w:val="single" w:sz="4" w:space="0" w:color="auto"/>
            </w:tcBorders>
            <w:noWrap/>
            <w:hideMark/>
          </w:tcPr>
          <w:p w14:paraId="41A0F343"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6A135D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19A830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FA12678"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71774152"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2C3F9327"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5</w:t>
            </w:r>
          </w:p>
        </w:tc>
        <w:tc>
          <w:tcPr>
            <w:tcW w:w="3513" w:type="dxa"/>
            <w:tcBorders>
              <w:top w:val="single" w:sz="4" w:space="0" w:color="auto"/>
              <w:left w:val="single" w:sz="4" w:space="0" w:color="auto"/>
              <w:bottom w:val="single" w:sz="4" w:space="0" w:color="auto"/>
              <w:right w:val="single" w:sz="4" w:space="0" w:color="auto"/>
            </w:tcBorders>
            <w:noWrap/>
            <w:hideMark/>
          </w:tcPr>
          <w:p w14:paraId="1DFD0F75"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Grammatophora undulate </w:t>
            </w:r>
            <w:r w:rsidRPr="00B4215C">
              <w:rPr>
                <w:rFonts w:ascii="Arial" w:eastAsia="Times New Roman" w:hAnsi="Arial" w:cs="Arial"/>
                <w:iCs/>
                <w:color w:val="000000"/>
                <w:lang w:eastAsia="en-IN"/>
              </w:rPr>
              <w:t>(GU)</w:t>
            </w:r>
          </w:p>
        </w:tc>
        <w:tc>
          <w:tcPr>
            <w:tcW w:w="1388" w:type="dxa"/>
            <w:tcBorders>
              <w:top w:val="single" w:sz="4" w:space="0" w:color="auto"/>
              <w:left w:val="single" w:sz="4" w:space="0" w:color="auto"/>
              <w:bottom w:val="single" w:sz="4" w:space="0" w:color="auto"/>
              <w:right w:val="single" w:sz="4" w:space="0" w:color="auto"/>
            </w:tcBorders>
            <w:noWrap/>
            <w:hideMark/>
          </w:tcPr>
          <w:p w14:paraId="1046B3E4"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036FEC63"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7CC56C9"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752A43C8"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05F8966F"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0711D5C3"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6</w:t>
            </w:r>
          </w:p>
        </w:tc>
        <w:tc>
          <w:tcPr>
            <w:tcW w:w="3513" w:type="dxa"/>
            <w:tcBorders>
              <w:top w:val="single" w:sz="4" w:space="0" w:color="auto"/>
              <w:left w:val="single" w:sz="4" w:space="0" w:color="auto"/>
              <w:bottom w:val="single" w:sz="4" w:space="0" w:color="auto"/>
              <w:right w:val="single" w:sz="4" w:space="0" w:color="auto"/>
            </w:tcBorders>
            <w:noWrap/>
            <w:hideMark/>
          </w:tcPr>
          <w:p w14:paraId="52424DC4"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Gyrosigma balticum </w:t>
            </w:r>
            <w:r w:rsidRPr="00B4215C">
              <w:rPr>
                <w:rFonts w:ascii="Arial" w:eastAsia="Times New Roman" w:hAnsi="Arial" w:cs="Arial"/>
                <w:iCs/>
                <w:color w:val="000000"/>
                <w:lang w:eastAsia="en-IN"/>
              </w:rPr>
              <w:t>(GB)</w:t>
            </w:r>
          </w:p>
        </w:tc>
        <w:tc>
          <w:tcPr>
            <w:tcW w:w="1388" w:type="dxa"/>
            <w:tcBorders>
              <w:top w:val="single" w:sz="4" w:space="0" w:color="auto"/>
              <w:left w:val="single" w:sz="4" w:space="0" w:color="auto"/>
              <w:bottom w:val="single" w:sz="4" w:space="0" w:color="auto"/>
              <w:right w:val="single" w:sz="4" w:space="0" w:color="auto"/>
            </w:tcBorders>
            <w:noWrap/>
            <w:hideMark/>
          </w:tcPr>
          <w:p w14:paraId="54AE2D52"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390D89D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76CE76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07F6110B"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1DA9BD28"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2CAFE615"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lastRenderedPageBreak/>
              <w:t>7</w:t>
            </w:r>
          </w:p>
        </w:tc>
        <w:tc>
          <w:tcPr>
            <w:tcW w:w="3513" w:type="dxa"/>
            <w:tcBorders>
              <w:top w:val="single" w:sz="4" w:space="0" w:color="auto"/>
              <w:left w:val="single" w:sz="4" w:space="0" w:color="auto"/>
              <w:bottom w:val="single" w:sz="4" w:space="0" w:color="auto"/>
              <w:right w:val="single" w:sz="4" w:space="0" w:color="auto"/>
            </w:tcBorders>
            <w:noWrap/>
            <w:hideMark/>
          </w:tcPr>
          <w:p w14:paraId="731A9196"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Licmophora delicatula </w:t>
            </w:r>
            <w:r w:rsidRPr="00B4215C">
              <w:rPr>
                <w:rFonts w:ascii="Arial" w:eastAsia="Times New Roman" w:hAnsi="Arial" w:cs="Arial"/>
                <w:iCs/>
                <w:color w:val="000000"/>
                <w:lang w:eastAsia="en-IN"/>
              </w:rPr>
              <w:t>(LD)</w:t>
            </w:r>
          </w:p>
        </w:tc>
        <w:tc>
          <w:tcPr>
            <w:tcW w:w="1388" w:type="dxa"/>
            <w:tcBorders>
              <w:top w:val="single" w:sz="4" w:space="0" w:color="auto"/>
              <w:left w:val="single" w:sz="4" w:space="0" w:color="auto"/>
              <w:bottom w:val="single" w:sz="4" w:space="0" w:color="auto"/>
              <w:right w:val="single" w:sz="4" w:space="0" w:color="auto"/>
            </w:tcBorders>
            <w:noWrap/>
            <w:hideMark/>
          </w:tcPr>
          <w:p w14:paraId="5D501F2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65C7F82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387D9F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4DC1C4DA"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3ED448EA"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3CA78D5"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8</w:t>
            </w:r>
          </w:p>
        </w:tc>
        <w:tc>
          <w:tcPr>
            <w:tcW w:w="3513" w:type="dxa"/>
            <w:tcBorders>
              <w:top w:val="single" w:sz="4" w:space="0" w:color="auto"/>
              <w:left w:val="single" w:sz="4" w:space="0" w:color="auto"/>
              <w:bottom w:val="single" w:sz="4" w:space="0" w:color="auto"/>
              <w:right w:val="single" w:sz="4" w:space="0" w:color="auto"/>
            </w:tcBorders>
            <w:noWrap/>
            <w:hideMark/>
          </w:tcPr>
          <w:p w14:paraId="598A39ED"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Mastogloia exilis </w:t>
            </w:r>
            <w:r w:rsidRPr="00B4215C">
              <w:rPr>
                <w:rFonts w:ascii="Arial" w:eastAsia="Times New Roman" w:hAnsi="Arial" w:cs="Arial"/>
                <w:iCs/>
                <w:color w:val="000000"/>
                <w:lang w:eastAsia="en-IN"/>
              </w:rPr>
              <w:t>(ME)</w:t>
            </w:r>
          </w:p>
        </w:tc>
        <w:tc>
          <w:tcPr>
            <w:tcW w:w="1388" w:type="dxa"/>
            <w:tcBorders>
              <w:top w:val="single" w:sz="4" w:space="0" w:color="auto"/>
              <w:left w:val="single" w:sz="4" w:space="0" w:color="auto"/>
              <w:bottom w:val="single" w:sz="4" w:space="0" w:color="auto"/>
              <w:right w:val="single" w:sz="4" w:space="0" w:color="auto"/>
            </w:tcBorders>
            <w:noWrap/>
            <w:hideMark/>
          </w:tcPr>
          <w:p w14:paraId="26DD1BE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B85435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12753E32"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36DFB29F"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0E07355A"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70FE19F6"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9</w:t>
            </w:r>
          </w:p>
        </w:tc>
        <w:tc>
          <w:tcPr>
            <w:tcW w:w="3513" w:type="dxa"/>
            <w:tcBorders>
              <w:top w:val="single" w:sz="4" w:space="0" w:color="auto"/>
              <w:left w:val="single" w:sz="4" w:space="0" w:color="auto"/>
              <w:bottom w:val="single" w:sz="4" w:space="0" w:color="auto"/>
              <w:right w:val="single" w:sz="4" w:space="0" w:color="auto"/>
            </w:tcBorders>
            <w:noWrap/>
            <w:hideMark/>
          </w:tcPr>
          <w:p w14:paraId="5F36F437"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Navicula sp. </w:t>
            </w:r>
            <w:r w:rsidRPr="00B4215C">
              <w:rPr>
                <w:rFonts w:ascii="Arial" w:eastAsia="Times New Roman" w:hAnsi="Arial" w:cs="Arial"/>
                <w:iCs/>
                <w:color w:val="000000"/>
                <w:lang w:eastAsia="en-IN"/>
              </w:rPr>
              <w:t>(Nav)</w:t>
            </w:r>
          </w:p>
        </w:tc>
        <w:tc>
          <w:tcPr>
            <w:tcW w:w="1388" w:type="dxa"/>
            <w:tcBorders>
              <w:top w:val="single" w:sz="4" w:space="0" w:color="auto"/>
              <w:left w:val="single" w:sz="4" w:space="0" w:color="auto"/>
              <w:bottom w:val="single" w:sz="4" w:space="0" w:color="auto"/>
              <w:right w:val="single" w:sz="4" w:space="0" w:color="auto"/>
            </w:tcBorders>
            <w:noWrap/>
            <w:hideMark/>
          </w:tcPr>
          <w:p w14:paraId="5A43D9F0"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780CC4F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1CED56C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5827E84A"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06C7860C"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459688B3"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10</w:t>
            </w:r>
          </w:p>
        </w:tc>
        <w:tc>
          <w:tcPr>
            <w:tcW w:w="3513" w:type="dxa"/>
            <w:tcBorders>
              <w:top w:val="single" w:sz="4" w:space="0" w:color="auto"/>
              <w:left w:val="single" w:sz="4" w:space="0" w:color="auto"/>
              <w:bottom w:val="single" w:sz="4" w:space="0" w:color="auto"/>
              <w:right w:val="single" w:sz="4" w:space="0" w:color="auto"/>
            </w:tcBorders>
            <w:noWrap/>
            <w:hideMark/>
          </w:tcPr>
          <w:p w14:paraId="3B070E0C"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Nitzschia closterium </w:t>
            </w:r>
            <w:r w:rsidRPr="00B4215C">
              <w:rPr>
                <w:rFonts w:ascii="Arial" w:eastAsia="Times New Roman" w:hAnsi="Arial" w:cs="Arial"/>
                <w:iCs/>
                <w:color w:val="000000"/>
                <w:lang w:eastAsia="en-IN"/>
              </w:rPr>
              <w:t>(NC)</w:t>
            </w:r>
          </w:p>
        </w:tc>
        <w:tc>
          <w:tcPr>
            <w:tcW w:w="1388" w:type="dxa"/>
            <w:tcBorders>
              <w:top w:val="single" w:sz="4" w:space="0" w:color="auto"/>
              <w:left w:val="single" w:sz="4" w:space="0" w:color="auto"/>
              <w:bottom w:val="single" w:sz="4" w:space="0" w:color="auto"/>
              <w:right w:val="single" w:sz="4" w:space="0" w:color="auto"/>
            </w:tcBorders>
            <w:noWrap/>
            <w:hideMark/>
          </w:tcPr>
          <w:p w14:paraId="18B2C61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1D66312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7477917B"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2A151B5D"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3AF439C3"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2F6E23DF"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11</w:t>
            </w:r>
          </w:p>
        </w:tc>
        <w:tc>
          <w:tcPr>
            <w:tcW w:w="3513" w:type="dxa"/>
            <w:tcBorders>
              <w:top w:val="single" w:sz="4" w:space="0" w:color="auto"/>
              <w:left w:val="single" w:sz="4" w:space="0" w:color="auto"/>
              <w:bottom w:val="single" w:sz="4" w:space="0" w:color="auto"/>
              <w:right w:val="single" w:sz="4" w:space="0" w:color="auto"/>
            </w:tcBorders>
            <w:noWrap/>
            <w:hideMark/>
          </w:tcPr>
          <w:p w14:paraId="2F62ED9E" w14:textId="77777777" w:rsidR="00EF2630" w:rsidRPr="00B4215C" w:rsidRDefault="00EF2630" w:rsidP="00817E5A">
            <w:pPr>
              <w:tabs>
                <w:tab w:val="left" w:pos="1665"/>
              </w:tabs>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Nitzschia sp. </w:t>
            </w:r>
            <w:r w:rsidRPr="00B4215C">
              <w:rPr>
                <w:rFonts w:ascii="Arial" w:eastAsia="Times New Roman" w:hAnsi="Arial" w:cs="Arial"/>
                <w:iCs/>
                <w:color w:val="000000"/>
                <w:lang w:eastAsia="en-IN"/>
              </w:rPr>
              <w:t>(Nit)</w:t>
            </w:r>
          </w:p>
        </w:tc>
        <w:tc>
          <w:tcPr>
            <w:tcW w:w="1388" w:type="dxa"/>
            <w:tcBorders>
              <w:top w:val="single" w:sz="4" w:space="0" w:color="auto"/>
              <w:left w:val="single" w:sz="4" w:space="0" w:color="auto"/>
              <w:bottom w:val="single" w:sz="4" w:space="0" w:color="auto"/>
              <w:right w:val="single" w:sz="4" w:space="0" w:color="auto"/>
            </w:tcBorders>
            <w:noWrap/>
            <w:hideMark/>
          </w:tcPr>
          <w:p w14:paraId="0142847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6FDFA5CF"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1E8F055"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1058D51B"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0C3F0441"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4658B638" w14:textId="77777777" w:rsidR="00EF2630" w:rsidRPr="00B4215C" w:rsidRDefault="00EF2630" w:rsidP="00817E5A">
            <w:pPr>
              <w:spacing w:after="0" w:line="240" w:lineRule="auto"/>
              <w:jc w:val="center"/>
              <w:rPr>
                <w:rFonts w:ascii="Arial" w:eastAsia="Times New Roman" w:hAnsi="Arial" w:cs="Arial"/>
                <w:color w:val="000000"/>
                <w:lang w:eastAsia="en-IN"/>
              </w:rPr>
            </w:pPr>
            <w:bookmarkStart w:id="6" w:name="_Hlk173766933"/>
            <w:r w:rsidRPr="00B4215C">
              <w:rPr>
                <w:rFonts w:ascii="Arial" w:eastAsia="Times New Roman" w:hAnsi="Arial" w:cs="Arial"/>
                <w:color w:val="000000"/>
                <w:lang w:eastAsia="en-IN"/>
              </w:rPr>
              <w:t>12</w:t>
            </w:r>
          </w:p>
        </w:tc>
        <w:tc>
          <w:tcPr>
            <w:tcW w:w="3513" w:type="dxa"/>
            <w:tcBorders>
              <w:top w:val="single" w:sz="4" w:space="0" w:color="auto"/>
              <w:left w:val="single" w:sz="4" w:space="0" w:color="auto"/>
              <w:bottom w:val="single" w:sz="4" w:space="0" w:color="auto"/>
              <w:right w:val="single" w:sz="4" w:space="0" w:color="auto"/>
            </w:tcBorders>
            <w:noWrap/>
            <w:hideMark/>
          </w:tcPr>
          <w:p w14:paraId="54536E04" w14:textId="77777777" w:rsidR="00EF2630" w:rsidRPr="00B4215C" w:rsidRDefault="00EF2630" w:rsidP="00817E5A">
            <w:pPr>
              <w:tabs>
                <w:tab w:val="right" w:pos="3297"/>
              </w:tabs>
              <w:spacing w:after="0" w:line="240" w:lineRule="auto"/>
              <w:jc w:val="center"/>
              <w:rPr>
                <w:rFonts w:ascii="Arial" w:eastAsia="Times New Roman" w:hAnsi="Arial" w:cs="Arial"/>
                <w:i/>
                <w:iCs/>
                <w:color w:val="FF0000"/>
                <w:lang w:eastAsia="en-IN"/>
              </w:rPr>
            </w:pPr>
            <w:r w:rsidRPr="00B4215C">
              <w:rPr>
                <w:rFonts w:ascii="Arial" w:eastAsia="Times New Roman" w:hAnsi="Arial" w:cs="Arial"/>
                <w:i/>
                <w:iCs/>
                <w:lang w:eastAsia="en-IN"/>
              </w:rPr>
              <w:t xml:space="preserve">Rhaphoneis discoides </w:t>
            </w:r>
            <w:r w:rsidRPr="00B4215C">
              <w:rPr>
                <w:rFonts w:ascii="Arial" w:eastAsia="Times New Roman" w:hAnsi="Arial" w:cs="Arial"/>
                <w:iCs/>
                <w:lang w:eastAsia="en-IN"/>
              </w:rPr>
              <w:t>(RD)</w:t>
            </w:r>
          </w:p>
        </w:tc>
        <w:tc>
          <w:tcPr>
            <w:tcW w:w="1388" w:type="dxa"/>
            <w:tcBorders>
              <w:top w:val="single" w:sz="4" w:space="0" w:color="auto"/>
              <w:left w:val="single" w:sz="4" w:space="0" w:color="auto"/>
              <w:bottom w:val="single" w:sz="4" w:space="0" w:color="auto"/>
              <w:right w:val="single" w:sz="4" w:space="0" w:color="auto"/>
            </w:tcBorders>
            <w:noWrap/>
            <w:hideMark/>
          </w:tcPr>
          <w:p w14:paraId="1FB069F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4DDE12C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5B8250C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3161B3E4"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0126080D"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892DD98"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13</w:t>
            </w:r>
          </w:p>
        </w:tc>
        <w:tc>
          <w:tcPr>
            <w:tcW w:w="3513" w:type="dxa"/>
            <w:tcBorders>
              <w:top w:val="single" w:sz="4" w:space="0" w:color="auto"/>
              <w:left w:val="single" w:sz="4" w:space="0" w:color="auto"/>
              <w:bottom w:val="single" w:sz="4" w:space="0" w:color="auto"/>
              <w:right w:val="single" w:sz="4" w:space="0" w:color="auto"/>
            </w:tcBorders>
            <w:noWrap/>
            <w:hideMark/>
          </w:tcPr>
          <w:p w14:paraId="654C01F5"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lang w:eastAsia="en-IN"/>
              </w:rPr>
              <w:t xml:space="preserve">Surirella fluminensis </w:t>
            </w:r>
            <w:r w:rsidRPr="00B4215C">
              <w:rPr>
                <w:rFonts w:ascii="Arial" w:eastAsia="Times New Roman" w:hAnsi="Arial" w:cs="Arial"/>
                <w:iCs/>
                <w:lang w:eastAsia="en-IN"/>
              </w:rPr>
              <w:t>(SF)</w:t>
            </w:r>
          </w:p>
        </w:tc>
        <w:tc>
          <w:tcPr>
            <w:tcW w:w="1388" w:type="dxa"/>
            <w:tcBorders>
              <w:top w:val="single" w:sz="4" w:space="0" w:color="auto"/>
              <w:left w:val="single" w:sz="4" w:space="0" w:color="auto"/>
              <w:bottom w:val="single" w:sz="4" w:space="0" w:color="auto"/>
              <w:right w:val="single" w:sz="4" w:space="0" w:color="auto"/>
            </w:tcBorders>
            <w:noWrap/>
            <w:hideMark/>
          </w:tcPr>
          <w:p w14:paraId="2FF409DE"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02B58C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9F97693"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5246CCA7"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15FC6051"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2B0F84FC"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14</w:t>
            </w:r>
          </w:p>
        </w:tc>
        <w:tc>
          <w:tcPr>
            <w:tcW w:w="3513" w:type="dxa"/>
            <w:tcBorders>
              <w:top w:val="single" w:sz="4" w:space="0" w:color="auto"/>
              <w:left w:val="single" w:sz="4" w:space="0" w:color="auto"/>
              <w:bottom w:val="single" w:sz="4" w:space="0" w:color="auto"/>
              <w:right w:val="single" w:sz="4" w:space="0" w:color="auto"/>
            </w:tcBorders>
            <w:noWrap/>
            <w:hideMark/>
          </w:tcPr>
          <w:p w14:paraId="0D6D7C1C" w14:textId="77777777" w:rsidR="00EF2630" w:rsidRPr="00B4215C" w:rsidRDefault="00EF2630" w:rsidP="00817E5A">
            <w:pPr>
              <w:spacing w:after="0" w:line="240" w:lineRule="auto"/>
              <w:jc w:val="center"/>
              <w:rPr>
                <w:rFonts w:ascii="Arial" w:eastAsia="Times New Roman" w:hAnsi="Arial" w:cs="Arial"/>
                <w:i/>
                <w:iCs/>
                <w:lang w:eastAsia="en-IN"/>
              </w:rPr>
            </w:pPr>
            <w:r w:rsidRPr="00B4215C">
              <w:rPr>
                <w:rFonts w:ascii="Arial" w:eastAsia="Times New Roman" w:hAnsi="Arial" w:cs="Arial"/>
                <w:i/>
                <w:iCs/>
                <w:lang w:eastAsia="en-IN"/>
              </w:rPr>
              <w:t xml:space="preserve">Thalassionema nitzschioides </w:t>
            </w:r>
            <w:r w:rsidRPr="00B4215C">
              <w:rPr>
                <w:rFonts w:ascii="Arial" w:eastAsia="Times New Roman" w:hAnsi="Arial" w:cs="Arial"/>
                <w:iCs/>
                <w:lang w:eastAsia="en-IN"/>
              </w:rPr>
              <w:t>(TN)</w:t>
            </w:r>
          </w:p>
        </w:tc>
        <w:tc>
          <w:tcPr>
            <w:tcW w:w="1388" w:type="dxa"/>
            <w:tcBorders>
              <w:top w:val="single" w:sz="4" w:space="0" w:color="auto"/>
              <w:left w:val="single" w:sz="4" w:space="0" w:color="auto"/>
              <w:bottom w:val="single" w:sz="4" w:space="0" w:color="auto"/>
              <w:right w:val="single" w:sz="4" w:space="0" w:color="auto"/>
            </w:tcBorders>
            <w:noWrap/>
            <w:hideMark/>
          </w:tcPr>
          <w:p w14:paraId="3C3F04DE" w14:textId="77777777" w:rsidR="00EF2630" w:rsidRPr="00B4215C" w:rsidRDefault="00EF2630" w:rsidP="00817E5A">
            <w:pPr>
              <w:spacing w:after="0" w:line="240" w:lineRule="auto"/>
              <w:jc w:val="center"/>
              <w:rPr>
                <w:rFonts w:ascii="Arial" w:eastAsia="Times New Roman" w:hAnsi="Arial" w:cs="Arial"/>
                <w:bCs/>
                <w:lang w:eastAsia="en-IN"/>
              </w:rPr>
            </w:pPr>
            <w:r w:rsidRPr="00B4215C">
              <w:rPr>
                <w:rFonts w:ascii="Arial" w:eastAsia="Times New Roman" w:hAnsi="Arial" w:cs="Arial"/>
                <w:bCs/>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58AA8DCE" w14:textId="77777777" w:rsidR="00EF2630" w:rsidRPr="00B4215C" w:rsidRDefault="00EF2630" w:rsidP="00817E5A">
            <w:pPr>
              <w:spacing w:after="0" w:line="240" w:lineRule="auto"/>
              <w:jc w:val="center"/>
              <w:rPr>
                <w:rFonts w:ascii="Arial" w:eastAsia="Times New Roman" w:hAnsi="Arial" w:cs="Arial"/>
                <w:bCs/>
                <w:lang w:eastAsia="en-IN"/>
              </w:rPr>
            </w:pPr>
            <w:r w:rsidRPr="00B4215C">
              <w:rPr>
                <w:rFonts w:ascii="Arial" w:eastAsia="Times New Roman" w:hAnsi="Arial" w:cs="Arial"/>
                <w:bCs/>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220EEF34" w14:textId="77777777" w:rsidR="00EF2630" w:rsidRPr="00B4215C" w:rsidRDefault="00EF2630" w:rsidP="00817E5A">
            <w:pPr>
              <w:spacing w:after="0" w:line="240" w:lineRule="auto"/>
              <w:jc w:val="center"/>
              <w:rPr>
                <w:rFonts w:ascii="Arial" w:eastAsia="Times New Roman" w:hAnsi="Arial" w:cs="Arial"/>
                <w:bCs/>
                <w:lang w:eastAsia="en-IN"/>
              </w:rPr>
            </w:pPr>
            <w:r w:rsidRPr="00B4215C">
              <w:rPr>
                <w:rFonts w:ascii="Arial" w:eastAsia="Times New Roman" w:hAnsi="Arial" w:cs="Arial"/>
                <w:bCs/>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31FB6FCA" w14:textId="77777777" w:rsidR="00EF2630" w:rsidRPr="00B4215C" w:rsidRDefault="00EF2630" w:rsidP="00817E5A">
            <w:pPr>
              <w:spacing w:after="0" w:line="240" w:lineRule="auto"/>
              <w:jc w:val="center"/>
              <w:rPr>
                <w:rFonts w:ascii="Arial" w:eastAsia="Times New Roman" w:hAnsi="Arial" w:cs="Arial"/>
                <w:lang w:eastAsia="en-IN"/>
              </w:rPr>
            </w:pPr>
            <w:r w:rsidRPr="00B4215C">
              <w:rPr>
                <w:rFonts w:ascii="Arial" w:eastAsia="Times New Roman" w:hAnsi="Arial" w:cs="Arial"/>
                <w:lang w:eastAsia="en-IN"/>
              </w:rPr>
              <w:t>++</w:t>
            </w:r>
          </w:p>
        </w:tc>
      </w:tr>
      <w:tr w:rsidR="00EF2630" w:rsidRPr="00B4215C" w14:paraId="38C2B276"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0E07C54B"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15</w:t>
            </w:r>
          </w:p>
        </w:tc>
        <w:tc>
          <w:tcPr>
            <w:tcW w:w="3513" w:type="dxa"/>
            <w:tcBorders>
              <w:top w:val="single" w:sz="4" w:space="0" w:color="auto"/>
              <w:left w:val="single" w:sz="4" w:space="0" w:color="auto"/>
              <w:bottom w:val="single" w:sz="4" w:space="0" w:color="auto"/>
              <w:right w:val="single" w:sz="4" w:space="0" w:color="auto"/>
            </w:tcBorders>
            <w:noWrap/>
            <w:hideMark/>
          </w:tcPr>
          <w:p w14:paraId="5B2874C2"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lang w:eastAsia="en-IN"/>
              </w:rPr>
              <w:t xml:space="preserve">Thallasiothrix frauenfeldii </w:t>
            </w:r>
            <w:r w:rsidRPr="00B4215C">
              <w:rPr>
                <w:rFonts w:ascii="Arial" w:eastAsia="Times New Roman" w:hAnsi="Arial" w:cs="Arial"/>
                <w:iCs/>
                <w:lang w:eastAsia="en-IN"/>
              </w:rPr>
              <w:t>(TF)</w:t>
            </w:r>
          </w:p>
        </w:tc>
        <w:tc>
          <w:tcPr>
            <w:tcW w:w="1388" w:type="dxa"/>
            <w:tcBorders>
              <w:top w:val="single" w:sz="4" w:space="0" w:color="auto"/>
              <w:left w:val="single" w:sz="4" w:space="0" w:color="auto"/>
              <w:bottom w:val="single" w:sz="4" w:space="0" w:color="auto"/>
              <w:right w:val="single" w:sz="4" w:space="0" w:color="auto"/>
            </w:tcBorders>
            <w:noWrap/>
            <w:hideMark/>
          </w:tcPr>
          <w:p w14:paraId="3A141E4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30D96D0B"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20391923"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49861AE5"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bookmarkEnd w:id="6"/>
      <w:tr w:rsidR="00EF2630" w:rsidRPr="00B4215C" w14:paraId="18330CE3" w14:textId="77777777" w:rsidTr="00817E5A">
        <w:trPr>
          <w:trHeight w:val="338"/>
          <w:jc w:val="center"/>
        </w:trPr>
        <w:tc>
          <w:tcPr>
            <w:tcW w:w="10114" w:type="dxa"/>
            <w:gridSpan w:val="6"/>
            <w:tcBorders>
              <w:top w:val="single" w:sz="4" w:space="0" w:color="auto"/>
              <w:left w:val="single" w:sz="4" w:space="0" w:color="auto"/>
              <w:bottom w:val="single" w:sz="4" w:space="0" w:color="auto"/>
              <w:right w:val="single" w:sz="4" w:space="0" w:color="auto"/>
            </w:tcBorders>
            <w:noWrap/>
            <w:hideMark/>
          </w:tcPr>
          <w:p w14:paraId="20452898"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Class: Dinophyceae (</w:t>
            </w:r>
            <w:bookmarkStart w:id="7" w:name="_Hlk162364385"/>
            <w:r w:rsidRPr="00B4215C">
              <w:rPr>
                <w:rFonts w:ascii="Arial" w:eastAsia="Times New Roman" w:hAnsi="Arial" w:cs="Arial"/>
                <w:color w:val="000000"/>
                <w:lang w:eastAsia="en-IN"/>
              </w:rPr>
              <w:t>Dinoflagellates</w:t>
            </w:r>
            <w:bookmarkEnd w:id="7"/>
            <w:r w:rsidRPr="00B4215C">
              <w:rPr>
                <w:rFonts w:ascii="Arial" w:eastAsia="Times New Roman" w:hAnsi="Arial" w:cs="Arial"/>
                <w:color w:val="000000"/>
                <w:lang w:eastAsia="en-IN"/>
              </w:rPr>
              <w:t>)</w:t>
            </w:r>
          </w:p>
        </w:tc>
      </w:tr>
      <w:tr w:rsidR="00EF2630" w:rsidRPr="00B4215C" w14:paraId="55E908EB"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798226BF"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w:t>
            </w:r>
          </w:p>
        </w:tc>
        <w:tc>
          <w:tcPr>
            <w:tcW w:w="3513" w:type="dxa"/>
            <w:tcBorders>
              <w:top w:val="single" w:sz="4" w:space="0" w:color="auto"/>
              <w:left w:val="single" w:sz="4" w:space="0" w:color="auto"/>
              <w:bottom w:val="single" w:sz="4" w:space="0" w:color="auto"/>
              <w:right w:val="single" w:sz="4" w:space="0" w:color="auto"/>
            </w:tcBorders>
            <w:noWrap/>
            <w:hideMark/>
          </w:tcPr>
          <w:p w14:paraId="111555C4"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Amphisolenia bifurcate </w:t>
            </w:r>
            <w:r w:rsidRPr="00B4215C">
              <w:rPr>
                <w:rFonts w:ascii="Arial" w:eastAsia="Times New Roman" w:hAnsi="Arial" w:cs="Arial"/>
                <w:iCs/>
                <w:color w:val="000000"/>
                <w:lang w:eastAsia="en-IN"/>
              </w:rPr>
              <w:t>(AB)</w:t>
            </w:r>
          </w:p>
        </w:tc>
        <w:tc>
          <w:tcPr>
            <w:tcW w:w="1388" w:type="dxa"/>
            <w:tcBorders>
              <w:top w:val="single" w:sz="4" w:space="0" w:color="auto"/>
              <w:left w:val="single" w:sz="4" w:space="0" w:color="auto"/>
              <w:bottom w:val="single" w:sz="4" w:space="0" w:color="auto"/>
              <w:right w:val="single" w:sz="4" w:space="0" w:color="auto"/>
            </w:tcBorders>
            <w:noWrap/>
            <w:hideMark/>
          </w:tcPr>
          <w:p w14:paraId="7A87F4BA"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4CC46A12"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262620F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FCB50D7"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241607F1" w14:textId="77777777" w:rsidTr="00817E5A">
        <w:trPr>
          <w:trHeight w:val="392"/>
          <w:jc w:val="center"/>
        </w:trPr>
        <w:tc>
          <w:tcPr>
            <w:tcW w:w="740" w:type="dxa"/>
            <w:tcBorders>
              <w:top w:val="single" w:sz="4" w:space="0" w:color="auto"/>
              <w:left w:val="single" w:sz="4" w:space="0" w:color="auto"/>
              <w:bottom w:val="single" w:sz="4" w:space="0" w:color="auto"/>
              <w:right w:val="single" w:sz="4" w:space="0" w:color="auto"/>
            </w:tcBorders>
            <w:noWrap/>
            <w:hideMark/>
          </w:tcPr>
          <w:p w14:paraId="6807FDC7"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2</w:t>
            </w:r>
          </w:p>
        </w:tc>
        <w:tc>
          <w:tcPr>
            <w:tcW w:w="3513" w:type="dxa"/>
            <w:tcBorders>
              <w:top w:val="single" w:sz="4" w:space="0" w:color="auto"/>
              <w:left w:val="single" w:sz="4" w:space="0" w:color="auto"/>
              <w:bottom w:val="single" w:sz="4" w:space="0" w:color="auto"/>
              <w:right w:val="single" w:sz="4" w:space="0" w:color="auto"/>
            </w:tcBorders>
            <w:noWrap/>
            <w:hideMark/>
          </w:tcPr>
          <w:p w14:paraId="159FB667"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Ceratium declinatum </w:t>
            </w:r>
            <w:r w:rsidRPr="00B4215C">
              <w:rPr>
                <w:rFonts w:ascii="Arial" w:eastAsia="Times New Roman" w:hAnsi="Arial" w:cs="Arial"/>
                <w:iCs/>
                <w:color w:val="000000"/>
                <w:lang w:eastAsia="en-IN"/>
              </w:rPr>
              <w:t>(CD)</w:t>
            </w:r>
          </w:p>
        </w:tc>
        <w:tc>
          <w:tcPr>
            <w:tcW w:w="1388" w:type="dxa"/>
            <w:tcBorders>
              <w:top w:val="single" w:sz="4" w:space="0" w:color="auto"/>
              <w:left w:val="single" w:sz="4" w:space="0" w:color="auto"/>
              <w:bottom w:val="single" w:sz="4" w:space="0" w:color="auto"/>
              <w:right w:val="single" w:sz="4" w:space="0" w:color="auto"/>
            </w:tcBorders>
            <w:noWrap/>
            <w:hideMark/>
          </w:tcPr>
          <w:p w14:paraId="2B25519B"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1B8660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2A2ECF4B"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60D3454A"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6DDB9031"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7C3B7D24"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3</w:t>
            </w:r>
          </w:p>
        </w:tc>
        <w:tc>
          <w:tcPr>
            <w:tcW w:w="3513" w:type="dxa"/>
            <w:tcBorders>
              <w:top w:val="single" w:sz="4" w:space="0" w:color="auto"/>
              <w:left w:val="single" w:sz="4" w:space="0" w:color="auto"/>
              <w:bottom w:val="single" w:sz="4" w:space="0" w:color="auto"/>
              <w:right w:val="single" w:sz="4" w:space="0" w:color="auto"/>
            </w:tcBorders>
            <w:noWrap/>
            <w:hideMark/>
          </w:tcPr>
          <w:p w14:paraId="113CD10E"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Ceratium sp. </w:t>
            </w:r>
            <w:r w:rsidRPr="00B4215C">
              <w:rPr>
                <w:rFonts w:ascii="Arial" w:eastAsia="Times New Roman" w:hAnsi="Arial" w:cs="Arial"/>
                <w:iCs/>
                <w:color w:val="000000"/>
                <w:lang w:eastAsia="en-IN"/>
              </w:rPr>
              <w:t>(Cer)</w:t>
            </w:r>
          </w:p>
        </w:tc>
        <w:tc>
          <w:tcPr>
            <w:tcW w:w="1388" w:type="dxa"/>
            <w:tcBorders>
              <w:top w:val="single" w:sz="4" w:space="0" w:color="auto"/>
              <w:left w:val="single" w:sz="4" w:space="0" w:color="auto"/>
              <w:bottom w:val="single" w:sz="4" w:space="0" w:color="auto"/>
              <w:right w:val="single" w:sz="4" w:space="0" w:color="auto"/>
            </w:tcBorders>
            <w:noWrap/>
            <w:hideMark/>
          </w:tcPr>
          <w:p w14:paraId="652CCD0B"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2C2F95D"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CE51A83"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4C36D022"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4460EC90"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B378F48"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4</w:t>
            </w:r>
          </w:p>
        </w:tc>
        <w:tc>
          <w:tcPr>
            <w:tcW w:w="3513" w:type="dxa"/>
            <w:tcBorders>
              <w:top w:val="single" w:sz="4" w:space="0" w:color="auto"/>
              <w:left w:val="single" w:sz="4" w:space="0" w:color="auto"/>
              <w:bottom w:val="single" w:sz="4" w:space="0" w:color="auto"/>
              <w:right w:val="single" w:sz="4" w:space="0" w:color="auto"/>
            </w:tcBorders>
            <w:noWrap/>
            <w:hideMark/>
          </w:tcPr>
          <w:p w14:paraId="3D806ACA"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Cochlodinium citron </w:t>
            </w:r>
            <w:r w:rsidRPr="00B4215C">
              <w:rPr>
                <w:rFonts w:ascii="Arial" w:eastAsia="Times New Roman" w:hAnsi="Arial" w:cs="Arial"/>
                <w:iCs/>
                <w:color w:val="000000"/>
                <w:lang w:eastAsia="en-IN"/>
              </w:rPr>
              <w:t>(CC)</w:t>
            </w:r>
          </w:p>
        </w:tc>
        <w:tc>
          <w:tcPr>
            <w:tcW w:w="1388" w:type="dxa"/>
            <w:tcBorders>
              <w:top w:val="single" w:sz="4" w:space="0" w:color="auto"/>
              <w:left w:val="single" w:sz="4" w:space="0" w:color="auto"/>
              <w:bottom w:val="single" w:sz="4" w:space="0" w:color="auto"/>
              <w:right w:val="single" w:sz="4" w:space="0" w:color="auto"/>
            </w:tcBorders>
            <w:noWrap/>
            <w:hideMark/>
          </w:tcPr>
          <w:p w14:paraId="028D929D"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C3E529A"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4DF38EF3"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3BFE92C"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30327AD9"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55603743"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5</w:t>
            </w:r>
          </w:p>
        </w:tc>
        <w:tc>
          <w:tcPr>
            <w:tcW w:w="3513" w:type="dxa"/>
            <w:tcBorders>
              <w:top w:val="single" w:sz="4" w:space="0" w:color="auto"/>
              <w:left w:val="single" w:sz="4" w:space="0" w:color="auto"/>
              <w:bottom w:val="single" w:sz="4" w:space="0" w:color="auto"/>
              <w:right w:val="single" w:sz="4" w:space="0" w:color="auto"/>
            </w:tcBorders>
            <w:noWrap/>
            <w:hideMark/>
          </w:tcPr>
          <w:p w14:paraId="6734F535"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Dinophysis caudata </w:t>
            </w:r>
            <w:r w:rsidRPr="00B4215C">
              <w:rPr>
                <w:rFonts w:ascii="Arial" w:eastAsia="Times New Roman" w:hAnsi="Arial" w:cs="Arial"/>
                <w:iCs/>
                <w:color w:val="000000"/>
                <w:lang w:eastAsia="en-IN"/>
              </w:rPr>
              <w:t>(DC)</w:t>
            </w:r>
          </w:p>
        </w:tc>
        <w:tc>
          <w:tcPr>
            <w:tcW w:w="1388" w:type="dxa"/>
            <w:tcBorders>
              <w:top w:val="single" w:sz="4" w:space="0" w:color="auto"/>
              <w:left w:val="single" w:sz="4" w:space="0" w:color="auto"/>
              <w:bottom w:val="single" w:sz="4" w:space="0" w:color="auto"/>
              <w:right w:val="single" w:sz="4" w:space="0" w:color="auto"/>
            </w:tcBorders>
            <w:noWrap/>
            <w:hideMark/>
          </w:tcPr>
          <w:p w14:paraId="75AFD35C"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754C59D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0D1FA33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11C43BB0"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76245CDD"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B9F9B3E"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6</w:t>
            </w:r>
          </w:p>
        </w:tc>
        <w:tc>
          <w:tcPr>
            <w:tcW w:w="3513" w:type="dxa"/>
            <w:tcBorders>
              <w:top w:val="single" w:sz="4" w:space="0" w:color="auto"/>
              <w:left w:val="single" w:sz="4" w:space="0" w:color="auto"/>
              <w:bottom w:val="single" w:sz="4" w:space="0" w:color="auto"/>
              <w:right w:val="single" w:sz="4" w:space="0" w:color="auto"/>
            </w:tcBorders>
            <w:noWrap/>
            <w:hideMark/>
          </w:tcPr>
          <w:p w14:paraId="55136D24"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Diplopsalis sp. </w:t>
            </w:r>
            <w:r w:rsidRPr="00B4215C">
              <w:rPr>
                <w:rFonts w:ascii="Arial" w:eastAsia="Times New Roman" w:hAnsi="Arial" w:cs="Arial"/>
                <w:iCs/>
                <w:color w:val="000000"/>
                <w:lang w:eastAsia="en-IN"/>
              </w:rPr>
              <w:t>(Di)</w:t>
            </w:r>
          </w:p>
        </w:tc>
        <w:tc>
          <w:tcPr>
            <w:tcW w:w="1388" w:type="dxa"/>
            <w:tcBorders>
              <w:top w:val="single" w:sz="4" w:space="0" w:color="auto"/>
              <w:left w:val="single" w:sz="4" w:space="0" w:color="auto"/>
              <w:bottom w:val="single" w:sz="4" w:space="0" w:color="auto"/>
              <w:right w:val="single" w:sz="4" w:space="0" w:color="auto"/>
            </w:tcBorders>
            <w:noWrap/>
            <w:hideMark/>
          </w:tcPr>
          <w:p w14:paraId="654EF330"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20D474F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1198239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49A1500"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7645C5FB"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C0B8F81"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7</w:t>
            </w:r>
          </w:p>
        </w:tc>
        <w:tc>
          <w:tcPr>
            <w:tcW w:w="3513" w:type="dxa"/>
            <w:tcBorders>
              <w:top w:val="single" w:sz="4" w:space="0" w:color="auto"/>
              <w:left w:val="single" w:sz="4" w:space="0" w:color="auto"/>
              <w:bottom w:val="single" w:sz="4" w:space="0" w:color="auto"/>
              <w:right w:val="single" w:sz="4" w:space="0" w:color="auto"/>
            </w:tcBorders>
            <w:noWrap/>
            <w:hideMark/>
          </w:tcPr>
          <w:p w14:paraId="128D4692"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Ornithocercus magnificus </w:t>
            </w:r>
            <w:r w:rsidRPr="00B4215C">
              <w:rPr>
                <w:rFonts w:ascii="Arial" w:eastAsia="Times New Roman" w:hAnsi="Arial" w:cs="Arial"/>
                <w:iCs/>
                <w:color w:val="000000"/>
                <w:lang w:eastAsia="en-IN"/>
              </w:rPr>
              <w:t>(OM)</w:t>
            </w:r>
          </w:p>
        </w:tc>
        <w:tc>
          <w:tcPr>
            <w:tcW w:w="1388" w:type="dxa"/>
            <w:tcBorders>
              <w:top w:val="single" w:sz="4" w:space="0" w:color="auto"/>
              <w:left w:val="single" w:sz="4" w:space="0" w:color="auto"/>
              <w:bottom w:val="single" w:sz="4" w:space="0" w:color="auto"/>
              <w:right w:val="single" w:sz="4" w:space="0" w:color="auto"/>
            </w:tcBorders>
            <w:noWrap/>
            <w:hideMark/>
          </w:tcPr>
          <w:p w14:paraId="50D90882"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3128494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19011C4"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3F067866"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2E5282FE"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DC921B8"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8</w:t>
            </w:r>
          </w:p>
        </w:tc>
        <w:tc>
          <w:tcPr>
            <w:tcW w:w="3513" w:type="dxa"/>
            <w:tcBorders>
              <w:top w:val="single" w:sz="4" w:space="0" w:color="auto"/>
              <w:left w:val="single" w:sz="4" w:space="0" w:color="auto"/>
              <w:bottom w:val="single" w:sz="4" w:space="0" w:color="auto"/>
              <w:right w:val="single" w:sz="4" w:space="0" w:color="auto"/>
            </w:tcBorders>
            <w:noWrap/>
            <w:hideMark/>
          </w:tcPr>
          <w:p w14:paraId="581F93A4"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Peridinium claudicans </w:t>
            </w:r>
            <w:r w:rsidRPr="00B4215C">
              <w:rPr>
                <w:rFonts w:ascii="Arial" w:eastAsia="Times New Roman" w:hAnsi="Arial" w:cs="Arial"/>
                <w:iCs/>
                <w:color w:val="000000"/>
                <w:lang w:eastAsia="en-IN"/>
              </w:rPr>
              <w:t>(PC)</w:t>
            </w:r>
          </w:p>
        </w:tc>
        <w:tc>
          <w:tcPr>
            <w:tcW w:w="1388" w:type="dxa"/>
            <w:tcBorders>
              <w:top w:val="single" w:sz="4" w:space="0" w:color="auto"/>
              <w:left w:val="single" w:sz="4" w:space="0" w:color="auto"/>
              <w:bottom w:val="single" w:sz="4" w:space="0" w:color="auto"/>
              <w:right w:val="single" w:sz="4" w:space="0" w:color="auto"/>
            </w:tcBorders>
            <w:noWrap/>
            <w:hideMark/>
          </w:tcPr>
          <w:p w14:paraId="4E6FE7E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36203CEB"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DCDDF76"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2E026E69"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4A8F5E4E"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2E7823BD"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9</w:t>
            </w:r>
          </w:p>
        </w:tc>
        <w:tc>
          <w:tcPr>
            <w:tcW w:w="3513" w:type="dxa"/>
            <w:tcBorders>
              <w:top w:val="single" w:sz="4" w:space="0" w:color="auto"/>
              <w:left w:val="single" w:sz="4" w:space="0" w:color="auto"/>
              <w:bottom w:val="single" w:sz="4" w:space="0" w:color="auto"/>
              <w:right w:val="single" w:sz="4" w:space="0" w:color="auto"/>
            </w:tcBorders>
            <w:noWrap/>
            <w:hideMark/>
          </w:tcPr>
          <w:p w14:paraId="51FFDEDA" w14:textId="77777777" w:rsidR="00EF2630" w:rsidRPr="00B4215C" w:rsidRDefault="00EF2630" w:rsidP="00817E5A">
            <w:pPr>
              <w:spacing w:after="0" w:line="240" w:lineRule="auto"/>
              <w:jc w:val="center"/>
              <w:rPr>
                <w:rFonts w:ascii="Arial" w:eastAsia="Times New Roman" w:hAnsi="Arial" w:cs="Arial"/>
                <w:iCs/>
                <w:color w:val="000000"/>
                <w:lang w:eastAsia="en-IN"/>
              </w:rPr>
            </w:pPr>
            <w:r w:rsidRPr="00B4215C">
              <w:rPr>
                <w:rFonts w:ascii="Arial" w:eastAsia="Times New Roman" w:hAnsi="Arial" w:cs="Arial"/>
                <w:i/>
                <w:iCs/>
                <w:color w:val="000000"/>
                <w:lang w:eastAsia="en-IN"/>
              </w:rPr>
              <w:t xml:space="preserve">Podolampas bipes </w:t>
            </w:r>
            <w:r w:rsidRPr="00B4215C">
              <w:rPr>
                <w:rFonts w:ascii="Arial" w:eastAsia="Times New Roman" w:hAnsi="Arial" w:cs="Arial"/>
                <w:iCs/>
                <w:color w:val="000000"/>
                <w:lang w:eastAsia="en-IN"/>
              </w:rPr>
              <w:t>(PB)</w:t>
            </w:r>
          </w:p>
        </w:tc>
        <w:tc>
          <w:tcPr>
            <w:tcW w:w="1388" w:type="dxa"/>
            <w:tcBorders>
              <w:top w:val="single" w:sz="4" w:space="0" w:color="auto"/>
              <w:left w:val="single" w:sz="4" w:space="0" w:color="auto"/>
              <w:bottom w:val="single" w:sz="4" w:space="0" w:color="auto"/>
              <w:right w:val="single" w:sz="4" w:space="0" w:color="auto"/>
            </w:tcBorders>
            <w:noWrap/>
            <w:hideMark/>
          </w:tcPr>
          <w:p w14:paraId="60153F30"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2A26072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FED4088"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BD16153"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466087BC"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7921B62B"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10</w:t>
            </w:r>
          </w:p>
        </w:tc>
        <w:tc>
          <w:tcPr>
            <w:tcW w:w="3513" w:type="dxa"/>
            <w:tcBorders>
              <w:top w:val="single" w:sz="4" w:space="0" w:color="auto"/>
              <w:left w:val="single" w:sz="4" w:space="0" w:color="auto"/>
              <w:bottom w:val="single" w:sz="4" w:space="0" w:color="auto"/>
              <w:right w:val="single" w:sz="4" w:space="0" w:color="auto"/>
            </w:tcBorders>
            <w:noWrap/>
            <w:hideMark/>
          </w:tcPr>
          <w:p w14:paraId="1D5675AD"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Prorocentrum sp. </w:t>
            </w:r>
            <w:r w:rsidRPr="00B4215C">
              <w:rPr>
                <w:rFonts w:ascii="Arial" w:eastAsia="Times New Roman" w:hAnsi="Arial" w:cs="Arial"/>
                <w:iCs/>
                <w:color w:val="000000"/>
                <w:lang w:eastAsia="en-IN"/>
              </w:rPr>
              <w:t>(Pro)</w:t>
            </w:r>
          </w:p>
        </w:tc>
        <w:tc>
          <w:tcPr>
            <w:tcW w:w="1388" w:type="dxa"/>
            <w:tcBorders>
              <w:top w:val="single" w:sz="4" w:space="0" w:color="auto"/>
              <w:left w:val="single" w:sz="4" w:space="0" w:color="auto"/>
              <w:bottom w:val="single" w:sz="4" w:space="0" w:color="auto"/>
              <w:right w:val="single" w:sz="4" w:space="0" w:color="auto"/>
            </w:tcBorders>
            <w:noWrap/>
            <w:hideMark/>
          </w:tcPr>
          <w:p w14:paraId="18ED309D"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E6EA471"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5A75FBC"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110A397"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tr w:rsidR="00EF2630" w:rsidRPr="00B4215C" w14:paraId="18A69101" w14:textId="77777777" w:rsidTr="00817E5A">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004413C3"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11</w:t>
            </w:r>
          </w:p>
        </w:tc>
        <w:tc>
          <w:tcPr>
            <w:tcW w:w="3513" w:type="dxa"/>
            <w:tcBorders>
              <w:top w:val="single" w:sz="4" w:space="0" w:color="auto"/>
              <w:left w:val="single" w:sz="4" w:space="0" w:color="auto"/>
              <w:bottom w:val="single" w:sz="4" w:space="0" w:color="auto"/>
              <w:right w:val="single" w:sz="4" w:space="0" w:color="auto"/>
            </w:tcBorders>
            <w:noWrap/>
            <w:hideMark/>
          </w:tcPr>
          <w:p w14:paraId="4EB6D8DC" w14:textId="77777777" w:rsidR="00EF2630" w:rsidRPr="00B4215C" w:rsidRDefault="00EF2630" w:rsidP="00817E5A">
            <w:pPr>
              <w:spacing w:after="0" w:line="240" w:lineRule="auto"/>
              <w:jc w:val="center"/>
              <w:rPr>
                <w:rFonts w:ascii="Arial" w:eastAsia="Times New Roman" w:hAnsi="Arial" w:cs="Arial"/>
                <w:i/>
                <w:iCs/>
                <w:color w:val="000000"/>
                <w:lang w:eastAsia="en-IN"/>
              </w:rPr>
            </w:pPr>
            <w:r w:rsidRPr="00B4215C">
              <w:rPr>
                <w:rFonts w:ascii="Arial" w:eastAsia="Times New Roman" w:hAnsi="Arial" w:cs="Arial"/>
                <w:i/>
                <w:iCs/>
                <w:color w:val="000000"/>
                <w:lang w:eastAsia="en-IN"/>
              </w:rPr>
              <w:t xml:space="preserve">Pyrophacus Horologium </w:t>
            </w:r>
            <w:r w:rsidRPr="00B4215C">
              <w:rPr>
                <w:rFonts w:ascii="Arial" w:eastAsia="Times New Roman" w:hAnsi="Arial" w:cs="Arial"/>
                <w:iCs/>
                <w:color w:val="000000"/>
                <w:lang w:eastAsia="en-IN"/>
              </w:rPr>
              <w:t>(PH)</w:t>
            </w:r>
          </w:p>
        </w:tc>
        <w:tc>
          <w:tcPr>
            <w:tcW w:w="1388" w:type="dxa"/>
            <w:tcBorders>
              <w:top w:val="single" w:sz="4" w:space="0" w:color="auto"/>
              <w:left w:val="single" w:sz="4" w:space="0" w:color="auto"/>
              <w:bottom w:val="single" w:sz="4" w:space="0" w:color="auto"/>
              <w:right w:val="single" w:sz="4" w:space="0" w:color="auto"/>
            </w:tcBorders>
            <w:noWrap/>
            <w:hideMark/>
          </w:tcPr>
          <w:p w14:paraId="57AA5287"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3C2CEEC4"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22D0BA5C" w14:textId="77777777" w:rsidR="00EF2630" w:rsidRPr="00B4215C" w:rsidRDefault="00EF2630" w:rsidP="00817E5A">
            <w:pPr>
              <w:spacing w:after="0" w:line="240" w:lineRule="auto"/>
              <w:jc w:val="center"/>
              <w:rPr>
                <w:rFonts w:ascii="Arial" w:eastAsia="Times New Roman" w:hAnsi="Arial" w:cs="Arial"/>
                <w:bCs/>
                <w:color w:val="000000"/>
                <w:lang w:eastAsia="en-IN"/>
              </w:rPr>
            </w:pPr>
            <w:r w:rsidRPr="00B4215C">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3C8A1724" w14:textId="77777777" w:rsidR="00EF2630" w:rsidRPr="00B4215C" w:rsidRDefault="00EF2630" w:rsidP="00817E5A">
            <w:pPr>
              <w:spacing w:after="0" w:line="240" w:lineRule="auto"/>
              <w:jc w:val="center"/>
              <w:rPr>
                <w:rFonts w:ascii="Arial" w:eastAsia="Times New Roman" w:hAnsi="Arial" w:cs="Arial"/>
                <w:color w:val="000000"/>
                <w:lang w:eastAsia="en-IN"/>
              </w:rPr>
            </w:pPr>
            <w:r w:rsidRPr="00B4215C">
              <w:rPr>
                <w:rFonts w:ascii="Arial" w:eastAsia="Times New Roman" w:hAnsi="Arial" w:cs="Arial"/>
                <w:color w:val="000000"/>
                <w:lang w:eastAsia="en-IN"/>
              </w:rPr>
              <w:t>-</w:t>
            </w:r>
          </w:p>
        </w:tc>
      </w:tr>
      <w:bookmarkEnd w:id="3"/>
      <w:bookmarkEnd w:id="4"/>
      <w:bookmarkEnd w:id="5"/>
      <w:tr w:rsidR="00EF2630" w:rsidRPr="00B4215C" w14:paraId="5ADFAC65" w14:textId="77777777" w:rsidTr="00817E5A">
        <w:trPr>
          <w:trHeight w:val="215"/>
          <w:jc w:val="center"/>
        </w:trPr>
        <w:tc>
          <w:tcPr>
            <w:tcW w:w="10114" w:type="dxa"/>
            <w:gridSpan w:val="6"/>
            <w:tcBorders>
              <w:top w:val="single" w:sz="4" w:space="0" w:color="auto"/>
              <w:left w:val="single" w:sz="4" w:space="0" w:color="auto"/>
              <w:bottom w:val="single" w:sz="4" w:space="0" w:color="auto"/>
              <w:right w:val="single" w:sz="4" w:space="0" w:color="auto"/>
            </w:tcBorders>
            <w:noWrap/>
            <w:hideMark/>
          </w:tcPr>
          <w:p w14:paraId="49158D6F" w14:textId="77777777" w:rsidR="00EF2630" w:rsidRPr="00B4215C" w:rsidRDefault="00EF2630" w:rsidP="00817E5A">
            <w:pPr>
              <w:spacing w:after="0" w:line="240" w:lineRule="auto"/>
              <w:jc w:val="center"/>
              <w:rPr>
                <w:rFonts w:ascii="Arial" w:eastAsia="Times New Roman" w:hAnsi="Arial" w:cs="Arial"/>
                <w:b/>
                <w:bCs/>
                <w:color w:val="000000"/>
                <w:lang w:eastAsia="en-IN"/>
              </w:rPr>
            </w:pPr>
            <w:r w:rsidRPr="00B4215C">
              <w:rPr>
                <w:rFonts w:ascii="Arial" w:eastAsia="Times New Roman" w:hAnsi="Arial" w:cs="Arial"/>
                <w:color w:val="000000"/>
                <w:lang w:eastAsia="en-IN"/>
              </w:rPr>
              <w:t>*Abundant = + + +; Average = + +; Less in Number = +; Absent = -</w:t>
            </w:r>
          </w:p>
        </w:tc>
      </w:tr>
    </w:tbl>
    <w:bookmarkEnd w:id="2"/>
    <w:p w14:paraId="51E58D0F" w14:textId="77777777" w:rsidR="00EF2630" w:rsidRPr="00B4215C" w:rsidRDefault="00EF2630" w:rsidP="00EF2630">
      <w:pPr>
        <w:spacing w:line="240" w:lineRule="auto"/>
        <w:jc w:val="center"/>
        <w:rPr>
          <w:rFonts w:ascii="Arial" w:hAnsi="Arial" w:cs="Arial"/>
          <w:b/>
          <w:bCs/>
        </w:rPr>
      </w:pPr>
      <w:r w:rsidRPr="00B4215C">
        <w:rPr>
          <w:rFonts w:ascii="Arial" w:hAnsi="Arial" w:cs="Arial"/>
          <w:b/>
          <w:bCs/>
          <w:lang w:val="en-US"/>
        </w:rPr>
        <w:t>Note-</w:t>
      </w:r>
      <w:r w:rsidRPr="00B4215C">
        <w:rPr>
          <w:rFonts w:ascii="Arial" w:hAnsi="Arial" w:cs="Arial"/>
          <w:lang w:val="en-US"/>
        </w:rPr>
        <w:t xml:space="preserve"> Ranges (cells/micro liter)</w:t>
      </w:r>
      <w:r w:rsidRPr="00B4215C">
        <w:rPr>
          <w:rFonts w:ascii="Arial" w:hAnsi="Arial" w:cs="Arial"/>
          <w:lang w:val="en-US"/>
        </w:rPr>
        <w:sym w:font="Wingdings" w:char="F0E0"/>
      </w:r>
      <w:r w:rsidRPr="00B4215C">
        <w:rPr>
          <w:rFonts w:ascii="Arial" w:hAnsi="Arial" w:cs="Arial"/>
          <w:lang w:val="en-US"/>
        </w:rPr>
        <w:t xml:space="preserve"> Abundance (+++) 0.5-0.8; Average (++) 0.1-0.5; Less in Number (+) 0.01-0.1; Absent (-) 0</w:t>
      </w:r>
    </w:p>
    <w:p w14:paraId="6E6167A4" w14:textId="77777777" w:rsidR="00EF2630" w:rsidRPr="00B4215C" w:rsidRDefault="00EF2630" w:rsidP="00EF2630">
      <w:pPr>
        <w:jc w:val="both"/>
        <w:rPr>
          <w:rFonts w:ascii="Arial" w:hAnsi="Arial" w:cs="Arial"/>
          <w:bCs/>
          <w:sz w:val="20"/>
        </w:rPr>
      </w:pPr>
    </w:p>
    <w:p w14:paraId="29D1EDB3" w14:textId="77777777" w:rsidR="0055080F" w:rsidRPr="00B4215C" w:rsidRDefault="0055080F" w:rsidP="00CF5F73">
      <w:pPr>
        <w:jc w:val="both"/>
        <w:rPr>
          <w:rFonts w:ascii="Arial" w:hAnsi="Arial" w:cs="Arial"/>
          <w:bCs/>
          <w:sz w:val="20"/>
        </w:rPr>
      </w:pPr>
    </w:p>
    <w:p w14:paraId="7598ADE3" w14:textId="77777777" w:rsidR="008A6955" w:rsidRPr="00B4215C" w:rsidRDefault="008A6955" w:rsidP="00CF5F73">
      <w:pPr>
        <w:jc w:val="both"/>
        <w:rPr>
          <w:rFonts w:ascii="Arial" w:hAnsi="Arial" w:cs="Arial"/>
          <w:b/>
          <w:bCs/>
        </w:rPr>
      </w:pPr>
    </w:p>
    <w:p w14:paraId="7D53D0B3" w14:textId="77777777" w:rsidR="00866CA4" w:rsidRPr="00B4215C" w:rsidRDefault="00866CA4" w:rsidP="00CF5F73">
      <w:pPr>
        <w:jc w:val="both"/>
        <w:rPr>
          <w:rFonts w:ascii="Arial" w:hAnsi="Arial" w:cs="Arial"/>
          <w:b/>
          <w:bCs/>
        </w:rPr>
      </w:pPr>
    </w:p>
    <w:p w14:paraId="137A7152" w14:textId="77777777" w:rsidR="006C1828" w:rsidRPr="00B4215C" w:rsidRDefault="006C1828" w:rsidP="006C1828">
      <w:pPr>
        <w:spacing w:before="100" w:beforeAutospacing="1" w:after="100" w:afterAutospacing="1" w:line="240" w:lineRule="auto"/>
        <w:jc w:val="both"/>
        <w:rPr>
          <w:rFonts w:ascii="Arial" w:eastAsia="Times New Roman" w:hAnsi="Arial" w:cs="Arial"/>
          <w:b/>
          <w:lang w:eastAsia="en-IN"/>
        </w:rPr>
        <w:sectPr w:rsidR="006C1828" w:rsidRPr="00B4215C" w:rsidSect="00DF72F3">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985" w:left="1440" w:header="708" w:footer="708" w:gutter="0"/>
          <w:cols w:space="708"/>
          <w:titlePg/>
          <w:docGrid w:linePitch="360"/>
        </w:sectPr>
      </w:pPr>
    </w:p>
    <w:p w14:paraId="5B5A07DE" w14:textId="77777777" w:rsidR="00A41559" w:rsidRPr="00B4215C" w:rsidRDefault="00A41559" w:rsidP="006C1828">
      <w:pPr>
        <w:spacing w:before="100" w:beforeAutospacing="1" w:after="100" w:afterAutospacing="1" w:line="240" w:lineRule="auto"/>
        <w:jc w:val="both"/>
        <w:rPr>
          <w:rFonts w:ascii="Arial" w:hAnsi="Arial" w:cs="Arial"/>
          <w:b/>
        </w:rPr>
      </w:pPr>
      <w:r w:rsidRPr="00B4215C">
        <w:rPr>
          <w:rFonts w:ascii="Arial" w:hAnsi="Arial" w:cs="Arial"/>
          <w:b/>
        </w:rPr>
        <w:lastRenderedPageBreak/>
        <w:t>Table A</w:t>
      </w:r>
      <w:r w:rsidR="002A2F6C" w:rsidRPr="00B4215C">
        <w:rPr>
          <w:rFonts w:ascii="Arial" w:hAnsi="Arial" w:cs="Arial"/>
          <w:b/>
        </w:rPr>
        <w:t>2</w:t>
      </w:r>
      <w:r w:rsidRPr="00B4215C">
        <w:rPr>
          <w:rFonts w:ascii="Arial" w:hAnsi="Arial" w:cs="Arial"/>
          <w:b/>
        </w:rPr>
        <w:t xml:space="preserve">. </w:t>
      </w:r>
      <w:r w:rsidRPr="00B4215C">
        <w:rPr>
          <w:rFonts w:ascii="Arial" w:hAnsi="Arial" w:cs="Arial"/>
        </w:rPr>
        <w:t>Proximate composition of trash fishes supplied as feed for Spiny Lobster in sea cages</w:t>
      </w:r>
    </w:p>
    <w:tbl>
      <w:tblPr>
        <w:tblStyle w:val="PlainTable2"/>
        <w:tblW w:w="13876" w:type="dxa"/>
        <w:tblInd w:w="-142" w:type="dxa"/>
        <w:tblLook w:val="04A0" w:firstRow="1" w:lastRow="0" w:firstColumn="1" w:lastColumn="0" w:noHBand="0" w:noVBand="1"/>
      </w:tblPr>
      <w:tblGrid>
        <w:gridCol w:w="879"/>
        <w:gridCol w:w="3031"/>
        <w:gridCol w:w="2051"/>
        <w:gridCol w:w="2018"/>
        <w:gridCol w:w="1983"/>
        <w:gridCol w:w="1957"/>
        <w:gridCol w:w="1957"/>
      </w:tblGrid>
      <w:tr w:rsidR="00A41559" w:rsidRPr="00B4215C" w14:paraId="1C5BDFA9" w14:textId="77777777" w:rsidTr="002A2F6C">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879" w:type="dxa"/>
            <w:tcBorders>
              <w:bottom w:val="single" w:sz="4" w:space="0" w:color="auto"/>
            </w:tcBorders>
          </w:tcPr>
          <w:p w14:paraId="27ECA884" w14:textId="77777777" w:rsidR="00A41559" w:rsidRPr="00B4215C" w:rsidRDefault="00A41559" w:rsidP="00817E5A">
            <w:pPr>
              <w:spacing w:line="360" w:lineRule="auto"/>
              <w:jc w:val="both"/>
              <w:rPr>
                <w:rFonts w:ascii="Arial" w:hAnsi="Arial" w:cs="Arial"/>
              </w:rPr>
            </w:pPr>
            <w:r w:rsidRPr="00B4215C">
              <w:rPr>
                <w:rFonts w:ascii="Arial" w:hAnsi="Arial" w:cs="Arial"/>
              </w:rPr>
              <w:t>Sr. No.</w:t>
            </w:r>
          </w:p>
        </w:tc>
        <w:tc>
          <w:tcPr>
            <w:tcW w:w="3031" w:type="dxa"/>
            <w:tcBorders>
              <w:bottom w:val="single" w:sz="4" w:space="0" w:color="auto"/>
            </w:tcBorders>
          </w:tcPr>
          <w:p w14:paraId="3D0993C4" w14:textId="77777777" w:rsidR="00A41559" w:rsidRPr="00B4215C" w:rsidRDefault="00A41559" w:rsidP="00817E5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Fish</w:t>
            </w:r>
          </w:p>
        </w:tc>
        <w:tc>
          <w:tcPr>
            <w:tcW w:w="2051" w:type="dxa"/>
            <w:tcBorders>
              <w:bottom w:val="single" w:sz="4" w:space="0" w:color="auto"/>
            </w:tcBorders>
          </w:tcPr>
          <w:p w14:paraId="33768871" w14:textId="77777777" w:rsidR="00A41559" w:rsidRPr="00B4215C" w:rsidRDefault="00A41559" w:rsidP="00817E5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Moisture (%)</w:t>
            </w:r>
          </w:p>
        </w:tc>
        <w:tc>
          <w:tcPr>
            <w:tcW w:w="2018" w:type="dxa"/>
            <w:tcBorders>
              <w:bottom w:val="single" w:sz="4" w:space="0" w:color="auto"/>
            </w:tcBorders>
          </w:tcPr>
          <w:p w14:paraId="655D2067" w14:textId="77777777" w:rsidR="00A41559" w:rsidRPr="00B4215C" w:rsidRDefault="00A41559" w:rsidP="00817E5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Protein (%)</w:t>
            </w:r>
          </w:p>
        </w:tc>
        <w:tc>
          <w:tcPr>
            <w:tcW w:w="1983" w:type="dxa"/>
            <w:tcBorders>
              <w:bottom w:val="single" w:sz="4" w:space="0" w:color="auto"/>
            </w:tcBorders>
          </w:tcPr>
          <w:p w14:paraId="40B108F4" w14:textId="77777777" w:rsidR="00A41559" w:rsidRPr="00B4215C" w:rsidRDefault="00A41559" w:rsidP="00817E5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Lipid (%)</w:t>
            </w:r>
          </w:p>
        </w:tc>
        <w:tc>
          <w:tcPr>
            <w:tcW w:w="1957" w:type="dxa"/>
            <w:tcBorders>
              <w:bottom w:val="single" w:sz="4" w:space="0" w:color="auto"/>
            </w:tcBorders>
          </w:tcPr>
          <w:p w14:paraId="62B143F1" w14:textId="77777777" w:rsidR="00A41559" w:rsidRPr="00B4215C" w:rsidRDefault="00A41559" w:rsidP="00817E5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Ash (%)</w:t>
            </w:r>
          </w:p>
        </w:tc>
        <w:tc>
          <w:tcPr>
            <w:tcW w:w="1957" w:type="dxa"/>
            <w:tcBorders>
              <w:bottom w:val="single" w:sz="4" w:space="0" w:color="auto"/>
            </w:tcBorders>
          </w:tcPr>
          <w:p w14:paraId="45886372" w14:textId="77777777" w:rsidR="00A41559" w:rsidRPr="00B4215C" w:rsidRDefault="00A41559" w:rsidP="00817E5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Phosphorous (mg/100gm)</w:t>
            </w:r>
          </w:p>
        </w:tc>
      </w:tr>
      <w:tr w:rsidR="00A41559" w:rsidRPr="00B4215C" w14:paraId="365440E0" w14:textId="77777777" w:rsidTr="002A2F6C">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879" w:type="dxa"/>
            <w:tcBorders>
              <w:top w:val="single" w:sz="4" w:space="0" w:color="auto"/>
              <w:bottom w:val="nil"/>
            </w:tcBorders>
          </w:tcPr>
          <w:p w14:paraId="0BA028AB" w14:textId="77777777" w:rsidR="00A41559" w:rsidRPr="00B4215C" w:rsidRDefault="00A41559" w:rsidP="00A41559">
            <w:pPr>
              <w:pStyle w:val="ListParagraph"/>
              <w:numPr>
                <w:ilvl w:val="0"/>
                <w:numId w:val="2"/>
              </w:numPr>
              <w:spacing w:line="360" w:lineRule="auto"/>
              <w:jc w:val="both"/>
              <w:rPr>
                <w:rFonts w:ascii="Arial" w:hAnsi="Arial" w:cs="Arial"/>
              </w:rPr>
            </w:pPr>
          </w:p>
        </w:tc>
        <w:tc>
          <w:tcPr>
            <w:tcW w:w="3031" w:type="dxa"/>
            <w:tcBorders>
              <w:top w:val="single" w:sz="4" w:space="0" w:color="auto"/>
              <w:bottom w:val="nil"/>
            </w:tcBorders>
          </w:tcPr>
          <w:p w14:paraId="1A44EC89" w14:textId="77777777" w:rsidR="00A41559" w:rsidRPr="00B4215C" w:rsidRDefault="00A41559" w:rsidP="00817E5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Croackers (</w:t>
            </w:r>
            <w:r w:rsidRPr="00B4215C">
              <w:rPr>
                <w:rFonts w:ascii="Arial" w:hAnsi="Arial" w:cs="Arial"/>
                <w:i/>
              </w:rPr>
              <w:t>Johnius spp</w:t>
            </w:r>
            <w:r w:rsidRPr="00B4215C">
              <w:rPr>
                <w:rFonts w:ascii="Arial" w:hAnsi="Arial" w:cs="Arial"/>
              </w:rPr>
              <w:t>)</w:t>
            </w:r>
          </w:p>
        </w:tc>
        <w:tc>
          <w:tcPr>
            <w:tcW w:w="2051" w:type="dxa"/>
            <w:tcBorders>
              <w:top w:val="single" w:sz="4" w:space="0" w:color="auto"/>
              <w:bottom w:val="nil"/>
            </w:tcBorders>
          </w:tcPr>
          <w:p w14:paraId="6132F106"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76.02</w:t>
            </w:r>
          </w:p>
        </w:tc>
        <w:tc>
          <w:tcPr>
            <w:tcW w:w="2018" w:type="dxa"/>
            <w:tcBorders>
              <w:top w:val="single" w:sz="4" w:space="0" w:color="auto"/>
              <w:bottom w:val="nil"/>
            </w:tcBorders>
          </w:tcPr>
          <w:p w14:paraId="7A55684A"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20.44</w:t>
            </w:r>
          </w:p>
        </w:tc>
        <w:tc>
          <w:tcPr>
            <w:tcW w:w="1983" w:type="dxa"/>
            <w:tcBorders>
              <w:top w:val="single" w:sz="4" w:space="0" w:color="auto"/>
              <w:bottom w:val="nil"/>
            </w:tcBorders>
          </w:tcPr>
          <w:p w14:paraId="398EDB6A"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2.51</w:t>
            </w:r>
          </w:p>
        </w:tc>
        <w:tc>
          <w:tcPr>
            <w:tcW w:w="1957" w:type="dxa"/>
            <w:tcBorders>
              <w:top w:val="single" w:sz="4" w:space="0" w:color="auto"/>
              <w:bottom w:val="nil"/>
            </w:tcBorders>
          </w:tcPr>
          <w:p w14:paraId="38844727"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0.89</w:t>
            </w:r>
          </w:p>
        </w:tc>
        <w:tc>
          <w:tcPr>
            <w:tcW w:w="1957" w:type="dxa"/>
            <w:tcBorders>
              <w:top w:val="single" w:sz="4" w:space="0" w:color="auto"/>
              <w:bottom w:val="nil"/>
            </w:tcBorders>
          </w:tcPr>
          <w:p w14:paraId="45AA6E3F"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241</w:t>
            </w:r>
          </w:p>
        </w:tc>
      </w:tr>
      <w:tr w:rsidR="00A41559" w:rsidRPr="00B4215C" w14:paraId="7449E3BB" w14:textId="77777777" w:rsidTr="002A2F6C">
        <w:trPr>
          <w:trHeight w:val="861"/>
        </w:trPr>
        <w:tc>
          <w:tcPr>
            <w:cnfStyle w:val="001000000000" w:firstRow="0" w:lastRow="0" w:firstColumn="1" w:lastColumn="0" w:oddVBand="0" w:evenVBand="0" w:oddHBand="0" w:evenHBand="0" w:firstRowFirstColumn="0" w:firstRowLastColumn="0" w:lastRowFirstColumn="0" w:lastRowLastColumn="0"/>
            <w:tcW w:w="879" w:type="dxa"/>
            <w:tcBorders>
              <w:top w:val="nil"/>
              <w:bottom w:val="nil"/>
            </w:tcBorders>
          </w:tcPr>
          <w:p w14:paraId="5949B0FB" w14:textId="77777777" w:rsidR="00A41559" w:rsidRPr="00B4215C" w:rsidRDefault="00A41559" w:rsidP="00A41559">
            <w:pPr>
              <w:pStyle w:val="ListParagraph"/>
              <w:numPr>
                <w:ilvl w:val="0"/>
                <w:numId w:val="2"/>
              </w:numPr>
              <w:spacing w:line="360" w:lineRule="auto"/>
              <w:jc w:val="both"/>
              <w:rPr>
                <w:rFonts w:ascii="Arial" w:hAnsi="Arial" w:cs="Arial"/>
              </w:rPr>
            </w:pPr>
          </w:p>
        </w:tc>
        <w:tc>
          <w:tcPr>
            <w:tcW w:w="3031" w:type="dxa"/>
            <w:tcBorders>
              <w:top w:val="nil"/>
              <w:bottom w:val="nil"/>
            </w:tcBorders>
          </w:tcPr>
          <w:p w14:paraId="7B1784B1" w14:textId="77777777" w:rsidR="00A41559" w:rsidRPr="00B4215C" w:rsidRDefault="00A41559" w:rsidP="00817E5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Lizard fish (</w:t>
            </w:r>
            <w:r w:rsidRPr="00B4215C">
              <w:rPr>
                <w:rFonts w:ascii="Arial" w:hAnsi="Arial" w:cs="Arial"/>
                <w:i/>
              </w:rPr>
              <w:t>Saurida thumbil</w:t>
            </w:r>
            <w:r w:rsidRPr="00B4215C">
              <w:rPr>
                <w:rFonts w:ascii="Arial" w:hAnsi="Arial" w:cs="Arial"/>
              </w:rPr>
              <w:t>)</w:t>
            </w:r>
          </w:p>
        </w:tc>
        <w:tc>
          <w:tcPr>
            <w:tcW w:w="2051" w:type="dxa"/>
            <w:tcBorders>
              <w:top w:val="nil"/>
              <w:bottom w:val="nil"/>
            </w:tcBorders>
          </w:tcPr>
          <w:p w14:paraId="504A6FA3" w14:textId="77777777" w:rsidR="00A41559" w:rsidRPr="00B4215C" w:rsidRDefault="00A41559" w:rsidP="00817E5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75.24</w:t>
            </w:r>
          </w:p>
        </w:tc>
        <w:tc>
          <w:tcPr>
            <w:tcW w:w="2018" w:type="dxa"/>
            <w:tcBorders>
              <w:top w:val="nil"/>
              <w:bottom w:val="nil"/>
            </w:tcBorders>
          </w:tcPr>
          <w:p w14:paraId="52A9AB70" w14:textId="77777777" w:rsidR="00A41559" w:rsidRPr="00B4215C" w:rsidRDefault="00A41559" w:rsidP="00817E5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17.76</w:t>
            </w:r>
          </w:p>
        </w:tc>
        <w:tc>
          <w:tcPr>
            <w:tcW w:w="1983" w:type="dxa"/>
            <w:tcBorders>
              <w:top w:val="nil"/>
              <w:bottom w:val="nil"/>
            </w:tcBorders>
          </w:tcPr>
          <w:p w14:paraId="5222BEC1" w14:textId="77777777" w:rsidR="00A41559" w:rsidRPr="00B4215C" w:rsidRDefault="00A41559" w:rsidP="00817E5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2.36</w:t>
            </w:r>
          </w:p>
        </w:tc>
        <w:tc>
          <w:tcPr>
            <w:tcW w:w="1957" w:type="dxa"/>
            <w:tcBorders>
              <w:top w:val="nil"/>
              <w:bottom w:val="nil"/>
            </w:tcBorders>
          </w:tcPr>
          <w:p w14:paraId="19FCCE81" w14:textId="77777777" w:rsidR="00A41559" w:rsidRPr="00B4215C" w:rsidRDefault="00A41559" w:rsidP="00817E5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4.12</w:t>
            </w:r>
          </w:p>
        </w:tc>
        <w:tc>
          <w:tcPr>
            <w:tcW w:w="1957" w:type="dxa"/>
            <w:tcBorders>
              <w:top w:val="nil"/>
              <w:bottom w:val="nil"/>
            </w:tcBorders>
          </w:tcPr>
          <w:p w14:paraId="128ADCEB" w14:textId="77777777" w:rsidR="00A41559" w:rsidRPr="00B4215C" w:rsidRDefault="00A41559" w:rsidP="00817E5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4215C">
              <w:rPr>
                <w:rFonts w:ascii="Arial" w:hAnsi="Arial" w:cs="Arial"/>
              </w:rPr>
              <w:t>291</w:t>
            </w:r>
          </w:p>
        </w:tc>
      </w:tr>
      <w:tr w:rsidR="00A41559" w:rsidRPr="00B4215C" w14:paraId="2AC6E06F" w14:textId="77777777" w:rsidTr="002A2F6C">
        <w:trPr>
          <w:cnfStyle w:val="000000100000" w:firstRow="0" w:lastRow="0" w:firstColumn="0" w:lastColumn="0" w:oddVBand="0" w:evenVBand="0" w:oddHBand="1" w:evenHBand="0" w:firstRowFirstColumn="0" w:firstRowLastColumn="0" w:lastRowFirstColumn="0" w:lastRowLastColumn="0"/>
          <w:trHeight w:val="1036"/>
        </w:trPr>
        <w:tc>
          <w:tcPr>
            <w:cnfStyle w:val="001000000000" w:firstRow="0" w:lastRow="0" w:firstColumn="1" w:lastColumn="0" w:oddVBand="0" w:evenVBand="0" w:oddHBand="0" w:evenHBand="0" w:firstRowFirstColumn="0" w:firstRowLastColumn="0" w:lastRowFirstColumn="0" w:lastRowLastColumn="0"/>
            <w:tcW w:w="879" w:type="dxa"/>
            <w:tcBorders>
              <w:top w:val="nil"/>
              <w:bottom w:val="single" w:sz="4" w:space="0" w:color="auto"/>
            </w:tcBorders>
          </w:tcPr>
          <w:p w14:paraId="51B27E42" w14:textId="77777777" w:rsidR="00A41559" w:rsidRPr="00B4215C" w:rsidRDefault="00A41559" w:rsidP="00A41559">
            <w:pPr>
              <w:pStyle w:val="ListParagraph"/>
              <w:numPr>
                <w:ilvl w:val="0"/>
                <w:numId w:val="2"/>
              </w:numPr>
              <w:spacing w:line="360" w:lineRule="auto"/>
              <w:jc w:val="both"/>
              <w:rPr>
                <w:rFonts w:ascii="Arial" w:hAnsi="Arial" w:cs="Arial"/>
              </w:rPr>
            </w:pPr>
          </w:p>
        </w:tc>
        <w:tc>
          <w:tcPr>
            <w:tcW w:w="3031" w:type="dxa"/>
            <w:tcBorders>
              <w:top w:val="nil"/>
              <w:bottom w:val="single" w:sz="4" w:space="0" w:color="auto"/>
            </w:tcBorders>
          </w:tcPr>
          <w:p w14:paraId="47A29799" w14:textId="77777777" w:rsidR="00A41559" w:rsidRPr="00B4215C" w:rsidRDefault="00A41559" w:rsidP="00817E5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Japanese threadfin bream (</w:t>
            </w:r>
            <w:r w:rsidRPr="00B4215C">
              <w:rPr>
                <w:rFonts w:ascii="Arial" w:hAnsi="Arial" w:cs="Arial"/>
                <w:i/>
              </w:rPr>
              <w:t>Nemipterus japonicus</w:t>
            </w:r>
            <w:r w:rsidRPr="00B4215C">
              <w:rPr>
                <w:rFonts w:ascii="Arial" w:hAnsi="Arial" w:cs="Arial"/>
              </w:rPr>
              <w:t>)</w:t>
            </w:r>
          </w:p>
        </w:tc>
        <w:tc>
          <w:tcPr>
            <w:tcW w:w="2051" w:type="dxa"/>
            <w:tcBorders>
              <w:top w:val="nil"/>
              <w:bottom w:val="single" w:sz="4" w:space="0" w:color="auto"/>
            </w:tcBorders>
          </w:tcPr>
          <w:p w14:paraId="439E9875"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74.26</w:t>
            </w:r>
          </w:p>
        </w:tc>
        <w:tc>
          <w:tcPr>
            <w:tcW w:w="2018" w:type="dxa"/>
            <w:tcBorders>
              <w:top w:val="nil"/>
              <w:bottom w:val="single" w:sz="4" w:space="0" w:color="auto"/>
            </w:tcBorders>
          </w:tcPr>
          <w:p w14:paraId="364B8C1C"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18.32</w:t>
            </w:r>
          </w:p>
        </w:tc>
        <w:tc>
          <w:tcPr>
            <w:tcW w:w="1983" w:type="dxa"/>
            <w:tcBorders>
              <w:top w:val="nil"/>
              <w:bottom w:val="single" w:sz="4" w:space="0" w:color="auto"/>
            </w:tcBorders>
          </w:tcPr>
          <w:p w14:paraId="0B4ACC37"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3.10</w:t>
            </w:r>
          </w:p>
        </w:tc>
        <w:tc>
          <w:tcPr>
            <w:tcW w:w="1957" w:type="dxa"/>
            <w:tcBorders>
              <w:top w:val="nil"/>
              <w:bottom w:val="single" w:sz="4" w:space="0" w:color="auto"/>
            </w:tcBorders>
          </w:tcPr>
          <w:p w14:paraId="4F891CBE"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4.15</w:t>
            </w:r>
          </w:p>
        </w:tc>
        <w:tc>
          <w:tcPr>
            <w:tcW w:w="1957" w:type="dxa"/>
            <w:tcBorders>
              <w:top w:val="nil"/>
              <w:bottom w:val="single" w:sz="4" w:space="0" w:color="auto"/>
            </w:tcBorders>
          </w:tcPr>
          <w:p w14:paraId="5A2078CB" w14:textId="77777777" w:rsidR="00A41559" w:rsidRPr="00B4215C" w:rsidRDefault="00A41559" w:rsidP="00817E5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4215C">
              <w:rPr>
                <w:rFonts w:ascii="Arial" w:hAnsi="Arial" w:cs="Arial"/>
              </w:rPr>
              <w:t>253</w:t>
            </w:r>
          </w:p>
        </w:tc>
      </w:tr>
    </w:tbl>
    <w:p w14:paraId="2A9CD040" w14:textId="77777777" w:rsidR="00A41559" w:rsidRPr="00B4215C" w:rsidRDefault="00A41559" w:rsidP="00A41559">
      <w:pPr>
        <w:spacing w:line="360" w:lineRule="auto"/>
        <w:ind w:left="709" w:hanging="709"/>
        <w:jc w:val="both"/>
        <w:rPr>
          <w:rFonts w:ascii="Arial" w:hAnsi="Arial" w:cs="Arial"/>
        </w:rPr>
      </w:pPr>
    </w:p>
    <w:p w14:paraId="5CEDFD7E" w14:textId="77777777" w:rsidR="00A41559" w:rsidRPr="00B4215C" w:rsidRDefault="00A41559" w:rsidP="00A41559">
      <w:pPr>
        <w:spacing w:line="360" w:lineRule="auto"/>
        <w:ind w:left="709" w:hanging="709"/>
        <w:jc w:val="both"/>
        <w:rPr>
          <w:rFonts w:ascii="Arial" w:hAnsi="Arial" w:cs="Arial"/>
        </w:rPr>
      </w:pPr>
      <w:r w:rsidRPr="00B4215C">
        <w:rPr>
          <w:rFonts w:ascii="Arial" w:hAnsi="Arial" w:cs="Arial"/>
          <w:b/>
        </w:rPr>
        <w:t>Table A</w:t>
      </w:r>
      <w:r w:rsidR="002A2F6C" w:rsidRPr="00B4215C">
        <w:rPr>
          <w:rFonts w:ascii="Arial" w:hAnsi="Arial" w:cs="Arial"/>
          <w:b/>
        </w:rPr>
        <w:t>3</w:t>
      </w:r>
      <w:r w:rsidRPr="00B4215C">
        <w:rPr>
          <w:rFonts w:ascii="Arial" w:hAnsi="Arial" w:cs="Arial"/>
          <w:b/>
        </w:rPr>
        <w:t>.</w:t>
      </w:r>
      <w:r w:rsidRPr="00B4215C">
        <w:rPr>
          <w:rFonts w:ascii="Arial" w:hAnsi="Arial" w:cs="Arial"/>
        </w:rPr>
        <w:t xml:space="preserve"> Quantity of trash fish given as Feed to Culture species (Spiny Lobster)</w:t>
      </w:r>
    </w:p>
    <w:tbl>
      <w:tblPr>
        <w:tblStyle w:val="TableGrid"/>
        <w:tblW w:w="1455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1"/>
        <w:gridCol w:w="3198"/>
        <w:gridCol w:w="3552"/>
        <w:gridCol w:w="3374"/>
        <w:gridCol w:w="3013"/>
      </w:tblGrid>
      <w:tr w:rsidR="00A41559" w:rsidRPr="00B4215C" w14:paraId="73532F50" w14:textId="77777777" w:rsidTr="002A2F6C">
        <w:trPr>
          <w:trHeight w:val="374"/>
        </w:trPr>
        <w:tc>
          <w:tcPr>
            <w:tcW w:w="1421" w:type="dxa"/>
            <w:vMerge w:val="restart"/>
            <w:tcBorders>
              <w:top w:val="single" w:sz="4" w:space="0" w:color="auto"/>
            </w:tcBorders>
          </w:tcPr>
          <w:p w14:paraId="3122A73C" w14:textId="77777777" w:rsidR="00A41559" w:rsidRPr="00B4215C" w:rsidRDefault="00A41559" w:rsidP="00817E5A">
            <w:pPr>
              <w:spacing w:before="240" w:line="360" w:lineRule="auto"/>
              <w:jc w:val="center"/>
              <w:rPr>
                <w:rFonts w:ascii="Arial" w:hAnsi="Arial" w:cs="Arial"/>
                <w:b/>
              </w:rPr>
            </w:pPr>
            <w:r w:rsidRPr="00B4215C">
              <w:rPr>
                <w:rFonts w:ascii="Arial" w:hAnsi="Arial" w:cs="Arial"/>
                <w:b/>
              </w:rPr>
              <w:t>Cage No.</w:t>
            </w:r>
          </w:p>
        </w:tc>
        <w:tc>
          <w:tcPr>
            <w:tcW w:w="13137" w:type="dxa"/>
            <w:gridSpan w:val="4"/>
            <w:tcBorders>
              <w:top w:val="single" w:sz="4" w:space="0" w:color="auto"/>
            </w:tcBorders>
          </w:tcPr>
          <w:p w14:paraId="1976882F" w14:textId="77777777" w:rsidR="00A41559" w:rsidRPr="00B4215C" w:rsidRDefault="00A41559" w:rsidP="00817E5A">
            <w:pPr>
              <w:spacing w:line="360" w:lineRule="auto"/>
              <w:jc w:val="center"/>
              <w:rPr>
                <w:rFonts w:ascii="Arial" w:hAnsi="Arial" w:cs="Arial"/>
                <w:b/>
              </w:rPr>
            </w:pPr>
            <w:r w:rsidRPr="00B4215C">
              <w:rPr>
                <w:rFonts w:ascii="Arial" w:hAnsi="Arial" w:cs="Arial"/>
                <w:b/>
              </w:rPr>
              <w:t>Feed given per Month (kg)</w:t>
            </w:r>
          </w:p>
        </w:tc>
      </w:tr>
      <w:tr w:rsidR="00A41559" w:rsidRPr="00B4215C" w14:paraId="28A4E554" w14:textId="77777777" w:rsidTr="006C1828">
        <w:trPr>
          <w:trHeight w:val="409"/>
        </w:trPr>
        <w:tc>
          <w:tcPr>
            <w:tcW w:w="1421" w:type="dxa"/>
            <w:vMerge/>
            <w:tcBorders>
              <w:bottom w:val="single" w:sz="4" w:space="0" w:color="auto"/>
            </w:tcBorders>
          </w:tcPr>
          <w:p w14:paraId="594B11C3" w14:textId="77777777" w:rsidR="00A41559" w:rsidRPr="00B4215C" w:rsidRDefault="00A41559" w:rsidP="00817E5A">
            <w:pPr>
              <w:spacing w:line="360" w:lineRule="auto"/>
              <w:jc w:val="both"/>
              <w:rPr>
                <w:rFonts w:ascii="Arial" w:hAnsi="Arial" w:cs="Arial"/>
              </w:rPr>
            </w:pPr>
          </w:p>
        </w:tc>
        <w:tc>
          <w:tcPr>
            <w:tcW w:w="3198" w:type="dxa"/>
            <w:tcBorders>
              <w:bottom w:val="single" w:sz="4" w:space="0" w:color="auto"/>
            </w:tcBorders>
          </w:tcPr>
          <w:p w14:paraId="2FF54FDD" w14:textId="77777777" w:rsidR="00A41559" w:rsidRPr="00B4215C" w:rsidRDefault="00A41559" w:rsidP="00817E5A">
            <w:pPr>
              <w:spacing w:line="360" w:lineRule="auto"/>
              <w:jc w:val="center"/>
              <w:rPr>
                <w:rFonts w:ascii="Arial" w:hAnsi="Arial" w:cs="Arial"/>
                <w:b/>
              </w:rPr>
            </w:pPr>
            <w:r w:rsidRPr="00B4215C">
              <w:rPr>
                <w:rFonts w:ascii="Arial" w:hAnsi="Arial" w:cs="Arial"/>
                <w:b/>
              </w:rPr>
              <w:t>January (kg)</w:t>
            </w:r>
          </w:p>
        </w:tc>
        <w:tc>
          <w:tcPr>
            <w:tcW w:w="3552" w:type="dxa"/>
            <w:tcBorders>
              <w:bottom w:val="single" w:sz="4" w:space="0" w:color="auto"/>
            </w:tcBorders>
          </w:tcPr>
          <w:p w14:paraId="7105ABF2" w14:textId="77777777" w:rsidR="00A41559" w:rsidRPr="00B4215C" w:rsidRDefault="00A41559" w:rsidP="00817E5A">
            <w:pPr>
              <w:spacing w:line="360" w:lineRule="auto"/>
              <w:jc w:val="center"/>
              <w:rPr>
                <w:rFonts w:ascii="Arial" w:hAnsi="Arial" w:cs="Arial"/>
                <w:b/>
              </w:rPr>
            </w:pPr>
            <w:r w:rsidRPr="00B4215C">
              <w:rPr>
                <w:rFonts w:ascii="Arial" w:hAnsi="Arial" w:cs="Arial"/>
                <w:b/>
              </w:rPr>
              <w:t>February (kg)</w:t>
            </w:r>
          </w:p>
        </w:tc>
        <w:tc>
          <w:tcPr>
            <w:tcW w:w="3374" w:type="dxa"/>
            <w:tcBorders>
              <w:bottom w:val="single" w:sz="4" w:space="0" w:color="auto"/>
            </w:tcBorders>
          </w:tcPr>
          <w:p w14:paraId="01A25AE1" w14:textId="77777777" w:rsidR="00A41559" w:rsidRPr="00B4215C" w:rsidRDefault="00A41559" w:rsidP="00817E5A">
            <w:pPr>
              <w:spacing w:line="360" w:lineRule="auto"/>
              <w:jc w:val="center"/>
              <w:rPr>
                <w:rFonts w:ascii="Arial" w:hAnsi="Arial" w:cs="Arial"/>
                <w:b/>
              </w:rPr>
            </w:pPr>
            <w:r w:rsidRPr="00B4215C">
              <w:rPr>
                <w:rFonts w:ascii="Arial" w:hAnsi="Arial" w:cs="Arial"/>
                <w:b/>
              </w:rPr>
              <w:t>March (kg)</w:t>
            </w:r>
          </w:p>
        </w:tc>
        <w:tc>
          <w:tcPr>
            <w:tcW w:w="3013" w:type="dxa"/>
            <w:tcBorders>
              <w:bottom w:val="single" w:sz="4" w:space="0" w:color="auto"/>
            </w:tcBorders>
          </w:tcPr>
          <w:p w14:paraId="4C8515DF" w14:textId="77777777" w:rsidR="00A41559" w:rsidRPr="00B4215C" w:rsidRDefault="00A41559" w:rsidP="00817E5A">
            <w:pPr>
              <w:spacing w:line="360" w:lineRule="auto"/>
              <w:jc w:val="center"/>
              <w:rPr>
                <w:rFonts w:ascii="Arial" w:hAnsi="Arial" w:cs="Arial"/>
                <w:b/>
              </w:rPr>
            </w:pPr>
            <w:r w:rsidRPr="00B4215C">
              <w:rPr>
                <w:rFonts w:ascii="Arial" w:hAnsi="Arial" w:cs="Arial"/>
                <w:b/>
              </w:rPr>
              <w:t>April (kg)</w:t>
            </w:r>
          </w:p>
        </w:tc>
      </w:tr>
      <w:tr w:rsidR="00A41559" w:rsidRPr="00B4215C" w14:paraId="28803603" w14:textId="77777777" w:rsidTr="006C1828">
        <w:trPr>
          <w:trHeight w:val="374"/>
        </w:trPr>
        <w:tc>
          <w:tcPr>
            <w:tcW w:w="1421" w:type="dxa"/>
            <w:tcBorders>
              <w:top w:val="single" w:sz="4" w:space="0" w:color="auto"/>
            </w:tcBorders>
          </w:tcPr>
          <w:p w14:paraId="58FE9A3C" w14:textId="77777777" w:rsidR="00A41559" w:rsidRPr="00B4215C" w:rsidRDefault="00A41559" w:rsidP="00A41559">
            <w:pPr>
              <w:pStyle w:val="ListParagraph"/>
              <w:numPr>
                <w:ilvl w:val="0"/>
                <w:numId w:val="3"/>
              </w:numPr>
              <w:spacing w:line="360" w:lineRule="auto"/>
              <w:jc w:val="both"/>
              <w:rPr>
                <w:rFonts w:ascii="Arial" w:hAnsi="Arial" w:cs="Arial"/>
                <w:b/>
              </w:rPr>
            </w:pPr>
          </w:p>
        </w:tc>
        <w:tc>
          <w:tcPr>
            <w:tcW w:w="3198" w:type="dxa"/>
            <w:tcBorders>
              <w:top w:val="single" w:sz="4" w:space="0" w:color="auto"/>
            </w:tcBorders>
            <w:vAlign w:val="bottom"/>
          </w:tcPr>
          <w:p w14:paraId="3A6FDE04"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96.45</w:t>
            </w:r>
          </w:p>
        </w:tc>
        <w:tc>
          <w:tcPr>
            <w:tcW w:w="3552" w:type="dxa"/>
            <w:tcBorders>
              <w:top w:val="single" w:sz="4" w:space="0" w:color="auto"/>
            </w:tcBorders>
            <w:vAlign w:val="bottom"/>
          </w:tcPr>
          <w:p w14:paraId="70A520B5"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108.05</w:t>
            </w:r>
          </w:p>
        </w:tc>
        <w:tc>
          <w:tcPr>
            <w:tcW w:w="3374" w:type="dxa"/>
            <w:tcBorders>
              <w:top w:val="single" w:sz="4" w:space="0" w:color="auto"/>
            </w:tcBorders>
            <w:vAlign w:val="bottom"/>
          </w:tcPr>
          <w:p w14:paraId="09E4B71E"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133.6</w:t>
            </w:r>
          </w:p>
        </w:tc>
        <w:tc>
          <w:tcPr>
            <w:tcW w:w="3013" w:type="dxa"/>
            <w:tcBorders>
              <w:top w:val="single" w:sz="4" w:space="0" w:color="auto"/>
            </w:tcBorders>
            <w:vAlign w:val="bottom"/>
          </w:tcPr>
          <w:p w14:paraId="2651BB03"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166.95</w:t>
            </w:r>
          </w:p>
        </w:tc>
      </w:tr>
      <w:tr w:rsidR="00A41559" w:rsidRPr="00B4215C" w14:paraId="2048F64A" w14:textId="77777777" w:rsidTr="006C1828">
        <w:trPr>
          <w:trHeight w:val="374"/>
        </w:trPr>
        <w:tc>
          <w:tcPr>
            <w:tcW w:w="1421" w:type="dxa"/>
          </w:tcPr>
          <w:p w14:paraId="59A4D559" w14:textId="77777777" w:rsidR="00A41559" w:rsidRPr="00B4215C"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2399A361"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88.70</w:t>
            </w:r>
          </w:p>
        </w:tc>
        <w:tc>
          <w:tcPr>
            <w:tcW w:w="3552" w:type="dxa"/>
            <w:vAlign w:val="bottom"/>
          </w:tcPr>
          <w:p w14:paraId="581D973B"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97.55</w:t>
            </w:r>
          </w:p>
        </w:tc>
        <w:tc>
          <w:tcPr>
            <w:tcW w:w="3374" w:type="dxa"/>
            <w:vAlign w:val="bottom"/>
          </w:tcPr>
          <w:p w14:paraId="023F87DB"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125.45</w:t>
            </w:r>
          </w:p>
        </w:tc>
        <w:tc>
          <w:tcPr>
            <w:tcW w:w="3013" w:type="dxa"/>
            <w:vAlign w:val="bottom"/>
          </w:tcPr>
          <w:p w14:paraId="5A4B92BB"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151.4</w:t>
            </w:r>
          </w:p>
        </w:tc>
      </w:tr>
      <w:tr w:rsidR="00A41559" w:rsidRPr="00B4215C" w14:paraId="69EC52A7" w14:textId="77777777" w:rsidTr="006C1828">
        <w:trPr>
          <w:trHeight w:val="374"/>
        </w:trPr>
        <w:tc>
          <w:tcPr>
            <w:tcW w:w="1421" w:type="dxa"/>
          </w:tcPr>
          <w:p w14:paraId="2A1D4402" w14:textId="77777777" w:rsidR="00A41559" w:rsidRPr="00B4215C"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3FC6D35F"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104.95</w:t>
            </w:r>
          </w:p>
        </w:tc>
        <w:tc>
          <w:tcPr>
            <w:tcW w:w="3552" w:type="dxa"/>
            <w:vAlign w:val="bottom"/>
          </w:tcPr>
          <w:p w14:paraId="49A7CAC3"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107.26</w:t>
            </w:r>
          </w:p>
        </w:tc>
        <w:tc>
          <w:tcPr>
            <w:tcW w:w="3374" w:type="dxa"/>
            <w:vAlign w:val="bottom"/>
          </w:tcPr>
          <w:p w14:paraId="451A8038"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132.99</w:t>
            </w:r>
          </w:p>
        </w:tc>
        <w:tc>
          <w:tcPr>
            <w:tcW w:w="3013" w:type="dxa"/>
            <w:vAlign w:val="bottom"/>
          </w:tcPr>
          <w:p w14:paraId="24B5B4F8"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164.22</w:t>
            </w:r>
          </w:p>
        </w:tc>
      </w:tr>
      <w:tr w:rsidR="00A41559" w:rsidRPr="00B4215C" w14:paraId="008132B9" w14:textId="77777777" w:rsidTr="006C1828">
        <w:trPr>
          <w:trHeight w:val="392"/>
        </w:trPr>
        <w:tc>
          <w:tcPr>
            <w:tcW w:w="1421" w:type="dxa"/>
          </w:tcPr>
          <w:p w14:paraId="2A2BB23A" w14:textId="77777777" w:rsidR="00A41559" w:rsidRPr="00B4215C"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69612193"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100.62</w:t>
            </w:r>
          </w:p>
        </w:tc>
        <w:tc>
          <w:tcPr>
            <w:tcW w:w="3552" w:type="dxa"/>
            <w:vAlign w:val="bottom"/>
          </w:tcPr>
          <w:p w14:paraId="4E5201AF"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107.26</w:t>
            </w:r>
          </w:p>
        </w:tc>
        <w:tc>
          <w:tcPr>
            <w:tcW w:w="3374" w:type="dxa"/>
            <w:vAlign w:val="bottom"/>
          </w:tcPr>
          <w:p w14:paraId="3B176506"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128.755</w:t>
            </w:r>
          </w:p>
        </w:tc>
        <w:tc>
          <w:tcPr>
            <w:tcW w:w="3013" w:type="dxa"/>
            <w:vAlign w:val="bottom"/>
          </w:tcPr>
          <w:p w14:paraId="0B8B77D7"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154.655</w:t>
            </w:r>
          </w:p>
        </w:tc>
      </w:tr>
      <w:tr w:rsidR="00A41559" w:rsidRPr="00B4215C" w14:paraId="5188053F" w14:textId="77777777" w:rsidTr="006C1828">
        <w:trPr>
          <w:trHeight w:val="357"/>
        </w:trPr>
        <w:tc>
          <w:tcPr>
            <w:tcW w:w="1421" w:type="dxa"/>
          </w:tcPr>
          <w:p w14:paraId="77839ED9" w14:textId="77777777" w:rsidR="00A41559" w:rsidRPr="00B4215C"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0F71DB27"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109.05</w:t>
            </w:r>
          </w:p>
        </w:tc>
        <w:tc>
          <w:tcPr>
            <w:tcW w:w="3552" w:type="dxa"/>
            <w:vAlign w:val="bottom"/>
          </w:tcPr>
          <w:p w14:paraId="1DF130FA"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111.45</w:t>
            </w:r>
          </w:p>
        </w:tc>
        <w:tc>
          <w:tcPr>
            <w:tcW w:w="3374" w:type="dxa"/>
            <w:vAlign w:val="bottom"/>
          </w:tcPr>
          <w:p w14:paraId="48F09713"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133.22</w:t>
            </w:r>
          </w:p>
        </w:tc>
        <w:tc>
          <w:tcPr>
            <w:tcW w:w="3013" w:type="dxa"/>
            <w:vAlign w:val="bottom"/>
          </w:tcPr>
          <w:p w14:paraId="50E08CD7"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159.425</w:t>
            </w:r>
          </w:p>
        </w:tc>
      </w:tr>
      <w:tr w:rsidR="00A41559" w:rsidRPr="00B4215C" w14:paraId="7EA3BECD" w14:textId="77777777" w:rsidTr="006C1828">
        <w:trPr>
          <w:trHeight w:val="357"/>
        </w:trPr>
        <w:tc>
          <w:tcPr>
            <w:tcW w:w="1421" w:type="dxa"/>
          </w:tcPr>
          <w:p w14:paraId="6A3E265D" w14:textId="77777777" w:rsidR="00A41559" w:rsidRPr="00B4215C"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6D52ADE0"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104.34</w:t>
            </w:r>
          </w:p>
        </w:tc>
        <w:tc>
          <w:tcPr>
            <w:tcW w:w="3552" w:type="dxa"/>
            <w:vAlign w:val="bottom"/>
          </w:tcPr>
          <w:p w14:paraId="17E56064"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107.09</w:t>
            </w:r>
          </w:p>
        </w:tc>
        <w:tc>
          <w:tcPr>
            <w:tcW w:w="3374" w:type="dxa"/>
            <w:vAlign w:val="bottom"/>
          </w:tcPr>
          <w:p w14:paraId="55AF931A"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128.535</w:t>
            </w:r>
          </w:p>
        </w:tc>
        <w:tc>
          <w:tcPr>
            <w:tcW w:w="3013" w:type="dxa"/>
            <w:vAlign w:val="bottom"/>
          </w:tcPr>
          <w:p w14:paraId="4BAB1DD1" w14:textId="77777777" w:rsidR="00A41559" w:rsidRPr="00B4215C" w:rsidRDefault="00A41559" w:rsidP="00817E5A">
            <w:pPr>
              <w:spacing w:line="360" w:lineRule="auto"/>
              <w:jc w:val="center"/>
              <w:rPr>
                <w:rFonts w:ascii="Arial" w:hAnsi="Arial" w:cs="Arial"/>
              </w:rPr>
            </w:pPr>
            <w:r w:rsidRPr="00B4215C">
              <w:rPr>
                <w:rFonts w:ascii="Arial" w:hAnsi="Arial" w:cs="Arial"/>
                <w:color w:val="000000"/>
              </w:rPr>
              <w:t>150.21</w:t>
            </w:r>
          </w:p>
        </w:tc>
      </w:tr>
      <w:tr w:rsidR="00A41559" w:rsidRPr="004128DB" w14:paraId="16ABD44A" w14:textId="77777777" w:rsidTr="006C1828">
        <w:trPr>
          <w:trHeight w:val="357"/>
        </w:trPr>
        <w:tc>
          <w:tcPr>
            <w:tcW w:w="1421" w:type="dxa"/>
            <w:tcBorders>
              <w:top w:val="single" w:sz="4" w:space="0" w:color="auto"/>
              <w:bottom w:val="single" w:sz="4" w:space="0" w:color="auto"/>
            </w:tcBorders>
          </w:tcPr>
          <w:p w14:paraId="6ADBC38B" w14:textId="77777777" w:rsidR="00A41559" w:rsidRPr="00B4215C" w:rsidRDefault="00A41559" w:rsidP="00817E5A">
            <w:pPr>
              <w:spacing w:line="360" w:lineRule="auto"/>
              <w:jc w:val="center"/>
              <w:rPr>
                <w:rFonts w:ascii="Arial" w:hAnsi="Arial" w:cs="Arial"/>
                <w:b/>
              </w:rPr>
            </w:pPr>
            <w:r w:rsidRPr="00B4215C">
              <w:rPr>
                <w:rFonts w:ascii="Arial" w:hAnsi="Arial" w:cs="Arial"/>
                <w:b/>
              </w:rPr>
              <w:t>Total (Kg)</w:t>
            </w:r>
          </w:p>
        </w:tc>
        <w:tc>
          <w:tcPr>
            <w:tcW w:w="3198" w:type="dxa"/>
            <w:tcBorders>
              <w:top w:val="single" w:sz="4" w:space="0" w:color="auto"/>
              <w:bottom w:val="single" w:sz="4" w:space="0" w:color="auto"/>
            </w:tcBorders>
            <w:vAlign w:val="bottom"/>
          </w:tcPr>
          <w:p w14:paraId="0BE99C1E" w14:textId="77777777" w:rsidR="00A41559" w:rsidRPr="00B4215C" w:rsidRDefault="00A41559" w:rsidP="00817E5A">
            <w:pPr>
              <w:spacing w:line="360" w:lineRule="auto"/>
              <w:jc w:val="center"/>
              <w:rPr>
                <w:rFonts w:ascii="Arial" w:hAnsi="Arial" w:cs="Arial"/>
                <w:b/>
                <w:color w:val="000000"/>
              </w:rPr>
            </w:pPr>
            <w:r w:rsidRPr="00B4215C">
              <w:rPr>
                <w:rFonts w:ascii="Arial" w:hAnsi="Arial" w:cs="Arial"/>
                <w:b/>
                <w:color w:val="000000"/>
              </w:rPr>
              <w:t>604.11</w:t>
            </w:r>
          </w:p>
        </w:tc>
        <w:tc>
          <w:tcPr>
            <w:tcW w:w="3552" w:type="dxa"/>
            <w:tcBorders>
              <w:top w:val="single" w:sz="4" w:space="0" w:color="auto"/>
              <w:bottom w:val="single" w:sz="4" w:space="0" w:color="auto"/>
            </w:tcBorders>
            <w:vAlign w:val="bottom"/>
          </w:tcPr>
          <w:p w14:paraId="1C16DEAD" w14:textId="77777777" w:rsidR="00A41559" w:rsidRPr="00B4215C" w:rsidRDefault="00A41559" w:rsidP="00817E5A">
            <w:pPr>
              <w:spacing w:line="360" w:lineRule="auto"/>
              <w:jc w:val="center"/>
              <w:rPr>
                <w:rFonts w:ascii="Arial" w:hAnsi="Arial" w:cs="Arial"/>
                <w:b/>
                <w:color w:val="000000"/>
              </w:rPr>
            </w:pPr>
            <w:r w:rsidRPr="00B4215C">
              <w:rPr>
                <w:rFonts w:ascii="Arial" w:hAnsi="Arial" w:cs="Arial"/>
                <w:b/>
                <w:color w:val="000000"/>
              </w:rPr>
              <w:t>638.66</w:t>
            </w:r>
          </w:p>
        </w:tc>
        <w:tc>
          <w:tcPr>
            <w:tcW w:w="3374" w:type="dxa"/>
            <w:tcBorders>
              <w:top w:val="single" w:sz="4" w:space="0" w:color="auto"/>
              <w:bottom w:val="single" w:sz="4" w:space="0" w:color="auto"/>
            </w:tcBorders>
            <w:vAlign w:val="bottom"/>
          </w:tcPr>
          <w:p w14:paraId="34695A08" w14:textId="77777777" w:rsidR="00A41559" w:rsidRPr="00B4215C" w:rsidRDefault="00A41559" w:rsidP="00817E5A">
            <w:pPr>
              <w:spacing w:line="360" w:lineRule="auto"/>
              <w:jc w:val="center"/>
              <w:rPr>
                <w:rFonts w:ascii="Arial" w:hAnsi="Arial" w:cs="Arial"/>
                <w:b/>
                <w:color w:val="000000"/>
              </w:rPr>
            </w:pPr>
            <w:r w:rsidRPr="00B4215C">
              <w:rPr>
                <w:rFonts w:ascii="Arial" w:hAnsi="Arial" w:cs="Arial"/>
                <w:b/>
                <w:color w:val="000000"/>
              </w:rPr>
              <w:t>782.55</w:t>
            </w:r>
          </w:p>
        </w:tc>
        <w:tc>
          <w:tcPr>
            <w:tcW w:w="3013" w:type="dxa"/>
            <w:tcBorders>
              <w:top w:val="single" w:sz="4" w:space="0" w:color="auto"/>
              <w:bottom w:val="single" w:sz="4" w:space="0" w:color="auto"/>
            </w:tcBorders>
            <w:vAlign w:val="bottom"/>
          </w:tcPr>
          <w:p w14:paraId="48AFADD0" w14:textId="77777777" w:rsidR="00A41559" w:rsidRPr="004128DB" w:rsidRDefault="00A41559" w:rsidP="00817E5A">
            <w:pPr>
              <w:spacing w:line="360" w:lineRule="auto"/>
              <w:jc w:val="center"/>
              <w:rPr>
                <w:rFonts w:ascii="Arial" w:hAnsi="Arial" w:cs="Arial"/>
                <w:b/>
                <w:color w:val="000000"/>
              </w:rPr>
            </w:pPr>
            <w:r w:rsidRPr="00B4215C">
              <w:rPr>
                <w:rFonts w:ascii="Arial" w:hAnsi="Arial" w:cs="Arial"/>
                <w:b/>
                <w:color w:val="000000"/>
              </w:rPr>
              <w:t>157.81</w:t>
            </w:r>
          </w:p>
        </w:tc>
      </w:tr>
    </w:tbl>
    <w:p w14:paraId="58FBD88C" w14:textId="77777777" w:rsidR="00A41559" w:rsidRPr="002C66E5" w:rsidRDefault="00A41559" w:rsidP="00EF2630">
      <w:pPr>
        <w:autoSpaceDE w:val="0"/>
        <w:autoSpaceDN w:val="0"/>
        <w:adjustRightInd w:val="0"/>
        <w:spacing w:after="0" w:line="480" w:lineRule="auto"/>
        <w:jc w:val="center"/>
        <w:rPr>
          <w:rFonts w:ascii="Arial" w:hAnsi="Arial" w:cs="Arial"/>
          <w:b/>
          <w:bCs/>
        </w:rPr>
      </w:pPr>
    </w:p>
    <w:sectPr w:rsidR="00A41559" w:rsidRPr="002C66E5" w:rsidSect="006C1828">
      <w:pgSz w:w="16838" w:h="11906" w:orient="landscape"/>
      <w:pgMar w:top="1134" w:right="1440" w:bottom="144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B56C1" w14:textId="77777777" w:rsidR="00475797" w:rsidRDefault="00475797" w:rsidP="00DF72F3">
      <w:pPr>
        <w:spacing w:after="0" w:line="240" w:lineRule="auto"/>
      </w:pPr>
      <w:r>
        <w:separator/>
      </w:r>
    </w:p>
  </w:endnote>
  <w:endnote w:type="continuationSeparator" w:id="0">
    <w:p w14:paraId="3A7F086E" w14:textId="77777777" w:rsidR="00475797" w:rsidRDefault="00475797" w:rsidP="00DF7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76F4" w14:textId="77777777" w:rsidR="00817E5A" w:rsidRDefault="00817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538D" w14:textId="77777777" w:rsidR="00817E5A" w:rsidRDefault="00817E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181F" w14:textId="77777777" w:rsidR="00817E5A" w:rsidRDefault="00817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979AC" w14:textId="77777777" w:rsidR="00475797" w:rsidRDefault="00475797" w:rsidP="00DF72F3">
      <w:pPr>
        <w:spacing w:after="0" w:line="240" w:lineRule="auto"/>
      </w:pPr>
      <w:r>
        <w:separator/>
      </w:r>
    </w:p>
  </w:footnote>
  <w:footnote w:type="continuationSeparator" w:id="0">
    <w:p w14:paraId="69605E84" w14:textId="77777777" w:rsidR="00475797" w:rsidRDefault="00475797" w:rsidP="00DF7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CE50" w14:textId="77777777" w:rsidR="00817E5A" w:rsidRDefault="00000000">
    <w:pPr>
      <w:pStyle w:val="Header"/>
    </w:pPr>
    <w:r>
      <w:rPr>
        <w:noProof/>
      </w:rPr>
      <w:pict w14:anchorId="65114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56021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29C8" w14:textId="77777777" w:rsidR="00817E5A" w:rsidRDefault="00000000">
    <w:pPr>
      <w:pStyle w:val="Header"/>
    </w:pPr>
    <w:r>
      <w:rPr>
        <w:noProof/>
      </w:rPr>
      <w:pict w14:anchorId="6AAEE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56022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1A47" w14:textId="77777777" w:rsidR="00817E5A" w:rsidRDefault="00000000">
    <w:pPr>
      <w:pStyle w:val="Header"/>
    </w:pPr>
    <w:r>
      <w:rPr>
        <w:noProof/>
      </w:rPr>
      <w:pict w14:anchorId="1DF0A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56021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789"/>
    <w:multiLevelType w:val="hybridMultilevel"/>
    <w:tmpl w:val="1EFC0F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5FA5C04"/>
    <w:multiLevelType w:val="multilevel"/>
    <w:tmpl w:val="7908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65AE1"/>
    <w:multiLevelType w:val="hybridMultilevel"/>
    <w:tmpl w:val="9EEE9F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333B8E"/>
    <w:multiLevelType w:val="hybridMultilevel"/>
    <w:tmpl w:val="1D2EE642"/>
    <w:lvl w:ilvl="0" w:tplc="C06A3EA8">
      <w:numFmt w:val="bullet"/>
      <w:lvlText w:val=""/>
      <w:lvlJc w:val="left"/>
      <w:pPr>
        <w:ind w:left="720" w:hanging="360"/>
      </w:pPr>
      <w:rPr>
        <w:rFonts w:ascii="Symbol" w:eastAsiaTheme="minorHAnsi" w:hAnsi="Symbol" w:cstheme="minorBidi"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52456425"/>
    <w:multiLevelType w:val="hybridMultilevel"/>
    <w:tmpl w:val="767CF02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5B4B0EE7"/>
    <w:multiLevelType w:val="hybridMultilevel"/>
    <w:tmpl w:val="CBC837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37126D9"/>
    <w:multiLevelType w:val="hybridMultilevel"/>
    <w:tmpl w:val="134A4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570376">
    <w:abstractNumId w:val="1"/>
  </w:num>
  <w:num w:numId="2" w16cid:durableId="1323239791">
    <w:abstractNumId w:val="4"/>
  </w:num>
  <w:num w:numId="3" w16cid:durableId="1044721782">
    <w:abstractNumId w:val="5"/>
  </w:num>
  <w:num w:numId="4" w16cid:durableId="2142533448">
    <w:abstractNumId w:val="0"/>
  </w:num>
  <w:num w:numId="5" w16cid:durableId="1944804306">
    <w:abstractNumId w:val="3"/>
  </w:num>
  <w:num w:numId="6" w16cid:durableId="365763988">
    <w:abstractNumId w:val="6"/>
  </w:num>
  <w:num w:numId="7" w16cid:durableId="1399933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EC"/>
    <w:rsid w:val="00001BDA"/>
    <w:rsid w:val="000025DF"/>
    <w:rsid w:val="00003FE8"/>
    <w:rsid w:val="00017DF9"/>
    <w:rsid w:val="00025E2A"/>
    <w:rsid w:val="0002779F"/>
    <w:rsid w:val="00031162"/>
    <w:rsid w:val="00033505"/>
    <w:rsid w:val="00044488"/>
    <w:rsid w:val="000625FD"/>
    <w:rsid w:val="00063513"/>
    <w:rsid w:val="00065956"/>
    <w:rsid w:val="00070C03"/>
    <w:rsid w:val="000710F0"/>
    <w:rsid w:val="00073000"/>
    <w:rsid w:val="00081D0D"/>
    <w:rsid w:val="00086FBE"/>
    <w:rsid w:val="00090F6B"/>
    <w:rsid w:val="0009141C"/>
    <w:rsid w:val="000A1814"/>
    <w:rsid w:val="000A4B41"/>
    <w:rsid w:val="000B4EDC"/>
    <w:rsid w:val="000B53FB"/>
    <w:rsid w:val="000B6E43"/>
    <w:rsid w:val="000C7696"/>
    <w:rsid w:val="000D2F60"/>
    <w:rsid w:val="000D47E4"/>
    <w:rsid w:val="000E302F"/>
    <w:rsid w:val="000F33C2"/>
    <w:rsid w:val="000F6284"/>
    <w:rsid w:val="000F77EB"/>
    <w:rsid w:val="000F7CCE"/>
    <w:rsid w:val="00101EF0"/>
    <w:rsid w:val="001023B8"/>
    <w:rsid w:val="00117B2D"/>
    <w:rsid w:val="00122A27"/>
    <w:rsid w:val="00125553"/>
    <w:rsid w:val="00126B18"/>
    <w:rsid w:val="00137E30"/>
    <w:rsid w:val="001415E9"/>
    <w:rsid w:val="0015188E"/>
    <w:rsid w:val="0015512F"/>
    <w:rsid w:val="001574A4"/>
    <w:rsid w:val="00160931"/>
    <w:rsid w:val="00164E6F"/>
    <w:rsid w:val="00183713"/>
    <w:rsid w:val="00186CFA"/>
    <w:rsid w:val="00190E57"/>
    <w:rsid w:val="001917A1"/>
    <w:rsid w:val="0019228C"/>
    <w:rsid w:val="00192B46"/>
    <w:rsid w:val="00197A23"/>
    <w:rsid w:val="001B4A3B"/>
    <w:rsid w:val="001C78EA"/>
    <w:rsid w:val="001D6D41"/>
    <w:rsid w:val="001D6E82"/>
    <w:rsid w:val="001D6F5B"/>
    <w:rsid w:val="001E1BBD"/>
    <w:rsid w:val="001E266D"/>
    <w:rsid w:val="001E42EE"/>
    <w:rsid w:val="001E5592"/>
    <w:rsid w:val="001F0555"/>
    <w:rsid w:val="001F6A02"/>
    <w:rsid w:val="00213255"/>
    <w:rsid w:val="00214F9A"/>
    <w:rsid w:val="0022197F"/>
    <w:rsid w:val="002236E8"/>
    <w:rsid w:val="002368B8"/>
    <w:rsid w:val="00250C65"/>
    <w:rsid w:val="00251DED"/>
    <w:rsid w:val="00252078"/>
    <w:rsid w:val="0026042B"/>
    <w:rsid w:val="0026055A"/>
    <w:rsid w:val="00263A05"/>
    <w:rsid w:val="00266342"/>
    <w:rsid w:val="0026773B"/>
    <w:rsid w:val="00271797"/>
    <w:rsid w:val="002735EC"/>
    <w:rsid w:val="00284F9F"/>
    <w:rsid w:val="00285840"/>
    <w:rsid w:val="002868E9"/>
    <w:rsid w:val="0029191A"/>
    <w:rsid w:val="00295A2D"/>
    <w:rsid w:val="002A2F6C"/>
    <w:rsid w:val="002B1FAD"/>
    <w:rsid w:val="002C1EAB"/>
    <w:rsid w:val="002C427F"/>
    <w:rsid w:val="002C66E5"/>
    <w:rsid w:val="002C7FD6"/>
    <w:rsid w:val="002D5FD8"/>
    <w:rsid w:val="002E54A9"/>
    <w:rsid w:val="002F16C0"/>
    <w:rsid w:val="00303AFD"/>
    <w:rsid w:val="003140B8"/>
    <w:rsid w:val="003306D8"/>
    <w:rsid w:val="003465A1"/>
    <w:rsid w:val="00346EC2"/>
    <w:rsid w:val="00364433"/>
    <w:rsid w:val="00365D68"/>
    <w:rsid w:val="00366549"/>
    <w:rsid w:val="003717CB"/>
    <w:rsid w:val="00375CBA"/>
    <w:rsid w:val="003A3650"/>
    <w:rsid w:val="003A542B"/>
    <w:rsid w:val="003B7677"/>
    <w:rsid w:val="003D11B6"/>
    <w:rsid w:val="003D20CF"/>
    <w:rsid w:val="003D529A"/>
    <w:rsid w:val="003E3FBB"/>
    <w:rsid w:val="003E770C"/>
    <w:rsid w:val="003F0439"/>
    <w:rsid w:val="003F0D35"/>
    <w:rsid w:val="003F24F5"/>
    <w:rsid w:val="003F5BC7"/>
    <w:rsid w:val="003F74D5"/>
    <w:rsid w:val="00403298"/>
    <w:rsid w:val="00403FCB"/>
    <w:rsid w:val="00406854"/>
    <w:rsid w:val="004128DB"/>
    <w:rsid w:val="004146DA"/>
    <w:rsid w:val="00424AAE"/>
    <w:rsid w:val="00426839"/>
    <w:rsid w:val="00430141"/>
    <w:rsid w:val="00432DD4"/>
    <w:rsid w:val="004419B8"/>
    <w:rsid w:val="00446097"/>
    <w:rsid w:val="00452130"/>
    <w:rsid w:val="00455E0E"/>
    <w:rsid w:val="004627D6"/>
    <w:rsid w:val="0046360D"/>
    <w:rsid w:val="00466AEF"/>
    <w:rsid w:val="004731EC"/>
    <w:rsid w:val="00475797"/>
    <w:rsid w:val="00492180"/>
    <w:rsid w:val="004B418C"/>
    <w:rsid w:val="004E40A1"/>
    <w:rsid w:val="004F4E32"/>
    <w:rsid w:val="00510561"/>
    <w:rsid w:val="00515227"/>
    <w:rsid w:val="00517843"/>
    <w:rsid w:val="0053427C"/>
    <w:rsid w:val="005412B4"/>
    <w:rsid w:val="00543D5A"/>
    <w:rsid w:val="0055080F"/>
    <w:rsid w:val="00553514"/>
    <w:rsid w:val="005579A9"/>
    <w:rsid w:val="00562C47"/>
    <w:rsid w:val="00564E3B"/>
    <w:rsid w:val="00565326"/>
    <w:rsid w:val="00566A95"/>
    <w:rsid w:val="00580821"/>
    <w:rsid w:val="0059421E"/>
    <w:rsid w:val="005A5FE3"/>
    <w:rsid w:val="005B1E1F"/>
    <w:rsid w:val="005B323E"/>
    <w:rsid w:val="005B7EFC"/>
    <w:rsid w:val="005C7744"/>
    <w:rsid w:val="005C7D06"/>
    <w:rsid w:val="005D2473"/>
    <w:rsid w:val="005E00A4"/>
    <w:rsid w:val="00602E70"/>
    <w:rsid w:val="00607418"/>
    <w:rsid w:val="0061262A"/>
    <w:rsid w:val="00615D77"/>
    <w:rsid w:val="00627507"/>
    <w:rsid w:val="00651CBE"/>
    <w:rsid w:val="0065444F"/>
    <w:rsid w:val="00656093"/>
    <w:rsid w:val="00683AA5"/>
    <w:rsid w:val="00692A52"/>
    <w:rsid w:val="00694715"/>
    <w:rsid w:val="00696E9D"/>
    <w:rsid w:val="006A183C"/>
    <w:rsid w:val="006B0365"/>
    <w:rsid w:val="006B19BC"/>
    <w:rsid w:val="006B76B5"/>
    <w:rsid w:val="006B79DF"/>
    <w:rsid w:val="006C02C3"/>
    <w:rsid w:val="006C03DB"/>
    <w:rsid w:val="006C1828"/>
    <w:rsid w:val="006C553F"/>
    <w:rsid w:val="006C6DF1"/>
    <w:rsid w:val="006D42AB"/>
    <w:rsid w:val="006D5642"/>
    <w:rsid w:val="006E690C"/>
    <w:rsid w:val="006E7AB1"/>
    <w:rsid w:val="006E7F24"/>
    <w:rsid w:val="0070655B"/>
    <w:rsid w:val="007129A0"/>
    <w:rsid w:val="00716CAC"/>
    <w:rsid w:val="00720EB8"/>
    <w:rsid w:val="007210BE"/>
    <w:rsid w:val="0074150D"/>
    <w:rsid w:val="00751915"/>
    <w:rsid w:val="00761344"/>
    <w:rsid w:val="00762EB2"/>
    <w:rsid w:val="00762EE4"/>
    <w:rsid w:val="00764665"/>
    <w:rsid w:val="00765BAE"/>
    <w:rsid w:val="00773F7E"/>
    <w:rsid w:val="007825DB"/>
    <w:rsid w:val="0079039A"/>
    <w:rsid w:val="00791C8E"/>
    <w:rsid w:val="0079315A"/>
    <w:rsid w:val="007B16E0"/>
    <w:rsid w:val="007D3FAC"/>
    <w:rsid w:val="007E02A9"/>
    <w:rsid w:val="007F3EAF"/>
    <w:rsid w:val="008029B8"/>
    <w:rsid w:val="008051BF"/>
    <w:rsid w:val="00817E5A"/>
    <w:rsid w:val="00820D17"/>
    <w:rsid w:val="00824EB2"/>
    <w:rsid w:val="0083266B"/>
    <w:rsid w:val="008331AB"/>
    <w:rsid w:val="00864D15"/>
    <w:rsid w:val="00866CA4"/>
    <w:rsid w:val="00867048"/>
    <w:rsid w:val="00880742"/>
    <w:rsid w:val="00894DBC"/>
    <w:rsid w:val="00897ADA"/>
    <w:rsid w:val="008A6955"/>
    <w:rsid w:val="008B140D"/>
    <w:rsid w:val="008D609A"/>
    <w:rsid w:val="008E5836"/>
    <w:rsid w:val="008E7933"/>
    <w:rsid w:val="008F0602"/>
    <w:rsid w:val="008F10EE"/>
    <w:rsid w:val="008F79F5"/>
    <w:rsid w:val="008F7DC7"/>
    <w:rsid w:val="00904F57"/>
    <w:rsid w:val="00916B4E"/>
    <w:rsid w:val="009256A7"/>
    <w:rsid w:val="00927837"/>
    <w:rsid w:val="009302E1"/>
    <w:rsid w:val="0093544A"/>
    <w:rsid w:val="0095129F"/>
    <w:rsid w:val="009569FE"/>
    <w:rsid w:val="00960FAE"/>
    <w:rsid w:val="00965AFC"/>
    <w:rsid w:val="0096630A"/>
    <w:rsid w:val="00972761"/>
    <w:rsid w:val="00984BE9"/>
    <w:rsid w:val="00990D9C"/>
    <w:rsid w:val="00993144"/>
    <w:rsid w:val="009935A6"/>
    <w:rsid w:val="009949CF"/>
    <w:rsid w:val="009B09EA"/>
    <w:rsid w:val="009B17B1"/>
    <w:rsid w:val="009B21EA"/>
    <w:rsid w:val="009C2513"/>
    <w:rsid w:val="009C4BFC"/>
    <w:rsid w:val="009C6CC0"/>
    <w:rsid w:val="009F17DF"/>
    <w:rsid w:val="009F50E5"/>
    <w:rsid w:val="009F7FDA"/>
    <w:rsid w:val="00A02599"/>
    <w:rsid w:val="00A03BD6"/>
    <w:rsid w:val="00A2700D"/>
    <w:rsid w:val="00A40B50"/>
    <w:rsid w:val="00A41559"/>
    <w:rsid w:val="00A5390B"/>
    <w:rsid w:val="00A55BA9"/>
    <w:rsid w:val="00A56FCF"/>
    <w:rsid w:val="00A572BD"/>
    <w:rsid w:val="00A73174"/>
    <w:rsid w:val="00A76033"/>
    <w:rsid w:val="00A824B6"/>
    <w:rsid w:val="00A829AA"/>
    <w:rsid w:val="00A903A9"/>
    <w:rsid w:val="00A96FDE"/>
    <w:rsid w:val="00AA5AF8"/>
    <w:rsid w:val="00AA69F9"/>
    <w:rsid w:val="00AA7E10"/>
    <w:rsid w:val="00AC740C"/>
    <w:rsid w:val="00AD218A"/>
    <w:rsid w:val="00AE0953"/>
    <w:rsid w:val="00AE0AF7"/>
    <w:rsid w:val="00AE2CDB"/>
    <w:rsid w:val="00AF1F82"/>
    <w:rsid w:val="00AF29C0"/>
    <w:rsid w:val="00AF2BC4"/>
    <w:rsid w:val="00AF7F69"/>
    <w:rsid w:val="00B0006D"/>
    <w:rsid w:val="00B108AA"/>
    <w:rsid w:val="00B147C7"/>
    <w:rsid w:val="00B23F2B"/>
    <w:rsid w:val="00B4215C"/>
    <w:rsid w:val="00B43864"/>
    <w:rsid w:val="00B502F3"/>
    <w:rsid w:val="00B54361"/>
    <w:rsid w:val="00B54FBC"/>
    <w:rsid w:val="00B6558A"/>
    <w:rsid w:val="00B73787"/>
    <w:rsid w:val="00B74271"/>
    <w:rsid w:val="00B748AF"/>
    <w:rsid w:val="00B96980"/>
    <w:rsid w:val="00BA05A5"/>
    <w:rsid w:val="00BA7AAC"/>
    <w:rsid w:val="00BB4B3A"/>
    <w:rsid w:val="00BB7E2D"/>
    <w:rsid w:val="00BC3ED9"/>
    <w:rsid w:val="00BE147F"/>
    <w:rsid w:val="00BE3F3B"/>
    <w:rsid w:val="00C217F5"/>
    <w:rsid w:val="00C36104"/>
    <w:rsid w:val="00C44992"/>
    <w:rsid w:val="00C605CB"/>
    <w:rsid w:val="00C610B5"/>
    <w:rsid w:val="00C61268"/>
    <w:rsid w:val="00C73AAB"/>
    <w:rsid w:val="00C77C26"/>
    <w:rsid w:val="00CA2F3E"/>
    <w:rsid w:val="00CA400A"/>
    <w:rsid w:val="00CB1EBB"/>
    <w:rsid w:val="00CB4483"/>
    <w:rsid w:val="00CD1D79"/>
    <w:rsid w:val="00CD1DE3"/>
    <w:rsid w:val="00CE64D6"/>
    <w:rsid w:val="00CE7EA0"/>
    <w:rsid w:val="00CF5A62"/>
    <w:rsid w:val="00CF5F73"/>
    <w:rsid w:val="00CF7763"/>
    <w:rsid w:val="00D0169A"/>
    <w:rsid w:val="00D1742B"/>
    <w:rsid w:val="00D23B98"/>
    <w:rsid w:val="00D24215"/>
    <w:rsid w:val="00D30B2D"/>
    <w:rsid w:val="00D47B64"/>
    <w:rsid w:val="00D538EC"/>
    <w:rsid w:val="00D63721"/>
    <w:rsid w:val="00D646D8"/>
    <w:rsid w:val="00D67156"/>
    <w:rsid w:val="00D73DEC"/>
    <w:rsid w:val="00D86FD8"/>
    <w:rsid w:val="00D871C0"/>
    <w:rsid w:val="00D91EBA"/>
    <w:rsid w:val="00DA4008"/>
    <w:rsid w:val="00DB3A43"/>
    <w:rsid w:val="00DC0409"/>
    <w:rsid w:val="00DD0BDD"/>
    <w:rsid w:val="00DD4A78"/>
    <w:rsid w:val="00DF2331"/>
    <w:rsid w:val="00DF72F3"/>
    <w:rsid w:val="00E07A28"/>
    <w:rsid w:val="00E10792"/>
    <w:rsid w:val="00E12B73"/>
    <w:rsid w:val="00E14524"/>
    <w:rsid w:val="00E15F0F"/>
    <w:rsid w:val="00E17F85"/>
    <w:rsid w:val="00E23583"/>
    <w:rsid w:val="00E312E3"/>
    <w:rsid w:val="00E313C8"/>
    <w:rsid w:val="00E33D21"/>
    <w:rsid w:val="00E420D7"/>
    <w:rsid w:val="00E55E71"/>
    <w:rsid w:val="00E661B5"/>
    <w:rsid w:val="00E73445"/>
    <w:rsid w:val="00E767E2"/>
    <w:rsid w:val="00E76F01"/>
    <w:rsid w:val="00E7753F"/>
    <w:rsid w:val="00E8550F"/>
    <w:rsid w:val="00E93F88"/>
    <w:rsid w:val="00E95E1A"/>
    <w:rsid w:val="00E96350"/>
    <w:rsid w:val="00EA0CD4"/>
    <w:rsid w:val="00EB7615"/>
    <w:rsid w:val="00EB7EE3"/>
    <w:rsid w:val="00EC1D58"/>
    <w:rsid w:val="00ED56AA"/>
    <w:rsid w:val="00EE3AB9"/>
    <w:rsid w:val="00EF1BC5"/>
    <w:rsid w:val="00EF2630"/>
    <w:rsid w:val="00EF41C5"/>
    <w:rsid w:val="00EF7CCE"/>
    <w:rsid w:val="00F11FCC"/>
    <w:rsid w:val="00F23043"/>
    <w:rsid w:val="00F23F02"/>
    <w:rsid w:val="00F3455D"/>
    <w:rsid w:val="00F478C2"/>
    <w:rsid w:val="00F633EB"/>
    <w:rsid w:val="00F6606F"/>
    <w:rsid w:val="00FA0ABD"/>
    <w:rsid w:val="00FA5B3E"/>
    <w:rsid w:val="00FA7BEE"/>
    <w:rsid w:val="00FB54F1"/>
    <w:rsid w:val="00FB75E0"/>
    <w:rsid w:val="00FC05EB"/>
    <w:rsid w:val="00FC139B"/>
    <w:rsid w:val="00FD40AE"/>
    <w:rsid w:val="00FE0EF3"/>
    <w:rsid w:val="00FE50C9"/>
    <w:rsid w:val="00FE66A2"/>
    <w:rsid w:val="00FE687D"/>
    <w:rsid w:val="00FF0A5F"/>
    <w:rsid w:val="00FF66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763D6"/>
  <w15:chartTrackingRefBased/>
  <w15:docId w15:val="{2325C298-A19D-4DBE-A819-2CE00AE6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E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55E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5E7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2C1E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8EC"/>
    <w:rPr>
      <w:color w:val="808080"/>
    </w:rPr>
  </w:style>
  <w:style w:type="character" w:customStyle="1" w:styleId="Heading3Char">
    <w:name w:val="Heading 3 Char"/>
    <w:basedOn w:val="DefaultParagraphFont"/>
    <w:link w:val="Heading3"/>
    <w:uiPriority w:val="9"/>
    <w:rsid w:val="00E55E71"/>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E55E7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55E71"/>
    <w:rPr>
      <w:b/>
      <w:bCs/>
    </w:rPr>
  </w:style>
  <w:style w:type="character" w:customStyle="1" w:styleId="Heading1Char">
    <w:name w:val="Heading 1 Char"/>
    <w:basedOn w:val="DefaultParagraphFont"/>
    <w:link w:val="Heading1"/>
    <w:uiPriority w:val="9"/>
    <w:rsid w:val="00E55E7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55E7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2C1EAB"/>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764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080F"/>
    <w:rPr>
      <w:color w:val="0563C1" w:themeColor="hyperlink"/>
      <w:u w:val="single"/>
    </w:rPr>
  </w:style>
  <w:style w:type="character" w:styleId="UnresolvedMention">
    <w:name w:val="Unresolved Mention"/>
    <w:basedOn w:val="DefaultParagraphFont"/>
    <w:uiPriority w:val="99"/>
    <w:semiHidden/>
    <w:unhideWhenUsed/>
    <w:rsid w:val="0055080F"/>
    <w:rPr>
      <w:color w:val="605E5C"/>
      <w:shd w:val="clear" w:color="auto" w:fill="E1DFDD"/>
    </w:rPr>
  </w:style>
  <w:style w:type="paragraph" w:styleId="ListParagraph">
    <w:name w:val="List Paragraph"/>
    <w:basedOn w:val="Normal"/>
    <w:uiPriority w:val="34"/>
    <w:qFormat/>
    <w:rsid w:val="008029B8"/>
    <w:pPr>
      <w:ind w:left="720"/>
      <w:contextualSpacing/>
    </w:pPr>
  </w:style>
  <w:style w:type="table" w:styleId="PlainTable2">
    <w:name w:val="Plain Table 2"/>
    <w:basedOn w:val="TableNormal"/>
    <w:uiPriority w:val="42"/>
    <w:rsid w:val="00A41559"/>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F7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2F3"/>
  </w:style>
  <w:style w:type="paragraph" w:styleId="Footer">
    <w:name w:val="footer"/>
    <w:basedOn w:val="Normal"/>
    <w:link w:val="FooterChar"/>
    <w:uiPriority w:val="99"/>
    <w:unhideWhenUsed/>
    <w:rsid w:val="00DF7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2F3"/>
  </w:style>
  <w:style w:type="paragraph" w:styleId="BalloonText">
    <w:name w:val="Balloon Text"/>
    <w:basedOn w:val="Normal"/>
    <w:link w:val="BalloonTextChar"/>
    <w:uiPriority w:val="99"/>
    <w:semiHidden/>
    <w:unhideWhenUsed/>
    <w:rsid w:val="001917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7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4371">
      <w:bodyDiv w:val="1"/>
      <w:marLeft w:val="0"/>
      <w:marRight w:val="0"/>
      <w:marTop w:val="0"/>
      <w:marBottom w:val="0"/>
      <w:divBdr>
        <w:top w:val="none" w:sz="0" w:space="0" w:color="auto"/>
        <w:left w:val="none" w:sz="0" w:space="0" w:color="auto"/>
        <w:bottom w:val="none" w:sz="0" w:space="0" w:color="auto"/>
        <w:right w:val="none" w:sz="0" w:space="0" w:color="auto"/>
      </w:divBdr>
    </w:div>
    <w:div w:id="47533283">
      <w:bodyDiv w:val="1"/>
      <w:marLeft w:val="0"/>
      <w:marRight w:val="0"/>
      <w:marTop w:val="0"/>
      <w:marBottom w:val="0"/>
      <w:divBdr>
        <w:top w:val="none" w:sz="0" w:space="0" w:color="auto"/>
        <w:left w:val="none" w:sz="0" w:space="0" w:color="auto"/>
        <w:bottom w:val="none" w:sz="0" w:space="0" w:color="auto"/>
        <w:right w:val="none" w:sz="0" w:space="0" w:color="auto"/>
      </w:divBdr>
    </w:div>
    <w:div w:id="63068888">
      <w:bodyDiv w:val="1"/>
      <w:marLeft w:val="0"/>
      <w:marRight w:val="0"/>
      <w:marTop w:val="0"/>
      <w:marBottom w:val="0"/>
      <w:divBdr>
        <w:top w:val="none" w:sz="0" w:space="0" w:color="auto"/>
        <w:left w:val="none" w:sz="0" w:space="0" w:color="auto"/>
        <w:bottom w:val="none" w:sz="0" w:space="0" w:color="auto"/>
        <w:right w:val="none" w:sz="0" w:space="0" w:color="auto"/>
      </w:divBdr>
    </w:div>
    <w:div w:id="96147119">
      <w:bodyDiv w:val="1"/>
      <w:marLeft w:val="0"/>
      <w:marRight w:val="0"/>
      <w:marTop w:val="0"/>
      <w:marBottom w:val="0"/>
      <w:divBdr>
        <w:top w:val="none" w:sz="0" w:space="0" w:color="auto"/>
        <w:left w:val="none" w:sz="0" w:space="0" w:color="auto"/>
        <w:bottom w:val="none" w:sz="0" w:space="0" w:color="auto"/>
        <w:right w:val="none" w:sz="0" w:space="0" w:color="auto"/>
      </w:divBdr>
    </w:div>
    <w:div w:id="109321708">
      <w:bodyDiv w:val="1"/>
      <w:marLeft w:val="0"/>
      <w:marRight w:val="0"/>
      <w:marTop w:val="0"/>
      <w:marBottom w:val="0"/>
      <w:divBdr>
        <w:top w:val="none" w:sz="0" w:space="0" w:color="auto"/>
        <w:left w:val="none" w:sz="0" w:space="0" w:color="auto"/>
        <w:bottom w:val="none" w:sz="0" w:space="0" w:color="auto"/>
        <w:right w:val="none" w:sz="0" w:space="0" w:color="auto"/>
      </w:divBdr>
    </w:div>
    <w:div w:id="220823515">
      <w:bodyDiv w:val="1"/>
      <w:marLeft w:val="0"/>
      <w:marRight w:val="0"/>
      <w:marTop w:val="0"/>
      <w:marBottom w:val="0"/>
      <w:divBdr>
        <w:top w:val="none" w:sz="0" w:space="0" w:color="auto"/>
        <w:left w:val="none" w:sz="0" w:space="0" w:color="auto"/>
        <w:bottom w:val="none" w:sz="0" w:space="0" w:color="auto"/>
        <w:right w:val="none" w:sz="0" w:space="0" w:color="auto"/>
      </w:divBdr>
      <w:divsChild>
        <w:div w:id="1148088041">
          <w:marLeft w:val="0"/>
          <w:marRight w:val="0"/>
          <w:marTop w:val="0"/>
          <w:marBottom w:val="0"/>
          <w:divBdr>
            <w:top w:val="none" w:sz="0" w:space="0" w:color="auto"/>
            <w:left w:val="none" w:sz="0" w:space="0" w:color="auto"/>
            <w:bottom w:val="none" w:sz="0" w:space="0" w:color="auto"/>
            <w:right w:val="none" w:sz="0" w:space="0" w:color="auto"/>
          </w:divBdr>
          <w:divsChild>
            <w:div w:id="2494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936684">
      <w:bodyDiv w:val="1"/>
      <w:marLeft w:val="0"/>
      <w:marRight w:val="0"/>
      <w:marTop w:val="0"/>
      <w:marBottom w:val="0"/>
      <w:divBdr>
        <w:top w:val="none" w:sz="0" w:space="0" w:color="auto"/>
        <w:left w:val="none" w:sz="0" w:space="0" w:color="auto"/>
        <w:bottom w:val="none" w:sz="0" w:space="0" w:color="auto"/>
        <w:right w:val="none" w:sz="0" w:space="0" w:color="auto"/>
      </w:divBdr>
    </w:div>
    <w:div w:id="304355035">
      <w:bodyDiv w:val="1"/>
      <w:marLeft w:val="0"/>
      <w:marRight w:val="0"/>
      <w:marTop w:val="0"/>
      <w:marBottom w:val="0"/>
      <w:divBdr>
        <w:top w:val="none" w:sz="0" w:space="0" w:color="auto"/>
        <w:left w:val="none" w:sz="0" w:space="0" w:color="auto"/>
        <w:bottom w:val="none" w:sz="0" w:space="0" w:color="auto"/>
        <w:right w:val="none" w:sz="0" w:space="0" w:color="auto"/>
      </w:divBdr>
    </w:div>
    <w:div w:id="391277141">
      <w:bodyDiv w:val="1"/>
      <w:marLeft w:val="0"/>
      <w:marRight w:val="0"/>
      <w:marTop w:val="0"/>
      <w:marBottom w:val="0"/>
      <w:divBdr>
        <w:top w:val="none" w:sz="0" w:space="0" w:color="auto"/>
        <w:left w:val="none" w:sz="0" w:space="0" w:color="auto"/>
        <w:bottom w:val="none" w:sz="0" w:space="0" w:color="auto"/>
        <w:right w:val="none" w:sz="0" w:space="0" w:color="auto"/>
      </w:divBdr>
    </w:div>
    <w:div w:id="402292552">
      <w:bodyDiv w:val="1"/>
      <w:marLeft w:val="0"/>
      <w:marRight w:val="0"/>
      <w:marTop w:val="0"/>
      <w:marBottom w:val="0"/>
      <w:divBdr>
        <w:top w:val="none" w:sz="0" w:space="0" w:color="auto"/>
        <w:left w:val="none" w:sz="0" w:space="0" w:color="auto"/>
        <w:bottom w:val="none" w:sz="0" w:space="0" w:color="auto"/>
        <w:right w:val="none" w:sz="0" w:space="0" w:color="auto"/>
      </w:divBdr>
    </w:div>
    <w:div w:id="416099519">
      <w:bodyDiv w:val="1"/>
      <w:marLeft w:val="0"/>
      <w:marRight w:val="0"/>
      <w:marTop w:val="0"/>
      <w:marBottom w:val="0"/>
      <w:divBdr>
        <w:top w:val="none" w:sz="0" w:space="0" w:color="auto"/>
        <w:left w:val="none" w:sz="0" w:space="0" w:color="auto"/>
        <w:bottom w:val="none" w:sz="0" w:space="0" w:color="auto"/>
        <w:right w:val="none" w:sz="0" w:space="0" w:color="auto"/>
      </w:divBdr>
    </w:div>
    <w:div w:id="432240349">
      <w:bodyDiv w:val="1"/>
      <w:marLeft w:val="0"/>
      <w:marRight w:val="0"/>
      <w:marTop w:val="0"/>
      <w:marBottom w:val="0"/>
      <w:divBdr>
        <w:top w:val="none" w:sz="0" w:space="0" w:color="auto"/>
        <w:left w:val="none" w:sz="0" w:space="0" w:color="auto"/>
        <w:bottom w:val="none" w:sz="0" w:space="0" w:color="auto"/>
        <w:right w:val="none" w:sz="0" w:space="0" w:color="auto"/>
      </w:divBdr>
    </w:div>
    <w:div w:id="448356989">
      <w:bodyDiv w:val="1"/>
      <w:marLeft w:val="0"/>
      <w:marRight w:val="0"/>
      <w:marTop w:val="0"/>
      <w:marBottom w:val="0"/>
      <w:divBdr>
        <w:top w:val="none" w:sz="0" w:space="0" w:color="auto"/>
        <w:left w:val="none" w:sz="0" w:space="0" w:color="auto"/>
        <w:bottom w:val="none" w:sz="0" w:space="0" w:color="auto"/>
        <w:right w:val="none" w:sz="0" w:space="0" w:color="auto"/>
      </w:divBdr>
    </w:div>
    <w:div w:id="462037196">
      <w:bodyDiv w:val="1"/>
      <w:marLeft w:val="0"/>
      <w:marRight w:val="0"/>
      <w:marTop w:val="0"/>
      <w:marBottom w:val="0"/>
      <w:divBdr>
        <w:top w:val="none" w:sz="0" w:space="0" w:color="auto"/>
        <w:left w:val="none" w:sz="0" w:space="0" w:color="auto"/>
        <w:bottom w:val="none" w:sz="0" w:space="0" w:color="auto"/>
        <w:right w:val="none" w:sz="0" w:space="0" w:color="auto"/>
      </w:divBdr>
    </w:div>
    <w:div w:id="511069153">
      <w:bodyDiv w:val="1"/>
      <w:marLeft w:val="0"/>
      <w:marRight w:val="0"/>
      <w:marTop w:val="0"/>
      <w:marBottom w:val="0"/>
      <w:divBdr>
        <w:top w:val="none" w:sz="0" w:space="0" w:color="auto"/>
        <w:left w:val="none" w:sz="0" w:space="0" w:color="auto"/>
        <w:bottom w:val="none" w:sz="0" w:space="0" w:color="auto"/>
        <w:right w:val="none" w:sz="0" w:space="0" w:color="auto"/>
      </w:divBdr>
    </w:div>
    <w:div w:id="641040255">
      <w:bodyDiv w:val="1"/>
      <w:marLeft w:val="0"/>
      <w:marRight w:val="0"/>
      <w:marTop w:val="0"/>
      <w:marBottom w:val="0"/>
      <w:divBdr>
        <w:top w:val="none" w:sz="0" w:space="0" w:color="auto"/>
        <w:left w:val="none" w:sz="0" w:space="0" w:color="auto"/>
        <w:bottom w:val="none" w:sz="0" w:space="0" w:color="auto"/>
        <w:right w:val="none" w:sz="0" w:space="0" w:color="auto"/>
      </w:divBdr>
    </w:div>
    <w:div w:id="714699243">
      <w:bodyDiv w:val="1"/>
      <w:marLeft w:val="0"/>
      <w:marRight w:val="0"/>
      <w:marTop w:val="0"/>
      <w:marBottom w:val="0"/>
      <w:divBdr>
        <w:top w:val="none" w:sz="0" w:space="0" w:color="auto"/>
        <w:left w:val="none" w:sz="0" w:space="0" w:color="auto"/>
        <w:bottom w:val="none" w:sz="0" w:space="0" w:color="auto"/>
        <w:right w:val="none" w:sz="0" w:space="0" w:color="auto"/>
      </w:divBdr>
    </w:div>
    <w:div w:id="745761323">
      <w:bodyDiv w:val="1"/>
      <w:marLeft w:val="0"/>
      <w:marRight w:val="0"/>
      <w:marTop w:val="0"/>
      <w:marBottom w:val="0"/>
      <w:divBdr>
        <w:top w:val="none" w:sz="0" w:space="0" w:color="auto"/>
        <w:left w:val="none" w:sz="0" w:space="0" w:color="auto"/>
        <w:bottom w:val="none" w:sz="0" w:space="0" w:color="auto"/>
        <w:right w:val="none" w:sz="0" w:space="0" w:color="auto"/>
      </w:divBdr>
    </w:div>
    <w:div w:id="746732100">
      <w:bodyDiv w:val="1"/>
      <w:marLeft w:val="0"/>
      <w:marRight w:val="0"/>
      <w:marTop w:val="0"/>
      <w:marBottom w:val="0"/>
      <w:divBdr>
        <w:top w:val="none" w:sz="0" w:space="0" w:color="auto"/>
        <w:left w:val="none" w:sz="0" w:space="0" w:color="auto"/>
        <w:bottom w:val="none" w:sz="0" w:space="0" w:color="auto"/>
        <w:right w:val="none" w:sz="0" w:space="0" w:color="auto"/>
      </w:divBdr>
    </w:div>
    <w:div w:id="783229124">
      <w:bodyDiv w:val="1"/>
      <w:marLeft w:val="0"/>
      <w:marRight w:val="0"/>
      <w:marTop w:val="0"/>
      <w:marBottom w:val="0"/>
      <w:divBdr>
        <w:top w:val="none" w:sz="0" w:space="0" w:color="auto"/>
        <w:left w:val="none" w:sz="0" w:space="0" w:color="auto"/>
        <w:bottom w:val="none" w:sz="0" w:space="0" w:color="auto"/>
        <w:right w:val="none" w:sz="0" w:space="0" w:color="auto"/>
      </w:divBdr>
    </w:div>
    <w:div w:id="860628562">
      <w:bodyDiv w:val="1"/>
      <w:marLeft w:val="0"/>
      <w:marRight w:val="0"/>
      <w:marTop w:val="0"/>
      <w:marBottom w:val="0"/>
      <w:divBdr>
        <w:top w:val="none" w:sz="0" w:space="0" w:color="auto"/>
        <w:left w:val="none" w:sz="0" w:space="0" w:color="auto"/>
        <w:bottom w:val="none" w:sz="0" w:space="0" w:color="auto"/>
        <w:right w:val="none" w:sz="0" w:space="0" w:color="auto"/>
      </w:divBdr>
    </w:div>
    <w:div w:id="1015113154">
      <w:bodyDiv w:val="1"/>
      <w:marLeft w:val="0"/>
      <w:marRight w:val="0"/>
      <w:marTop w:val="0"/>
      <w:marBottom w:val="0"/>
      <w:divBdr>
        <w:top w:val="none" w:sz="0" w:space="0" w:color="auto"/>
        <w:left w:val="none" w:sz="0" w:space="0" w:color="auto"/>
        <w:bottom w:val="none" w:sz="0" w:space="0" w:color="auto"/>
        <w:right w:val="none" w:sz="0" w:space="0" w:color="auto"/>
      </w:divBdr>
    </w:div>
    <w:div w:id="1100686481">
      <w:bodyDiv w:val="1"/>
      <w:marLeft w:val="0"/>
      <w:marRight w:val="0"/>
      <w:marTop w:val="0"/>
      <w:marBottom w:val="0"/>
      <w:divBdr>
        <w:top w:val="none" w:sz="0" w:space="0" w:color="auto"/>
        <w:left w:val="none" w:sz="0" w:space="0" w:color="auto"/>
        <w:bottom w:val="none" w:sz="0" w:space="0" w:color="auto"/>
        <w:right w:val="none" w:sz="0" w:space="0" w:color="auto"/>
      </w:divBdr>
    </w:div>
    <w:div w:id="1317415989">
      <w:bodyDiv w:val="1"/>
      <w:marLeft w:val="0"/>
      <w:marRight w:val="0"/>
      <w:marTop w:val="0"/>
      <w:marBottom w:val="0"/>
      <w:divBdr>
        <w:top w:val="none" w:sz="0" w:space="0" w:color="auto"/>
        <w:left w:val="none" w:sz="0" w:space="0" w:color="auto"/>
        <w:bottom w:val="none" w:sz="0" w:space="0" w:color="auto"/>
        <w:right w:val="none" w:sz="0" w:space="0" w:color="auto"/>
      </w:divBdr>
    </w:div>
    <w:div w:id="1384791497">
      <w:bodyDiv w:val="1"/>
      <w:marLeft w:val="0"/>
      <w:marRight w:val="0"/>
      <w:marTop w:val="0"/>
      <w:marBottom w:val="0"/>
      <w:divBdr>
        <w:top w:val="none" w:sz="0" w:space="0" w:color="auto"/>
        <w:left w:val="none" w:sz="0" w:space="0" w:color="auto"/>
        <w:bottom w:val="none" w:sz="0" w:space="0" w:color="auto"/>
        <w:right w:val="none" w:sz="0" w:space="0" w:color="auto"/>
      </w:divBdr>
    </w:div>
    <w:div w:id="1431048345">
      <w:bodyDiv w:val="1"/>
      <w:marLeft w:val="0"/>
      <w:marRight w:val="0"/>
      <w:marTop w:val="0"/>
      <w:marBottom w:val="0"/>
      <w:divBdr>
        <w:top w:val="none" w:sz="0" w:space="0" w:color="auto"/>
        <w:left w:val="none" w:sz="0" w:space="0" w:color="auto"/>
        <w:bottom w:val="none" w:sz="0" w:space="0" w:color="auto"/>
        <w:right w:val="none" w:sz="0" w:space="0" w:color="auto"/>
      </w:divBdr>
    </w:div>
    <w:div w:id="1443842446">
      <w:bodyDiv w:val="1"/>
      <w:marLeft w:val="0"/>
      <w:marRight w:val="0"/>
      <w:marTop w:val="0"/>
      <w:marBottom w:val="0"/>
      <w:divBdr>
        <w:top w:val="none" w:sz="0" w:space="0" w:color="auto"/>
        <w:left w:val="none" w:sz="0" w:space="0" w:color="auto"/>
        <w:bottom w:val="none" w:sz="0" w:space="0" w:color="auto"/>
        <w:right w:val="none" w:sz="0" w:space="0" w:color="auto"/>
      </w:divBdr>
    </w:div>
    <w:div w:id="1784299817">
      <w:bodyDiv w:val="1"/>
      <w:marLeft w:val="0"/>
      <w:marRight w:val="0"/>
      <w:marTop w:val="0"/>
      <w:marBottom w:val="0"/>
      <w:divBdr>
        <w:top w:val="none" w:sz="0" w:space="0" w:color="auto"/>
        <w:left w:val="none" w:sz="0" w:space="0" w:color="auto"/>
        <w:bottom w:val="none" w:sz="0" w:space="0" w:color="auto"/>
        <w:right w:val="none" w:sz="0" w:space="0" w:color="auto"/>
      </w:divBdr>
    </w:div>
    <w:div w:id="1826236089">
      <w:bodyDiv w:val="1"/>
      <w:marLeft w:val="0"/>
      <w:marRight w:val="0"/>
      <w:marTop w:val="0"/>
      <w:marBottom w:val="0"/>
      <w:divBdr>
        <w:top w:val="none" w:sz="0" w:space="0" w:color="auto"/>
        <w:left w:val="none" w:sz="0" w:space="0" w:color="auto"/>
        <w:bottom w:val="none" w:sz="0" w:space="0" w:color="auto"/>
        <w:right w:val="none" w:sz="0" w:space="0" w:color="auto"/>
      </w:divBdr>
    </w:div>
    <w:div w:id="1874880162">
      <w:bodyDiv w:val="1"/>
      <w:marLeft w:val="0"/>
      <w:marRight w:val="0"/>
      <w:marTop w:val="0"/>
      <w:marBottom w:val="0"/>
      <w:divBdr>
        <w:top w:val="none" w:sz="0" w:space="0" w:color="auto"/>
        <w:left w:val="none" w:sz="0" w:space="0" w:color="auto"/>
        <w:bottom w:val="none" w:sz="0" w:space="0" w:color="auto"/>
        <w:right w:val="none" w:sz="0" w:space="0" w:color="auto"/>
      </w:divBdr>
    </w:div>
    <w:div w:id="206255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978-3-030-05603-2_6" TargetMode="External"/><Relationship Id="rId18" Type="http://schemas.openxmlformats.org/officeDocument/2006/relationships/hyperlink" Target="https://doi.org/10.1016/S0044-8486(03)00475-7" TargetMode="External"/><Relationship Id="rId26" Type="http://schemas.openxmlformats.org/officeDocument/2006/relationships/hyperlink" Target="https://doi.org/10.3390/rs13020231" TargetMode="External"/><Relationship Id="rId39" Type="http://schemas.openxmlformats.org/officeDocument/2006/relationships/hyperlink" Target="https://doi.org/10.1016/j.aquaculture.2025.743294" TargetMode="External"/><Relationship Id="rId21" Type="http://schemas.openxmlformats.org/officeDocument/2006/relationships/hyperlink" Target="https://doi.org/10.1111/are.13557" TargetMode="External"/><Relationship Id="rId34" Type="http://schemas.openxmlformats.org/officeDocument/2006/relationships/hyperlink" Target="https://www.fisheries.noaa.gov/aquaculture/nutrient-impacts-finfish-aquaculture?utm_source=chatgpt.com" TargetMode="External"/><Relationship Id="rId42" Type="http://schemas.openxmlformats.org/officeDocument/2006/relationships/hyperlink" Target="https://doi.org/10.9734/ajfar/2020/v6i430103"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phycology4010010" TargetMode="External"/><Relationship Id="rId29" Type="http://schemas.openxmlformats.org/officeDocument/2006/relationships/hyperlink" Target="https://doi.org/10.4319/lo.2006.51.1_part_2.0364" TargetMode="External"/><Relationship Id="rId11" Type="http://schemas.openxmlformats.org/officeDocument/2006/relationships/image" Target="media/image4.tiff"/><Relationship Id="rId24" Type="http://schemas.openxmlformats.org/officeDocument/2006/relationships/hyperlink" Target="https://doi.org/10.1016/j.jclepro.2020.124760" TargetMode="External"/><Relationship Id="rId32" Type="http://schemas.openxmlformats.org/officeDocument/2006/relationships/hyperlink" Target="https://doi.org/10.1111/raq.12625" TargetMode="External"/><Relationship Id="rId37" Type="http://schemas.openxmlformats.org/officeDocument/2006/relationships/hyperlink" Target="https://doi.org/10.3390/su17031090" TargetMode="External"/><Relationship Id="rId40" Type="http://schemas.openxmlformats.org/officeDocument/2006/relationships/hyperlink" Target="https://doi.org/10.1111/raq.12011" TargetMode="External"/><Relationship Id="rId45" Type="http://schemas.openxmlformats.org/officeDocument/2006/relationships/hyperlink" Target="https://doi.org/10.1007/s40995-024-01687-9"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tiff"/><Relationship Id="rId19" Type="http://schemas.openxmlformats.org/officeDocument/2006/relationships/hyperlink" Target="https://doi.org/10.1007/s10499-017-0187-1" TargetMode="External"/><Relationship Id="rId31" Type="http://schemas.openxmlformats.org/officeDocument/2006/relationships/hyperlink" Target="https://epubs.icar.org.in/index.php/IJF/article/view/22246?utm_source=chatgpt.com" TargetMode="External"/><Relationship Id="rId44" Type="http://schemas.openxmlformats.org/officeDocument/2006/relationships/hyperlink" Target="https://doi.org/10.1038/s43017-024-00633-y"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journals.tubitak.gov.tr/veterinary/vol32/iss6/3/?utm_source=chatgpt.com" TargetMode="External"/><Relationship Id="rId22" Type="http://schemas.openxmlformats.org/officeDocument/2006/relationships/hyperlink" Target="https://doi.org/10.1007/978-3-031-10127-4_4" TargetMode="External"/><Relationship Id="rId27" Type="http://schemas.openxmlformats.org/officeDocument/2006/relationships/hyperlink" Target="https://doi.org/10.1007/978-1-4020-6810-2_2" TargetMode="External"/><Relationship Id="rId30" Type="http://schemas.openxmlformats.org/officeDocument/2006/relationships/hyperlink" Target="https://www.ibm.com/support/pages/how-cite-ibm-spss-statistics-or-earlier-versions-spss?utm_source=chatgpt.com" TargetMode="External"/><Relationship Id="rId35" Type="http://schemas.openxmlformats.org/officeDocument/2006/relationships/hyperlink" Target="https://doi.org/10.3354/aei00122" TargetMode="External"/><Relationship Id="rId43" Type="http://schemas.openxmlformats.org/officeDocument/2006/relationships/hyperlink" Target="https://doi.org/10.56557/joban/2026/v18i110291" TargetMode="External"/><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doi.org/10.1016/j.ecss.2005.03.003" TargetMode="External"/><Relationship Id="rId17" Type="http://schemas.openxmlformats.org/officeDocument/2006/relationships/hyperlink" Target="https://doi.org/10.1038/s41467-023-40774-0" TargetMode="External"/><Relationship Id="rId25" Type="http://schemas.openxmlformats.org/officeDocument/2006/relationships/hyperlink" Target="https://doi.org/10.1038/s41559-017-0257-9?utm_source=chatgpt.com" TargetMode="External"/><Relationship Id="rId33" Type="http://schemas.openxmlformats.org/officeDocument/2006/relationships/hyperlink" Target="https://doi.org/10.1007/s10533-017-0351-8" TargetMode="External"/><Relationship Id="rId38" Type="http://schemas.openxmlformats.org/officeDocument/2006/relationships/hyperlink" Target="https://doi.org/10.1016/j.ecss.2008.08.004" TargetMode="External"/><Relationship Id="rId46" Type="http://schemas.openxmlformats.org/officeDocument/2006/relationships/header" Target="header1.xml"/><Relationship Id="rId20" Type="http://schemas.openxmlformats.org/officeDocument/2006/relationships/hyperlink" Target="https://doi.org/10.3354/meps210223" TargetMode="External"/><Relationship Id="rId41" Type="http://schemas.openxmlformats.org/officeDocument/2006/relationships/hyperlink" Target="https://doi.org/10.1007/s11769-007-0370-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o.org/4/AD021E/AD021E00.htm?utm_source=chatgpt.com" TargetMode="External"/><Relationship Id="rId23" Type="http://schemas.openxmlformats.org/officeDocument/2006/relationships/hyperlink" Target="https://doi.org/10.1016/j.jclepro.2023.136759" TargetMode="External"/><Relationship Id="rId28" Type="http://schemas.openxmlformats.org/officeDocument/2006/relationships/hyperlink" Target="https://doi.org/10.3354/aei00007" TargetMode="External"/><Relationship Id="rId36" Type="http://schemas.openxmlformats.org/officeDocument/2006/relationships/hyperlink" Target="https://doi.org/10.1006/ecss.2001.0870"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69908-E2D6-4C29-B1D7-0B896C08A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7235</Words>
  <Characters>41242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SDI CPU 1117</cp:lastModifiedBy>
  <cp:revision>17</cp:revision>
  <dcterms:created xsi:type="dcterms:W3CDTF">2026-06-27T09:56:00Z</dcterms:created>
  <dcterms:modified xsi:type="dcterms:W3CDTF">2026-06-30T07:50:00Z</dcterms:modified>
</cp:coreProperties>
</file>