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B9ACF" w14:textId="77777777" w:rsidR="00C51B4E" w:rsidRPr="002B194C" w:rsidRDefault="00460DA3" w:rsidP="00C51B4E">
      <w:pPr>
        <w:spacing w:after="0"/>
        <w:jc w:val="center"/>
        <w:rPr>
          <w:rFonts w:ascii="Times New Roman" w:hAnsi="Times New Roman" w:cs="Times New Roman"/>
          <w:b/>
          <w:bCs/>
          <w:sz w:val="24"/>
          <w:szCs w:val="24"/>
        </w:rPr>
      </w:pPr>
      <w:r w:rsidRPr="002B194C">
        <w:rPr>
          <w:rFonts w:ascii="Times New Roman" w:hAnsi="Times New Roman" w:cs="Times New Roman"/>
          <w:b/>
          <w:bCs/>
          <w:sz w:val="24"/>
          <w:szCs w:val="24"/>
        </w:rPr>
        <w:t xml:space="preserve">Optimization of dietary </w:t>
      </w:r>
      <w:r w:rsidRPr="002B194C">
        <w:rPr>
          <w:rFonts w:ascii="Times New Roman" w:hAnsi="Times New Roman" w:cs="Times New Roman"/>
          <w:b/>
          <w:bCs/>
          <w:i/>
          <w:iCs/>
          <w:sz w:val="24"/>
          <w:szCs w:val="24"/>
        </w:rPr>
        <w:t>Moringa oleifera</w:t>
      </w:r>
      <w:r w:rsidRPr="002B194C">
        <w:rPr>
          <w:rFonts w:ascii="Times New Roman" w:hAnsi="Times New Roman" w:cs="Times New Roman"/>
          <w:b/>
          <w:bCs/>
          <w:sz w:val="24"/>
          <w:szCs w:val="24"/>
        </w:rPr>
        <w:t xml:space="preserve"> leaf meal as a fish meal substitute for </w:t>
      </w:r>
      <w:proofErr w:type="spellStart"/>
      <w:r w:rsidRPr="002B194C">
        <w:rPr>
          <w:rFonts w:ascii="Times New Roman" w:hAnsi="Times New Roman" w:cs="Times New Roman"/>
          <w:b/>
          <w:bCs/>
          <w:i/>
          <w:iCs/>
          <w:sz w:val="24"/>
          <w:szCs w:val="24"/>
        </w:rPr>
        <w:t>Labeo</w:t>
      </w:r>
      <w:proofErr w:type="spellEnd"/>
      <w:r w:rsidR="0028651D" w:rsidRPr="002B194C">
        <w:rPr>
          <w:rFonts w:ascii="Times New Roman" w:hAnsi="Times New Roman" w:cs="Times New Roman"/>
          <w:b/>
          <w:bCs/>
          <w:i/>
          <w:iCs/>
          <w:sz w:val="24"/>
          <w:szCs w:val="24"/>
        </w:rPr>
        <w:t xml:space="preserve"> </w:t>
      </w:r>
      <w:proofErr w:type="spellStart"/>
      <w:r w:rsidRPr="002B194C">
        <w:rPr>
          <w:rFonts w:ascii="Times New Roman" w:hAnsi="Times New Roman" w:cs="Times New Roman"/>
          <w:b/>
          <w:bCs/>
          <w:i/>
          <w:iCs/>
          <w:sz w:val="24"/>
          <w:szCs w:val="24"/>
        </w:rPr>
        <w:t>rohita</w:t>
      </w:r>
      <w:proofErr w:type="spellEnd"/>
      <w:r w:rsidR="00062595" w:rsidRPr="002B194C">
        <w:rPr>
          <w:rFonts w:ascii="Times New Roman" w:hAnsi="Times New Roman" w:cs="Times New Roman"/>
          <w:b/>
          <w:bCs/>
          <w:sz w:val="24"/>
          <w:szCs w:val="24"/>
        </w:rPr>
        <w:t xml:space="preserve"> during the nursery phase</w:t>
      </w:r>
    </w:p>
    <w:p w14:paraId="731EAA73" w14:textId="77777777" w:rsidR="008D29D9" w:rsidRPr="002B194C" w:rsidRDefault="008D29D9" w:rsidP="004402AE">
      <w:pPr>
        <w:spacing w:after="0"/>
        <w:jc w:val="center"/>
        <w:rPr>
          <w:rFonts w:ascii="Times New Roman" w:hAnsi="Times New Roman" w:cs="Times New Roman"/>
          <w:b/>
          <w:bCs/>
          <w:sz w:val="24"/>
          <w:szCs w:val="24"/>
        </w:rPr>
      </w:pPr>
    </w:p>
    <w:p w14:paraId="7A7DE0E7" w14:textId="77777777" w:rsidR="008D29D9" w:rsidRPr="002B194C" w:rsidRDefault="008D29D9" w:rsidP="004402AE">
      <w:pPr>
        <w:spacing w:after="0"/>
        <w:jc w:val="center"/>
        <w:rPr>
          <w:rFonts w:ascii="Times New Roman" w:hAnsi="Times New Roman" w:cs="Times New Roman"/>
          <w:b/>
          <w:bCs/>
          <w:sz w:val="24"/>
          <w:szCs w:val="24"/>
        </w:rPr>
      </w:pPr>
    </w:p>
    <w:p w14:paraId="4A2A0A1C" w14:textId="77777777" w:rsidR="008D29D9" w:rsidRPr="002B194C" w:rsidRDefault="008D29D9" w:rsidP="004402AE">
      <w:pPr>
        <w:spacing w:after="0"/>
        <w:jc w:val="center"/>
        <w:rPr>
          <w:rFonts w:ascii="Times New Roman" w:hAnsi="Times New Roman" w:cs="Times New Roman"/>
          <w:b/>
          <w:bCs/>
          <w:sz w:val="24"/>
          <w:szCs w:val="24"/>
        </w:rPr>
      </w:pPr>
    </w:p>
    <w:p w14:paraId="49D2A851" w14:textId="77777777" w:rsidR="008D29D9" w:rsidRPr="002B194C" w:rsidRDefault="008D29D9" w:rsidP="004402AE">
      <w:pPr>
        <w:spacing w:after="0"/>
        <w:jc w:val="center"/>
        <w:rPr>
          <w:rFonts w:ascii="Times New Roman" w:hAnsi="Times New Roman" w:cs="Times New Roman"/>
          <w:b/>
          <w:bCs/>
          <w:sz w:val="24"/>
          <w:szCs w:val="24"/>
        </w:rPr>
      </w:pPr>
    </w:p>
    <w:p w14:paraId="31900497" w14:textId="77777777" w:rsidR="0018680A" w:rsidRPr="002B194C" w:rsidRDefault="0018680A" w:rsidP="00D94B8C">
      <w:pPr>
        <w:pStyle w:val="NormalWeb"/>
        <w:spacing w:before="0" w:beforeAutospacing="0" w:after="0" w:afterAutospacing="0" w:line="360" w:lineRule="auto"/>
      </w:pPr>
      <w:r w:rsidRPr="002B194C">
        <w:rPr>
          <w:b/>
          <w:bCs/>
        </w:rPr>
        <w:t>Abstract</w:t>
      </w:r>
    </w:p>
    <w:p w14:paraId="7D0CF489" w14:textId="77777777" w:rsidR="00D85DD2" w:rsidRPr="002B194C" w:rsidRDefault="0018680A" w:rsidP="00D85DD2">
      <w:pPr>
        <w:pStyle w:val="NormalWeb"/>
        <w:spacing w:before="0" w:beforeAutospacing="0" w:after="0" w:afterAutospacing="0" w:line="360" w:lineRule="auto"/>
        <w:ind w:firstLine="720"/>
        <w:jc w:val="both"/>
      </w:pPr>
      <w:r w:rsidRPr="002B194C">
        <w:t xml:space="preserve">The increasing cost and limited availability of fish meal have intensified the search for sustainable plant-based protein sources for aquafeeds. </w:t>
      </w:r>
      <w:r w:rsidRPr="002B194C">
        <w:rPr>
          <w:i/>
          <w:iCs/>
        </w:rPr>
        <w:t>Moringa oleifera</w:t>
      </w:r>
      <w:r w:rsidRPr="002B194C">
        <w:t xml:space="preserve"> leaf meal (MOLM) is a promising alternative because of its high protein content and abundance of bioactive compounds. The present study evaluated the effects of graded dietary inclusion of MOLM as a partial replacement for fish meal on the growth performance, feed </w:t>
      </w:r>
      <w:proofErr w:type="spellStart"/>
      <w:r w:rsidRPr="002B194C">
        <w:t>utilisation</w:t>
      </w:r>
      <w:proofErr w:type="spellEnd"/>
      <w:r w:rsidRPr="002B194C">
        <w:t xml:space="preserve">, whole-body composition, and </w:t>
      </w:r>
      <w:proofErr w:type="spellStart"/>
      <w:r w:rsidRPr="002B194C">
        <w:t>haematological</w:t>
      </w:r>
      <w:proofErr w:type="spellEnd"/>
      <w:r w:rsidRPr="002B194C">
        <w:t xml:space="preserve"> responses of </w:t>
      </w:r>
      <w:proofErr w:type="spellStart"/>
      <w:r w:rsidRPr="002B194C">
        <w:rPr>
          <w:i/>
          <w:iCs/>
        </w:rPr>
        <w:t>Labeo</w:t>
      </w:r>
      <w:proofErr w:type="spellEnd"/>
      <w:r w:rsidRPr="002B194C">
        <w:rPr>
          <w:i/>
          <w:iCs/>
        </w:rPr>
        <w:t xml:space="preserve"> </w:t>
      </w:r>
      <w:proofErr w:type="spellStart"/>
      <w:r w:rsidRPr="002B194C">
        <w:rPr>
          <w:i/>
          <w:iCs/>
        </w:rPr>
        <w:t>rohita</w:t>
      </w:r>
      <w:proofErr w:type="spellEnd"/>
      <w:r w:rsidRPr="002B194C">
        <w:t xml:space="preserve"> spawn during a 20-day nursery feeding trial. Five isonitrogenous experimental diets containing 0% (Control), 5% (T1), 10% (T2), 15% (T3), and 20% (T4) MOLM were formulated. Fish were randomly allocated to triplicate experimental units and fed the respective diets under controlled environmental conditions. Water quality parameters remained within the optimal range throughout the experimental period and did not differ significantly among treatments (P &gt; 0.05). Dietary supplementation with MOLM significantly influenced growth performance and nutrient </w:t>
      </w:r>
      <w:proofErr w:type="spellStart"/>
      <w:r w:rsidRPr="002B194C">
        <w:t>utilisation</w:t>
      </w:r>
      <w:proofErr w:type="spellEnd"/>
      <w:r w:rsidRPr="002B194C">
        <w:t xml:space="preserve"> (P &lt; 0.05). Fish fed the T3 diet (15% MOLM) exhibited the highest final weight (315.54 ± 0.92 mg), weight gain (314.11 ± 0.92 mg), and specific growth rate (26.98 ± 0.06% day⁻¹), the lowest feed conversion ratio (1.36 ± 0.02), the highest protein efficiency ratio (1.72 ± 0.03), and the greatest survival (62.67 ± 2.33%). Whole-body protein (18.50 ± 0.12%), lipid (4.67 ± 0.12%), and ash (4.07 ± 0.03%) contents were also significantly enhanced in the T3 group. Furthermore, dietary inclusion of 15% MOLM significantly improved </w:t>
      </w:r>
      <w:proofErr w:type="spellStart"/>
      <w:r w:rsidRPr="002B194C">
        <w:t>haematological</w:t>
      </w:r>
      <w:proofErr w:type="spellEnd"/>
      <w:r w:rsidRPr="002B194C">
        <w:t xml:space="preserve"> indices, including </w:t>
      </w:r>
      <w:proofErr w:type="spellStart"/>
      <w:r w:rsidRPr="002B194C">
        <w:t>haemoglobin</w:t>
      </w:r>
      <w:proofErr w:type="spellEnd"/>
      <w:r w:rsidRPr="002B194C">
        <w:t xml:space="preserve"> concentration (5.50 g/dL), red blood cell count (0.98 ± 0.14 × 10⁶/mm³), and packed cell volume, indicating an enhanced physiological condition and oxygen-carrying capacity. In contrast, the highest inclusion level (20%) adversely affected growth performance and blood parameters, likely because increased dietary </w:t>
      </w:r>
      <w:proofErr w:type="spellStart"/>
      <w:r w:rsidRPr="002B194C">
        <w:t>fibre</w:t>
      </w:r>
      <w:proofErr w:type="spellEnd"/>
      <w:r w:rsidRPr="002B194C">
        <w:t xml:space="preserve"> and anti-nutritional factors reduced nutrient </w:t>
      </w:r>
      <w:proofErr w:type="spellStart"/>
      <w:r w:rsidRPr="002B194C">
        <w:t>utilisation</w:t>
      </w:r>
      <w:proofErr w:type="spellEnd"/>
      <w:r w:rsidRPr="002B194C">
        <w:t xml:space="preserve">. The findings demonstrate that replacing fish meal with 15% </w:t>
      </w:r>
      <w:r w:rsidRPr="002B194C">
        <w:rPr>
          <w:i/>
          <w:iCs/>
        </w:rPr>
        <w:t>M. oleifera</w:t>
      </w:r>
      <w:r w:rsidRPr="002B194C">
        <w:t xml:space="preserve"> leaf meal effectively enhances the growth, feed efficiency, body composition, and </w:t>
      </w:r>
      <w:proofErr w:type="spellStart"/>
      <w:r w:rsidRPr="002B194C">
        <w:t>haematological</w:t>
      </w:r>
      <w:proofErr w:type="spellEnd"/>
      <w:r w:rsidRPr="002B194C">
        <w:t xml:space="preserve"> health of </w:t>
      </w:r>
      <w:r w:rsidRPr="002B194C">
        <w:rPr>
          <w:i/>
          <w:iCs/>
        </w:rPr>
        <w:t xml:space="preserve">L. </w:t>
      </w:r>
      <w:proofErr w:type="spellStart"/>
      <w:r w:rsidRPr="002B194C">
        <w:rPr>
          <w:i/>
          <w:iCs/>
        </w:rPr>
        <w:t>rohita</w:t>
      </w:r>
      <w:proofErr w:type="spellEnd"/>
      <w:r w:rsidRPr="002B194C">
        <w:t xml:space="preserve"> spawn without compromising water quality. Therefore, MOLM can serve as a sustainable and </w:t>
      </w:r>
      <w:r w:rsidRPr="002B194C">
        <w:lastRenderedPageBreak/>
        <w:t>economical plant protein source for nursery diets, contributing to environmentally responsible and cost-effective carp aquaculture.</w:t>
      </w:r>
    </w:p>
    <w:p w14:paraId="750E2A3F" w14:textId="529D601F" w:rsidR="00800268" w:rsidRPr="002B194C" w:rsidRDefault="00460DA3" w:rsidP="00D85DD2">
      <w:pPr>
        <w:pStyle w:val="NormalWeb"/>
        <w:spacing w:before="0" w:beforeAutospacing="0" w:after="0" w:afterAutospacing="0" w:line="360" w:lineRule="auto"/>
        <w:jc w:val="both"/>
      </w:pPr>
      <w:r w:rsidRPr="002B194C">
        <w:rPr>
          <w:b/>
          <w:bCs/>
        </w:rPr>
        <w:t xml:space="preserve">Keywords: </w:t>
      </w:r>
      <w:r w:rsidR="00DE0135" w:rsidRPr="00DE0135">
        <w:t xml:space="preserve">Aquafeed; Fish meal replacement; Growth performance; </w:t>
      </w:r>
      <w:proofErr w:type="spellStart"/>
      <w:r w:rsidR="00DE0135" w:rsidRPr="00DE0135">
        <w:t>Haematology</w:t>
      </w:r>
      <w:proofErr w:type="spellEnd"/>
      <w:r w:rsidR="00DE0135" w:rsidRPr="00DE0135">
        <w:t xml:space="preserve">; </w:t>
      </w:r>
      <w:proofErr w:type="spellStart"/>
      <w:r w:rsidR="00DE0135" w:rsidRPr="00DE0135">
        <w:rPr>
          <w:i/>
          <w:iCs/>
        </w:rPr>
        <w:t>Labeo</w:t>
      </w:r>
      <w:proofErr w:type="spellEnd"/>
      <w:r w:rsidR="00DE0135" w:rsidRPr="00DE0135">
        <w:rPr>
          <w:i/>
          <w:iCs/>
        </w:rPr>
        <w:t xml:space="preserve"> </w:t>
      </w:r>
      <w:proofErr w:type="spellStart"/>
      <w:r w:rsidR="00DE0135" w:rsidRPr="00DE0135">
        <w:rPr>
          <w:i/>
          <w:iCs/>
        </w:rPr>
        <w:t>rohita</w:t>
      </w:r>
      <w:proofErr w:type="spellEnd"/>
      <w:r w:rsidR="00DE0135" w:rsidRPr="00DE0135">
        <w:t xml:space="preserve">; </w:t>
      </w:r>
      <w:r w:rsidR="00DE0135" w:rsidRPr="00DE0135">
        <w:rPr>
          <w:i/>
          <w:iCs/>
        </w:rPr>
        <w:t>Moringa oleifera</w:t>
      </w:r>
      <w:r w:rsidR="00DE0135" w:rsidRPr="00DE0135">
        <w:t xml:space="preserve">; Nursery phase; Nutrient </w:t>
      </w:r>
      <w:proofErr w:type="spellStart"/>
      <w:r w:rsidR="00DE0135" w:rsidRPr="00DE0135">
        <w:t>utilisation</w:t>
      </w:r>
      <w:proofErr w:type="spellEnd"/>
      <w:r w:rsidR="00DE0135" w:rsidRPr="00DE0135">
        <w:t>; Plant protein; Whole-body composition.</w:t>
      </w:r>
    </w:p>
    <w:p w14:paraId="3B77A41B" w14:textId="77777777" w:rsidR="00845049" w:rsidRPr="002B194C" w:rsidRDefault="00553761" w:rsidP="007B0AA7">
      <w:pPr>
        <w:spacing w:after="0"/>
        <w:jc w:val="both"/>
        <w:rPr>
          <w:rFonts w:ascii="Times New Roman" w:hAnsi="Times New Roman" w:cs="Times New Roman"/>
          <w:b/>
          <w:sz w:val="24"/>
          <w:szCs w:val="24"/>
        </w:rPr>
      </w:pPr>
      <w:r w:rsidRPr="002B194C">
        <w:rPr>
          <w:rFonts w:ascii="Times New Roman" w:hAnsi="Times New Roman" w:cs="Times New Roman"/>
          <w:b/>
          <w:sz w:val="24"/>
          <w:szCs w:val="24"/>
        </w:rPr>
        <w:t>Graphical Abstract:</w:t>
      </w:r>
    </w:p>
    <w:p w14:paraId="77DF64F7" w14:textId="77777777" w:rsidR="00B571E2" w:rsidRPr="002B194C" w:rsidRDefault="00553761" w:rsidP="00C2390E">
      <w:pPr>
        <w:spacing w:after="0"/>
        <w:jc w:val="center"/>
        <w:rPr>
          <w:rFonts w:ascii="Times New Roman" w:hAnsi="Times New Roman" w:cs="Times New Roman"/>
          <w:sz w:val="24"/>
          <w:szCs w:val="24"/>
        </w:rPr>
      </w:pPr>
      <w:r w:rsidRPr="002B194C">
        <w:rPr>
          <w:rFonts w:ascii="Times New Roman" w:hAnsi="Times New Roman" w:cs="Times New Roman"/>
          <w:noProof/>
          <w:sz w:val="24"/>
          <w:szCs w:val="24"/>
          <w:lang w:val="en-GB" w:eastAsia="en-GB" w:bidi="ar-SA"/>
        </w:rPr>
        <w:drawing>
          <wp:inline distT="0" distB="0" distL="0" distR="0" wp14:anchorId="3B662693" wp14:editId="789FA08C">
            <wp:extent cx="5179558" cy="296409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7035" cy="2996986"/>
                    </a:xfrm>
                    <a:prstGeom prst="rect">
                      <a:avLst/>
                    </a:prstGeom>
                    <a:noFill/>
                  </pic:spPr>
                </pic:pic>
              </a:graphicData>
            </a:graphic>
          </wp:inline>
        </w:drawing>
      </w:r>
    </w:p>
    <w:p w14:paraId="50314AAB" w14:textId="77777777" w:rsidR="00587979" w:rsidRPr="002B194C" w:rsidRDefault="00587979" w:rsidP="00031425">
      <w:pPr>
        <w:pStyle w:val="ListParagraph"/>
        <w:numPr>
          <w:ilvl w:val="0"/>
          <w:numId w:val="5"/>
        </w:numPr>
        <w:spacing w:after="0"/>
        <w:jc w:val="both"/>
        <w:rPr>
          <w:rFonts w:ascii="Times New Roman" w:hAnsi="Times New Roman" w:cs="Times New Roman"/>
          <w:b/>
          <w:bCs/>
          <w:sz w:val="24"/>
          <w:szCs w:val="24"/>
        </w:rPr>
        <w:sectPr w:rsidR="00587979" w:rsidRPr="002B194C" w:rsidSect="00BE7265">
          <w:footerReference w:type="default" r:id="rId8"/>
          <w:pgSz w:w="12240" w:h="15840"/>
          <w:pgMar w:top="1440" w:right="1440" w:bottom="1440" w:left="1440" w:header="720" w:footer="720" w:gutter="0"/>
          <w:lnNumType w:countBy="1" w:restart="continuous"/>
          <w:cols w:space="720"/>
          <w:docGrid w:linePitch="360"/>
        </w:sectPr>
      </w:pPr>
    </w:p>
    <w:p w14:paraId="0E0A748A" w14:textId="77777777" w:rsidR="00800268" w:rsidRPr="002B194C" w:rsidRDefault="00460DA3" w:rsidP="00031425">
      <w:pPr>
        <w:pStyle w:val="ListParagraph"/>
        <w:numPr>
          <w:ilvl w:val="0"/>
          <w:numId w:val="5"/>
        </w:numPr>
        <w:spacing w:after="0"/>
        <w:jc w:val="both"/>
        <w:rPr>
          <w:rFonts w:ascii="Times New Roman" w:hAnsi="Times New Roman" w:cs="Times New Roman"/>
          <w:b/>
          <w:bCs/>
          <w:sz w:val="24"/>
          <w:szCs w:val="24"/>
        </w:rPr>
      </w:pPr>
      <w:r w:rsidRPr="002B194C">
        <w:rPr>
          <w:rFonts w:ascii="Times New Roman" w:hAnsi="Times New Roman" w:cs="Times New Roman"/>
          <w:b/>
          <w:bCs/>
          <w:sz w:val="24"/>
          <w:szCs w:val="24"/>
        </w:rPr>
        <w:lastRenderedPageBreak/>
        <w:t>Introduction</w:t>
      </w:r>
    </w:p>
    <w:p w14:paraId="369D0B29" w14:textId="566C7282" w:rsidR="00163EB8" w:rsidRPr="002B194C" w:rsidRDefault="00B155D4" w:rsidP="00C52E60">
      <w:pPr>
        <w:pStyle w:val="NormalWeb"/>
        <w:spacing w:line="276" w:lineRule="auto"/>
        <w:ind w:left="360" w:firstLine="360"/>
        <w:jc w:val="both"/>
        <w:rPr>
          <w:bCs/>
          <w:color w:val="000000" w:themeColor="text1"/>
          <w:shd w:val="clear" w:color="auto" w:fill="FFFFFF"/>
        </w:rPr>
      </w:pPr>
      <w:r w:rsidRPr="002B194C">
        <w:rPr>
          <w:color w:val="000000" w:themeColor="text1"/>
        </w:rPr>
        <w:t xml:space="preserve">The global aquaculture industry is undergoing a “Blue Transformation”, a major shift intended to meet the aquatic food requirements of a world population projected to reach 9 billion by 2050 (Food and Agriculture Organization of the United Nations [FAO], 2022). This transformation depends on feed security (Hua et al., 2019; Naylor et al., 2021). Fish meal (FM) has long been the dominant protein source in intensive aquaculture because of its excellent amino acid profile, high digestibility, and essential fatty acid content (Gatlin et al., 2007; Tacon &amp; Metian, 2008). However, stagnation in global capture fisheries and increasing demand from the aquaculture and terrestrial livestock sectors have created a major imbalance between supply and demand. This imbalance has led to severe price volatility, with FM prices increasing by about 300% in recent years, thereby threatening the economic viability of aquaculture, particularly in resource-limited countries (Tacon &amp; Metian, 2008). </w:t>
      </w:r>
      <w:r w:rsidRPr="002B194C">
        <w:rPr>
          <w:color w:val="000000" w:themeColor="text1"/>
          <w:shd w:val="clear" w:color="auto" w:fill="FFFFFF"/>
        </w:rPr>
        <w:t>These challenges have encouraged the use of plant-based ingredients as promising substitutes for FM because of their abundance, cost-effectiveness, and environmental sustainability (</w:t>
      </w:r>
      <w:proofErr w:type="spellStart"/>
      <w:r w:rsidRPr="002B194C">
        <w:rPr>
          <w:color w:val="000000" w:themeColor="text1"/>
          <w:shd w:val="clear" w:color="auto" w:fill="FFFFFF"/>
        </w:rPr>
        <w:t>Campanati</w:t>
      </w:r>
      <w:proofErr w:type="spellEnd"/>
      <w:r w:rsidRPr="002B194C">
        <w:rPr>
          <w:color w:val="000000" w:themeColor="text1"/>
          <w:shd w:val="clear" w:color="auto" w:fill="FFFFFF"/>
        </w:rPr>
        <w:t xml:space="preserve"> et al., 2022; Gatlin et al., 2007; Hardy, 2010; Hua et al., 2019). Processing strategies such as fermentation can improve the nutritional value and physiological effects of plant meals used in aquafeeds (Hassaan et al., 2018). Among the available alternatives, </w:t>
      </w:r>
      <w:r w:rsidRPr="002B194C">
        <w:rPr>
          <w:i/>
          <w:color w:val="000000" w:themeColor="text1"/>
          <w:shd w:val="clear" w:color="auto" w:fill="FFFFFF"/>
        </w:rPr>
        <w:t>Moringa oleifera,</w:t>
      </w:r>
      <w:r w:rsidRPr="002B194C">
        <w:rPr>
          <w:color w:val="000000" w:themeColor="text1"/>
          <w:shd w:val="clear" w:color="auto" w:fill="FFFFFF"/>
        </w:rPr>
        <w:t xml:space="preserve"> popularly known as the “Miracle Tree”, has emerged as a potential non-conventional protein source (Abdel-Latif et al., 2022; Richter et al., 2003; Su &amp; Chen, 2020). </w:t>
      </w:r>
      <w:r w:rsidRPr="002B194C">
        <w:rPr>
          <w:i/>
          <w:color w:val="000000" w:themeColor="text1"/>
          <w:shd w:val="clear" w:color="auto" w:fill="FFFFFF"/>
        </w:rPr>
        <w:t>M. oleifera</w:t>
      </w:r>
      <w:r w:rsidRPr="002B194C">
        <w:rPr>
          <w:color w:val="000000" w:themeColor="text1"/>
          <w:shd w:val="clear" w:color="auto" w:fill="FFFFFF"/>
        </w:rPr>
        <w:t xml:space="preserve"> leaves contain approximately 28–32% crude protein; essential amino acids, </w:t>
      </w:r>
      <w:r w:rsidRPr="002B194C">
        <w:rPr>
          <w:color w:val="000000" w:themeColor="text1"/>
        </w:rPr>
        <w:t>including lysine, methionine, threonine, leucine, isoleucine, valine, phenylalanine, and tryptophan;</w:t>
      </w:r>
      <w:r w:rsidRPr="002B194C">
        <w:rPr>
          <w:color w:val="000000" w:themeColor="text1"/>
          <w:shd w:val="clear" w:color="auto" w:fill="FFFFFF"/>
        </w:rPr>
        <w:t xml:space="preserve"> </w:t>
      </w:r>
      <w:r w:rsidRPr="002B194C">
        <w:rPr>
          <w:color w:val="000000" w:themeColor="text1"/>
        </w:rPr>
        <w:t>vitamins A (β-carotene), C, E, and B-complex;</w:t>
      </w:r>
      <w:r w:rsidRPr="002B194C">
        <w:rPr>
          <w:color w:val="000000" w:themeColor="text1"/>
          <w:shd w:val="clear" w:color="auto" w:fill="FFFFFF"/>
        </w:rPr>
        <w:t xml:space="preserve"> and minerals, </w:t>
      </w:r>
      <w:r w:rsidRPr="002B194C">
        <w:rPr>
          <w:color w:val="000000" w:themeColor="text1"/>
        </w:rPr>
        <w:t>including calcium, potassium, iron, magnesium, phosphorus, zinc, and copper</w:t>
      </w:r>
      <w:r w:rsidRPr="002B194C">
        <w:rPr>
          <w:color w:val="000000" w:themeColor="text1"/>
          <w:shd w:val="clear" w:color="auto" w:fill="FFFFFF"/>
        </w:rPr>
        <w:t xml:space="preserve"> (Makkar &amp; Becker, 1997; Teixeira et al., 2014). Moreover, Moringa leaves are rich in bioactive phytochemicals, such as flavonoids, phenolic compounds, and natural antioxidants, which have been shown to improve metabolic efficiency and disease resistance in aquatic species (Chakraborty &amp; Hancz, 2011; Kamble et al., 2024; Nassar et al., 2024). </w:t>
      </w:r>
      <w:r w:rsidRPr="002B194C">
        <w:rPr>
          <w:bCs/>
        </w:rPr>
        <w:t xml:space="preserve">Recent studies have also shown that carefully </w:t>
      </w:r>
      <w:proofErr w:type="spellStart"/>
      <w:r w:rsidRPr="002B194C">
        <w:rPr>
          <w:bCs/>
        </w:rPr>
        <w:t>optimised</w:t>
      </w:r>
      <w:proofErr w:type="spellEnd"/>
      <w:r w:rsidRPr="002B194C">
        <w:rPr>
          <w:bCs/>
        </w:rPr>
        <w:t xml:space="preserve"> fish-meal replacement with non-conventional ingredients can improve feed </w:t>
      </w:r>
      <w:proofErr w:type="spellStart"/>
      <w:r w:rsidRPr="002B194C">
        <w:rPr>
          <w:bCs/>
        </w:rPr>
        <w:t>utilisation</w:t>
      </w:r>
      <w:proofErr w:type="spellEnd"/>
      <w:r w:rsidRPr="002B194C">
        <w:rPr>
          <w:bCs/>
        </w:rPr>
        <w:t xml:space="preserve"> and growth, although responses vary with ingredient type and replacement ratio (</w:t>
      </w:r>
      <w:proofErr w:type="spellStart"/>
      <w:r w:rsidRPr="002B194C">
        <w:rPr>
          <w:bCs/>
        </w:rPr>
        <w:t>Rachmawati</w:t>
      </w:r>
      <w:proofErr w:type="spellEnd"/>
      <w:r w:rsidRPr="002B194C">
        <w:rPr>
          <w:bCs/>
        </w:rPr>
        <w:t xml:space="preserve"> et al., 2025; Tabassum et al., 2025). Dietary </w:t>
      </w:r>
      <w:r w:rsidRPr="002B194C">
        <w:rPr>
          <w:bCs/>
          <w:i/>
        </w:rPr>
        <w:t>M. oleifera</w:t>
      </w:r>
      <w:r w:rsidRPr="002B194C">
        <w:rPr>
          <w:bCs/>
        </w:rPr>
        <w:t xml:space="preserve"> has also been associated with growth, </w:t>
      </w:r>
      <w:proofErr w:type="spellStart"/>
      <w:r w:rsidRPr="002B194C">
        <w:rPr>
          <w:bCs/>
        </w:rPr>
        <w:t>haematological</w:t>
      </w:r>
      <w:proofErr w:type="spellEnd"/>
      <w:r w:rsidRPr="002B194C">
        <w:rPr>
          <w:bCs/>
        </w:rPr>
        <w:t xml:space="preserve">, and immune-related benefits in cultured aquatic species, but recent evidence </w:t>
      </w:r>
      <w:proofErr w:type="spellStart"/>
      <w:r w:rsidRPr="002B194C">
        <w:rPr>
          <w:bCs/>
        </w:rPr>
        <w:t>emphasises</w:t>
      </w:r>
      <w:proofErr w:type="spellEnd"/>
      <w:r w:rsidRPr="002B194C">
        <w:rPr>
          <w:bCs/>
        </w:rPr>
        <w:t xml:space="preserve"> that these responses are inclusion-dependent (Hasani et al., 2025; Panda et al., 2025; Saleh et al., 2025).</w:t>
      </w:r>
    </w:p>
    <w:p w14:paraId="41C1F9EA" w14:textId="77777777" w:rsidR="00845049" w:rsidRPr="002B194C" w:rsidRDefault="00143376" w:rsidP="00E6651D">
      <w:pPr>
        <w:pStyle w:val="NormalWeb"/>
        <w:spacing w:line="276" w:lineRule="auto"/>
        <w:ind w:left="360" w:firstLine="360"/>
        <w:jc w:val="both"/>
        <w:rPr>
          <w:color w:val="000000" w:themeColor="text1"/>
          <w:shd w:val="clear" w:color="auto" w:fill="FFFFFF"/>
        </w:rPr>
      </w:pPr>
      <w:proofErr w:type="spellStart"/>
      <w:r w:rsidRPr="002B194C">
        <w:rPr>
          <w:i/>
        </w:rPr>
        <w:t>Labeo</w:t>
      </w:r>
      <w:proofErr w:type="spellEnd"/>
      <w:r w:rsidRPr="002B194C">
        <w:rPr>
          <w:i/>
        </w:rPr>
        <w:t xml:space="preserve"> </w:t>
      </w:r>
      <w:proofErr w:type="spellStart"/>
      <w:r w:rsidRPr="002B194C">
        <w:rPr>
          <w:i/>
        </w:rPr>
        <w:t>rohita</w:t>
      </w:r>
      <w:proofErr w:type="spellEnd"/>
      <w:r w:rsidRPr="002B194C">
        <w:t xml:space="preserve"> (rohu) is an important Indian major carp species known for its rapid growth, adaptability, and high consumer preference across Asia (Jena, 2009). The nursery phase of </w:t>
      </w:r>
      <w:r w:rsidRPr="002B194C">
        <w:rPr>
          <w:i/>
        </w:rPr>
        <w:t xml:space="preserve">L. </w:t>
      </w:r>
      <w:proofErr w:type="spellStart"/>
      <w:r w:rsidRPr="002B194C">
        <w:rPr>
          <w:i/>
        </w:rPr>
        <w:t>rohita</w:t>
      </w:r>
      <w:proofErr w:type="spellEnd"/>
      <w:r w:rsidRPr="002B194C">
        <w:t xml:space="preserve"> is a critical ontogenetic stage that determines the availability of healthy seed for grow-out culture and is a key determinant of overall system production (Tanuja et al., 2026). At this stage, </w:t>
      </w:r>
      <w:r w:rsidRPr="002B194C">
        <w:rPr>
          <w:i/>
        </w:rPr>
        <w:t xml:space="preserve">L. </w:t>
      </w:r>
      <w:proofErr w:type="spellStart"/>
      <w:r w:rsidRPr="002B194C">
        <w:rPr>
          <w:i/>
        </w:rPr>
        <w:t>rohita</w:t>
      </w:r>
      <w:proofErr w:type="spellEnd"/>
      <w:r w:rsidRPr="002B194C">
        <w:t xml:space="preserve"> larvae shift from a diet of zooplankton to artificial feeds, necessitating higher protein levels to support somatic development (Das et al., 2019; Shafique et al., 2025). </w:t>
      </w:r>
      <w:r w:rsidRPr="002B194C">
        <w:lastRenderedPageBreak/>
        <w:t xml:space="preserve">Although various plant ingredients have been assessed for carp, data concerning the optimal inclusion level of Moringa leaf meal during the nursery transition of </w:t>
      </w:r>
      <w:r w:rsidRPr="002B194C">
        <w:rPr>
          <w:i/>
        </w:rPr>
        <w:t xml:space="preserve">L. </w:t>
      </w:r>
      <w:proofErr w:type="spellStart"/>
      <w:r w:rsidRPr="002B194C">
        <w:rPr>
          <w:i/>
        </w:rPr>
        <w:t>rohita</w:t>
      </w:r>
      <w:proofErr w:type="spellEnd"/>
      <w:r w:rsidRPr="002B194C">
        <w:t xml:space="preserve"> remain scarce (Adeshina et al., 2018; Mehdi et al., 2016).</w:t>
      </w:r>
    </w:p>
    <w:p w14:paraId="499D4D90" w14:textId="77777777" w:rsidR="00DE020B" w:rsidRPr="002B194C" w:rsidRDefault="00845049" w:rsidP="00845049">
      <w:pPr>
        <w:pStyle w:val="NormalWeb"/>
        <w:spacing w:line="276" w:lineRule="auto"/>
        <w:ind w:left="360" w:firstLine="360"/>
        <w:jc w:val="both"/>
      </w:pPr>
      <w:proofErr w:type="spellStart"/>
      <w:r w:rsidRPr="002B194C">
        <w:t>Haematological</w:t>
      </w:r>
      <w:proofErr w:type="spellEnd"/>
      <w:r w:rsidRPr="002B194C">
        <w:t xml:space="preserve"> parameters provide a reliable, non-lethal diagnostic approach for evaluating the nutritional status and physiological responses of fish to dietary changes (Fazio, 2019; </w:t>
      </w:r>
      <w:proofErr w:type="spellStart"/>
      <w:r w:rsidRPr="002B194C">
        <w:t>Witeska</w:t>
      </w:r>
      <w:proofErr w:type="spellEnd"/>
      <w:r w:rsidRPr="002B194C">
        <w:t xml:space="preserve"> et al., 2022). The oxygen-transport capacity, metabolic </w:t>
      </w:r>
      <w:proofErr w:type="spellStart"/>
      <w:r w:rsidRPr="002B194C">
        <w:t>vigour</w:t>
      </w:r>
      <w:proofErr w:type="spellEnd"/>
      <w:r w:rsidRPr="002B194C">
        <w:t xml:space="preserve">, and immunological competence of fish are reflected in key </w:t>
      </w:r>
      <w:proofErr w:type="spellStart"/>
      <w:r w:rsidRPr="002B194C">
        <w:t>markers</w:t>
      </w:r>
      <w:proofErr w:type="spellEnd"/>
      <w:r w:rsidRPr="002B194C">
        <w:t xml:space="preserve"> such as </w:t>
      </w:r>
      <w:proofErr w:type="spellStart"/>
      <w:r w:rsidRPr="002B194C">
        <w:t>haemoglobin</w:t>
      </w:r>
      <w:proofErr w:type="spellEnd"/>
      <w:r w:rsidRPr="002B194C">
        <w:t xml:space="preserve"> (Hb), red blood cell (RBC) count, and white blood cell (WBC) count (</w:t>
      </w:r>
      <w:proofErr w:type="spellStart"/>
      <w:r w:rsidRPr="002B194C">
        <w:t>Hemprabha</w:t>
      </w:r>
      <w:proofErr w:type="spellEnd"/>
      <w:r w:rsidRPr="002B194C">
        <w:t xml:space="preserve"> &amp; Arya, 2025; </w:t>
      </w:r>
      <w:proofErr w:type="spellStart"/>
      <w:r w:rsidRPr="002B194C">
        <w:t>Witeska</w:t>
      </w:r>
      <w:proofErr w:type="spellEnd"/>
      <w:r w:rsidRPr="002B194C">
        <w:t xml:space="preserve"> et al., 2023).</w:t>
      </w:r>
    </w:p>
    <w:p w14:paraId="32B5790F" w14:textId="77777777" w:rsidR="00D85DD2" w:rsidRPr="002B194C" w:rsidRDefault="00DE020B" w:rsidP="00845049">
      <w:pPr>
        <w:pStyle w:val="NormalWeb"/>
        <w:spacing w:line="276" w:lineRule="auto"/>
        <w:ind w:left="360" w:firstLine="360"/>
        <w:jc w:val="both"/>
        <w:rPr>
          <w:rFonts w:asciiTheme="minorHAnsi" w:eastAsiaTheme="minorHAnsi" w:hAnsiTheme="minorHAnsi" w:cstheme="minorBidi"/>
          <w:kern w:val="2"/>
          <w:sz w:val="22"/>
          <w:szCs w:val="20"/>
        </w:rPr>
      </w:pPr>
      <w:r w:rsidRPr="002B194C">
        <w:t xml:space="preserve">Knowledge of the optimal dietary inclusion level of MOLM as a partial fish meal substitute during the nursery phase of </w:t>
      </w:r>
      <w:r w:rsidRPr="002B194C">
        <w:rPr>
          <w:i/>
        </w:rPr>
        <w:t xml:space="preserve">L. </w:t>
      </w:r>
      <w:proofErr w:type="spellStart"/>
      <w:r w:rsidRPr="002B194C">
        <w:rPr>
          <w:i/>
        </w:rPr>
        <w:t>rohita</w:t>
      </w:r>
      <w:proofErr w:type="spellEnd"/>
      <w:r w:rsidRPr="002B194C">
        <w:t xml:space="preserve"> remains limited. Moreover, most available studies have focused primarily on growth performance, whereas comprehensive assessments integrating growth, nutrient retention, and </w:t>
      </w:r>
      <w:proofErr w:type="spellStart"/>
      <w:r w:rsidRPr="002B194C">
        <w:t>haematological</w:t>
      </w:r>
      <w:proofErr w:type="spellEnd"/>
      <w:r w:rsidRPr="002B194C">
        <w:t xml:space="preserve"> responses remain scarce. Because the nursery stage is </w:t>
      </w:r>
      <w:proofErr w:type="spellStart"/>
      <w:r w:rsidRPr="002B194C">
        <w:t>characterised</w:t>
      </w:r>
      <w:proofErr w:type="spellEnd"/>
      <w:r w:rsidRPr="002B194C">
        <w:t xml:space="preserve"> by rapid tissue growth and high nutritional demands, establishing a scientifically validated inclusion level of MOLM is necessary to support the sustainable and economically viable culture of rohu spawn. Therefore, this study aimed to assess the effects of varying levels of MOLM as a partial replacement for fish meal on the growth performance, nutrient retention, and </w:t>
      </w:r>
      <w:proofErr w:type="spellStart"/>
      <w:r w:rsidRPr="002B194C">
        <w:t>haematological</w:t>
      </w:r>
      <w:proofErr w:type="spellEnd"/>
      <w:r w:rsidRPr="002B194C">
        <w:t xml:space="preserve"> health of </w:t>
      </w:r>
      <w:r w:rsidRPr="002B194C">
        <w:rPr>
          <w:i/>
        </w:rPr>
        <w:t xml:space="preserve">L. </w:t>
      </w:r>
      <w:proofErr w:type="spellStart"/>
      <w:r w:rsidRPr="002B194C">
        <w:rPr>
          <w:i/>
        </w:rPr>
        <w:t>rohita</w:t>
      </w:r>
      <w:proofErr w:type="spellEnd"/>
      <w:r w:rsidRPr="002B194C">
        <w:t xml:space="preserve"> spawn.</w:t>
      </w:r>
    </w:p>
    <w:p w14:paraId="76F215EE" w14:textId="77777777" w:rsidR="00031425" w:rsidRPr="002B194C" w:rsidRDefault="00031425" w:rsidP="009F6768">
      <w:pPr>
        <w:spacing w:after="0"/>
        <w:jc w:val="both"/>
        <w:rPr>
          <w:rFonts w:ascii="Times New Roman" w:hAnsi="Times New Roman" w:cs="Times New Roman"/>
          <w:b/>
          <w:bCs/>
          <w:sz w:val="24"/>
          <w:szCs w:val="24"/>
        </w:rPr>
      </w:pPr>
      <w:r w:rsidRPr="002B194C">
        <w:rPr>
          <w:rFonts w:ascii="Times New Roman" w:hAnsi="Times New Roman" w:cs="Times New Roman"/>
          <w:b/>
          <w:bCs/>
          <w:sz w:val="24"/>
          <w:szCs w:val="24"/>
        </w:rPr>
        <w:t>2. Materials and Methods</w:t>
      </w:r>
    </w:p>
    <w:p w14:paraId="4040315D" w14:textId="77777777" w:rsidR="00031425" w:rsidRPr="002B194C" w:rsidRDefault="00031425" w:rsidP="00031425">
      <w:pPr>
        <w:spacing w:after="0"/>
        <w:jc w:val="both"/>
        <w:rPr>
          <w:rFonts w:ascii="Times New Roman" w:hAnsi="Times New Roman" w:cs="Times New Roman"/>
          <w:b/>
          <w:bCs/>
          <w:sz w:val="24"/>
          <w:szCs w:val="24"/>
        </w:rPr>
      </w:pPr>
      <w:r w:rsidRPr="002B194C">
        <w:rPr>
          <w:rFonts w:ascii="Times New Roman" w:hAnsi="Times New Roman" w:cs="Times New Roman"/>
          <w:b/>
          <w:bCs/>
          <w:sz w:val="24"/>
          <w:szCs w:val="24"/>
        </w:rPr>
        <w:t xml:space="preserve">2.1 Experimental site </w:t>
      </w:r>
    </w:p>
    <w:p w14:paraId="79B297D2" w14:textId="77777777" w:rsidR="00845049" w:rsidRPr="002B194C" w:rsidRDefault="00845049" w:rsidP="00B571E2">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 xml:space="preserve">The feeding trial was conducted in the wet laboratory of the Department of Aquaculture, College of Fisheries, Acharya Narendra Deva University of Agriculture and Technology (ANDUA&amp;T), </w:t>
      </w:r>
      <w:proofErr w:type="spellStart"/>
      <w:r w:rsidRPr="002B194C">
        <w:rPr>
          <w:rFonts w:ascii="Times New Roman" w:hAnsi="Times New Roman" w:cs="Times New Roman"/>
          <w:sz w:val="24"/>
          <w:szCs w:val="24"/>
        </w:rPr>
        <w:t>Kumarganj</w:t>
      </w:r>
      <w:proofErr w:type="spellEnd"/>
      <w:r w:rsidRPr="002B194C">
        <w:rPr>
          <w:rFonts w:ascii="Times New Roman" w:hAnsi="Times New Roman" w:cs="Times New Roman"/>
          <w:sz w:val="24"/>
          <w:szCs w:val="24"/>
        </w:rPr>
        <w:t xml:space="preserve">, Ayodhya, India. The laboratory environment was strictly controlled for 20 days to </w:t>
      </w:r>
      <w:proofErr w:type="spellStart"/>
      <w:r w:rsidRPr="002B194C">
        <w:rPr>
          <w:rFonts w:ascii="Times New Roman" w:hAnsi="Times New Roman" w:cs="Times New Roman"/>
          <w:sz w:val="24"/>
          <w:szCs w:val="24"/>
        </w:rPr>
        <w:t>minimise</w:t>
      </w:r>
      <w:proofErr w:type="spellEnd"/>
      <w:r w:rsidRPr="002B194C">
        <w:rPr>
          <w:rFonts w:ascii="Times New Roman" w:hAnsi="Times New Roman" w:cs="Times New Roman"/>
          <w:sz w:val="24"/>
          <w:szCs w:val="24"/>
        </w:rPr>
        <w:t xml:space="preserve"> external stress factors. All animal-handling and experimental procedures were conducted in accordance with established ethical guidelines for the care and use of laboratory animals in research.</w:t>
      </w:r>
    </w:p>
    <w:p w14:paraId="537747BA" w14:textId="77777777" w:rsidR="00031425" w:rsidRPr="002B194C" w:rsidRDefault="00031425" w:rsidP="00031425">
      <w:pPr>
        <w:spacing w:after="0"/>
        <w:jc w:val="both"/>
        <w:rPr>
          <w:rFonts w:ascii="Times New Roman" w:hAnsi="Times New Roman" w:cs="Times New Roman"/>
          <w:b/>
          <w:bCs/>
          <w:sz w:val="24"/>
          <w:szCs w:val="24"/>
        </w:rPr>
      </w:pPr>
      <w:r w:rsidRPr="002B194C">
        <w:rPr>
          <w:rFonts w:ascii="Times New Roman" w:hAnsi="Times New Roman" w:cs="Times New Roman"/>
          <w:b/>
          <w:bCs/>
          <w:sz w:val="24"/>
          <w:szCs w:val="24"/>
        </w:rPr>
        <w:t>2.2 Experimental fish and acclimatization</w:t>
      </w:r>
    </w:p>
    <w:p w14:paraId="22078EE7" w14:textId="77777777" w:rsidR="00D32BEC" w:rsidRPr="002B194C" w:rsidRDefault="00D32BEC" w:rsidP="00920E75">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 xml:space="preserve">Three-day-old hatchlings (i.e. spawn) of </w:t>
      </w:r>
      <w:r w:rsidRPr="002B194C">
        <w:rPr>
          <w:rFonts w:ascii="Times New Roman" w:hAnsi="Times New Roman" w:cs="Times New Roman"/>
          <w:i/>
          <w:sz w:val="24"/>
          <w:szCs w:val="24"/>
        </w:rPr>
        <w:t xml:space="preserve">L. </w:t>
      </w:r>
      <w:proofErr w:type="spellStart"/>
      <w:r w:rsidRPr="002B194C">
        <w:rPr>
          <w:rFonts w:ascii="Times New Roman" w:hAnsi="Times New Roman" w:cs="Times New Roman"/>
          <w:i/>
          <w:sz w:val="24"/>
          <w:szCs w:val="24"/>
        </w:rPr>
        <w:t>rohita</w:t>
      </w:r>
      <w:proofErr w:type="spellEnd"/>
      <w:r w:rsidRPr="002B194C">
        <w:rPr>
          <w:rFonts w:ascii="Times New Roman" w:hAnsi="Times New Roman" w:cs="Times New Roman"/>
          <w:i/>
          <w:sz w:val="24"/>
          <w:szCs w:val="24"/>
        </w:rPr>
        <w:t xml:space="preserve"> </w:t>
      </w:r>
      <w:r w:rsidRPr="002B194C">
        <w:rPr>
          <w:rFonts w:ascii="Times New Roman" w:hAnsi="Times New Roman" w:cs="Times New Roman"/>
          <w:sz w:val="24"/>
          <w:szCs w:val="24"/>
        </w:rPr>
        <w:t xml:space="preserve">were procured from Tamsa Fish Seed Hatchery, </w:t>
      </w:r>
      <w:proofErr w:type="spellStart"/>
      <w:r w:rsidRPr="002B194C">
        <w:rPr>
          <w:rFonts w:ascii="Times New Roman" w:hAnsi="Times New Roman" w:cs="Times New Roman"/>
          <w:sz w:val="24"/>
          <w:szCs w:val="24"/>
        </w:rPr>
        <w:t>Bikapur</w:t>
      </w:r>
      <w:proofErr w:type="spellEnd"/>
      <w:r w:rsidRPr="002B194C">
        <w:rPr>
          <w:rFonts w:ascii="Times New Roman" w:hAnsi="Times New Roman" w:cs="Times New Roman"/>
          <w:sz w:val="24"/>
          <w:szCs w:val="24"/>
        </w:rPr>
        <w:t xml:space="preserve">, Ayodhya. The spawn were </w:t>
      </w:r>
      <w:proofErr w:type="spellStart"/>
      <w:r w:rsidRPr="002B194C">
        <w:rPr>
          <w:rFonts w:ascii="Times New Roman" w:hAnsi="Times New Roman" w:cs="Times New Roman"/>
          <w:sz w:val="24"/>
          <w:szCs w:val="24"/>
        </w:rPr>
        <w:t>acclimatised</w:t>
      </w:r>
      <w:proofErr w:type="spellEnd"/>
      <w:r w:rsidRPr="002B194C">
        <w:rPr>
          <w:rFonts w:ascii="Times New Roman" w:hAnsi="Times New Roman" w:cs="Times New Roman"/>
          <w:sz w:val="24"/>
          <w:szCs w:val="24"/>
        </w:rPr>
        <w:t xml:space="preserve"> to the laboratory environment in an aerated aquarium.</w:t>
      </w:r>
    </w:p>
    <w:p w14:paraId="1701EFB7" w14:textId="77777777" w:rsidR="00031425" w:rsidRPr="002B194C" w:rsidRDefault="00031425" w:rsidP="00031425">
      <w:pPr>
        <w:spacing w:after="0"/>
        <w:jc w:val="both"/>
        <w:rPr>
          <w:rFonts w:ascii="Times New Roman" w:hAnsi="Times New Roman" w:cs="Times New Roman"/>
          <w:b/>
          <w:bCs/>
          <w:sz w:val="24"/>
          <w:szCs w:val="24"/>
        </w:rPr>
      </w:pPr>
      <w:r w:rsidRPr="002B194C">
        <w:rPr>
          <w:rFonts w:ascii="Times New Roman" w:hAnsi="Times New Roman" w:cs="Times New Roman"/>
          <w:b/>
          <w:bCs/>
          <w:sz w:val="24"/>
          <w:szCs w:val="24"/>
        </w:rPr>
        <w:t xml:space="preserve">2.3 Preparation of </w:t>
      </w:r>
      <w:r w:rsidRPr="002B194C">
        <w:rPr>
          <w:rFonts w:ascii="Times New Roman" w:hAnsi="Times New Roman" w:cs="Times New Roman"/>
          <w:b/>
          <w:bCs/>
          <w:i/>
          <w:sz w:val="24"/>
          <w:szCs w:val="24"/>
        </w:rPr>
        <w:t>Moringa oleifera</w:t>
      </w:r>
      <w:r w:rsidRPr="002B194C">
        <w:rPr>
          <w:rFonts w:ascii="Times New Roman" w:hAnsi="Times New Roman" w:cs="Times New Roman"/>
          <w:b/>
          <w:bCs/>
          <w:sz w:val="24"/>
          <w:szCs w:val="24"/>
        </w:rPr>
        <w:t xml:space="preserve"> leaf meal (MOLM)</w:t>
      </w:r>
    </w:p>
    <w:p w14:paraId="4055F102" w14:textId="77777777" w:rsidR="00D32BEC" w:rsidRPr="002B194C" w:rsidRDefault="00D32BEC" w:rsidP="00920E75">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 xml:space="preserve">Fresh leaves of </w:t>
      </w:r>
      <w:r w:rsidRPr="002B194C">
        <w:rPr>
          <w:rFonts w:ascii="Times New Roman" w:hAnsi="Times New Roman" w:cs="Times New Roman"/>
          <w:i/>
          <w:sz w:val="24"/>
          <w:szCs w:val="24"/>
        </w:rPr>
        <w:t>M. oleifera</w:t>
      </w:r>
      <w:r w:rsidRPr="002B194C">
        <w:rPr>
          <w:rFonts w:ascii="Times New Roman" w:hAnsi="Times New Roman" w:cs="Times New Roman"/>
          <w:sz w:val="24"/>
          <w:szCs w:val="24"/>
        </w:rPr>
        <w:t xml:space="preserve"> were obtained from farms on the ANDUA&amp;T campus. The leaves were rinsed with clean water to remove dust and contaminants, shade-dried at ambient temperature, and then dried in a hot-air oven at 60 ± 5°C until brittle to preserve the integrity of heat-sensitive bioactive compounds (Makkar &amp; Becker, 1997; Teixeira et al., 2014). The dried leaves were </w:t>
      </w:r>
      <w:proofErr w:type="spellStart"/>
      <w:r w:rsidRPr="002B194C">
        <w:rPr>
          <w:rFonts w:ascii="Times New Roman" w:hAnsi="Times New Roman" w:cs="Times New Roman"/>
          <w:sz w:val="24"/>
          <w:szCs w:val="24"/>
        </w:rPr>
        <w:t>pulverised</w:t>
      </w:r>
      <w:proofErr w:type="spellEnd"/>
      <w:r w:rsidRPr="002B194C">
        <w:rPr>
          <w:rFonts w:ascii="Times New Roman" w:hAnsi="Times New Roman" w:cs="Times New Roman"/>
          <w:sz w:val="24"/>
          <w:szCs w:val="24"/>
        </w:rPr>
        <w:t xml:space="preserve"> in a high-speed mechanical grinder and passed through a 150-μm filter to obtain a homogeneous meal powder.</w:t>
      </w:r>
    </w:p>
    <w:p w14:paraId="3C0BB60A" w14:textId="77777777" w:rsidR="00031425" w:rsidRPr="002B194C" w:rsidRDefault="00031425" w:rsidP="00031425">
      <w:pPr>
        <w:spacing w:after="0"/>
        <w:jc w:val="both"/>
        <w:rPr>
          <w:rFonts w:ascii="Times New Roman" w:hAnsi="Times New Roman" w:cs="Times New Roman"/>
          <w:b/>
          <w:bCs/>
          <w:sz w:val="24"/>
          <w:szCs w:val="24"/>
        </w:rPr>
      </w:pPr>
      <w:r w:rsidRPr="002B194C">
        <w:rPr>
          <w:rFonts w:ascii="Times New Roman" w:hAnsi="Times New Roman" w:cs="Times New Roman"/>
          <w:b/>
          <w:bCs/>
          <w:sz w:val="24"/>
          <w:szCs w:val="24"/>
        </w:rPr>
        <w:t xml:space="preserve">2.4 Diet formulation </w:t>
      </w:r>
      <w:r w:rsidR="00B80DDA" w:rsidRPr="002B194C">
        <w:rPr>
          <w:rFonts w:ascii="Times New Roman" w:hAnsi="Times New Roman" w:cs="Times New Roman"/>
          <w:b/>
          <w:bCs/>
          <w:sz w:val="24"/>
          <w:szCs w:val="24"/>
        </w:rPr>
        <w:t xml:space="preserve">for </w:t>
      </w:r>
      <w:r w:rsidR="00B80DDA" w:rsidRPr="002B194C">
        <w:rPr>
          <w:rFonts w:ascii="Times New Roman" w:hAnsi="Times New Roman" w:cs="Times New Roman"/>
          <w:b/>
          <w:bCs/>
          <w:i/>
          <w:sz w:val="24"/>
          <w:szCs w:val="24"/>
        </w:rPr>
        <w:t xml:space="preserve">L. </w:t>
      </w:r>
      <w:proofErr w:type="spellStart"/>
      <w:r w:rsidR="00B80DDA" w:rsidRPr="002B194C">
        <w:rPr>
          <w:rFonts w:ascii="Times New Roman" w:hAnsi="Times New Roman" w:cs="Times New Roman"/>
          <w:b/>
          <w:bCs/>
          <w:i/>
          <w:sz w:val="24"/>
          <w:szCs w:val="24"/>
        </w:rPr>
        <w:t>rohita</w:t>
      </w:r>
      <w:proofErr w:type="spellEnd"/>
      <w:r w:rsidR="00B80DDA" w:rsidRPr="002B194C">
        <w:rPr>
          <w:rFonts w:ascii="Times New Roman" w:hAnsi="Times New Roman" w:cs="Times New Roman"/>
          <w:b/>
          <w:bCs/>
          <w:sz w:val="24"/>
          <w:szCs w:val="24"/>
        </w:rPr>
        <w:t xml:space="preserve"> spawn</w:t>
      </w:r>
    </w:p>
    <w:p w14:paraId="28536F15" w14:textId="77777777" w:rsidR="00D32BEC" w:rsidRPr="002B194C" w:rsidRDefault="00D32BEC" w:rsidP="00920E75">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lastRenderedPageBreak/>
        <w:t xml:space="preserve">Five experimental diets were formulated to contain approximately 35% crude protein, which has been reported as the optimal requirement for </w:t>
      </w:r>
      <w:r w:rsidRPr="002B194C">
        <w:rPr>
          <w:rFonts w:ascii="Times New Roman" w:hAnsi="Times New Roman" w:cs="Times New Roman"/>
          <w:i/>
          <w:sz w:val="24"/>
          <w:szCs w:val="24"/>
        </w:rPr>
        <w:t xml:space="preserve">L. </w:t>
      </w:r>
      <w:proofErr w:type="spellStart"/>
      <w:r w:rsidRPr="002B194C">
        <w:rPr>
          <w:rFonts w:ascii="Times New Roman" w:hAnsi="Times New Roman" w:cs="Times New Roman"/>
          <w:i/>
          <w:sz w:val="24"/>
          <w:szCs w:val="24"/>
        </w:rPr>
        <w:t>rohita</w:t>
      </w:r>
      <w:proofErr w:type="spellEnd"/>
      <w:r w:rsidRPr="002B194C">
        <w:rPr>
          <w:rFonts w:ascii="Times New Roman" w:hAnsi="Times New Roman" w:cs="Times New Roman"/>
          <w:sz w:val="24"/>
          <w:szCs w:val="24"/>
        </w:rPr>
        <w:t xml:space="preserve"> during the nursery stage (Shafique et al., 2025). MOLM was included at 0% (Control), 5% (T1), 10% (T2), 15% (T3), and 20% (T4) as a partial replacement for fish meal. The proportions of mustard oil cake, soya cake, and rice bran were adjusted to maintain an isonitrogenous balance. The ingredients were mixed with soybean oil and a vitamin and mineral premix, pelleted, and dried at 40°C. Table 1 presents the ingredient composition.</w:t>
      </w:r>
    </w:p>
    <w:p w14:paraId="23D93D1E" w14:textId="77777777" w:rsidR="00F303BF" w:rsidRPr="002B194C" w:rsidRDefault="00F303BF" w:rsidP="00F303BF">
      <w:pPr>
        <w:spacing w:after="0"/>
        <w:jc w:val="both"/>
        <w:rPr>
          <w:rFonts w:ascii="Times New Roman" w:hAnsi="Times New Roman" w:cs="Times New Roman"/>
          <w:b/>
          <w:bCs/>
          <w:sz w:val="24"/>
          <w:szCs w:val="24"/>
        </w:rPr>
      </w:pPr>
      <w:r w:rsidRPr="002B194C">
        <w:rPr>
          <w:rFonts w:ascii="Times New Roman" w:hAnsi="Times New Roman" w:cs="Times New Roman"/>
          <w:b/>
          <w:bCs/>
          <w:sz w:val="24"/>
          <w:szCs w:val="24"/>
        </w:rPr>
        <w:t xml:space="preserve">Table 1. </w:t>
      </w:r>
      <w:r w:rsidR="0074083B" w:rsidRPr="002B194C">
        <w:rPr>
          <w:rFonts w:ascii="Times New Roman" w:hAnsi="Times New Roman" w:cs="Times New Roman"/>
          <w:b/>
          <w:bCs/>
          <w:sz w:val="24"/>
          <w:szCs w:val="24"/>
        </w:rPr>
        <w:t xml:space="preserve">Details of </w:t>
      </w:r>
      <w:r w:rsidR="003A32F1" w:rsidRPr="002B194C">
        <w:rPr>
          <w:rFonts w:ascii="Times New Roman" w:hAnsi="Times New Roman" w:cs="Times New Roman"/>
          <w:b/>
          <w:bCs/>
          <w:sz w:val="24"/>
          <w:szCs w:val="24"/>
        </w:rPr>
        <w:t>Ingredients composition (%) of test diets.</w:t>
      </w:r>
    </w:p>
    <w:tbl>
      <w:tblPr>
        <w:tblStyle w:val="TableGridLight1"/>
        <w:tblW w:w="0" w:type="auto"/>
        <w:tblLook w:val="04A0" w:firstRow="1" w:lastRow="0" w:firstColumn="1" w:lastColumn="0" w:noHBand="0" w:noVBand="1"/>
      </w:tblPr>
      <w:tblGrid>
        <w:gridCol w:w="2329"/>
        <w:gridCol w:w="1592"/>
        <w:gridCol w:w="1076"/>
        <w:gridCol w:w="1196"/>
        <w:gridCol w:w="1196"/>
        <w:gridCol w:w="1196"/>
      </w:tblGrid>
      <w:tr w:rsidR="00F303BF" w:rsidRPr="002B194C" w14:paraId="3EC3762A" w14:textId="77777777" w:rsidTr="00FF07FE">
        <w:tc>
          <w:tcPr>
            <w:tcW w:w="0" w:type="auto"/>
            <w:hideMark/>
          </w:tcPr>
          <w:p w14:paraId="600A5C1F"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b/>
                <w:bCs/>
                <w:sz w:val="24"/>
                <w:szCs w:val="24"/>
              </w:rPr>
              <w:t>Ingredient</w:t>
            </w:r>
          </w:p>
        </w:tc>
        <w:tc>
          <w:tcPr>
            <w:tcW w:w="0" w:type="auto"/>
            <w:hideMark/>
          </w:tcPr>
          <w:p w14:paraId="087D0242"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b/>
                <w:bCs/>
                <w:sz w:val="24"/>
                <w:szCs w:val="24"/>
              </w:rPr>
              <w:t>Control (0%)</w:t>
            </w:r>
          </w:p>
        </w:tc>
        <w:tc>
          <w:tcPr>
            <w:tcW w:w="0" w:type="auto"/>
            <w:hideMark/>
          </w:tcPr>
          <w:p w14:paraId="3ECC4E28"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b/>
                <w:bCs/>
                <w:sz w:val="24"/>
                <w:szCs w:val="24"/>
              </w:rPr>
              <w:t>T1 (5%)</w:t>
            </w:r>
          </w:p>
        </w:tc>
        <w:tc>
          <w:tcPr>
            <w:tcW w:w="0" w:type="auto"/>
            <w:hideMark/>
          </w:tcPr>
          <w:p w14:paraId="3EDF2681"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b/>
                <w:bCs/>
                <w:sz w:val="24"/>
                <w:szCs w:val="24"/>
              </w:rPr>
              <w:t>T2 (10%)</w:t>
            </w:r>
          </w:p>
        </w:tc>
        <w:tc>
          <w:tcPr>
            <w:tcW w:w="0" w:type="auto"/>
            <w:hideMark/>
          </w:tcPr>
          <w:p w14:paraId="11D4F1C4"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b/>
                <w:bCs/>
                <w:sz w:val="24"/>
                <w:szCs w:val="24"/>
              </w:rPr>
              <w:t>T3 (15%)</w:t>
            </w:r>
          </w:p>
        </w:tc>
        <w:tc>
          <w:tcPr>
            <w:tcW w:w="0" w:type="auto"/>
            <w:hideMark/>
          </w:tcPr>
          <w:p w14:paraId="314BA9F2"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b/>
                <w:bCs/>
                <w:sz w:val="24"/>
                <w:szCs w:val="24"/>
              </w:rPr>
              <w:t>T4 (20%)</w:t>
            </w:r>
          </w:p>
        </w:tc>
      </w:tr>
      <w:tr w:rsidR="00F303BF" w:rsidRPr="002B194C" w14:paraId="632DB265" w14:textId="77777777" w:rsidTr="00FF07FE">
        <w:tc>
          <w:tcPr>
            <w:tcW w:w="0" w:type="auto"/>
            <w:hideMark/>
          </w:tcPr>
          <w:p w14:paraId="6B990D82"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Fish meal</w:t>
            </w:r>
          </w:p>
        </w:tc>
        <w:tc>
          <w:tcPr>
            <w:tcW w:w="0" w:type="auto"/>
            <w:hideMark/>
          </w:tcPr>
          <w:p w14:paraId="69A835C6"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20</w:t>
            </w:r>
          </w:p>
        </w:tc>
        <w:tc>
          <w:tcPr>
            <w:tcW w:w="0" w:type="auto"/>
            <w:hideMark/>
          </w:tcPr>
          <w:p w14:paraId="7523EF60"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19</w:t>
            </w:r>
          </w:p>
        </w:tc>
        <w:tc>
          <w:tcPr>
            <w:tcW w:w="0" w:type="auto"/>
            <w:hideMark/>
          </w:tcPr>
          <w:p w14:paraId="7EA33F24"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18</w:t>
            </w:r>
          </w:p>
        </w:tc>
        <w:tc>
          <w:tcPr>
            <w:tcW w:w="0" w:type="auto"/>
            <w:hideMark/>
          </w:tcPr>
          <w:p w14:paraId="57BA3F4A"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17</w:t>
            </w:r>
          </w:p>
        </w:tc>
        <w:tc>
          <w:tcPr>
            <w:tcW w:w="0" w:type="auto"/>
            <w:hideMark/>
          </w:tcPr>
          <w:p w14:paraId="1F1AD36D"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16</w:t>
            </w:r>
          </w:p>
        </w:tc>
      </w:tr>
      <w:tr w:rsidR="00F303BF" w:rsidRPr="002B194C" w14:paraId="416B6C95" w14:textId="77777777" w:rsidTr="00FF07FE">
        <w:tc>
          <w:tcPr>
            <w:tcW w:w="0" w:type="auto"/>
            <w:hideMark/>
          </w:tcPr>
          <w:p w14:paraId="6B21B690"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MOLM</w:t>
            </w:r>
            <w:r w:rsidR="003A32F1" w:rsidRPr="002B194C">
              <w:rPr>
                <w:rFonts w:ascii="Times New Roman" w:hAnsi="Times New Roman" w:cs="Times New Roman"/>
                <w:sz w:val="24"/>
                <w:szCs w:val="24"/>
                <w:vertAlign w:val="superscript"/>
              </w:rPr>
              <w:t>1</w:t>
            </w:r>
          </w:p>
        </w:tc>
        <w:tc>
          <w:tcPr>
            <w:tcW w:w="0" w:type="auto"/>
            <w:hideMark/>
          </w:tcPr>
          <w:p w14:paraId="0765A568"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0</w:t>
            </w:r>
          </w:p>
        </w:tc>
        <w:tc>
          <w:tcPr>
            <w:tcW w:w="0" w:type="auto"/>
            <w:hideMark/>
          </w:tcPr>
          <w:p w14:paraId="61873A41"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5</w:t>
            </w:r>
          </w:p>
        </w:tc>
        <w:tc>
          <w:tcPr>
            <w:tcW w:w="0" w:type="auto"/>
            <w:hideMark/>
          </w:tcPr>
          <w:p w14:paraId="1BD2C7A7"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10</w:t>
            </w:r>
          </w:p>
        </w:tc>
        <w:tc>
          <w:tcPr>
            <w:tcW w:w="0" w:type="auto"/>
            <w:hideMark/>
          </w:tcPr>
          <w:p w14:paraId="004204B3"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15</w:t>
            </w:r>
          </w:p>
        </w:tc>
        <w:tc>
          <w:tcPr>
            <w:tcW w:w="0" w:type="auto"/>
            <w:hideMark/>
          </w:tcPr>
          <w:p w14:paraId="7FBAEEE3"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20</w:t>
            </w:r>
          </w:p>
        </w:tc>
      </w:tr>
      <w:tr w:rsidR="00F303BF" w:rsidRPr="002B194C" w14:paraId="37D09CCB" w14:textId="77777777" w:rsidTr="00FF07FE">
        <w:tc>
          <w:tcPr>
            <w:tcW w:w="0" w:type="auto"/>
            <w:hideMark/>
          </w:tcPr>
          <w:p w14:paraId="51316A91"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Mustard oil cake</w:t>
            </w:r>
          </w:p>
        </w:tc>
        <w:tc>
          <w:tcPr>
            <w:tcW w:w="0" w:type="auto"/>
            <w:hideMark/>
          </w:tcPr>
          <w:p w14:paraId="6FD21FBA"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29</w:t>
            </w:r>
          </w:p>
        </w:tc>
        <w:tc>
          <w:tcPr>
            <w:tcW w:w="0" w:type="auto"/>
            <w:hideMark/>
          </w:tcPr>
          <w:p w14:paraId="6B1827B7"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28</w:t>
            </w:r>
          </w:p>
        </w:tc>
        <w:tc>
          <w:tcPr>
            <w:tcW w:w="0" w:type="auto"/>
            <w:hideMark/>
          </w:tcPr>
          <w:p w14:paraId="18B88F25"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26</w:t>
            </w:r>
          </w:p>
        </w:tc>
        <w:tc>
          <w:tcPr>
            <w:tcW w:w="0" w:type="auto"/>
            <w:hideMark/>
          </w:tcPr>
          <w:p w14:paraId="7B583510"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24</w:t>
            </w:r>
          </w:p>
        </w:tc>
        <w:tc>
          <w:tcPr>
            <w:tcW w:w="0" w:type="auto"/>
            <w:hideMark/>
          </w:tcPr>
          <w:p w14:paraId="01F8909E"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23</w:t>
            </w:r>
          </w:p>
        </w:tc>
      </w:tr>
      <w:tr w:rsidR="00F303BF" w:rsidRPr="002B194C" w14:paraId="62DD1BA9" w14:textId="77777777" w:rsidTr="00FF07FE">
        <w:tc>
          <w:tcPr>
            <w:tcW w:w="0" w:type="auto"/>
            <w:hideMark/>
          </w:tcPr>
          <w:p w14:paraId="591BF5B5"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Rice bran</w:t>
            </w:r>
          </w:p>
        </w:tc>
        <w:tc>
          <w:tcPr>
            <w:tcW w:w="0" w:type="auto"/>
            <w:hideMark/>
          </w:tcPr>
          <w:p w14:paraId="20AE090E"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23</w:t>
            </w:r>
          </w:p>
        </w:tc>
        <w:tc>
          <w:tcPr>
            <w:tcW w:w="0" w:type="auto"/>
            <w:hideMark/>
          </w:tcPr>
          <w:p w14:paraId="4F9E31EE"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19</w:t>
            </w:r>
          </w:p>
        </w:tc>
        <w:tc>
          <w:tcPr>
            <w:tcW w:w="0" w:type="auto"/>
            <w:hideMark/>
          </w:tcPr>
          <w:p w14:paraId="02EE5B1F"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18</w:t>
            </w:r>
          </w:p>
        </w:tc>
        <w:tc>
          <w:tcPr>
            <w:tcW w:w="0" w:type="auto"/>
            <w:hideMark/>
          </w:tcPr>
          <w:p w14:paraId="0D2A57B5"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16</w:t>
            </w:r>
          </w:p>
        </w:tc>
        <w:tc>
          <w:tcPr>
            <w:tcW w:w="0" w:type="auto"/>
            <w:hideMark/>
          </w:tcPr>
          <w:p w14:paraId="2C736B03"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13</w:t>
            </w:r>
          </w:p>
        </w:tc>
      </w:tr>
      <w:tr w:rsidR="00F303BF" w:rsidRPr="002B194C" w14:paraId="5D272691" w14:textId="77777777" w:rsidTr="00FF07FE">
        <w:tc>
          <w:tcPr>
            <w:tcW w:w="0" w:type="auto"/>
            <w:hideMark/>
          </w:tcPr>
          <w:p w14:paraId="577AFB39"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Soya cake</w:t>
            </w:r>
          </w:p>
        </w:tc>
        <w:tc>
          <w:tcPr>
            <w:tcW w:w="0" w:type="auto"/>
            <w:hideMark/>
          </w:tcPr>
          <w:p w14:paraId="24048D2E"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23</w:t>
            </w:r>
          </w:p>
        </w:tc>
        <w:tc>
          <w:tcPr>
            <w:tcW w:w="0" w:type="auto"/>
            <w:hideMark/>
          </w:tcPr>
          <w:p w14:paraId="5DA8DE86"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23</w:t>
            </w:r>
          </w:p>
        </w:tc>
        <w:tc>
          <w:tcPr>
            <w:tcW w:w="0" w:type="auto"/>
            <w:hideMark/>
          </w:tcPr>
          <w:p w14:paraId="326D9917"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23</w:t>
            </w:r>
          </w:p>
        </w:tc>
        <w:tc>
          <w:tcPr>
            <w:tcW w:w="0" w:type="auto"/>
            <w:hideMark/>
          </w:tcPr>
          <w:p w14:paraId="3196DC1A"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23</w:t>
            </w:r>
          </w:p>
        </w:tc>
        <w:tc>
          <w:tcPr>
            <w:tcW w:w="0" w:type="auto"/>
            <w:hideMark/>
          </w:tcPr>
          <w:p w14:paraId="038695A2"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23</w:t>
            </w:r>
          </w:p>
        </w:tc>
      </w:tr>
      <w:tr w:rsidR="00F303BF" w:rsidRPr="002B194C" w14:paraId="2F5C4A2B" w14:textId="77777777" w:rsidTr="00FF07FE">
        <w:tc>
          <w:tcPr>
            <w:tcW w:w="0" w:type="auto"/>
            <w:hideMark/>
          </w:tcPr>
          <w:p w14:paraId="41FF63CA"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Soybean oil</w:t>
            </w:r>
          </w:p>
        </w:tc>
        <w:tc>
          <w:tcPr>
            <w:tcW w:w="0" w:type="auto"/>
            <w:hideMark/>
          </w:tcPr>
          <w:p w14:paraId="7DA4116C"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2</w:t>
            </w:r>
          </w:p>
        </w:tc>
        <w:tc>
          <w:tcPr>
            <w:tcW w:w="0" w:type="auto"/>
            <w:hideMark/>
          </w:tcPr>
          <w:p w14:paraId="1A3D62A9"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2</w:t>
            </w:r>
          </w:p>
        </w:tc>
        <w:tc>
          <w:tcPr>
            <w:tcW w:w="0" w:type="auto"/>
            <w:hideMark/>
          </w:tcPr>
          <w:p w14:paraId="3FFE9BC7"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2</w:t>
            </w:r>
          </w:p>
        </w:tc>
        <w:tc>
          <w:tcPr>
            <w:tcW w:w="0" w:type="auto"/>
            <w:hideMark/>
          </w:tcPr>
          <w:p w14:paraId="25AAE57B"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2</w:t>
            </w:r>
          </w:p>
        </w:tc>
        <w:tc>
          <w:tcPr>
            <w:tcW w:w="0" w:type="auto"/>
            <w:hideMark/>
          </w:tcPr>
          <w:p w14:paraId="28325E66"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2</w:t>
            </w:r>
          </w:p>
        </w:tc>
      </w:tr>
      <w:tr w:rsidR="00F303BF" w:rsidRPr="002B194C" w14:paraId="470F7D35" w14:textId="77777777" w:rsidTr="00FF07FE">
        <w:tc>
          <w:tcPr>
            <w:tcW w:w="0" w:type="auto"/>
            <w:hideMark/>
          </w:tcPr>
          <w:p w14:paraId="029628AB"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 xml:space="preserve">Vit. </w:t>
            </w:r>
            <w:r w:rsidR="00E6651D" w:rsidRPr="002B194C">
              <w:rPr>
                <w:rFonts w:ascii="Times New Roman" w:hAnsi="Times New Roman" w:cs="Times New Roman"/>
                <w:sz w:val="24"/>
                <w:szCs w:val="24"/>
              </w:rPr>
              <w:t>and</w:t>
            </w:r>
            <w:r w:rsidRPr="002B194C">
              <w:rPr>
                <w:rFonts w:ascii="Times New Roman" w:hAnsi="Times New Roman" w:cs="Times New Roman"/>
                <w:sz w:val="24"/>
                <w:szCs w:val="24"/>
              </w:rPr>
              <w:t xml:space="preserve"> Min. Premix</w:t>
            </w:r>
            <w:r w:rsidR="003A32F1" w:rsidRPr="002B194C">
              <w:rPr>
                <w:rFonts w:ascii="Times New Roman" w:hAnsi="Times New Roman" w:cs="Times New Roman"/>
                <w:sz w:val="24"/>
                <w:szCs w:val="24"/>
                <w:vertAlign w:val="superscript"/>
              </w:rPr>
              <w:t>2</w:t>
            </w:r>
          </w:p>
        </w:tc>
        <w:tc>
          <w:tcPr>
            <w:tcW w:w="0" w:type="auto"/>
            <w:hideMark/>
          </w:tcPr>
          <w:p w14:paraId="55A2E1D1"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2</w:t>
            </w:r>
          </w:p>
        </w:tc>
        <w:tc>
          <w:tcPr>
            <w:tcW w:w="0" w:type="auto"/>
            <w:hideMark/>
          </w:tcPr>
          <w:p w14:paraId="64BDE385"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2</w:t>
            </w:r>
          </w:p>
        </w:tc>
        <w:tc>
          <w:tcPr>
            <w:tcW w:w="0" w:type="auto"/>
            <w:hideMark/>
          </w:tcPr>
          <w:p w14:paraId="63CE58EE"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2</w:t>
            </w:r>
          </w:p>
        </w:tc>
        <w:tc>
          <w:tcPr>
            <w:tcW w:w="0" w:type="auto"/>
            <w:hideMark/>
          </w:tcPr>
          <w:p w14:paraId="7E3686B6"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2</w:t>
            </w:r>
          </w:p>
        </w:tc>
        <w:tc>
          <w:tcPr>
            <w:tcW w:w="0" w:type="auto"/>
            <w:hideMark/>
          </w:tcPr>
          <w:p w14:paraId="0CDAF5AC"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2</w:t>
            </w:r>
          </w:p>
        </w:tc>
      </w:tr>
      <w:tr w:rsidR="00F303BF" w:rsidRPr="002B194C" w14:paraId="21FD7148" w14:textId="77777777" w:rsidTr="00FF07FE">
        <w:tc>
          <w:tcPr>
            <w:tcW w:w="0" w:type="auto"/>
            <w:hideMark/>
          </w:tcPr>
          <w:p w14:paraId="38433D29"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Salt</w:t>
            </w:r>
          </w:p>
        </w:tc>
        <w:tc>
          <w:tcPr>
            <w:tcW w:w="0" w:type="auto"/>
            <w:hideMark/>
          </w:tcPr>
          <w:p w14:paraId="068E1EBF"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1</w:t>
            </w:r>
          </w:p>
        </w:tc>
        <w:tc>
          <w:tcPr>
            <w:tcW w:w="0" w:type="auto"/>
            <w:hideMark/>
          </w:tcPr>
          <w:p w14:paraId="153E387E"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1</w:t>
            </w:r>
          </w:p>
        </w:tc>
        <w:tc>
          <w:tcPr>
            <w:tcW w:w="0" w:type="auto"/>
            <w:hideMark/>
          </w:tcPr>
          <w:p w14:paraId="0F09E89B"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1</w:t>
            </w:r>
          </w:p>
        </w:tc>
        <w:tc>
          <w:tcPr>
            <w:tcW w:w="0" w:type="auto"/>
            <w:hideMark/>
          </w:tcPr>
          <w:p w14:paraId="0A2D49F2"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1</w:t>
            </w:r>
          </w:p>
        </w:tc>
        <w:tc>
          <w:tcPr>
            <w:tcW w:w="0" w:type="auto"/>
            <w:hideMark/>
          </w:tcPr>
          <w:p w14:paraId="067A6EE8"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1</w:t>
            </w:r>
          </w:p>
        </w:tc>
      </w:tr>
    </w:tbl>
    <w:p w14:paraId="12EF9713" w14:textId="77777777" w:rsidR="003A32F1" w:rsidRPr="002B194C" w:rsidRDefault="003A32F1" w:rsidP="00031425">
      <w:pPr>
        <w:spacing w:after="0"/>
        <w:jc w:val="both"/>
        <w:rPr>
          <w:rFonts w:ascii="Times New Roman" w:hAnsi="Times New Roman" w:cs="Times New Roman"/>
          <w:sz w:val="24"/>
          <w:szCs w:val="24"/>
        </w:rPr>
      </w:pPr>
      <w:r w:rsidRPr="002B194C">
        <w:rPr>
          <w:rFonts w:ascii="Times New Roman" w:hAnsi="Times New Roman" w:cs="Times New Roman"/>
          <w:sz w:val="24"/>
          <w:szCs w:val="24"/>
          <w:vertAlign w:val="superscript"/>
        </w:rPr>
        <w:t xml:space="preserve">1 </w:t>
      </w:r>
      <w:r w:rsidRPr="002B194C">
        <w:rPr>
          <w:rFonts w:ascii="Times New Roman" w:hAnsi="Times New Roman" w:cs="Times New Roman"/>
          <w:sz w:val="24"/>
          <w:szCs w:val="24"/>
        </w:rPr>
        <w:t xml:space="preserve">MOLM=Moringa oleifera leaf meal. </w:t>
      </w:r>
    </w:p>
    <w:p w14:paraId="0C83650F" w14:textId="77777777" w:rsidR="003A32F1" w:rsidRPr="002B194C" w:rsidRDefault="003A32F1" w:rsidP="00031425">
      <w:pPr>
        <w:spacing w:after="0"/>
        <w:jc w:val="both"/>
        <w:rPr>
          <w:rFonts w:ascii="Times New Roman" w:hAnsi="Times New Roman" w:cs="Times New Roman"/>
          <w:b/>
          <w:sz w:val="24"/>
          <w:szCs w:val="24"/>
        </w:rPr>
      </w:pPr>
      <w:r w:rsidRPr="002B194C">
        <w:rPr>
          <w:rFonts w:ascii="Times New Roman" w:hAnsi="Times New Roman" w:cs="Times New Roman"/>
          <w:sz w:val="24"/>
          <w:szCs w:val="24"/>
          <w:vertAlign w:val="superscript"/>
        </w:rPr>
        <w:t>2</w:t>
      </w:r>
      <w:r w:rsidR="000136B3" w:rsidRPr="002B194C">
        <w:rPr>
          <w:rFonts w:ascii="Times New Roman" w:hAnsi="Times New Roman" w:cs="Times New Roman"/>
          <w:sz w:val="24"/>
          <w:szCs w:val="24"/>
        </w:rPr>
        <w:t xml:space="preserve">Vitamin &amp; Mineral </w:t>
      </w:r>
      <w:r w:rsidRPr="002B194C">
        <w:rPr>
          <w:rFonts w:ascii="Times New Roman" w:hAnsi="Times New Roman" w:cs="Times New Roman"/>
          <w:sz w:val="24"/>
          <w:szCs w:val="24"/>
        </w:rPr>
        <w:t>premix kg</w:t>
      </w:r>
      <w:r w:rsidRPr="002B194C">
        <w:rPr>
          <w:rFonts w:ascii="Times New Roman" w:hAnsi="Times New Roman" w:cs="Times New Roman"/>
          <w:sz w:val="24"/>
          <w:szCs w:val="24"/>
          <w:vertAlign w:val="superscript"/>
        </w:rPr>
        <w:t>-1</w:t>
      </w:r>
      <w:r w:rsidRPr="002B194C">
        <w:rPr>
          <w:rFonts w:ascii="Times New Roman" w:hAnsi="Times New Roman" w:cs="Times New Roman"/>
          <w:sz w:val="24"/>
          <w:szCs w:val="24"/>
        </w:rPr>
        <w:t>: Vit. B12: 40mg, Vit. D3: 3,000,000 IU, Vit. A: 15,000,000 IU, Vit. C: 15,000mg, B2: 7000mg, Vit. K3: 8,000mg, Vit. B6: 4,000mg, Vit. Ca pantothenate: 12,000mg, Folic acid: 1,</w:t>
      </w:r>
      <w:r w:rsidR="000136B3" w:rsidRPr="002B194C">
        <w:rPr>
          <w:rFonts w:ascii="Times New Roman" w:hAnsi="Times New Roman" w:cs="Times New Roman"/>
          <w:sz w:val="24"/>
          <w:szCs w:val="24"/>
        </w:rPr>
        <w:t>500mg, Nicotinic acid: 60,000mg,</w:t>
      </w:r>
      <w:r w:rsidRPr="002B194C">
        <w:rPr>
          <w:rFonts w:ascii="Times New Roman" w:hAnsi="Times New Roman" w:cs="Times New Roman"/>
          <w:sz w:val="24"/>
          <w:szCs w:val="24"/>
        </w:rPr>
        <w:t xml:space="preserve"> Fe: 1,000mg, Ca: 155 g, Co: 40mg, P: 135 g, Se: 3mg, Na: 45 g, Zn:</w:t>
      </w:r>
      <w:r w:rsidR="000136B3" w:rsidRPr="002B194C">
        <w:rPr>
          <w:rFonts w:ascii="Times New Roman" w:hAnsi="Times New Roman" w:cs="Times New Roman"/>
          <w:sz w:val="24"/>
          <w:szCs w:val="24"/>
        </w:rPr>
        <w:t xml:space="preserve"> </w:t>
      </w:r>
      <w:r w:rsidRPr="002B194C">
        <w:rPr>
          <w:rFonts w:ascii="Times New Roman" w:hAnsi="Times New Roman" w:cs="Times New Roman"/>
          <w:sz w:val="24"/>
          <w:szCs w:val="24"/>
        </w:rPr>
        <w:t>3,000mg, Cu: 600mg, Mg: 55 g, Mn: 2,000mg, I: 40mg.</w:t>
      </w:r>
    </w:p>
    <w:p w14:paraId="27C8A9EC" w14:textId="77777777" w:rsidR="00F303BF" w:rsidRPr="002B194C" w:rsidRDefault="00B80DDA" w:rsidP="00031425">
      <w:pPr>
        <w:spacing w:after="0"/>
        <w:jc w:val="both"/>
        <w:rPr>
          <w:rFonts w:ascii="Times New Roman" w:hAnsi="Times New Roman" w:cs="Times New Roman"/>
          <w:b/>
          <w:sz w:val="24"/>
          <w:szCs w:val="24"/>
        </w:rPr>
      </w:pPr>
      <w:r w:rsidRPr="002B194C">
        <w:rPr>
          <w:rFonts w:ascii="Times New Roman" w:hAnsi="Times New Roman" w:cs="Times New Roman"/>
          <w:b/>
          <w:sz w:val="24"/>
          <w:szCs w:val="24"/>
        </w:rPr>
        <w:t>2.5 Experimental design</w:t>
      </w:r>
    </w:p>
    <w:p w14:paraId="582B826C" w14:textId="77777777" w:rsidR="00B80DDA" w:rsidRPr="002B194C" w:rsidRDefault="00B80DDA" w:rsidP="00920E75">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 xml:space="preserve">The experiment was conducted using a completely </w:t>
      </w:r>
      <w:proofErr w:type="spellStart"/>
      <w:r w:rsidRPr="002B194C">
        <w:rPr>
          <w:rFonts w:ascii="Times New Roman" w:hAnsi="Times New Roman" w:cs="Times New Roman"/>
          <w:sz w:val="24"/>
          <w:szCs w:val="24"/>
        </w:rPr>
        <w:t>randomised</w:t>
      </w:r>
      <w:proofErr w:type="spellEnd"/>
      <w:r w:rsidRPr="002B194C">
        <w:rPr>
          <w:rFonts w:ascii="Times New Roman" w:hAnsi="Times New Roman" w:cs="Times New Roman"/>
          <w:sz w:val="24"/>
          <w:szCs w:val="24"/>
        </w:rPr>
        <w:t xml:space="preserve"> design (CRD), with five treatments and three replicates per treatment. A total of 200 spawn were stocked in each 200-litre glass tank.</w:t>
      </w:r>
      <w:r w:rsidRPr="002B194C">
        <w:t xml:space="preserve"> </w:t>
      </w:r>
      <w:r w:rsidRPr="002B194C">
        <w:rPr>
          <w:rFonts w:ascii="Times New Roman" w:hAnsi="Times New Roman" w:cs="Times New Roman"/>
          <w:sz w:val="24"/>
          <w:szCs w:val="24"/>
        </w:rPr>
        <w:t>All experimental procedures involving fish handling were conducted in accordance with institutional ethical guidelines.</w:t>
      </w:r>
    </w:p>
    <w:p w14:paraId="18375236" w14:textId="77777777" w:rsidR="00031425" w:rsidRPr="002B194C" w:rsidRDefault="00B80DDA" w:rsidP="00031425">
      <w:pPr>
        <w:spacing w:after="0"/>
        <w:jc w:val="both"/>
        <w:rPr>
          <w:rFonts w:ascii="Times New Roman" w:hAnsi="Times New Roman" w:cs="Times New Roman"/>
          <w:b/>
          <w:bCs/>
          <w:sz w:val="24"/>
          <w:szCs w:val="24"/>
        </w:rPr>
      </w:pPr>
      <w:r w:rsidRPr="002B194C">
        <w:rPr>
          <w:rFonts w:ascii="Times New Roman" w:hAnsi="Times New Roman" w:cs="Times New Roman"/>
          <w:b/>
          <w:bCs/>
          <w:sz w:val="24"/>
          <w:szCs w:val="24"/>
        </w:rPr>
        <w:t>2.6</w:t>
      </w:r>
      <w:r w:rsidR="00031425" w:rsidRPr="002B194C">
        <w:rPr>
          <w:rFonts w:ascii="Times New Roman" w:hAnsi="Times New Roman" w:cs="Times New Roman"/>
          <w:b/>
          <w:bCs/>
          <w:sz w:val="24"/>
          <w:szCs w:val="24"/>
        </w:rPr>
        <w:t xml:space="preserve"> Feeding management and water quality</w:t>
      </w:r>
    </w:p>
    <w:p w14:paraId="1D59A774" w14:textId="77777777" w:rsidR="00D32BEC" w:rsidRPr="002B194C" w:rsidRDefault="00D32BEC" w:rsidP="00920E75">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The fish were fed twice daily at 09.00 and 16.00 h. During the first week, the feeding rate was set at four times the body weight and was increased to eight times the body weight in the subsequent week to accommodate rapid development. Approximately 25% of the water in each tank was drained daily to remove unconsumed feed and metabolic waste. Physicochemical parameters, including temperature, pH, dissolved oxygen, total alkalinity, and ammonia-N, were measured weekly using standard procedures described by Baird et al. (2017) and were maintained within optimal ranges.</w:t>
      </w:r>
    </w:p>
    <w:p w14:paraId="1379CBB5" w14:textId="77777777" w:rsidR="00031425" w:rsidRPr="002B194C" w:rsidRDefault="00B80DDA" w:rsidP="00031425">
      <w:pPr>
        <w:spacing w:after="0"/>
        <w:jc w:val="both"/>
        <w:rPr>
          <w:rFonts w:ascii="Times New Roman" w:hAnsi="Times New Roman" w:cs="Times New Roman"/>
          <w:b/>
          <w:bCs/>
          <w:sz w:val="24"/>
          <w:szCs w:val="24"/>
        </w:rPr>
      </w:pPr>
      <w:r w:rsidRPr="002B194C">
        <w:rPr>
          <w:rFonts w:ascii="Times New Roman" w:hAnsi="Times New Roman" w:cs="Times New Roman"/>
          <w:b/>
          <w:bCs/>
          <w:sz w:val="24"/>
          <w:szCs w:val="24"/>
        </w:rPr>
        <w:t>2.7</w:t>
      </w:r>
      <w:r w:rsidR="00031425" w:rsidRPr="002B194C">
        <w:rPr>
          <w:rFonts w:ascii="Times New Roman" w:hAnsi="Times New Roman" w:cs="Times New Roman"/>
          <w:b/>
          <w:bCs/>
          <w:sz w:val="24"/>
          <w:szCs w:val="24"/>
        </w:rPr>
        <w:t xml:space="preserve"> Growth </w:t>
      </w:r>
      <w:r w:rsidR="0058140F" w:rsidRPr="002B194C">
        <w:rPr>
          <w:rFonts w:ascii="Times New Roman" w:hAnsi="Times New Roman" w:cs="Times New Roman"/>
          <w:b/>
          <w:bCs/>
          <w:sz w:val="24"/>
          <w:szCs w:val="24"/>
        </w:rPr>
        <w:t>performance</w:t>
      </w:r>
      <w:r w:rsidR="00177453" w:rsidRPr="002B194C">
        <w:rPr>
          <w:rFonts w:ascii="Times New Roman" w:hAnsi="Times New Roman" w:cs="Times New Roman"/>
          <w:b/>
          <w:bCs/>
          <w:sz w:val="24"/>
          <w:szCs w:val="24"/>
        </w:rPr>
        <w:t xml:space="preserve"> </w:t>
      </w:r>
    </w:p>
    <w:p w14:paraId="4288ABEE" w14:textId="77777777" w:rsidR="00205CF5" w:rsidRPr="002B194C" w:rsidRDefault="00205CF5" w:rsidP="00205CF5">
      <w:pPr>
        <w:spacing w:after="0"/>
        <w:jc w:val="both"/>
        <w:rPr>
          <w:rFonts w:ascii="Times New Roman" w:hAnsi="Times New Roman" w:cs="Times New Roman"/>
          <w:sz w:val="24"/>
          <w:szCs w:val="24"/>
        </w:rPr>
      </w:pPr>
      <w:r w:rsidRPr="002B194C">
        <w:rPr>
          <w:rFonts w:ascii="Times New Roman" w:hAnsi="Times New Roman" w:cs="Times New Roman"/>
          <w:sz w:val="24"/>
          <w:szCs w:val="24"/>
        </w:rPr>
        <w:t>The indices of growth performance were the following:</w:t>
      </w:r>
    </w:p>
    <w:p w14:paraId="1038A6C0" w14:textId="77777777" w:rsidR="00205CF5" w:rsidRPr="002B194C" w:rsidRDefault="00205CF5" w:rsidP="00205CF5">
      <w:pPr>
        <w:pStyle w:val="ListParagraph"/>
        <w:numPr>
          <w:ilvl w:val="0"/>
          <w:numId w:val="7"/>
        </w:numPr>
        <w:spacing w:after="0"/>
        <w:jc w:val="both"/>
        <w:rPr>
          <w:rFonts w:ascii="Times New Roman" w:hAnsi="Times New Roman" w:cs="Times New Roman"/>
          <w:sz w:val="24"/>
          <w:szCs w:val="24"/>
        </w:rPr>
      </w:pPr>
      <w:r w:rsidRPr="002B194C">
        <w:rPr>
          <w:rFonts w:ascii="Times New Roman" w:hAnsi="Times New Roman" w:cs="Times New Roman"/>
          <w:sz w:val="24"/>
          <w:szCs w:val="24"/>
        </w:rPr>
        <w:t>Percentage Weight Gain = (Final</w:t>
      </w:r>
      <w:r w:rsidR="007A2B5E" w:rsidRPr="002B194C">
        <w:rPr>
          <w:rFonts w:ascii="Times New Roman" w:hAnsi="Times New Roman" w:cs="Times New Roman"/>
          <w:sz w:val="24"/>
          <w:szCs w:val="24"/>
        </w:rPr>
        <w:t xml:space="preserve"> Weight</w:t>
      </w:r>
      <w:r w:rsidRPr="002B194C">
        <w:rPr>
          <w:rFonts w:ascii="Times New Roman" w:hAnsi="Times New Roman" w:cs="Times New Roman"/>
          <w:sz w:val="24"/>
          <w:szCs w:val="24"/>
        </w:rPr>
        <w:t xml:space="preserve"> </w:t>
      </w:r>
      <w:r w:rsidR="005E765B" w:rsidRPr="002B194C">
        <w:rPr>
          <w:rFonts w:ascii="Times New Roman" w:hAnsi="Times New Roman" w:cs="Times New Roman"/>
          <w:i/>
          <w:sz w:val="24"/>
          <w:szCs w:val="24"/>
        </w:rPr>
        <w:t>-</w:t>
      </w:r>
      <w:r w:rsidRPr="002B194C">
        <w:rPr>
          <w:rFonts w:ascii="Times New Roman" w:hAnsi="Times New Roman" w:cs="Times New Roman"/>
          <w:sz w:val="24"/>
          <w:szCs w:val="24"/>
        </w:rPr>
        <w:t>Initial</w:t>
      </w:r>
      <w:r w:rsidR="007A2B5E" w:rsidRPr="002B194C">
        <w:rPr>
          <w:rFonts w:ascii="Times New Roman" w:hAnsi="Times New Roman" w:cs="Times New Roman"/>
          <w:sz w:val="24"/>
          <w:szCs w:val="24"/>
        </w:rPr>
        <w:t xml:space="preserve"> Weight</w:t>
      </w:r>
      <w:r w:rsidRPr="002B194C">
        <w:rPr>
          <w:rFonts w:ascii="Times New Roman" w:hAnsi="Times New Roman" w:cs="Times New Roman"/>
          <w:sz w:val="24"/>
          <w:szCs w:val="24"/>
        </w:rPr>
        <w:t>)/ Initial</w:t>
      </w:r>
      <w:r w:rsidR="007A2B5E" w:rsidRPr="002B194C">
        <w:rPr>
          <w:rFonts w:ascii="Times New Roman" w:hAnsi="Times New Roman" w:cs="Times New Roman"/>
          <w:sz w:val="24"/>
          <w:szCs w:val="24"/>
        </w:rPr>
        <w:t xml:space="preserve"> Weight</w:t>
      </w:r>
      <w:r w:rsidRPr="002B194C">
        <w:rPr>
          <w:rFonts w:ascii="Times New Roman" w:hAnsi="Times New Roman" w:cs="Times New Roman"/>
          <w:sz w:val="24"/>
          <w:szCs w:val="24"/>
        </w:rPr>
        <w:t xml:space="preserve"> * 100</w:t>
      </w:r>
    </w:p>
    <w:p w14:paraId="6861CCB2" w14:textId="77777777" w:rsidR="00205CF5" w:rsidRPr="002B194C" w:rsidRDefault="00F71DBC" w:rsidP="00205CF5">
      <w:pPr>
        <w:pStyle w:val="ListParagraph"/>
        <w:numPr>
          <w:ilvl w:val="0"/>
          <w:numId w:val="7"/>
        </w:numPr>
        <w:spacing w:after="0"/>
        <w:jc w:val="both"/>
        <w:rPr>
          <w:rFonts w:ascii="Times New Roman" w:hAnsi="Times New Roman" w:cs="Times New Roman"/>
          <w:sz w:val="24"/>
          <w:szCs w:val="24"/>
        </w:rPr>
      </w:pPr>
      <w:r w:rsidRPr="002B194C">
        <w:rPr>
          <w:rFonts w:ascii="Times New Roman" w:hAnsi="Times New Roman" w:cs="Times New Roman"/>
          <w:sz w:val="24"/>
          <w:szCs w:val="24"/>
        </w:rPr>
        <w:t>Specific Growth Rate (SGR, % d</w:t>
      </w:r>
      <w:r w:rsidR="00293F58" w:rsidRPr="002B194C">
        <w:rPr>
          <w:rFonts w:ascii="Times New Roman" w:hAnsi="Times New Roman" w:cs="Times New Roman"/>
          <w:sz w:val="24"/>
          <w:szCs w:val="24"/>
          <w:vertAlign w:val="superscript"/>
        </w:rPr>
        <w:t>-1</w:t>
      </w:r>
      <w:r w:rsidR="00205CF5" w:rsidRPr="002B194C">
        <w:rPr>
          <w:rFonts w:ascii="Times New Roman" w:hAnsi="Times New Roman" w:cs="Times New Roman"/>
          <w:sz w:val="24"/>
          <w:szCs w:val="24"/>
        </w:rPr>
        <w:t xml:space="preserve">) = </w:t>
      </w:r>
      <w:r w:rsidR="00467552" w:rsidRPr="002B194C">
        <w:rPr>
          <w:rFonts w:ascii="Times New Roman" w:hAnsi="Times New Roman" w:cs="Times New Roman"/>
          <w:sz w:val="24"/>
          <w:szCs w:val="24"/>
        </w:rPr>
        <w:t>{</w:t>
      </w:r>
      <w:r w:rsidR="00CB6F61" w:rsidRPr="002B194C">
        <w:rPr>
          <w:rFonts w:ascii="Times New Roman" w:hAnsi="Times New Roman" w:cs="Times New Roman"/>
          <w:sz w:val="24"/>
          <w:szCs w:val="24"/>
        </w:rPr>
        <w:t>ln(F</w:t>
      </w:r>
      <w:r w:rsidR="005D27BD" w:rsidRPr="002B194C">
        <w:rPr>
          <w:rFonts w:ascii="Times New Roman" w:hAnsi="Times New Roman" w:cs="Times New Roman"/>
          <w:sz w:val="24"/>
          <w:szCs w:val="24"/>
        </w:rPr>
        <w:t>inal</w:t>
      </w:r>
      <w:r w:rsidR="00293F58" w:rsidRPr="002B194C">
        <w:rPr>
          <w:rFonts w:ascii="Times New Roman" w:hAnsi="Times New Roman" w:cs="Times New Roman"/>
          <w:sz w:val="24"/>
          <w:szCs w:val="24"/>
        </w:rPr>
        <w:t xml:space="preserve"> Wt.</w:t>
      </w:r>
      <w:r w:rsidR="005D27BD" w:rsidRPr="002B194C">
        <w:rPr>
          <w:rFonts w:ascii="Times New Roman" w:hAnsi="Times New Roman" w:cs="Times New Roman"/>
          <w:sz w:val="24"/>
          <w:szCs w:val="24"/>
        </w:rPr>
        <w:t>)-</w:t>
      </w:r>
      <w:r w:rsidR="00CB6F61" w:rsidRPr="002B194C">
        <w:rPr>
          <w:rFonts w:ascii="Times New Roman" w:hAnsi="Times New Roman" w:cs="Times New Roman"/>
          <w:sz w:val="24"/>
          <w:szCs w:val="24"/>
        </w:rPr>
        <w:t>ln(I</w:t>
      </w:r>
      <w:r w:rsidR="0075639F" w:rsidRPr="002B194C">
        <w:rPr>
          <w:rFonts w:ascii="Times New Roman" w:hAnsi="Times New Roman" w:cs="Times New Roman"/>
          <w:sz w:val="24"/>
          <w:szCs w:val="24"/>
        </w:rPr>
        <w:t>nitial</w:t>
      </w:r>
      <w:r w:rsidR="00293F58" w:rsidRPr="002B194C">
        <w:rPr>
          <w:rFonts w:ascii="Times New Roman" w:hAnsi="Times New Roman" w:cs="Times New Roman"/>
          <w:sz w:val="24"/>
          <w:szCs w:val="24"/>
        </w:rPr>
        <w:t xml:space="preserve"> Wt.</w:t>
      </w:r>
      <w:r w:rsidR="0075639F" w:rsidRPr="002B194C">
        <w:rPr>
          <w:rFonts w:ascii="Times New Roman" w:hAnsi="Times New Roman" w:cs="Times New Roman"/>
          <w:sz w:val="24"/>
          <w:szCs w:val="24"/>
        </w:rPr>
        <w:t>)</w:t>
      </w:r>
      <w:r w:rsidR="00467552" w:rsidRPr="002B194C">
        <w:rPr>
          <w:rFonts w:ascii="Times New Roman" w:hAnsi="Times New Roman" w:cs="Times New Roman"/>
          <w:sz w:val="24"/>
          <w:szCs w:val="24"/>
        </w:rPr>
        <w:t>}</w:t>
      </w:r>
      <w:r w:rsidR="007C06E8" w:rsidRPr="002B194C">
        <w:rPr>
          <w:rFonts w:ascii="Times New Roman" w:hAnsi="Times New Roman" w:cs="Times New Roman"/>
          <w:sz w:val="24"/>
          <w:szCs w:val="24"/>
        </w:rPr>
        <w:t>/(time period</w:t>
      </w:r>
      <w:r w:rsidR="00CB6F61" w:rsidRPr="002B194C">
        <w:rPr>
          <w:rFonts w:ascii="Times New Roman" w:hAnsi="Times New Roman" w:cs="Times New Roman"/>
          <w:sz w:val="24"/>
          <w:szCs w:val="24"/>
        </w:rPr>
        <w:t>)</w:t>
      </w:r>
      <w:r w:rsidR="00205CF5" w:rsidRPr="002B194C">
        <w:rPr>
          <w:rFonts w:ascii="Times New Roman" w:hAnsi="Times New Roman" w:cs="Times New Roman"/>
          <w:sz w:val="24"/>
          <w:szCs w:val="24"/>
        </w:rPr>
        <w:t>x 100</w:t>
      </w:r>
    </w:p>
    <w:p w14:paraId="0AF6A44E" w14:textId="77777777" w:rsidR="00205CF5" w:rsidRPr="002B194C" w:rsidRDefault="00205CF5" w:rsidP="00205CF5">
      <w:pPr>
        <w:pStyle w:val="ListParagraph"/>
        <w:numPr>
          <w:ilvl w:val="0"/>
          <w:numId w:val="7"/>
        </w:numPr>
        <w:spacing w:after="0"/>
        <w:jc w:val="both"/>
        <w:rPr>
          <w:rFonts w:ascii="Times New Roman" w:hAnsi="Times New Roman" w:cs="Times New Roman"/>
          <w:sz w:val="24"/>
          <w:szCs w:val="24"/>
        </w:rPr>
      </w:pPr>
      <w:r w:rsidRPr="002B194C">
        <w:rPr>
          <w:rFonts w:ascii="Times New Roman" w:hAnsi="Times New Roman" w:cs="Times New Roman"/>
          <w:sz w:val="24"/>
          <w:szCs w:val="24"/>
        </w:rPr>
        <w:t xml:space="preserve">Feed Conversion Ratio (FCR) = Total Feed Consumed / Total Weight Gain </w:t>
      </w:r>
    </w:p>
    <w:p w14:paraId="3309FD6F" w14:textId="77777777" w:rsidR="00205CF5" w:rsidRPr="002B194C" w:rsidRDefault="00205CF5" w:rsidP="00205CF5">
      <w:pPr>
        <w:pStyle w:val="ListParagraph"/>
        <w:numPr>
          <w:ilvl w:val="0"/>
          <w:numId w:val="7"/>
        </w:numPr>
        <w:spacing w:after="0"/>
        <w:jc w:val="both"/>
        <w:rPr>
          <w:rFonts w:ascii="Times New Roman" w:hAnsi="Times New Roman" w:cs="Times New Roman"/>
          <w:sz w:val="24"/>
          <w:szCs w:val="24"/>
        </w:rPr>
      </w:pPr>
      <w:r w:rsidRPr="002B194C">
        <w:rPr>
          <w:rFonts w:ascii="Times New Roman" w:hAnsi="Times New Roman" w:cs="Times New Roman"/>
          <w:sz w:val="24"/>
          <w:szCs w:val="24"/>
        </w:rPr>
        <w:t xml:space="preserve">Protein Efficiency Ratio (PER) = Weight Gain / Protein Intake </w:t>
      </w:r>
    </w:p>
    <w:p w14:paraId="214C4E89" w14:textId="77777777" w:rsidR="00205CF5" w:rsidRPr="002B194C" w:rsidRDefault="00205CF5" w:rsidP="00205CF5">
      <w:pPr>
        <w:pStyle w:val="ListParagraph"/>
        <w:numPr>
          <w:ilvl w:val="0"/>
          <w:numId w:val="7"/>
        </w:numPr>
        <w:spacing w:after="0"/>
        <w:jc w:val="both"/>
        <w:rPr>
          <w:rFonts w:ascii="Times New Roman" w:hAnsi="Times New Roman" w:cs="Times New Roman"/>
          <w:sz w:val="24"/>
          <w:szCs w:val="24"/>
        </w:rPr>
      </w:pPr>
      <w:r w:rsidRPr="002B194C">
        <w:rPr>
          <w:rFonts w:ascii="Times New Roman" w:hAnsi="Times New Roman" w:cs="Times New Roman"/>
          <w:sz w:val="24"/>
          <w:szCs w:val="24"/>
        </w:rPr>
        <w:lastRenderedPageBreak/>
        <w:t>S</w:t>
      </w:r>
      <w:r w:rsidR="007A2B5E" w:rsidRPr="002B194C">
        <w:rPr>
          <w:rFonts w:ascii="Times New Roman" w:hAnsi="Times New Roman" w:cs="Times New Roman"/>
          <w:sz w:val="24"/>
          <w:szCs w:val="24"/>
        </w:rPr>
        <w:t>urvival Rate (%) = (No. of fish recovered</w:t>
      </w:r>
      <w:r w:rsidRPr="002B194C">
        <w:rPr>
          <w:rFonts w:ascii="Times New Roman" w:hAnsi="Times New Roman" w:cs="Times New Roman"/>
          <w:sz w:val="24"/>
          <w:szCs w:val="24"/>
        </w:rPr>
        <w:t xml:space="preserve"> / </w:t>
      </w:r>
      <w:r w:rsidR="007A2B5E" w:rsidRPr="002B194C">
        <w:rPr>
          <w:rFonts w:ascii="Times New Roman" w:hAnsi="Times New Roman" w:cs="Times New Roman"/>
          <w:sz w:val="24"/>
          <w:szCs w:val="24"/>
        </w:rPr>
        <w:t>No. of fish reared</w:t>
      </w:r>
      <w:r w:rsidRPr="002B194C">
        <w:rPr>
          <w:rFonts w:ascii="Times New Roman" w:hAnsi="Times New Roman" w:cs="Times New Roman"/>
          <w:sz w:val="24"/>
          <w:szCs w:val="24"/>
        </w:rPr>
        <w:t>) × 100</w:t>
      </w:r>
    </w:p>
    <w:p w14:paraId="076DB4FD" w14:textId="77777777" w:rsidR="00177453" w:rsidRPr="002B194C" w:rsidRDefault="00177453" w:rsidP="00177453">
      <w:pPr>
        <w:spacing w:after="0"/>
        <w:jc w:val="both"/>
        <w:rPr>
          <w:rFonts w:ascii="Times New Roman" w:hAnsi="Times New Roman" w:cs="Times New Roman"/>
          <w:sz w:val="24"/>
          <w:szCs w:val="24"/>
        </w:rPr>
      </w:pPr>
      <w:r w:rsidRPr="002B194C">
        <w:rPr>
          <w:rFonts w:ascii="Times New Roman" w:hAnsi="Times New Roman" w:cs="Times New Roman"/>
          <w:sz w:val="24"/>
          <w:szCs w:val="24"/>
        </w:rPr>
        <w:t xml:space="preserve">2.8 </w:t>
      </w:r>
      <w:r w:rsidRPr="002B194C">
        <w:rPr>
          <w:rFonts w:ascii="Times New Roman" w:hAnsi="Times New Roman" w:cs="Times New Roman"/>
          <w:b/>
          <w:bCs/>
          <w:sz w:val="24"/>
          <w:szCs w:val="24"/>
        </w:rPr>
        <w:t>Proximate analysis of feed and carcass composition of fish</w:t>
      </w:r>
    </w:p>
    <w:p w14:paraId="16C511DF" w14:textId="77777777" w:rsidR="00205CF5" w:rsidRPr="002B194C" w:rsidRDefault="00205CF5" w:rsidP="00920E75">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 xml:space="preserve">The proximate composition of the materials, diets, and whole-body fish samples was determined in triplicate using the standard methodology of AOAC International (2019). Crude protein was determined using the micro-Kjeldahl technique (N×6.25), crude lipid by Soxhlet extraction, and ash content by incineration in a muffle furnace at 550 </w:t>
      </w:r>
      <w:proofErr w:type="spellStart"/>
      <w:r w:rsidRPr="002B194C">
        <w:rPr>
          <w:rFonts w:ascii="Times New Roman" w:hAnsi="Times New Roman" w:cs="Times New Roman"/>
          <w:sz w:val="24"/>
          <w:szCs w:val="24"/>
          <w:vertAlign w:val="superscript"/>
        </w:rPr>
        <w:t>o</w:t>
      </w:r>
      <w:r w:rsidRPr="002B194C">
        <w:rPr>
          <w:rFonts w:ascii="Times New Roman" w:hAnsi="Times New Roman" w:cs="Times New Roman"/>
          <w:sz w:val="24"/>
          <w:szCs w:val="24"/>
        </w:rPr>
        <w:t>C.</w:t>
      </w:r>
      <w:proofErr w:type="spellEnd"/>
    </w:p>
    <w:p w14:paraId="214B6830" w14:textId="77777777" w:rsidR="00031425" w:rsidRPr="002B194C" w:rsidRDefault="00177453" w:rsidP="00205CF5">
      <w:pPr>
        <w:spacing w:after="0"/>
        <w:jc w:val="both"/>
        <w:rPr>
          <w:rFonts w:ascii="Times New Roman" w:hAnsi="Times New Roman" w:cs="Times New Roman"/>
          <w:b/>
          <w:bCs/>
          <w:sz w:val="24"/>
          <w:szCs w:val="24"/>
        </w:rPr>
      </w:pPr>
      <w:r w:rsidRPr="002B194C">
        <w:rPr>
          <w:rFonts w:ascii="Times New Roman" w:hAnsi="Times New Roman" w:cs="Times New Roman"/>
          <w:b/>
          <w:bCs/>
          <w:sz w:val="24"/>
          <w:szCs w:val="24"/>
        </w:rPr>
        <w:t>2.9</w:t>
      </w:r>
      <w:r w:rsidR="003A32F1" w:rsidRPr="002B194C">
        <w:rPr>
          <w:rFonts w:ascii="Times New Roman" w:hAnsi="Times New Roman" w:cs="Times New Roman"/>
          <w:b/>
          <w:bCs/>
          <w:sz w:val="24"/>
          <w:szCs w:val="24"/>
        </w:rPr>
        <w:t xml:space="preserve"> </w:t>
      </w:r>
      <w:proofErr w:type="spellStart"/>
      <w:r w:rsidR="003A32F1" w:rsidRPr="002B194C">
        <w:rPr>
          <w:rFonts w:ascii="Times New Roman" w:hAnsi="Times New Roman" w:cs="Times New Roman"/>
          <w:b/>
          <w:bCs/>
          <w:sz w:val="24"/>
          <w:szCs w:val="24"/>
        </w:rPr>
        <w:t>Haematological</w:t>
      </w:r>
      <w:proofErr w:type="spellEnd"/>
      <w:r w:rsidR="003A32F1" w:rsidRPr="002B194C">
        <w:rPr>
          <w:rFonts w:ascii="Times New Roman" w:hAnsi="Times New Roman" w:cs="Times New Roman"/>
          <w:b/>
          <w:bCs/>
          <w:sz w:val="24"/>
          <w:szCs w:val="24"/>
        </w:rPr>
        <w:t xml:space="preserve"> parameters</w:t>
      </w:r>
    </w:p>
    <w:p w14:paraId="64E8BA8C" w14:textId="77777777" w:rsidR="00205CF5" w:rsidRPr="002B194C" w:rsidRDefault="00205CF5" w:rsidP="00920E75">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 xml:space="preserve">At the end of the experiment, blood was collected from the caudal vein of the experimental fish using </w:t>
      </w:r>
      <w:proofErr w:type="spellStart"/>
      <w:r w:rsidRPr="002B194C">
        <w:rPr>
          <w:rFonts w:ascii="Times New Roman" w:hAnsi="Times New Roman" w:cs="Times New Roman"/>
          <w:sz w:val="24"/>
          <w:szCs w:val="24"/>
        </w:rPr>
        <w:t>heparinised</w:t>
      </w:r>
      <w:proofErr w:type="spellEnd"/>
      <w:r w:rsidRPr="002B194C">
        <w:rPr>
          <w:rFonts w:ascii="Times New Roman" w:hAnsi="Times New Roman" w:cs="Times New Roman"/>
          <w:sz w:val="24"/>
          <w:szCs w:val="24"/>
        </w:rPr>
        <w:t xml:space="preserve"> syringes. </w:t>
      </w:r>
      <w:proofErr w:type="spellStart"/>
      <w:r w:rsidRPr="002B194C">
        <w:rPr>
          <w:rFonts w:ascii="Times New Roman" w:hAnsi="Times New Roman" w:cs="Times New Roman"/>
          <w:sz w:val="24"/>
          <w:szCs w:val="24"/>
        </w:rPr>
        <w:t>Haemoglobin</w:t>
      </w:r>
      <w:proofErr w:type="spellEnd"/>
      <w:r w:rsidRPr="002B194C">
        <w:rPr>
          <w:rFonts w:ascii="Times New Roman" w:hAnsi="Times New Roman" w:cs="Times New Roman"/>
          <w:sz w:val="24"/>
          <w:szCs w:val="24"/>
        </w:rPr>
        <w:t xml:space="preserve"> (Hb) was measured using the cyanmethemoglobin technique (</w:t>
      </w:r>
      <w:proofErr w:type="spellStart"/>
      <w:r w:rsidRPr="002B194C">
        <w:rPr>
          <w:rFonts w:ascii="Times New Roman" w:hAnsi="Times New Roman" w:cs="Times New Roman"/>
          <w:sz w:val="24"/>
          <w:szCs w:val="24"/>
        </w:rPr>
        <w:t>Witeska</w:t>
      </w:r>
      <w:proofErr w:type="spellEnd"/>
      <w:r w:rsidRPr="002B194C">
        <w:rPr>
          <w:rFonts w:ascii="Times New Roman" w:hAnsi="Times New Roman" w:cs="Times New Roman"/>
          <w:sz w:val="24"/>
          <w:szCs w:val="24"/>
        </w:rPr>
        <w:t xml:space="preserve"> et al., 2022). Red blood cell (RBC) and white blood cell (WBC) counts were determined using a Neubauer </w:t>
      </w:r>
      <w:proofErr w:type="spellStart"/>
      <w:r w:rsidRPr="002B194C">
        <w:rPr>
          <w:rFonts w:ascii="Times New Roman" w:hAnsi="Times New Roman" w:cs="Times New Roman"/>
          <w:sz w:val="24"/>
          <w:szCs w:val="24"/>
        </w:rPr>
        <w:t>haemocytometer</w:t>
      </w:r>
      <w:proofErr w:type="spellEnd"/>
      <w:r w:rsidRPr="002B194C">
        <w:rPr>
          <w:rFonts w:ascii="Times New Roman" w:hAnsi="Times New Roman" w:cs="Times New Roman"/>
          <w:sz w:val="24"/>
          <w:szCs w:val="24"/>
        </w:rPr>
        <w:t xml:space="preserve"> (</w:t>
      </w:r>
      <w:proofErr w:type="spellStart"/>
      <w:r w:rsidRPr="002B194C">
        <w:rPr>
          <w:rFonts w:ascii="Times New Roman" w:hAnsi="Times New Roman" w:cs="Times New Roman"/>
          <w:sz w:val="24"/>
          <w:szCs w:val="24"/>
        </w:rPr>
        <w:t>Witeska</w:t>
      </w:r>
      <w:proofErr w:type="spellEnd"/>
      <w:r w:rsidRPr="002B194C">
        <w:rPr>
          <w:rFonts w:ascii="Times New Roman" w:hAnsi="Times New Roman" w:cs="Times New Roman"/>
          <w:sz w:val="24"/>
          <w:szCs w:val="24"/>
        </w:rPr>
        <w:t xml:space="preserve"> et al., 2023). Packed cell volume (PCV) was determined using the micro-</w:t>
      </w:r>
      <w:proofErr w:type="spellStart"/>
      <w:r w:rsidRPr="002B194C">
        <w:rPr>
          <w:rFonts w:ascii="Times New Roman" w:hAnsi="Times New Roman" w:cs="Times New Roman"/>
          <w:sz w:val="24"/>
          <w:szCs w:val="24"/>
        </w:rPr>
        <w:t>haematocrit</w:t>
      </w:r>
      <w:proofErr w:type="spellEnd"/>
      <w:r w:rsidRPr="002B194C">
        <w:rPr>
          <w:rFonts w:ascii="Times New Roman" w:hAnsi="Times New Roman" w:cs="Times New Roman"/>
          <w:sz w:val="24"/>
          <w:szCs w:val="24"/>
        </w:rPr>
        <w:t xml:space="preserve"> method. Erythrocytic indices, including MCV, MCH, and MCHC, were calculated using the published method (Kumar &amp; </w:t>
      </w:r>
      <w:proofErr w:type="spellStart"/>
      <w:r w:rsidRPr="002B194C">
        <w:rPr>
          <w:rFonts w:ascii="Times New Roman" w:hAnsi="Times New Roman" w:cs="Times New Roman"/>
          <w:sz w:val="24"/>
          <w:szCs w:val="24"/>
        </w:rPr>
        <w:t>Kangle</w:t>
      </w:r>
      <w:proofErr w:type="spellEnd"/>
      <w:r w:rsidRPr="002B194C">
        <w:rPr>
          <w:rFonts w:ascii="Times New Roman" w:hAnsi="Times New Roman" w:cs="Times New Roman"/>
          <w:sz w:val="24"/>
          <w:szCs w:val="24"/>
        </w:rPr>
        <w:t>, 2022).</w:t>
      </w:r>
    </w:p>
    <w:p w14:paraId="4F498724" w14:textId="77777777" w:rsidR="00031425" w:rsidRPr="002B194C" w:rsidRDefault="00177453" w:rsidP="00031425">
      <w:pPr>
        <w:spacing w:after="0"/>
        <w:jc w:val="both"/>
        <w:rPr>
          <w:rFonts w:ascii="Times New Roman" w:hAnsi="Times New Roman" w:cs="Times New Roman"/>
          <w:b/>
          <w:bCs/>
          <w:sz w:val="24"/>
          <w:szCs w:val="24"/>
        </w:rPr>
      </w:pPr>
      <w:r w:rsidRPr="002B194C">
        <w:rPr>
          <w:rFonts w:ascii="Times New Roman" w:hAnsi="Times New Roman" w:cs="Times New Roman"/>
          <w:b/>
          <w:bCs/>
          <w:sz w:val="24"/>
          <w:szCs w:val="24"/>
        </w:rPr>
        <w:t>2.10</w:t>
      </w:r>
      <w:r w:rsidR="00031425" w:rsidRPr="002B194C">
        <w:rPr>
          <w:rFonts w:ascii="Times New Roman" w:hAnsi="Times New Roman" w:cs="Times New Roman"/>
          <w:b/>
          <w:bCs/>
          <w:sz w:val="24"/>
          <w:szCs w:val="24"/>
        </w:rPr>
        <w:t xml:space="preserve"> Statistical analysis</w:t>
      </w:r>
    </w:p>
    <w:p w14:paraId="52D25AB3" w14:textId="77777777" w:rsidR="00205CF5" w:rsidRPr="002B194C" w:rsidRDefault="00205CF5" w:rsidP="00FD1BC5">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 xml:space="preserve">Data were </w:t>
      </w:r>
      <w:proofErr w:type="spellStart"/>
      <w:r w:rsidRPr="002B194C">
        <w:rPr>
          <w:rFonts w:ascii="Times New Roman" w:hAnsi="Times New Roman" w:cs="Times New Roman"/>
          <w:sz w:val="24"/>
          <w:szCs w:val="24"/>
        </w:rPr>
        <w:t>analysed</w:t>
      </w:r>
      <w:proofErr w:type="spellEnd"/>
      <w:r w:rsidRPr="002B194C">
        <w:rPr>
          <w:rFonts w:ascii="Times New Roman" w:hAnsi="Times New Roman" w:cs="Times New Roman"/>
          <w:sz w:val="24"/>
          <w:szCs w:val="24"/>
        </w:rPr>
        <w:t xml:space="preserve"> using SPSS version 25.0. One-way analysis of variance (ANOVA), followed by Duncan’s multiple range test (DMRT), was used to test for significant differences among treatment means at P &lt; 0.05.</w:t>
      </w:r>
    </w:p>
    <w:p w14:paraId="6AEE7112" w14:textId="77777777" w:rsidR="006E351D" w:rsidRPr="002B194C" w:rsidRDefault="00776156" w:rsidP="006E351D">
      <w:pPr>
        <w:spacing w:after="0"/>
        <w:jc w:val="both"/>
        <w:rPr>
          <w:rFonts w:ascii="Times New Roman" w:hAnsi="Times New Roman" w:cs="Times New Roman"/>
          <w:b/>
          <w:bCs/>
          <w:sz w:val="24"/>
          <w:szCs w:val="24"/>
        </w:rPr>
      </w:pPr>
      <w:r w:rsidRPr="002B194C">
        <w:rPr>
          <w:rFonts w:ascii="Times New Roman" w:hAnsi="Times New Roman" w:cs="Times New Roman"/>
          <w:sz w:val="24"/>
          <w:szCs w:val="24"/>
        </w:rPr>
        <w:br/>
      </w:r>
      <w:r w:rsidR="006E351D" w:rsidRPr="002B194C">
        <w:rPr>
          <w:rFonts w:ascii="Times New Roman" w:hAnsi="Times New Roman" w:cs="Times New Roman"/>
          <w:b/>
          <w:bCs/>
          <w:sz w:val="24"/>
          <w:szCs w:val="24"/>
        </w:rPr>
        <w:t>3. Results</w:t>
      </w:r>
    </w:p>
    <w:p w14:paraId="5874BCE5" w14:textId="77777777" w:rsidR="006E351D" w:rsidRPr="002B194C" w:rsidRDefault="006E351D" w:rsidP="006E351D">
      <w:pPr>
        <w:spacing w:after="0"/>
        <w:jc w:val="both"/>
        <w:rPr>
          <w:rFonts w:ascii="Times New Roman" w:hAnsi="Times New Roman" w:cs="Times New Roman"/>
          <w:b/>
          <w:bCs/>
          <w:sz w:val="24"/>
          <w:szCs w:val="24"/>
        </w:rPr>
      </w:pPr>
      <w:r w:rsidRPr="002B194C">
        <w:rPr>
          <w:rFonts w:ascii="Times New Roman" w:hAnsi="Times New Roman" w:cs="Times New Roman"/>
          <w:b/>
          <w:bCs/>
          <w:sz w:val="24"/>
          <w:szCs w:val="24"/>
        </w:rPr>
        <w:t>3.1 Proximate composition of feed ingredients and experimental diets</w:t>
      </w:r>
    </w:p>
    <w:p w14:paraId="117F72B0" w14:textId="77777777" w:rsidR="00F41224" w:rsidRPr="002B194C" w:rsidRDefault="00177453" w:rsidP="00671804">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 xml:space="preserve">Proximate analysis of the raw ingredients showed that MOLM was a nutritionally rich protein source for </w:t>
      </w:r>
      <w:r w:rsidRPr="002B194C">
        <w:rPr>
          <w:rFonts w:ascii="Times New Roman" w:hAnsi="Times New Roman" w:cs="Times New Roman"/>
          <w:i/>
          <w:sz w:val="24"/>
          <w:szCs w:val="24"/>
        </w:rPr>
        <w:t xml:space="preserve">L. </w:t>
      </w:r>
      <w:proofErr w:type="spellStart"/>
      <w:r w:rsidRPr="002B194C">
        <w:rPr>
          <w:rFonts w:ascii="Times New Roman" w:hAnsi="Times New Roman" w:cs="Times New Roman"/>
          <w:i/>
          <w:sz w:val="24"/>
          <w:szCs w:val="24"/>
        </w:rPr>
        <w:t>rohita</w:t>
      </w:r>
      <w:proofErr w:type="spellEnd"/>
      <w:r w:rsidRPr="002B194C">
        <w:rPr>
          <w:rFonts w:ascii="Times New Roman" w:hAnsi="Times New Roman" w:cs="Times New Roman"/>
          <w:i/>
          <w:sz w:val="24"/>
          <w:szCs w:val="24"/>
        </w:rPr>
        <w:t>.</w:t>
      </w:r>
      <w:r w:rsidRPr="002B194C">
        <w:rPr>
          <w:rFonts w:ascii="Times New Roman" w:hAnsi="Times New Roman" w:cs="Times New Roman"/>
          <w:sz w:val="24"/>
          <w:szCs w:val="24"/>
        </w:rPr>
        <w:t xml:space="preserve"> The crude protein content of MOLM was 28.12 ± 0.03%, representing a substantial contribution of nitrogenous matter and a value comparable to that of other high-quality plant meals, such as mustard oil cake (30.37 ± 0.28%), as shown in Table 2. MOLM also had a high mineral content, as indicated by its ash concentration of 11.08 ± 0.02%.</w:t>
      </w:r>
    </w:p>
    <w:p w14:paraId="615F8714" w14:textId="77777777" w:rsidR="00671804" w:rsidRPr="002B194C" w:rsidRDefault="00671804" w:rsidP="00671804">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 xml:space="preserve">The experimental diets were maintained at similar isonitrogenous levels across treatments (35.1-35.5% CP), thereby meeting the nutritional requirements of </w:t>
      </w:r>
      <w:r w:rsidRPr="002B194C">
        <w:rPr>
          <w:rFonts w:ascii="Times New Roman" w:hAnsi="Times New Roman" w:cs="Times New Roman"/>
          <w:i/>
          <w:sz w:val="24"/>
          <w:szCs w:val="24"/>
        </w:rPr>
        <w:t xml:space="preserve">L. </w:t>
      </w:r>
      <w:proofErr w:type="spellStart"/>
      <w:r w:rsidRPr="002B194C">
        <w:rPr>
          <w:rFonts w:ascii="Times New Roman" w:hAnsi="Times New Roman" w:cs="Times New Roman"/>
          <w:i/>
          <w:sz w:val="24"/>
          <w:szCs w:val="24"/>
        </w:rPr>
        <w:t>rohita</w:t>
      </w:r>
      <w:proofErr w:type="spellEnd"/>
      <w:r w:rsidRPr="002B194C">
        <w:rPr>
          <w:rFonts w:ascii="Times New Roman" w:hAnsi="Times New Roman" w:cs="Times New Roman"/>
          <w:sz w:val="24"/>
          <w:szCs w:val="24"/>
        </w:rPr>
        <w:t xml:space="preserve"> spawn. However, the inclusion of MOLM produced a clear increasing trend in crude </w:t>
      </w:r>
      <w:proofErr w:type="spellStart"/>
      <w:r w:rsidRPr="002B194C">
        <w:rPr>
          <w:rFonts w:ascii="Times New Roman" w:hAnsi="Times New Roman" w:cs="Times New Roman"/>
          <w:sz w:val="24"/>
          <w:szCs w:val="24"/>
        </w:rPr>
        <w:t>fibre</w:t>
      </w:r>
      <w:proofErr w:type="spellEnd"/>
      <w:r w:rsidRPr="002B194C">
        <w:rPr>
          <w:rFonts w:ascii="Times New Roman" w:hAnsi="Times New Roman" w:cs="Times New Roman"/>
          <w:sz w:val="24"/>
          <w:szCs w:val="24"/>
        </w:rPr>
        <w:t xml:space="preserve"> content. As shown in Table 3, crude </w:t>
      </w:r>
      <w:proofErr w:type="spellStart"/>
      <w:r w:rsidRPr="002B194C">
        <w:rPr>
          <w:rFonts w:ascii="Times New Roman" w:hAnsi="Times New Roman" w:cs="Times New Roman"/>
          <w:sz w:val="24"/>
          <w:szCs w:val="24"/>
        </w:rPr>
        <w:t>fibre</w:t>
      </w:r>
      <w:proofErr w:type="spellEnd"/>
      <w:r w:rsidRPr="002B194C">
        <w:rPr>
          <w:rFonts w:ascii="Times New Roman" w:hAnsi="Times New Roman" w:cs="Times New Roman"/>
          <w:sz w:val="24"/>
          <w:szCs w:val="24"/>
        </w:rPr>
        <w:t xml:space="preserve"> increased from 4.5% in the control group to 6.1% in the T4 (20% MOLM) group. Crude lipid content in the MOLM-containing diets ranged from 6.6% to 6.8% and was slightly higher than the control value of 6.5%. This difference may be attributable to the inherent lipid content of Moringa leaves. Ash content decreased slightly with the substitution of fish meal by MOLM, indicating changes in mineral availability.</w:t>
      </w:r>
    </w:p>
    <w:p w14:paraId="28CDEC80" w14:textId="77777777" w:rsidR="00F303BF" w:rsidRPr="002B194C" w:rsidRDefault="00F303BF" w:rsidP="00337FF2">
      <w:pPr>
        <w:spacing w:after="0"/>
        <w:jc w:val="both"/>
        <w:rPr>
          <w:rFonts w:ascii="Times New Roman" w:hAnsi="Times New Roman" w:cs="Times New Roman"/>
          <w:sz w:val="24"/>
          <w:szCs w:val="24"/>
        </w:rPr>
      </w:pPr>
      <w:r w:rsidRPr="002B194C">
        <w:rPr>
          <w:rFonts w:ascii="Times New Roman" w:hAnsi="Times New Roman" w:cs="Times New Roman"/>
          <w:b/>
          <w:bCs/>
          <w:sz w:val="24"/>
          <w:szCs w:val="24"/>
        </w:rPr>
        <w:t xml:space="preserve">Table 2. </w:t>
      </w:r>
      <w:r w:rsidRPr="002B194C">
        <w:rPr>
          <w:rFonts w:ascii="Times New Roman" w:hAnsi="Times New Roman" w:cs="Times New Roman"/>
          <w:sz w:val="24"/>
          <w:szCs w:val="24"/>
        </w:rPr>
        <w:t>Proximate nutritional profile (%) of conventional ingredients used in diet formulation</w:t>
      </w:r>
    </w:p>
    <w:tbl>
      <w:tblPr>
        <w:tblStyle w:val="TableGridLight1"/>
        <w:tblW w:w="0" w:type="auto"/>
        <w:tblLook w:val="04A0" w:firstRow="1" w:lastRow="0" w:firstColumn="1" w:lastColumn="0" w:noHBand="0" w:noVBand="1"/>
      </w:tblPr>
      <w:tblGrid>
        <w:gridCol w:w="1845"/>
        <w:gridCol w:w="1308"/>
        <w:gridCol w:w="1632"/>
        <w:gridCol w:w="1428"/>
        <w:gridCol w:w="1685"/>
        <w:gridCol w:w="1428"/>
      </w:tblGrid>
      <w:tr w:rsidR="00F303BF" w:rsidRPr="002B194C" w14:paraId="7A34B760" w14:textId="77777777" w:rsidTr="00FF07FE">
        <w:tc>
          <w:tcPr>
            <w:tcW w:w="0" w:type="auto"/>
            <w:hideMark/>
          </w:tcPr>
          <w:p w14:paraId="7EF6A2FE"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b/>
                <w:bCs/>
                <w:sz w:val="24"/>
                <w:szCs w:val="24"/>
              </w:rPr>
              <w:t>Feed Ingredient</w:t>
            </w:r>
          </w:p>
        </w:tc>
        <w:tc>
          <w:tcPr>
            <w:tcW w:w="0" w:type="auto"/>
            <w:hideMark/>
          </w:tcPr>
          <w:p w14:paraId="56D7E8D4"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b/>
                <w:bCs/>
                <w:sz w:val="24"/>
                <w:szCs w:val="24"/>
              </w:rPr>
              <w:t>Moisture</w:t>
            </w:r>
          </w:p>
        </w:tc>
        <w:tc>
          <w:tcPr>
            <w:tcW w:w="0" w:type="auto"/>
            <w:hideMark/>
          </w:tcPr>
          <w:p w14:paraId="340BDEEA"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b/>
                <w:bCs/>
                <w:sz w:val="24"/>
                <w:szCs w:val="24"/>
              </w:rPr>
              <w:t>Ether Extract</w:t>
            </w:r>
          </w:p>
        </w:tc>
        <w:tc>
          <w:tcPr>
            <w:tcW w:w="0" w:type="auto"/>
            <w:hideMark/>
          </w:tcPr>
          <w:p w14:paraId="46737EF0"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b/>
                <w:bCs/>
                <w:sz w:val="24"/>
                <w:szCs w:val="24"/>
              </w:rPr>
              <w:t>Total Ash</w:t>
            </w:r>
          </w:p>
        </w:tc>
        <w:tc>
          <w:tcPr>
            <w:tcW w:w="0" w:type="auto"/>
            <w:hideMark/>
          </w:tcPr>
          <w:p w14:paraId="57D9A569"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b/>
                <w:bCs/>
                <w:sz w:val="24"/>
                <w:szCs w:val="24"/>
              </w:rPr>
              <w:t>Crude Protein</w:t>
            </w:r>
          </w:p>
        </w:tc>
        <w:tc>
          <w:tcPr>
            <w:tcW w:w="0" w:type="auto"/>
            <w:hideMark/>
          </w:tcPr>
          <w:p w14:paraId="53ABA062"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b/>
                <w:bCs/>
                <w:sz w:val="24"/>
                <w:szCs w:val="24"/>
              </w:rPr>
              <w:t>Total CHO</w:t>
            </w:r>
          </w:p>
        </w:tc>
      </w:tr>
      <w:tr w:rsidR="00F303BF" w:rsidRPr="002B194C" w14:paraId="7B6F965F" w14:textId="77777777" w:rsidTr="00FF07FE">
        <w:tc>
          <w:tcPr>
            <w:tcW w:w="0" w:type="auto"/>
            <w:hideMark/>
          </w:tcPr>
          <w:p w14:paraId="536BCDAB"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Fish meal</w:t>
            </w:r>
          </w:p>
        </w:tc>
        <w:tc>
          <w:tcPr>
            <w:tcW w:w="0" w:type="auto"/>
            <w:hideMark/>
          </w:tcPr>
          <w:p w14:paraId="69BDF342"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3.54 ± 0.32</w:t>
            </w:r>
          </w:p>
        </w:tc>
        <w:tc>
          <w:tcPr>
            <w:tcW w:w="0" w:type="auto"/>
            <w:hideMark/>
          </w:tcPr>
          <w:p w14:paraId="372A1886"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5.87 ± 0.19</w:t>
            </w:r>
          </w:p>
        </w:tc>
        <w:tc>
          <w:tcPr>
            <w:tcW w:w="0" w:type="auto"/>
            <w:hideMark/>
          </w:tcPr>
          <w:p w14:paraId="64FB9595"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22.93 ± 0.02</w:t>
            </w:r>
          </w:p>
        </w:tc>
        <w:tc>
          <w:tcPr>
            <w:tcW w:w="0" w:type="auto"/>
            <w:hideMark/>
          </w:tcPr>
          <w:p w14:paraId="22A66B38"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67.66 ± 0.58</w:t>
            </w:r>
          </w:p>
        </w:tc>
        <w:tc>
          <w:tcPr>
            <w:tcW w:w="0" w:type="auto"/>
            <w:hideMark/>
          </w:tcPr>
          <w:p w14:paraId="656C0102"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0.65 ± 0.71</w:t>
            </w:r>
          </w:p>
        </w:tc>
      </w:tr>
      <w:tr w:rsidR="00F303BF" w:rsidRPr="002B194C" w14:paraId="3A78B428" w14:textId="77777777" w:rsidTr="00FF07FE">
        <w:tc>
          <w:tcPr>
            <w:tcW w:w="0" w:type="auto"/>
            <w:hideMark/>
          </w:tcPr>
          <w:p w14:paraId="02E8A2E4"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MOLM</w:t>
            </w:r>
          </w:p>
        </w:tc>
        <w:tc>
          <w:tcPr>
            <w:tcW w:w="0" w:type="auto"/>
            <w:hideMark/>
          </w:tcPr>
          <w:p w14:paraId="31BDB95B"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7.37 ± 0.01</w:t>
            </w:r>
          </w:p>
        </w:tc>
        <w:tc>
          <w:tcPr>
            <w:tcW w:w="0" w:type="auto"/>
            <w:hideMark/>
          </w:tcPr>
          <w:p w14:paraId="567C9833"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8.64 ± 0.03</w:t>
            </w:r>
          </w:p>
        </w:tc>
        <w:tc>
          <w:tcPr>
            <w:tcW w:w="0" w:type="auto"/>
            <w:hideMark/>
          </w:tcPr>
          <w:p w14:paraId="04E7B998"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11.08 ± 0.02</w:t>
            </w:r>
          </w:p>
        </w:tc>
        <w:tc>
          <w:tcPr>
            <w:tcW w:w="0" w:type="auto"/>
            <w:hideMark/>
          </w:tcPr>
          <w:p w14:paraId="48C7A042"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28.12 ± 0.03</w:t>
            </w:r>
          </w:p>
        </w:tc>
        <w:tc>
          <w:tcPr>
            <w:tcW w:w="0" w:type="auto"/>
            <w:hideMark/>
          </w:tcPr>
          <w:p w14:paraId="2D5BEBFA"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36.36 ± 0.03</w:t>
            </w:r>
          </w:p>
        </w:tc>
      </w:tr>
      <w:tr w:rsidR="00F303BF" w:rsidRPr="002B194C" w14:paraId="613844A7" w14:textId="77777777" w:rsidTr="00FF07FE">
        <w:tc>
          <w:tcPr>
            <w:tcW w:w="0" w:type="auto"/>
            <w:hideMark/>
          </w:tcPr>
          <w:p w14:paraId="43A4304F"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Mustard oil cake</w:t>
            </w:r>
          </w:p>
        </w:tc>
        <w:tc>
          <w:tcPr>
            <w:tcW w:w="0" w:type="auto"/>
            <w:hideMark/>
          </w:tcPr>
          <w:p w14:paraId="0CDE0F02"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8.52 ± 0.12</w:t>
            </w:r>
          </w:p>
        </w:tc>
        <w:tc>
          <w:tcPr>
            <w:tcW w:w="0" w:type="auto"/>
            <w:hideMark/>
          </w:tcPr>
          <w:p w14:paraId="3DF27E11"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10.73 ± 0.21</w:t>
            </w:r>
          </w:p>
        </w:tc>
        <w:tc>
          <w:tcPr>
            <w:tcW w:w="0" w:type="auto"/>
            <w:hideMark/>
          </w:tcPr>
          <w:p w14:paraId="1ADB30D0"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7.08 ± 0.05</w:t>
            </w:r>
          </w:p>
        </w:tc>
        <w:tc>
          <w:tcPr>
            <w:tcW w:w="0" w:type="auto"/>
            <w:hideMark/>
          </w:tcPr>
          <w:p w14:paraId="65EC5ED9"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30.37 ± 0.28</w:t>
            </w:r>
          </w:p>
        </w:tc>
        <w:tc>
          <w:tcPr>
            <w:tcW w:w="0" w:type="auto"/>
            <w:hideMark/>
          </w:tcPr>
          <w:p w14:paraId="37FF8905"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32.62 ± 0.51</w:t>
            </w:r>
          </w:p>
        </w:tc>
      </w:tr>
      <w:tr w:rsidR="00F303BF" w:rsidRPr="002B194C" w14:paraId="368664DF" w14:textId="77777777" w:rsidTr="00FF07FE">
        <w:tc>
          <w:tcPr>
            <w:tcW w:w="0" w:type="auto"/>
            <w:hideMark/>
          </w:tcPr>
          <w:p w14:paraId="46AEB194"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Soya meal</w:t>
            </w:r>
          </w:p>
        </w:tc>
        <w:tc>
          <w:tcPr>
            <w:tcW w:w="0" w:type="auto"/>
            <w:hideMark/>
          </w:tcPr>
          <w:p w14:paraId="36DF5EB9"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7.37 ± 0.49</w:t>
            </w:r>
          </w:p>
        </w:tc>
        <w:tc>
          <w:tcPr>
            <w:tcW w:w="0" w:type="auto"/>
            <w:hideMark/>
          </w:tcPr>
          <w:p w14:paraId="32419E86"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3.00 ± 0.89</w:t>
            </w:r>
          </w:p>
        </w:tc>
        <w:tc>
          <w:tcPr>
            <w:tcW w:w="0" w:type="auto"/>
            <w:hideMark/>
          </w:tcPr>
          <w:p w14:paraId="1A6B40D1"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11.04 ± 0.18</w:t>
            </w:r>
          </w:p>
        </w:tc>
        <w:tc>
          <w:tcPr>
            <w:tcW w:w="0" w:type="auto"/>
            <w:hideMark/>
          </w:tcPr>
          <w:p w14:paraId="1FA24601"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50.74 ± 0.75</w:t>
            </w:r>
          </w:p>
        </w:tc>
        <w:tc>
          <w:tcPr>
            <w:tcW w:w="0" w:type="auto"/>
            <w:hideMark/>
          </w:tcPr>
          <w:p w14:paraId="2F64510E"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27.28 ± 0.60</w:t>
            </w:r>
          </w:p>
        </w:tc>
      </w:tr>
      <w:tr w:rsidR="00F303BF" w:rsidRPr="002B194C" w14:paraId="16B3642E" w14:textId="77777777" w:rsidTr="00FF07FE">
        <w:tc>
          <w:tcPr>
            <w:tcW w:w="0" w:type="auto"/>
            <w:hideMark/>
          </w:tcPr>
          <w:p w14:paraId="5CD8903C"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Rice bran</w:t>
            </w:r>
          </w:p>
        </w:tc>
        <w:tc>
          <w:tcPr>
            <w:tcW w:w="0" w:type="auto"/>
            <w:hideMark/>
          </w:tcPr>
          <w:p w14:paraId="7B2223BD"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7.07 ± 0.10</w:t>
            </w:r>
          </w:p>
        </w:tc>
        <w:tc>
          <w:tcPr>
            <w:tcW w:w="0" w:type="auto"/>
            <w:hideMark/>
          </w:tcPr>
          <w:p w14:paraId="67C1F09C"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1.76 ± 0.72</w:t>
            </w:r>
          </w:p>
        </w:tc>
        <w:tc>
          <w:tcPr>
            <w:tcW w:w="0" w:type="auto"/>
            <w:hideMark/>
          </w:tcPr>
          <w:p w14:paraId="163880B1"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11.78 ± 0.39</w:t>
            </w:r>
          </w:p>
        </w:tc>
        <w:tc>
          <w:tcPr>
            <w:tcW w:w="0" w:type="auto"/>
            <w:hideMark/>
          </w:tcPr>
          <w:p w14:paraId="10ADCEFC"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12.74 ± 0.40</w:t>
            </w:r>
          </w:p>
        </w:tc>
        <w:tc>
          <w:tcPr>
            <w:tcW w:w="0" w:type="auto"/>
            <w:hideMark/>
          </w:tcPr>
          <w:p w14:paraId="76EA545D"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59.12 ± 0.33</w:t>
            </w:r>
          </w:p>
        </w:tc>
      </w:tr>
    </w:tbl>
    <w:p w14:paraId="7B16FDDE" w14:textId="77777777" w:rsidR="00177453" w:rsidRPr="002B194C" w:rsidRDefault="00177453" w:rsidP="00F303BF">
      <w:pPr>
        <w:spacing w:after="0"/>
        <w:jc w:val="both"/>
        <w:rPr>
          <w:rFonts w:ascii="Times New Roman" w:hAnsi="Times New Roman" w:cs="Times New Roman"/>
          <w:bCs/>
          <w:sz w:val="24"/>
          <w:szCs w:val="24"/>
        </w:rPr>
      </w:pPr>
      <w:r w:rsidRPr="002B194C">
        <w:rPr>
          <w:rFonts w:ascii="Times New Roman" w:hAnsi="Times New Roman" w:cs="Times New Roman"/>
          <w:bCs/>
          <w:sz w:val="24"/>
          <w:szCs w:val="24"/>
        </w:rPr>
        <w:lastRenderedPageBreak/>
        <w:t xml:space="preserve">Values are present in </w:t>
      </w:r>
      <w:proofErr w:type="spellStart"/>
      <w:r w:rsidRPr="002B194C">
        <w:rPr>
          <w:rFonts w:ascii="Times New Roman" w:hAnsi="Times New Roman" w:cs="Times New Roman"/>
          <w:bCs/>
          <w:sz w:val="24"/>
          <w:szCs w:val="24"/>
        </w:rPr>
        <w:t>Mean</w:t>
      </w:r>
      <w:r w:rsidRPr="002B194C">
        <w:rPr>
          <w:rFonts w:ascii="Times New Roman" w:hAnsi="Times New Roman" w:cs="Times New Roman"/>
          <w:sz w:val="24"/>
          <w:szCs w:val="24"/>
        </w:rPr>
        <w:t>±SD</w:t>
      </w:r>
      <w:proofErr w:type="spellEnd"/>
    </w:p>
    <w:p w14:paraId="3C162097" w14:textId="77777777" w:rsidR="00F303BF" w:rsidRPr="002B194C" w:rsidRDefault="00F303BF" w:rsidP="00F303BF">
      <w:pPr>
        <w:spacing w:after="0"/>
        <w:jc w:val="both"/>
        <w:rPr>
          <w:rFonts w:ascii="Times New Roman" w:hAnsi="Times New Roman" w:cs="Times New Roman"/>
          <w:b/>
          <w:bCs/>
          <w:sz w:val="24"/>
          <w:szCs w:val="24"/>
        </w:rPr>
      </w:pPr>
      <w:r w:rsidRPr="002B194C">
        <w:rPr>
          <w:rFonts w:ascii="Times New Roman" w:hAnsi="Times New Roman" w:cs="Times New Roman"/>
          <w:b/>
          <w:bCs/>
          <w:sz w:val="24"/>
          <w:szCs w:val="24"/>
        </w:rPr>
        <w:t xml:space="preserve">Table 3. </w:t>
      </w:r>
      <w:r w:rsidRPr="002B194C">
        <w:rPr>
          <w:rFonts w:ascii="Times New Roman" w:hAnsi="Times New Roman" w:cs="Times New Roman"/>
          <w:sz w:val="24"/>
          <w:szCs w:val="24"/>
        </w:rPr>
        <w:t>Analyzed proximate composition (%)of experimental diets</w:t>
      </w:r>
    </w:p>
    <w:tbl>
      <w:tblPr>
        <w:tblStyle w:val="TableGridLight1"/>
        <w:tblW w:w="0" w:type="auto"/>
        <w:tblLook w:val="04A0" w:firstRow="1" w:lastRow="0" w:firstColumn="1" w:lastColumn="0" w:noHBand="0" w:noVBand="1"/>
      </w:tblPr>
      <w:tblGrid>
        <w:gridCol w:w="1795"/>
        <w:gridCol w:w="1308"/>
        <w:gridCol w:w="1308"/>
        <w:gridCol w:w="1308"/>
        <w:gridCol w:w="1308"/>
        <w:gridCol w:w="1308"/>
      </w:tblGrid>
      <w:tr w:rsidR="00F303BF" w:rsidRPr="002B194C" w14:paraId="073B2736" w14:textId="77777777" w:rsidTr="00FF07FE">
        <w:tc>
          <w:tcPr>
            <w:tcW w:w="0" w:type="auto"/>
            <w:hideMark/>
          </w:tcPr>
          <w:p w14:paraId="37ED0CE9"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b/>
                <w:bCs/>
                <w:sz w:val="24"/>
                <w:szCs w:val="24"/>
              </w:rPr>
              <w:t>Diet Parameter</w:t>
            </w:r>
          </w:p>
        </w:tc>
        <w:tc>
          <w:tcPr>
            <w:tcW w:w="0" w:type="auto"/>
            <w:hideMark/>
          </w:tcPr>
          <w:p w14:paraId="1C150822"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b/>
                <w:bCs/>
                <w:sz w:val="24"/>
                <w:szCs w:val="24"/>
              </w:rPr>
              <w:t>Control</w:t>
            </w:r>
          </w:p>
        </w:tc>
        <w:tc>
          <w:tcPr>
            <w:tcW w:w="0" w:type="auto"/>
            <w:hideMark/>
          </w:tcPr>
          <w:p w14:paraId="6DE5D0BF"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b/>
                <w:bCs/>
                <w:sz w:val="24"/>
                <w:szCs w:val="24"/>
              </w:rPr>
              <w:t>T1</w:t>
            </w:r>
          </w:p>
        </w:tc>
        <w:tc>
          <w:tcPr>
            <w:tcW w:w="0" w:type="auto"/>
            <w:hideMark/>
          </w:tcPr>
          <w:p w14:paraId="24862BC5"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b/>
                <w:bCs/>
                <w:sz w:val="24"/>
                <w:szCs w:val="24"/>
              </w:rPr>
              <w:t>T2</w:t>
            </w:r>
          </w:p>
        </w:tc>
        <w:tc>
          <w:tcPr>
            <w:tcW w:w="0" w:type="auto"/>
            <w:hideMark/>
          </w:tcPr>
          <w:p w14:paraId="4A49EC1F"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b/>
                <w:bCs/>
                <w:sz w:val="24"/>
                <w:szCs w:val="24"/>
              </w:rPr>
              <w:t>T3</w:t>
            </w:r>
          </w:p>
        </w:tc>
        <w:tc>
          <w:tcPr>
            <w:tcW w:w="0" w:type="auto"/>
            <w:hideMark/>
          </w:tcPr>
          <w:p w14:paraId="10F44D03"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b/>
                <w:bCs/>
                <w:sz w:val="24"/>
                <w:szCs w:val="24"/>
              </w:rPr>
              <w:t>T4</w:t>
            </w:r>
          </w:p>
        </w:tc>
      </w:tr>
      <w:tr w:rsidR="00F303BF" w:rsidRPr="002B194C" w14:paraId="20DF09DD" w14:textId="77777777" w:rsidTr="00FF07FE">
        <w:tc>
          <w:tcPr>
            <w:tcW w:w="0" w:type="auto"/>
            <w:hideMark/>
          </w:tcPr>
          <w:p w14:paraId="035C0229"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Crude Protein</w:t>
            </w:r>
          </w:p>
        </w:tc>
        <w:tc>
          <w:tcPr>
            <w:tcW w:w="0" w:type="auto"/>
            <w:hideMark/>
          </w:tcPr>
          <w:p w14:paraId="7BCB9391"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35.5 ± 0.01</w:t>
            </w:r>
          </w:p>
        </w:tc>
        <w:tc>
          <w:tcPr>
            <w:tcW w:w="0" w:type="auto"/>
            <w:hideMark/>
          </w:tcPr>
          <w:p w14:paraId="4BE9161D"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35.4 ± 0.02</w:t>
            </w:r>
          </w:p>
        </w:tc>
        <w:tc>
          <w:tcPr>
            <w:tcW w:w="0" w:type="auto"/>
            <w:hideMark/>
          </w:tcPr>
          <w:p w14:paraId="48023ADD"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35.3 ± 0.03</w:t>
            </w:r>
          </w:p>
        </w:tc>
        <w:tc>
          <w:tcPr>
            <w:tcW w:w="0" w:type="auto"/>
            <w:hideMark/>
          </w:tcPr>
          <w:p w14:paraId="18991272"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35.2 ± 0.03</w:t>
            </w:r>
          </w:p>
        </w:tc>
        <w:tc>
          <w:tcPr>
            <w:tcW w:w="0" w:type="auto"/>
            <w:hideMark/>
          </w:tcPr>
          <w:p w14:paraId="436550F1"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35.1 ± 0.01</w:t>
            </w:r>
          </w:p>
        </w:tc>
      </w:tr>
      <w:tr w:rsidR="00F303BF" w:rsidRPr="002B194C" w14:paraId="341BA92A" w14:textId="77777777" w:rsidTr="00FF07FE">
        <w:tc>
          <w:tcPr>
            <w:tcW w:w="0" w:type="auto"/>
            <w:hideMark/>
          </w:tcPr>
          <w:p w14:paraId="278A34BC"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Crude Lipid</w:t>
            </w:r>
          </w:p>
        </w:tc>
        <w:tc>
          <w:tcPr>
            <w:tcW w:w="0" w:type="auto"/>
            <w:hideMark/>
          </w:tcPr>
          <w:p w14:paraId="7C15D4C7"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6.5 ± 0.03</w:t>
            </w:r>
          </w:p>
        </w:tc>
        <w:tc>
          <w:tcPr>
            <w:tcW w:w="0" w:type="auto"/>
            <w:hideMark/>
          </w:tcPr>
          <w:p w14:paraId="6C90D73E"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6.6 ± 0.01</w:t>
            </w:r>
          </w:p>
        </w:tc>
        <w:tc>
          <w:tcPr>
            <w:tcW w:w="0" w:type="auto"/>
            <w:hideMark/>
          </w:tcPr>
          <w:p w14:paraId="0B9E5698"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6.7 ± 0.01</w:t>
            </w:r>
          </w:p>
        </w:tc>
        <w:tc>
          <w:tcPr>
            <w:tcW w:w="0" w:type="auto"/>
            <w:hideMark/>
          </w:tcPr>
          <w:p w14:paraId="546CBC71"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6.8 ± 0.01</w:t>
            </w:r>
          </w:p>
        </w:tc>
        <w:tc>
          <w:tcPr>
            <w:tcW w:w="0" w:type="auto"/>
            <w:hideMark/>
          </w:tcPr>
          <w:p w14:paraId="6A860FDE"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6.8 ± 0.03</w:t>
            </w:r>
          </w:p>
        </w:tc>
      </w:tr>
      <w:tr w:rsidR="00F303BF" w:rsidRPr="002B194C" w14:paraId="0CF2235D" w14:textId="77777777" w:rsidTr="00FF07FE">
        <w:tc>
          <w:tcPr>
            <w:tcW w:w="0" w:type="auto"/>
            <w:hideMark/>
          </w:tcPr>
          <w:p w14:paraId="24359138"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Crude Fiber</w:t>
            </w:r>
          </w:p>
        </w:tc>
        <w:tc>
          <w:tcPr>
            <w:tcW w:w="0" w:type="auto"/>
            <w:hideMark/>
          </w:tcPr>
          <w:p w14:paraId="3610C678"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4.5 ± 0.02</w:t>
            </w:r>
          </w:p>
        </w:tc>
        <w:tc>
          <w:tcPr>
            <w:tcW w:w="0" w:type="auto"/>
            <w:hideMark/>
          </w:tcPr>
          <w:p w14:paraId="3C9ABB1E"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4.8 ± 0.01</w:t>
            </w:r>
          </w:p>
        </w:tc>
        <w:tc>
          <w:tcPr>
            <w:tcW w:w="0" w:type="auto"/>
            <w:hideMark/>
          </w:tcPr>
          <w:p w14:paraId="1709395B"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5.2 ± 0.01</w:t>
            </w:r>
          </w:p>
        </w:tc>
        <w:tc>
          <w:tcPr>
            <w:tcW w:w="0" w:type="auto"/>
            <w:hideMark/>
          </w:tcPr>
          <w:p w14:paraId="57EA0829"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5.7 ± 0.02</w:t>
            </w:r>
          </w:p>
        </w:tc>
        <w:tc>
          <w:tcPr>
            <w:tcW w:w="0" w:type="auto"/>
            <w:hideMark/>
          </w:tcPr>
          <w:p w14:paraId="4847FE43"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6.1 ± 0.02</w:t>
            </w:r>
          </w:p>
        </w:tc>
      </w:tr>
      <w:tr w:rsidR="00F303BF" w:rsidRPr="002B194C" w14:paraId="6E8BAD61" w14:textId="77777777" w:rsidTr="00FF07FE">
        <w:tc>
          <w:tcPr>
            <w:tcW w:w="0" w:type="auto"/>
            <w:hideMark/>
          </w:tcPr>
          <w:p w14:paraId="40436427"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Ash</w:t>
            </w:r>
          </w:p>
        </w:tc>
        <w:tc>
          <w:tcPr>
            <w:tcW w:w="0" w:type="auto"/>
            <w:hideMark/>
          </w:tcPr>
          <w:p w14:paraId="7465FCF0"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8.3 ± 0.03</w:t>
            </w:r>
          </w:p>
        </w:tc>
        <w:tc>
          <w:tcPr>
            <w:tcW w:w="0" w:type="auto"/>
            <w:hideMark/>
          </w:tcPr>
          <w:p w14:paraId="07A57C0D"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8.2 ± 0.01</w:t>
            </w:r>
          </w:p>
        </w:tc>
        <w:tc>
          <w:tcPr>
            <w:tcW w:w="0" w:type="auto"/>
            <w:hideMark/>
          </w:tcPr>
          <w:p w14:paraId="7294B1BF"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8.1 ± 0.03</w:t>
            </w:r>
          </w:p>
        </w:tc>
        <w:tc>
          <w:tcPr>
            <w:tcW w:w="0" w:type="auto"/>
            <w:hideMark/>
          </w:tcPr>
          <w:p w14:paraId="4D73E0FA"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8.0 ± 0.02</w:t>
            </w:r>
          </w:p>
        </w:tc>
        <w:tc>
          <w:tcPr>
            <w:tcW w:w="0" w:type="auto"/>
            <w:hideMark/>
          </w:tcPr>
          <w:p w14:paraId="718AA292"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7.9 ± 0.02</w:t>
            </w:r>
          </w:p>
        </w:tc>
      </w:tr>
      <w:tr w:rsidR="00F303BF" w:rsidRPr="002B194C" w14:paraId="5C7C4BBC" w14:textId="77777777" w:rsidTr="00FF07FE">
        <w:tc>
          <w:tcPr>
            <w:tcW w:w="0" w:type="auto"/>
            <w:hideMark/>
          </w:tcPr>
          <w:p w14:paraId="7F874344"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Moisture</w:t>
            </w:r>
          </w:p>
        </w:tc>
        <w:tc>
          <w:tcPr>
            <w:tcW w:w="0" w:type="auto"/>
            <w:hideMark/>
          </w:tcPr>
          <w:p w14:paraId="032C909A"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8.2 ± 0.15</w:t>
            </w:r>
          </w:p>
        </w:tc>
        <w:tc>
          <w:tcPr>
            <w:tcW w:w="0" w:type="auto"/>
            <w:hideMark/>
          </w:tcPr>
          <w:p w14:paraId="5FB41206"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8.3 ± 0.11</w:t>
            </w:r>
          </w:p>
        </w:tc>
        <w:tc>
          <w:tcPr>
            <w:tcW w:w="0" w:type="auto"/>
            <w:hideMark/>
          </w:tcPr>
          <w:p w14:paraId="1A246539"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8.4 ± 0.09</w:t>
            </w:r>
          </w:p>
        </w:tc>
        <w:tc>
          <w:tcPr>
            <w:tcW w:w="0" w:type="auto"/>
            <w:hideMark/>
          </w:tcPr>
          <w:p w14:paraId="014BFB8D"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8.3 ± 0.12</w:t>
            </w:r>
          </w:p>
        </w:tc>
        <w:tc>
          <w:tcPr>
            <w:tcW w:w="0" w:type="auto"/>
            <w:hideMark/>
          </w:tcPr>
          <w:p w14:paraId="5AFDFA68" w14:textId="77777777" w:rsidR="00F303BF" w:rsidRPr="002B194C" w:rsidRDefault="00F303BF" w:rsidP="00FF07FE">
            <w:pPr>
              <w:jc w:val="both"/>
              <w:rPr>
                <w:rFonts w:ascii="Times New Roman" w:hAnsi="Times New Roman" w:cs="Times New Roman"/>
                <w:sz w:val="24"/>
                <w:szCs w:val="24"/>
              </w:rPr>
            </w:pPr>
            <w:r w:rsidRPr="002B194C">
              <w:rPr>
                <w:rFonts w:ascii="Times New Roman" w:hAnsi="Times New Roman" w:cs="Times New Roman"/>
                <w:sz w:val="24"/>
                <w:szCs w:val="24"/>
              </w:rPr>
              <w:t>8.5 ± 0.10</w:t>
            </w:r>
          </w:p>
        </w:tc>
      </w:tr>
    </w:tbl>
    <w:p w14:paraId="27725C71" w14:textId="77777777" w:rsidR="00177453" w:rsidRPr="002B194C" w:rsidRDefault="00177453" w:rsidP="00177453">
      <w:pPr>
        <w:spacing w:after="0"/>
        <w:jc w:val="both"/>
        <w:rPr>
          <w:rFonts w:ascii="Times New Roman" w:hAnsi="Times New Roman" w:cs="Times New Roman"/>
          <w:bCs/>
          <w:sz w:val="24"/>
          <w:szCs w:val="24"/>
        </w:rPr>
      </w:pPr>
      <w:r w:rsidRPr="002B194C">
        <w:rPr>
          <w:rFonts w:ascii="Times New Roman" w:hAnsi="Times New Roman" w:cs="Times New Roman"/>
          <w:bCs/>
          <w:sz w:val="24"/>
          <w:szCs w:val="24"/>
        </w:rPr>
        <w:t xml:space="preserve">Values are present in </w:t>
      </w:r>
      <w:proofErr w:type="spellStart"/>
      <w:r w:rsidRPr="002B194C">
        <w:rPr>
          <w:rFonts w:ascii="Times New Roman" w:hAnsi="Times New Roman" w:cs="Times New Roman"/>
          <w:bCs/>
          <w:sz w:val="24"/>
          <w:szCs w:val="24"/>
        </w:rPr>
        <w:t>Mean</w:t>
      </w:r>
      <w:r w:rsidRPr="002B194C">
        <w:rPr>
          <w:rFonts w:ascii="Times New Roman" w:hAnsi="Times New Roman" w:cs="Times New Roman"/>
          <w:sz w:val="24"/>
          <w:szCs w:val="24"/>
        </w:rPr>
        <w:t>±SD</w:t>
      </w:r>
      <w:proofErr w:type="spellEnd"/>
      <w:r w:rsidR="0074083B" w:rsidRPr="002B194C">
        <w:rPr>
          <w:rFonts w:ascii="Times New Roman" w:hAnsi="Times New Roman" w:cs="Times New Roman"/>
          <w:sz w:val="24"/>
          <w:szCs w:val="24"/>
        </w:rPr>
        <w:t>, n=3 per treatment group</w:t>
      </w:r>
    </w:p>
    <w:p w14:paraId="6951192A" w14:textId="77777777" w:rsidR="00D85DD2" w:rsidRPr="002B194C" w:rsidRDefault="00D85DD2" w:rsidP="006E351D">
      <w:pPr>
        <w:spacing w:after="0"/>
        <w:jc w:val="both"/>
        <w:rPr>
          <w:rFonts w:ascii="Times New Roman" w:hAnsi="Times New Roman" w:cs="Times New Roman"/>
          <w:b/>
          <w:bCs/>
          <w:sz w:val="24"/>
          <w:szCs w:val="24"/>
        </w:rPr>
      </w:pPr>
    </w:p>
    <w:p w14:paraId="673F5059" w14:textId="77777777" w:rsidR="00D85DD2" w:rsidRPr="002B194C" w:rsidRDefault="00D85DD2" w:rsidP="006E351D">
      <w:pPr>
        <w:spacing w:after="0"/>
        <w:jc w:val="both"/>
        <w:rPr>
          <w:rFonts w:ascii="Times New Roman" w:hAnsi="Times New Roman" w:cs="Times New Roman"/>
          <w:b/>
          <w:bCs/>
          <w:sz w:val="24"/>
          <w:szCs w:val="24"/>
        </w:rPr>
      </w:pPr>
    </w:p>
    <w:p w14:paraId="02FA5C59" w14:textId="77777777" w:rsidR="00553761" w:rsidRPr="002B194C" w:rsidRDefault="00553761" w:rsidP="006E351D">
      <w:pPr>
        <w:spacing w:after="0"/>
        <w:jc w:val="both"/>
        <w:rPr>
          <w:rFonts w:ascii="Times New Roman" w:hAnsi="Times New Roman" w:cs="Times New Roman"/>
          <w:b/>
          <w:bCs/>
          <w:sz w:val="24"/>
          <w:szCs w:val="24"/>
        </w:rPr>
      </w:pPr>
    </w:p>
    <w:p w14:paraId="59B57907" w14:textId="77777777" w:rsidR="006E351D" w:rsidRPr="002B194C" w:rsidRDefault="006E351D" w:rsidP="006E351D">
      <w:pPr>
        <w:spacing w:after="0"/>
        <w:jc w:val="both"/>
        <w:rPr>
          <w:rFonts w:ascii="Times New Roman" w:hAnsi="Times New Roman" w:cs="Times New Roman"/>
          <w:b/>
          <w:bCs/>
          <w:sz w:val="24"/>
          <w:szCs w:val="24"/>
        </w:rPr>
      </w:pPr>
      <w:r w:rsidRPr="002B194C">
        <w:rPr>
          <w:rFonts w:ascii="Times New Roman" w:hAnsi="Times New Roman" w:cs="Times New Roman"/>
          <w:b/>
          <w:bCs/>
          <w:sz w:val="24"/>
          <w:szCs w:val="24"/>
        </w:rPr>
        <w:t>3.2 Water quality parameters</w:t>
      </w:r>
    </w:p>
    <w:p w14:paraId="21F0F251" w14:textId="77777777" w:rsidR="005B4045" w:rsidRPr="002B194C" w:rsidRDefault="005B4045" w:rsidP="005B4045">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 xml:space="preserve">The water quality parameters recorded during the 20-day nursery rearing period of </w:t>
      </w:r>
      <w:proofErr w:type="spellStart"/>
      <w:r w:rsidRPr="002B194C">
        <w:rPr>
          <w:rFonts w:ascii="Times New Roman" w:hAnsi="Times New Roman" w:cs="Times New Roman"/>
          <w:i/>
          <w:iCs/>
          <w:sz w:val="24"/>
          <w:szCs w:val="24"/>
        </w:rPr>
        <w:t>Labeo</w:t>
      </w:r>
      <w:proofErr w:type="spellEnd"/>
      <w:r w:rsidRPr="002B194C">
        <w:rPr>
          <w:rFonts w:ascii="Times New Roman" w:hAnsi="Times New Roman" w:cs="Times New Roman"/>
          <w:i/>
          <w:iCs/>
          <w:sz w:val="24"/>
          <w:szCs w:val="24"/>
        </w:rPr>
        <w:t xml:space="preserve"> </w:t>
      </w:r>
      <w:proofErr w:type="spellStart"/>
      <w:r w:rsidRPr="002B194C">
        <w:rPr>
          <w:rFonts w:ascii="Times New Roman" w:hAnsi="Times New Roman" w:cs="Times New Roman"/>
          <w:i/>
          <w:iCs/>
          <w:sz w:val="24"/>
          <w:szCs w:val="24"/>
        </w:rPr>
        <w:t>rohita</w:t>
      </w:r>
      <w:proofErr w:type="spellEnd"/>
      <w:r w:rsidRPr="002B194C">
        <w:rPr>
          <w:rFonts w:ascii="Times New Roman" w:hAnsi="Times New Roman" w:cs="Times New Roman"/>
          <w:sz w:val="24"/>
          <w:szCs w:val="24"/>
        </w:rPr>
        <w:t xml:space="preserve"> spawn are presented in Table 4. Water temperature, pH, dissolved oxygen, total alkalinity, and total hardness remained within the acceptable ranges recommended for the successful culture of Indian major carp throughout the experimental period. No significant differences (P &gt; 0.05) were observed among the dietary treatments for any of the measured water quality parameters, indicating that dietary incorporation of </w:t>
      </w:r>
      <w:r w:rsidRPr="002B194C">
        <w:rPr>
          <w:rFonts w:ascii="Times New Roman" w:hAnsi="Times New Roman" w:cs="Times New Roman"/>
          <w:i/>
          <w:iCs/>
          <w:sz w:val="24"/>
          <w:szCs w:val="24"/>
        </w:rPr>
        <w:t>Moringa oleifera</w:t>
      </w:r>
      <w:r w:rsidRPr="002B194C">
        <w:rPr>
          <w:rFonts w:ascii="Times New Roman" w:hAnsi="Times New Roman" w:cs="Times New Roman"/>
          <w:sz w:val="24"/>
          <w:szCs w:val="24"/>
        </w:rPr>
        <w:t xml:space="preserve"> leaf meal (MOLM) did not adversely affect the culture environment. The mean water temperature ranged from 27.80 ± 0.51 to 27.94 ± 0.35°C, pH from 7.51 ± 0.11 to 7.60 ± 0.14, dissolved oxygen from 5.71 ± 0.28 to 5.85 ± 0.25 mg L⁻¹, total alkalinity from 123.90 ± 5.12 to 126.20 ± 3.85 mg L⁻¹, and total hardness from 171.13 ± 4.61 to 172.40 ± 5.36 mg L⁻¹ across the experimental treatments. These values remained within the optimal ranges reported for nursery rearing of </w:t>
      </w:r>
      <w:r w:rsidRPr="002B194C">
        <w:rPr>
          <w:rFonts w:ascii="Times New Roman" w:hAnsi="Times New Roman" w:cs="Times New Roman"/>
          <w:i/>
          <w:iCs/>
          <w:sz w:val="24"/>
          <w:szCs w:val="24"/>
        </w:rPr>
        <w:t xml:space="preserve">L. </w:t>
      </w:r>
      <w:proofErr w:type="spellStart"/>
      <w:r w:rsidRPr="002B194C">
        <w:rPr>
          <w:rFonts w:ascii="Times New Roman" w:hAnsi="Times New Roman" w:cs="Times New Roman"/>
          <w:i/>
          <w:iCs/>
          <w:sz w:val="24"/>
          <w:szCs w:val="24"/>
        </w:rPr>
        <w:t>rohita</w:t>
      </w:r>
      <w:proofErr w:type="spellEnd"/>
      <w:r w:rsidRPr="002B194C">
        <w:rPr>
          <w:rFonts w:ascii="Times New Roman" w:hAnsi="Times New Roman" w:cs="Times New Roman"/>
          <w:sz w:val="24"/>
          <w:szCs w:val="24"/>
        </w:rPr>
        <w:t xml:space="preserve"> and were suitable for supporting normal physiological functions, feeding activity, and growth.</w:t>
      </w:r>
    </w:p>
    <w:p w14:paraId="338CBFB4" w14:textId="77777777" w:rsidR="005B4045" w:rsidRPr="002B194C" w:rsidRDefault="005B4045" w:rsidP="005B4045">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 xml:space="preserve">The absence of significant differences among treatments suggests that replacing fish meal with MOLM at levels of up to 20% had no measurable effect on the physicochemical characteristics of the rearing water. This may be attributed to the formulation of nutritionally balanced experimental diets and the adoption of appropriate feeding and water-management practices throughout the study. Adequate dissolved oxygen and near-neutral pH are essential for efficient metabolism, nutrient </w:t>
      </w:r>
      <w:proofErr w:type="spellStart"/>
      <w:r w:rsidRPr="002B194C">
        <w:rPr>
          <w:rFonts w:ascii="Times New Roman" w:hAnsi="Times New Roman" w:cs="Times New Roman"/>
          <w:sz w:val="24"/>
          <w:szCs w:val="24"/>
        </w:rPr>
        <w:t>utilisation</w:t>
      </w:r>
      <w:proofErr w:type="spellEnd"/>
      <w:r w:rsidRPr="002B194C">
        <w:rPr>
          <w:rFonts w:ascii="Times New Roman" w:hAnsi="Times New Roman" w:cs="Times New Roman"/>
          <w:sz w:val="24"/>
          <w:szCs w:val="24"/>
        </w:rPr>
        <w:t xml:space="preserve">, and overall fish health, whereas suitable alkalinity and hardness contribute to buffering capacity and osmotic regulation. Consequently, the </w:t>
      </w:r>
      <w:proofErr w:type="spellStart"/>
      <w:r w:rsidRPr="002B194C">
        <w:rPr>
          <w:rFonts w:ascii="Times New Roman" w:hAnsi="Times New Roman" w:cs="Times New Roman"/>
          <w:sz w:val="24"/>
          <w:szCs w:val="24"/>
        </w:rPr>
        <w:t>favourable</w:t>
      </w:r>
      <w:proofErr w:type="spellEnd"/>
      <w:r w:rsidRPr="002B194C">
        <w:rPr>
          <w:rFonts w:ascii="Times New Roman" w:hAnsi="Times New Roman" w:cs="Times New Roman"/>
          <w:sz w:val="24"/>
          <w:szCs w:val="24"/>
        </w:rPr>
        <w:t xml:space="preserve"> water quality conditions maintained during the experiment helped ensure that the observed differences in growth performance, feed </w:t>
      </w:r>
      <w:proofErr w:type="spellStart"/>
      <w:r w:rsidRPr="002B194C">
        <w:rPr>
          <w:rFonts w:ascii="Times New Roman" w:hAnsi="Times New Roman" w:cs="Times New Roman"/>
          <w:sz w:val="24"/>
          <w:szCs w:val="24"/>
        </w:rPr>
        <w:t>utilisation</w:t>
      </w:r>
      <w:proofErr w:type="spellEnd"/>
      <w:r w:rsidRPr="002B194C">
        <w:rPr>
          <w:rFonts w:ascii="Times New Roman" w:hAnsi="Times New Roman" w:cs="Times New Roman"/>
          <w:sz w:val="24"/>
          <w:szCs w:val="24"/>
        </w:rPr>
        <w:t xml:space="preserve">, body composition, and </w:t>
      </w:r>
      <w:proofErr w:type="spellStart"/>
      <w:r w:rsidRPr="002B194C">
        <w:rPr>
          <w:rFonts w:ascii="Times New Roman" w:hAnsi="Times New Roman" w:cs="Times New Roman"/>
          <w:sz w:val="24"/>
          <w:szCs w:val="24"/>
        </w:rPr>
        <w:t>haematological</w:t>
      </w:r>
      <w:proofErr w:type="spellEnd"/>
      <w:r w:rsidRPr="002B194C">
        <w:rPr>
          <w:rFonts w:ascii="Times New Roman" w:hAnsi="Times New Roman" w:cs="Times New Roman"/>
          <w:sz w:val="24"/>
          <w:szCs w:val="24"/>
        </w:rPr>
        <w:t xml:space="preserve"> responses were primarily associated with the dietary treatments rather than environmental variation.</w:t>
      </w:r>
    </w:p>
    <w:p w14:paraId="39A331A9" w14:textId="77777777" w:rsidR="005B4045" w:rsidRPr="002B194C" w:rsidRDefault="005B4045" w:rsidP="005B4045">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 xml:space="preserve">The present findings are consistent with those reported by Kumawat et al. </w:t>
      </w:r>
      <w:r w:rsidRPr="002B194C">
        <w:rPr>
          <w:rFonts w:ascii="Times New Roman" w:hAnsi="Times New Roman" w:cs="Times New Roman"/>
          <w:sz w:val="24"/>
          <w:szCs w:val="24"/>
          <w:lang w:val="es-US"/>
        </w:rPr>
        <w:t xml:space="preserve">(2018), Malik et al. (2020), Das et al. (2019), and Tanuja et al. </w:t>
      </w:r>
      <w:r w:rsidRPr="002B194C">
        <w:rPr>
          <w:rFonts w:ascii="Times New Roman" w:hAnsi="Times New Roman" w:cs="Times New Roman"/>
          <w:sz w:val="24"/>
          <w:szCs w:val="24"/>
        </w:rPr>
        <w:t xml:space="preserve">(2026), who also observed that maintaining water quality within the recommended limits is essential for </w:t>
      </w:r>
      <w:proofErr w:type="spellStart"/>
      <w:r w:rsidRPr="002B194C">
        <w:rPr>
          <w:rFonts w:ascii="Times New Roman" w:hAnsi="Times New Roman" w:cs="Times New Roman"/>
          <w:sz w:val="24"/>
          <w:szCs w:val="24"/>
        </w:rPr>
        <w:t>maximising</w:t>
      </w:r>
      <w:proofErr w:type="spellEnd"/>
      <w:r w:rsidRPr="002B194C">
        <w:rPr>
          <w:rFonts w:ascii="Times New Roman" w:hAnsi="Times New Roman" w:cs="Times New Roman"/>
          <w:sz w:val="24"/>
          <w:szCs w:val="24"/>
        </w:rPr>
        <w:t xml:space="preserve"> the growth and survival of </w:t>
      </w:r>
      <w:r w:rsidRPr="002B194C">
        <w:rPr>
          <w:rFonts w:ascii="Times New Roman" w:hAnsi="Times New Roman" w:cs="Times New Roman"/>
          <w:i/>
          <w:iCs/>
          <w:sz w:val="24"/>
          <w:szCs w:val="24"/>
        </w:rPr>
        <w:t xml:space="preserve">L. </w:t>
      </w:r>
      <w:proofErr w:type="spellStart"/>
      <w:r w:rsidRPr="002B194C">
        <w:rPr>
          <w:rFonts w:ascii="Times New Roman" w:hAnsi="Times New Roman" w:cs="Times New Roman"/>
          <w:i/>
          <w:iCs/>
          <w:sz w:val="24"/>
          <w:szCs w:val="24"/>
        </w:rPr>
        <w:t>rohita</w:t>
      </w:r>
      <w:proofErr w:type="spellEnd"/>
      <w:r w:rsidRPr="002B194C">
        <w:rPr>
          <w:rFonts w:ascii="Times New Roman" w:hAnsi="Times New Roman" w:cs="Times New Roman"/>
          <w:sz w:val="24"/>
          <w:szCs w:val="24"/>
        </w:rPr>
        <w:t xml:space="preserve"> during nursery culture. Therefore, the results indicate that dietary inclusion of </w:t>
      </w:r>
      <w:r w:rsidRPr="002B194C">
        <w:rPr>
          <w:rFonts w:ascii="Times New Roman" w:hAnsi="Times New Roman" w:cs="Times New Roman"/>
          <w:sz w:val="24"/>
          <w:szCs w:val="24"/>
        </w:rPr>
        <w:lastRenderedPageBreak/>
        <w:t xml:space="preserve">MOLM did not compromise water quality and provided a suitable culture environment for evaluating its nutritional effects on </w:t>
      </w:r>
      <w:r w:rsidRPr="002B194C">
        <w:rPr>
          <w:rFonts w:ascii="Times New Roman" w:hAnsi="Times New Roman" w:cs="Times New Roman"/>
          <w:i/>
          <w:iCs/>
          <w:sz w:val="24"/>
          <w:szCs w:val="24"/>
        </w:rPr>
        <w:t xml:space="preserve">L. </w:t>
      </w:r>
      <w:proofErr w:type="spellStart"/>
      <w:r w:rsidRPr="002B194C">
        <w:rPr>
          <w:rFonts w:ascii="Times New Roman" w:hAnsi="Times New Roman" w:cs="Times New Roman"/>
          <w:i/>
          <w:iCs/>
          <w:sz w:val="24"/>
          <w:szCs w:val="24"/>
        </w:rPr>
        <w:t>rohita</w:t>
      </w:r>
      <w:proofErr w:type="spellEnd"/>
      <w:r w:rsidRPr="002B194C">
        <w:rPr>
          <w:rFonts w:ascii="Times New Roman" w:hAnsi="Times New Roman" w:cs="Times New Roman"/>
          <w:sz w:val="24"/>
          <w:szCs w:val="24"/>
        </w:rPr>
        <w:t xml:space="preserve"> spawn.</w:t>
      </w:r>
    </w:p>
    <w:p w14:paraId="44B4EEFF" w14:textId="77777777" w:rsidR="00F303BF" w:rsidRPr="002B194C" w:rsidRDefault="00F303BF" w:rsidP="006E351D">
      <w:pPr>
        <w:spacing w:after="0"/>
        <w:jc w:val="both"/>
        <w:rPr>
          <w:rFonts w:ascii="Times New Roman" w:hAnsi="Times New Roman" w:cs="Times New Roman"/>
          <w:b/>
          <w:bCs/>
          <w:sz w:val="24"/>
          <w:szCs w:val="24"/>
        </w:rPr>
      </w:pPr>
      <w:r w:rsidRPr="002B194C">
        <w:rPr>
          <w:rFonts w:ascii="Times New Roman" w:hAnsi="Times New Roman" w:cs="Times New Roman"/>
          <w:b/>
          <w:bCs/>
          <w:sz w:val="24"/>
          <w:szCs w:val="24"/>
        </w:rPr>
        <w:t xml:space="preserve">Table 4. </w:t>
      </w:r>
      <w:r w:rsidRPr="002B194C">
        <w:rPr>
          <w:rFonts w:ascii="Times New Roman" w:hAnsi="Times New Roman" w:cs="Times New Roman"/>
          <w:sz w:val="24"/>
          <w:szCs w:val="24"/>
        </w:rPr>
        <w:t>Water quality parameter of experimental units</w:t>
      </w:r>
    </w:p>
    <w:tbl>
      <w:tblPr>
        <w:tblStyle w:val="PlainTable2"/>
        <w:tblW w:w="0" w:type="auto"/>
        <w:tblLook w:val="04A0" w:firstRow="1" w:lastRow="0" w:firstColumn="1" w:lastColumn="0" w:noHBand="0" w:noVBand="1"/>
      </w:tblPr>
      <w:tblGrid>
        <w:gridCol w:w="1550"/>
        <w:gridCol w:w="1708"/>
        <w:gridCol w:w="1620"/>
        <w:gridCol w:w="1620"/>
        <w:gridCol w:w="1440"/>
        <w:gridCol w:w="1638"/>
      </w:tblGrid>
      <w:tr w:rsidR="0074083B" w:rsidRPr="002B194C" w14:paraId="1B72BD3C" w14:textId="77777777" w:rsidTr="00645A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hideMark/>
          </w:tcPr>
          <w:p w14:paraId="6C4174DD" w14:textId="77777777" w:rsidR="0074083B" w:rsidRPr="002B194C" w:rsidRDefault="0074083B" w:rsidP="0074083B">
            <w:pPr>
              <w:jc w:val="both"/>
              <w:rPr>
                <w:rFonts w:ascii="Times New Roman" w:hAnsi="Times New Roman" w:cs="Times New Roman"/>
                <w:b w:val="0"/>
                <w:bCs w:val="0"/>
                <w:sz w:val="24"/>
                <w:szCs w:val="24"/>
              </w:rPr>
            </w:pPr>
            <w:r w:rsidRPr="002B194C">
              <w:rPr>
                <w:rStyle w:val="Strong"/>
                <w:rFonts w:ascii="Times New Roman" w:hAnsi="Times New Roman" w:cs="Times New Roman"/>
                <w:b/>
                <w:bCs/>
                <w:sz w:val="24"/>
                <w:szCs w:val="24"/>
              </w:rPr>
              <w:t>Parameter</w:t>
            </w:r>
          </w:p>
        </w:tc>
        <w:tc>
          <w:tcPr>
            <w:tcW w:w="1708" w:type="dxa"/>
            <w:hideMark/>
          </w:tcPr>
          <w:p w14:paraId="262D4663" w14:textId="77777777" w:rsidR="0074083B" w:rsidRPr="002B194C" w:rsidRDefault="0074083B" w:rsidP="0074083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B194C">
              <w:rPr>
                <w:rStyle w:val="Strong"/>
                <w:rFonts w:ascii="Times New Roman" w:hAnsi="Times New Roman" w:cs="Times New Roman"/>
                <w:b/>
                <w:bCs/>
                <w:sz w:val="24"/>
                <w:szCs w:val="24"/>
              </w:rPr>
              <w:t>T0​</w:t>
            </w:r>
          </w:p>
        </w:tc>
        <w:tc>
          <w:tcPr>
            <w:tcW w:w="1620" w:type="dxa"/>
            <w:hideMark/>
          </w:tcPr>
          <w:p w14:paraId="31F2006F" w14:textId="77777777" w:rsidR="0074083B" w:rsidRPr="002B194C" w:rsidRDefault="0074083B" w:rsidP="0074083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B194C">
              <w:rPr>
                <w:rStyle w:val="Strong"/>
                <w:rFonts w:ascii="Times New Roman" w:hAnsi="Times New Roman" w:cs="Times New Roman"/>
                <w:b/>
                <w:bCs/>
                <w:sz w:val="24"/>
                <w:szCs w:val="24"/>
              </w:rPr>
              <w:t>T1​</w:t>
            </w:r>
          </w:p>
        </w:tc>
        <w:tc>
          <w:tcPr>
            <w:tcW w:w="1620" w:type="dxa"/>
            <w:hideMark/>
          </w:tcPr>
          <w:p w14:paraId="2C076C34" w14:textId="77777777" w:rsidR="0074083B" w:rsidRPr="002B194C" w:rsidRDefault="0074083B" w:rsidP="0074083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B194C">
              <w:rPr>
                <w:rStyle w:val="Strong"/>
                <w:rFonts w:ascii="Times New Roman" w:hAnsi="Times New Roman" w:cs="Times New Roman"/>
                <w:b/>
                <w:bCs/>
                <w:sz w:val="24"/>
                <w:szCs w:val="24"/>
              </w:rPr>
              <w:t>T2​</w:t>
            </w:r>
          </w:p>
        </w:tc>
        <w:tc>
          <w:tcPr>
            <w:tcW w:w="1440" w:type="dxa"/>
            <w:hideMark/>
          </w:tcPr>
          <w:p w14:paraId="33CEE47A" w14:textId="77777777" w:rsidR="0074083B" w:rsidRPr="002B194C" w:rsidRDefault="0074083B" w:rsidP="0074083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B194C">
              <w:rPr>
                <w:rStyle w:val="Strong"/>
                <w:rFonts w:ascii="Times New Roman" w:hAnsi="Times New Roman" w:cs="Times New Roman"/>
                <w:b/>
                <w:bCs/>
                <w:sz w:val="24"/>
                <w:szCs w:val="24"/>
              </w:rPr>
              <w:t>T3​</w:t>
            </w:r>
          </w:p>
        </w:tc>
        <w:tc>
          <w:tcPr>
            <w:tcW w:w="1638" w:type="dxa"/>
            <w:hideMark/>
          </w:tcPr>
          <w:p w14:paraId="231FF124" w14:textId="77777777" w:rsidR="0074083B" w:rsidRPr="002B194C" w:rsidRDefault="0074083B" w:rsidP="0074083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B194C">
              <w:rPr>
                <w:rStyle w:val="Strong"/>
                <w:rFonts w:ascii="Times New Roman" w:hAnsi="Times New Roman" w:cs="Times New Roman"/>
                <w:b/>
                <w:bCs/>
                <w:sz w:val="24"/>
                <w:szCs w:val="24"/>
              </w:rPr>
              <w:t>T4​</w:t>
            </w:r>
          </w:p>
        </w:tc>
      </w:tr>
      <w:tr w:rsidR="0074083B" w:rsidRPr="002B194C" w14:paraId="27C807D5" w14:textId="77777777" w:rsidTr="00645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hideMark/>
          </w:tcPr>
          <w:p w14:paraId="1BD26165" w14:textId="77777777" w:rsidR="0074083B" w:rsidRPr="002B194C" w:rsidRDefault="0074083B" w:rsidP="0074083B">
            <w:pPr>
              <w:jc w:val="both"/>
              <w:rPr>
                <w:rFonts w:ascii="Times New Roman" w:hAnsi="Times New Roman" w:cs="Times New Roman"/>
                <w:b w:val="0"/>
                <w:bCs w:val="0"/>
                <w:sz w:val="24"/>
                <w:szCs w:val="24"/>
              </w:rPr>
            </w:pPr>
            <w:r w:rsidRPr="002B194C">
              <w:rPr>
                <w:rFonts w:ascii="Times New Roman" w:hAnsi="Times New Roman" w:cs="Times New Roman"/>
                <w:b w:val="0"/>
                <w:bCs w:val="0"/>
                <w:sz w:val="24"/>
                <w:szCs w:val="24"/>
              </w:rPr>
              <w:t>Temperature (°C)</w:t>
            </w:r>
          </w:p>
        </w:tc>
        <w:tc>
          <w:tcPr>
            <w:tcW w:w="1708" w:type="dxa"/>
            <w:hideMark/>
          </w:tcPr>
          <w:p w14:paraId="70EF14D0" w14:textId="77777777" w:rsidR="0074083B" w:rsidRPr="002B194C" w:rsidRDefault="00C4513F" w:rsidP="007408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27</w:t>
            </w:r>
            <w:r w:rsidR="0074083B" w:rsidRPr="002B194C">
              <w:rPr>
                <w:rFonts w:ascii="Times New Roman" w:hAnsi="Times New Roman" w:cs="Times New Roman"/>
                <w:sz w:val="24"/>
                <w:szCs w:val="24"/>
              </w:rPr>
              <w:t>.85 ± 0.42</w:t>
            </w:r>
          </w:p>
        </w:tc>
        <w:tc>
          <w:tcPr>
            <w:tcW w:w="1620" w:type="dxa"/>
            <w:hideMark/>
          </w:tcPr>
          <w:p w14:paraId="1EFE6773" w14:textId="77777777" w:rsidR="0074083B" w:rsidRPr="002B194C" w:rsidRDefault="00C4513F" w:rsidP="007408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27</w:t>
            </w:r>
            <w:r w:rsidR="0074083B" w:rsidRPr="002B194C">
              <w:rPr>
                <w:rFonts w:ascii="Times New Roman" w:hAnsi="Times New Roman" w:cs="Times New Roman"/>
                <w:sz w:val="24"/>
                <w:szCs w:val="24"/>
              </w:rPr>
              <w:t>.91 ± 0.38</w:t>
            </w:r>
          </w:p>
        </w:tc>
        <w:tc>
          <w:tcPr>
            <w:tcW w:w="1620" w:type="dxa"/>
            <w:hideMark/>
          </w:tcPr>
          <w:p w14:paraId="20D3723B" w14:textId="77777777" w:rsidR="0074083B" w:rsidRPr="002B194C" w:rsidRDefault="00C4513F" w:rsidP="007408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27</w:t>
            </w:r>
            <w:r w:rsidR="0074083B" w:rsidRPr="002B194C">
              <w:rPr>
                <w:rFonts w:ascii="Times New Roman" w:hAnsi="Times New Roman" w:cs="Times New Roman"/>
                <w:sz w:val="24"/>
                <w:szCs w:val="24"/>
              </w:rPr>
              <w:t>.80 ± 0.51</w:t>
            </w:r>
          </w:p>
        </w:tc>
        <w:tc>
          <w:tcPr>
            <w:tcW w:w="1440" w:type="dxa"/>
            <w:hideMark/>
          </w:tcPr>
          <w:p w14:paraId="6AD217E6" w14:textId="77777777" w:rsidR="0074083B" w:rsidRPr="002B194C" w:rsidRDefault="00C4513F" w:rsidP="007408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27</w:t>
            </w:r>
            <w:r w:rsidR="0074083B" w:rsidRPr="002B194C">
              <w:rPr>
                <w:rFonts w:ascii="Times New Roman" w:hAnsi="Times New Roman" w:cs="Times New Roman"/>
                <w:sz w:val="24"/>
                <w:szCs w:val="24"/>
              </w:rPr>
              <w:t>.88 ± 0.47</w:t>
            </w:r>
          </w:p>
        </w:tc>
        <w:tc>
          <w:tcPr>
            <w:tcW w:w="1638" w:type="dxa"/>
            <w:hideMark/>
          </w:tcPr>
          <w:p w14:paraId="18EBC3ED" w14:textId="77777777" w:rsidR="0074083B" w:rsidRPr="002B194C" w:rsidRDefault="00C4513F" w:rsidP="007408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27</w:t>
            </w:r>
            <w:r w:rsidR="0074083B" w:rsidRPr="002B194C">
              <w:rPr>
                <w:rFonts w:ascii="Times New Roman" w:hAnsi="Times New Roman" w:cs="Times New Roman"/>
                <w:sz w:val="24"/>
                <w:szCs w:val="24"/>
              </w:rPr>
              <w:t>.94 ± 0.35</w:t>
            </w:r>
          </w:p>
        </w:tc>
      </w:tr>
      <w:tr w:rsidR="0074083B" w:rsidRPr="002B194C" w14:paraId="4AD5F163" w14:textId="77777777" w:rsidTr="00645A62">
        <w:tc>
          <w:tcPr>
            <w:cnfStyle w:val="001000000000" w:firstRow="0" w:lastRow="0" w:firstColumn="1" w:lastColumn="0" w:oddVBand="0" w:evenVBand="0" w:oddHBand="0" w:evenHBand="0" w:firstRowFirstColumn="0" w:firstRowLastColumn="0" w:lastRowFirstColumn="0" w:lastRowLastColumn="0"/>
            <w:tcW w:w="1550" w:type="dxa"/>
            <w:hideMark/>
          </w:tcPr>
          <w:p w14:paraId="3FE13AB7" w14:textId="77777777" w:rsidR="0074083B" w:rsidRPr="002B194C" w:rsidRDefault="0074083B" w:rsidP="0074083B">
            <w:pPr>
              <w:jc w:val="both"/>
              <w:rPr>
                <w:rFonts w:ascii="Times New Roman" w:hAnsi="Times New Roman" w:cs="Times New Roman"/>
                <w:b w:val="0"/>
                <w:bCs w:val="0"/>
                <w:sz w:val="24"/>
                <w:szCs w:val="24"/>
              </w:rPr>
            </w:pPr>
            <w:r w:rsidRPr="002B194C">
              <w:rPr>
                <w:rFonts w:ascii="Times New Roman" w:hAnsi="Times New Roman" w:cs="Times New Roman"/>
                <w:b w:val="0"/>
                <w:bCs w:val="0"/>
                <w:sz w:val="24"/>
                <w:szCs w:val="24"/>
              </w:rPr>
              <w:t>pH</w:t>
            </w:r>
          </w:p>
        </w:tc>
        <w:tc>
          <w:tcPr>
            <w:tcW w:w="1708" w:type="dxa"/>
            <w:hideMark/>
          </w:tcPr>
          <w:p w14:paraId="3E964B22" w14:textId="77777777" w:rsidR="0074083B" w:rsidRPr="002B194C" w:rsidRDefault="0074083B" w:rsidP="007408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7.54 ± 0.12</w:t>
            </w:r>
          </w:p>
        </w:tc>
        <w:tc>
          <w:tcPr>
            <w:tcW w:w="1620" w:type="dxa"/>
            <w:hideMark/>
          </w:tcPr>
          <w:p w14:paraId="26CD2A39" w14:textId="77777777" w:rsidR="0074083B" w:rsidRPr="002B194C" w:rsidRDefault="0074083B" w:rsidP="007408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7.58 ± 0.15</w:t>
            </w:r>
          </w:p>
        </w:tc>
        <w:tc>
          <w:tcPr>
            <w:tcW w:w="1620" w:type="dxa"/>
            <w:hideMark/>
          </w:tcPr>
          <w:p w14:paraId="27D9A280" w14:textId="77777777" w:rsidR="0074083B" w:rsidRPr="002B194C" w:rsidRDefault="0074083B" w:rsidP="007408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7.51 ± 0.11</w:t>
            </w:r>
          </w:p>
        </w:tc>
        <w:tc>
          <w:tcPr>
            <w:tcW w:w="1440" w:type="dxa"/>
            <w:hideMark/>
          </w:tcPr>
          <w:p w14:paraId="633BE183" w14:textId="77777777" w:rsidR="0074083B" w:rsidRPr="002B194C" w:rsidRDefault="0074083B" w:rsidP="007408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7.56 ± 0.18</w:t>
            </w:r>
          </w:p>
        </w:tc>
        <w:tc>
          <w:tcPr>
            <w:tcW w:w="1638" w:type="dxa"/>
            <w:hideMark/>
          </w:tcPr>
          <w:p w14:paraId="0B4756B4" w14:textId="77777777" w:rsidR="0074083B" w:rsidRPr="002B194C" w:rsidRDefault="0074083B" w:rsidP="007408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7.60 ± 0.14</w:t>
            </w:r>
          </w:p>
        </w:tc>
      </w:tr>
      <w:tr w:rsidR="0074083B" w:rsidRPr="002B194C" w14:paraId="004AB7EE" w14:textId="77777777" w:rsidTr="00645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hideMark/>
          </w:tcPr>
          <w:p w14:paraId="0C9A2D13" w14:textId="77777777" w:rsidR="0074083B" w:rsidRPr="002B194C" w:rsidRDefault="0074083B" w:rsidP="0074083B">
            <w:pPr>
              <w:jc w:val="both"/>
              <w:rPr>
                <w:rFonts w:ascii="Times New Roman" w:hAnsi="Times New Roman" w:cs="Times New Roman"/>
                <w:b w:val="0"/>
                <w:bCs w:val="0"/>
                <w:sz w:val="24"/>
                <w:szCs w:val="24"/>
              </w:rPr>
            </w:pPr>
            <w:r w:rsidRPr="002B194C">
              <w:rPr>
                <w:rFonts w:ascii="Times New Roman" w:hAnsi="Times New Roman" w:cs="Times New Roman"/>
                <w:b w:val="0"/>
                <w:bCs w:val="0"/>
                <w:sz w:val="24"/>
                <w:szCs w:val="24"/>
              </w:rPr>
              <w:t>Dissolved Oxygen (mg/L)</w:t>
            </w:r>
          </w:p>
        </w:tc>
        <w:tc>
          <w:tcPr>
            <w:tcW w:w="1708" w:type="dxa"/>
            <w:hideMark/>
          </w:tcPr>
          <w:p w14:paraId="11BFD7AB" w14:textId="77777777" w:rsidR="0074083B" w:rsidRPr="002B194C" w:rsidRDefault="00C4513F" w:rsidP="007408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5</w:t>
            </w:r>
            <w:r w:rsidR="0074083B" w:rsidRPr="002B194C">
              <w:rPr>
                <w:rFonts w:ascii="Times New Roman" w:hAnsi="Times New Roman" w:cs="Times New Roman"/>
                <w:sz w:val="24"/>
                <w:szCs w:val="24"/>
              </w:rPr>
              <w:t>.82 ± 0.22</w:t>
            </w:r>
          </w:p>
        </w:tc>
        <w:tc>
          <w:tcPr>
            <w:tcW w:w="1620" w:type="dxa"/>
            <w:hideMark/>
          </w:tcPr>
          <w:p w14:paraId="07C18395" w14:textId="77777777" w:rsidR="0074083B" w:rsidRPr="002B194C" w:rsidRDefault="00C4513F" w:rsidP="007408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5</w:t>
            </w:r>
            <w:r w:rsidR="0074083B" w:rsidRPr="002B194C">
              <w:rPr>
                <w:rFonts w:ascii="Times New Roman" w:hAnsi="Times New Roman" w:cs="Times New Roman"/>
                <w:sz w:val="24"/>
                <w:szCs w:val="24"/>
              </w:rPr>
              <w:t>.78 ± 0.19</w:t>
            </w:r>
          </w:p>
        </w:tc>
        <w:tc>
          <w:tcPr>
            <w:tcW w:w="1620" w:type="dxa"/>
            <w:hideMark/>
          </w:tcPr>
          <w:p w14:paraId="25E1910B" w14:textId="77777777" w:rsidR="0074083B" w:rsidRPr="002B194C" w:rsidRDefault="00C4513F" w:rsidP="007408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5</w:t>
            </w:r>
            <w:r w:rsidR="0074083B" w:rsidRPr="002B194C">
              <w:rPr>
                <w:rFonts w:ascii="Times New Roman" w:hAnsi="Times New Roman" w:cs="Times New Roman"/>
                <w:sz w:val="24"/>
                <w:szCs w:val="24"/>
              </w:rPr>
              <w:t>.85 ± 0.25</w:t>
            </w:r>
          </w:p>
        </w:tc>
        <w:tc>
          <w:tcPr>
            <w:tcW w:w="1440" w:type="dxa"/>
            <w:hideMark/>
          </w:tcPr>
          <w:p w14:paraId="59862963" w14:textId="77777777" w:rsidR="0074083B" w:rsidRPr="002B194C" w:rsidRDefault="00C4513F" w:rsidP="007408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5</w:t>
            </w:r>
            <w:r w:rsidR="0074083B" w:rsidRPr="002B194C">
              <w:rPr>
                <w:rFonts w:ascii="Times New Roman" w:hAnsi="Times New Roman" w:cs="Times New Roman"/>
                <w:sz w:val="24"/>
                <w:szCs w:val="24"/>
              </w:rPr>
              <w:t>.74 ± 0.21</w:t>
            </w:r>
          </w:p>
        </w:tc>
        <w:tc>
          <w:tcPr>
            <w:tcW w:w="1638" w:type="dxa"/>
            <w:hideMark/>
          </w:tcPr>
          <w:p w14:paraId="0AEEA55E" w14:textId="77777777" w:rsidR="0074083B" w:rsidRPr="002B194C" w:rsidRDefault="00C4513F" w:rsidP="007408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5</w:t>
            </w:r>
            <w:r w:rsidR="0074083B" w:rsidRPr="002B194C">
              <w:rPr>
                <w:rFonts w:ascii="Times New Roman" w:hAnsi="Times New Roman" w:cs="Times New Roman"/>
                <w:sz w:val="24"/>
                <w:szCs w:val="24"/>
              </w:rPr>
              <w:t>.71 ± 0.28</w:t>
            </w:r>
          </w:p>
        </w:tc>
      </w:tr>
      <w:tr w:rsidR="0074083B" w:rsidRPr="002B194C" w14:paraId="4A161226" w14:textId="77777777" w:rsidTr="00645A62">
        <w:tc>
          <w:tcPr>
            <w:cnfStyle w:val="001000000000" w:firstRow="0" w:lastRow="0" w:firstColumn="1" w:lastColumn="0" w:oddVBand="0" w:evenVBand="0" w:oddHBand="0" w:evenHBand="0" w:firstRowFirstColumn="0" w:firstRowLastColumn="0" w:lastRowFirstColumn="0" w:lastRowLastColumn="0"/>
            <w:tcW w:w="1550" w:type="dxa"/>
            <w:hideMark/>
          </w:tcPr>
          <w:p w14:paraId="4D7EE274" w14:textId="77777777" w:rsidR="0074083B" w:rsidRPr="002B194C" w:rsidRDefault="0074083B" w:rsidP="0074083B">
            <w:pPr>
              <w:jc w:val="both"/>
              <w:rPr>
                <w:rFonts w:ascii="Times New Roman" w:hAnsi="Times New Roman" w:cs="Times New Roman"/>
                <w:b w:val="0"/>
                <w:bCs w:val="0"/>
                <w:sz w:val="24"/>
                <w:szCs w:val="24"/>
              </w:rPr>
            </w:pPr>
            <w:r w:rsidRPr="002B194C">
              <w:rPr>
                <w:rFonts w:ascii="Times New Roman" w:hAnsi="Times New Roman" w:cs="Times New Roman"/>
                <w:b w:val="0"/>
                <w:bCs w:val="0"/>
                <w:sz w:val="24"/>
                <w:szCs w:val="24"/>
              </w:rPr>
              <w:t xml:space="preserve">Total Alkalinity (mg/L as </w:t>
            </w:r>
            <w:r w:rsidRPr="002B194C">
              <w:rPr>
                <w:rStyle w:val="math-inline"/>
                <w:rFonts w:ascii="Times New Roman" w:hAnsi="Times New Roman" w:cs="Times New Roman"/>
                <w:b w:val="0"/>
                <w:bCs w:val="0"/>
                <w:sz w:val="24"/>
                <w:szCs w:val="24"/>
              </w:rPr>
              <w:t>CaCO</w:t>
            </w:r>
            <w:r w:rsidRPr="002B194C">
              <w:rPr>
                <w:rStyle w:val="math-inline"/>
                <w:rFonts w:ascii="Times New Roman" w:hAnsi="Times New Roman" w:cs="Times New Roman"/>
                <w:b w:val="0"/>
                <w:bCs w:val="0"/>
                <w:sz w:val="24"/>
                <w:szCs w:val="24"/>
                <w:vertAlign w:val="subscript"/>
              </w:rPr>
              <w:t>3</w:t>
            </w:r>
            <w:r w:rsidRPr="002B194C">
              <w:rPr>
                <w:rFonts w:ascii="Times New Roman" w:hAnsi="Times New Roman" w:cs="Times New Roman"/>
                <w:b w:val="0"/>
                <w:bCs w:val="0"/>
                <w:sz w:val="24"/>
                <w:szCs w:val="24"/>
              </w:rPr>
              <w:t>)</w:t>
            </w:r>
          </w:p>
        </w:tc>
        <w:tc>
          <w:tcPr>
            <w:tcW w:w="1708" w:type="dxa"/>
            <w:hideMark/>
          </w:tcPr>
          <w:p w14:paraId="17C25070" w14:textId="77777777" w:rsidR="0074083B" w:rsidRPr="002B194C" w:rsidRDefault="0074083B" w:rsidP="007408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124.5 ± 4.21</w:t>
            </w:r>
          </w:p>
        </w:tc>
        <w:tc>
          <w:tcPr>
            <w:tcW w:w="1620" w:type="dxa"/>
            <w:hideMark/>
          </w:tcPr>
          <w:p w14:paraId="1494A7D1" w14:textId="77777777" w:rsidR="0074083B" w:rsidRPr="002B194C" w:rsidRDefault="0074083B" w:rsidP="007408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126.2 ± 3.85</w:t>
            </w:r>
          </w:p>
        </w:tc>
        <w:tc>
          <w:tcPr>
            <w:tcW w:w="1620" w:type="dxa"/>
            <w:hideMark/>
          </w:tcPr>
          <w:p w14:paraId="25F6A936" w14:textId="77777777" w:rsidR="0074083B" w:rsidRPr="002B194C" w:rsidRDefault="0074083B" w:rsidP="007408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125.1 ± 4.52</w:t>
            </w:r>
          </w:p>
        </w:tc>
        <w:tc>
          <w:tcPr>
            <w:tcW w:w="1440" w:type="dxa"/>
            <w:hideMark/>
          </w:tcPr>
          <w:p w14:paraId="02C63D82" w14:textId="77777777" w:rsidR="0074083B" w:rsidRPr="002B194C" w:rsidRDefault="0074083B" w:rsidP="007408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123.9 ± 5.12</w:t>
            </w:r>
          </w:p>
        </w:tc>
        <w:tc>
          <w:tcPr>
            <w:tcW w:w="1638" w:type="dxa"/>
            <w:hideMark/>
          </w:tcPr>
          <w:p w14:paraId="0A32633F" w14:textId="77777777" w:rsidR="0074083B" w:rsidRPr="002B194C" w:rsidRDefault="0074083B" w:rsidP="007408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124.8 ± 3.94</w:t>
            </w:r>
          </w:p>
        </w:tc>
      </w:tr>
      <w:tr w:rsidR="0074083B" w:rsidRPr="002B194C" w14:paraId="128387CE" w14:textId="77777777" w:rsidTr="00645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hideMark/>
          </w:tcPr>
          <w:p w14:paraId="4BC3175B" w14:textId="77777777" w:rsidR="0074083B" w:rsidRPr="002B194C" w:rsidRDefault="0074083B" w:rsidP="0074083B">
            <w:pPr>
              <w:jc w:val="both"/>
              <w:rPr>
                <w:rFonts w:ascii="Times New Roman" w:hAnsi="Times New Roman" w:cs="Times New Roman"/>
                <w:b w:val="0"/>
                <w:bCs w:val="0"/>
                <w:sz w:val="24"/>
                <w:szCs w:val="24"/>
              </w:rPr>
            </w:pPr>
            <w:r w:rsidRPr="002B194C">
              <w:rPr>
                <w:rFonts w:ascii="Times New Roman" w:hAnsi="Times New Roman" w:cs="Times New Roman"/>
                <w:b w:val="0"/>
                <w:bCs w:val="0"/>
                <w:sz w:val="24"/>
                <w:szCs w:val="24"/>
              </w:rPr>
              <w:t xml:space="preserve">Total Hardness (mg/L as </w:t>
            </w:r>
            <w:r w:rsidRPr="002B194C">
              <w:rPr>
                <w:rStyle w:val="math-inline"/>
                <w:rFonts w:ascii="Times New Roman" w:hAnsi="Times New Roman" w:cs="Times New Roman"/>
                <w:b w:val="0"/>
                <w:bCs w:val="0"/>
                <w:sz w:val="24"/>
                <w:szCs w:val="24"/>
              </w:rPr>
              <w:t>CaCO</w:t>
            </w:r>
            <w:r w:rsidRPr="002B194C">
              <w:rPr>
                <w:rStyle w:val="math-inline"/>
                <w:rFonts w:ascii="Times New Roman" w:hAnsi="Times New Roman" w:cs="Times New Roman"/>
                <w:b w:val="0"/>
                <w:bCs w:val="0"/>
                <w:sz w:val="24"/>
                <w:szCs w:val="24"/>
                <w:vertAlign w:val="subscript"/>
              </w:rPr>
              <w:t>3</w:t>
            </w:r>
            <w:r w:rsidRPr="002B194C">
              <w:rPr>
                <w:rFonts w:ascii="Times New Roman" w:hAnsi="Times New Roman" w:cs="Times New Roman"/>
                <w:b w:val="0"/>
                <w:bCs w:val="0"/>
                <w:sz w:val="24"/>
                <w:szCs w:val="24"/>
              </w:rPr>
              <w:t>)</w:t>
            </w:r>
          </w:p>
        </w:tc>
        <w:tc>
          <w:tcPr>
            <w:tcW w:w="1708" w:type="dxa"/>
            <w:hideMark/>
          </w:tcPr>
          <w:p w14:paraId="1663EDA1" w14:textId="77777777" w:rsidR="0074083B" w:rsidRPr="002B194C" w:rsidRDefault="0074083B" w:rsidP="007408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142.1 ± 5.18</w:t>
            </w:r>
          </w:p>
        </w:tc>
        <w:tc>
          <w:tcPr>
            <w:tcW w:w="1620" w:type="dxa"/>
            <w:hideMark/>
          </w:tcPr>
          <w:p w14:paraId="129FFEBA" w14:textId="77777777" w:rsidR="0074083B" w:rsidRPr="002B194C" w:rsidRDefault="0074083B" w:rsidP="007408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143.5 ± 4.92</w:t>
            </w:r>
          </w:p>
        </w:tc>
        <w:tc>
          <w:tcPr>
            <w:tcW w:w="1620" w:type="dxa"/>
            <w:hideMark/>
          </w:tcPr>
          <w:p w14:paraId="1EFBD2C1" w14:textId="77777777" w:rsidR="0074083B" w:rsidRPr="002B194C" w:rsidRDefault="0074083B" w:rsidP="007408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141.8 ± 6.11</w:t>
            </w:r>
          </w:p>
        </w:tc>
        <w:tc>
          <w:tcPr>
            <w:tcW w:w="1440" w:type="dxa"/>
            <w:hideMark/>
          </w:tcPr>
          <w:p w14:paraId="3DD0FDE5" w14:textId="77777777" w:rsidR="0074083B" w:rsidRPr="002B194C" w:rsidRDefault="0074083B" w:rsidP="007408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144.2 ± 5.38</w:t>
            </w:r>
          </w:p>
        </w:tc>
        <w:tc>
          <w:tcPr>
            <w:tcW w:w="1638" w:type="dxa"/>
            <w:hideMark/>
          </w:tcPr>
          <w:p w14:paraId="15A9147C" w14:textId="77777777" w:rsidR="0074083B" w:rsidRPr="002B194C" w:rsidRDefault="0074083B" w:rsidP="007408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142.9 ± 5.74</w:t>
            </w:r>
          </w:p>
        </w:tc>
      </w:tr>
      <w:tr w:rsidR="0074083B" w:rsidRPr="002B194C" w14:paraId="373F601D" w14:textId="77777777" w:rsidTr="00645A62">
        <w:tc>
          <w:tcPr>
            <w:cnfStyle w:val="001000000000" w:firstRow="0" w:lastRow="0" w:firstColumn="1" w:lastColumn="0" w:oddVBand="0" w:evenVBand="0" w:oddHBand="0" w:evenHBand="0" w:firstRowFirstColumn="0" w:firstRowLastColumn="0" w:lastRowFirstColumn="0" w:lastRowLastColumn="0"/>
            <w:tcW w:w="1550" w:type="dxa"/>
            <w:hideMark/>
          </w:tcPr>
          <w:p w14:paraId="5AFDAA7F" w14:textId="77777777" w:rsidR="0074083B" w:rsidRPr="002B194C" w:rsidRDefault="0074083B" w:rsidP="0074083B">
            <w:pPr>
              <w:jc w:val="both"/>
              <w:rPr>
                <w:rFonts w:ascii="Times New Roman" w:hAnsi="Times New Roman" w:cs="Times New Roman"/>
                <w:b w:val="0"/>
                <w:bCs w:val="0"/>
                <w:sz w:val="24"/>
                <w:szCs w:val="24"/>
              </w:rPr>
            </w:pPr>
            <w:r w:rsidRPr="002B194C">
              <w:rPr>
                <w:rFonts w:ascii="Times New Roman" w:hAnsi="Times New Roman" w:cs="Times New Roman"/>
                <w:b w:val="0"/>
                <w:bCs w:val="0"/>
                <w:sz w:val="24"/>
                <w:szCs w:val="24"/>
              </w:rPr>
              <w:t>Ammonia-Nitrogen (</w:t>
            </w:r>
            <w:r w:rsidRPr="002B194C">
              <w:rPr>
                <w:rStyle w:val="math-inline"/>
                <w:rFonts w:ascii="Times New Roman" w:hAnsi="Times New Roman" w:cs="Times New Roman"/>
                <w:b w:val="0"/>
                <w:bCs w:val="0"/>
                <w:sz w:val="24"/>
                <w:szCs w:val="24"/>
              </w:rPr>
              <w:t>NH</w:t>
            </w:r>
            <w:r w:rsidRPr="002B194C">
              <w:rPr>
                <w:rStyle w:val="math-inline"/>
                <w:rFonts w:ascii="Times New Roman" w:hAnsi="Times New Roman" w:cs="Times New Roman"/>
                <w:b w:val="0"/>
                <w:bCs w:val="0"/>
                <w:sz w:val="24"/>
                <w:szCs w:val="24"/>
                <w:vertAlign w:val="subscript"/>
              </w:rPr>
              <w:t>3</w:t>
            </w:r>
            <w:r w:rsidRPr="002B194C">
              <w:rPr>
                <w:rFonts w:ascii="Times New Roman" w:hAnsi="Times New Roman" w:cs="Times New Roman"/>
                <w:b w:val="0"/>
                <w:bCs w:val="0"/>
                <w:sz w:val="24"/>
                <w:szCs w:val="24"/>
              </w:rPr>
              <w:t>-N mg/L)</w:t>
            </w:r>
          </w:p>
        </w:tc>
        <w:tc>
          <w:tcPr>
            <w:tcW w:w="1708" w:type="dxa"/>
            <w:hideMark/>
          </w:tcPr>
          <w:p w14:paraId="5082C0F9" w14:textId="77777777" w:rsidR="0074083B" w:rsidRPr="002B194C" w:rsidRDefault="0074083B" w:rsidP="007408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0.012 ± 0.003</w:t>
            </w:r>
          </w:p>
        </w:tc>
        <w:tc>
          <w:tcPr>
            <w:tcW w:w="1620" w:type="dxa"/>
            <w:hideMark/>
          </w:tcPr>
          <w:p w14:paraId="4331ED71" w14:textId="77777777" w:rsidR="0074083B" w:rsidRPr="002B194C" w:rsidRDefault="0074083B" w:rsidP="007408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0.014 ± 0.002</w:t>
            </w:r>
          </w:p>
        </w:tc>
        <w:tc>
          <w:tcPr>
            <w:tcW w:w="1620" w:type="dxa"/>
            <w:hideMark/>
          </w:tcPr>
          <w:p w14:paraId="6D6EF1D9" w14:textId="77777777" w:rsidR="0074083B" w:rsidRPr="002B194C" w:rsidRDefault="0074083B" w:rsidP="007408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0.013 ± 0.004</w:t>
            </w:r>
          </w:p>
        </w:tc>
        <w:tc>
          <w:tcPr>
            <w:tcW w:w="1440" w:type="dxa"/>
            <w:hideMark/>
          </w:tcPr>
          <w:p w14:paraId="5440FDF4" w14:textId="77777777" w:rsidR="0074083B" w:rsidRPr="002B194C" w:rsidRDefault="0074083B" w:rsidP="007408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0.015 ± 0.003</w:t>
            </w:r>
          </w:p>
        </w:tc>
        <w:tc>
          <w:tcPr>
            <w:tcW w:w="1638" w:type="dxa"/>
            <w:hideMark/>
          </w:tcPr>
          <w:p w14:paraId="5C5B57AD" w14:textId="77777777" w:rsidR="0074083B" w:rsidRPr="002B194C" w:rsidRDefault="0074083B" w:rsidP="007408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0.016 ± 0.004</w:t>
            </w:r>
          </w:p>
        </w:tc>
      </w:tr>
    </w:tbl>
    <w:p w14:paraId="15571154" w14:textId="77777777" w:rsidR="00C4513F" w:rsidRPr="002B194C" w:rsidRDefault="00C4513F" w:rsidP="00C4513F">
      <w:pPr>
        <w:pStyle w:val="NormalWeb"/>
        <w:spacing w:before="0" w:beforeAutospacing="0" w:after="0" w:afterAutospacing="0"/>
        <w:jc w:val="both"/>
      </w:pPr>
      <w:r w:rsidRPr="002B194C">
        <w:rPr>
          <w:i/>
          <w:iCs/>
        </w:rPr>
        <w:t xml:space="preserve">Values are presented as Mean ± SD (n = 3). No significant differences were </w:t>
      </w:r>
      <w:r w:rsidR="0021482D" w:rsidRPr="002B194C">
        <w:rPr>
          <w:i/>
          <w:iCs/>
        </w:rPr>
        <w:t>noticed</w:t>
      </w:r>
      <w:r w:rsidRPr="002B194C">
        <w:rPr>
          <w:i/>
          <w:iCs/>
        </w:rPr>
        <w:t xml:space="preserve"> between treatments (P &gt; 0.05).</w:t>
      </w:r>
    </w:p>
    <w:p w14:paraId="4840805B" w14:textId="77777777" w:rsidR="006E351D" w:rsidRPr="002B194C" w:rsidRDefault="006E351D" w:rsidP="006E351D">
      <w:pPr>
        <w:spacing w:after="0"/>
        <w:jc w:val="both"/>
        <w:rPr>
          <w:rFonts w:ascii="Times New Roman" w:hAnsi="Times New Roman" w:cs="Times New Roman"/>
          <w:b/>
          <w:bCs/>
          <w:sz w:val="24"/>
          <w:szCs w:val="24"/>
        </w:rPr>
      </w:pPr>
      <w:r w:rsidRPr="002B194C">
        <w:rPr>
          <w:rFonts w:ascii="Times New Roman" w:hAnsi="Times New Roman" w:cs="Times New Roman"/>
          <w:b/>
          <w:bCs/>
          <w:sz w:val="24"/>
          <w:szCs w:val="24"/>
        </w:rPr>
        <w:br/>
        <w:t xml:space="preserve">3.3 Growth performance and feed </w:t>
      </w:r>
      <w:proofErr w:type="spellStart"/>
      <w:r w:rsidRPr="002B194C">
        <w:rPr>
          <w:rFonts w:ascii="Times New Roman" w:hAnsi="Times New Roman" w:cs="Times New Roman"/>
          <w:b/>
          <w:bCs/>
          <w:sz w:val="24"/>
          <w:szCs w:val="24"/>
        </w:rPr>
        <w:t>utilisation</w:t>
      </w:r>
      <w:proofErr w:type="spellEnd"/>
      <w:r w:rsidRPr="002B194C">
        <w:rPr>
          <w:rFonts w:ascii="Times New Roman" w:hAnsi="Times New Roman" w:cs="Times New Roman"/>
          <w:b/>
          <w:bCs/>
          <w:sz w:val="24"/>
          <w:szCs w:val="24"/>
        </w:rPr>
        <w:t xml:space="preserve"> efficiency</w:t>
      </w:r>
    </w:p>
    <w:p w14:paraId="6D890FC7" w14:textId="77777777" w:rsidR="005B4045" w:rsidRPr="002B194C" w:rsidRDefault="005B4045" w:rsidP="005B4045">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 xml:space="preserve">The effects of dietary inclusion of </w:t>
      </w:r>
      <w:r w:rsidRPr="002B194C">
        <w:rPr>
          <w:rFonts w:ascii="Times New Roman" w:hAnsi="Times New Roman" w:cs="Times New Roman"/>
          <w:i/>
          <w:iCs/>
          <w:sz w:val="24"/>
          <w:szCs w:val="24"/>
        </w:rPr>
        <w:t>Moringa oleifera</w:t>
      </w:r>
      <w:r w:rsidRPr="002B194C">
        <w:rPr>
          <w:rFonts w:ascii="Times New Roman" w:hAnsi="Times New Roman" w:cs="Times New Roman"/>
          <w:sz w:val="24"/>
          <w:szCs w:val="24"/>
        </w:rPr>
        <w:t xml:space="preserve"> leaf meal (MOLM) on the growth performance of </w:t>
      </w:r>
      <w:proofErr w:type="spellStart"/>
      <w:r w:rsidRPr="002B194C">
        <w:rPr>
          <w:rFonts w:ascii="Times New Roman" w:hAnsi="Times New Roman" w:cs="Times New Roman"/>
          <w:i/>
          <w:iCs/>
          <w:sz w:val="24"/>
          <w:szCs w:val="24"/>
        </w:rPr>
        <w:t>Labeo</w:t>
      </w:r>
      <w:proofErr w:type="spellEnd"/>
      <w:r w:rsidRPr="002B194C">
        <w:rPr>
          <w:rFonts w:ascii="Times New Roman" w:hAnsi="Times New Roman" w:cs="Times New Roman"/>
          <w:i/>
          <w:iCs/>
          <w:sz w:val="24"/>
          <w:szCs w:val="24"/>
        </w:rPr>
        <w:t xml:space="preserve"> </w:t>
      </w:r>
      <w:proofErr w:type="spellStart"/>
      <w:r w:rsidRPr="002B194C">
        <w:rPr>
          <w:rFonts w:ascii="Times New Roman" w:hAnsi="Times New Roman" w:cs="Times New Roman"/>
          <w:i/>
          <w:iCs/>
          <w:sz w:val="24"/>
          <w:szCs w:val="24"/>
        </w:rPr>
        <w:t>rohita</w:t>
      </w:r>
      <w:proofErr w:type="spellEnd"/>
      <w:r w:rsidRPr="002B194C">
        <w:rPr>
          <w:rFonts w:ascii="Times New Roman" w:hAnsi="Times New Roman" w:cs="Times New Roman"/>
          <w:sz w:val="24"/>
          <w:szCs w:val="24"/>
        </w:rPr>
        <w:t xml:space="preserve"> spawn are presented in Table 5. Initial body weight did not differ significantly (P &gt; 0.05) among the experimental groups, confirming the uniform distribution of fish at the start of the feeding trial. However, dietary supplementation with MOLM significantly influenced (P &lt; 0.05) final body weight, weight gain, specific growth rate (SGR), and survival, indicating that the response of </w:t>
      </w:r>
      <w:r w:rsidRPr="002B194C">
        <w:rPr>
          <w:rFonts w:ascii="Times New Roman" w:hAnsi="Times New Roman" w:cs="Times New Roman"/>
          <w:i/>
          <w:iCs/>
          <w:sz w:val="24"/>
          <w:szCs w:val="24"/>
        </w:rPr>
        <w:t xml:space="preserve">L. </w:t>
      </w:r>
      <w:proofErr w:type="spellStart"/>
      <w:r w:rsidRPr="002B194C">
        <w:rPr>
          <w:rFonts w:ascii="Times New Roman" w:hAnsi="Times New Roman" w:cs="Times New Roman"/>
          <w:i/>
          <w:iCs/>
          <w:sz w:val="24"/>
          <w:szCs w:val="24"/>
        </w:rPr>
        <w:t>rohita</w:t>
      </w:r>
      <w:proofErr w:type="spellEnd"/>
      <w:r w:rsidRPr="002B194C">
        <w:rPr>
          <w:rFonts w:ascii="Times New Roman" w:hAnsi="Times New Roman" w:cs="Times New Roman"/>
          <w:sz w:val="24"/>
          <w:szCs w:val="24"/>
        </w:rPr>
        <w:t xml:space="preserve"> spawn depended on the level of fish meal replacement.</w:t>
      </w:r>
    </w:p>
    <w:p w14:paraId="3E2F34A3" w14:textId="77777777" w:rsidR="005B4045" w:rsidRPr="002B194C" w:rsidRDefault="005B4045" w:rsidP="005B4045">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 xml:space="preserve">Among the experimental diets, fish fed the T3 diet containing 15% MOLM exhibited the highest final body weight, weight gain, SGR, and survival, whereas fish fed the T4 diet (20% MOLM) showed a decline in growth performance compared with T3. The improved growth observed at the 15% inclusion level suggests that moderate incorporation of MOLM provided an appropriate balance of nutrients while maintaining adequate feed palatability and digestibility. In contrast, the reduction in growth at the highest inclusion level indicates that excessive replacement of fish meal may have reduced nutrient </w:t>
      </w:r>
      <w:proofErr w:type="spellStart"/>
      <w:r w:rsidRPr="002B194C">
        <w:rPr>
          <w:rFonts w:ascii="Times New Roman" w:hAnsi="Times New Roman" w:cs="Times New Roman"/>
          <w:sz w:val="24"/>
          <w:szCs w:val="24"/>
        </w:rPr>
        <w:t>utilisation</w:t>
      </w:r>
      <w:proofErr w:type="spellEnd"/>
      <w:r w:rsidRPr="002B194C">
        <w:rPr>
          <w:rFonts w:ascii="Times New Roman" w:hAnsi="Times New Roman" w:cs="Times New Roman"/>
          <w:sz w:val="24"/>
          <w:szCs w:val="24"/>
        </w:rPr>
        <w:t xml:space="preserve">, possibly because of the higher </w:t>
      </w:r>
      <w:proofErr w:type="spellStart"/>
      <w:r w:rsidRPr="002B194C">
        <w:rPr>
          <w:rFonts w:ascii="Times New Roman" w:hAnsi="Times New Roman" w:cs="Times New Roman"/>
          <w:sz w:val="24"/>
          <w:szCs w:val="24"/>
        </w:rPr>
        <w:t>fibre</w:t>
      </w:r>
      <w:proofErr w:type="spellEnd"/>
      <w:r w:rsidRPr="002B194C">
        <w:rPr>
          <w:rFonts w:ascii="Times New Roman" w:hAnsi="Times New Roman" w:cs="Times New Roman"/>
          <w:sz w:val="24"/>
          <w:szCs w:val="24"/>
        </w:rPr>
        <w:t xml:space="preserve"> content and naturally occurring anti-nutritional compounds present in </w:t>
      </w:r>
      <w:r w:rsidRPr="002B194C">
        <w:rPr>
          <w:rFonts w:ascii="Times New Roman" w:hAnsi="Times New Roman" w:cs="Times New Roman"/>
          <w:i/>
          <w:iCs/>
          <w:sz w:val="24"/>
          <w:szCs w:val="24"/>
        </w:rPr>
        <w:t>M. oleifera</w:t>
      </w:r>
      <w:r w:rsidRPr="002B194C">
        <w:rPr>
          <w:rFonts w:ascii="Times New Roman" w:hAnsi="Times New Roman" w:cs="Times New Roman"/>
          <w:sz w:val="24"/>
          <w:szCs w:val="24"/>
        </w:rPr>
        <w:t xml:space="preserve"> leaves.</w:t>
      </w:r>
    </w:p>
    <w:p w14:paraId="3403280F" w14:textId="77777777" w:rsidR="005B4045" w:rsidRPr="002B194C" w:rsidRDefault="005B4045" w:rsidP="005B4045">
      <w:pPr>
        <w:spacing w:after="0"/>
        <w:jc w:val="both"/>
        <w:rPr>
          <w:rFonts w:ascii="Times New Roman" w:hAnsi="Times New Roman" w:cs="Times New Roman"/>
          <w:sz w:val="24"/>
          <w:szCs w:val="24"/>
        </w:rPr>
      </w:pPr>
      <w:r w:rsidRPr="002B194C">
        <w:rPr>
          <w:rFonts w:ascii="Times New Roman" w:hAnsi="Times New Roman" w:cs="Times New Roman"/>
          <w:sz w:val="24"/>
          <w:szCs w:val="24"/>
        </w:rPr>
        <w:t xml:space="preserve">The superior growth performance of fish fed the T3 diet may be attributed to the high-quality protein, balanced amino acid profile, vitamins, minerals, and biologically active compounds present in </w:t>
      </w:r>
      <w:r w:rsidRPr="002B194C">
        <w:rPr>
          <w:rFonts w:ascii="Times New Roman" w:hAnsi="Times New Roman" w:cs="Times New Roman"/>
          <w:i/>
          <w:iCs/>
          <w:sz w:val="24"/>
          <w:szCs w:val="24"/>
        </w:rPr>
        <w:t>M. oleifera</w:t>
      </w:r>
      <w:r w:rsidRPr="002B194C">
        <w:rPr>
          <w:rFonts w:ascii="Times New Roman" w:hAnsi="Times New Roman" w:cs="Times New Roman"/>
          <w:sz w:val="24"/>
          <w:szCs w:val="24"/>
        </w:rPr>
        <w:t xml:space="preserve"> leaves. These nutritional attributes are known to support efficient nutrient </w:t>
      </w:r>
      <w:r w:rsidRPr="002B194C">
        <w:rPr>
          <w:rFonts w:ascii="Times New Roman" w:hAnsi="Times New Roman" w:cs="Times New Roman"/>
          <w:sz w:val="24"/>
          <w:szCs w:val="24"/>
        </w:rPr>
        <w:lastRenderedPageBreak/>
        <w:t>assimilation, protein synthesis, physiological development, and overall metabolic activity, thereby promoting better growth during the early life stages of fish. The improvement in survival observed in the T3 group further suggests that an optimal level of MOLM contributed to better health status and enhanced adaptation of the spawn under culture conditions.</w:t>
      </w:r>
    </w:p>
    <w:p w14:paraId="78248EED" w14:textId="77777777" w:rsidR="005B4045" w:rsidRPr="002B194C" w:rsidRDefault="005B4045" w:rsidP="005B4045">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 xml:space="preserve">The present findings are in agreement with previous reports showing </w:t>
      </w:r>
      <w:proofErr w:type="spellStart"/>
      <w:r w:rsidRPr="002B194C">
        <w:rPr>
          <w:rFonts w:ascii="Times New Roman" w:hAnsi="Times New Roman" w:cs="Times New Roman"/>
          <w:sz w:val="24"/>
          <w:szCs w:val="24"/>
        </w:rPr>
        <w:t>favourable</w:t>
      </w:r>
      <w:proofErr w:type="spellEnd"/>
      <w:r w:rsidRPr="002B194C">
        <w:rPr>
          <w:rFonts w:ascii="Times New Roman" w:hAnsi="Times New Roman" w:cs="Times New Roman"/>
          <w:sz w:val="24"/>
          <w:szCs w:val="24"/>
        </w:rPr>
        <w:t xml:space="preserve"> growth responses at moderate dietary MOLM inclusion in cultured fish (</w:t>
      </w:r>
      <w:proofErr w:type="spellStart"/>
      <w:r w:rsidRPr="002B194C">
        <w:rPr>
          <w:rFonts w:ascii="Times New Roman" w:hAnsi="Times New Roman" w:cs="Times New Roman"/>
          <w:sz w:val="24"/>
          <w:szCs w:val="24"/>
        </w:rPr>
        <w:t>Afuang</w:t>
      </w:r>
      <w:proofErr w:type="spellEnd"/>
      <w:r w:rsidRPr="002B194C">
        <w:rPr>
          <w:rFonts w:ascii="Times New Roman" w:hAnsi="Times New Roman" w:cs="Times New Roman"/>
          <w:sz w:val="24"/>
          <w:szCs w:val="24"/>
        </w:rPr>
        <w:t xml:space="preserve"> et al., 2003; Arsalan et al., 2016; Ayotunde Ezekiel et al., 2016; Ganzon-Naret, 2014; Richter et al., 2003). Further studies have documented improvements in growth and feed </w:t>
      </w:r>
      <w:proofErr w:type="spellStart"/>
      <w:r w:rsidRPr="002B194C">
        <w:rPr>
          <w:rFonts w:ascii="Times New Roman" w:hAnsi="Times New Roman" w:cs="Times New Roman"/>
          <w:sz w:val="24"/>
          <w:szCs w:val="24"/>
        </w:rPr>
        <w:t>utilisation</w:t>
      </w:r>
      <w:proofErr w:type="spellEnd"/>
      <w:r w:rsidRPr="002B194C">
        <w:rPr>
          <w:rFonts w:ascii="Times New Roman" w:hAnsi="Times New Roman" w:cs="Times New Roman"/>
          <w:sz w:val="24"/>
          <w:szCs w:val="24"/>
        </w:rPr>
        <w:t xml:space="preserve"> following dietary </w:t>
      </w:r>
      <w:r w:rsidRPr="002B194C">
        <w:rPr>
          <w:rFonts w:ascii="Times New Roman" w:hAnsi="Times New Roman" w:cs="Times New Roman"/>
          <w:i/>
          <w:sz w:val="24"/>
          <w:szCs w:val="24"/>
        </w:rPr>
        <w:t>Moringa</w:t>
      </w:r>
      <w:r w:rsidRPr="002B194C">
        <w:rPr>
          <w:rFonts w:ascii="Times New Roman" w:hAnsi="Times New Roman" w:cs="Times New Roman"/>
          <w:sz w:val="24"/>
          <w:szCs w:val="24"/>
        </w:rPr>
        <w:t xml:space="preserve"> supplementation (</w:t>
      </w:r>
      <w:proofErr w:type="spellStart"/>
      <w:r w:rsidRPr="002B194C">
        <w:rPr>
          <w:rFonts w:ascii="Times New Roman" w:hAnsi="Times New Roman" w:cs="Times New Roman"/>
          <w:sz w:val="24"/>
          <w:szCs w:val="24"/>
        </w:rPr>
        <w:t>Elabd</w:t>
      </w:r>
      <w:proofErr w:type="spellEnd"/>
      <w:r w:rsidRPr="002B194C">
        <w:rPr>
          <w:rFonts w:ascii="Times New Roman" w:hAnsi="Times New Roman" w:cs="Times New Roman"/>
          <w:sz w:val="24"/>
          <w:szCs w:val="24"/>
        </w:rPr>
        <w:t xml:space="preserve"> et al., 2019; Faisal et al., 2024; Mehdi et al., 2016; Momin &amp; Memiş, 2023; Tabassum et al., 2023). Recent evidence also indicates beneficial effects on survival, physiological condition, and disease resistance (Abdel-Latif et al., 2022; Emam et al., 2024; Kamble et al., 2024; Nassar et al., 2024; Sharker et al., 2024). These studies consistently demonstrated that the nutritional richness and functional bioactive compounds of </w:t>
      </w:r>
      <w:r w:rsidRPr="002B194C">
        <w:rPr>
          <w:rFonts w:ascii="Times New Roman" w:hAnsi="Times New Roman" w:cs="Times New Roman"/>
          <w:i/>
          <w:sz w:val="24"/>
          <w:szCs w:val="24"/>
        </w:rPr>
        <w:t>M. oleifera</w:t>
      </w:r>
      <w:r w:rsidRPr="002B194C">
        <w:rPr>
          <w:rFonts w:ascii="Times New Roman" w:hAnsi="Times New Roman" w:cs="Times New Roman"/>
          <w:sz w:val="24"/>
          <w:szCs w:val="24"/>
        </w:rPr>
        <w:t xml:space="preserve"> improve feed </w:t>
      </w:r>
      <w:proofErr w:type="spellStart"/>
      <w:r w:rsidRPr="002B194C">
        <w:rPr>
          <w:rFonts w:ascii="Times New Roman" w:hAnsi="Times New Roman" w:cs="Times New Roman"/>
          <w:sz w:val="24"/>
          <w:szCs w:val="24"/>
        </w:rPr>
        <w:t>utilisation</w:t>
      </w:r>
      <w:proofErr w:type="spellEnd"/>
      <w:r w:rsidRPr="002B194C">
        <w:rPr>
          <w:rFonts w:ascii="Times New Roman" w:hAnsi="Times New Roman" w:cs="Times New Roman"/>
          <w:sz w:val="24"/>
          <w:szCs w:val="24"/>
        </w:rPr>
        <w:t xml:space="preserve"> and support normal physiological processes, leading to enhanced growth and survival.</w:t>
      </w:r>
    </w:p>
    <w:p w14:paraId="2D8C253E" w14:textId="77777777" w:rsidR="005B4045" w:rsidRPr="002B194C" w:rsidRDefault="005B4045" w:rsidP="005B4045">
      <w:pPr>
        <w:spacing w:after="0"/>
        <w:jc w:val="both"/>
        <w:rPr>
          <w:rFonts w:ascii="Times New Roman" w:hAnsi="Times New Roman" w:cs="Times New Roman"/>
          <w:sz w:val="24"/>
          <w:szCs w:val="24"/>
        </w:rPr>
      </w:pPr>
      <w:r w:rsidRPr="002B194C">
        <w:rPr>
          <w:rFonts w:ascii="Times New Roman" w:hAnsi="Times New Roman" w:cs="Times New Roman"/>
          <w:sz w:val="24"/>
          <w:szCs w:val="24"/>
        </w:rPr>
        <w:t xml:space="preserve">Conversely, the reduction in growth performance observed at the 20% inclusion level agrees with previous reports indicating that excessive incorporation of plant leaf meals may reduce feed intake and nutrient digestibility because of increased dietary </w:t>
      </w:r>
      <w:proofErr w:type="spellStart"/>
      <w:r w:rsidRPr="002B194C">
        <w:rPr>
          <w:rFonts w:ascii="Times New Roman" w:hAnsi="Times New Roman" w:cs="Times New Roman"/>
          <w:sz w:val="24"/>
          <w:szCs w:val="24"/>
        </w:rPr>
        <w:t>fibre</w:t>
      </w:r>
      <w:proofErr w:type="spellEnd"/>
      <w:r w:rsidRPr="002B194C">
        <w:rPr>
          <w:rFonts w:ascii="Times New Roman" w:hAnsi="Times New Roman" w:cs="Times New Roman"/>
          <w:sz w:val="24"/>
          <w:szCs w:val="24"/>
        </w:rPr>
        <w:t xml:space="preserve"> and anti-nutritional constituents, such as tannins, phytates, and saponins. These compounds can interfere with nutrient absorption and protein </w:t>
      </w:r>
      <w:proofErr w:type="spellStart"/>
      <w:r w:rsidRPr="002B194C">
        <w:rPr>
          <w:rFonts w:ascii="Times New Roman" w:hAnsi="Times New Roman" w:cs="Times New Roman"/>
          <w:sz w:val="24"/>
          <w:szCs w:val="24"/>
        </w:rPr>
        <w:t>utilisation</w:t>
      </w:r>
      <w:proofErr w:type="spellEnd"/>
      <w:r w:rsidRPr="002B194C">
        <w:rPr>
          <w:rFonts w:ascii="Times New Roman" w:hAnsi="Times New Roman" w:cs="Times New Roman"/>
          <w:sz w:val="24"/>
          <w:szCs w:val="24"/>
        </w:rPr>
        <w:t xml:space="preserve">, thereby limiting growth when the plant meal is included beyond the optimal dietary level. The present results therefore suggest that, although </w:t>
      </w:r>
      <w:r w:rsidRPr="002B194C">
        <w:rPr>
          <w:rFonts w:ascii="Times New Roman" w:hAnsi="Times New Roman" w:cs="Times New Roman"/>
          <w:i/>
          <w:iCs/>
          <w:sz w:val="24"/>
          <w:szCs w:val="24"/>
        </w:rPr>
        <w:t>M. oleifera</w:t>
      </w:r>
      <w:r w:rsidRPr="002B194C">
        <w:rPr>
          <w:rFonts w:ascii="Times New Roman" w:hAnsi="Times New Roman" w:cs="Times New Roman"/>
          <w:sz w:val="24"/>
          <w:szCs w:val="24"/>
        </w:rPr>
        <w:t xml:space="preserve"> leaf meal is an effective alternative plant protein source, its inclusion should be carefully </w:t>
      </w:r>
      <w:proofErr w:type="spellStart"/>
      <w:r w:rsidRPr="002B194C">
        <w:rPr>
          <w:rFonts w:ascii="Times New Roman" w:hAnsi="Times New Roman" w:cs="Times New Roman"/>
          <w:sz w:val="24"/>
          <w:szCs w:val="24"/>
        </w:rPr>
        <w:t>optimised</w:t>
      </w:r>
      <w:proofErr w:type="spellEnd"/>
      <w:r w:rsidRPr="002B194C">
        <w:rPr>
          <w:rFonts w:ascii="Times New Roman" w:hAnsi="Times New Roman" w:cs="Times New Roman"/>
          <w:sz w:val="24"/>
          <w:szCs w:val="24"/>
        </w:rPr>
        <w:t xml:space="preserve"> to </w:t>
      </w:r>
      <w:proofErr w:type="spellStart"/>
      <w:r w:rsidRPr="002B194C">
        <w:rPr>
          <w:rFonts w:ascii="Times New Roman" w:hAnsi="Times New Roman" w:cs="Times New Roman"/>
          <w:sz w:val="24"/>
          <w:szCs w:val="24"/>
        </w:rPr>
        <w:t>maximise</w:t>
      </w:r>
      <w:proofErr w:type="spellEnd"/>
      <w:r w:rsidRPr="002B194C">
        <w:rPr>
          <w:rFonts w:ascii="Times New Roman" w:hAnsi="Times New Roman" w:cs="Times New Roman"/>
          <w:sz w:val="24"/>
          <w:szCs w:val="24"/>
        </w:rPr>
        <w:t xml:space="preserve"> growth performance in </w:t>
      </w:r>
      <w:r w:rsidRPr="002B194C">
        <w:rPr>
          <w:rFonts w:ascii="Times New Roman" w:hAnsi="Times New Roman" w:cs="Times New Roman"/>
          <w:i/>
          <w:iCs/>
          <w:sz w:val="24"/>
          <w:szCs w:val="24"/>
        </w:rPr>
        <w:t xml:space="preserve">L. </w:t>
      </w:r>
      <w:proofErr w:type="spellStart"/>
      <w:r w:rsidRPr="002B194C">
        <w:rPr>
          <w:rFonts w:ascii="Times New Roman" w:hAnsi="Times New Roman" w:cs="Times New Roman"/>
          <w:i/>
          <w:iCs/>
          <w:sz w:val="24"/>
          <w:szCs w:val="24"/>
        </w:rPr>
        <w:t>rohita</w:t>
      </w:r>
      <w:proofErr w:type="spellEnd"/>
      <w:r w:rsidRPr="002B194C">
        <w:rPr>
          <w:rFonts w:ascii="Times New Roman" w:hAnsi="Times New Roman" w:cs="Times New Roman"/>
          <w:sz w:val="24"/>
          <w:szCs w:val="24"/>
        </w:rPr>
        <w:t xml:space="preserve"> spawn.</w:t>
      </w:r>
    </w:p>
    <w:p w14:paraId="747D7AD6" w14:textId="77777777" w:rsidR="005B4045" w:rsidRPr="002B194C" w:rsidRDefault="005B4045" w:rsidP="005B4045">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 xml:space="preserve">Overall, the results demonstrate that partial replacement of fish meal with 15% MOLM provides the most </w:t>
      </w:r>
      <w:proofErr w:type="spellStart"/>
      <w:r w:rsidRPr="002B194C">
        <w:rPr>
          <w:rFonts w:ascii="Times New Roman" w:hAnsi="Times New Roman" w:cs="Times New Roman"/>
          <w:sz w:val="24"/>
          <w:szCs w:val="24"/>
        </w:rPr>
        <w:t>favourable</w:t>
      </w:r>
      <w:proofErr w:type="spellEnd"/>
      <w:r w:rsidRPr="002B194C">
        <w:rPr>
          <w:rFonts w:ascii="Times New Roman" w:hAnsi="Times New Roman" w:cs="Times New Roman"/>
          <w:sz w:val="24"/>
          <w:szCs w:val="24"/>
        </w:rPr>
        <w:t xml:space="preserve"> dietary strategy for the nursery rearing of </w:t>
      </w:r>
      <w:r w:rsidRPr="002B194C">
        <w:rPr>
          <w:rFonts w:ascii="Times New Roman" w:hAnsi="Times New Roman" w:cs="Times New Roman"/>
          <w:i/>
          <w:iCs/>
          <w:sz w:val="24"/>
          <w:szCs w:val="24"/>
        </w:rPr>
        <w:t xml:space="preserve">L. </w:t>
      </w:r>
      <w:proofErr w:type="spellStart"/>
      <w:r w:rsidRPr="002B194C">
        <w:rPr>
          <w:rFonts w:ascii="Times New Roman" w:hAnsi="Times New Roman" w:cs="Times New Roman"/>
          <w:i/>
          <w:iCs/>
          <w:sz w:val="24"/>
          <w:szCs w:val="24"/>
        </w:rPr>
        <w:t>rohita</w:t>
      </w:r>
      <w:proofErr w:type="spellEnd"/>
      <w:r w:rsidRPr="002B194C">
        <w:rPr>
          <w:rFonts w:ascii="Times New Roman" w:hAnsi="Times New Roman" w:cs="Times New Roman"/>
          <w:sz w:val="24"/>
          <w:szCs w:val="24"/>
        </w:rPr>
        <w:t xml:space="preserve"> spawn by improving growth performance and survival without compromising the culture environment. This finding supports the potential use of </w:t>
      </w:r>
      <w:r w:rsidRPr="002B194C">
        <w:rPr>
          <w:rFonts w:ascii="Times New Roman" w:hAnsi="Times New Roman" w:cs="Times New Roman"/>
          <w:i/>
          <w:iCs/>
          <w:sz w:val="24"/>
          <w:szCs w:val="24"/>
        </w:rPr>
        <w:t>M. oleifera</w:t>
      </w:r>
      <w:r w:rsidRPr="002B194C">
        <w:rPr>
          <w:rFonts w:ascii="Times New Roman" w:hAnsi="Times New Roman" w:cs="Times New Roman"/>
          <w:sz w:val="24"/>
          <w:szCs w:val="24"/>
        </w:rPr>
        <w:t xml:space="preserve"> leaf meal as a sustainable and economical protein source in nursery diets for Indian major carp.</w:t>
      </w:r>
    </w:p>
    <w:p w14:paraId="0CDE503E" w14:textId="77777777" w:rsidR="00AE639C" w:rsidRPr="002B194C" w:rsidRDefault="00AE639C" w:rsidP="00B12725">
      <w:pPr>
        <w:spacing w:after="0"/>
        <w:jc w:val="both"/>
        <w:rPr>
          <w:rFonts w:ascii="Times New Roman" w:hAnsi="Times New Roman" w:cs="Times New Roman"/>
          <w:b/>
          <w:bCs/>
          <w:sz w:val="24"/>
          <w:szCs w:val="24"/>
        </w:rPr>
      </w:pPr>
      <w:r w:rsidRPr="002B194C">
        <w:rPr>
          <w:rFonts w:ascii="Times New Roman" w:hAnsi="Times New Roman" w:cs="Times New Roman"/>
          <w:b/>
          <w:bCs/>
          <w:sz w:val="24"/>
          <w:szCs w:val="24"/>
        </w:rPr>
        <w:t xml:space="preserve">Table 5. </w:t>
      </w:r>
      <w:r w:rsidRPr="002B194C">
        <w:rPr>
          <w:rFonts w:ascii="Times New Roman" w:hAnsi="Times New Roman" w:cs="Times New Roman"/>
          <w:sz w:val="24"/>
          <w:szCs w:val="24"/>
        </w:rPr>
        <w:t xml:space="preserve">Growth performance and survival of </w:t>
      </w:r>
      <w:r w:rsidRPr="002B194C">
        <w:rPr>
          <w:rFonts w:ascii="Times New Roman" w:hAnsi="Times New Roman" w:cs="Times New Roman"/>
          <w:i/>
          <w:iCs/>
          <w:sz w:val="24"/>
          <w:szCs w:val="24"/>
        </w:rPr>
        <w:t xml:space="preserve">L. </w:t>
      </w:r>
      <w:proofErr w:type="spellStart"/>
      <w:r w:rsidRPr="002B194C">
        <w:rPr>
          <w:rFonts w:ascii="Times New Roman" w:hAnsi="Times New Roman" w:cs="Times New Roman"/>
          <w:i/>
          <w:iCs/>
          <w:sz w:val="24"/>
          <w:szCs w:val="24"/>
        </w:rPr>
        <w:t>rohita</w:t>
      </w:r>
      <w:proofErr w:type="spellEnd"/>
      <w:r w:rsidRPr="002B194C">
        <w:rPr>
          <w:rFonts w:ascii="Times New Roman" w:hAnsi="Times New Roman" w:cs="Times New Roman"/>
          <w:sz w:val="24"/>
          <w:szCs w:val="24"/>
        </w:rPr>
        <w:t xml:space="preserve"> spawn fed graded levels of MOLM</w:t>
      </w:r>
    </w:p>
    <w:tbl>
      <w:tblPr>
        <w:tblStyle w:val="TableGridLight1"/>
        <w:tblW w:w="0" w:type="auto"/>
        <w:tblInd w:w="-5" w:type="dxa"/>
        <w:tblLook w:val="04A0" w:firstRow="1" w:lastRow="0" w:firstColumn="1" w:lastColumn="0" w:noHBand="0" w:noVBand="1"/>
      </w:tblPr>
      <w:tblGrid>
        <w:gridCol w:w="1814"/>
        <w:gridCol w:w="1729"/>
        <w:gridCol w:w="1506"/>
        <w:gridCol w:w="1507"/>
        <w:gridCol w:w="1510"/>
        <w:gridCol w:w="1515"/>
      </w:tblGrid>
      <w:tr w:rsidR="009755DC" w:rsidRPr="002B194C" w14:paraId="26EE475B" w14:textId="77777777" w:rsidTr="007C06E8">
        <w:tc>
          <w:tcPr>
            <w:tcW w:w="1814" w:type="dxa"/>
            <w:hideMark/>
          </w:tcPr>
          <w:p w14:paraId="47B90E99" w14:textId="77777777" w:rsidR="009755DC" w:rsidRPr="002B194C" w:rsidRDefault="009755DC" w:rsidP="009755DC">
            <w:pPr>
              <w:jc w:val="center"/>
              <w:rPr>
                <w:rFonts w:ascii="Times New Roman" w:eastAsia="Times New Roman" w:hAnsi="Times New Roman" w:cs="Times New Roman"/>
                <w:b/>
                <w:bCs/>
                <w:kern w:val="0"/>
                <w:sz w:val="24"/>
                <w:szCs w:val="24"/>
                <w:lang w:val="en-GB" w:eastAsia="en-GB" w:bidi="ar-SA"/>
              </w:rPr>
            </w:pPr>
            <w:r w:rsidRPr="002B194C">
              <w:rPr>
                <w:rFonts w:ascii="Times New Roman" w:eastAsia="Times New Roman" w:hAnsi="Times New Roman" w:cs="Times New Roman"/>
                <w:b/>
                <w:bCs/>
                <w:kern w:val="0"/>
                <w:sz w:val="24"/>
                <w:szCs w:val="24"/>
                <w:lang w:val="en-GB" w:eastAsia="en-GB" w:bidi="ar-SA"/>
              </w:rPr>
              <w:t>Parameter</w:t>
            </w:r>
          </w:p>
        </w:tc>
        <w:tc>
          <w:tcPr>
            <w:tcW w:w="1729" w:type="dxa"/>
            <w:hideMark/>
          </w:tcPr>
          <w:p w14:paraId="2171E6A4" w14:textId="77777777" w:rsidR="009755DC" w:rsidRPr="002B194C" w:rsidRDefault="009755DC" w:rsidP="009755DC">
            <w:pPr>
              <w:jc w:val="center"/>
              <w:rPr>
                <w:rFonts w:ascii="Times New Roman" w:eastAsia="Times New Roman" w:hAnsi="Times New Roman" w:cs="Times New Roman"/>
                <w:b/>
                <w:bCs/>
                <w:kern w:val="0"/>
                <w:sz w:val="24"/>
                <w:szCs w:val="24"/>
                <w:lang w:val="en-GB" w:eastAsia="en-GB" w:bidi="ar-SA"/>
              </w:rPr>
            </w:pPr>
            <w:r w:rsidRPr="002B194C">
              <w:rPr>
                <w:rFonts w:ascii="Times New Roman" w:eastAsia="Times New Roman" w:hAnsi="Times New Roman" w:cs="Times New Roman"/>
                <w:b/>
                <w:bCs/>
                <w:kern w:val="0"/>
                <w:sz w:val="24"/>
                <w:szCs w:val="24"/>
                <w:lang w:val="en-GB" w:eastAsia="en-GB" w:bidi="ar-SA"/>
              </w:rPr>
              <w:t>Control</w:t>
            </w:r>
          </w:p>
        </w:tc>
        <w:tc>
          <w:tcPr>
            <w:tcW w:w="1506" w:type="dxa"/>
            <w:hideMark/>
          </w:tcPr>
          <w:p w14:paraId="29A9DA00" w14:textId="77777777" w:rsidR="009755DC" w:rsidRPr="002B194C" w:rsidRDefault="009755DC" w:rsidP="009755DC">
            <w:pPr>
              <w:jc w:val="center"/>
              <w:rPr>
                <w:rFonts w:ascii="Times New Roman" w:eastAsia="Times New Roman" w:hAnsi="Times New Roman" w:cs="Times New Roman"/>
                <w:b/>
                <w:bCs/>
                <w:kern w:val="0"/>
                <w:sz w:val="24"/>
                <w:szCs w:val="24"/>
                <w:lang w:val="en-GB" w:eastAsia="en-GB" w:bidi="ar-SA"/>
              </w:rPr>
            </w:pPr>
            <w:r w:rsidRPr="002B194C">
              <w:rPr>
                <w:rFonts w:ascii="Times New Roman" w:eastAsia="Times New Roman" w:hAnsi="Times New Roman" w:cs="Times New Roman"/>
                <w:b/>
                <w:bCs/>
                <w:kern w:val="0"/>
                <w:sz w:val="24"/>
                <w:szCs w:val="24"/>
                <w:lang w:val="en-GB" w:eastAsia="en-GB" w:bidi="ar-SA"/>
              </w:rPr>
              <w:t>T1</w:t>
            </w:r>
          </w:p>
        </w:tc>
        <w:tc>
          <w:tcPr>
            <w:tcW w:w="0" w:type="auto"/>
            <w:hideMark/>
          </w:tcPr>
          <w:p w14:paraId="741D0338" w14:textId="77777777" w:rsidR="009755DC" w:rsidRPr="002B194C" w:rsidRDefault="009755DC" w:rsidP="009755DC">
            <w:pPr>
              <w:jc w:val="center"/>
              <w:rPr>
                <w:rFonts w:ascii="Times New Roman" w:eastAsia="Times New Roman" w:hAnsi="Times New Roman" w:cs="Times New Roman"/>
                <w:b/>
                <w:bCs/>
                <w:kern w:val="0"/>
                <w:sz w:val="24"/>
                <w:szCs w:val="24"/>
                <w:lang w:val="en-GB" w:eastAsia="en-GB" w:bidi="ar-SA"/>
              </w:rPr>
            </w:pPr>
            <w:r w:rsidRPr="002B194C">
              <w:rPr>
                <w:rFonts w:ascii="Times New Roman" w:eastAsia="Times New Roman" w:hAnsi="Times New Roman" w:cs="Times New Roman"/>
                <w:b/>
                <w:bCs/>
                <w:kern w:val="0"/>
                <w:sz w:val="24"/>
                <w:szCs w:val="24"/>
                <w:lang w:val="en-GB" w:eastAsia="en-GB" w:bidi="ar-SA"/>
              </w:rPr>
              <w:t>T2</w:t>
            </w:r>
          </w:p>
        </w:tc>
        <w:tc>
          <w:tcPr>
            <w:tcW w:w="0" w:type="auto"/>
            <w:hideMark/>
          </w:tcPr>
          <w:p w14:paraId="181177A7" w14:textId="77777777" w:rsidR="009755DC" w:rsidRPr="002B194C" w:rsidRDefault="009755DC" w:rsidP="009755DC">
            <w:pPr>
              <w:jc w:val="center"/>
              <w:rPr>
                <w:rFonts w:ascii="Times New Roman" w:eastAsia="Times New Roman" w:hAnsi="Times New Roman" w:cs="Times New Roman"/>
                <w:b/>
                <w:bCs/>
                <w:kern w:val="0"/>
                <w:sz w:val="24"/>
                <w:szCs w:val="24"/>
                <w:lang w:val="en-GB" w:eastAsia="en-GB" w:bidi="ar-SA"/>
              </w:rPr>
            </w:pPr>
            <w:r w:rsidRPr="002B194C">
              <w:rPr>
                <w:rFonts w:ascii="Times New Roman" w:eastAsia="Times New Roman" w:hAnsi="Times New Roman" w:cs="Times New Roman"/>
                <w:b/>
                <w:bCs/>
                <w:kern w:val="0"/>
                <w:sz w:val="24"/>
                <w:szCs w:val="24"/>
                <w:lang w:val="en-GB" w:eastAsia="en-GB" w:bidi="ar-SA"/>
              </w:rPr>
              <w:t>T3</w:t>
            </w:r>
          </w:p>
        </w:tc>
        <w:tc>
          <w:tcPr>
            <w:tcW w:w="0" w:type="auto"/>
            <w:hideMark/>
          </w:tcPr>
          <w:p w14:paraId="71280254" w14:textId="77777777" w:rsidR="009755DC" w:rsidRPr="002B194C" w:rsidRDefault="009755DC" w:rsidP="009755DC">
            <w:pPr>
              <w:jc w:val="center"/>
              <w:rPr>
                <w:rFonts w:ascii="Times New Roman" w:eastAsia="Times New Roman" w:hAnsi="Times New Roman" w:cs="Times New Roman"/>
                <w:b/>
                <w:bCs/>
                <w:kern w:val="0"/>
                <w:sz w:val="24"/>
                <w:szCs w:val="24"/>
                <w:lang w:val="en-GB" w:eastAsia="en-GB" w:bidi="ar-SA"/>
              </w:rPr>
            </w:pPr>
            <w:r w:rsidRPr="002B194C">
              <w:rPr>
                <w:rFonts w:ascii="Times New Roman" w:eastAsia="Times New Roman" w:hAnsi="Times New Roman" w:cs="Times New Roman"/>
                <w:b/>
                <w:bCs/>
                <w:kern w:val="0"/>
                <w:sz w:val="24"/>
                <w:szCs w:val="24"/>
                <w:lang w:val="en-GB" w:eastAsia="en-GB" w:bidi="ar-SA"/>
              </w:rPr>
              <w:t>T4</w:t>
            </w:r>
          </w:p>
        </w:tc>
      </w:tr>
      <w:tr w:rsidR="009755DC" w:rsidRPr="002B194C" w14:paraId="39E7A56C" w14:textId="77777777" w:rsidTr="007C06E8">
        <w:tc>
          <w:tcPr>
            <w:tcW w:w="1814" w:type="dxa"/>
            <w:hideMark/>
          </w:tcPr>
          <w:p w14:paraId="1E3424D5" w14:textId="77777777" w:rsidR="009755DC" w:rsidRPr="002B194C" w:rsidRDefault="009755DC" w:rsidP="009755DC">
            <w:pPr>
              <w:rPr>
                <w:rFonts w:ascii="Times New Roman" w:eastAsia="Times New Roman" w:hAnsi="Times New Roman" w:cs="Times New Roman"/>
                <w:b/>
                <w:kern w:val="0"/>
                <w:sz w:val="24"/>
                <w:szCs w:val="24"/>
                <w:lang w:val="en-GB" w:eastAsia="en-GB" w:bidi="ar-SA"/>
              </w:rPr>
            </w:pPr>
            <w:r w:rsidRPr="002B194C">
              <w:rPr>
                <w:rFonts w:ascii="Times New Roman" w:eastAsia="Times New Roman" w:hAnsi="Times New Roman" w:cs="Times New Roman"/>
                <w:b/>
                <w:kern w:val="0"/>
                <w:sz w:val="24"/>
                <w:szCs w:val="24"/>
                <w:lang w:val="en-GB" w:eastAsia="en-GB" w:bidi="ar-SA"/>
              </w:rPr>
              <w:t>Initial weight (mg)</w:t>
            </w:r>
          </w:p>
        </w:tc>
        <w:tc>
          <w:tcPr>
            <w:tcW w:w="1729" w:type="dxa"/>
            <w:hideMark/>
          </w:tcPr>
          <w:p w14:paraId="5175D0C0" w14:textId="77777777" w:rsidR="009755DC" w:rsidRPr="002B194C" w:rsidRDefault="000240F0"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1.42 ± 0.04</w:t>
            </w:r>
            <w:r w:rsidRPr="002B194C">
              <w:rPr>
                <w:rFonts w:ascii="Times New Roman" w:eastAsia="Times New Roman" w:hAnsi="Times New Roman" w:cs="Times New Roman"/>
                <w:kern w:val="0"/>
                <w:sz w:val="24"/>
                <w:szCs w:val="24"/>
                <w:vertAlign w:val="superscript"/>
                <w:lang w:val="en-GB" w:eastAsia="en-GB" w:bidi="ar-SA"/>
              </w:rPr>
              <w:t>a</w:t>
            </w:r>
          </w:p>
        </w:tc>
        <w:tc>
          <w:tcPr>
            <w:tcW w:w="1506" w:type="dxa"/>
            <w:hideMark/>
          </w:tcPr>
          <w:p w14:paraId="2FD639A1" w14:textId="77777777" w:rsidR="009755DC" w:rsidRPr="002B194C" w:rsidRDefault="009755DC"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1.42 ± 0.04ᵃ</w:t>
            </w:r>
          </w:p>
        </w:tc>
        <w:tc>
          <w:tcPr>
            <w:tcW w:w="0" w:type="auto"/>
            <w:hideMark/>
          </w:tcPr>
          <w:p w14:paraId="486DB433" w14:textId="77777777" w:rsidR="009755DC" w:rsidRPr="002B194C" w:rsidRDefault="009755DC"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1.41 ± 0.05ᵃ</w:t>
            </w:r>
          </w:p>
        </w:tc>
        <w:tc>
          <w:tcPr>
            <w:tcW w:w="0" w:type="auto"/>
            <w:hideMark/>
          </w:tcPr>
          <w:p w14:paraId="33A6D2C8" w14:textId="77777777" w:rsidR="009755DC" w:rsidRPr="002B194C" w:rsidRDefault="009755DC"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1.43 ± 0.03ᵃ</w:t>
            </w:r>
          </w:p>
        </w:tc>
        <w:tc>
          <w:tcPr>
            <w:tcW w:w="0" w:type="auto"/>
            <w:hideMark/>
          </w:tcPr>
          <w:p w14:paraId="21F11CB9" w14:textId="77777777" w:rsidR="009755DC" w:rsidRPr="002B194C" w:rsidRDefault="009755DC"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1.40 ± 0.06ᵃ</w:t>
            </w:r>
          </w:p>
        </w:tc>
      </w:tr>
      <w:tr w:rsidR="009755DC" w:rsidRPr="002B194C" w14:paraId="48F689B0" w14:textId="77777777" w:rsidTr="007C06E8">
        <w:tc>
          <w:tcPr>
            <w:tcW w:w="1814" w:type="dxa"/>
            <w:hideMark/>
          </w:tcPr>
          <w:p w14:paraId="06C1ED44" w14:textId="77777777" w:rsidR="009755DC" w:rsidRPr="002B194C" w:rsidRDefault="009755DC" w:rsidP="009755DC">
            <w:pPr>
              <w:rPr>
                <w:rFonts w:ascii="Times New Roman" w:eastAsia="Times New Roman" w:hAnsi="Times New Roman" w:cs="Times New Roman"/>
                <w:b/>
                <w:kern w:val="0"/>
                <w:sz w:val="24"/>
                <w:szCs w:val="24"/>
                <w:lang w:val="en-GB" w:eastAsia="en-GB" w:bidi="ar-SA"/>
              </w:rPr>
            </w:pPr>
            <w:r w:rsidRPr="002B194C">
              <w:rPr>
                <w:rFonts w:ascii="Times New Roman" w:eastAsia="Times New Roman" w:hAnsi="Times New Roman" w:cs="Times New Roman"/>
                <w:b/>
                <w:kern w:val="0"/>
                <w:sz w:val="24"/>
                <w:szCs w:val="24"/>
                <w:lang w:val="en-GB" w:eastAsia="en-GB" w:bidi="ar-SA"/>
              </w:rPr>
              <w:t>Final weight (mg)</w:t>
            </w:r>
          </w:p>
        </w:tc>
        <w:tc>
          <w:tcPr>
            <w:tcW w:w="1729" w:type="dxa"/>
            <w:hideMark/>
          </w:tcPr>
          <w:p w14:paraId="58B7F2B0" w14:textId="77777777" w:rsidR="009755DC" w:rsidRPr="002B194C" w:rsidRDefault="00D52A88" w:rsidP="000240F0">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2</w:t>
            </w:r>
            <w:r w:rsidR="009755DC" w:rsidRPr="002B194C">
              <w:rPr>
                <w:rFonts w:ascii="Times New Roman" w:eastAsia="Times New Roman" w:hAnsi="Times New Roman" w:cs="Times New Roman"/>
                <w:kern w:val="0"/>
                <w:sz w:val="24"/>
                <w:szCs w:val="24"/>
                <w:lang w:val="en-GB" w:eastAsia="en-GB" w:bidi="ar-SA"/>
              </w:rPr>
              <w:t>94.84 ± 1.33</w:t>
            </w:r>
            <w:r w:rsidR="000240F0" w:rsidRPr="002B194C">
              <w:rPr>
                <w:rFonts w:ascii="Times New Roman" w:eastAsia="Times New Roman" w:hAnsi="Times New Roman" w:cs="Times New Roman"/>
                <w:kern w:val="0"/>
                <w:sz w:val="24"/>
                <w:szCs w:val="24"/>
                <w:vertAlign w:val="superscript"/>
                <w:lang w:val="en-GB" w:eastAsia="en-GB" w:bidi="ar-SA"/>
              </w:rPr>
              <w:t>b</w:t>
            </w:r>
          </w:p>
        </w:tc>
        <w:tc>
          <w:tcPr>
            <w:tcW w:w="1506" w:type="dxa"/>
            <w:hideMark/>
          </w:tcPr>
          <w:p w14:paraId="23E6317E" w14:textId="77777777" w:rsidR="009755DC" w:rsidRPr="002B194C" w:rsidRDefault="00D52A88"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220</w:t>
            </w:r>
            <w:r w:rsidR="009755DC" w:rsidRPr="002B194C">
              <w:rPr>
                <w:rFonts w:ascii="Times New Roman" w:eastAsia="Times New Roman" w:hAnsi="Times New Roman" w:cs="Times New Roman"/>
                <w:kern w:val="0"/>
                <w:sz w:val="24"/>
                <w:szCs w:val="24"/>
                <w:lang w:val="en-GB" w:eastAsia="en-GB" w:bidi="ar-SA"/>
              </w:rPr>
              <w:t>.83 ± 2.89</w:t>
            </w:r>
            <w:r w:rsidR="00183869" w:rsidRPr="002B194C">
              <w:rPr>
                <w:rFonts w:ascii="Times New Roman" w:eastAsia="Times New Roman" w:hAnsi="Times New Roman" w:cs="Times New Roman"/>
                <w:kern w:val="0"/>
                <w:sz w:val="24"/>
                <w:szCs w:val="24"/>
                <w:vertAlign w:val="superscript"/>
                <w:lang w:val="en-GB" w:eastAsia="en-GB" w:bidi="ar-SA"/>
              </w:rPr>
              <w:t>d</w:t>
            </w:r>
          </w:p>
        </w:tc>
        <w:tc>
          <w:tcPr>
            <w:tcW w:w="0" w:type="auto"/>
            <w:hideMark/>
          </w:tcPr>
          <w:p w14:paraId="5105634C" w14:textId="77777777" w:rsidR="009755DC" w:rsidRPr="002B194C" w:rsidRDefault="00D52A88"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2</w:t>
            </w:r>
            <w:r w:rsidR="009755DC" w:rsidRPr="002B194C">
              <w:rPr>
                <w:rFonts w:ascii="Times New Roman" w:eastAsia="Times New Roman" w:hAnsi="Times New Roman" w:cs="Times New Roman"/>
                <w:kern w:val="0"/>
                <w:sz w:val="24"/>
                <w:szCs w:val="24"/>
                <w:lang w:val="en-GB" w:eastAsia="en-GB" w:bidi="ar-SA"/>
              </w:rPr>
              <w:t>40.29 ± 4.23ᶜ</w:t>
            </w:r>
          </w:p>
        </w:tc>
        <w:tc>
          <w:tcPr>
            <w:tcW w:w="0" w:type="auto"/>
            <w:hideMark/>
          </w:tcPr>
          <w:p w14:paraId="56BF411C" w14:textId="77777777" w:rsidR="009755DC" w:rsidRPr="002B194C" w:rsidRDefault="00D52A88"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3</w:t>
            </w:r>
            <w:r w:rsidR="009755DC" w:rsidRPr="002B194C">
              <w:rPr>
                <w:rFonts w:ascii="Times New Roman" w:eastAsia="Times New Roman" w:hAnsi="Times New Roman" w:cs="Times New Roman"/>
                <w:kern w:val="0"/>
                <w:sz w:val="24"/>
                <w:szCs w:val="24"/>
                <w:lang w:val="en-GB" w:eastAsia="en-GB" w:bidi="ar-SA"/>
              </w:rPr>
              <w:t>15.54 ± 0.92ᵃ</w:t>
            </w:r>
          </w:p>
        </w:tc>
        <w:tc>
          <w:tcPr>
            <w:tcW w:w="0" w:type="auto"/>
            <w:hideMark/>
          </w:tcPr>
          <w:p w14:paraId="0231BB99" w14:textId="77777777" w:rsidR="009755DC" w:rsidRPr="002B194C" w:rsidRDefault="00D52A88"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1</w:t>
            </w:r>
            <w:r w:rsidR="009755DC" w:rsidRPr="002B194C">
              <w:rPr>
                <w:rFonts w:ascii="Times New Roman" w:eastAsia="Times New Roman" w:hAnsi="Times New Roman" w:cs="Times New Roman"/>
                <w:kern w:val="0"/>
                <w:sz w:val="24"/>
                <w:szCs w:val="24"/>
                <w:lang w:val="en-GB" w:eastAsia="en-GB" w:bidi="ar-SA"/>
              </w:rPr>
              <w:t>86.65 ± 2.12</w:t>
            </w:r>
            <w:r w:rsidR="00183869" w:rsidRPr="002B194C">
              <w:rPr>
                <w:rFonts w:ascii="Times New Roman" w:eastAsia="Times New Roman" w:hAnsi="Times New Roman" w:cs="Times New Roman"/>
                <w:kern w:val="0"/>
                <w:sz w:val="24"/>
                <w:szCs w:val="24"/>
                <w:vertAlign w:val="superscript"/>
                <w:lang w:val="en-GB" w:eastAsia="en-GB" w:bidi="ar-SA"/>
              </w:rPr>
              <w:t>e</w:t>
            </w:r>
          </w:p>
        </w:tc>
      </w:tr>
      <w:tr w:rsidR="009755DC" w:rsidRPr="002B194C" w14:paraId="418C7173" w14:textId="77777777" w:rsidTr="007C06E8">
        <w:tc>
          <w:tcPr>
            <w:tcW w:w="1814" w:type="dxa"/>
            <w:hideMark/>
          </w:tcPr>
          <w:p w14:paraId="350D0C1E" w14:textId="77777777" w:rsidR="009755DC" w:rsidRPr="002B194C" w:rsidRDefault="009755DC" w:rsidP="009755DC">
            <w:pPr>
              <w:rPr>
                <w:rFonts w:ascii="Times New Roman" w:eastAsia="Times New Roman" w:hAnsi="Times New Roman" w:cs="Times New Roman"/>
                <w:b/>
                <w:kern w:val="0"/>
                <w:sz w:val="24"/>
                <w:szCs w:val="24"/>
                <w:lang w:val="en-GB" w:eastAsia="en-GB" w:bidi="ar-SA"/>
              </w:rPr>
            </w:pPr>
            <w:r w:rsidRPr="002B194C">
              <w:rPr>
                <w:rFonts w:ascii="Times New Roman" w:eastAsia="Times New Roman" w:hAnsi="Times New Roman" w:cs="Times New Roman"/>
                <w:b/>
                <w:kern w:val="0"/>
                <w:sz w:val="24"/>
                <w:szCs w:val="24"/>
                <w:lang w:val="en-GB" w:eastAsia="en-GB" w:bidi="ar-SA"/>
              </w:rPr>
              <w:t>Weight gain (mg)</w:t>
            </w:r>
          </w:p>
        </w:tc>
        <w:tc>
          <w:tcPr>
            <w:tcW w:w="1729" w:type="dxa"/>
            <w:hideMark/>
          </w:tcPr>
          <w:p w14:paraId="5096A9F2" w14:textId="77777777" w:rsidR="009755DC" w:rsidRPr="002B194C" w:rsidRDefault="00D52A88" w:rsidP="000240F0">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2</w:t>
            </w:r>
            <w:r w:rsidR="000240F0" w:rsidRPr="002B194C">
              <w:rPr>
                <w:rFonts w:ascii="Times New Roman" w:eastAsia="Times New Roman" w:hAnsi="Times New Roman" w:cs="Times New Roman"/>
                <w:kern w:val="0"/>
                <w:sz w:val="24"/>
                <w:szCs w:val="24"/>
                <w:lang w:val="en-GB" w:eastAsia="en-GB" w:bidi="ar-SA"/>
              </w:rPr>
              <w:t>93.42</w:t>
            </w:r>
            <w:r w:rsidR="000240F0" w:rsidRPr="002B194C">
              <w:rPr>
                <w:rFonts w:ascii="Times New Roman" w:eastAsia="Times New Roman" w:hAnsi="Times New Roman" w:cs="Times New Roman"/>
                <w:kern w:val="0"/>
                <w:sz w:val="24"/>
                <w:szCs w:val="24"/>
                <w:vertAlign w:val="superscript"/>
                <w:lang w:val="en-GB" w:eastAsia="en-GB" w:bidi="ar-SA"/>
              </w:rPr>
              <w:t xml:space="preserve"> </w:t>
            </w:r>
            <w:r w:rsidR="000240F0" w:rsidRPr="002B194C">
              <w:rPr>
                <w:rFonts w:ascii="Times New Roman" w:eastAsia="Times New Roman" w:hAnsi="Times New Roman" w:cs="Times New Roman"/>
                <w:kern w:val="0"/>
                <w:sz w:val="24"/>
                <w:szCs w:val="24"/>
                <w:lang w:val="en-GB" w:eastAsia="en-GB" w:bidi="ar-SA"/>
              </w:rPr>
              <w:t>± 1.33</w:t>
            </w:r>
            <w:r w:rsidR="00183869" w:rsidRPr="002B194C">
              <w:rPr>
                <w:rFonts w:ascii="Times New Roman" w:eastAsia="Times New Roman" w:hAnsi="Times New Roman" w:cs="Times New Roman"/>
                <w:kern w:val="0"/>
                <w:sz w:val="24"/>
                <w:szCs w:val="24"/>
                <w:vertAlign w:val="superscript"/>
                <w:lang w:val="en-GB" w:eastAsia="en-GB" w:bidi="ar-SA"/>
              </w:rPr>
              <w:t>b</w:t>
            </w:r>
          </w:p>
        </w:tc>
        <w:tc>
          <w:tcPr>
            <w:tcW w:w="1506" w:type="dxa"/>
            <w:hideMark/>
          </w:tcPr>
          <w:p w14:paraId="3F029AF5" w14:textId="77777777" w:rsidR="009755DC" w:rsidRPr="002B194C" w:rsidRDefault="00183869"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219.41</w:t>
            </w:r>
            <w:r w:rsidR="009755DC" w:rsidRPr="002B194C">
              <w:rPr>
                <w:rFonts w:ascii="Times New Roman" w:eastAsia="Times New Roman" w:hAnsi="Times New Roman" w:cs="Times New Roman"/>
                <w:kern w:val="0"/>
                <w:sz w:val="24"/>
                <w:szCs w:val="24"/>
                <w:lang w:val="en-GB" w:eastAsia="en-GB" w:bidi="ar-SA"/>
              </w:rPr>
              <w:t xml:space="preserve"> ± 2.89</w:t>
            </w:r>
            <w:r w:rsidRPr="002B194C">
              <w:rPr>
                <w:rFonts w:ascii="Times New Roman" w:eastAsia="Times New Roman" w:hAnsi="Times New Roman" w:cs="Times New Roman"/>
                <w:kern w:val="0"/>
                <w:sz w:val="24"/>
                <w:szCs w:val="24"/>
                <w:vertAlign w:val="superscript"/>
                <w:lang w:val="en-GB" w:eastAsia="en-GB" w:bidi="ar-SA"/>
              </w:rPr>
              <w:t>d</w:t>
            </w:r>
          </w:p>
        </w:tc>
        <w:tc>
          <w:tcPr>
            <w:tcW w:w="0" w:type="auto"/>
            <w:hideMark/>
          </w:tcPr>
          <w:p w14:paraId="61FF6E03" w14:textId="77777777" w:rsidR="009755DC" w:rsidRPr="002B194C" w:rsidRDefault="00D52A88"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2</w:t>
            </w:r>
            <w:r w:rsidR="009755DC" w:rsidRPr="002B194C">
              <w:rPr>
                <w:rFonts w:ascii="Times New Roman" w:eastAsia="Times New Roman" w:hAnsi="Times New Roman" w:cs="Times New Roman"/>
                <w:kern w:val="0"/>
                <w:sz w:val="24"/>
                <w:szCs w:val="24"/>
                <w:lang w:val="en-GB" w:eastAsia="en-GB" w:bidi="ar-SA"/>
              </w:rPr>
              <w:t>38.88 ± 4.23ᶜ</w:t>
            </w:r>
          </w:p>
        </w:tc>
        <w:tc>
          <w:tcPr>
            <w:tcW w:w="0" w:type="auto"/>
            <w:hideMark/>
          </w:tcPr>
          <w:p w14:paraId="1F2C4E18" w14:textId="77777777" w:rsidR="009755DC" w:rsidRPr="002B194C" w:rsidRDefault="00D52A88"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3</w:t>
            </w:r>
            <w:r w:rsidR="009755DC" w:rsidRPr="002B194C">
              <w:rPr>
                <w:rFonts w:ascii="Times New Roman" w:eastAsia="Times New Roman" w:hAnsi="Times New Roman" w:cs="Times New Roman"/>
                <w:kern w:val="0"/>
                <w:sz w:val="24"/>
                <w:szCs w:val="24"/>
                <w:lang w:val="en-GB" w:eastAsia="en-GB" w:bidi="ar-SA"/>
              </w:rPr>
              <w:t>14.11 ± 0.92ᵃ</w:t>
            </w:r>
          </w:p>
        </w:tc>
        <w:tc>
          <w:tcPr>
            <w:tcW w:w="0" w:type="auto"/>
            <w:hideMark/>
          </w:tcPr>
          <w:p w14:paraId="01BCC2DE" w14:textId="77777777" w:rsidR="009755DC" w:rsidRPr="002B194C" w:rsidRDefault="00D52A88"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1</w:t>
            </w:r>
            <w:r w:rsidR="009755DC" w:rsidRPr="002B194C">
              <w:rPr>
                <w:rFonts w:ascii="Times New Roman" w:eastAsia="Times New Roman" w:hAnsi="Times New Roman" w:cs="Times New Roman"/>
                <w:kern w:val="0"/>
                <w:sz w:val="24"/>
                <w:szCs w:val="24"/>
                <w:lang w:val="en-GB" w:eastAsia="en-GB" w:bidi="ar-SA"/>
              </w:rPr>
              <w:t>85.25 ± 2.12</w:t>
            </w:r>
            <w:r w:rsidR="00183869" w:rsidRPr="002B194C">
              <w:rPr>
                <w:rFonts w:ascii="Times New Roman" w:eastAsia="Times New Roman" w:hAnsi="Times New Roman" w:cs="Times New Roman"/>
                <w:kern w:val="0"/>
                <w:sz w:val="24"/>
                <w:szCs w:val="24"/>
                <w:vertAlign w:val="superscript"/>
                <w:lang w:val="en-GB" w:eastAsia="en-GB" w:bidi="ar-SA"/>
              </w:rPr>
              <w:t>e</w:t>
            </w:r>
          </w:p>
        </w:tc>
      </w:tr>
      <w:tr w:rsidR="009755DC" w:rsidRPr="002B194C" w14:paraId="70C291FF" w14:textId="77777777" w:rsidTr="007C06E8">
        <w:tc>
          <w:tcPr>
            <w:tcW w:w="1814" w:type="dxa"/>
            <w:hideMark/>
          </w:tcPr>
          <w:p w14:paraId="43E92877" w14:textId="77777777" w:rsidR="009755DC" w:rsidRPr="002B194C" w:rsidRDefault="0013785A" w:rsidP="000240F0">
            <w:pPr>
              <w:rPr>
                <w:rFonts w:ascii="Times New Roman" w:eastAsia="Times New Roman" w:hAnsi="Times New Roman" w:cs="Times New Roman"/>
                <w:b/>
                <w:kern w:val="0"/>
                <w:sz w:val="24"/>
                <w:szCs w:val="24"/>
                <w:lang w:val="en-GB" w:eastAsia="en-GB" w:bidi="ar-SA"/>
              </w:rPr>
            </w:pPr>
            <w:r w:rsidRPr="002B194C">
              <w:rPr>
                <w:rFonts w:ascii="Times New Roman" w:eastAsia="Times New Roman" w:hAnsi="Times New Roman" w:cs="Times New Roman"/>
                <w:b/>
                <w:kern w:val="0"/>
                <w:sz w:val="24"/>
                <w:szCs w:val="24"/>
                <w:lang w:val="en-GB" w:eastAsia="en-GB" w:bidi="ar-SA"/>
              </w:rPr>
              <w:t>SGR (% d</w:t>
            </w:r>
            <w:r w:rsidR="000240F0" w:rsidRPr="002B194C">
              <w:rPr>
                <w:rFonts w:ascii="Times New Roman" w:eastAsia="Times New Roman" w:hAnsi="Times New Roman" w:cs="Times New Roman"/>
                <w:b/>
                <w:kern w:val="0"/>
                <w:sz w:val="24"/>
                <w:szCs w:val="24"/>
                <w:vertAlign w:val="superscript"/>
                <w:lang w:val="en-GB" w:eastAsia="en-GB" w:bidi="ar-SA"/>
              </w:rPr>
              <w:t>-1</w:t>
            </w:r>
            <w:r w:rsidR="009755DC" w:rsidRPr="002B194C">
              <w:rPr>
                <w:rFonts w:ascii="Times New Roman" w:eastAsia="Times New Roman" w:hAnsi="Times New Roman" w:cs="Times New Roman"/>
                <w:b/>
                <w:kern w:val="0"/>
                <w:sz w:val="24"/>
                <w:szCs w:val="24"/>
                <w:lang w:val="en-GB" w:eastAsia="en-GB" w:bidi="ar-SA"/>
              </w:rPr>
              <w:t>)</w:t>
            </w:r>
          </w:p>
        </w:tc>
        <w:tc>
          <w:tcPr>
            <w:tcW w:w="1729" w:type="dxa"/>
            <w:hideMark/>
          </w:tcPr>
          <w:p w14:paraId="62C225FC" w14:textId="77777777" w:rsidR="009755DC" w:rsidRPr="002B194C" w:rsidRDefault="009755DC"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2</w:t>
            </w:r>
            <w:r w:rsidR="00183869" w:rsidRPr="002B194C">
              <w:rPr>
                <w:rFonts w:ascii="Times New Roman" w:eastAsia="Times New Roman" w:hAnsi="Times New Roman" w:cs="Times New Roman"/>
                <w:kern w:val="0"/>
                <w:sz w:val="24"/>
                <w:szCs w:val="24"/>
                <w:lang w:val="en-GB" w:eastAsia="en-GB" w:bidi="ar-SA"/>
              </w:rPr>
              <w:t>6.68</w:t>
            </w:r>
            <w:r w:rsidRPr="002B194C">
              <w:rPr>
                <w:rFonts w:ascii="Times New Roman" w:eastAsia="Times New Roman" w:hAnsi="Times New Roman" w:cs="Times New Roman"/>
                <w:kern w:val="0"/>
                <w:sz w:val="24"/>
                <w:szCs w:val="24"/>
                <w:lang w:val="en-GB" w:eastAsia="en-GB" w:bidi="ar-SA"/>
              </w:rPr>
              <w:t xml:space="preserve"> ± 0.08ᵇ</w:t>
            </w:r>
          </w:p>
        </w:tc>
        <w:tc>
          <w:tcPr>
            <w:tcW w:w="1506" w:type="dxa"/>
            <w:hideMark/>
          </w:tcPr>
          <w:p w14:paraId="4D381CB2" w14:textId="77777777" w:rsidR="009755DC" w:rsidRPr="002B194C" w:rsidRDefault="009755DC"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2</w:t>
            </w:r>
            <w:r w:rsidR="00183869" w:rsidRPr="002B194C">
              <w:rPr>
                <w:rFonts w:ascii="Times New Roman" w:eastAsia="Times New Roman" w:hAnsi="Times New Roman" w:cs="Times New Roman"/>
                <w:kern w:val="0"/>
                <w:sz w:val="24"/>
                <w:szCs w:val="24"/>
                <w:lang w:val="en-GB" w:eastAsia="en-GB" w:bidi="ar-SA"/>
              </w:rPr>
              <w:t>5.23</w:t>
            </w:r>
            <w:r w:rsidRPr="002B194C">
              <w:rPr>
                <w:rFonts w:ascii="Times New Roman" w:eastAsia="Times New Roman" w:hAnsi="Times New Roman" w:cs="Times New Roman"/>
                <w:kern w:val="0"/>
                <w:sz w:val="24"/>
                <w:szCs w:val="24"/>
                <w:lang w:val="en-GB" w:eastAsia="en-GB" w:bidi="ar-SA"/>
              </w:rPr>
              <w:t xml:space="preserve"> ± 0.12</w:t>
            </w:r>
            <w:r w:rsidR="00183869" w:rsidRPr="002B194C">
              <w:rPr>
                <w:rFonts w:ascii="Times New Roman" w:eastAsia="Times New Roman" w:hAnsi="Times New Roman" w:cs="Times New Roman"/>
                <w:kern w:val="0"/>
                <w:sz w:val="24"/>
                <w:szCs w:val="24"/>
                <w:vertAlign w:val="superscript"/>
                <w:lang w:val="en-GB" w:eastAsia="en-GB" w:bidi="ar-SA"/>
              </w:rPr>
              <w:t>d</w:t>
            </w:r>
          </w:p>
        </w:tc>
        <w:tc>
          <w:tcPr>
            <w:tcW w:w="0" w:type="auto"/>
            <w:hideMark/>
          </w:tcPr>
          <w:p w14:paraId="7CB1C4EF" w14:textId="77777777" w:rsidR="009755DC" w:rsidRPr="002B194C" w:rsidRDefault="009755DC"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2</w:t>
            </w:r>
            <w:r w:rsidR="00183869" w:rsidRPr="002B194C">
              <w:rPr>
                <w:rFonts w:ascii="Times New Roman" w:eastAsia="Times New Roman" w:hAnsi="Times New Roman" w:cs="Times New Roman"/>
                <w:kern w:val="0"/>
                <w:sz w:val="24"/>
                <w:szCs w:val="24"/>
                <w:lang w:val="en-GB" w:eastAsia="en-GB" w:bidi="ar-SA"/>
              </w:rPr>
              <w:t>5.69</w:t>
            </w:r>
            <w:r w:rsidRPr="002B194C">
              <w:rPr>
                <w:rFonts w:ascii="Times New Roman" w:eastAsia="Times New Roman" w:hAnsi="Times New Roman" w:cs="Times New Roman"/>
                <w:kern w:val="0"/>
                <w:sz w:val="24"/>
                <w:szCs w:val="24"/>
                <w:lang w:val="en-GB" w:eastAsia="en-GB" w:bidi="ar-SA"/>
              </w:rPr>
              <w:t xml:space="preserve"> ± 0.10ᶜ</w:t>
            </w:r>
          </w:p>
        </w:tc>
        <w:tc>
          <w:tcPr>
            <w:tcW w:w="0" w:type="auto"/>
            <w:hideMark/>
          </w:tcPr>
          <w:p w14:paraId="4ADCF0B8" w14:textId="77777777" w:rsidR="009755DC" w:rsidRPr="002B194C" w:rsidRDefault="009755DC"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2</w:t>
            </w:r>
            <w:r w:rsidR="00183869" w:rsidRPr="002B194C">
              <w:rPr>
                <w:rFonts w:ascii="Times New Roman" w:eastAsia="Times New Roman" w:hAnsi="Times New Roman" w:cs="Times New Roman"/>
                <w:kern w:val="0"/>
                <w:sz w:val="24"/>
                <w:szCs w:val="24"/>
                <w:lang w:val="en-GB" w:eastAsia="en-GB" w:bidi="ar-SA"/>
              </w:rPr>
              <w:t>6.98</w:t>
            </w:r>
            <w:r w:rsidRPr="002B194C">
              <w:rPr>
                <w:rFonts w:ascii="Times New Roman" w:eastAsia="Times New Roman" w:hAnsi="Times New Roman" w:cs="Times New Roman"/>
                <w:kern w:val="0"/>
                <w:sz w:val="24"/>
                <w:szCs w:val="24"/>
                <w:lang w:val="en-GB" w:eastAsia="en-GB" w:bidi="ar-SA"/>
              </w:rPr>
              <w:t xml:space="preserve"> ± 0.06ᵃ</w:t>
            </w:r>
          </w:p>
        </w:tc>
        <w:tc>
          <w:tcPr>
            <w:tcW w:w="0" w:type="auto"/>
            <w:hideMark/>
          </w:tcPr>
          <w:p w14:paraId="190BB244" w14:textId="77777777" w:rsidR="009755DC" w:rsidRPr="002B194C" w:rsidRDefault="009755DC"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2</w:t>
            </w:r>
            <w:r w:rsidR="00183869" w:rsidRPr="002B194C">
              <w:rPr>
                <w:rFonts w:ascii="Times New Roman" w:eastAsia="Times New Roman" w:hAnsi="Times New Roman" w:cs="Times New Roman"/>
                <w:kern w:val="0"/>
                <w:sz w:val="24"/>
                <w:szCs w:val="24"/>
                <w:lang w:val="en-GB" w:eastAsia="en-GB" w:bidi="ar-SA"/>
              </w:rPr>
              <w:t>4.43</w:t>
            </w:r>
            <w:r w:rsidRPr="002B194C">
              <w:rPr>
                <w:rFonts w:ascii="Times New Roman" w:eastAsia="Times New Roman" w:hAnsi="Times New Roman" w:cs="Times New Roman"/>
                <w:kern w:val="0"/>
                <w:sz w:val="24"/>
                <w:szCs w:val="24"/>
                <w:lang w:val="en-GB" w:eastAsia="en-GB" w:bidi="ar-SA"/>
              </w:rPr>
              <w:t xml:space="preserve"> ± 0.09</w:t>
            </w:r>
            <w:r w:rsidR="00183869" w:rsidRPr="002B194C">
              <w:rPr>
                <w:rFonts w:ascii="Times New Roman" w:eastAsia="Times New Roman" w:hAnsi="Times New Roman" w:cs="Times New Roman"/>
                <w:kern w:val="0"/>
                <w:sz w:val="24"/>
                <w:szCs w:val="24"/>
                <w:vertAlign w:val="superscript"/>
                <w:lang w:val="en-GB" w:eastAsia="en-GB" w:bidi="ar-SA"/>
              </w:rPr>
              <w:t>e</w:t>
            </w:r>
          </w:p>
        </w:tc>
      </w:tr>
      <w:tr w:rsidR="009755DC" w:rsidRPr="002B194C" w14:paraId="5F38E6BC" w14:textId="77777777" w:rsidTr="007C06E8">
        <w:tc>
          <w:tcPr>
            <w:tcW w:w="1814" w:type="dxa"/>
            <w:hideMark/>
          </w:tcPr>
          <w:p w14:paraId="7367E5C9" w14:textId="77777777" w:rsidR="009755DC" w:rsidRPr="002B194C" w:rsidRDefault="009755DC" w:rsidP="009755DC">
            <w:pPr>
              <w:rPr>
                <w:rFonts w:ascii="Times New Roman" w:eastAsia="Times New Roman" w:hAnsi="Times New Roman" w:cs="Times New Roman"/>
                <w:b/>
                <w:kern w:val="0"/>
                <w:sz w:val="24"/>
                <w:szCs w:val="24"/>
                <w:lang w:val="en-GB" w:eastAsia="en-GB" w:bidi="ar-SA"/>
              </w:rPr>
            </w:pPr>
            <w:r w:rsidRPr="002B194C">
              <w:rPr>
                <w:rFonts w:ascii="Times New Roman" w:eastAsia="Times New Roman" w:hAnsi="Times New Roman" w:cs="Times New Roman"/>
                <w:b/>
                <w:kern w:val="0"/>
                <w:sz w:val="24"/>
                <w:szCs w:val="24"/>
                <w:lang w:val="en-GB" w:eastAsia="en-GB" w:bidi="ar-SA"/>
              </w:rPr>
              <w:t>FCR</w:t>
            </w:r>
          </w:p>
        </w:tc>
        <w:tc>
          <w:tcPr>
            <w:tcW w:w="1729" w:type="dxa"/>
            <w:hideMark/>
          </w:tcPr>
          <w:p w14:paraId="73E73D7D" w14:textId="77777777" w:rsidR="009755DC" w:rsidRPr="002B194C" w:rsidRDefault="009755DC"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1.83 ± 0.03ᵃ</w:t>
            </w:r>
          </w:p>
        </w:tc>
        <w:tc>
          <w:tcPr>
            <w:tcW w:w="1506" w:type="dxa"/>
            <w:hideMark/>
          </w:tcPr>
          <w:p w14:paraId="092ECCCA" w14:textId="77777777" w:rsidR="009755DC" w:rsidRPr="002B194C" w:rsidRDefault="009755DC"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1.68 ± 0.02ᵇ</w:t>
            </w:r>
          </w:p>
        </w:tc>
        <w:tc>
          <w:tcPr>
            <w:tcW w:w="0" w:type="auto"/>
            <w:hideMark/>
          </w:tcPr>
          <w:p w14:paraId="637315E8" w14:textId="77777777" w:rsidR="009755DC" w:rsidRPr="002B194C" w:rsidRDefault="009755DC"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1.53 ± 0.03ᶜ</w:t>
            </w:r>
          </w:p>
        </w:tc>
        <w:tc>
          <w:tcPr>
            <w:tcW w:w="0" w:type="auto"/>
            <w:hideMark/>
          </w:tcPr>
          <w:p w14:paraId="511C4BC8" w14:textId="77777777" w:rsidR="009755DC" w:rsidRPr="002B194C" w:rsidRDefault="009755DC"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1.36 ± 0.02ᵈ</w:t>
            </w:r>
          </w:p>
        </w:tc>
        <w:tc>
          <w:tcPr>
            <w:tcW w:w="0" w:type="auto"/>
            <w:hideMark/>
          </w:tcPr>
          <w:p w14:paraId="45942414" w14:textId="77777777" w:rsidR="009755DC" w:rsidRPr="002B194C" w:rsidRDefault="009755DC"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1.62 ± 0.03ᵇ</w:t>
            </w:r>
          </w:p>
        </w:tc>
      </w:tr>
      <w:tr w:rsidR="009755DC" w:rsidRPr="002B194C" w14:paraId="325EDB5C" w14:textId="77777777" w:rsidTr="007C06E8">
        <w:tc>
          <w:tcPr>
            <w:tcW w:w="1814" w:type="dxa"/>
            <w:hideMark/>
          </w:tcPr>
          <w:p w14:paraId="24F8A17A" w14:textId="77777777" w:rsidR="009755DC" w:rsidRPr="002B194C" w:rsidRDefault="009755DC" w:rsidP="009755DC">
            <w:pPr>
              <w:rPr>
                <w:rFonts w:ascii="Times New Roman" w:eastAsia="Times New Roman" w:hAnsi="Times New Roman" w:cs="Times New Roman"/>
                <w:b/>
                <w:kern w:val="0"/>
                <w:sz w:val="24"/>
                <w:szCs w:val="24"/>
                <w:lang w:val="en-GB" w:eastAsia="en-GB" w:bidi="ar-SA"/>
              </w:rPr>
            </w:pPr>
            <w:r w:rsidRPr="002B194C">
              <w:rPr>
                <w:rFonts w:ascii="Times New Roman" w:eastAsia="Times New Roman" w:hAnsi="Times New Roman" w:cs="Times New Roman"/>
                <w:b/>
                <w:kern w:val="0"/>
                <w:sz w:val="24"/>
                <w:szCs w:val="24"/>
                <w:lang w:val="en-GB" w:eastAsia="en-GB" w:bidi="ar-SA"/>
              </w:rPr>
              <w:t>PER</w:t>
            </w:r>
          </w:p>
        </w:tc>
        <w:tc>
          <w:tcPr>
            <w:tcW w:w="1729" w:type="dxa"/>
            <w:hideMark/>
          </w:tcPr>
          <w:p w14:paraId="71577D5D" w14:textId="77777777" w:rsidR="009755DC" w:rsidRPr="002B194C" w:rsidRDefault="009755DC"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1.67 ± 0.01ᵃ</w:t>
            </w:r>
          </w:p>
        </w:tc>
        <w:tc>
          <w:tcPr>
            <w:tcW w:w="1506" w:type="dxa"/>
            <w:hideMark/>
          </w:tcPr>
          <w:p w14:paraId="447153E4" w14:textId="77777777" w:rsidR="009755DC" w:rsidRPr="002B194C" w:rsidRDefault="009755DC"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1.40 ± 0.01ᶜ</w:t>
            </w:r>
          </w:p>
        </w:tc>
        <w:tc>
          <w:tcPr>
            <w:tcW w:w="0" w:type="auto"/>
            <w:hideMark/>
          </w:tcPr>
          <w:p w14:paraId="4AAC3C73" w14:textId="77777777" w:rsidR="009755DC" w:rsidRPr="002B194C" w:rsidRDefault="009755DC"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1.53 ± 0.02ᵇ</w:t>
            </w:r>
          </w:p>
        </w:tc>
        <w:tc>
          <w:tcPr>
            <w:tcW w:w="0" w:type="auto"/>
            <w:hideMark/>
          </w:tcPr>
          <w:p w14:paraId="4C97F3D3" w14:textId="77777777" w:rsidR="009755DC" w:rsidRPr="002B194C" w:rsidRDefault="009755DC"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1.72 ± 0.03ᵃ</w:t>
            </w:r>
          </w:p>
        </w:tc>
        <w:tc>
          <w:tcPr>
            <w:tcW w:w="0" w:type="auto"/>
            <w:hideMark/>
          </w:tcPr>
          <w:p w14:paraId="7C71BCA4" w14:textId="77777777" w:rsidR="009755DC" w:rsidRPr="002B194C" w:rsidRDefault="009755DC"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1.42 ± 0.02ᶜ</w:t>
            </w:r>
          </w:p>
        </w:tc>
      </w:tr>
      <w:tr w:rsidR="009755DC" w:rsidRPr="002B194C" w14:paraId="7193893D" w14:textId="77777777" w:rsidTr="007C06E8">
        <w:tc>
          <w:tcPr>
            <w:tcW w:w="1814" w:type="dxa"/>
            <w:hideMark/>
          </w:tcPr>
          <w:p w14:paraId="7C1234F4" w14:textId="77777777" w:rsidR="009755DC" w:rsidRPr="002B194C" w:rsidRDefault="009755DC" w:rsidP="009755DC">
            <w:pPr>
              <w:rPr>
                <w:rFonts w:ascii="Times New Roman" w:eastAsia="Times New Roman" w:hAnsi="Times New Roman" w:cs="Times New Roman"/>
                <w:b/>
                <w:kern w:val="0"/>
                <w:sz w:val="24"/>
                <w:szCs w:val="24"/>
                <w:lang w:val="en-GB" w:eastAsia="en-GB" w:bidi="ar-SA"/>
              </w:rPr>
            </w:pPr>
            <w:r w:rsidRPr="002B194C">
              <w:rPr>
                <w:rFonts w:ascii="Times New Roman" w:eastAsia="Times New Roman" w:hAnsi="Times New Roman" w:cs="Times New Roman"/>
                <w:b/>
                <w:kern w:val="0"/>
                <w:sz w:val="24"/>
                <w:szCs w:val="24"/>
                <w:lang w:val="en-GB" w:eastAsia="en-GB" w:bidi="ar-SA"/>
              </w:rPr>
              <w:t>Survival (%)</w:t>
            </w:r>
          </w:p>
        </w:tc>
        <w:tc>
          <w:tcPr>
            <w:tcW w:w="1729" w:type="dxa"/>
            <w:hideMark/>
          </w:tcPr>
          <w:p w14:paraId="6186815B" w14:textId="77777777" w:rsidR="009755DC" w:rsidRPr="002B194C" w:rsidRDefault="009755DC"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55.33 ± 1.76ᵇ</w:t>
            </w:r>
          </w:p>
        </w:tc>
        <w:tc>
          <w:tcPr>
            <w:tcW w:w="1506" w:type="dxa"/>
            <w:hideMark/>
          </w:tcPr>
          <w:p w14:paraId="001D5EB2" w14:textId="77777777" w:rsidR="009755DC" w:rsidRPr="002B194C" w:rsidRDefault="009755DC"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60.00 ± 1.15ᵃᵇ</w:t>
            </w:r>
          </w:p>
        </w:tc>
        <w:tc>
          <w:tcPr>
            <w:tcW w:w="0" w:type="auto"/>
            <w:hideMark/>
          </w:tcPr>
          <w:p w14:paraId="01C695F4" w14:textId="77777777" w:rsidR="009755DC" w:rsidRPr="002B194C" w:rsidRDefault="009755DC"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60.00 ± 1.15ᵃᵇ</w:t>
            </w:r>
          </w:p>
        </w:tc>
        <w:tc>
          <w:tcPr>
            <w:tcW w:w="0" w:type="auto"/>
            <w:hideMark/>
          </w:tcPr>
          <w:p w14:paraId="3A736977" w14:textId="77777777" w:rsidR="009755DC" w:rsidRPr="002B194C" w:rsidRDefault="009755DC"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62.67 ± 2.33ᵃ</w:t>
            </w:r>
          </w:p>
        </w:tc>
        <w:tc>
          <w:tcPr>
            <w:tcW w:w="0" w:type="auto"/>
            <w:hideMark/>
          </w:tcPr>
          <w:p w14:paraId="78A1C871" w14:textId="77777777" w:rsidR="009755DC" w:rsidRPr="002B194C" w:rsidRDefault="009755DC" w:rsidP="009755DC">
            <w:pPr>
              <w:rPr>
                <w:rFonts w:ascii="Times New Roman" w:eastAsia="Times New Roman" w:hAnsi="Times New Roman" w:cs="Times New Roman"/>
                <w:kern w:val="0"/>
                <w:sz w:val="24"/>
                <w:szCs w:val="24"/>
                <w:lang w:val="en-GB" w:eastAsia="en-GB" w:bidi="ar-SA"/>
              </w:rPr>
            </w:pPr>
            <w:r w:rsidRPr="002B194C">
              <w:rPr>
                <w:rFonts w:ascii="Times New Roman" w:eastAsia="Times New Roman" w:hAnsi="Times New Roman" w:cs="Times New Roman"/>
                <w:kern w:val="0"/>
                <w:sz w:val="24"/>
                <w:szCs w:val="24"/>
                <w:lang w:val="en-GB" w:eastAsia="en-GB" w:bidi="ar-SA"/>
              </w:rPr>
              <w:t>60.00 ± 0.58ᵃᵇ</w:t>
            </w:r>
          </w:p>
        </w:tc>
      </w:tr>
    </w:tbl>
    <w:p w14:paraId="4404E278" w14:textId="77777777" w:rsidR="007C06E8" w:rsidRPr="002B194C" w:rsidRDefault="007C06E8" w:rsidP="006E351D">
      <w:pPr>
        <w:spacing w:after="0"/>
        <w:jc w:val="both"/>
        <w:rPr>
          <w:rFonts w:ascii="Times New Roman" w:hAnsi="Times New Roman" w:cs="Times New Roman"/>
          <w:i/>
          <w:sz w:val="24"/>
          <w:szCs w:val="24"/>
        </w:rPr>
      </w:pPr>
      <w:r w:rsidRPr="002B194C">
        <w:rPr>
          <w:rFonts w:ascii="Times New Roman" w:hAnsi="Times New Roman" w:cs="Times New Roman"/>
          <w:i/>
          <w:sz w:val="24"/>
          <w:szCs w:val="24"/>
        </w:rPr>
        <w:lastRenderedPageBreak/>
        <w:t>Values are expressed as mean ± SD (n = 3). Mean values within the same row bearing different superscript letters differ significantly (P &lt; 0.05) as determined by one-way ANOVA followed by Duncan's Multiple Range Test (DMRT).</w:t>
      </w:r>
    </w:p>
    <w:p w14:paraId="0A70F26F" w14:textId="77777777" w:rsidR="00310B4D" w:rsidRPr="002B194C" w:rsidRDefault="006E351D" w:rsidP="006E351D">
      <w:pPr>
        <w:spacing w:after="0"/>
        <w:jc w:val="both"/>
        <w:rPr>
          <w:rFonts w:ascii="Times New Roman" w:hAnsi="Times New Roman" w:cs="Times New Roman"/>
          <w:b/>
          <w:bCs/>
          <w:sz w:val="24"/>
          <w:szCs w:val="24"/>
        </w:rPr>
      </w:pPr>
      <w:r w:rsidRPr="002B194C">
        <w:rPr>
          <w:rFonts w:ascii="Times New Roman" w:hAnsi="Times New Roman" w:cs="Times New Roman"/>
          <w:b/>
          <w:bCs/>
          <w:sz w:val="24"/>
          <w:szCs w:val="24"/>
        </w:rPr>
        <w:t>3.4 Whole-body proximate composition</w:t>
      </w:r>
    </w:p>
    <w:p w14:paraId="2A1141D3" w14:textId="77777777" w:rsidR="005B4045" w:rsidRPr="002B194C" w:rsidRDefault="005B4045" w:rsidP="005B4045">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 xml:space="preserve">The effects of dietary inclusion of </w:t>
      </w:r>
      <w:r w:rsidRPr="002B194C">
        <w:rPr>
          <w:rFonts w:ascii="Times New Roman" w:hAnsi="Times New Roman" w:cs="Times New Roman"/>
          <w:i/>
          <w:iCs/>
          <w:sz w:val="24"/>
          <w:szCs w:val="24"/>
        </w:rPr>
        <w:t>Moringa oleifera</w:t>
      </w:r>
      <w:r w:rsidRPr="002B194C">
        <w:rPr>
          <w:rFonts w:ascii="Times New Roman" w:hAnsi="Times New Roman" w:cs="Times New Roman"/>
          <w:sz w:val="24"/>
          <w:szCs w:val="24"/>
        </w:rPr>
        <w:t xml:space="preserve"> leaf meal (MOLM) on the whole-body proximate composition of </w:t>
      </w:r>
      <w:proofErr w:type="spellStart"/>
      <w:r w:rsidRPr="002B194C">
        <w:rPr>
          <w:rFonts w:ascii="Times New Roman" w:hAnsi="Times New Roman" w:cs="Times New Roman"/>
          <w:i/>
          <w:iCs/>
          <w:sz w:val="24"/>
          <w:szCs w:val="24"/>
        </w:rPr>
        <w:t>Labeo</w:t>
      </w:r>
      <w:proofErr w:type="spellEnd"/>
      <w:r w:rsidRPr="002B194C">
        <w:rPr>
          <w:rFonts w:ascii="Times New Roman" w:hAnsi="Times New Roman" w:cs="Times New Roman"/>
          <w:i/>
          <w:iCs/>
          <w:sz w:val="24"/>
          <w:szCs w:val="24"/>
        </w:rPr>
        <w:t xml:space="preserve"> </w:t>
      </w:r>
      <w:proofErr w:type="spellStart"/>
      <w:r w:rsidRPr="002B194C">
        <w:rPr>
          <w:rFonts w:ascii="Times New Roman" w:hAnsi="Times New Roman" w:cs="Times New Roman"/>
          <w:i/>
          <w:iCs/>
          <w:sz w:val="24"/>
          <w:szCs w:val="24"/>
        </w:rPr>
        <w:t>rohita</w:t>
      </w:r>
      <w:proofErr w:type="spellEnd"/>
      <w:r w:rsidRPr="002B194C">
        <w:rPr>
          <w:rFonts w:ascii="Times New Roman" w:hAnsi="Times New Roman" w:cs="Times New Roman"/>
          <w:sz w:val="24"/>
          <w:szCs w:val="24"/>
        </w:rPr>
        <w:t xml:space="preserve"> spawn are presented in Table 6. Dietary incorporation of MOLM significantly influenced (P &lt; 0.05) the whole-body moisture, crude protein, crude lipid, and ash contents of the experimental fish. Among the dietary treatments, fish fed the T3 diet containing 15% MOLM exhibited the highest crude protein, lipid, and ash contents, whereas the control and T4 groups recorded comparatively lower values. In contrast, moisture content showed an inverse trend, with the lowest value observed in the T3 group.</w:t>
      </w:r>
    </w:p>
    <w:p w14:paraId="731709A6" w14:textId="77777777" w:rsidR="005B4045" w:rsidRPr="002B194C" w:rsidRDefault="005B4045" w:rsidP="005B4045">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 xml:space="preserve">The higher whole-body protein content recorded in fish fed the T3 diet indicates improved dietary protein </w:t>
      </w:r>
      <w:proofErr w:type="spellStart"/>
      <w:r w:rsidRPr="002B194C">
        <w:rPr>
          <w:rFonts w:ascii="Times New Roman" w:hAnsi="Times New Roman" w:cs="Times New Roman"/>
          <w:sz w:val="24"/>
          <w:szCs w:val="24"/>
        </w:rPr>
        <w:t>utilisation</w:t>
      </w:r>
      <w:proofErr w:type="spellEnd"/>
      <w:r w:rsidRPr="002B194C">
        <w:rPr>
          <w:rFonts w:ascii="Times New Roman" w:hAnsi="Times New Roman" w:cs="Times New Roman"/>
          <w:sz w:val="24"/>
          <w:szCs w:val="24"/>
        </w:rPr>
        <w:t xml:space="preserve"> and greater protein deposition in body tissues. This response is likely associated with the high nutritional quality of </w:t>
      </w:r>
      <w:r w:rsidRPr="002B194C">
        <w:rPr>
          <w:rFonts w:ascii="Times New Roman" w:hAnsi="Times New Roman" w:cs="Times New Roman"/>
          <w:i/>
          <w:iCs/>
          <w:sz w:val="24"/>
          <w:szCs w:val="24"/>
        </w:rPr>
        <w:t>M. oleifera</w:t>
      </w:r>
      <w:r w:rsidRPr="002B194C">
        <w:rPr>
          <w:rFonts w:ascii="Times New Roman" w:hAnsi="Times New Roman" w:cs="Times New Roman"/>
          <w:sz w:val="24"/>
          <w:szCs w:val="24"/>
        </w:rPr>
        <w:t xml:space="preserve"> leaves, which provide digestible protein, essential amino acids, vitamins, minerals, and bioactive compounds that support efficient nutrient assimilation and tissue growth. Similarly, the increase in whole-body lipid content at the optimal inclusion level suggests improved energy </w:t>
      </w:r>
      <w:proofErr w:type="spellStart"/>
      <w:r w:rsidRPr="002B194C">
        <w:rPr>
          <w:rFonts w:ascii="Times New Roman" w:hAnsi="Times New Roman" w:cs="Times New Roman"/>
          <w:sz w:val="24"/>
          <w:szCs w:val="24"/>
        </w:rPr>
        <w:t>utilisation</w:t>
      </w:r>
      <w:proofErr w:type="spellEnd"/>
      <w:r w:rsidRPr="002B194C">
        <w:rPr>
          <w:rFonts w:ascii="Times New Roman" w:hAnsi="Times New Roman" w:cs="Times New Roman"/>
          <w:sz w:val="24"/>
          <w:szCs w:val="24"/>
        </w:rPr>
        <w:t xml:space="preserve"> and storage, reflecting the better overall nutritional status of the fish. The elevated ash content observed in the T3 group may be attributed to the naturally high mineral content of </w:t>
      </w:r>
      <w:r w:rsidRPr="002B194C">
        <w:rPr>
          <w:rFonts w:ascii="Times New Roman" w:hAnsi="Times New Roman" w:cs="Times New Roman"/>
          <w:i/>
          <w:iCs/>
          <w:sz w:val="24"/>
          <w:szCs w:val="24"/>
        </w:rPr>
        <w:t>M. oleifera</w:t>
      </w:r>
      <w:r w:rsidRPr="002B194C">
        <w:rPr>
          <w:rFonts w:ascii="Times New Roman" w:hAnsi="Times New Roman" w:cs="Times New Roman"/>
          <w:sz w:val="24"/>
          <w:szCs w:val="24"/>
        </w:rPr>
        <w:t xml:space="preserve"> leaves, particularly calcium, phosphorus, iron, and other essential micronutrients, which contribute to improved mineral deposition during growth.</w:t>
      </w:r>
    </w:p>
    <w:p w14:paraId="55DA28E1" w14:textId="77777777" w:rsidR="005B4045" w:rsidRPr="002B194C" w:rsidRDefault="005B4045" w:rsidP="005B4045">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 xml:space="preserve">The improved carcass composition observed at the 15% inclusion level is consistent with the superior growth performance and feed </w:t>
      </w:r>
      <w:proofErr w:type="spellStart"/>
      <w:r w:rsidRPr="002B194C">
        <w:rPr>
          <w:rFonts w:ascii="Times New Roman" w:hAnsi="Times New Roman" w:cs="Times New Roman"/>
          <w:sz w:val="24"/>
          <w:szCs w:val="24"/>
        </w:rPr>
        <w:t>utilisation</w:t>
      </w:r>
      <w:proofErr w:type="spellEnd"/>
      <w:r w:rsidRPr="002B194C">
        <w:rPr>
          <w:rFonts w:ascii="Times New Roman" w:hAnsi="Times New Roman" w:cs="Times New Roman"/>
          <w:sz w:val="24"/>
          <w:szCs w:val="24"/>
        </w:rPr>
        <w:t xml:space="preserve"> recorded in the present study, indicating that moderate dietary supplementation with MOLM enhanced the efficiency of nutrient digestion, absorption, and retention. In contrast, the slight reduction in crude protein and lipid contents observed at the highest inclusion level (20% MOLM) suggests that excessive replacement of fish meal may have reduced nutrient digestibility and protein deposition, possibly because of increased dietary </w:t>
      </w:r>
      <w:proofErr w:type="spellStart"/>
      <w:r w:rsidRPr="002B194C">
        <w:rPr>
          <w:rFonts w:ascii="Times New Roman" w:hAnsi="Times New Roman" w:cs="Times New Roman"/>
          <w:sz w:val="24"/>
          <w:szCs w:val="24"/>
        </w:rPr>
        <w:t>fibre</w:t>
      </w:r>
      <w:proofErr w:type="spellEnd"/>
      <w:r w:rsidRPr="002B194C">
        <w:rPr>
          <w:rFonts w:ascii="Times New Roman" w:hAnsi="Times New Roman" w:cs="Times New Roman"/>
          <w:sz w:val="24"/>
          <w:szCs w:val="24"/>
        </w:rPr>
        <w:t xml:space="preserve"> and naturally occurring anti-nutritional compounds present in </w:t>
      </w:r>
      <w:r w:rsidRPr="002B194C">
        <w:rPr>
          <w:rFonts w:ascii="Times New Roman" w:hAnsi="Times New Roman" w:cs="Times New Roman"/>
          <w:i/>
          <w:iCs/>
          <w:sz w:val="24"/>
          <w:szCs w:val="24"/>
        </w:rPr>
        <w:t>M. oleifera</w:t>
      </w:r>
      <w:r w:rsidRPr="002B194C">
        <w:rPr>
          <w:rFonts w:ascii="Times New Roman" w:hAnsi="Times New Roman" w:cs="Times New Roman"/>
          <w:sz w:val="24"/>
          <w:szCs w:val="24"/>
        </w:rPr>
        <w:t xml:space="preserve"> leaves. These factors may limit nutrient availability and reduce the efficiency of nutrient </w:t>
      </w:r>
      <w:proofErr w:type="spellStart"/>
      <w:r w:rsidRPr="002B194C">
        <w:rPr>
          <w:rFonts w:ascii="Times New Roman" w:hAnsi="Times New Roman" w:cs="Times New Roman"/>
          <w:sz w:val="24"/>
          <w:szCs w:val="24"/>
        </w:rPr>
        <w:t>utilisation</w:t>
      </w:r>
      <w:proofErr w:type="spellEnd"/>
      <w:r w:rsidRPr="002B194C">
        <w:rPr>
          <w:rFonts w:ascii="Times New Roman" w:hAnsi="Times New Roman" w:cs="Times New Roman"/>
          <w:sz w:val="24"/>
          <w:szCs w:val="24"/>
        </w:rPr>
        <w:t xml:space="preserve"> when the leaf meal is included beyond the optimal level.</w:t>
      </w:r>
    </w:p>
    <w:p w14:paraId="2D5F1815" w14:textId="77777777" w:rsidR="005B4045" w:rsidRPr="002B194C" w:rsidRDefault="005B4045" w:rsidP="005B4045">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 xml:space="preserve">The present findings are in agreement with previous studies reporting improved whole-body composition following dietary incorporation of </w:t>
      </w:r>
      <w:r w:rsidRPr="002B194C">
        <w:rPr>
          <w:rFonts w:ascii="Times New Roman" w:hAnsi="Times New Roman" w:cs="Times New Roman"/>
          <w:i/>
          <w:sz w:val="24"/>
          <w:szCs w:val="24"/>
        </w:rPr>
        <w:t>Moringa</w:t>
      </w:r>
      <w:r w:rsidRPr="002B194C">
        <w:rPr>
          <w:rFonts w:ascii="Times New Roman" w:hAnsi="Times New Roman" w:cs="Times New Roman"/>
          <w:sz w:val="24"/>
          <w:szCs w:val="24"/>
        </w:rPr>
        <w:t xml:space="preserve"> leaf products (</w:t>
      </w:r>
      <w:proofErr w:type="spellStart"/>
      <w:r w:rsidRPr="002B194C">
        <w:rPr>
          <w:rFonts w:ascii="Times New Roman" w:hAnsi="Times New Roman" w:cs="Times New Roman"/>
          <w:sz w:val="24"/>
          <w:szCs w:val="24"/>
        </w:rPr>
        <w:t>Afuang</w:t>
      </w:r>
      <w:proofErr w:type="spellEnd"/>
      <w:r w:rsidRPr="002B194C">
        <w:rPr>
          <w:rFonts w:ascii="Times New Roman" w:hAnsi="Times New Roman" w:cs="Times New Roman"/>
          <w:sz w:val="24"/>
          <w:szCs w:val="24"/>
        </w:rPr>
        <w:t xml:space="preserve"> et al., 2003; Arsalan et al., 2016; Ayotunde Ezekiel et al., 2016; Faisal et al., 2024; Tabassum et al., 2023). Comparable improvements in nutrient deposition and carcass quality have also been reported in cultured fish (Abdel-Latif et al., 2022; </w:t>
      </w:r>
      <w:proofErr w:type="spellStart"/>
      <w:r w:rsidRPr="002B194C">
        <w:rPr>
          <w:rFonts w:ascii="Times New Roman" w:hAnsi="Times New Roman" w:cs="Times New Roman"/>
          <w:sz w:val="24"/>
          <w:szCs w:val="24"/>
        </w:rPr>
        <w:t>Elabd</w:t>
      </w:r>
      <w:proofErr w:type="spellEnd"/>
      <w:r w:rsidRPr="002B194C">
        <w:rPr>
          <w:rFonts w:ascii="Times New Roman" w:hAnsi="Times New Roman" w:cs="Times New Roman"/>
          <w:sz w:val="24"/>
          <w:szCs w:val="24"/>
        </w:rPr>
        <w:t xml:space="preserve"> et al., 2019; Ganzon-Naret, 2014; Mehdi et al., 2016; Richter et al., 2003). These studies demonstrated that the rich nutritional profile and functional properties of </w:t>
      </w:r>
      <w:r w:rsidRPr="002B194C">
        <w:rPr>
          <w:rFonts w:ascii="Times New Roman" w:hAnsi="Times New Roman" w:cs="Times New Roman"/>
          <w:i/>
          <w:sz w:val="24"/>
          <w:szCs w:val="24"/>
        </w:rPr>
        <w:t>M. oleifera</w:t>
      </w:r>
      <w:r w:rsidRPr="002B194C">
        <w:rPr>
          <w:rFonts w:ascii="Times New Roman" w:hAnsi="Times New Roman" w:cs="Times New Roman"/>
          <w:sz w:val="24"/>
          <w:szCs w:val="24"/>
        </w:rPr>
        <w:t xml:space="preserve"> enhance nutrient </w:t>
      </w:r>
      <w:proofErr w:type="spellStart"/>
      <w:r w:rsidRPr="002B194C">
        <w:rPr>
          <w:rFonts w:ascii="Times New Roman" w:hAnsi="Times New Roman" w:cs="Times New Roman"/>
          <w:sz w:val="24"/>
          <w:szCs w:val="24"/>
        </w:rPr>
        <w:t>utilisation</w:t>
      </w:r>
      <w:proofErr w:type="spellEnd"/>
      <w:r w:rsidRPr="002B194C">
        <w:rPr>
          <w:rFonts w:ascii="Times New Roman" w:hAnsi="Times New Roman" w:cs="Times New Roman"/>
          <w:sz w:val="24"/>
          <w:szCs w:val="24"/>
        </w:rPr>
        <w:t>, resulting in improved carcass quality and overall fish performance.</w:t>
      </w:r>
    </w:p>
    <w:p w14:paraId="342B9706" w14:textId="77777777" w:rsidR="005B4045" w:rsidRPr="002B194C" w:rsidRDefault="005B4045" w:rsidP="005B4045">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 xml:space="preserve">Overall, the present results demonstrate that dietary inclusion of 15% MOLM </w:t>
      </w:r>
      <w:proofErr w:type="spellStart"/>
      <w:r w:rsidRPr="002B194C">
        <w:rPr>
          <w:rFonts w:ascii="Times New Roman" w:hAnsi="Times New Roman" w:cs="Times New Roman"/>
          <w:sz w:val="24"/>
          <w:szCs w:val="24"/>
        </w:rPr>
        <w:t>optimises</w:t>
      </w:r>
      <w:proofErr w:type="spellEnd"/>
      <w:r w:rsidRPr="002B194C">
        <w:rPr>
          <w:rFonts w:ascii="Times New Roman" w:hAnsi="Times New Roman" w:cs="Times New Roman"/>
          <w:sz w:val="24"/>
          <w:szCs w:val="24"/>
        </w:rPr>
        <w:t xml:space="preserve"> the whole-body nutrient composition of </w:t>
      </w:r>
      <w:r w:rsidRPr="002B194C">
        <w:rPr>
          <w:rFonts w:ascii="Times New Roman" w:hAnsi="Times New Roman" w:cs="Times New Roman"/>
          <w:i/>
          <w:iCs/>
          <w:sz w:val="24"/>
          <w:szCs w:val="24"/>
        </w:rPr>
        <w:t xml:space="preserve">L. </w:t>
      </w:r>
      <w:proofErr w:type="spellStart"/>
      <w:r w:rsidRPr="002B194C">
        <w:rPr>
          <w:rFonts w:ascii="Times New Roman" w:hAnsi="Times New Roman" w:cs="Times New Roman"/>
          <w:i/>
          <w:iCs/>
          <w:sz w:val="24"/>
          <w:szCs w:val="24"/>
        </w:rPr>
        <w:t>rohita</w:t>
      </w:r>
      <w:proofErr w:type="spellEnd"/>
      <w:r w:rsidRPr="002B194C">
        <w:rPr>
          <w:rFonts w:ascii="Times New Roman" w:hAnsi="Times New Roman" w:cs="Times New Roman"/>
          <w:sz w:val="24"/>
          <w:szCs w:val="24"/>
        </w:rPr>
        <w:t xml:space="preserve"> spawn by promoting greater protein, lipid, and </w:t>
      </w:r>
      <w:r w:rsidRPr="002B194C">
        <w:rPr>
          <w:rFonts w:ascii="Times New Roman" w:hAnsi="Times New Roman" w:cs="Times New Roman"/>
          <w:sz w:val="24"/>
          <w:szCs w:val="24"/>
        </w:rPr>
        <w:lastRenderedPageBreak/>
        <w:t xml:space="preserve">mineral deposition without adversely affecting moisture content. These findings further support the suitability of </w:t>
      </w:r>
      <w:r w:rsidRPr="002B194C">
        <w:rPr>
          <w:rFonts w:ascii="Times New Roman" w:hAnsi="Times New Roman" w:cs="Times New Roman"/>
          <w:i/>
          <w:iCs/>
          <w:sz w:val="24"/>
          <w:szCs w:val="24"/>
        </w:rPr>
        <w:t>M. oleifera</w:t>
      </w:r>
      <w:r w:rsidRPr="002B194C">
        <w:rPr>
          <w:rFonts w:ascii="Times New Roman" w:hAnsi="Times New Roman" w:cs="Times New Roman"/>
          <w:sz w:val="24"/>
          <w:szCs w:val="24"/>
        </w:rPr>
        <w:t xml:space="preserve"> leaf meal as a sustainable partial replacement for fish meal in nursery diets for Indian major carp.</w:t>
      </w:r>
    </w:p>
    <w:p w14:paraId="074DA044" w14:textId="77777777" w:rsidR="00D97EEF" w:rsidRPr="002B194C" w:rsidRDefault="00D97EEF" w:rsidP="00B12725">
      <w:pPr>
        <w:spacing w:after="0"/>
        <w:jc w:val="both"/>
        <w:rPr>
          <w:rFonts w:ascii="Times New Roman" w:hAnsi="Times New Roman" w:cs="Times New Roman"/>
          <w:b/>
          <w:bCs/>
          <w:sz w:val="24"/>
          <w:szCs w:val="24"/>
        </w:rPr>
      </w:pPr>
      <w:r w:rsidRPr="002B194C">
        <w:rPr>
          <w:rFonts w:ascii="Times New Roman" w:hAnsi="Times New Roman" w:cs="Times New Roman"/>
          <w:b/>
          <w:bCs/>
          <w:sz w:val="24"/>
          <w:szCs w:val="24"/>
        </w:rPr>
        <w:t xml:space="preserve">Table 6. </w:t>
      </w:r>
      <w:r w:rsidRPr="002B194C">
        <w:rPr>
          <w:rFonts w:ascii="Times New Roman" w:hAnsi="Times New Roman" w:cs="Times New Roman"/>
          <w:sz w:val="24"/>
          <w:szCs w:val="24"/>
        </w:rPr>
        <w:t>Whole-body proximate composition (wet weight</w:t>
      </w:r>
      <w:r w:rsidR="006E7C53" w:rsidRPr="002B194C">
        <w:rPr>
          <w:rFonts w:ascii="Times New Roman" w:hAnsi="Times New Roman" w:cs="Times New Roman"/>
          <w:sz w:val="24"/>
          <w:szCs w:val="24"/>
        </w:rPr>
        <w:t>, %</w:t>
      </w:r>
      <w:r w:rsidRPr="002B194C">
        <w:rPr>
          <w:rFonts w:ascii="Times New Roman" w:hAnsi="Times New Roman" w:cs="Times New Roman"/>
          <w:sz w:val="24"/>
          <w:szCs w:val="24"/>
        </w:rPr>
        <w:t xml:space="preserve">) of </w:t>
      </w:r>
      <w:r w:rsidRPr="002B194C">
        <w:rPr>
          <w:rFonts w:ascii="Times New Roman" w:hAnsi="Times New Roman" w:cs="Times New Roman"/>
          <w:i/>
          <w:iCs/>
          <w:sz w:val="24"/>
          <w:szCs w:val="24"/>
        </w:rPr>
        <w:t xml:space="preserve">L. </w:t>
      </w:r>
      <w:proofErr w:type="spellStart"/>
      <w:r w:rsidRPr="002B194C">
        <w:rPr>
          <w:rFonts w:ascii="Times New Roman" w:hAnsi="Times New Roman" w:cs="Times New Roman"/>
          <w:i/>
          <w:iCs/>
          <w:sz w:val="24"/>
          <w:szCs w:val="24"/>
        </w:rPr>
        <w:t>rohita</w:t>
      </w:r>
      <w:proofErr w:type="spellEnd"/>
    </w:p>
    <w:tbl>
      <w:tblPr>
        <w:tblStyle w:val="PlainTable2"/>
        <w:tblW w:w="9397" w:type="dxa"/>
        <w:tblLook w:val="04A0" w:firstRow="1" w:lastRow="0" w:firstColumn="1" w:lastColumn="0" w:noHBand="0" w:noVBand="1"/>
      </w:tblPr>
      <w:tblGrid>
        <w:gridCol w:w="1691"/>
        <w:gridCol w:w="2109"/>
        <w:gridCol w:w="1975"/>
        <w:gridCol w:w="1719"/>
        <w:gridCol w:w="1903"/>
      </w:tblGrid>
      <w:tr w:rsidR="00D97EEF" w:rsidRPr="002B194C" w14:paraId="1DA0C68C" w14:textId="77777777" w:rsidTr="00CA17F7">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0" w:type="auto"/>
            <w:hideMark/>
          </w:tcPr>
          <w:p w14:paraId="480A176F"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Treatment</w:t>
            </w:r>
          </w:p>
        </w:tc>
        <w:tc>
          <w:tcPr>
            <w:tcW w:w="0" w:type="auto"/>
            <w:hideMark/>
          </w:tcPr>
          <w:p w14:paraId="4631E925" w14:textId="77777777" w:rsidR="00D97EEF" w:rsidRPr="002B194C" w:rsidRDefault="00D97EEF" w:rsidP="00FF07F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Moisture (%)</w:t>
            </w:r>
          </w:p>
        </w:tc>
        <w:tc>
          <w:tcPr>
            <w:tcW w:w="0" w:type="auto"/>
            <w:hideMark/>
          </w:tcPr>
          <w:p w14:paraId="03CA18E5" w14:textId="77777777" w:rsidR="00D97EEF" w:rsidRPr="002B194C" w:rsidRDefault="00D97EEF" w:rsidP="00FF07F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Protein (%)</w:t>
            </w:r>
          </w:p>
        </w:tc>
        <w:tc>
          <w:tcPr>
            <w:tcW w:w="0" w:type="auto"/>
            <w:hideMark/>
          </w:tcPr>
          <w:p w14:paraId="7B29C49B" w14:textId="77777777" w:rsidR="00D97EEF" w:rsidRPr="002B194C" w:rsidRDefault="00D97EEF" w:rsidP="00FF07F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Lipid (%)</w:t>
            </w:r>
          </w:p>
        </w:tc>
        <w:tc>
          <w:tcPr>
            <w:tcW w:w="0" w:type="auto"/>
            <w:hideMark/>
          </w:tcPr>
          <w:p w14:paraId="0C687016" w14:textId="77777777" w:rsidR="00D97EEF" w:rsidRPr="002B194C" w:rsidRDefault="00D97EEF" w:rsidP="00FF07F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Ash (%)</w:t>
            </w:r>
          </w:p>
        </w:tc>
      </w:tr>
      <w:tr w:rsidR="00D97EEF" w:rsidRPr="002B194C" w14:paraId="7D64DA89" w14:textId="77777777" w:rsidTr="00CA17F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0" w:type="auto"/>
            <w:hideMark/>
          </w:tcPr>
          <w:p w14:paraId="3BEDB86F"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Control</w:t>
            </w:r>
          </w:p>
        </w:tc>
        <w:tc>
          <w:tcPr>
            <w:tcW w:w="0" w:type="auto"/>
            <w:hideMark/>
          </w:tcPr>
          <w:p w14:paraId="29C9506B" w14:textId="77777777" w:rsidR="00D97EEF" w:rsidRPr="002B194C" w:rsidRDefault="00D97EEF" w:rsidP="00FF07F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75.2 ± 0.58</w:t>
            </w:r>
          </w:p>
        </w:tc>
        <w:tc>
          <w:tcPr>
            <w:tcW w:w="0" w:type="auto"/>
            <w:hideMark/>
          </w:tcPr>
          <w:p w14:paraId="2B1EE766" w14:textId="77777777" w:rsidR="00D97EEF" w:rsidRPr="002B194C" w:rsidRDefault="00D97EEF" w:rsidP="00FF07F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16.63 ± 0.22ᶜ</w:t>
            </w:r>
          </w:p>
        </w:tc>
        <w:tc>
          <w:tcPr>
            <w:tcW w:w="0" w:type="auto"/>
            <w:hideMark/>
          </w:tcPr>
          <w:p w14:paraId="5B9FF551" w14:textId="77777777" w:rsidR="00D97EEF" w:rsidRPr="002B194C" w:rsidRDefault="00D97EEF" w:rsidP="00FF07F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4.2 ± 0.17</w:t>
            </w:r>
          </w:p>
        </w:tc>
        <w:tc>
          <w:tcPr>
            <w:tcW w:w="0" w:type="auto"/>
            <w:hideMark/>
          </w:tcPr>
          <w:p w14:paraId="22930649" w14:textId="77777777" w:rsidR="00D97EEF" w:rsidRPr="002B194C" w:rsidRDefault="00D97EEF" w:rsidP="00FF07F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3.63 ± 0.09ᵇ</w:t>
            </w:r>
          </w:p>
        </w:tc>
      </w:tr>
      <w:tr w:rsidR="00D97EEF" w:rsidRPr="002B194C" w14:paraId="4E901F89" w14:textId="77777777" w:rsidTr="00CA17F7">
        <w:trPr>
          <w:trHeight w:val="330"/>
        </w:trPr>
        <w:tc>
          <w:tcPr>
            <w:cnfStyle w:val="001000000000" w:firstRow="0" w:lastRow="0" w:firstColumn="1" w:lastColumn="0" w:oddVBand="0" w:evenVBand="0" w:oddHBand="0" w:evenHBand="0" w:firstRowFirstColumn="0" w:firstRowLastColumn="0" w:lastRowFirstColumn="0" w:lastRowLastColumn="0"/>
            <w:tcW w:w="0" w:type="auto"/>
            <w:hideMark/>
          </w:tcPr>
          <w:p w14:paraId="2120A691"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T1 (5%)</w:t>
            </w:r>
          </w:p>
        </w:tc>
        <w:tc>
          <w:tcPr>
            <w:tcW w:w="0" w:type="auto"/>
            <w:hideMark/>
          </w:tcPr>
          <w:p w14:paraId="7CA2D89F" w14:textId="77777777" w:rsidR="00D97EEF" w:rsidRPr="002B194C" w:rsidRDefault="00D97EEF" w:rsidP="00FF07F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74.47 ± 0.2</w:t>
            </w:r>
          </w:p>
        </w:tc>
        <w:tc>
          <w:tcPr>
            <w:tcW w:w="0" w:type="auto"/>
            <w:hideMark/>
          </w:tcPr>
          <w:p w14:paraId="0E5D44B3" w14:textId="77777777" w:rsidR="00D97EEF" w:rsidRPr="002B194C" w:rsidRDefault="00D97EEF" w:rsidP="00FF07F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17.53 ± 0.19ᵇ</w:t>
            </w:r>
          </w:p>
        </w:tc>
        <w:tc>
          <w:tcPr>
            <w:tcW w:w="0" w:type="auto"/>
            <w:hideMark/>
          </w:tcPr>
          <w:p w14:paraId="2B214119" w14:textId="77777777" w:rsidR="00D97EEF" w:rsidRPr="002B194C" w:rsidRDefault="00D97EEF" w:rsidP="00FF07F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4.33 ± 0.18</w:t>
            </w:r>
          </w:p>
        </w:tc>
        <w:tc>
          <w:tcPr>
            <w:tcW w:w="0" w:type="auto"/>
            <w:hideMark/>
          </w:tcPr>
          <w:p w14:paraId="35CB2D28" w14:textId="77777777" w:rsidR="00D97EEF" w:rsidRPr="002B194C" w:rsidRDefault="00D97EEF" w:rsidP="00FF07F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3.73 ± 0.09ᵃᵇ</w:t>
            </w:r>
          </w:p>
        </w:tc>
      </w:tr>
      <w:tr w:rsidR="00D97EEF" w:rsidRPr="002B194C" w14:paraId="6D1565C2" w14:textId="77777777" w:rsidTr="00CA17F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0" w:type="auto"/>
            <w:hideMark/>
          </w:tcPr>
          <w:p w14:paraId="0A16B9F7"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T2 (10%)</w:t>
            </w:r>
          </w:p>
        </w:tc>
        <w:tc>
          <w:tcPr>
            <w:tcW w:w="0" w:type="auto"/>
            <w:hideMark/>
          </w:tcPr>
          <w:p w14:paraId="24E9017D" w14:textId="77777777" w:rsidR="00D97EEF" w:rsidRPr="002B194C" w:rsidRDefault="00D97EEF" w:rsidP="00FF07F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74.9 ± 0.76</w:t>
            </w:r>
          </w:p>
        </w:tc>
        <w:tc>
          <w:tcPr>
            <w:tcW w:w="0" w:type="auto"/>
            <w:hideMark/>
          </w:tcPr>
          <w:p w14:paraId="19EADA33" w14:textId="77777777" w:rsidR="00D97EEF" w:rsidRPr="002B194C" w:rsidRDefault="00D97EEF" w:rsidP="00FF07F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17.58 ± 0.19ᵇ</w:t>
            </w:r>
          </w:p>
        </w:tc>
        <w:tc>
          <w:tcPr>
            <w:tcW w:w="0" w:type="auto"/>
            <w:hideMark/>
          </w:tcPr>
          <w:p w14:paraId="61C19C6F" w14:textId="77777777" w:rsidR="00D97EEF" w:rsidRPr="002B194C" w:rsidRDefault="00D97EEF" w:rsidP="00FF07F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4.32 ± 0.02</w:t>
            </w:r>
          </w:p>
        </w:tc>
        <w:tc>
          <w:tcPr>
            <w:tcW w:w="0" w:type="auto"/>
            <w:hideMark/>
          </w:tcPr>
          <w:p w14:paraId="5B9B3A38" w14:textId="77777777" w:rsidR="00D97EEF" w:rsidRPr="002B194C" w:rsidRDefault="00D97EEF" w:rsidP="00FF07F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3.73 ± 0.1ᵃᵇ</w:t>
            </w:r>
          </w:p>
        </w:tc>
      </w:tr>
      <w:tr w:rsidR="00D97EEF" w:rsidRPr="002B194C" w14:paraId="4512E80F" w14:textId="77777777" w:rsidTr="00CA17F7">
        <w:trPr>
          <w:trHeight w:val="345"/>
        </w:trPr>
        <w:tc>
          <w:tcPr>
            <w:cnfStyle w:val="001000000000" w:firstRow="0" w:lastRow="0" w:firstColumn="1" w:lastColumn="0" w:oddVBand="0" w:evenVBand="0" w:oddHBand="0" w:evenHBand="0" w:firstRowFirstColumn="0" w:firstRowLastColumn="0" w:lastRowFirstColumn="0" w:lastRowLastColumn="0"/>
            <w:tcW w:w="0" w:type="auto"/>
            <w:hideMark/>
          </w:tcPr>
          <w:p w14:paraId="68EDC780"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T3 (15%)</w:t>
            </w:r>
          </w:p>
        </w:tc>
        <w:tc>
          <w:tcPr>
            <w:tcW w:w="0" w:type="auto"/>
            <w:hideMark/>
          </w:tcPr>
          <w:p w14:paraId="050B5571" w14:textId="77777777" w:rsidR="00D97EEF" w:rsidRPr="002B194C" w:rsidRDefault="00D97EEF" w:rsidP="00FF07F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74.83 ± 0.64</w:t>
            </w:r>
          </w:p>
        </w:tc>
        <w:tc>
          <w:tcPr>
            <w:tcW w:w="0" w:type="auto"/>
            <w:hideMark/>
          </w:tcPr>
          <w:p w14:paraId="1ED97EA9" w14:textId="77777777" w:rsidR="00D97EEF" w:rsidRPr="002B194C" w:rsidRDefault="00D97EEF" w:rsidP="00FF07F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18.50 ± 0.12ᵃ</w:t>
            </w:r>
          </w:p>
        </w:tc>
        <w:tc>
          <w:tcPr>
            <w:tcW w:w="0" w:type="auto"/>
            <w:hideMark/>
          </w:tcPr>
          <w:p w14:paraId="18DCCC20" w14:textId="77777777" w:rsidR="00D97EEF" w:rsidRPr="002B194C" w:rsidRDefault="00D97EEF" w:rsidP="00FF07F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4.67 ± 0.12</w:t>
            </w:r>
          </w:p>
        </w:tc>
        <w:tc>
          <w:tcPr>
            <w:tcW w:w="0" w:type="auto"/>
            <w:hideMark/>
          </w:tcPr>
          <w:p w14:paraId="698F99F9" w14:textId="77777777" w:rsidR="00D97EEF" w:rsidRPr="002B194C" w:rsidRDefault="00D97EEF" w:rsidP="00FF07F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4.07 ± 0.03ᵃ</w:t>
            </w:r>
          </w:p>
        </w:tc>
      </w:tr>
      <w:tr w:rsidR="00D97EEF" w:rsidRPr="002B194C" w14:paraId="7B057DDA" w14:textId="77777777" w:rsidTr="00CA17F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0" w:type="auto"/>
            <w:hideMark/>
          </w:tcPr>
          <w:p w14:paraId="015D51EF"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T4 (20%)</w:t>
            </w:r>
          </w:p>
        </w:tc>
        <w:tc>
          <w:tcPr>
            <w:tcW w:w="0" w:type="auto"/>
            <w:hideMark/>
          </w:tcPr>
          <w:p w14:paraId="741CE010" w14:textId="77777777" w:rsidR="00D97EEF" w:rsidRPr="002B194C" w:rsidRDefault="00D97EEF" w:rsidP="00FF07F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74.41 ± 0.16</w:t>
            </w:r>
          </w:p>
        </w:tc>
        <w:tc>
          <w:tcPr>
            <w:tcW w:w="0" w:type="auto"/>
            <w:hideMark/>
          </w:tcPr>
          <w:p w14:paraId="12CCC665" w14:textId="77777777" w:rsidR="00D97EEF" w:rsidRPr="002B194C" w:rsidRDefault="00D97EEF" w:rsidP="00FF07F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17.62 ± 0.14ᵇ</w:t>
            </w:r>
          </w:p>
        </w:tc>
        <w:tc>
          <w:tcPr>
            <w:tcW w:w="0" w:type="auto"/>
            <w:hideMark/>
          </w:tcPr>
          <w:p w14:paraId="54E3C404" w14:textId="77777777" w:rsidR="00D97EEF" w:rsidRPr="002B194C" w:rsidRDefault="00D97EEF" w:rsidP="00FF07F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4.13 ± 0.07</w:t>
            </w:r>
          </w:p>
        </w:tc>
        <w:tc>
          <w:tcPr>
            <w:tcW w:w="0" w:type="auto"/>
            <w:hideMark/>
          </w:tcPr>
          <w:p w14:paraId="40E3B78D" w14:textId="77777777" w:rsidR="00D97EEF" w:rsidRPr="002B194C" w:rsidRDefault="00D97EEF" w:rsidP="00FF07F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194C">
              <w:rPr>
                <w:rFonts w:ascii="Times New Roman" w:hAnsi="Times New Roman" w:cs="Times New Roman"/>
                <w:sz w:val="24"/>
                <w:szCs w:val="24"/>
              </w:rPr>
              <w:t>3.95 ± 0.03ᵃᵇ</w:t>
            </w:r>
          </w:p>
        </w:tc>
      </w:tr>
    </w:tbl>
    <w:p w14:paraId="1CBA0809" w14:textId="77777777" w:rsidR="00FF07FE" w:rsidRPr="002B194C" w:rsidRDefault="00AE639C" w:rsidP="00AE639C">
      <w:pPr>
        <w:spacing w:after="0"/>
        <w:jc w:val="both"/>
        <w:rPr>
          <w:rFonts w:ascii="Times New Roman" w:hAnsi="Times New Roman" w:cs="Times New Roman"/>
          <w:i/>
          <w:iCs/>
          <w:sz w:val="24"/>
          <w:szCs w:val="24"/>
        </w:rPr>
      </w:pPr>
      <w:r w:rsidRPr="002B194C">
        <w:rPr>
          <w:rFonts w:ascii="Times New Roman" w:hAnsi="Times New Roman" w:cs="Times New Roman"/>
          <w:i/>
          <w:iCs/>
          <w:sz w:val="24"/>
          <w:szCs w:val="24"/>
        </w:rPr>
        <w:t>Note: Different superscripts (a-e) within columns indicate significant difference (P &lt; 0.05).</w:t>
      </w:r>
      <w:r w:rsidR="00735979" w:rsidRPr="002B194C">
        <w:rPr>
          <w:rFonts w:ascii="Times New Roman" w:hAnsi="Times New Roman" w:cs="Times New Roman"/>
          <w:i/>
          <w:iCs/>
          <w:sz w:val="24"/>
          <w:szCs w:val="24"/>
        </w:rPr>
        <w:t xml:space="preserve"> </w:t>
      </w:r>
      <w:r w:rsidR="00735979" w:rsidRPr="002B194C">
        <w:rPr>
          <w:rFonts w:ascii="Times New Roman" w:hAnsi="Times New Roman" w:cs="Times New Roman"/>
          <w:i/>
          <w:sz w:val="24"/>
          <w:szCs w:val="24"/>
        </w:rPr>
        <w:t>The data represent the averages of three replicates.</w:t>
      </w:r>
    </w:p>
    <w:p w14:paraId="27D31438" w14:textId="77777777" w:rsidR="006E351D" w:rsidRPr="002B194C" w:rsidRDefault="006E351D" w:rsidP="006E351D">
      <w:pPr>
        <w:spacing w:after="0"/>
        <w:jc w:val="both"/>
        <w:rPr>
          <w:rFonts w:ascii="Times New Roman" w:hAnsi="Times New Roman" w:cs="Times New Roman"/>
          <w:b/>
          <w:bCs/>
          <w:sz w:val="24"/>
          <w:szCs w:val="24"/>
        </w:rPr>
      </w:pPr>
      <w:r w:rsidRPr="002B194C">
        <w:rPr>
          <w:rFonts w:ascii="Times New Roman" w:hAnsi="Times New Roman" w:cs="Times New Roman"/>
          <w:b/>
          <w:bCs/>
          <w:sz w:val="24"/>
          <w:szCs w:val="24"/>
        </w:rPr>
        <w:t xml:space="preserve">3.5 </w:t>
      </w:r>
      <w:proofErr w:type="spellStart"/>
      <w:r w:rsidRPr="002B194C">
        <w:rPr>
          <w:rFonts w:ascii="Times New Roman" w:hAnsi="Times New Roman" w:cs="Times New Roman"/>
          <w:b/>
          <w:bCs/>
          <w:sz w:val="24"/>
          <w:szCs w:val="24"/>
        </w:rPr>
        <w:t>Haematological</w:t>
      </w:r>
      <w:proofErr w:type="spellEnd"/>
      <w:r w:rsidRPr="002B194C">
        <w:rPr>
          <w:rFonts w:ascii="Times New Roman" w:hAnsi="Times New Roman" w:cs="Times New Roman"/>
          <w:b/>
          <w:bCs/>
          <w:sz w:val="24"/>
          <w:szCs w:val="24"/>
        </w:rPr>
        <w:t xml:space="preserve"> health status</w:t>
      </w:r>
    </w:p>
    <w:p w14:paraId="67BB5EBD" w14:textId="77777777" w:rsidR="005B4045" w:rsidRPr="002B194C" w:rsidRDefault="005B4045" w:rsidP="005B4045">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 xml:space="preserve">The effects of dietary inclusion of </w:t>
      </w:r>
      <w:r w:rsidRPr="002B194C">
        <w:rPr>
          <w:rFonts w:ascii="Times New Roman" w:hAnsi="Times New Roman" w:cs="Times New Roman"/>
          <w:i/>
          <w:iCs/>
          <w:sz w:val="24"/>
          <w:szCs w:val="24"/>
        </w:rPr>
        <w:t>Moringa oleifera</w:t>
      </w:r>
      <w:r w:rsidRPr="002B194C">
        <w:rPr>
          <w:rFonts w:ascii="Times New Roman" w:hAnsi="Times New Roman" w:cs="Times New Roman"/>
          <w:sz w:val="24"/>
          <w:szCs w:val="24"/>
        </w:rPr>
        <w:t xml:space="preserve"> leaf meal (MOLM) on the </w:t>
      </w:r>
      <w:proofErr w:type="spellStart"/>
      <w:r w:rsidRPr="002B194C">
        <w:rPr>
          <w:rFonts w:ascii="Times New Roman" w:hAnsi="Times New Roman" w:cs="Times New Roman"/>
          <w:sz w:val="24"/>
          <w:szCs w:val="24"/>
        </w:rPr>
        <w:t>haematological</w:t>
      </w:r>
      <w:proofErr w:type="spellEnd"/>
      <w:r w:rsidRPr="002B194C">
        <w:rPr>
          <w:rFonts w:ascii="Times New Roman" w:hAnsi="Times New Roman" w:cs="Times New Roman"/>
          <w:sz w:val="24"/>
          <w:szCs w:val="24"/>
        </w:rPr>
        <w:t xml:space="preserve"> parameters of </w:t>
      </w:r>
      <w:proofErr w:type="spellStart"/>
      <w:r w:rsidRPr="002B194C">
        <w:rPr>
          <w:rFonts w:ascii="Times New Roman" w:hAnsi="Times New Roman" w:cs="Times New Roman"/>
          <w:i/>
          <w:iCs/>
          <w:sz w:val="24"/>
          <w:szCs w:val="24"/>
        </w:rPr>
        <w:t>Labeo</w:t>
      </w:r>
      <w:proofErr w:type="spellEnd"/>
      <w:r w:rsidRPr="002B194C">
        <w:rPr>
          <w:rFonts w:ascii="Times New Roman" w:hAnsi="Times New Roman" w:cs="Times New Roman"/>
          <w:i/>
          <w:iCs/>
          <w:sz w:val="24"/>
          <w:szCs w:val="24"/>
        </w:rPr>
        <w:t xml:space="preserve"> </w:t>
      </w:r>
      <w:proofErr w:type="spellStart"/>
      <w:r w:rsidRPr="002B194C">
        <w:rPr>
          <w:rFonts w:ascii="Times New Roman" w:hAnsi="Times New Roman" w:cs="Times New Roman"/>
          <w:i/>
          <w:iCs/>
          <w:sz w:val="24"/>
          <w:szCs w:val="24"/>
        </w:rPr>
        <w:t>rohita</w:t>
      </w:r>
      <w:proofErr w:type="spellEnd"/>
      <w:r w:rsidRPr="002B194C">
        <w:rPr>
          <w:rFonts w:ascii="Times New Roman" w:hAnsi="Times New Roman" w:cs="Times New Roman"/>
          <w:sz w:val="24"/>
          <w:szCs w:val="24"/>
        </w:rPr>
        <w:t xml:space="preserve"> spawn are presented in Table 7. Dietary supplementation with MOLM significantly influenced (P &lt; 0.05) </w:t>
      </w:r>
      <w:proofErr w:type="spellStart"/>
      <w:r w:rsidRPr="002B194C">
        <w:rPr>
          <w:rFonts w:ascii="Times New Roman" w:hAnsi="Times New Roman" w:cs="Times New Roman"/>
          <w:sz w:val="24"/>
          <w:szCs w:val="24"/>
        </w:rPr>
        <w:t>haemoglobin</w:t>
      </w:r>
      <w:proofErr w:type="spellEnd"/>
      <w:r w:rsidRPr="002B194C">
        <w:rPr>
          <w:rFonts w:ascii="Times New Roman" w:hAnsi="Times New Roman" w:cs="Times New Roman"/>
          <w:sz w:val="24"/>
          <w:szCs w:val="24"/>
        </w:rPr>
        <w:t xml:space="preserve"> concentration (Hb), red blood cell (RBC) count, packed cell volume (PCV), and other erythrocytic indices. Fish fed the T3 diet containing 15% MOLM exhibited the highest values for Hb, RBC, and PCV, whereas the lowest values were recorded in fish receiving the T4 diet (20% MOLM). These findings indicate that moderate dietary inclusion of MOLM improved the physiological and </w:t>
      </w:r>
      <w:proofErr w:type="spellStart"/>
      <w:r w:rsidRPr="002B194C">
        <w:rPr>
          <w:rFonts w:ascii="Times New Roman" w:hAnsi="Times New Roman" w:cs="Times New Roman"/>
          <w:sz w:val="24"/>
          <w:szCs w:val="24"/>
        </w:rPr>
        <w:t>haematological</w:t>
      </w:r>
      <w:proofErr w:type="spellEnd"/>
      <w:r w:rsidRPr="002B194C">
        <w:rPr>
          <w:rFonts w:ascii="Times New Roman" w:hAnsi="Times New Roman" w:cs="Times New Roman"/>
          <w:sz w:val="24"/>
          <w:szCs w:val="24"/>
        </w:rPr>
        <w:t xml:space="preserve"> status of </w:t>
      </w:r>
      <w:r w:rsidRPr="002B194C">
        <w:rPr>
          <w:rFonts w:ascii="Times New Roman" w:hAnsi="Times New Roman" w:cs="Times New Roman"/>
          <w:i/>
          <w:iCs/>
          <w:sz w:val="24"/>
          <w:szCs w:val="24"/>
        </w:rPr>
        <w:t xml:space="preserve">L. </w:t>
      </w:r>
      <w:proofErr w:type="spellStart"/>
      <w:r w:rsidRPr="002B194C">
        <w:rPr>
          <w:rFonts w:ascii="Times New Roman" w:hAnsi="Times New Roman" w:cs="Times New Roman"/>
          <w:i/>
          <w:iCs/>
          <w:sz w:val="24"/>
          <w:szCs w:val="24"/>
        </w:rPr>
        <w:t>rohita</w:t>
      </w:r>
      <w:proofErr w:type="spellEnd"/>
      <w:r w:rsidRPr="002B194C">
        <w:rPr>
          <w:rFonts w:ascii="Times New Roman" w:hAnsi="Times New Roman" w:cs="Times New Roman"/>
          <w:sz w:val="24"/>
          <w:szCs w:val="24"/>
        </w:rPr>
        <w:t xml:space="preserve"> spawn, whereas excessive inclusion reduced these beneficial effects.</w:t>
      </w:r>
    </w:p>
    <w:p w14:paraId="1A2E73EB" w14:textId="77777777" w:rsidR="005B4045" w:rsidRPr="002B194C" w:rsidRDefault="005B4045" w:rsidP="005B4045">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 xml:space="preserve">The improvement in </w:t>
      </w:r>
      <w:proofErr w:type="spellStart"/>
      <w:r w:rsidRPr="002B194C">
        <w:rPr>
          <w:rFonts w:ascii="Times New Roman" w:hAnsi="Times New Roman" w:cs="Times New Roman"/>
          <w:sz w:val="24"/>
          <w:szCs w:val="24"/>
        </w:rPr>
        <w:t>haemoglobin</w:t>
      </w:r>
      <w:proofErr w:type="spellEnd"/>
      <w:r w:rsidRPr="002B194C">
        <w:rPr>
          <w:rFonts w:ascii="Times New Roman" w:hAnsi="Times New Roman" w:cs="Times New Roman"/>
          <w:sz w:val="24"/>
          <w:szCs w:val="24"/>
        </w:rPr>
        <w:t xml:space="preserve"> concentration, erythrocyte count, and packed cell volume observed in the T3 group suggests enhanced erythropoiesis and oxygen-transport capacity, which are essential for supporting normal metabolism, tissue growth, and overall physiological performance. These beneficial effects may be attributed to the rich nutritional composition of </w:t>
      </w:r>
      <w:r w:rsidRPr="002B194C">
        <w:rPr>
          <w:rFonts w:ascii="Times New Roman" w:hAnsi="Times New Roman" w:cs="Times New Roman"/>
          <w:i/>
          <w:iCs/>
          <w:sz w:val="24"/>
          <w:szCs w:val="24"/>
        </w:rPr>
        <w:t>M. oleifera</w:t>
      </w:r>
      <w:r w:rsidRPr="002B194C">
        <w:rPr>
          <w:rFonts w:ascii="Times New Roman" w:hAnsi="Times New Roman" w:cs="Times New Roman"/>
          <w:sz w:val="24"/>
          <w:szCs w:val="24"/>
        </w:rPr>
        <w:t xml:space="preserve"> leaves, which provide high-quality protein, essential amino acids, iron, vitamins, minerals, and natural antioxidant compounds that support blood-cell formation and maintenance. Improved </w:t>
      </w:r>
      <w:proofErr w:type="spellStart"/>
      <w:r w:rsidRPr="002B194C">
        <w:rPr>
          <w:rFonts w:ascii="Times New Roman" w:hAnsi="Times New Roman" w:cs="Times New Roman"/>
          <w:sz w:val="24"/>
          <w:szCs w:val="24"/>
        </w:rPr>
        <w:t>haematological</w:t>
      </w:r>
      <w:proofErr w:type="spellEnd"/>
      <w:r w:rsidRPr="002B194C">
        <w:rPr>
          <w:rFonts w:ascii="Times New Roman" w:hAnsi="Times New Roman" w:cs="Times New Roman"/>
          <w:sz w:val="24"/>
          <w:szCs w:val="24"/>
        </w:rPr>
        <w:t xml:space="preserve"> indices also reflect better nutritional status and indicate that dietary MOLM contributed positively to the health and well-being of the experimental fish.</w:t>
      </w:r>
    </w:p>
    <w:p w14:paraId="0321D07F" w14:textId="77777777" w:rsidR="005B4045" w:rsidRPr="002B194C" w:rsidRDefault="005B4045" w:rsidP="005B4045">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 xml:space="preserve">The decline in </w:t>
      </w:r>
      <w:proofErr w:type="spellStart"/>
      <w:r w:rsidRPr="002B194C">
        <w:rPr>
          <w:rFonts w:ascii="Times New Roman" w:hAnsi="Times New Roman" w:cs="Times New Roman"/>
          <w:sz w:val="24"/>
          <w:szCs w:val="24"/>
        </w:rPr>
        <w:t>haematological</w:t>
      </w:r>
      <w:proofErr w:type="spellEnd"/>
      <w:r w:rsidRPr="002B194C">
        <w:rPr>
          <w:rFonts w:ascii="Times New Roman" w:hAnsi="Times New Roman" w:cs="Times New Roman"/>
          <w:sz w:val="24"/>
          <w:szCs w:val="24"/>
        </w:rPr>
        <w:t xml:space="preserve"> parameters observed in fish fed the highest inclusion level (20% MOLM) may be associated with reduced nutrient </w:t>
      </w:r>
      <w:proofErr w:type="spellStart"/>
      <w:r w:rsidRPr="002B194C">
        <w:rPr>
          <w:rFonts w:ascii="Times New Roman" w:hAnsi="Times New Roman" w:cs="Times New Roman"/>
          <w:sz w:val="24"/>
          <w:szCs w:val="24"/>
        </w:rPr>
        <w:t>utilisation</w:t>
      </w:r>
      <w:proofErr w:type="spellEnd"/>
      <w:r w:rsidRPr="002B194C">
        <w:rPr>
          <w:rFonts w:ascii="Times New Roman" w:hAnsi="Times New Roman" w:cs="Times New Roman"/>
          <w:sz w:val="24"/>
          <w:szCs w:val="24"/>
        </w:rPr>
        <w:t xml:space="preserve"> resulting from increased dietary </w:t>
      </w:r>
      <w:proofErr w:type="spellStart"/>
      <w:r w:rsidRPr="002B194C">
        <w:rPr>
          <w:rFonts w:ascii="Times New Roman" w:hAnsi="Times New Roman" w:cs="Times New Roman"/>
          <w:sz w:val="24"/>
          <w:szCs w:val="24"/>
        </w:rPr>
        <w:t>fibre</w:t>
      </w:r>
      <w:proofErr w:type="spellEnd"/>
      <w:r w:rsidRPr="002B194C">
        <w:rPr>
          <w:rFonts w:ascii="Times New Roman" w:hAnsi="Times New Roman" w:cs="Times New Roman"/>
          <w:sz w:val="24"/>
          <w:szCs w:val="24"/>
        </w:rPr>
        <w:t xml:space="preserve"> and the presence of naturally occurring anti-nutritional compounds in </w:t>
      </w:r>
      <w:r w:rsidRPr="002B194C">
        <w:rPr>
          <w:rFonts w:ascii="Times New Roman" w:hAnsi="Times New Roman" w:cs="Times New Roman"/>
          <w:i/>
          <w:iCs/>
          <w:sz w:val="24"/>
          <w:szCs w:val="24"/>
        </w:rPr>
        <w:t>M. oleifera</w:t>
      </w:r>
      <w:r w:rsidRPr="002B194C">
        <w:rPr>
          <w:rFonts w:ascii="Times New Roman" w:hAnsi="Times New Roman" w:cs="Times New Roman"/>
          <w:sz w:val="24"/>
          <w:szCs w:val="24"/>
        </w:rPr>
        <w:t xml:space="preserve"> leaves. These factors may interfere with nutrient absorption and consequently reduce the availability of essential nutrients required for normal blood-cell production when the leaf meal is included beyond the optimal dietary level.</w:t>
      </w:r>
    </w:p>
    <w:p w14:paraId="43484E9C" w14:textId="77777777" w:rsidR="005B4045" w:rsidRPr="002B194C" w:rsidRDefault="005B4045" w:rsidP="005B4045">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 xml:space="preserve">The present findings are consistent with previous reports of improved </w:t>
      </w:r>
      <w:proofErr w:type="spellStart"/>
      <w:r w:rsidRPr="002B194C">
        <w:rPr>
          <w:rFonts w:ascii="Times New Roman" w:hAnsi="Times New Roman" w:cs="Times New Roman"/>
          <w:sz w:val="24"/>
          <w:szCs w:val="24"/>
        </w:rPr>
        <w:t>haematological</w:t>
      </w:r>
      <w:proofErr w:type="spellEnd"/>
      <w:r w:rsidRPr="002B194C">
        <w:rPr>
          <w:rFonts w:ascii="Times New Roman" w:hAnsi="Times New Roman" w:cs="Times New Roman"/>
          <w:sz w:val="24"/>
          <w:szCs w:val="24"/>
        </w:rPr>
        <w:t xml:space="preserve"> indices following dietary </w:t>
      </w:r>
      <w:r w:rsidRPr="002B194C">
        <w:rPr>
          <w:rFonts w:ascii="Times New Roman" w:hAnsi="Times New Roman" w:cs="Times New Roman"/>
          <w:i/>
          <w:sz w:val="24"/>
          <w:szCs w:val="24"/>
        </w:rPr>
        <w:t>Moringa</w:t>
      </w:r>
      <w:r w:rsidRPr="002B194C">
        <w:rPr>
          <w:rFonts w:ascii="Times New Roman" w:hAnsi="Times New Roman" w:cs="Times New Roman"/>
          <w:sz w:val="24"/>
          <w:szCs w:val="24"/>
        </w:rPr>
        <w:t xml:space="preserve"> supplementation (Arsalan et al., 2016; Ayotunde Ezekiel et al., 2016; Emam et al., 2024; </w:t>
      </w:r>
      <w:proofErr w:type="spellStart"/>
      <w:r w:rsidRPr="002B194C">
        <w:rPr>
          <w:rFonts w:ascii="Times New Roman" w:hAnsi="Times New Roman" w:cs="Times New Roman"/>
          <w:sz w:val="24"/>
          <w:szCs w:val="24"/>
        </w:rPr>
        <w:t>Hemprabha</w:t>
      </w:r>
      <w:proofErr w:type="spellEnd"/>
      <w:r w:rsidRPr="002B194C">
        <w:rPr>
          <w:rFonts w:ascii="Times New Roman" w:hAnsi="Times New Roman" w:cs="Times New Roman"/>
          <w:sz w:val="24"/>
          <w:szCs w:val="24"/>
        </w:rPr>
        <w:t xml:space="preserve"> &amp; Arya, 2025; Monir et al., 2020). Related studies have </w:t>
      </w:r>
      <w:r w:rsidRPr="002B194C">
        <w:rPr>
          <w:rFonts w:ascii="Times New Roman" w:hAnsi="Times New Roman" w:cs="Times New Roman"/>
          <w:sz w:val="24"/>
          <w:szCs w:val="24"/>
        </w:rPr>
        <w:lastRenderedPageBreak/>
        <w:t xml:space="preserve">also shown improvements in antioxidant status, immune function, and disease resistance (Abdel-Latif et al., 2022; Kamble et al., 2024; Nassar et al., 2024; Sharker et al., 2024; </w:t>
      </w:r>
      <w:proofErr w:type="spellStart"/>
      <w:r w:rsidRPr="002B194C">
        <w:rPr>
          <w:rFonts w:ascii="Times New Roman" w:hAnsi="Times New Roman" w:cs="Times New Roman"/>
          <w:sz w:val="24"/>
          <w:szCs w:val="24"/>
        </w:rPr>
        <w:t>Witeska</w:t>
      </w:r>
      <w:proofErr w:type="spellEnd"/>
      <w:r w:rsidRPr="002B194C">
        <w:rPr>
          <w:rFonts w:ascii="Times New Roman" w:hAnsi="Times New Roman" w:cs="Times New Roman"/>
          <w:sz w:val="24"/>
          <w:szCs w:val="24"/>
        </w:rPr>
        <w:t xml:space="preserve"> et al., 2023). These studies demonstrated that the nutritional and functional properties of </w:t>
      </w:r>
      <w:r w:rsidRPr="002B194C">
        <w:rPr>
          <w:rFonts w:ascii="Times New Roman" w:hAnsi="Times New Roman" w:cs="Times New Roman"/>
          <w:i/>
          <w:sz w:val="24"/>
          <w:szCs w:val="24"/>
        </w:rPr>
        <w:t>M. oleifera</w:t>
      </w:r>
      <w:r w:rsidRPr="002B194C">
        <w:rPr>
          <w:rFonts w:ascii="Times New Roman" w:hAnsi="Times New Roman" w:cs="Times New Roman"/>
          <w:sz w:val="24"/>
          <w:szCs w:val="24"/>
        </w:rPr>
        <w:t>, including its antioxidant and immunomodulatory constituents, contribute to an improved physiological condition, enhanced blood profile, and better adaptation to culture conditions.</w:t>
      </w:r>
    </w:p>
    <w:p w14:paraId="47FC9289" w14:textId="77777777" w:rsidR="00CA17F7" w:rsidRPr="002B194C" w:rsidRDefault="005B4045" w:rsidP="005B4045">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 xml:space="preserve">Overall, the present study demonstrates that dietary inclusion of </w:t>
      </w:r>
      <w:r w:rsidRPr="002B194C">
        <w:rPr>
          <w:rFonts w:ascii="Times New Roman" w:hAnsi="Times New Roman" w:cs="Times New Roman"/>
          <w:b/>
          <w:bCs/>
          <w:sz w:val="24"/>
          <w:szCs w:val="24"/>
        </w:rPr>
        <w:t>15% MOLM</w:t>
      </w:r>
      <w:r w:rsidRPr="002B194C">
        <w:rPr>
          <w:rFonts w:ascii="Times New Roman" w:hAnsi="Times New Roman" w:cs="Times New Roman"/>
          <w:sz w:val="24"/>
          <w:szCs w:val="24"/>
        </w:rPr>
        <w:t xml:space="preserve"> effectively improves the </w:t>
      </w:r>
      <w:proofErr w:type="spellStart"/>
      <w:r w:rsidRPr="002B194C">
        <w:rPr>
          <w:rFonts w:ascii="Times New Roman" w:hAnsi="Times New Roman" w:cs="Times New Roman"/>
          <w:sz w:val="24"/>
          <w:szCs w:val="24"/>
        </w:rPr>
        <w:t>haematological</w:t>
      </w:r>
      <w:proofErr w:type="spellEnd"/>
      <w:r w:rsidRPr="002B194C">
        <w:rPr>
          <w:rFonts w:ascii="Times New Roman" w:hAnsi="Times New Roman" w:cs="Times New Roman"/>
          <w:sz w:val="24"/>
          <w:szCs w:val="24"/>
        </w:rPr>
        <w:t xml:space="preserve"> profile of </w:t>
      </w:r>
      <w:r w:rsidRPr="002B194C">
        <w:rPr>
          <w:rFonts w:ascii="Times New Roman" w:hAnsi="Times New Roman" w:cs="Times New Roman"/>
          <w:i/>
          <w:iCs/>
          <w:sz w:val="24"/>
          <w:szCs w:val="24"/>
        </w:rPr>
        <w:t xml:space="preserve">L. </w:t>
      </w:r>
      <w:proofErr w:type="spellStart"/>
      <w:r w:rsidRPr="002B194C">
        <w:rPr>
          <w:rFonts w:ascii="Times New Roman" w:hAnsi="Times New Roman" w:cs="Times New Roman"/>
          <w:i/>
          <w:iCs/>
          <w:sz w:val="24"/>
          <w:szCs w:val="24"/>
        </w:rPr>
        <w:t>rohita</w:t>
      </w:r>
      <w:proofErr w:type="spellEnd"/>
      <w:r w:rsidRPr="002B194C">
        <w:rPr>
          <w:rFonts w:ascii="Times New Roman" w:hAnsi="Times New Roman" w:cs="Times New Roman"/>
          <w:sz w:val="24"/>
          <w:szCs w:val="24"/>
        </w:rPr>
        <w:t xml:space="preserve"> spawn, indicating an enhanced physiological condition, oxygen-carrying capacity, and general health. The improved blood parameters observed at this inclusion level further support the superior growth performance and feed </w:t>
      </w:r>
      <w:proofErr w:type="spellStart"/>
      <w:r w:rsidRPr="002B194C">
        <w:rPr>
          <w:rFonts w:ascii="Times New Roman" w:hAnsi="Times New Roman" w:cs="Times New Roman"/>
          <w:sz w:val="24"/>
          <w:szCs w:val="24"/>
        </w:rPr>
        <w:t>utilisation</w:t>
      </w:r>
      <w:proofErr w:type="spellEnd"/>
      <w:r w:rsidRPr="002B194C">
        <w:rPr>
          <w:rFonts w:ascii="Times New Roman" w:hAnsi="Times New Roman" w:cs="Times New Roman"/>
          <w:sz w:val="24"/>
          <w:szCs w:val="24"/>
        </w:rPr>
        <w:t xml:space="preserve"> recorded in the present study, confirming that </w:t>
      </w:r>
      <w:r w:rsidRPr="002B194C">
        <w:rPr>
          <w:rFonts w:ascii="Times New Roman" w:hAnsi="Times New Roman" w:cs="Times New Roman"/>
          <w:b/>
          <w:bCs/>
          <w:sz w:val="24"/>
          <w:szCs w:val="24"/>
        </w:rPr>
        <w:t>15% dietary MOLM</w:t>
      </w:r>
      <w:r w:rsidRPr="002B194C">
        <w:rPr>
          <w:rFonts w:ascii="Times New Roman" w:hAnsi="Times New Roman" w:cs="Times New Roman"/>
          <w:sz w:val="24"/>
          <w:szCs w:val="24"/>
        </w:rPr>
        <w:t xml:space="preserve"> is the optimal level for partial replacement of fish meal in nursery diets for </w:t>
      </w:r>
      <w:r w:rsidRPr="002B194C">
        <w:rPr>
          <w:rFonts w:ascii="Times New Roman" w:hAnsi="Times New Roman" w:cs="Times New Roman"/>
          <w:i/>
          <w:iCs/>
          <w:sz w:val="24"/>
          <w:szCs w:val="24"/>
        </w:rPr>
        <w:t xml:space="preserve">L. </w:t>
      </w:r>
      <w:proofErr w:type="spellStart"/>
      <w:r w:rsidRPr="002B194C">
        <w:rPr>
          <w:rFonts w:ascii="Times New Roman" w:hAnsi="Times New Roman" w:cs="Times New Roman"/>
          <w:i/>
          <w:iCs/>
          <w:sz w:val="24"/>
          <w:szCs w:val="24"/>
        </w:rPr>
        <w:t>rohita</w:t>
      </w:r>
      <w:proofErr w:type="spellEnd"/>
      <w:r w:rsidRPr="002B194C">
        <w:rPr>
          <w:rFonts w:ascii="Times New Roman" w:hAnsi="Times New Roman" w:cs="Times New Roman"/>
          <w:sz w:val="24"/>
          <w:szCs w:val="24"/>
        </w:rPr>
        <w:t xml:space="preserve"> spawn.</w:t>
      </w:r>
    </w:p>
    <w:p w14:paraId="3F8E76C6" w14:textId="77777777" w:rsidR="00D97EEF" w:rsidRPr="002B194C" w:rsidRDefault="00D97EEF" w:rsidP="00616229">
      <w:pPr>
        <w:spacing w:after="0"/>
        <w:jc w:val="both"/>
        <w:rPr>
          <w:rFonts w:ascii="Times New Roman" w:hAnsi="Times New Roman" w:cs="Times New Roman"/>
          <w:b/>
          <w:bCs/>
          <w:sz w:val="24"/>
          <w:szCs w:val="24"/>
        </w:rPr>
      </w:pPr>
      <w:r w:rsidRPr="002B194C">
        <w:rPr>
          <w:rFonts w:ascii="Times New Roman" w:hAnsi="Times New Roman" w:cs="Times New Roman"/>
          <w:b/>
          <w:bCs/>
          <w:sz w:val="24"/>
          <w:szCs w:val="24"/>
        </w:rPr>
        <w:t xml:space="preserve">Table 7. </w:t>
      </w:r>
      <w:proofErr w:type="spellStart"/>
      <w:r w:rsidRPr="002B194C">
        <w:rPr>
          <w:rFonts w:ascii="Times New Roman" w:hAnsi="Times New Roman" w:cs="Times New Roman"/>
          <w:sz w:val="24"/>
          <w:szCs w:val="24"/>
        </w:rPr>
        <w:t>Haematological</w:t>
      </w:r>
      <w:proofErr w:type="spellEnd"/>
      <w:r w:rsidRPr="002B194C">
        <w:rPr>
          <w:rFonts w:ascii="Times New Roman" w:hAnsi="Times New Roman" w:cs="Times New Roman"/>
          <w:sz w:val="24"/>
          <w:szCs w:val="24"/>
        </w:rPr>
        <w:t xml:space="preserve"> parameters of </w:t>
      </w:r>
      <w:r w:rsidRPr="002B194C">
        <w:rPr>
          <w:rFonts w:ascii="Times New Roman" w:hAnsi="Times New Roman" w:cs="Times New Roman"/>
          <w:i/>
          <w:iCs/>
          <w:sz w:val="24"/>
          <w:szCs w:val="24"/>
        </w:rPr>
        <w:t xml:space="preserve">L. </w:t>
      </w:r>
      <w:proofErr w:type="spellStart"/>
      <w:r w:rsidRPr="002B194C">
        <w:rPr>
          <w:rFonts w:ascii="Times New Roman" w:hAnsi="Times New Roman" w:cs="Times New Roman"/>
          <w:i/>
          <w:iCs/>
          <w:sz w:val="24"/>
          <w:szCs w:val="24"/>
        </w:rPr>
        <w:t>rohita</w:t>
      </w:r>
      <w:proofErr w:type="spellEnd"/>
      <w:r w:rsidRPr="002B194C">
        <w:rPr>
          <w:rFonts w:ascii="Times New Roman" w:hAnsi="Times New Roman" w:cs="Times New Roman"/>
          <w:sz w:val="24"/>
          <w:szCs w:val="24"/>
        </w:rPr>
        <w:t xml:space="preserve"> spawn under different dietary treatments</w:t>
      </w:r>
    </w:p>
    <w:tbl>
      <w:tblPr>
        <w:tblStyle w:val="TableGridLight1"/>
        <w:tblW w:w="9311" w:type="dxa"/>
        <w:tblLook w:val="04A0" w:firstRow="1" w:lastRow="0" w:firstColumn="1" w:lastColumn="0" w:noHBand="0" w:noVBand="1"/>
      </w:tblPr>
      <w:tblGrid>
        <w:gridCol w:w="1456"/>
        <w:gridCol w:w="1638"/>
        <w:gridCol w:w="2184"/>
        <w:gridCol w:w="1774"/>
        <w:gridCol w:w="2259"/>
      </w:tblGrid>
      <w:tr w:rsidR="00D97EEF" w:rsidRPr="002B194C" w14:paraId="734A217E" w14:textId="77777777" w:rsidTr="00D97EEF">
        <w:trPr>
          <w:trHeight w:val="270"/>
        </w:trPr>
        <w:tc>
          <w:tcPr>
            <w:tcW w:w="0" w:type="auto"/>
            <w:hideMark/>
          </w:tcPr>
          <w:p w14:paraId="576F5E13"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b/>
                <w:bCs/>
                <w:sz w:val="24"/>
                <w:szCs w:val="24"/>
              </w:rPr>
              <w:t>Treatment</w:t>
            </w:r>
          </w:p>
        </w:tc>
        <w:tc>
          <w:tcPr>
            <w:tcW w:w="0" w:type="auto"/>
            <w:hideMark/>
          </w:tcPr>
          <w:p w14:paraId="6678D811"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b/>
                <w:bCs/>
                <w:sz w:val="24"/>
                <w:szCs w:val="24"/>
              </w:rPr>
              <w:t>Hb (g/dL)</w:t>
            </w:r>
          </w:p>
        </w:tc>
        <w:tc>
          <w:tcPr>
            <w:tcW w:w="0" w:type="auto"/>
            <w:hideMark/>
          </w:tcPr>
          <w:p w14:paraId="4505E3DC"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b/>
                <w:bCs/>
                <w:sz w:val="24"/>
                <w:szCs w:val="24"/>
              </w:rPr>
              <w:t>RBC (×10⁶/mm³)</w:t>
            </w:r>
          </w:p>
        </w:tc>
        <w:tc>
          <w:tcPr>
            <w:tcW w:w="0" w:type="auto"/>
            <w:hideMark/>
          </w:tcPr>
          <w:p w14:paraId="0E03470A"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b/>
                <w:bCs/>
                <w:sz w:val="24"/>
                <w:szCs w:val="24"/>
              </w:rPr>
              <w:t>PCV (%)</w:t>
            </w:r>
          </w:p>
        </w:tc>
        <w:tc>
          <w:tcPr>
            <w:tcW w:w="0" w:type="auto"/>
            <w:hideMark/>
          </w:tcPr>
          <w:p w14:paraId="2EC9157D"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b/>
                <w:bCs/>
                <w:sz w:val="24"/>
                <w:szCs w:val="24"/>
              </w:rPr>
              <w:t>WBC (×10³/mm³)</w:t>
            </w:r>
          </w:p>
        </w:tc>
      </w:tr>
      <w:tr w:rsidR="00D97EEF" w:rsidRPr="002B194C" w14:paraId="45DF9148" w14:textId="77777777" w:rsidTr="00D97EEF">
        <w:trPr>
          <w:trHeight w:val="282"/>
        </w:trPr>
        <w:tc>
          <w:tcPr>
            <w:tcW w:w="0" w:type="auto"/>
            <w:hideMark/>
          </w:tcPr>
          <w:p w14:paraId="7DF3CABE"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Control</w:t>
            </w:r>
          </w:p>
        </w:tc>
        <w:tc>
          <w:tcPr>
            <w:tcW w:w="0" w:type="auto"/>
            <w:hideMark/>
          </w:tcPr>
          <w:p w14:paraId="0CB5D17D"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4.63 ± 1.85ᵃᵇ</w:t>
            </w:r>
          </w:p>
        </w:tc>
        <w:tc>
          <w:tcPr>
            <w:tcW w:w="0" w:type="auto"/>
            <w:hideMark/>
          </w:tcPr>
          <w:p w14:paraId="363262A1"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0.83 ± 0.4ᵃᵇ</w:t>
            </w:r>
          </w:p>
        </w:tc>
        <w:tc>
          <w:tcPr>
            <w:tcW w:w="0" w:type="auto"/>
            <w:hideMark/>
          </w:tcPr>
          <w:p w14:paraId="45FE997F"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13.13 ± 6.52ᵃᵇ</w:t>
            </w:r>
          </w:p>
        </w:tc>
        <w:tc>
          <w:tcPr>
            <w:tcW w:w="0" w:type="auto"/>
            <w:hideMark/>
          </w:tcPr>
          <w:p w14:paraId="53538343"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17.6 ± 10.4ᵃ</w:t>
            </w:r>
          </w:p>
        </w:tc>
      </w:tr>
      <w:tr w:rsidR="00D97EEF" w:rsidRPr="002B194C" w14:paraId="0E8ADD4E" w14:textId="77777777" w:rsidTr="00D97EEF">
        <w:trPr>
          <w:trHeight w:val="270"/>
        </w:trPr>
        <w:tc>
          <w:tcPr>
            <w:tcW w:w="0" w:type="auto"/>
            <w:hideMark/>
          </w:tcPr>
          <w:p w14:paraId="2CD55F3C"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T1 (5%)</w:t>
            </w:r>
          </w:p>
        </w:tc>
        <w:tc>
          <w:tcPr>
            <w:tcW w:w="0" w:type="auto"/>
            <w:hideMark/>
          </w:tcPr>
          <w:p w14:paraId="10B33FBD"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5.20 ± 1.91ᵃ</w:t>
            </w:r>
          </w:p>
        </w:tc>
        <w:tc>
          <w:tcPr>
            <w:tcW w:w="0" w:type="auto"/>
            <w:hideMark/>
          </w:tcPr>
          <w:p w14:paraId="47A0FF51"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1.04 ± 0.4ᵃ</w:t>
            </w:r>
          </w:p>
        </w:tc>
        <w:tc>
          <w:tcPr>
            <w:tcW w:w="0" w:type="auto"/>
            <w:hideMark/>
          </w:tcPr>
          <w:p w14:paraId="066F8F1C"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16.90 ± 8.14ᵃ</w:t>
            </w:r>
          </w:p>
        </w:tc>
        <w:tc>
          <w:tcPr>
            <w:tcW w:w="0" w:type="auto"/>
            <w:hideMark/>
          </w:tcPr>
          <w:p w14:paraId="00D1DFFF"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28.5 ± 15.9ᵃ</w:t>
            </w:r>
          </w:p>
        </w:tc>
      </w:tr>
      <w:tr w:rsidR="00D97EEF" w:rsidRPr="002B194C" w14:paraId="491FB8B1" w14:textId="77777777" w:rsidTr="00D97EEF">
        <w:trPr>
          <w:trHeight w:val="282"/>
        </w:trPr>
        <w:tc>
          <w:tcPr>
            <w:tcW w:w="0" w:type="auto"/>
            <w:hideMark/>
          </w:tcPr>
          <w:p w14:paraId="0058BE80"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T2 (10%)</w:t>
            </w:r>
          </w:p>
        </w:tc>
        <w:tc>
          <w:tcPr>
            <w:tcW w:w="0" w:type="auto"/>
            <w:hideMark/>
          </w:tcPr>
          <w:p w14:paraId="6790E636"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3.68 ± 0.38ᵃᵇ</w:t>
            </w:r>
          </w:p>
        </w:tc>
        <w:tc>
          <w:tcPr>
            <w:tcW w:w="0" w:type="auto"/>
            <w:hideMark/>
          </w:tcPr>
          <w:p w14:paraId="3CDCA689"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0.72 ± 0.03ᵃᵇ</w:t>
            </w:r>
          </w:p>
        </w:tc>
        <w:tc>
          <w:tcPr>
            <w:tcW w:w="0" w:type="auto"/>
            <w:hideMark/>
          </w:tcPr>
          <w:p w14:paraId="77ED9814"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11.49 ± 0.2ᵃᵇ</w:t>
            </w:r>
          </w:p>
        </w:tc>
        <w:tc>
          <w:tcPr>
            <w:tcW w:w="0" w:type="auto"/>
            <w:hideMark/>
          </w:tcPr>
          <w:p w14:paraId="70F02DF3"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17.9 ± 0.64ᵃ</w:t>
            </w:r>
          </w:p>
        </w:tc>
      </w:tr>
      <w:tr w:rsidR="00D97EEF" w:rsidRPr="002B194C" w14:paraId="2CA8A5D0" w14:textId="77777777" w:rsidTr="00D97EEF">
        <w:trPr>
          <w:trHeight w:val="270"/>
        </w:trPr>
        <w:tc>
          <w:tcPr>
            <w:tcW w:w="0" w:type="auto"/>
            <w:hideMark/>
          </w:tcPr>
          <w:p w14:paraId="60FD2A0D"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T3 (15%)</w:t>
            </w:r>
          </w:p>
        </w:tc>
        <w:tc>
          <w:tcPr>
            <w:tcW w:w="0" w:type="auto"/>
            <w:hideMark/>
          </w:tcPr>
          <w:p w14:paraId="6B432710"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5.50 ± 0.87ᵃ</w:t>
            </w:r>
          </w:p>
        </w:tc>
        <w:tc>
          <w:tcPr>
            <w:tcW w:w="0" w:type="auto"/>
            <w:hideMark/>
          </w:tcPr>
          <w:p w14:paraId="0A3E71B3"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0.98 ± 0.14ᵃ</w:t>
            </w:r>
          </w:p>
        </w:tc>
        <w:tc>
          <w:tcPr>
            <w:tcW w:w="0" w:type="auto"/>
            <w:hideMark/>
          </w:tcPr>
          <w:p w14:paraId="189C8E43"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12.97 ± 1.76ᵃᵇ</w:t>
            </w:r>
          </w:p>
        </w:tc>
        <w:tc>
          <w:tcPr>
            <w:tcW w:w="0" w:type="auto"/>
            <w:hideMark/>
          </w:tcPr>
          <w:p w14:paraId="490A5696"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25.3 ± 6.6ᵃ</w:t>
            </w:r>
          </w:p>
        </w:tc>
      </w:tr>
      <w:tr w:rsidR="00D97EEF" w:rsidRPr="002B194C" w14:paraId="426A8AB5" w14:textId="77777777" w:rsidTr="00D97EEF">
        <w:trPr>
          <w:trHeight w:val="270"/>
        </w:trPr>
        <w:tc>
          <w:tcPr>
            <w:tcW w:w="0" w:type="auto"/>
            <w:hideMark/>
          </w:tcPr>
          <w:p w14:paraId="5CEDF6ED"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T4 (20%)</w:t>
            </w:r>
          </w:p>
        </w:tc>
        <w:tc>
          <w:tcPr>
            <w:tcW w:w="0" w:type="auto"/>
            <w:hideMark/>
          </w:tcPr>
          <w:p w14:paraId="3026BE30"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1.29 ± 0.1ᵇ</w:t>
            </w:r>
          </w:p>
        </w:tc>
        <w:tc>
          <w:tcPr>
            <w:tcW w:w="0" w:type="auto"/>
            <w:hideMark/>
          </w:tcPr>
          <w:p w14:paraId="595AF3FA"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0.27 ± 0.02ᵇ</w:t>
            </w:r>
          </w:p>
        </w:tc>
        <w:tc>
          <w:tcPr>
            <w:tcW w:w="0" w:type="auto"/>
            <w:hideMark/>
          </w:tcPr>
          <w:p w14:paraId="114EB509"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2.73 ± 0.58ᵇ</w:t>
            </w:r>
          </w:p>
        </w:tc>
        <w:tc>
          <w:tcPr>
            <w:tcW w:w="0" w:type="auto"/>
            <w:hideMark/>
          </w:tcPr>
          <w:p w14:paraId="1383CD60" w14:textId="77777777" w:rsidR="00D97EEF" w:rsidRPr="002B194C" w:rsidRDefault="00D97EEF" w:rsidP="00FF07FE">
            <w:pPr>
              <w:jc w:val="both"/>
              <w:rPr>
                <w:rFonts w:ascii="Times New Roman" w:hAnsi="Times New Roman" w:cs="Times New Roman"/>
                <w:sz w:val="24"/>
                <w:szCs w:val="24"/>
              </w:rPr>
            </w:pPr>
            <w:r w:rsidRPr="002B194C">
              <w:rPr>
                <w:rFonts w:ascii="Times New Roman" w:hAnsi="Times New Roman" w:cs="Times New Roman"/>
                <w:sz w:val="24"/>
                <w:szCs w:val="24"/>
              </w:rPr>
              <w:t>3.97 ± 0</w:t>
            </w:r>
          </w:p>
        </w:tc>
      </w:tr>
    </w:tbl>
    <w:p w14:paraId="0C580964" w14:textId="77777777" w:rsidR="00FF07FE" w:rsidRPr="002B194C" w:rsidRDefault="00933653" w:rsidP="00031425">
      <w:pPr>
        <w:spacing w:after="0"/>
        <w:jc w:val="both"/>
        <w:rPr>
          <w:rFonts w:ascii="Times New Roman" w:hAnsi="Times New Roman" w:cs="Times New Roman"/>
          <w:i/>
          <w:iCs/>
          <w:sz w:val="24"/>
          <w:szCs w:val="24"/>
        </w:rPr>
      </w:pPr>
      <w:r w:rsidRPr="002B194C">
        <w:rPr>
          <w:rFonts w:ascii="Times New Roman" w:hAnsi="Times New Roman" w:cs="Times New Roman"/>
          <w:i/>
          <w:iCs/>
          <w:sz w:val="24"/>
          <w:szCs w:val="24"/>
        </w:rPr>
        <w:t>Different superscripts (a-e) within columns indicate significant difference (P &lt; 0.05).</w:t>
      </w:r>
      <w:r w:rsidR="00735979" w:rsidRPr="002B194C">
        <w:rPr>
          <w:rFonts w:ascii="Times New Roman" w:hAnsi="Times New Roman" w:cs="Times New Roman"/>
          <w:sz w:val="24"/>
          <w:szCs w:val="24"/>
        </w:rPr>
        <w:t xml:space="preserve"> </w:t>
      </w:r>
      <w:r w:rsidR="00735979" w:rsidRPr="002B194C">
        <w:rPr>
          <w:rFonts w:ascii="Times New Roman" w:hAnsi="Times New Roman" w:cs="Times New Roman"/>
          <w:i/>
          <w:sz w:val="24"/>
          <w:szCs w:val="24"/>
        </w:rPr>
        <w:t>The data represent the averages of three replicates.</w:t>
      </w:r>
    </w:p>
    <w:p w14:paraId="286CE752" w14:textId="77777777" w:rsidR="00031425" w:rsidRPr="002B194C" w:rsidRDefault="00031425" w:rsidP="00031425">
      <w:pPr>
        <w:spacing w:after="0"/>
        <w:jc w:val="both"/>
        <w:rPr>
          <w:rFonts w:ascii="Times New Roman" w:hAnsi="Times New Roman" w:cs="Times New Roman"/>
          <w:b/>
          <w:bCs/>
          <w:sz w:val="24"/>
          <w:szCs w:val="24"/>
        </w:rPr>
      </w:pPr>
      <w:r w:rsidRPr="002B194C">
        <w:rPr>
          <w:rFonts w:ascii="Times New Roman" w:hAnsi="Times New Roman" w:cs="Times New Roman"/>
          <w:b/>
          <w:bCs/>
          <w:sz w:val="24"/>
          <w:szCs w:val="24"/>
        </w:rPr>
        <w:t>5. Conclusion</w:t>
      </w:r>
    </w:p>
    <w:p w14:paraId="74F2EBC9" w14:textId="77777777" w:rsidR="00680C89" w:rsidRPr="002B194C" w:rsidRDefault="00680C89" w:rsidP="005B4045">
      <w:pPr>
        <w:spacing w:after="0"/>
        <w:ind w:firstLine="720"/>
        <w:jc w:val="both"/>
        <w:rPr>
          <w:rFonts w:ascii="Times New Roman" w:hAnsi="Times New Roman" w:cs="Times New Roman"/>
          <w:sz w:val="24"/>
          <w:szCs w:val="24"/>
        </w:rPr>
      </w:pPr>
      <w:r w:rsidRPr="002B194C">
        <w:rPr>
          <w:rFonts w:ascii="Times New Roman" w:hAnsi="Times New Roman" w:cs="Times New Roman"/>
          <w:sz w:val="24"/>
          <w:szCs w:val="24"/>
        </w:rPr>
        <w:t xml:space="preserve">The present study demonstrated that dietary inclusion of </w:t>
      </w:r>
      <w:r w:rsidRPr="002B194C">
        <w:rPr>
          <w:rFonts w:ascii="Times New Roman" w:hAnsi="Times New Roman" w:cs="Times New Roman"/>
          <w:i/>
          <w:iCs/>
          <w:sz w:val="24"/>
          <w:szCs w:val="24"/>
        </w:rPr>
        <w:t>Moringa oleifera</w:t>
      </w:r>
      <w:r w:rsidRPr="002B194C">
        <w:rPr>
          <w:rFonts w:ascii="Times New Roman" w:hAnsi="Times New Roman" w:cs="Times New Roman"/>
          <w:sz w:val="24"/>
          <w:szCs w:val="24"/>
        </w:rPr>
        <w:t xml:space="preserve"> leaf meal (MOLM) as a partial replacement for fish meal significantly influenced the growth performance, feed </w:t>
      </w:r>
      <w:proofErr w:type="spellStart"/>
      <w:r w:rsidRPr="002B194C">
        <w:rPr>
          <w:rFonts w:ascii="Times New Roman" w:hAnsi="Times New Roman" w:cs="Times New Roman"/>
          <w:sz w:val="24"/>
          <w:szCs w:val="24"/>
        </w:rPr>
        <w:t>utilisation</w:t>
      </w:r>
      <w:proofErr w:type="spellEnd"/>
      <w:r w:rsidRPr="002B194C">
        <w:rPr>
          <w:rFonts w:ascii="Times New Roman" w:hAnsi="Times New Roman" w:cs="Times New Roman"/>
          <w:sz w:val="24"/>
          <w:szCs w:val="24"/>
        </w:rPr>
        <w:t xml:space="preserve">, whole-body composition, and </w:t>
      </w:r>
      <w:proofErr w:type="spellStart"/>
      <w:r w:rsidRPr="002B194C">
        <w:rPr>
          <w:rFonts w:ascii="Times New Roman" w:hAnsi="Times New Roman" w:cs="Times New Roman"/>
          <w:sz w:val="24"/>
          <w:szCs w:val="24"/>
        </w:rPr>
        <w:t>haematological</w:t>
      </w:r>
      <w:proofErr w:type="spellEnd"/>
      <w:r w:rsidRPr="002B194C">
        <w:rPr>
          <w:rFonts w:ascii="Times New Roman" w:hAnsi="Times New Roman" w:cs="Times New Roman"/>
          <w:sz w:val="24"/>
          <w:szCs w:val="24"/>
        </w:rPr>
        <w:t xml:space="preserve"> status of </w:t>
      </w:r>
      <w:proofErr w:type="spellStart"/>
      <w:r w:rsidRPr="002B194C">
        <w:rPr>
          <w:rFonts w:ascii="Times New Roman" w:hAnsi="Times New Roman" w:cs="Times New Roman"/>
          <w:i/>
          <w:iCs/>
          <w:sz w:val="24"/>
          <w:szCs w:val="24"/>
        </w:rPr>
        <w:t>Labeo</w:t>
      </w:r>
      <w:proofErr w:type="spellEnd"/>
      <w:r w:rsidRPr="002B194C">
        <w:rPr>
          <w:rFonts w:ascii="Times New Roman" w:hAnsi="Times New Roman" w:cs="Times New Roman"/>
          <w:i/>
          <w:iCs/>
          <w:sz w:val="24"/>
          <w:szCs w:val="24"/>
        </w:rPr>
        <w:t xml:space="preserve"> </w:t>
      </w:r>
      <w:proofErr w:type="spellStart"/>
      <w:r w:rsidRPr="002B194C">
        <w:rPr>
          <w:rFonts w:ascii="Times New Roman" w:hAnsi="Times New Roman" w:cs="Times New Roman"/>
          <w:i/>
          <w:iCs/>
          <w:sz w:val="24"/>
          <w:szCs w:val="24"/>
        </w:rPr>
        <w:t>rohita</w:t>
      </w:r>
      <w:proofErr w:type="spellEnd"/>
      <w:r w:rsidRPr="002B194C">
        <w:rPr>
          <w:rFonts w:ascii="Times New Roman" w:hAnsi="Times New Roman" w:cs="Times New Roman"/>
          <w:sz w:val="24"/>
          <w:szCs w:val="24"/>
        </w:rPr>
        <w:t xml:space="preserve"> spawn during the nursery rearing period. Among the experimental diets, the inclusion of 15% MOLM (T3) produced the best overall performance, as evidenced by a significantly higher growth rate, improved feed conversion efficiency, enhanced protein </w:t>
      </w:r>
      <w:proofErr w:type="spellStart"/>
      <w:r w:rsidRPr="002B194C">
        <w:rPr>
          <w:rFonts w:ascii="Times New Roman" w:hAnsi="Times New Roman" w:cs="Times New Roman"/>
          <w:sz w:val="24"/>
          <w:szCs w:val="24"/>
        </w:rPr>
        <w:t>utilisation</w:t>
      </w:r>
      <w:proofErr w:type="spellEnd"/>
      <w:r w:rsidRPr="002B194C">
        <w:rPr>
          <w:rFonts w:ascii="Times New Roman" w:hAnsi="Times New Roman" w:cs="Times New Roman"/>
          <w:sz w:val="24"/>
          <w:szCs w:val="24"/>
        </w:rPr>
        <w:t xml:space="preserve">, superior whole-body nutrient composition, and improved </w:t>
      </w:r>
      <w:proofErr w:type="spellStart"/>
      <w:r w:rsidRPr="002B194C">
        <w:rPr>
          <w:rFonts w:ascii="Times New Roman" w:hAnsi="Times New Roman" w:cs="Times New Roman"/>
          <w:sz w:val="24"/>
          <w:szCs w:val="24"/>
        </w:rPr>
        <w:t>haematological</w:t>
      </w:r>
      <w:proofErr w:type="spellEnd"/>
      <w:r w:rsidRPr="002B194C">
        <w:rPr>
          <w:rFonts w:ascii="Times New Roman" w:hAnsi="Times New Roman" w:cs="Times New Roman"/>
          <w:sz w:val="24"/>
          <w:szCs w:val="24"/>
        </w:rPr>
        <w:t xml:space="preserve"> indices without adversely affecting water quality. In contrast, increasing the inclusion level to 20% resulted in reduced growth and feed </w:t>
      </w:r>
      <w:proofErr w:type="spellStart"/>
      <w:r w:rsidRPr="002B194C">
        <w:rPr>
          <w:rFonts w:ascii="Times New Roman" w:hAnsi="Times New Roman" w:cs="Times New Roman"/>
          <w:sz w:val="24"/>
          <w:szCs w:val="24"/>
        </w:rPr>
        <w:t>utilisation</w:t>
      </w:r>
      <w:proofErr w:type="spellEnd"/>
      <w:r w:rsidRPr="002B194C">
        <w:rPr>
          <w:rFonts w:ascii="Times New Roman" w:hAnsi="Times New Roman" w:cs="Times New Roman"/>
          <w:sz w:val="24"/>
          <w:szCs w:val="24"/>
        </w:rPr>
        <w:t xml:space="preserve">, suggesting that excessive incorporation of MOLM may limit nutrient </w:t>
      </w:r>
      <w:proofErr w:type="spellStart"/>
      <w:r w:rsidRPr="002B194C">
        <w:rPr>
          <w:rFonts w:ascii="Times New Roman" w:hAnsi="Times New Roman" w:cs="Times New Roman"/>
          <w:sz w:val="24"/>
          <w:szCs w:val="24"/>
        </w:rPr>
        <w:t>utilisation</w:t>
      </w:r>
      <w:proofErr w:type="spellEnd"/>
      <w:r w:rsidRPr="002B194C">
        <w:rPr>
          <w:rFonts w:ascii="Times New Roman" w:hAnsi="Times New Roman" w:cs="Times New Roman"/>
          <w:sz w:val="24"/>
          <w:szCs w:val="24"/>
        </w:rPr>
        <w:t xml:space="preserve">, possibly because of its higher </w:t>
      </w:r>
      <w:proofErr w:type="spellStart"/>
      <w:r w:rsidRPr="002B194C">
        <w:rPr>
          <w:rFonts w:ascii="Times New Roman" w:hAnsi="Times New Roman" w:cs="Times New Roman"/>
          <w:sz w:val="24"/>
          <w:szCs w:val="24"/>
        </w:rPr>
        <w:t>fibre</w:t>
      </w:r>
      <w:proofErr w:type="spellEnd"/>
      <w:r w:rsidRPr="002B194C">
        <w:rPr>
          <w:rFonts w:ascii="Times New Roman" w:hAnsi="Times New Roman" w:cs="Times New Roman"/>
          <w:sz w:val="24"/>
          <w:szCs w:val="24"/>
        </w:rPr>
        <w:t xml:space="preserve"> content and naturally occurring anti-nutritional compounds.</w:t>
      </w:r>
    </w:p>
    <w:p w14:paraId="264C644C" w14:textId="77777777" w:rsidR="00680C89" w:rsidRPr="002B194C" w:rsidRDefault="00680C89" w:rsidP="00680C89">
      <w:pPr>
        <w:spacing w:after="0"/>
        <w:jc w:val="both"/>
        <w:rPr>
          <w:rFonts w:ascii="Times New Roman" w:hAnsi="Times New Roman" w:cs="Times New Roman"/>
          <w:sz w:val="24"/>
          <w:szCs w:val="24"/>
        </w:rPr>
      </w:pPr>
      <w:r w:rsidRPr="002B194C">
        <w:rPr>
          <w:rFonts w:ascii="Times New Roman" w:hAnsi="Times New Roman" w:cs="Times New Roman"/>
          <w:sz w:val="24"/>
          <w:szCs w:val="24"/>
        </w:rPr>
        <w:t xml:space="preserve">The results indicate that the 15% dietary inclusion of </w:t>
      </w:r>
      <w:r w:rsidRPr="002B194C">
        <w:rPr>
          <w:rFonts w:ascii="Times New Roman" w:hAnsi="Times New Roman" w:cs="Times New Roman"/>
          <w:i/>
          <w:iCs/>
          <w:sz w:val="24"/>
          <w:szCs w:val="24"/>
        </w:rPr>
        <w:t>M. oleifera</w:t>
      </w:r>
      <w:r w:rsidRPr="002B194C">
        <w:rPr>
          <w:rFonts w:ascii="Times New Roman" w:hAnsi="Times New Roman" w:cs="Times New Roman"/>
          <w:sz w:val="24"/>
          <w:szCs w:val="24"/>
        </w:rPr>
        <w:t xml:space="preserve"> leaf meal can effectively replace a portion of fish meal in nursery diets for </w:t>
      </w:r>
      <w:r w:rsidRPr="002B194C">
        <w:rPr>
          <w:rFonts w:ascii="Times New Roman" w:hAnsi="Times New Roman" w:cs="Times New Roman"/>
          <w:i/>
          <w:iCs/>
          <w:sz w:val="24"/>
          <w:szCs w:val="24"/>
        </w:rPr>
        <w:t xml:space="preserve">L. </w:t>
      </w:r>
      <w:proofErr w:type="spellStart"/>
      <w:r w:rsidRPr="002B194C">
        <w:rPr>
          <w:rFonts w:ascii="Times New Roman" w:hAnsi="Times New Roman" w:cs="Times New Roman"/>
          <w:i/>
          <w:iCs/>
          <w:sz w:val="24"/>
          <w:szCs w:val="24"/>
        </w:rPr>
        <w:t>rohita</w:t>
      </w:r>
      <w:proofErr w:type="spellEnd"/>
      <w:r w:rsidRPr="002B194C">
        <w:rPr>
          <w:rFonts w:ascii="Times New Roman" w:hAnsi="Times New Roman" w:cs="Times New Roman"/>
          <w:sz w:val="24"/>
          <w:szCs w:val="24"/>
        </w:rPr>
        <w:t xml:space="preserve"> spawn while maintaining fish health and culture-water quality. This strategy has the potential to reduce dependence on conventional fish meal, lower feed costs, and promote the use of sustainable plant-based protein resources in carp aquaculture. Therefore, </w:t>
      </w:r>
      <w:r w:rsidRPr="002B194C">
        <w:rPr>
          <w:rFonts w:ascii="Times New Roman" w:hAnsi="Times New Roman" w:cs="Times New Roman"/>
          <w:i/>
          <w:iCs/>
          <w:sz w:val="24"/>
          <w:szCs w:val="24"/>
        </w:rPr>
        <w:t>M. oleifera</w:t>
      </w:r>
      <w:r w:rsidRPr="002B194C">
        <w:rPr>
          <w:rFonts w:ascii="Times New Roman" w:hAnsi="Times New Roman" w:cs="Times New Roman"/>
          <w:sz w:val="24"/>
          <w:szCs w:val="24"/>
        </w:rPr>
        <w:t xml:space="preserve"> leaf meal represents a promising, economical, and environmentally sustainable feed ingredient for the nursery production of Indian major carp.</w:t>
      </w:r>
    </w:p>
    <w:p w14:paraId="5BB08F33" w14:textId="77777777" w:rsidR="00680C89" w:rsidRDefault="00680C89" w:rsidP="00680C89">
      <w:pPr>
        <w:spacing w:after="0"/>
        <w:jc w:val="both"/>
        <w:rPr>
          <w:rFonts w:ascii="Times New Roman" w:hAnsi="Times New Roman" w:cs="Times New Roman"/>
          <w:sz w:val="24"/>
          <w:szCs w:val="24"/>
        </w:rPr>
      </w:pPr>
      <w:r w:rsidRPr="002B194C">
        <w:rPr>
          <w:rFonts w:ascii="Times New Roman" w:hAnsi="Times New Roman" w:cs="Times New Roman"/>
          <w:sz w:val="24"/>
          <w:szCs w:val="24"/>
        </w:rPr>
        <w:t xml:space="preserve">Further studies should investigate the long-term effects of MOLM supplementation under grow-out culture conditions, evaluate its influence on digestive enzyme activity, gut health, nutrient digestibility, and muscle amino acid and fatty acid composition, and assess its economic feasibility under commercial farming conditions. Such investigations will provide a more </w:t>
      </w:r>
      <w:r w:rsidRPr="002B194C">
        <w:rPr>
          <w:rFonts w:ascii="Times New Roman" w:hAnsi="Times New Roman" w:cs="Times New Roman"/>
          <w:sz w:val="24"/>
          <w:szCs w:val="24"/>
        </w:rPr>
        <w:lastRenderedPageBreak/>
        <w:t xml:space="preserve">comprehensive understanding of the nutritional potential of </w:t>
      </w:r>
      <w:r w:rsidRPr="002B194C">
        <w:rPr>
          <w:rFonts w:ascii="Times New Roman" w:hAnsi="Times New Roman" w:cs="Times New Roman"/>
          <w:i/>
          <w:iCs/>
          <w:sz w:val="24"/>
          <w:szCs w:val="24"/>
        </w:rPr>
        <w:t>M. oleifera</w:t>
      </w:r>
      <w:r w:rsidRPr="002B194C">
        <w:rPr>
          <w:rFonts w:ascii="Times New Roman" w:hAnsi="Times New Roman" w:cs="Times New Roman"/>
          <w:sz w:val="24"/>
          <w:szCs w:val="24"/>
        </w:rPr>
        <w:t xml:space="preserve"> and facilitate its wider application as a sustainable alternative protein source in aquafeed formulations.</w:t>
      </w:r>
    </w:p>
    <w:p w14:paraId="645DCE2B" w14:textId="77777777" w:rsidR="00007021" w:rsidRDefault="00007021" w:rsidP="00680C89">
      <w:pPr>
        <w:spacing w:after="0"/>
        <w:jc w:val="both"/>
        <w:rPr>
          <w:rFonts w:ascii="Times New Roman" w:hAnsi="Times New Roman" w:cs="Times New Roman"/>
          <w:sz w:val="24"/>
          <w:szCs w:val="24"/>
        </w:rPr>
      </w:pPr>
    </w:p>
    <w:p w14:paraId="6276A960" w14:textId="131D68A1" w:rsidR="00007021" w:rsidRPr="00007021" w:rsidRDefault="00007021" w:rsidP="00007021">
      <w:pPr>
        <w:spacing w:after="0"/>
        <w:jc w:val="both"/>
        <w:rPr>
          <w:rFonts w:ascii="Times New Roman" w:hAnsi="Times New Roman" w:cs="Times New Roman"/>
          <w:b/>
          <w:bCs/>
          <w:sz w:val="24"/>
          <w:szCs w:val="24"/>
        </w:rPr>
      </w:pPr>
      <w:r w:rsidRPr="00007021">
        <w:rPr>
          <w:rFonts w:ascii="Times New Roman" w:hAnsi="Times New Roman" w:cs="Times New Roman"/>
          <w:b/>
          <w:bCs/>
          <w:sz w:val="24"/>
          <w:szCs w:val="24"/>
        </w:rPr>
        <w:t>Limitation</w:t>
      </w:r>
    </w:p>
    <w:p w14:paraId="032655A7" w14:textId="77777777" w:rsidR="00007021" w:rsidRPr="00007021" w:rsidRDefault="00007021" w:rsidP="00007021">
      <w:pPr>
        <w:spacing w:after="0"/>
        <w:jc w:val="both"/>
        <w:rPr>
          <w:rFonts w:ascii="Times New Roman" w:hAnsi="Times New Roman" w:cs="Times New Roman"/>
          <w:sz w:val="24"/>
          <w:szCs w:val="24"/>
        </w:rPr>
      </w:pPr>
      <w:r w:rsidRPr="00007021">
        <w:rPr>
          <w:rFonts w:ascii="Times New Roman" w:hAnsi="Times New Roman" w:cs="Times New Roman"/>
          <w:sz w:val="24"/>
          <w:szCs w:val="24"/>
        </w:rPr>
        <w:t xml:space="preserve">The study was limited to a 20-day laboratory trial using one source of </w:t>
      </w:r>
      <w:proofErr w:type="spellStart"/>
      <w:r w:rsidRPr="00007021">
        <w:rPr>
          <w:rFonts w:ascii="Times New Roman" w:hAnsi="Times New Roman" w:cs="Times New Roman"/>
          <w:i/>
          <w:iCs/>
          <w:sz w:val="24"/>
          <w:szCs w:val="24"/>
        </w:rPr>
        <w:t>Labeo</w:t>
      </w:r>
      <w:proofErr w:type="spellEnd"/>
      <w:r w:rsidRPr="00007021">
        <w:rPr>
          <w:rFonts w:ascii="Times New Roman" w:hAnsi="Times New Roman" w:cs="Times New Roman"/>
          <w:i/>
          <w:iCs/>
          <w:sz w:val="24"/>
          <w:szCs w:val="24"/>
        </w:rPr>
        <w:t xml:space="preserve"> </w:t>
      </w:r>
      <w:proofErr w:type="spellStart"/>
      <w:r w:rsidRPr="00007021">
        <w:rPr>
          <w:rFonts w:ascii="Times New Roman" w:hAnsi="Times New Roman" w:cs="Times New Roman"/>
          <w:i/>
          <w:iCs/>
          <w:sz w:val="24"/>
          <w:szCs w:val="24"/>
        </w:rPr>
        <w:t>rohita</w:t>
      </w:r>
      <w:proofErr w:type="spellEnd"/>
      <w:r w:rsidRPr="00007021">
        <w:rPr>
          <w:rFonts w:ascii="Times New Roman" w:hAnsi="Times New Roman" w:cs="Times New Roman"/>
          <w:sz w:val="24"/>
          <w:szCs w:val="24"/>
        </w:rPr>
        <w:t xml:space="preserve"> spawn and three replicates per treatment. Digestibility, anti-nutritional factors, digestive enzymes, gut condition, immune responses, and economic performance were not directly assessed. Consequently, the findings describe short-term nursery responses under controlled conditions and should not be </w:t>
      </w:r>
      <w:proofErr w:type="spellStart"/>
      <w:r w:rsidRPr="00007021">
        <w:rPr>
          <w:rFonts w:ascii="Times New Roman" w:hAnsi="Times New Roman" w:cs="Times New Roman"/>
          <w:sz w:val="24"/>
          <w:szCs w:val="24"/>
        </w:rPr>
        <w:t>generalised</w:t>
      </w:r>
      <w:proofErr w:type="spellEnd"/>
      <w:r w:rsidRPr="00007021">
        <w:rPr>
          <w:rFonts w:ascii="Times New Roman" w:hAnsi="Times New Roman" w:cs="Times New Roman"/>
          <w:sz w:val="24"/>
          <w:szCs w:val="24"/>
        </w:rPr>
        <w:t xml:space="preserve"> to longer grow-out periods or commercial production systems without further validation.</w:t>
      </w:r>
    </w:p>
    <w:p w14:paraId="1A800D0D" w14:textId="77777777" w:rsidR="00007021" w:rsidRPr="002B194C" w:rsidRDefault="00007021" w:rsidP="00680C89">
      <w:pPr>
        <w:spacing w:after="0"/>
        <w:jc w:val="both"/>
        <w:rPr>
          <w:rFonts w:ascii="Times New Roman" w:hAnsi="Times New Roman" w:cs="Times New Roman"/>
          <w:sz w:val="24"/>
          <w:szCs w:val="24"/>
        </w:rPr>
      </w:pPr>
    </w:p>
    <w:p w14:paraId="1F727E55" w14:textId="77777777" w:rsidR="00D94B8C" w:rsidRPr="002B194C" w:rsidRDefault="00D94B8C" w:rsidP="00680C89">
      <w:pPr>
        <w:spacing w:after="0"/>
        <w:jc w:val="both"/>
        <w:rPr>
          <w:rFonts w:ascii="Times New Roman" w:hAnsi="Times New Roman" w:cs="Times New Roman"/>
          <w:sz w:val="24"/>
          <w:szCs w:val="24"/>
        </w:rPr>
      </w:pPr>
    </w:p>
    <w:p w14:paraId="06653E73" w14:textId="77777777" w:rsidR="00D94B8C" w:rsidRPr="002B194C" w:rsidRDefault="00D94B8C" w:rsidP="00680C89">
      <w:pPr>
        <w:spacing w:after="0"/>
        <w:jc w:val="both"/>
        <w:rPr>
          <w:rFonts w:ascii="Times New Roman" w:hAnsi="Times New Roman" w:cs="Times New Roman"/>
          <w:sz w:val="24"/>
          <w:szCs w:val="24"/>
        </w:rPr>
      </w:pPr>
    </w:p>
    <w:p w14:paraId="751984C3" w14:textId="77777777" w:rsidR="00D94B8C" w:rsidRPr="00E51FE9" w:rsidRDefault="00D94B8C" w:rsidP="00D94B8C">
      <w:pPr>
        <w:spacing w:after="0"/>
        <w:jc w:val="both"/>
        <w:rPr>
          <w:rFonts w:ascii="Times New Roman" w:hAnsi="Times New Roman" w:cs="Times New Roman"/>
          <w:b/>
          <w:bCs/>
          <w:sz w:val="24"/>
          <w:szCs w:val="24"/>
        </w:rPr>
      </w:pPr>
      <w:r w:rsidRPr="00E51FE9">
        <w:rPr>
          <w:rFonts w:ascii="Times New Roman" w:hAnsi="Times New Roman" w:cs="Times New Roman"/>
          <w:b/>
          <w:bCs/>
          <w:sz w:val="24"/>
          <w:szCs w:val="24"/>
        </w:rPr>
        <w:t xml:space="preserve">Conflict of Interest </w:t>
      </w:r>
    </w:p>
    <w:p w14:paraId="6F071583" w14:textId="77777777" w:rsidR="00D94B8C" w:rsidRPr="002B194C" w:rsidRDefault="00D94B8C" w:rsidP="00D94B8C">
      <w:pPr>
        <w:spacing w:after="0"/>
        <w:jc w:val="both"/>
        <w:rPr>
          <w:rFonts w:ascii="Times New Roman" w:hAnsi="Times New Roman" w:cs="Times New Roman"/>
          <w:sz w:val="24"/>
          <w:szCs w:val="24"/>
        </w:rPr>
      </w:pPr>
      <w:r w:rsidRPr="002B194C">
        <w:rPr>
          <w:rFonts w:ascii="Times New Roman" w:hAnsi="Times New Roman" w:cs="Times New Roman"/>
          <w:sz w:val="24"/>
          <w:szCs w:val="24"/>
        </w:rPr>
        <w:t>There is no conflict of interest between authors regarding the publication of this manuscript.</w:t>
      </w:r>
    </w:p>
    <w:p w14:paraId="7DD13959" w14:textId="77777777" w:rsidR="00D94B8C" w:rsidRPr="002B194C" w:rsidRDefault="00D94B8C" w:rsidP="00D94B8C">
      <w:pPr>
        <w:spacing w:after="0"/>
        <w:jc w:val="both"/>
        <w:rPr>
          <w:rFonts w:ascii="Times New Roman" w:hAnsi="Times New Roman" w:cs="Times New Roman"/>
          <w:sz w:val="24"/>
          <w:szCs w:val="24"/>
        </w:rPr>
      </w:pPr>
      <w:r w:rsidRPr="002B194C">
        <w:rPr>
          <w:rFonts w:ascii="Times New Roman" w:hAnsi="Times New Roman" w:cs="Times New Roman"/>
          <w:sz w:val="24"/>
          <w:szCs w:val="24"/>
        </w:rPr>
        <w:tab/>
      </w:r>
    </w:p>
    <w:p w14:paraId="5E9207C9" w14:textId="77777777" w:rsidR="00D94B8C" w:rsidRPr="00E51FE9" w:rsidRDefault="00D94B8C" w:rsidP="00D94B8C">
      <w:pPr>
        <w:spacing w:after="0"/>
        <w:jc w:val="both"/>
        <w:rPr>
          <w:rFonts w:ascii="Times New Roman" w:hAnsi="Times New Roman" w:cs="Times New Roman"/>
          <w:b/>
          <w:bCs/>
          <w:sz w:val="24"/>
          <w:szCs w:val="24"/>
        </w:rPr>
      </w:pPr>
      <w:r w:rsidRPr="00E51FE9">
        <w:rPr>
          <w:rFonts w:ascii="Times New Roman" w:hAnsi="Times New Roman" w:cs="Times New Roman"/>
          <w:b/>
          <w:bCs/>
          <w:sz w:val="24"/>
          <w:szCs w:val="24"/>
        </w:rPr>
        <w:t>Acknowledgements</w:t>
      </w:r>
    </w:p>
    <w:p w14:paraId="23419EFC" w14:textId="77777777" w:rsidR="00D94B8C" w:rsidRPr="002B194C" w:rsidRDefault="00D94B8C" w:rsidP="00D94B8C">
      <w:pPr>
        <w:spacing w:after="0"/>
        <w:jc w:val="both"/>
        <w:rPr>
          <w:rFonts w:ascii="Times New Roman" w:hAnsi="Times New Roman" w:cs="Times New Roman"/>
          <w:sz w:val="24"/>
          <w:szCs w:val="24"/>
        </w:rPr>
      </w:pPr>
      <w:r w:rsidRPr="002B194C">
        <w:rPr>
          <w:rFonts w:ascii="Times New Roman" w:hAnsi="Times New Roman" w:cs="Times New Roman"/>
          <w:sz w:val="24"/>
          <w:szCs w:val="24"/>
        </w:rPr>
        <w:t>The authors sincerely acknowledge the support of the College of Fisheries and Acharya Narendra Dev University of Agriculture and Technology in providing the facilities required to conduct this research.</w:t>
      </w:r>
    </w:p>
    <w:p w14:paraId="277CF1C8" w14:textId="77777777" w:rsidR="00D94B8C" w:rsidRPr="002B194C" w:rsidRDefault="00D94B8C" w:rsidP="00D94B8C">
      <w:pPr>
        <w:spacing w:after="0"/>
        <w:jc w:val="both"/>
        <w:rPr>
          <w:rFonts w:ascii="Times New Roman" w:hAnsi="Times New Roman" w:cs="Times New Roman"/>
          <w:sz w:val="24"/>
          <w:szCs w:val="24"/>
        </w:rPr>
      </w:pPr>
    </w:p>
    <w:p w14:paraId="7F543D06" w14:textId="77777777" w:rsidR="00D94B8C" w:rsidRPr="00E51FE9" w:rsidRDefault="00D94B8C" w:rsidP="00D94B8C">
      <w:pPr>
        <w:spacing w:after="0"/>
        <w:jc w:val="both"/>
        <w:rPr>
          <w:rFonts w:ascii="Times New Roman" w:hAnsi="Times New Roman" w:cs="Times New Roman"/>
          <w:b/>
          <w:bCs/>
          <w:sz w:val="24"/>
          <w:szCs w:val="24"/>
        </w:rPr>
      </w:pPr>
      <w:r w:rsidRPr="00E51FE9">
        <w:rPr>
          <w:rFonts w:ascii="Times New Roman" w:hAnsi="Times New Roman" w:cs="Times New Roman"/>
          <w:b/>
          <w:bCs/>
          <w:sz w:val="24"/>
          <w:szCs w:val="24"/>
        </w:rPr>
        <w:t xml:space="preserve">Authors' Contribution    </w:t>
      </w:r>
    </w:p>
    <w:p w14:paraId="5DB6184C" w14:textId="77777777" w:rsidR="00D94B8C" w:rsidRPr="002B194C" w:rsidRDefault="00D94B8C" w:rsidP="00D94B8C">
      <w:pPr>
        <w:spacing w:after="0"/>
        <w:jc w:val="both"/>
        <w:rPr>
          <w:rFonts w:ascii="Times New Roman" w:hAnsi="Times New Roman" w:cs="Times New Roman"/>
          <w:sz w:val="24"/>
          <w:szCs w:val="24"/>
        </w:rPr>
      </w:pPr>
      <w:r w:rsidRPr="002B194C">
        <w:rPr>
          <w:rFonts w:ascii="Times New Roman" w:hAnsi="Times New Roman" w:cs="Times New Roman"/>
          <w:sz w:val="24"/>
          <w:szCs w:val="24"/>
        </w:rPr>
        <w:t xml:space="preserve">Puneet Kumar Patel designed the study and contributed to data collection, analysis, and manuscript preparation. Shashank Singh and Laxmi Prasad </w:t>
      </w:r>
      <w:proofErr w:type="spellStart"/>
      <w:r w:rsidRPr="002B194C">
        <w:rPr>
          <w:rFonts w:ascii="Times New Roman" w:hAnsi="Times New Roman" w:cs="Times New Roman"/>
          <w:sz w:val="24"/>
          <w:szCs w:val="24"/>
        </w:rPr>
        <w:t>conceptualised</w:t>
      </w:r>
      <w:proofErr w:type="spellEnd"/>
      <w:r w:rsidRPr="002B194C">
        <w:rPr>
          <w:rFonts w:ascii="Times New Roman" w:hAnsi="Times New Roman" w:cs="Times New Roman"/>
          <w:sz w:val="24"/>
          <w:szCs w:val="24"/>
        </w:rPr>
        <w:t xml:space="preserve"> the study and reviewed and approved the final manuscript. Dinesh Kumar contributed to manuscript preparation. C. P. Singh and V. K. Singh reviewed and approved the final manuscript. Suman Dey and Ajay Kumar Yadav contributed to data analysis and statistical interpretation. </w:t>
      </w:r>
      <w:proofErr w:type="spellStart"/>
      <w:r w:rsidRPr="002B194C">
        <w:rPr>
          <w:rFonts w:ascii="Times New Roman" w:hAnsi="Times New Roman" w:cs="Times New Roman"/>
          <w:sz w:val="24"/>
          <w:szCs w:val="24"/>
        </w:rPr>
        <w:t>Lavkush</w:t>
      </w:r>
      <w:proofErr w:type="spellEnd"/>
      <w:r w:rsidRPr="002B194C">
        <w:rPr>
          <w:rFonts w:ascii="Times New Roman" w:hAnsi="Times New Roman" w:cs="Times New Roman"/>
          <w:sz w:val="24"/>
          <w:szCs w:val="24"/>
        </w:rPr>
        <w:t xml:space="preserve">, </w:t>
      </w:r>
      <w:proofErr w:type="spellStart"/>
      <w:r w:rsidRPr="002B194C">
        <w:rPr>
          <w:rFonts w:ascii="Times New Roman" w:hAnsi="Times New Roman" w:cs="Times New Roman"/>
          <w:sz w:val="24"/>
          <w:szCs w:val="24"/>
        </w:rPr>
        <w:t>Mitrasen</w:t>
      </w:r>
      <w:proofErr w:type="spellEnd"/>
      <w:r w:rsidRPr="002B194C">
        <w:rPr>
          <w:rFonts w:ascii="Times New Roman" w:hAnsi="Times New Roman" w:cs="Times New Roman"/>
          <w:sz w:val="24"/>
          <w:szCs w:val="24"/>
        </w:rPr>
        <w:t xml:space="preserve"> Maurya, and </w:t>
      </w:r>
      <w:proofErr w:type="spellStart"/>
      <w:r w:rsidRPr="002B194C">
        <w:rPr>
          <w:rFonts w:ascii="Times New Roman" w:hAnsi="Times New Roman" w:cs="Times New Roman"/>
          <w:sz w:val="24"/>
          <w:szCs w:val="24"/>
        </w:rPr>
        <w:t>Pullagura</w:t>
      </w:r>
      <w:proofErr w:type="spellEnd"/>
      <w:r w:rsidRPr="002B194C">
        <w:rPr>
          <w:rFonts w:ascii="Times New Roman" w:hAnsi="Times New Roman" w:cs="Times New Roman"/>
          <w:sz w:val="24"/>
          <w:szCs w:val="24"/>
        </w:rPr>
        <w:t xml:space="preserve"> Siva Nagendra contributed to manuscript preparation and statistical analysis.</w:t>
      </w:r>
    </w:p>
    <w:p w14:paraId="2DCF0509" w14:textId="77777777" w:rsidR="00D94B8C" w:rsidRPr="002B194C" w:rsidRDefault="00D94B8C" w:rsidP="00D94B8C">
      <w:pPr>
        <w:spacing w:after="0"/>
        <w:jc w:val="both"/>
        <w:rPr>
          <w:rFonts w:ascii="Times New Roman" w:hAnsi="Times New Roman" w:cs="Times New Roman"/>
          <w:sz w:val="24"/>
          <w:szCs w:val="24"/>
        </w:rPr>
      </w:pPr>
    </w:p>
    <w:p w14:paraId="7A00F38C" w14:textId="77777777" w:rsidR="00D94B8C" w:rsidRPr="00E51FE9" w:rsidRDefault="00D94B8C" w:rsidP="00D94B8C">
      <w:pPr>
        <w:spacing w:after="0"/>
        <w:jc w:val="both"/>
        <w:rPr>
          <w:rFonts w:ascii="Times New Roman" w:hAnsi="Times New Roman" w:cs="Times New Roman"/>
          <w:b/>
          <w:bCs/>
          <w:sz w:val="24"/>
          <w:szCs w:val="24"/>
        </w:rPr>
      </w:pPr>
      <w:r w:rsidRPr="00E51FE9">
        <w:rPr>
          <w:rFonts w:ascii="Times New Roman" w:hAnsi="Times New Roman" w:cs="Times New Roman"/>
          <w:b/>
          <w:bCs/>
          <w:sz w:val="24"/>
          <w:szCs w:val="24"/>
        </w:rPr>
        <w:t>Declaration of AI Use</w:t>
      </w:r>
    </w:p>
    <w:p w14:paraId="118C346E" w14:textId="77777777" w:rsidR="00D94B8C" w:rsidRDefault="00D94B8C" w:rsidP="00D94B8C">
      <w:pPr>
        <w:spacing w:after="0"/>
        <w:jc w:val="both"/>
        <w:rPr>
          <w:rFonts w:ascii="Times New Roman" w:hAnsi="Times New Roman" w:cs="Times New Roman"/>
          <w:sz w:val="24"/>
          <w:szCs w:val="24"/>
        </w:rPr>
      </w:pPr>
      <w:r w:rsidRPr="002B194C">
        <w:rPr>
          <w:rFonts w:ascii="Times New Roman" w:hAnsi="Times New Roman" w:cs="Times New Roman"/>
          <w:sz w:val="24"/>
          <w:szCs w:val="24"/>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E17CA8E" w14:textId="77777777" w:rsidR="00127780" w:rsidRDefault="00127780" w:rsidP="00D94B8C">
      <w:pPr>
        <w:spacing w:after="0"/>
        <w:jc w:val="both"/>
        <w:rPr>
          <w:rFonts w:ascii="Times New Roman" w:hAnsi="Times New Roman" w:cs="Times New Roman"/>
          <w:sz w:val="24"/>
          <w:szCs w:val="24"/>
        </w:rPr>
      </w:pPr>
    </w:p>
    <w:p w14:paraId="48D1E2DA" w14:textId="77777777" w:rsidR="00127780" w:rsidRDefault="00127780" w:rsidP="00D94B8C">
      <w:pPr>
        <w:spacing w:after="0"/>
        <w:jc w:val="both"/>
        <w:rPr>
          <w:rFonts w:ascii="Times New Roman" w:hAnsi="Times New Roman" w:cs="Times New Roman"/>
          <w:sz w:val="24"/>
          <w:szCs w:val="24"/>
        </w:rPr>
      </w:pPr>
    </w:p>
    <w:p w14:paraId="2A75648C" w14:textId="77777777" w:rsidR="00127780" w:rsidRPr="00127780" w:rsidRDefault="00127780" w:rsidP="00127780">
      <w:pPr>
        <w:spacing w:after="0"/>
        <w:jc w:val="both"/>
        <w:rPr>
          <w:rFonts w:ascii="Times New Roman" w:hAnsi="Times New Roman" w:cs="Times New Roman"/>
          <w:sz w:val="24"/>
          <w:szCs w:val="24"/>
        </w:rPr>
      </w:pPr>
      <w:r w:rsidRPr="00127780">
        <w:rPr>
          <w:rFonts w:ascii="Times New Roman" w:hAnsi="Times New Roman" w:cs="Times New Roman"/>
          <w:sz w:val="24"/>
          <w:szCs w:val="24"/>
        </w:rPr>
        <w:t>Ethical Approval</w:t>
      </w:r>
    </w:p>
    <w:p w14:paraId="3486D80A" w14:textId="749F266E" w:rsidR="00127780" w:rsidRPr="002B194C" w:rsidRDefault="00127780" w:rsidP="00127780">
      <w:pPr>
        <w:spacing w:after="0"/>
        <w:jc w:val="both"/>
        <w:rPr>
          <w:rFonts w:ascii="Times New Roman" w:hAnsi="Times New Roman" w:cs="Times New Roman"/>
          <w:sz w:val="24"/>
          <w:szCs w:val="24"/>
        </w:rPr>
      </w:pPr>
      <w:r w:rsidRPr="00127780">
        <w:rPr>
          <w:rFonts w:ascii="Times New Roman" w:hAnsi="Times New Roman" w:cs="Times New Roman"/>
          <w:sz w:val="24"/>
          <w:szCs w:val="24"/>
        </w:rPr>
        <w:t>Animal Ethic committee approval has been collected and preserved by the author(s)</w:t>
      </w:r>
    </w:p>
    <w:p w14:paraId="4AC40919" w14:textId="77777777" w:rsidR="00D94B8C" w:rsidRPr="002B194C" w:rsidRDefault="00D94B8C" w:rsidP="00D94B8C">
      <w:pPr>
        <w:spacing w:after="0"/>
        <w:jc w:val="both"/>
        <w:rPr>
          <w:rFonts w:ascii="Times New Roman" w:hAnsi="Times New Roman" w:cs="Times New Roman"/>
          <w:sz w:val="24"/>
          <w:szCs w:val="24"/>
        </w:rPr>
      </w:pPr>
    </w:p>
    <w:p w14:paraId="5D9DD334" w14:textId="77777777" w:rsidR="00D94B8C" w:rsidRPr="002B194C" w:rsidRDefault="00D94B8C" w:rsidP="00D94B8C">
      <w:pPr>
        <w:spacing w:after="0"/>
        <w:jc w:val="both"/>
        <w:rPr>
          <w:rFonts w:ascii="Times New Roman" w:hAnsi="Times New Roman" w:cs="Times New Roman"/>
          <w:sz w:val="24"/>
          <w:szCs w:val="24"/>
        </w:rPr>
      </w:pPr>
    </w:p>
    <w:p w14:paraId="0ABC6AE7" w14:textId="77777777" w:rsidR="002D63DF" w:rsidRPr="002B194C" w:rsidRDefault="009C7694" w:rsidP="002D63DF">
      <w:pPr>
        <w:spacing w:after="0"/>
        <w:jc w:val="both"/>
        <w:rPr>
          <w:rFonts w:ascii="Times New Roman" w:hAnsi="Times New Roman" w:cs="Times New Roman"/>
          <w:b/>
          <w:bCs/>
          <w:sz w:val="24"/>
          <w:szCs w:val="24"/>
        </w:rPr>
      </w:pPr>
      <w:r w:rsidRPr="002B194C">
        <w:rPr>
          <w:rFonts w:ascii="Times New Roman" w:hAnsi="Times New Roman" w:cs="Times New Roman"/>
          <w:b/>
          <w:bCs/>
          <w:sz w:val="24"/>
          <w:szCs w:val="24"/>
        </w:rPr>
        <w:t>6. References</w:t>
      </w:r>
    </w:p>
    <w:p w14:paraId="795DE0CD" w14:textId="77777777" w:rsidR="00163EB8" w:rsidRPr="002B194C" w:rsidRDefault="00000000">
      <w:pPr>
        <w:pStyle w:val="NormalWeb"/>
        <w:spacing w:before="0" w:after="0"/>
        <w:ind w:left="720" w:hanging="720"/>
      </w:pPr>
      <w:r w:rsidRPr="002B194C">
        <w:t xml:space="preserve">Abdel-Latif, H. M. R., Abdel-Daim, M. M., </w:t>
      </w:r>
      <w:proofErr w:type="spellStart"/>
      <w:r w:rsidRPr="002B194C">
        <w:t>Shukry</w:t>
      </w:r>
      <w:proofErr w:type="spellEnd"/>
      <w:r w:rsidRPr="002B194C">
        <w:t xml:space="preserve">, M., Nowosad, J., &amp; Kucharczyk, D. (2022). Benefits and applications of </w:t>
      </w:r>
      <w:r w:rsidRPr="002B194C">
        <w:rPr>
          <w:i/>
        </w:rPr>
        <w:t>Moringa oleifera</w:t>
      </w:r>
      <w:r w:rsidRPr="002B194C">
        <w:t xml:space="preserve"> as a plant protein source in aquafeed: A review. </w:t>
      </w:r>
      <w:r w:rsidRPr="002B194C">
        <w:rPr>
          <w:i/>
        </w:rPr>
        <w:t>Aquaculture, 547</w:t>
      </w:r>
      <w:r w:rsidRPr="002B194C">
        <w:t xml:space="preserve">, 737369. </w:t>
      </w:r>
      <w:hyperlink r:id="rId9">
        <w:r w:rsidR="00163EB8" w:rsidRPr="002B194C">
          <w:rPr>
            <w:color w:val="000000"/>
          </w:rPr>
          <w:t>https://doi.org/10.1016/j.aquaculture.2021.737369</w:t>
        </w:r>
      </w:hyperlink>
    </w:p>
    <w:p w14:paraId="21862437" w14:textId="77777777" w:rsidR="00163EB8" w:rsidRPr="002B194C" w:rsidRDefault="00000000">
      <w:pPr>
        <w:pStyle w:val="NormalWeb"/>
        <w:spacing w:before="0" w:after="0"/>
        <w:ind w:left="720" w:hanging="720"/>
      </w:pPr>
      <w:r w:rsidRPr="002B194C">
        <w:t xml:space="preserve">Adeshina, I., Sani, R. A., Adewale, Y. A., Tiamiyu, L. O., &amp; Umma, S. B. (2018). Effects of dietary </w:t>
      </w:r>
      <w:r w:rsidRPr="002B194C">
        <w:rPr>
          <w:i/>
        </w:rPr>
        <w:t>Moringa oleifera</w:t>
      </w:r>
      <w:r w:rsidRPr="002B194C">
        <w:t xml:space="preserve"> leaf meal as a replacement for soybean meal on growth, body composition, and health status in </w:t>
      </w:r>
      <w:r w:rsidRPr="002B194C">
        <w:rPr>
          <w:i/>
        </w:rPr>
        <w:t>Cyprinus carpio</w:t>
      </w:r>
      <w:r w:rsidRPr="002B194C">
        <w:t xml:space="preserve"> juveniles. </w:t>
      </w:r>
      <w:r w:rsidRPr="002B194C">
        <w:rPr>
          <w:i/>
        </w:rPr>
        <w:t>Croatian Journal of Fisheries, 76</w:t>
      </w:r>
      <w:r w:rsidRPr="002B194C">
        <w:t xml:space="preserve">(4), 174–182. </w:t>
      </w:r>
      <w:hyperlink r:id="rId10">
        <w:r w:rsidR="00163EB8" w:rsidRPr="002B194C">
          <w:rPr>
            <w:color w:val="000000"/>
          </w:rPr>
          <w:t>https://doi.org/10.2478/cjf-2018-0021</w:t>
        </w:r>
      </w:hyperlink>
    </w:p>
    <w:p w14:paraId="322822AE" w14:textId="77777777" w:rsidR="00163EB8" w:rsidRPr="002B194C" w:rsidRDefault="00000000">
      <w:pPr>
        <w:pStyle w:val="NormalWeb"/>
        <w:spacing w:before="0" w:after="0"/>
        <w:ind w:left="720" w:hanging="720"/>
      </w:pPr>
      <w:proofErr w:type="spellStart"/>
      <w:r w:rsidRPr="002B194C">
        <w:t>Afuang</w:t>
      </w:r>
      <w:proofErr w:type="spellEnd"/>
      <w:r w:rsidRPr="002B194C">
        <w:t xml:space="preserve">, W., </w:t>
      </w:r>
      <w:proofErr w:type="spellStart"/>
      <w:r w:rsidRPr="002B194C">
        <w:t>Siddhuraju</w:t>
      </w:r>
      <w:proofErr w:type="spellEnd"/>
      <w:r w:rsidRPr="002B194C">
        <w:t>, P., &amp; Becker, K. (2003). Comparative nutritional evaluation of raw, methanol-extracted residues and methanol extracts of moringa (</w:t>
      </w:r>
      <w:r w:rsidRPr="002B194C">
        <w:rPr>
          <w:i/>
        </w:rPr>
        <w:t>Moringa oleifera</w:t>
      </w:r>
      <w:r w:rsidRPr="002B194C">
        <w:t xml:space="preserve"> Lam.) leaves on growth performance and feed utilization in Nile tilapia (</w:t>
      </w:r>
      <w:r w:rsidRPr="002B194C">
        <w:rPr>
          <w:i/>
        </w:rPr>
        <w:t>Oreochromis niloticus</w:t>
      </w:r>
      <w:r w:rsidRPr="002B194C">
        <w:t xml:space="preserve"> L.). </w:t>
      </w:r>
      <w:r w:rsidRPr="002B194C">
        <w:rPr>
          <w:i/>
        </w:rPr>
        <w:t>Aquaculture Research, 34</w:t>
      </w:r>
      <w:r w:rsidRPr="002B194C">
        <w:t xml:space="preserve">(13), 1147–1159. </w:t>
      </w:r>
      <w:hyperlink r:id="rId11">
        <w:r w:rsidR="00163EB8" w:rsidRPr="002B194C">
          <w:rPr>
            <w:color w:val="000000"/>
          </w:rPr>
          <w:t>https://doi.org/10.1046/j.1365-2109.2003.00920.x</w:t>
        </w:r>
      </w:hyperlink>
    </w:p>
    <w:p w14:paraId="48C738BD" w14:textId="77777777" w:rsidR="00163EB8" w:rsidRPr="002B194C" w:rsidRDefault="00000000">
      <w:pPr>
        <w:pStyle w:val="NormalWeb"/>
        <w:spacing w:before="0" w:after="0"/>
        <w:ind w:left="720" w:hanging="720"/>
      </w:pPr>
      <w:r w:rsidRPr="002B194C">
        <w:t xml:space="preserve">AOAC International. (2019). </w:t>
      </w:r>
      <w:r w:rsidRPr="002B194C">
        <w:rPr>
          <w:i/>
        </w:rPr>
        <w:t>Official methods of analysis of AOAC International</w:t>
      </w:r>
      <w:r w:rsidRPr="002B194C">
        <w:t xml:space="preserve"> (21st ed.). AOAC International. </w:t>
      </w:r>
      <w:hyperlink r:id="rId12">
        <w:r w:rsidR="00163EB8" w:rsidRPr="002B194C">
          <w:rPr>
            <w:color w:val="000000"/>
          </w:rPr>
          <w:t>https://www.aoac.org/official-methods-of-analysis/</w:t>
        </w:r>
      </w:hyperlink>
    </w:p>
    <w:p w14:paraId="1DD88819" w14:textId="77777777" w:rsidR="00163EB8" w:rsidRPr="002B194C" w:rsidRDefault="00000000">
      <w:pPr>
        <w:pStyle w:val="NormalWeb"/>
        <w:spacing w:before="0" w:after="0"/>
        <w:ind w:left="720" w:hanging="720"/>
      </w:pPr>
      <w:r w:rsidRPr="002B194C">
        <w:t xml:space="preserve">Arsalan, M. Z. U. H., Hussain, S. M., Asrar, M., Anwar, H., Rehan, M. M. U. H., Shahzad, M. M., Riaz, D., Ahmad, N., &amp; Wahab, N. (2016). Effects of </w:t>
      </w:r>
      <w:r w:rsidRPr="002B194C">
        <w:rPr>
          <w:i/>
        </w:rPr>
        <w:t>Moringa oleifera</w:t>
      </w:r>
      <w:r w:rsidRPr="002B194C">
        <w:t xml:space="preserve"> leaf meal (MOLM)-based diets on carcass composition and hematology of </w:t>
      </w:r>
      <w:proofErr w:type="spellStart"/>
      <w:r w:rsidRPr="002B194C">
        <w:rPr>
          <w:i/>
        </w:rPr>
        <w:t>Labeo</w:t>
      </w:r>
      <w:proofErr w:type="spellEnd"/>
      <w:r w:rsidRPr="002B194C">
        <w:rPr>
          <w:i/>
        </w:rPr>
        <w:t xml:space="preserve"> </w:t>
      </w:r>
      <w:proofErr w:type="spellStart"/>
      <w:r w:rsidRPr="002B194C">
        <w:rPr>
          <w:i/>
        </w:rPr>
        <w:t>rohita</w:t>
      </w:r>
      <w:proofErr w:type="spellEnd"/>
      <w:r w:rsidRPr="002B194C">
        <w:t xml:space="preserve"> fingerlings. </w:t>
      </w:r>
      <w:r w:rsidRPr="002B194C">
        <w:rPr>
          <w:i/>
        </w:rPr>
        <w:t>Journal of Biodiversity and Environmental Sciences, 9</w:t>
      </w:r>
      <w:r w:rsidRPr="002B194C">
        <w:t xml:space="preserve">(1), 214–223. </w:t>
      </w:r>
      <w:hyperlink r:id="rId13">
        <w:r w:rsidR="00163EB8" w:rsidRPr="002B194C">
          <w:rPr>
            <w:color w:val="000000"/>
          </w:rPr>
          <w:t>https://innspub.net/effects-of-moringa-oleifera-leaf-meal-molm-based-diets-on-carcass-composition-and-hematology-of-labeo-rohita-fingerlings/</w:t>
        </w:r>
      </w:hyperlink>
    </w:p>
    <w:p w14:paraId="16E9EDF8" w14:textId="77777777" w:rsidR="00163EB8" w:rsidRPr="002B194C" w:rsidRDefault="00000000">
      <w:pPr>
        <w:pStyle w:val="NormalWeb"/>
        <w:spacing w:before="0" w:after="0"/>
        <w:ind w:left="720" w:hanging="720"/>
      </w:pPr>
      <w:r w:rsidRPr="002B194C">
        <w:rPr>
          <w:lang w:val="es-US"/>
        </w:rPr>
        <w:t xml:space="preserve">Ayotunde Ezekiel, O., Ada Fidelis, B., &amp; Udeh Grace, N. (2016). </w:t>
      </w:r>
      <w:r w:rsidRPr="002B194C">
        <w:t xml:space="preserve">Effect of partial replacement of fishmeal with </w:t>
      </w:r>
      <w:r w:rsidRPr="002B194C">
        <w:rPr>
          <w:i/>
        </w:rPr>
        <w:t>Moringa oleifera</w:t>
      </w:r>
      <w:r w:rsidRPr="002B194C">
        <w:t xml:space="preserve"> leaf meal on the </w:t>
      </w:r>
      <w:proofErr w:type="spellStart"/>
      <w:r w:rsidRPr="002B194C">
        <w:t>haematology</w:t>
      </w:r>
      <w:proofErr w:type="spellEnd"/>
      <w:r w:rsidRPr="002B194C">
        <w:t xml:space="preserve">, carcass composition, and growth performance of </w:t>
      </w:r>
      <w:r w:rsidRPr="002B194C">
        <w:rPr>
          <w:i/>
        </w:rPr>
        <w:t xml:space="preserve">Clarias </w:t>
      </w:r>
      <w:proofErr w:type="spellStart"/>
      <w:r w:rsidRPr="002B194C">
        <w:rPr>
          <w:i/>
        </w:rPr>
        <w:t>gariepinus</w:t>
      </w:r>
      <w:proofErr w:type="spellEnd"/>
      <w:r w:rsidRPr="002B194C">
        <w:t xml:space="preserve"> (Burchell, 1822) fingerlings. </w:t>
      </w:r>
      <w:r w:rsidRPr="002B194C">
        <w:rPr>
          <w:i/>
        </w:rPr>
        <w:t>International Journal of Fisheries and Aquatic Studies, 4</w:t>
      </w:r>
      <w:r w:rsidRPr="002B194C">
        <w:t xml:space="preserve">(4), 307–311. </w:t>
      </w:r>
      <w:hyperlink r:id="rId14">
        <w:r w:rsidR="00163EB8" w:rsidRPr="002B194C">
          <w:rPr>
            <w:color w:val="000000"/>
          </w:rPr>
          <w:t>https://www.academia.edu/99839839/Effect_of_partial_replacement_of_fishmeal_with_Moringa_oleifera_Leaf_meal_on_the_Haematology_carcass_composition_and_growth_perfomance_of_Clarias_gariepinus_Burchell_1822_Fingerlings</w:t>
        </w:r>
      </w:hyperlink>
    </w:p>
    <w:p w14:paraId="275AF021" w14:textId="77777777" w:rsidR="00163EB8" w:rsidRPr="002B194C" w:rsidRDefault="00000000">
      <w:pPr>
        <w:pStyle w:val="NormalWeb"/>
        <w:spacing w:before="0" w:after="0"/>
        <w:ind w:left="720" w:hanging="720"/>
      </w:pPr>
      <w:r w:rsidRPr="002B194C">
        <w:t xml:space="preserve">Baird, R. B., Eaton, A. D., &amp; Rice, E. W. (Eds.). (2017). </w:t>
      </w:r>
      <w:r w:rsidRPr="002B194C">
        <w:rPr>
          <w:i/>
        </w:rPr>
        <w:t>Standard methods for the examination of water and wastewater</w:t>
      </w:r>
      <w:r w:rsidRPr="002B194C">
        <w:t xml:space="preserve"> (23rd ed.). American Public Health Association, American Water Works Association, &amp; Water Environment Federation. </w:t>
      </w:r>
      <w:hyperlink r:id="rId15">
        <w:r w:rsidR="00163EB8" w:rsidRPr="002B194C">
          <w:rPr>
            <w:color w:val="000000"/>
          </w:rPr>
          <w:t>https://www.standardmethods.org/</w:t>
        </w:r>
      </w:hyperlink>
    </w:p>
    <w:p w14:paraId="66BADBD5" w14:textId="77777777" w:rsidR="00163EB8" w:rsidRPr="002B194C" w:rsidRDefault="00000000">
      <w:pPr>
        <w:pStyle w:val="NormalWeb"/>
        <w:spacing w:before="0" w:after="0"/>
        <w:ind w:left="720" w:hanging="720"/>
      </w:pPr>
      <w:proofErr w:type="spellStart"/>
      <w:r w:rsidRPr="002B194C">
        <w:lastRenderedPageBreak/>
        <w:t>Campanati</w:t>
      </w:r>
      <w:proofErr w:type="spellEnd"/>
      <w:r w:rsidRPr="002B194C">
        <w:t xml:space="preserve">, C., Willer, D., Schubert, J., &amp; Aldridge, D. C. (2022). Sustainable intensification of aquaculture through nutrient recycling and circular economies: More fish, less waste, blue growth. </w:t>
      </w:r>
      <w:r w:rsidRPr="002B194C">
        <w:rPr>
          <w:i/>
        </w:rPr>
        <w:t>Reviews in Fisheries Science &amp; Aquaculture, 30</w:t>
      </w:r>
      <w:r w:rsidRPr="002B194C">
        <w:t xml:space="preserve">(2), 143–169. </w:t>
      </w:r>
      <w:hyperlink r:id="rId16">
        <w:r w:rsidR="00163EB8" w:rsidRPr="002B194C">
          <w:rPr>
            <w:color w:val="000000"/>
          </w:rPr>
          <w:t>https://doi.org/10.1080/23308249.2021.1897520</w:t>
        </w:r>
      </w:hyperlink>
    </w:p>
    <w:p w14:paraId="29905CE9" w14:textId="77777777" w:rsidR="00163EB8" w:rsidRPr="002B194C" w:rsidRDefault="00000000">
      <w:pPr>
        <w:pStyle w:val="NormalWeb"/>
        <w:spacing w:before="0" w:after="0"/>
        <w:ind w:left="720" w:hanging="720"/>
      </w:pPr>
      <w:r w:rsidRPr="002B194C">
        <w:t xml:space="preserve">Chakraborty, S. B., &amp; Hancz, C. (2011). Application of phytochemicals as immunostimulant, antipathogenic, and antistress agents in finfish culture. </w:t>
      </w:r>
      <w:r w:rsidRPr="002B194C">
        <w:rPr>
          <w:i/>
        </w:rPr>
        <w:t>Reviews in Aquaculture, 3</w:t>
      </w:r>
      <w:r w:rsidRPr="002B194C">
        <w:t xml:space="preserve">(3), 103–119. </w:t>
      </w:r>
      <w:hyperlink r:id="rId17">
        <w:r w:rsidR="00163EB8" w:rsidRPr="002B194C">
          <w:rPr>
            <w:color w:val="000000"/>
          </w:rPr>
          <w:t>https://doi.org/10.1111/j.1753-5131.2011.01048.x</w:t>
        </w:r>
      </w:hyperlink>
    </w:p>
    <w:p w14:paraId="22492B04" w14:textId="77777777" w:rsidR="00163EB8" w:rsidRPr="002B194C" w:rsidRDefault="00000000">
      <w:pPr>
        <w:pStyle w:val="NormalWeb"/>
        <w:spacing w:before="0" w:after="0"/>
        <w:ind w:left="720" w:hanging="720"/>
      </w:pPr>
      <w:r w:rsidRPr="002B194C">
        <w:t>Das, K. C., Mohanta, K. N., Nayak, S. K., Mohanty, S., Sahoo, P. K., &amp; Swain, P. (2019). A nursery feed for Indian major carps (</w:t>
      </w:r>
      <w:proofErr w:type="spellStart"/>
      <w:r w:rsidRPr="002B194C">
        <w:rPr>
          <w:i/>
        </w:rPr>
        <w:t>Labeo</w:t>
      </w:r>
      <w:proofErr w:type="spellEnd"/>
      <w:r w:rsidRPr="002B194C">
        <w:rPr>
          <w:i/>
        </w:rPr>
        <w:t xml:space="preserve"> </w:t>
      </w:r>
      <w:proofErr w:type="spellStart"/>
      <w:r w:rsidRPr="002B194C">
        <w:rPr>
          <w:i/>
        </w:rPr>
        <w:t>rohita</w:t>
      </w:r>
      <w:proofErr w:type="spellEnd"/>
      <w:r w:rsidRPr="002B194C">
        <w:t xml:space="preserve">) and its evaluation in farmer’s field. </w:t>
      </w:r>
      <w:r w:rsidRPr="002B194C">
        <w:rPr>
          <w:i/>
        </w:rPr>
        <w:t>Indian Journal of Animal Nutrition, 36</w:t>
      </w:r>
      <w:r w:rsidRPr="002B194C">
        <w:t xml:space="preserve">(4), 377–381. </w:t>
      </w:r>
      <w:hyperlink r:id="rId18">
        <w:r w:rsidR="00163EB8" w:rsidRPr="002B194C">
          <w:rPr>
            <w:color w:val="000000"/>
          </w:rPr>
          <w:t>https://doi.org/10.5958/2231-6744.2019.00061.6</w:t>
        </w:r>
      </w:hyperlink>
    </w:p>
    <w:p w14:paraId="6C040028" w14:textId="77777777" w:rsidR="00163EB8" w:rsidRPr="002B194C" w:rsidRDefault="00000000">
      <w:pPr>
        <w:pStyle w:val="NormalWeb"/>
        <w:spacing w:before="0" w:after="0"/>
        <w:ind w:left="720" w:hanging="720"/>
      </w:pPr>
      <w:proofErr w:type="spellStart"/>
      <w:r w:rsidRPr="002B194C">
        <w:t>Elabd</w:t>
      </w:r>
      <w:proofErr w:type="spellEnd"/>
      <w:r w:rsidRPr="002B194C">
        <w:t>, H., Soror, E., El-</w:t>
      </w:r>
      <w:proofErr w:type="spellStart"/>
      <w:r w:rsidRPr="002B194C">
        <w:t>Asely</w:t>
      </w:r>
      <w:proofErr w:type="spellEnd"/>
      <w:r w:rsidRPr="002B194C">
        <w:t xml:space="preserve">, A., Abd El-Gawad, E., &amp; Abbass, A. (2019). Dietary supplementation of moringa leaf meal for Nile tilapia </w:t>
      </w:r>
      <w:r w:rsidRPr="002B194C">
        <w:rPr>
          <w:i/>
        </w:rPr>
        <w:t>Oreochromis niloticus</w:t>
      </w:r>
      <w:r w:rsidRPr="002B194C">
        <w:t xml:space="preserve">: Effect on growth and stress indices. </w:t>
      </w:r>
      <w:r w:rsidRPr="002B194C">
        <w:rPr>
          <w:i/>
        </w:rPr>
        <w:t>The Egyptian Journal of Aquatic Research, 45</w:t>
      </w:r>
      <w:r w:rsidRPr="002B194C">
        <w:t xml:space="preserve">(3), 265–271. </w:t>
      </w:r>
      <w:hyperlink r:id="rId19">
        <w:r w:rsidR="00163EB8" w:rsidRPr="002B194C">
          <w:rPr>
            <w:color w:val="000000"/>
          </w:rPr>
          <w:t>https://doi.org/10.1016/j.ejar.2019.05.009</w:t>
        </w:r>
      </w:hyperlink>
    </w:p>
    <w:p w14:paraId="7086F836" w14:textId="77777777" w:rsidR="00163EB8" w:rsidRPr="002B194C" w:rsidRDefault="00000000">
      <w:pPr>
        <w:pStyle w:val="NormalWeb"/>
        <w:spacing w:before="0" w:after="0"/>
        <w:ind w:left="720" w:hanging="720"/>
      </w:pPr>
      <w:r w:rsidRPr="002B194C">
        <w:t xml:space="preserve">Emam, M. A., </w:t>
      </w:r>
      <w:proofErr w:type="spellStart"/>
      <w:r w:rsidRPr="002B194C">
        <w:t>Shourbela</w:t>
      </w:r>
      <w:proofErr w:type="spellEnd"/>
      <w:r w:rsidRPr="002B194C">
        <w:t>, R. M., El-</w:t>
      </w:r>
      <w:proofErr w:type="spellStart"/>
      <w:r w:rsidRPr="002B194C">
        <w:t>Hawarry</w:t>
      </w:r>
      <w:proofErr w:type="spellEnd"/>
      <w:r w:rsidRPr="002B194C">
        <w:t>, W. N., Abo-Kora, S. Y., Gad, F. A.-M., Abd El-</w:t>
      </w:r>
      <w:proofErr w:type="spellStart"/>
      <w:r w:rsidRPr="002B194C">
        <w:t>latif</w:t>
      </w:r>
      <w:proofErr w:type="spellEnd"/>
      <w:r w:rsidRPr="002B194C">
        <w:t xml:space="preserve">, A. M., &amp; Dawood, M. A. O. (2024). Effects of </w:t>
      </w:r>
      <w:r w:rsidRPr="002B194C">
        <w:rPr>
          <w:i/>
        </w:rPr>
        <w:t>Moringa oleifera</w:t>
      </w:r>
      <w:r w:rsidRPr="002B194C">
        <w:t xml:space="preserve"> aqueous extract on the growth performance, blood characteristics, and histological features of gills and livers in Nile tilapia. </w:t>
      </w:r>
      <w:r w:rsidRPr="002B194C">
        <w:rPr>
          <w:i/>
        </w:rPr>
        <w:t>Aquaculture and Fisheries, 9</w:t>
      </w:r>
      <w:r w:rsidRPr="002B194C">
        <w:t xml:space="preserve">(1), 85–92. </w:t>
      </w:r>
      <w:hyperlink r:id="rId20">
        <w:r w:rsidR="00163EB8" w:rsidRPr="002B194C">
          <w:rPr>
            <w:color w:val="000000"/>
          </w:rPr>
          <w:t>https://doi.org/10.1016/j.aaf.2021.12.011</w:t>
        </w:r>
      </w:hyperlink>
    </w:p>
    <w:p w14:paraId="04ED2F39" w14:textId="77777777" w:rsidR="00163EB8" w:rsidRPr="002B194C" w:rsidRDefault="00000000">
      <w:pPr>
        <w:pStyle w:val="NormalWeb"/>
        <w:spacing w:before="0" w:after="0"/>
        <w:ind w:left="720" w:hanging="720"/>
      </w:pPr>
      <w:r w:rsidRPr="002B194C">
        <w:t xml:space="preserve">Faisal, M., Hussain, S. M., Sarker, P. K., Ali, S., Al-Ghanim, K. A., &amp; Yousaf, Z. (2024). Utilization of </w:t>
      </w:r>
      <w:r w:rsidRPr="002B194C">
        <w:rPr>
          <w:i/>
        </w:rPr>
        <w:t>Moringa oleifera</w:t>
      </w:r>
      <w:r w:rsidRPr="002B194C">
        <w:t xml:space="preserve"> leaf meal as a protein source in diets for </w:t>
      </w:r>
      <w:proofErr w:type="spellStart"/>
      <w:r w:rsidRPr="002B194C">
        <w:rPr>
          <w:i/>
        </w:rPr>
        <w:t>Cirrhinus</w:t>
      </w:r>
      <w:proofErr w:type="spellEnd"/>
      <w:r w:rsidRPr="002B194C">
        <w:rPr>
          <w:i/>
        </w:rPr>
        <w:t xml:space="preserve"> </w:t>
      </w:r>
      <w:proofErr w:type="spellStart"/>
      <w:r w:rsidRPr="002B194C">
        <w:rPr>
          <w:i/>
        </w:rPr>
        <w:t>mrigala</w:t>
      </w:r>
      <w:proofErr w:type="spellEnd"/>
      <w:r w:rsidRPr="002B194C">
        <w:t xml:space="preserve">: Effects on growth, body composition, and hematology. </w:t>
      </w:r>
      <w:r w:rsidRPr="002B194C">
        <w:rPr>
          <w:i/>
        </w:rPr>
        <w:t>Frontiers in Sustainable Food Systems, 8</w:t>
      </w:r>
      <w:r w:rsidRPr="002B194C">
        <w:t xml:space="preserve">, 1405614. </w:t>
      </w:r>
      <w:hyperlink r:id="rId21">
        <w:r w:rsidR="00163EB8" w:rsidRPr="002B194C">
          <w:rPr>
            <w:color w:val="000000"/>
          </w:rPr>
          <w:t>https://doi.org/10.3389/fsufs.2024.1405614</w:t>
        </w:r>
      </w:hyperlink>
    </w:p>
    <w:p w14:paraId="1A395E13" w14:textId="77777777" w:rsidR="00163EB8" w:rsidRPr="002B194C" w:rsidRDefault="00000000">
      <w:pPr>
        <w:pStyle w:val="NormalWeb"/>
        <w:spacing w:before="0" w:after="0"/>
        <w:ind w:left="720" w:hanging="720"/>
      </w:pPr>
      <w:r w:rsidRPr="002B194C">
        <w:t xml:space="preserve">Fazio, F. (2019). Fish hematology analysis as an important tool of aquaculture: A review. </w:t>
      </w:r>
      <w:r w:rsidRPr="002B194C">
        <w:rPr>
          <w:i/>
        </w:rPr>
        <w:t>Aquaculture, 500</w:t>
      </w:r>
      <w:r w:rsidRPr="002B194C">
        <w:t xml:space="preserve">, 237–242. </w:t>
      </w:r>
      <w:hyperlink r:id="rId22">
        <w:r w:rsidR="00163EB8" w:rsidRPr="002B194C">
          <w:rPr>
            <w:color w:val="000000"/>
          </w:rPr>
          <w:t>https://doi.org/10.1016/j.aquaculture.2018.10.030</w:t>
        </w:r>
      </w:hyperlink>
    </w:p>
    <w:p w14:paraId="25DAB381" w14:textId="77777777" w:rsidR="00163EB8" w:rsidRPr="002B194C" w:rsidRDefault="00000000">
      <w:pPr>
        <w:pStyle w:val="NormalWeb"/>
        <w:spacing w:before="0" w:after="0"/>
        <w:ind w:left="720" w:hanging="720"/>
      </w:pPr>
      <w:r w:rsidRPr="002B194C">
        <w:t xml:space="preserve">Food and Agriculture Organization of the United Nations. (2022). </w:t>
      </w:r>
      <w:r w:rsidRPr="002B194C">
        <w:rPr>
          <w:i/>
        </w:rPr>
        <w:t>The state of world fisheries and aquaculture 2022: Towards blue transformation</w:t>
      </w:r>
      <w:r w:rsidRPr="002B194C">
        <w:t xml:space="preserve">. </w:t>
      </w:r>
      <w:hyperlink r:id="rId23">
        <w:r w:rsidR="00163EB8" w:rsidRPr="002B194C">
          <w:rPr>
            <w:color w:val="000000"/>
          </w:rPr>
          <w:t>https://doi.org/10.4060/cc0461en</w:t>
        </w:r>
      </w:hyperlink>
    </w:p>
    <w:p w14:paraId="522522F8" w14:textId="77777777" w:rsidR="00163EB8" w:rsidRPr="002B194C" w:rsidRDefault="00000000">
      <w:pPr>
        <w:pStyle w:val="NormalWeb"/>
        <w:spacing w:before="0" w:after="0"/>
        <w:ind w:left="720" w:hanging="720"/>
      </w:pPr>
      <w:r w:rsidRPr="002B194C">
        <w:t xml:space="preserve">Ganzon-Naret, E. S. (2014). Utilization of </w:t>
      </w:r>
      <w:r w:rsidRPr="002B194C">
        <w:rPr>
          <w:i/>
        </w:rPr>
        <w:t>Moringa oleifera</w:t>
      </w:r>
      <w:r w:rsidRPr="002B194C">
        <w:t xml:space="preserve"> leaf meals as plant protein sources at different inclusion levels in fish meal-based diets fed to </w:t>
      </w:r>
      <w:r w:rsidRPr="002B194C">
        <w:rPr>
          <w:i/>
        </w:rPr>
        <w:t>Lates calcarifer</w:t>
      </w:r>
      <w:r w:rsidRPr="002B194C">
        <w:t xml:space="preserve">. </w:t>
      </w:r>
      <w:r w:rsidRPr="002B194C">
        <w:rPr>
          <w:i/>
        </w:rPr>
        <w:t>Animal Biology &amp; Animal Husbandry, 6</w:t>
      </w:r>
      <w:r w:rsidRPr="002B194C">
        <w:t xml:space="preserve">(2), 158–167. </w:t>
      </w:r>
      <w:hyperlink r:id="rId24">
        <w:r w:rsidR="00163EB8" w:rsidRPr="002B194C">
          <w:rPr>
            <w:color w:val="000000"/>
          </w:rPr>
          <w:t>https://abah.bioflux.com.ro/docs/2014.158-167.pdf</w:t>
        </w:r>
      </w:hyperlink>
    </w:p>
    <w:p w14:paraId="75BB6C64" w14:textId="77777777" w:rsidR="00163EB8" w:rsidRPr="002B194C" w:rsidRDefault="00000000">
      <w:pPr>
        <w:pStyle w:val="NormalWeb"/>
        <w:spacing w:before="0" w:after="0"/>
        <w:ind w:left="720" w:hanging="720"/>
      </w:pPr>
      <w:r w:rsidRPr="002B194C">
        <w:t xml:space="preserve">Gatlin, D. M., III, Barrows, F. T., Brown, P., Dabrowski, K., Gaylord, T. G., Hardy, R. W., Herman, E., Hu, G., Krogdahl, Å., Nelson, R., Overturf, K., Rust, M., Sealey, W., Skonberg, D., Souza, E. J., Stone, D., Wilson, R. P., &amp; Wurtele, E. S. (2007). Expanding the utilization of sustainable plant products in aquafeeds: A review. </w:t>
      </w:r>
      <w:r w:rsidRPr="002B194C">
        <w:rPr>
          <w:i/>
        </w:rPr>
        <w:t>Aquaculture Research, 38</w:t>
      </w:r>
      <w:r w:rsidRPr="002B194C">
        <w:t xml:space="preserve">(6), 551–579. </w:t>
      </w:r>
      <w:hyperlink r:id="rId25">
        <w:r w:rsidR="00163EB8" w:rsidRPr="002B194C">
          <w:rPr>
            <w:color w:val="000000"/>
          </w:rPr>
          <w:t>https://doi.org/10.1111/j.1365-2109.2007.01704.x</w:t>
        </w:r>
      </w:hyperlink>
    </w:p>
    <w:p w14:paraId="323A328A" w14:textId="77777777" w:rsidR="00163EB8" w:rsidRPr="002B194C" w:rsidRDefault="00000000">
      <w:pPr>
        <w:pStyle w:val="NormalWeb"/>
        <w:spacing w:before="0" w:after="0"/>
        <w:ind w:left="720" w:hanging="720"/>
      </w:pPr>
      <w:r w:rsidRPr="002B194C">
        <w:lastRenderedPageBreak/>
        <w:t xml:space="preserve">Hardy, R. W. (2010). Utilization of plant proteins in fish diets: Effects of global demand and supplies of fishmeal. </w:t>
      </w:r>
      <w:r w:rsidRPr="002B194C">
        <w:rPr>
          <w:i/>
        </w:rPr>
        <w:t>Aquaculture Research, 41</w:t>
      </w:r>
      <w:r w:rsidRPr="002B194C">
        <w:t xml:space="preserve">(5), 770–776. </w:t>
      </w:r>
      <w:hyperlink r:id="rId26">
        <w:r w:rsidR="00163EB8" w:rsidRPr="002B194C">
          <w:rPr>
            <w:color w:val="000000"/>
          </w:rPr>
          <w:t>https://doi.org/10.1111/j.1365-2109.2009.02349.x</w:t>
        </w:r>
      </w:hyperlink>
    </w:p>
    <w:p w14:paraId="7DB1957F" w14:textId="77777777" w:rsidR="00163EB8" w:rsidRPr="002B194C" w:rsidRDefault="00000000">
      <w:pPr>
        <w:pStyle w:val="NormalWeb"/>
        <w:spacing w:before="0" w:after="0"/>
        <w:ind w:left="720" w:hanging="720"/>
        <w:rPr>
          <w:bCs/>
        </w:rPr>
      </w:pPr>
      <w:r w:rsidRPr="002B194C">
        <w:rPr>
          <w:bCs/>
        </w:rPr>
        <w:t xml:space="preserve">Hasani, M. S., Scabra, A. R., &amp; </w:t>
      </w:r>
      <w:proofErr w:type="spellStart"/>
      <w:r w:rsidRPr="002B194C">
        <w:rPr>
          <w:bCs/>
        </w:rPr>
        <w:t>Mulyani</w:t>
      </w:r>
      <w:proofErr w:type="spellEnd"/>
      <w:r w:rsidRPr="002B194C">
        <w:rPr>
          <w:bCs/>
        </w:rPr>
        <w:t xml:space="preserve">, L. F. (2025). Growth of </w:t>
      </w:r>
      <w:proofErr w:type="spellStart"/>
      <w:r w:rsidRPr="002B194C">
        <w:rPr>
          <w:bCs/>
        </w:rPr>
        <w:t>vannamei</w:t>
      </w:r>
      <w:proofErr w:type="spellEnd"/>
      <w:r w:rsidRPr="002B194C">
        <w:rPr>
          <w:bCs/>
        </w:rPr>
        <w:t xml:space="preserve"> shrimp (</w:t>
      </w:r>
      <w:proofErr w:type="spellStart"/>
      <w:r w:rsidRPr="002B194C">
        <w:rPr>
          <w:bCs/>
          <w:i/>
        </w:rPr>
        <w:t>Litopenaeus</w:t>
      </w:r>
      <w:proofErr w:type="spellEnd"/>
      <w:r w:rsidRPr="002B194C">
        <w:rPr>
          <w:bCs/>
          <w:i/>
        </w:rPr>
        <w:t xml:space="preserve"> </w:t>
      </w:r>
      <w:proofErr w:type="spellStart"/>
      <w:r w:rsidRPr="002B194C">
        <w:rPr>
          <w:bCs/>
          <w:i/>
        </w:rPr>
        <w:t>vannamei</w:t>
      </w:r>
      <w:proofErr w:type="spellEnd"/>
      <w:r w:rsidRPr="002B194C">
        <w:rPr>
          <w:bCs/>
        </w:rPr>
        <w:t xml:space="preserve">) challenged by </w:t>
      </w:r>
      <w:r w:rsidRPr="002B194C">
        <w:rPr>
          <w:bCs/>
          <w:i/>
        </w:rPr>
        <w:t>Vibrio parahaemolyticus</w:t>
      </w:r>
      <w:r w:rsidRPr="002B194C">
        <w:rPr>
          <w:bCs/>
        </w:rPr>
        <w:t xml:space="preserve"> bacteria with addition of </w:t>
      </w:r>
      <w:r w:rsidRPr="002B194C">
        <w:rPr>
          <w:bCs/>
          <w:i/>
        </w:rPr>
        <w:t>Moringa oleifera</w:t>
      </w:r>
      <w:r w:rsidRPr="002B194C">
        <w:rPr>
          <w:bCs/>
        </w:rPr>
        <w:t xml:space="preserve"> leaf powder through feed. </w:t>
      </w:r>
      <w:r w:rsidRPr="002B194C">
        <w:rPr>
          <w:bCs/>
          <w:i/>
        </w:rPr>
        <w:t>Asian Journal of Fisheries and Aquatic Research, 27</w:t>
      </w:r>
      <w:r w:rsidRPr="002B194C">
        <w:rPr>
          <w:bCs/>
        </w:rPr>
        <w:t>(8), 76–88. https://doi.org/10.9734/ajfar/2025/v27i8978</w:t>
      </w:r>
    </w:p>
    <w:p w14:paraId="20C12046" w14:textId="77777777" w:rsidR="00163EB8" w:rsidRPr="002B194C" w:rsidRDefault="00000000">
      <w:pPr>
        <w:pStyle w:val="NormalWeb"/>
        <w:spacing w:before="0" w:after="0"/>
        <w:ind w:left="720" w:hanging="720"/>
        <w:rPr>
          <w:bCs/>
        </w:rPr>
      </w:pPr>
      <w:r w:rsidRPr="002B194C">
        <w:rPr>
          <w:bCs/>
        </w:rPr>
        <w:t xml:space="preserve">Hassaan, M. S., Soltan, M. A., </w:t>
      </w:r>
      <w:proofErr w:type="spellStart"/>
      <w:r w:rsidRPr="002B194C">
        <w:rPr>
          <w:bCs/>
        </w:rPr>
        <w:t>Mohammady</w:t>
      </w:r>
      <w:proofErr w:type="spellEnd"/>
      <w:r w:rsidRPr="002B194C">
        <w:rPr>
          <w:bCs/>
        </w:rPr>
        <w:t xml:space="preserve">, E. Y., Elashry, M. A., El-Haroun, E. R., &amp; Davies, S. J. (2018). Growth and physiological responses of Nile tilapia, </w:t>
      </w:r>
      <w:r w:rsidRPr="002B194C">
        <w:rPr>
          <w:bCs/>
          <w:i/>
        </w:rPr>
        <w:t>Oreochromis niloticus</w:t>
      </w:r>
      <w:r w:rsidRPr="002B194C">
        <w:rPr>
          <w:bCs/>
        </w:rPr>
        <w:t xml:space="preserve">, fed dietary fermented sunflower meal inoculated with </w:t>
      </w:r>
      <w:r w:rsidRPr="002B194C">
        <w:rPr>
          <w:bCs/>
          <w:i/>
        </w:rPr>
        <w:t>Saccharomyces cerevisiae</w:t>
      </w:r>
      <w:r w:rsidRPr="002B194C">
        <w:rPr>
          <w:bCs/>
        </w:rPr>
        <w:t xml:space="preserve"> and </w:t>
      </w:r>
      <w:r w:rsidRPr="002B194C">
        <w:rPr>
          <w:bCs/>
          <w:i/>
        </w:rPr>
        <w:t>Bacillus subtilis</w:t>
      </w:r>
      <w:r w:rsidRPr="002B194C">
        <w:rPr>
          <w:bCs/>
        </w:rPr>
        <w:t xml:space="preserve">. </w:t>
      </w:r>
      <w:r w:rsidRPr="002B194C">
        <w:rPr>
          <w:bCs/>
          <w:i/>
        </w:rPr>
        <w:t>Aquaculture, 495</w:t>
      </w:r>
      <w:r w:rsidRPr="002B194C">
        <w:rPr>
          <w:bCs/>
        </w:rPr>
        <w:t xml:space="preserve">, 592–601. </w:t>
      </w:r>
      <w:hyperlink r:id="rId27">
        <w:r w:rsidR="00163EB8" w:rsidRPr="002B194C">
          <w:rPr>
            <w:bCs/>
            <w:color w:val="000000"/>
          </w:rPr>
          <w:t>https://doi.org/10.1016/j.aquaculture.2018.06.018</w:t>
        </w:r>
      </w:hyperlink>
    </w:p>
    <w:p w14:paraId="2BFFF014" w14:textId="77777777" w:rsidR="00163EB8" w:rsidRPr="002B194C" w:rsidRDefault="00000000">
      <w:pPr>
        <w:pStyle w:val="NormalWeb"/>
        <w:spacing w:before="0" w:after="0"/>
        <w:ind w:left="720" w:hanging="720"/>
        <w:rPr>
          <w:bCs/>
        </w:rPr>
      </w:pPr>
      <w:r w:rsidRPr="002B194C">
        <w:rPr>
          <w:bCs/>
        </w:rPr>
        <w:t xml:space="preserve">Hemprabha, &amp; Arya, S. (2025). Seasonal variations in </w:t>
      </w:r>
      <w:proofErr w:type="spellStart"/>
      <w:r w:rsidRPr="002B194C">
        <w:rPr>
          <w:bCs/>
        </w:rPr>
        <w:t>haematological</w:t>
      </w:r>
      <w:proofErr w:type="spellEnd"/>
      <w:r w:rsidRPr="002B194C">
        <w:rPr>
          <w:bCs/>
        </w:rPr>
        <w:t xml:space="preserve"> and biochemical parameters of </w:t>
      </w:r>
      <w:proofErr w:type="spellStart"/>
      <w:r w:rsidRPr="002B194C">
        <w:rPr>
          <w:bCs/>
          <w:i/>
        </w:rPr>
        <w:t>Labeo</w:t>
      </w:r>
      <w:proofErr w:type="spellEnd"/>
      <w:r w:rsidRPr="002B194C">
        <w:rPr>
          <w:bCs/>
          <w:i/>
        </w:rPr>
        <w:t xml:space="preserve"> </w:t>
      </w:r>
      <w:proofErr w:type="spellStart"/>
      <w:r w:rsidRPr="002B194C">
        <w:rPr>
          <w:bCs/>
          <w:i/>
        </w:rPr>
        <w:t>rohita</w:t>
      </w:r>
      <w:proofErr w:type="spellEnd"/>
      <w:r w:rsidRPr="002B194C">
        <w:rPr>
          <w:bCs/>
        </w:rPr>
        <w:t xml:space="preserve"> from river and pond habitats. </w:t>
      </w:r>
      <w:r w:rsidRPr="002B194C">
        <w:rPr>
          <w:bCs/>
          <w:i/>
        </w:rPr>
        <w:t>Uttar Pradesh Journal of Zoology, 46</w:t>
      </w:r>
      <w:r w:rsidRPr="002B194C">
        <w:rPr>
          <w:bCs/>
        </w:rPr>
        <w:t xml:space="preserve">(18), 157–166. </w:t>
      </w:r>
      <w:hyperlink r:id="rId28">
        <w:r w:rsidR="00163EB8" w:rsidRPr="002B194C">
          <w:rPr>
            <w:bCs/>
            <w:color w:val="000000"/>
          </w:rPr>
          <w:t>https://doi.org/10.56557/upjoz/2025/v46i185248</w:t>
        </w:r>
      </w:hyperlink>
    </w:p>
    <w:p w14:paraId="14A9F028" w14:textId="77777777" w:rsidR="00163EB8" w:rsidRPr="002B194C" w:rsidRDefault="00000000">
      <w:pPr>
        <w:pStyle w:val="NormalWeb"/>
        <w:spacing w:before="0" w:after="0"/>
        <w:ind w:left="720" w:hanging="720"/>
        <w:rPr>
          <w:bCs/>
        </w:rPr>
      </w:pPr>
      <w:r w:rsidRPr="002B194C">
        <w:rPr>
          <w:bCs/>
        </w:rPr>
        <w:t xml:space="preserve">Hua, K., </w:t>
      </w:r>
      <w:proofErr w:type="spellStart"/>
      <w:r w:rsidRPr="002B194C">
        <w:rPr>
          <w:bCs/>
        </w:rPr>
        <w:t>Cobcroft</w:t>
      </w:r>
      <w:proofErr w:type="spellEnd"/>
      <w:r w:rsidRPr="002B194C">
        <w:rPr>
          <w:bCs/>
        </w:rPr>
        <w:t xml:space="preserve">, J. M., Cole, A., Condon, K., Jerry, D. R., </w:t>
      </w:r>
      <w:proofErr w:type="spellStart"/>
      <w:r w:rsidRPr="002B194C">
        <w:rPr>
          <w:bCs/>
        </w:rPr>
        <w:t>Mangott</w:t>
      </w:r>
      <w:proofErr w:type="spellEnd"/>
      <w:r w:rsidRPr="002B194C">
        <w:rPr>
          <w:bCs/>
        </w:rPr>
        <w:t xml:space="preserve">, A., Praeger, C., </w:t>
      </w:r>
      <w:proofErr w:type="spellStart"/>
      <w:r w:rsidRPr="002B194C">
        <w:rPr>
          <w:bCs/>
        </w:rPr>
        <w:t>Vucko</w:t>
      </w:r>
      <w:proofErr w:type="spellEnd"/>
      <w:r w:rsidRPr="002B194C">
        <w:rPr>
          <w:bCs/>
        </w:rPr>
        <w:t xml:space="preserve">, M. J., Zeng, C., Zenger, K., &amp; </w:t>
      </w:r>
      <w:proofErr w:type="spellStart"/>
      <w:r w:rsidRPr="002B194C">
        <w:rPr>
          <w:bCs/>
        </w:rPr>
        <w:t>Strugnell</w:t>
      </w:r>
      <w:proofErr w:type="spellEnd"/>
      <w:r w:rsidRPr="002B194C">
        <w:rPr>
          <w:bCs/>
        </w:rPr>
        <w:t xml:space="preserve">, J. M. (2019). The future of aquatic protein: Implications for protein sources in aquaculture diets. </w:t>
      </w:r>
      <w:r w:rsidRPr="002B194C">
        <w:rPr>
          <w:bCs/>
          <w:i/>
        </w:rPr>
        <w:t>One Earth, 1</w:t>
      </w:r>
      <w:r w:rsidRPr="002B194C">
        <w:rPr>
          <w:bCs/>
        </w:rPr>
        <w:t xml:space="preserve">(3), 316–329. </w:t>
      </w:r>
      <w:hyperlink r:id="rId29">
        <w:r w:rsidR="00163EB8" w:rsidRPr="002B194C">
          <w:rPr>
            <w:bCs/>
            <w:color w:val="000000"/>
          </w:rPr>
          <w:t>https://doi.org/10.1016/j.oneear.2019.10.018</w:t>
        </w:r>
      </w:hyperlink>
    </w:p>
    <w:p w14:paraId="566EED8B" w14:textId="77777777" w:rsidR="00163EB8" w:rsidRPr="002B194C" w:rsidRDefault="00000000">
      <w:pPr>
        <w:pStyle w:val="NormalWeb"/>
        <w:spacing w:before="0" w:after="0"/>
        <w:ind w:left="720" w:hanging="720"/>
        <w:rPr>
          <w:bCs/>
        </w:rPr>
      </w:pPr>
      <w:r w:rsidRPr="002B194C">
        <w:rPr>
          <w:bCs/>
        </w:rPr>
        <w:t xml:space="preserve">Jena, J. K. (2009). </w:t>
      </w:r>
      <w:proofErr w:type="spellStart"/>
      <w:r w:rsidRPr="002B194C">
        <w:rPr>
          <w:bCs/>
          <w:i/>
        </w:rPr>
        <w:t>Labeo</w:t>
      </w:r>
      <w:proofErr w:type="spellEnd"/>
      <w:r w:rsidRPr="002B194C">
        <w:rPr>
          <w:bCs/>
          <w:i/>
        </w:rPr>
        <w:t xml:space="preserve"> </w:t>
      </w:r>
      <w:proofErr w:type="spellStart"/>
      <w:r w:rsidRPr="002B194C">
        <w:rPr>
          <w:bCs/>
          <w:i/>
        </w:rPr>
        <w:t>rohita</w:t>
      </w:r>
      <w:proofErr w:type="spellEnd"/>
      <w:r w:rsidRPr="002B194C">
        <w:rPr>
          <w:bCs/>
        </w:rPr>
        <w:t xml:space="preserve">. In </w:t>
      </w:r>
      <w:r w:rsidRPr="002B194C">
        <w:rPr>
          <w:bCs/>
          <w:i/>
        </w:rPr>
        <w:t>Cultured aquatic species fact sheets</w:t>
      </w:r>
      <w:r w:rsidRPr="002B194C">
        <w:rPr>
          <w:bCs/>
        </w:rPr>
        <w:t xml:space="preserve">. Food and Agriculture Organization of the United Nations. </w:t>
      </w:r>
      <w:hyperlink r:id="rId30">
        <w:r w:rsidR="00163EB8" w:rsidRPr="002B194C">
          <w:rPr>
            <w:bCs/>
            <w:color w:val="000000"/>
          </w:rPr>
          <w:t>https://www.fao.org/fishery/docs/DOCUMENT/aquaculture/CulturedSpecies/file/en/en_roholabeo.htm</w:t>
        </w:r>
      </w:hyperlink>
    </w:p>
    <w:p w14:paraId="789BE47B" w14:textId="77777777" w:rsidR="00163EB8" w:rsidRPr="002B194C" w:rsidRDefault="00000000">
      <w:pPr>
        <w:pStyle w:val="NormalWeb"/>
        <w:spacing w:before="0" w:after="0"/>
        <w:ind w:left="720" w:hanging="720"/>
        <w:rPr>
          <w:bCs/>
        </w:rPr>
      </w:pPr>
      <w:r w:rsidRPr="002B194C">
        <w:rPr>
          <w:bCs/>
        </w:rPr>
        <w:t xml:space="preserve">Kamble, M. T., Gallardo, W., Salin, K. R., Pumpuang, S., Chavan, B. R., Bhujel, R. C., </w:t>
      </w:r>
      <w:proofErr w:type="spellStart"/>
      <w:r w:rsidRPr="002B194C">
        <w:rPr>
          <w:bCs/>
        </w:rPr>
        <w:t>Medhe</w:t>
      </w:r>
      <w:proofErr w:type="spellEnd"/>
      <w:r w:rsidRPr="002B194C">
        <w:rPr>
          <w:bCs/>
        </w:rPr>
        <w:t xml:space="preserve">, S. V., Kettawan, A., Thompson, K. D., &amp; Pirarat, N. (2024). Effect of </w:t>
      </w:r>
      <w:r w:rsidRPr="002B194C">
        <w:rPr>
          <w:bCs/>
          <w:i/>
        </w:rPr>
        <w:t>Moringa oleifera</w:t>
      </w:r>
      <w:r w:rsidRPr="002B194C">
        <w:rPr>
          <w:bCs/>
        </w:rPr>
        <w:t xml:space="preserve"> leaf extract on the growth performance, hematology, innate immunity, and disease resistance of Nile tilapia (</w:t>
      </w:r>
      <w:r w:rsidRPr="002B194C">
        <w:rPr>
          <w:bCs/>
          <w:i/>
        </w:rPr>
        <w:t>Oreochromis niloticus</w:t>
      </w:r>
      <w:r w:rsidRPr="002B194C">
        <w:rPr>
          <w:bCs/>
        </w:rPr>
        <w:t xml:space="preserve">) against </w:t>
      </w:r>
      <w:r w:rsidRPr="002B194C">
        <w:rPr>
          <w:bCs/>
          <w:i/>
        </w:rPr>
        <w:t>Streptococcus agalactiae</w:t>
      </w:r>
      <w:r w:rsidRPr="002B194C">
        <w:rPr>
          <w:bCs/>
        </w:rPr>
        <w:t xml:space="preserve"> biotype 2. </w:t>
      </w:r>
      <w:r w:rsidRPr="002B194C">
        <w:rPr>
          <w:bCs/>
          <w:i/>
        </w:rPr>
        <w:t>Animals, 14</w:t>
      </w:r>
      <w:r w:rsidRPr="002B194C">
        <w:rPr>
          <w:bCs/>
        </w:rPr>
        <w:t xml:space="preserve">(6), 953. </w:t>
      </w:r>
      <w:hyperlink r:id="rId31">
        <w:r w:rsidR="00163EB8" w:rsidRPr="002B194C">
          <w:rPr>
            <w:bCs/>
            <w:color w:val="000000"/>
          </w:rPr>
          <w:t>https://doi.org/10.3390/ani14060953</w:t>
        </w:r>
      </w:hyperlink>
    </w:p>
    <w:p w14:paraId="0F992D9C" w14:textId="77777777" w:rsidR="00163EB8" w:rsidRPr="002B194C" w:rsidRDefault="00000000">
      <w:pPr>
        <w:pStyle w:val="NormalWeb"/>
        <w:spacing w:before="0" w:after="0"/>
        <w:ind w:left="720" w:hanging="720"/>
        <w:rPr>
          <w:bCs/>
        </w:rPr>
      </w:pPr>
      <w:r w:rsidRPr="002B194C">
        <w:rPr>
          <w:bCs/>
        </w:rPr>
        <w:t xml:space="preserve">Kumar, L., &amp; </w:t>
      </w:r>
      <w:proofErr w:type="spellStart"/>
      <w:r w:rsidRPr="002B194C">
        <w:rPr>
          <w:bCs/>
        </w:rPr>
        <w:t>Kangle</w:t>
      </w:r>
      <w:proofErr w:type="spellEnd"/>
      <w:r w:rsidRPr="002B194C">
        <w:rPr>
          <w:bCs/>
        </w:rPr>
        <w:t xml:space="preserve">, R. (2022). Comparison of efficacy of filter paper cyanmethemoglobin method with automated hematology analyzer for estimation of hemoglobin. </w:t>
      </w:r>
      <w:r w:rsidRPr="002B194C">
        <w:rPr>
          <w:bCs/>
          <w:i/>
        </w:rPr>
        <w:t>Asian Journal of Transfusion Science, 16</w:t>
      </w:r>
      <w:r w:rsidRPr="002B194C">
        <w:rPr>
          <w:bCs/>
        </w:rPr>
        <w:t xml:space="preserve">(1), 78–82. </w:t>
      </w:r>
      <w:hyperlink r:id="rId32">
        <w:r w:rsidR="00163EB8" w:rsidRPr="002B194C">
          <w:rPr>
            <w:bCs/>
            <w:color w:val="000000"/>
          </w:rPr>
          <w:t>https://doi.org/10.4103/ajts.AJTS_135_16</w:t>
        </w:r>
      </w:hyperlink>
    </w:p>
    <w:p w14:paraId="027774F2" w14:textId="77777777" w:rsidR="00163EB8" w:rsidRPr="002B194C" w:rsidRDefault="00000000">
      <w:pPr>
        <w:pStyle w:val="NormalWeb"/>
        <w:spacing w:before="0" w:after="0"/>
        <w:ind w:left="720" w:hanging="720"/>
        <w:rPr>
          <w:bCs/>
        </w:rPr>
      </w:pPr>
      <w:r w:rsidRPr="002B194C">
        <w:rPr>
          <w:bCs/>
        </w:rPr>
        <w:t xml:space="preserve">Kumawat, R., Ojha, M. L., Saini, V. P., &amp; Sharma, S. K. (2018). Effect of water hardness on survival and growth of </w:t>
      </w:r>
      <w:proofErr w:type="spellStart"/>
      <w:r w:rsidRPr="002B194C">
        <w:rPr>
          <w:bCs/>
          <w:i/>
        </w:rPr>
        <w:t>Labeo</w:t>
      </w:r>
      <w:proofErr w:type="spellEnd"/>
      <w:r w:rsidRPr="002B194C">
        <w:rPr>
          <w:bCs/>
          <w:i/>
        </w:rPr>
        <w:t xml:space="preserve"> </w:t>
      </w:r>
      <w:proofErr w:type="spellStart"/>
      <w:r w:rsidRPr="002B194C">
        <w:rPr>
          <w:bCs/>
          <w:i/>
        </w:rPr>
        <w:t>rohita</w:t>
      </w:r>
      <w:proofErr w:type="spellEnd"/>
      <w:r w:rsidRPr="002B194C">
        <w:rPr>
          <w:bCs/>
        </w:rPr>
        <w:t xml:space="preserve"> (Hamilton) fry. </w:t>
      </w:r>
      <w:r w:rsidRPr="002B194C">
        <w:rPr>
          <w:bCs/>
          <w:i/>
        </w:rPr>
        <w:t>Journal of Entomology and Zoology Studies, 6</w:t>
      </w:r>
      <w:r w:rsidRPr="002B194C">
        <w:rPr>
          <w:bCs/>
        </w:rPr>
        <w:t xml:space="preserve">(5), 2337–2341. </w:t>
      </w:r>
      <w:hyperlink r:id="rId33">
        <w:r w:rsidR="00163EB8" w:rsidRPr="002B194C">
          <w:rPr>
            <w:bCs/>
            <w:color w:val="000000"/>
          </w:rPr>
          <w:t>https://www.researchgate.net/publication/328477770_Effect_of_water_hardness_on_survival_and_growth_of_Labeo_rohita_Hamilton_fry</w:t>
        </w:r>
      </w:hyperlink>
    </w:p>
    <w:p w14:paraId="3BCE0F07" w14:textId="77777777" w:rsidR="00163EB8" w:rsidRPr="002B194C" w:rsidRDefault="00000000">
      <w:pPr>
        <w:pStyle w:val="NormalWeb"/>
        <w:spacing w:before="0" w:after="0"/>
        <w:ind w:left="720" w:hanging="720"/>
        <w:rPr>
          <w:bCs/>
        </w:rPr>
      </w:pPr>
      <w:r w:rsidRPr="002B194C">
        <w:rPr>
          <w:bCs/>
        </w:rPr>
        <w:lastRenderedPageBreak/>
        <w:t xml:space="preserve">Makkar, H. P. S., &amp; Becker, K. (1997). Nutrients and </w:t>
      </w:r>
      <w:proofErr w:type="spellStart"/>
      <w:r w:rsidRPr="002B194C">
        <w:rPr>
          <w:bCs/>
        </w:rPr>
        <w:t>antiquality</w:t>
      </w:r>
      <w:proofErr w:type="spellEnd"/>
      <w:r w:rsidRPr="002B194C">
        <w:rPr>
          <w:bCs/>
        </w:rPr>
        <w:t xml:space="preserve"> factors in different morphological parts of the </w:t>
      </w:r>
      <w:r w:rsidRPr="002B194C">
        <w:rPr>
          <w:bCs/>
          <w:i/>
        </w:rPr>
        <w:t>Moringa oleifera</w:t>
      </w:r>
      <w:r w:rsidRPr="002B194C">
        <w:rPr>
          <w:bCs/>
        </w:rPr>
        <w:t xml:space="preserve"> tree. </w:t>
      </w:r>
      <w:r w:rsidRPr="002B194C">
        <w:rPr>
          <w:bCs/>
          <w:i/>
        </w:rPr>
        <w:t>The Journal of Agricultural Science, 128</w:t>
      </w:r>
      <w:r w:rsidRPr="002B194C">
        <w:rPr>
          <w:bCs/>
        </w:rPr>
        <w:t xml:space="preserve">(3), 311–322. </w:t>
      </w:r>
      <w:hyperlink r:id="rId34">
        <w:r w:rsidR="00163EB8" w:rsidRPr="002B194C">
          <w:rPr>
            <w:bCs/>
            <w:color w:val="000000"/>
          </w:rPr>
          <w:t>https://doi.org/10.1017/S0021859697004292</w:t>
        </w:r>
      </w:hyperlink>
    </w:p>
    <w:p w14:paraId="6B235257" w14:textId="77777777" w:rsidR="00163EB8" w:rsidRPr="002B194C" w:rsidRDefault="00000000">
      <w:pPr>
        <w:pStyle w:val="NormalWeb"/>
        <w:spacing w:before="0" w:after="0"/>
        <w:ind w:left="720" w:hanging="720"/>
        <w:rPr>
          <w:bCs/>
        </w:rPr>
      </w:pPr>
      <w:r w:rsidRPr="002B194C">
        <w:rPr>
          <w:bCs/>
        </w:rPr>
        <w:t xml:space="preserve">Malik, S., Hussain, S., &amp; Waqas, M. S. (2020). Effect of water quality and different meals on growth of </w:t>
      </w:r>
      <w:proofErr w:type="spellStart"/>
      <w:r w:rsidRPr="002B194C">
        <w:rPr>
          <w:bCs/>
          <w:i/>
        </w:rPr>
        <w:t>Catla</w:t>
      </w:r>
      <w:proofErr w:type="spellEnd"/>
      <w:r w:rsidRPr="002B194C">
        <w:rPr>
          <w:bCs/>
          <w:i/>
        </w:rPr>
        <w:t xml:space="preserve"> </w:t>
      </w:r>
      <w:proofErr w:type="spellStart"/>
      <w:r w:rsidRPr="002B194C">
        <w:rPr>
          <w:bCs/>
          <w:i/>
        </w:rPr>
        <w:t>catla</w:t>
      </w:r>
      <w:proofErr w:type="spellEnd"/>
      <w:r w:rsidRPr="002B194C">
        <w:rPr>
          <w:bCs/>
        </w:rPr>
        <w:t xml:space="preserve"> and </w:t>
      </w:r>
      <w:proofErr w:type="spellStart"/>
      <w:r w:rsidRPr="002B194C">
        <w:rPr>
          <w:bCs/>
          <w:i/>
        </w:rPr>
        <w:t>Labeo</w:t>
      </w:r>
      <w:proofErr w:type="spellEnd"/>
      <w:r w:rsidRPr="002B194C">
        <w:rPr>
          <w:bCs/>
          <w:i/>
        </w:rPr>
        <w:t xml:space="preserve"> </w:t>
      </w:r>
      <w:proofErr w:type="spellStart"/>
      <w:r w:rsidRPr="002B194C">
        <w:rPr>
          <w:bCs/>
          <w:i/>
        </w:rPr>
        <w:t>rohita</w:t>
      </w:r>
      <w:proofErr w:type="spellEnd"/>
      <w:r w:rsidRPr="002B194C">
        <w:rPr>
          <w:bCs/>
        </w:rPr>
        <w:t xml:space="preserve">. </w:t>
      </w:r>
      <w:r w:rsidRPr="002B194C">
        <w:rPr>
          <w:bCs/>
          <w:i/>
        </w:rPr>
        <w:t>Big Data in Water Resources Engineering, 1</w:t>
      </w:r>
      <w:r w:rsidRPr="002B194C">
        <w:rPr>
          <w:bCs/>
        </w:rPr>
        <w:t xml:space="preserve">(1), 4–8. </w:t>
      </w:r>
      <w:hyperlink r:id="rId35">
        <w:r w:rsidR="00163EB8" w:rsidRPr="002B194C">
          <w:rPr>
            <w:bCs/>
            <w:color w:val="000000"/>
          </w:rPr>
          <w:t>https://doi.org/10.26480/bdwre.01.2020.04.08</w:t>
        </w:r>
      </w:hyperlink>
    </w:p>
    <w:p w14:paraId="451AB96F" w14:textId="77777777" w:rsidR="00163EB8" w:rsidRPr="002B194C" w:rsidRDefault="00000000">
      <w:pPr>
        <w:pStyle w:val="NormalWeb"/>
        <w:spacing w:before="0" w:after="0"/>
        <w:ind w:left="720" w:hanging="720"/>
        <w:rPr>
          <w:bCs/>
        </w:rPr>
      </w:pPr>
      <w:r w:rsidRPr="002B194C">
        <w:rPr>
          <w:bCs/>
        </w:rPr>
        <w:t xml:space="preserve">Mehdi, H., Khan, N., Iqbal, K. J., Rasool, F., Chaudhry, M. S., &amp; Khan, K. J. (2016). Effect of </w:t>
      </w:r>
      <w:r w:rsidRPr="002B194C">
        <w:rPr>
          <w:bCs/>
          <w:i/>
        </w:rPr>
        <w:t>Moringa oleifera</w:t>
      </w:r>
      <w:r w:rsidRPr="002B194C">
        <w:rPr>
          <w:bCs/>
        </w:rPr>
        <w:t xml:space="preserve"> meal on the growth, body composition, and nutrient digestibility of </w:t>
      </w:r>
      <w:proofErr w:type="spellStart"/>
      <w:r w:rsidRPr="002B194C">
        <w:rPr>
          <w:bCs/>
          <w:i/>
        </w:rPr>
        <w:t>Labeo</w:t>
      </w:r>
      <w:proofErr w:type="spellEnd"/>
      <w:r w:rsidRPr="002B194C">
        <w:rPr>
          <w:bCs/>
          <w:i/>
        </w:rPr>
        <w:t xml:space="preserve"> </w:t>
      </w:r>
      <w:proofErr w:type="spellStart"/>
      <w:r w:rsidRPr="002B194C">
        <w:rPr>
          <w:bCs/>
          <w:i/>
        </w:rPr>
        <w:t>rohita</w:t>
      </w:r>
      <w:proofErr w:type="spellEnd"/>
      <w:r w:rsidRPr="002B194C">
        <w:rPr>
          <w:bCs/>
        </w:rPr>
        <w:t xml:space="preserve">. </w:t>
      </w:r>
      <w:r w:rsidRPr="002B194C">
        <w:rPr>
          <w:bCs/>
          <w:i/>
        </w:rPr>
        <w:t>International Journal of Biosciences, 8</w:t>
      </w:r>
      <w:r w:rsidRPr="002B194C">
        <w:rPr>
          <w:bCs/>
        </w:rPr>
        <w:t xml:space="preserve">(4), 11–17. </w:t>
      </w:r>
      <w:hyperlink r:id="rId36">
        <w:r w:rsidR="00163EB8" w:rsidRPr="002B194C">
          <w:rPr>
            <w:bCs/>
            <w:color w:val="000000"/>
          </w:rPr>
          <w:t>https://doi.org/10.12692/ijb/8.4.11-17</w:t>
        </w:r>
      </w:hyperlink>
    </w:p>
    <w:p w14:paraId="2D48AB78" w14:textId="77777777" w:rsidR="00163EB8" w:rsidRPr="002B194C" w:rsidRDefault="00000000">
      <w:pPr>
        <w:pStyle w:val="NormalWeb"/>
        <w:spacing w:before="0" w:after="0"/>
        <w:ind w:left="720" w:hanging="720"/>
        <w:rPr>
          <w:bCs/>
        </w:rPr>
      </w:pPr>
      <w:r w:rsidRPr="002B194C">
        <w:rPr>
          <w:bCs/>
        </w:rPr>
        <w:t>Momin, M., &amp; Memiş, D. (2023). Potential use of the miracle tree (</w:t>
      </w:r>
      <w:r w:rsidRPr="002B194C">
        <w:rPr>
          <w:bCs/>
          <w:i/>
        </w:rPr>
        <w:t>Moringa oleifera</w:t>
      </w:r>
      <w:r w:rsidRPr="002B194C">
        <w:rPr>
          <w:bCs/>
        </w:rPr>
        <w:t xml:space="preserve">) leaves in aquaculture: A recent update. </w:t>
      </w:r>
      <w:r w:rsidRPr="002B194C">
        <w:rPr>
          <w:bCs/>
          <w:i/>
        </w:rPr>
        <w:t>Aquatic Sciences and Engineering, 38</w:t>
      </w:r>
      <w:r w:rsidRPr="002B194C">
        <w:rPr>
          <w:bCs/>
        </w:rPr>
        <w:t xml:space="preserve">(2), 122–130. </w:t>
      </w:r>
      <w:hyperlink r:id="rId37">
        <w:r w:rsidR="00163EB8" w:rsidRPr="002B194C">
          <w:rPr>
            <w:bCs/>
            <w:color w:val="000000"/>
          </w:rPr>
          <w:t>https://doi.org/10.26650/ASE20221225220</w:t>
        </w:r>
      </w:hyperlink>
    </w:p>
    <w:p w14:paraId="57E6F3C2" w14:textId="77777777" w:rsidR="00163EB8" w:rsidRPr="002B194C" w:rsidRDefault="00000000">
      <w:pPr>
        <w:pStyle w:val="NormalWeb"/>
        <w:spacing w:before="0" w:after="0"/>
        <w:ind w:left="720" w:hanging="720"/>
        <w:rPr>
          <w:bCs/>
        </w:rPr>
      </w:pPr>
      <w:r w:rsidRPr="002B194C">
        <w:rPr>
          <w:bCs/>
        </w:rPr>
        <w:t xml:space="preserve">Monir, W., Abdel-Rahman, M. A., Hassan, S. E. D., Mansour, E. S., &amp; Awad, S. M. M. (2020). Pomegranate peel- and moringa-based diets enhanced biochemical and immune parameters of Nile tilapia against bacterial infection by </w:t>
      </w:r>
      <w:r w:rsidRPr="002B194C">
        <w:rPr>
          <w:bCs/>
          <w:i/>
        </w:rPr>
        <w:t xml:space="preserve">Aeromonas </w:t>
      </w:r>
      <w:proofErr w:type="spellStart"/>
      <w:r w:rsidRPr="002B194C">
        <w:rPr>
          <w:bCs/>
          <w:i/>
        </w:rPr>
        <w:t>hydrophila</w:t>
      </w:r>
      <w:proofErr w:type="spellEnd"/>
      <w:r w:rsidRPr="002B194C">
        <w:rPr>
          <w:bCs/>
        </w:rPr>
        <w:t xml:space="preserve">. </w:t>
      </w:r>
      <w:r w:rsidRPr="002B194C">
        <w:rPr>
          <w:bCs/>
          <w:i/>
        </w:rPr>
        <w:t>Microbial Pathogenesis, 145</w:t>
      </w:r>
      <w:r w:rsidRPr="002B194C">
        <w:rPr>
          <w:bCs/>
        </w:rPr>
        <w:t xml:space="preserve">, 104202. </w:t>
      </w:r>
      <w:hyperlink r:id="rId38">
        <w:r w:rsidR="00163EB8" w:rsidRPr="002B194C">
          <w:rPr>
            <w:bCs/>
            <w:color w:val="000000"/>
          </w:rPr>
          <w:t>https://doi.org/10.1016/j.micpath.2020.104202</w:t>
        </w:r>
      </w:hyperlink>
    </w:p>
    <w:p w14:paraId="52223929" w14:textId="77777777" w:rsidR="00163EB8" w:rsidRPr="002B194C" w:rsidRDefault="00000000">
      <w:pPr>
        <w:pStyle w:val="NormalWeb"/>
        <w:spacing w:before="0" w:after="0"/>
        <w:ind w:left="720" w:hanging="720"/>
        <w:rPr>
          <w:bCs/>
        </w:rPr>
      </w:pPr>
      <w:r w:rsidRPr="002B194C">
        <w:rPr>
          <w:bCs/>
        </w:rPr>
        <w:t xml:space="preserve">Nassar, A. A. M. A., Gharib, A. A. E.-A., Abdelgalil, S. Y., </w:t>
      </w:r>
      <w:proofErr w:type="spellStart"/>
      <w:r w:rsidRPr="002B194C">
        <w:rPr>
          <w:bCs/>
        </w:rPr>
        <w:t>AbdAllah</w:t>
      </w:r>
      <w:proofErr w:type="spellEnd"/>
      <w:r w:rsidRPr="002B194C">
        <w:rPr>
          <w:bCs/>
        </w:rPr>
        <w:t xml:space="preserve">, H. M., &amp; </w:t>
      </w:r>
      <w:proofErr w:type="spellStart"/>
      <w:r w:rsidRPr="002B194C">
        <w:rPr>
          <w:bCs/>
        </w:rPr>
        <w:t>Elmowalid</w:t>
      </w:r>
      <w:proofErr w:type="spellEnd"/>
      <w:r w:rsidRPr="002B194C">
        <w:rPr>
          <w:bCs/>
        </w:rPr>
        <w:t xml:space="preserve">, G. A. (2024). Immunomodulatory, antioxidant, and growth-promoting activities of dietary fermented </w:t>
      </w:r>
      <w:r w:rsidRPr="002B194C">
        <w:rPr>
          <w:bCs/>
          <w:i/>
        </w:rPr>
        <w:t>Moringa oleifera</w:t>
      </w:r>
      <w:r w:rsidRPr="002B194C">
        <w:rPr>
          <w:bCs/>
        </w:rPr>
        <w:t xml:space="preserve"> in Nile tilapia (</w:t>
      </w:r>
      <w:proofErr w:type="spellStart"/>
      <w:r w:rsidRPr="002B194C">
        <w:rPr>
          <w:bCs/>
          <w:i/>
        </w:rPr>
        <w:t>Oreochromus</w:t>
      </w:r>
      <w:proofErr w:type="spellEnd"/>
      <w:r w:rsidRPr="002B194C">
        <w:rPr>
          <w:bCs/>
          <w:i/>
        </w:rPr>
        <w:t xml:space="preserve"> niloticus</w:t>
      </w:r>
      <w:r w:rsidRPr="002B194C">
        <w:rPr>
          <w:bCs/>
        </w:rPr>
        <w:t xml:space="preserve">) with in-vivo protection against </w:t>
      </w:r>
      <w:r w:rsidRPr="002B194C">
        <w:rPr>
          <w:bCs/>
          <w:i/>
        </w:rPr>
        <w:t xml:space="preserve">Aeromonas </w:t>
      </w:r>
      <w:proofErr w:type="spellStart"/>
      <w:r w:rsidRPr="002B194C">
        <w:rPr>
          <w:bCs/>
          <w:i/>
        </w:rPr>
        <w:t>hydrophila</w:t>
      </w:r>
      <w:proofErr w:type="spellEnd"/>
      <w:r w:rsidRPr="002B194C">
        <w:rPr>
          <w:bCs/>
        </w:rPr>
        <w:t xml:space="preserve">. </w:t>
      </w:r>
      <w:r w:rsidRPr="002B194C">
        <w:rPr>
          <w:bCs/>
          <w:i/>
        </w:rPr>
        <w:t>BMC Veterinary Research, 20</w:t>
      </w:r>
      <w:r w:rsidRPr="002B194C">
        <w:rPr>
          <w:bCs/>
        </w:rPr>
        <w:t xml:space="preserve">, 231. </w:t>
      </w:r>
      <w:hyperlink r:id="rId39">
        <w:r w:rsidR="00163EB8" w:rsidRPr="002B194C">
          <w:rPr>
            <w:bCs/>
            <w:color w:val="000000"/>
          </w:rPr>
          <w:t>https://doi.org/10.1186/s12917-024-04070-3</w:t>
        </w:r>
      </w:hyperlink>
    </w:p>
    <w:p w14:paraId="05F7B204" w14:textId="77777777" w:rsidR="00163EB8" w:rsidRPr="002B194C" w:rsidRDefault="00000000">
      <w:pPr>
        <w:pStyle w:val="NormalWeb"/>
        <w:spacing w:before="0" w:after="0"/>
        <w:ind w:left="720" w:hanging="720"/>
        <w:rPr>
          <w:bCs/>
        </w:rPr>
      </w:pPr>
      <w:r w:rsidRPr="002B194C">
        <w:rPr>
          <w:bCs/>
        </w:rPr>
        <w:t xml:space="preserve">Naylor, R. L., Hardy, R. W., Buschmann, A. H., Bush, S. R., Cao, L., Klinger, D. H., Little, D. C., Lubchenco, J., Shumway, S. E., &amp; Troell, M. (2021). A 20-year retrospective review of global aquaculture. </w:t>
      </w:r>
      <w:r w:rsidRPr="002B194C">
        <w:rPr>
          <w:bCs/>
          <w:i/>
        </w:rPr>
        <w:t>Nature, 591</w:t>
      </w:r>
      <w:r w:rsidRPr="002B194C">
        <w:rPr>
          <w:bCs/>
        </w:rPr>
        <w:t xml:space="preserve">(7851), 551–563. </w:t>
      </w:r>
      <w:hyperlink r:id="rId40">
        <w:r w:rsidR="00163EB8" w:rsidRPr="002B194C">
          <w:rPr>
            <w:bCs/>
            <w:color w:val="000000"/>
          </w:rPr>
          <w:t>https://doi.org/10.1038/s41586-021-03308-6</w:t>
        </w:r>
      </w:hyperlink>
    </w:p>
    <w:p w14:paraId="0A74E7F2" w14:textId="77777777" w:rsidR="00163EB8" w:rsidRPr="002B194C" w:rsidRDefault="00000000">
      <w:pPr>
        <w:pStyle w:val="NormalWeb"/>
        <w:spacing w:before="0" w:after="0"/>
        <w:ind w:left="720" w:hanging="720"/>
        <w:rPr>
          <w:bCs/>
        </w:rPr>
      </w:pPr>
      <w:r w:rsidRPr="002B194C">
        <w:rPr>
          <w:bCs/>
        </w:rPr>
        <w:t xml:space="preserve">Panda, P. P., Kumar, P., Mallick, B. C., Kumar, N., &amp; Ghoshal, T. K. (2025). Effects of </w:t>
      </w:r>
      <w:r w:rsidRPr="002B194C">
        <w:rPr>
          <w:bCs/>
          <w:i/>
        </w:rPr>
        <w:t>Moringa oleifera</w:t>
      </w:r>
      <w:r w:rsidRPr="002B194C">
        <w:rPr>
          <w:bCs/>
        </w:rPr>
        <w:t xml:space="preserve"> seed extract on growth and </w:t>
      </w:r>
      <w:proofErr w:type="spellStart"/>
      <w:r w:rsidRPr="002B194C">
        <w:rPr>
          <w:bCs/>
        </w:rPr>
        <w:t>immunophysiology</w:t>
      </w:r>
      <w:proofErr w:type="spellEnd"/>
      <w:r w:rsidRPr="002B194C">
        <w:rPr>
          <w:bCs/>
        </w:rPr>
        <w:t xml:space="preserve"> of whisker catfish (</w:t>
      </w:r>
      <w:proofErr w:type="spellStart"/>
      <w:r w:rsidRPr="002B194C">
        <w:rPr>
          <w:bCs/>
          <w:i/>
        </w:rPr>
        <w:t>Mystus</w:t>
      </w:r>
      <w:proofErr w:type="spellEnd"/>
      <w:r w:rsidRPr="002B194C">
        <w:rPr>
          <w:bCs/>
          <w:i/>
        </w:rPr>
        <w:t xml:space="preserve"> </w:t>
      </w:r>
      <w:proofErr w:type="spellStart"/>
      <w:r w:rsidRPr="002B194C">
        <w:rPr>
          <w:bCs/>
          <w:i/>
        </w:rPr>
        <w:t>gulio</w:t>
      </w:r>
      <w:proofErr w:type="spellEnd"/>
      <w:r w:rsidRPr="002B194C">
        <w:rPr>
          <w:bCs/>
        </w:rPr>
        <w:t xml:space="preserve">) fingerlings. </w:t>
      </w:r>
      <w:r w:rsidRPr="002B194C">
        <w:rPr>
          <w:bCs/>
          <w:i/>
        </w:rPr>
        <w:t>Fish Physiology and Biochemistry, 51</w:t>
      </w:r>
      <w:r w:rsidRPr="002B194C">
        <w:rPr>
          <w:bCs/>
        </w:rPr>
        <w:t>, Article 44. https://doi.org/10.1007/s10695-025-01454-6</w:t>
      </w:r>
    </w:p>
    <w:p w14:paraId="41F2F400" w14:textId="77777777" w:rsidR="00163EB8" w:rsidRPr="002B194C" w:rsidRDefault="00000000">
      <w:pPr>
        <w:pStyle w:val="NormalWeb"/>
        <w:spacing w:before="0" w:after="0"/>
        <w:ind w:left="720" w:hanging="720"/>
        <w:rPr>
          <w:bCs/>
        </w:rPr>
      </w:pPr>
      <w:proofErr w:type="spellStart"/>
      <w:r w:rsidRPr="002B194C">
        <w:rPr>
          <w:bCs/>
        </w:rPr>
        <w:t>Rachmawati</w:t>
      </w:r>
      <w:proofErr w:type="spellEnd"/>
      <w:r w:rsidRPr="002B194C">
        <w:rPr>
          <w:bCs/>
        </w:rPr>
        <w:t xml:space="preserve">, D., </w:t>
      </w:r>
      <w:proofErr w:type="spellStart"/>
      <w:r w:rsidRPr="002B194C">
        <w:rPr>
          <w:bCs/>
        </w:rPr>
        <w:t>Elfitasari</w:t>
      </w:r>
      <w:proofErr w:type="spellEnd"/>
      <w:r w:rsidRPr="002B194C">
        <w:rPr>
          <w:bCs/>
        </w:rPr>
        <w:t xml:space="preserve">, T., &amp; </w:t>
      </w:r>
      <w:proofErr w:type="spellStart"/>
      <w:r w:rsidRPr="002B194C">
        <w:rPr>
          <w:bCs/>
        </w:rPr>
        <w:t>Yuniarti</w:t>
      </w:r>
      <w:proofErr w:type="spellEnd"/>
      <w:r w:rsidRPr="002B194C">
        <w:rPr>
          <w:bCs/>
        </w:rPr>
        <w:t>, T. (2025). The effect of replacement fish meal with earthworm meal and maggot meal in feed on protein digestion, growth and survival rate of catfish (</w:t>
      </w:r>
      <w:r w:rsidRPr="002B194C">
        <w:rPr>
          <w:bCs/>
          <w:i/>
        </w:rPr>
        <w:t xml:space="preserve">Pangasius </w:t>
      </w:r>
      <w:proofErr w:type="spellStart"/>
      <w:r w:rsidRPr="002B194C">
        <w:rPr>
          <w:bCs/>
          <w:i/>
        </w:rPr>
        <w:t>hypophthalmus</w:t>
      </w:r>
      <w:proofErr w:type="spellEnd"/>
      <w:r w:rsidRPr="002B194C">
        <w:rPr>
          <w:bCs/>
        </w:rPr>
        <w:t xml:space="preserve">). </w:t>
      </w:r>
      <w:r w:rsidRPr="002B194C">
        <w:rPr>
          <w:bCs/>
          <w:i/>
        </w:rPr>
        <w:t>Journal of Advances in Food Science &amp; Technology, 12</w:t>
      </w:r>
      <w:r w:rsidRPr="002B194C">
        <w:rPr>
          <w:bCs/>
        </w:rPr>
        <w:t>(2), 20–26. https://doi.org/10.56557/jafsat/2025/v12i29161</w:t>
      </w:r>
    </w:p>
    <w:p w14:paraId="2087699C" w14:textId="77777777" w:rsidR="00163EB8" w:rsidRPr="002B194C" w:rsidRDefault="00000000">
      <w:pPr>
        <w:pStyle w:val="NormalWeb"/>
        <w:spacing w:before="0" w:after="0"/>
        <w:ind w:left="720" w:hanging="720"/>
        <w:rPr>
          <w:bCs/>
        </w:rPr>
      </w:pPr>
      <w:r w:rsidRPr="002B194C">
        <w:rPr>
          <w:bCs/>
        </w:rPr>
        <w:t xml:space="preserve">Richter, N., </w:t>
      </w:r>
      <w:proofErr w:type="spellStart"/>
      <w:r w:rsidRPr="002B194C">
        <w:rPr>
          <w:bCs/>
        </w:rPr>
        <w:t>Siddhuraju</w:t>
      </w:r>
      <w:proofErr w:type="spellEnd"/>
      <w:r w:rsidRPr="002B194C">
        <w:rPr>
          <w:bCs/>
        </w:rPr>
        <w:t>, P., &amp; Becker, K. (2003). Evaluation of nutritional quality of moringa (</w:t>
      </w:r>
      <w:r w:rsidRPr="002B194C">
        <w:rPr>
          <w:bCs/>
          <w:i/>
        </w:rPr>
        <w:t>Moringa oleifera</w:t>
      </w:r>
      <w:r w:rsidRPr="002B194C">
        <w:rPr>
          <w:bCs/>
        </w:rPr>
        <w:t xml:space="preserve"> Lam.) leaves as an alternative protein source for Nile tilapia </w:t>
      </w:r>
      <w:r w:rsidRPr="002B194C">
        <w:rPr>
          <w:bCs/>
        </w:rPr>
        <w:lastRenderedPageBreak/>
        <w:t>(</w:t>
      </w:r>
      <w:r w:rsidRPr="002B194C">
        <w:rPr>
          <w:bCs/>
          <w:i/>
        </w:rPr>
        <w:t>Oreochromis niloticus</w:t>
      </w:r>
      <w:r w:rsidRPr="002B194C">
        <w:rPr>
          <w:bCs/>
        </w:rPr>
        <w:t xml:space="preserve"> L.). </w:t>
      </w:r>
      <w:r w:rsidRPr="002B194C">
        <w:rPr>
          <w:bCs/>
          <w:i/>
        </w:rPr>
        <w:t>Aquaculture, 217</w:t>
      </w:r>
      <w:r w:rsidRPr="002B194C">
        <w:rPr>
          <w:bCs/>
        </w:rPr>
        <w:t xml:space="preserve">(1–4), 599–611. </w:t>
      </w:r>
      <w:hyperlink r:id="rId41">
        <w:r w:rsidR="00163EB8" w:rsidRPr="002B194C">
          <w:rPr>
            <w:bCs/>
            <w:color w:val="000000"/>
          </w:rPr>
          <w:t>https://doi.org/10.1016/S0044-8486(02)00497-0</w:t>
        </w:r>
      </w:hyperlink>
    </w:p>
    <w:p w14:paraId="05EB55B3" w14:textId="77777777" w:rsidR="00163EB8" w:rsidRPr="002B194C" w:rsidRDefault="00000000">
      <w:pPr>
        <w:pStyle w:val="NormalWeb"/>
        <w:spacing w:before="0" w:after="0"/>
        <w:ind w:left="720" w:hanging="720"/>
        <w:rPr>
          <w:bCs/>
        </w:rPr>
      </w:pPr>
      <w:r w:rsidRPr="002B194C">
        <w:rPr>
          <w:bCs/>
        </w:rPr>
        <w:t xml:space="preserve">Saleh, S. Y., Younis, N. A., Sherif, A. H., &amp; Gaber, H. G. (2025). The role of </w:t>
      </w:r>
      <w:r w:rsidRPr="002B194C">
        <w:rPr>
          <w:bCs/>
          <w:i/>
        </w:rPr>
        <w:t>Moringa oleifera</w:t>
      </w:r>
      <w:r w:rsidRPr="002B194C">
        <w:rPr>
          <w:bCs/>
        </w:rPr>
        <w:t xml:space="preserve"> in enhancing fish performance and health: A comprehensive review of sustainable aquaculture applications. </w:t>
      </w:r>
      <w:r w:rsidRPr="002B194C">
        <w:rPr>
          <w:bCs/>
          <w:i/>
        </w:rPr>
        <w:t>Veterinary Research Communications, 49</w:t>
      </w:r>
      <w:r w:rsidRPr="002B194C">
        <w:rPr>
          <w:bCs/>
        </w:rPr>
        <w:t>, Article 308. https://doi.org/10.1007/s11259-025-10889-4</w:t>
      </w:r>
    </w:p>
    <w:p w14:paraId="30436734" w14:textId="77777777" w:rsidR="00163EB8" w:rsidRPr="002B194C" w:rsidRDefault="00000000">
      <w:pPr>
        <w:pStyle w:val="NormalWeb"/>
        <w:spacing w:before="0" w:after="0"/>
        <w:ind w:left="720" w:hanging="720"/>
      </w:pPr>
      <w:r w:rsidRPr="002B194C">
        <w:t xml:space="preserve">Shafique, H., Ashraf, A., Nuzhat, U., &amp; Nuzhat, N. (2025). Impact of varying protein levels on the growth rate of </w:t>
      </w:r>
      <w:proofErr w:type="spellStart"/>
      <w:r w:rsidRPr="002B194C">
        <w:rPr>
          <w:i/>
        </w:rPr>
        <w:t>Labeo</w:t>
      </w:r>
      <w:proofErr w:type="spellEnd"/>
      <w:r w:rsidRPr="002B194C">
        <w:rPr>
          <w:i/>
        </w:rPr>
        <w:t xml:space="preserve"> </w:t>
      </w:r>
      <w:proofErr w:type="spellStart"/>
      <w:r w:rsidRPr="002B194C">
        <w:rPr>
          <w:i/>
        </w:rPr>
        <w:t>rohita</w:t>
      </w:r>
      <w:proofErr w:type="spellEnd"/>
      <w:r w:rsidRPr="002B194C">
        <w:t xml:space="preserve"> reared in glass aquaria. </w:t>
      </w:r>
      <w:proofErr w:type="spellStart"/>
      <w:r w:rsidRPr="002B194C">
        <w:rPr>
          <w:i/>
        </w:rPr>
        <w:t>BioScientific</w:t>
      </w:r>
      <w:proofErr w:type="spellEnd"/>
      <w:r w:rsidRPr="002B194C">
        <w:rPr>
          <w:i/>
        </w:rPr>
        <w:t xml:space="preserve"> Review, 7</w:t>
      </w:r>
      <w:r w:rsidRPr="002B194C">
        <w:t xml:space="preserve">(1), 96–105. </w:t>
      </w:r>
      <w:hyperlink r:id="rId42">
        <w:r w:rsidR="00163EB8" w:rsidRPr="002B194C">
          <w:rPr>
            <w:color w:val="000000"/>
          </w:rPr>
          <w:t>https://doi.org/10.32350/bsr.71.06</w:t>
        </w:r>
      </w:hyperlink>
    </w:p>
    <w:p w14:paraId="24DB120E" w14:textId="77777777" w:rsidR="00163EB8" w:rsidRPr="002B194C" w:rsidRDefault="00000000">
      <w:pPr>
        <w:pStyle w:val="NormalWeb"/>
        <w:spacing w:before="0" w:after="0"/>
        <w:ind w:left="720" w:hanging="720"/>
      </w:pPr>
      <w:r w:rsidRPr="002B194C">
        <w:t>Sharker, M. R., Hasan, K. R., Alam, M. A., Haque, M. N., Choi, S. D., Islam, M. F., Rahman, M. M., Islam, M. M., &amp; Haque, S. A. (2024). Effects of moringa (</w:t>
      </w:r>
      <w:r w:rsidRPr="002B194C">
        <w:rPr>
          <w:i/>
        </w:rPr>
        <w:t>Moringa oleifera</w:t>
      </w:r>
      <w:r w:rsidRPr="002B194C">
        <w:t xml:space="preserve">) leaf powder supplementation on growth performance, </w:t>
      </w:r>
      <w:proofErr w:type="spellStart"/>
      <w:r w:rsidRPr="002B194C">
        <w:t>haematobiochemical</w:t>
      </w:r>
      <w:proofErr w:type="spellEnd"/>
      <w:r w:rsidRPr="002B194C">
        <w:t xml:space="preserve"> parameters, and gene expression profile of stinging catfish, </w:t>
      </w:r>
      <w:proofErr w:type="spellStart"/>
      <w:r w:rsidRPr="002B194C">
        <w:rPr>
          <w:i/>
        </w:rPr>
        <w:t>Heteropneustes</w:t>
      </w:r>
      <w:proofErr w:type="spellEnd"/>
      <w:r w:rsidRPr="002B194C">
        <w:rPr>
          <w:i/>
        </w:rPr>
        <w:t xml:space="preserve"> </w:t>
      </w:r>
      <w:proofErr w:type="spellStart"/>
      <w:r w:rsidRPr="002B194C">
        <w:rPr>
          <w:i/>
        </w:rPr>
        <w:t>fossilis</w:t>
      </w:r>
      <w:proofErr w:type="spellEnd"/>
      <w:r w:rsidRPr="002B194C">
        <w:t xml:space="preserve">. </w:t>
      </w:r>
      <w:r w:rsidRPr="002B194C">
        <w:rPr>
          <w:i/>
        </w:rPr>
        <w:t>Aquaculture Reports, 39</w:t>
      </w:r>
      <w:r w:rsidRPr="002B194C">
        <w:t xml:space="preserve">, 102388. </w:t>
      </w:r>
      <w:hyperlink r:id="rId43">
        <w:r w:rsidR="00163EB8" w:rsidRPr="002B194C">
          <w:rPr>
            <w:color w:val="000000"/>
          </w:rPr>
          <w:t>https://doi.org/10.1016/j.aqrep.2024.102388</w:t>
        </w:r>
      </w:hyperlink>
    </w:p>
    <w:p w14:paraId="0350669A" w14:textId="77777777" w:rsidR="00163EB8" w:rsidRPr="002B194C" w:rsidRDefault="00000000">
      <w:pPr>
        <w:pStyle w:val="NormalWeb"/>
        <w:spacing w:before="0" w:after="0"/>
        <w:ind w:left="720" w:hanging="720"/>
      </w:pPr>
      <w:r w:rsidRPr="002B194C">
        <w:t xml:space="preserve">Su, B., &amp; Chen, X. (2020). Current status and potential of </w:t>
      </w:r>
      <w:r w:rsidRPr="002B194C">
        <w:rPr>
          <w:i/>
        </w:rPr>
        <w:t>Moringa oleifera</w:t>
      </w:r>
      <w:r w:rsidRPr="002B194C">
        <w:t xml:space="preserve"> leaf as an alternative protein source for animal feeds. </w:t>
      </w:r>
      <w:r w:rsidRPr="002B194C">
        <w:rPr>
          <w:i/>
        </w:rPr>
        <w:t>Frontiers in Veterinary Science, 7</w:t>
      </w:r>
      <w:r w:rsidRPr="002B194C">
        <w:t xml:space="preserve">, 53. </w:t>
      </w:r>
      <w:hyperlink r:id="rId44">
        <w:r w:rsidR="00163EB8" w:rsidRPr="002B194C">
          <w:rPr>
            <w:color w:val="000000"/>
          </w:rPr>
          <w:t>https://doi.org/10.3389/fvets.2020.00053</w:t>
        </w:r>
      </w:hyperlink>
    </w:p>
    <w:p w14:paraId="3E7CC84F" w14:textId="77777777" w:rsidR="00163EB8" w:rsidRPr="002B194C" w:rsidRDefault="00000000">
      <w:pPr>
        <w:pStyle w:val="NormalWeb"/>
        <w:spacing w:before="0" w:after="0"/>
        <w:ind w:left="720" w:hanging="720"/>
      </w:pPr>
      <w:r w:rsidRPr="002B194C">
        <w:t xml:space="preserve">Tabassum, S., Hussain, S. M., Ali, S., Arsalan, M. Z. U. H., Ahmad, B., Asrar, M., &amp; Sharif, A. (2023). Partial replacement of fish meal with </w:t>
      </w:r>
      <w:r w:rsidRPr="002B194C">
        <w:rPr>
          <w:i/>
        </w:rPr>
        <w:t>Moringa oleifera</w:t>
      </w:r>
      <w:r w:rsidRPr="002B194C">
        <w:t xml:space="preserve"> leaf meal in practical diets of </w:t>
      </w:r>
      <w:proofErr w:type="spellStart"/>
      <w:r w:rsidRPr="002B194C">
        <w:rPr>
          <w:i/>
        </w:rPr>
        <w:t>Cirrhinus</w:t>
      </w:r>
      <w:proofErr w:type="spellEnd"/>
      <w:r w:rsidRPr="002B194C">
        <w:rPr>
          <w:i/>
        </w:rPr>
        <w:t xml:space="preserve"> </w:t>
      </w:r>
      <w:proofErr w:type="spellStart"/>
      <w:r w:rsidRPr="002B194C">
        <w:rPr>
          <w:i/>
        </w:rPr>
        <w:t>mrigala</w:t>
      </w:r>
      <w:proofErr w:type="spellEnd"/>
      <w:r w:rsidRPr="002B194C">
        <w:t xml:space="preserve"> fingerlings. </w:t>
      </w:r>
      <w:r w:rsidRPr="002B194C">
        <w:rPr>
          <w:i/>
        </w:rPr>
        <w:t>Brazilian Journal of Biology, 83</w:t>
      </w:r>
      <w:r w:rsidRPr="002B194C">
        <w:t xml:space="preserve">, e246333. </w:t>
      </w:r>
      <w:hyperlink r:id="rId45">
        <w:r w:rsidR="00163EB8" w:rsidRPr="002B194C">
          <w:rPr>
            <w:color w:val="000000"/>
          </w:rPr>
          <w:t>https://doi.org/10.1590/1519-6984.246333</w:t>
        </w:r>
      </w:hyperlink>
    </w:p>
    <w:p w14:paraId="541D588A" w14:textId="77777777" w:rsidR="00163EB8" w:rsidRPr="002B194C" w:rsidRDefault="00000000">
      <w:pPr>
        <w:pStyle w:val="NormalWeb"/>
        <w:spacing w:before="0" w:after="0"/>
        <w:ind w:left="720" w:hanging="720"/>
      </w:pPr>
      <w:r w:rsidRPr="002B194C">
        <w:t xml:space="preserve">Tabassum, S., Hussain, S. M., Ali, S., Sarker, P. K., Al-Ghanim, K. A., &amp; </w:t>
      </w:r>
      <w:proofErr w:type="spellStart"/>
      <w:r w:rsidRPr="002B194C">
        <w:t>Lalarukh</w:t>
      </w:r>
      <w:proofErr w:type="spellEnd"/>
      <w:r w:rsidRPr="002B194C">
        <w:t xml:space="preserve">. (2025). </w:t>
      </w:r>
      <w:r w:rsidRPr="002B194C">
        <w:rPr>
          <w:i/>
        </w:rPr>
        <w:t>Moringa oleifera</w:t>
      </w:r>
      <w:r w:rsidRPr="002B194C">
        <w:t xml:space="preserve"> seed meal as a sustainable fishmeal substitute: Growth and health implications for </w:t>
      </w:r>
      <w:proofErr w:type="spellStart"/>
      <w:r w:rsidRPr="002B194C">
        <w:rPr>
          <w:i/>
        </w:rPr>
        <w:t>Cirrhinus</w:t>
      </w:r>
      <w:proofErr w:type="spellEnd"/>
      <w:r w:rsidRPr="002B194C">
        <w:rPr>
          <w:i/>
        </w:rPr>
        <w:t xml:space="preserve"> </w:t>
      </w:r>
      <w:proofErr w:type="spellStart"/>
      <w:r w:rsidRPr="002B194C">
        <w:rPr>
          <w:i/>
        </w:rPr>
        <w:t>mrigala</w:t>
      </w:r>
      <w:proofErr w:type="spellEnd"/>
      <w:r w:rsidRPr="002B194C">
        <w:t xml:space="preserve">. </w:t>
      </w:r>
      <w:r w:rsidRPr="002B194C">
        <w:rPr>
          <w:i/>
        </w:rPr>
        <w:t>Aquaculture Reports, 40</w:t>
      </w:r>
      <w:r w:rsidRPr="002B194C">
        <w:t>, 102634. https://doi.org/10.1016/j.aqrep.2025.102634</w:t>
      </w:r>
    </w:p>
    <w:p w14:paraId="04DA8ED0" w14:textId="77777777" w:rsidR="00163EB8" w:rsidRPr="002B194C" w:rsidRDefault="00000000">
      <w:pPr>
        <w:pStyle w:val="NormalWeb"/>
        <w:spacing w:before="0" w:after="0"/>
        <w:ind w:left="720" w:hanging="720"/>
      </w:pPr>
      <w:r w:rsidRPr="002B194C">
        <w:t xml:space="preserve">Tacon, A. G. J., &amp; Metian, M. (2008). Global overview on the use of fish meal and fish oil in industrially compounded aquafeeds: Trends and future prospects. </w:t>
      </w:r>
      <w:r w:rsidRPr="002B194C">
        <w:rPr>
          <w:i/>
        </w:rPr>
        <w:t>Aquaculture, 285</w:t>
      </w:r>
      <w:r w:rsidRPr="002B194C">
        <w:t xml:space="preserve">(1–4), 146–158. </w:t>
      </w:r>
      <w:hyperlink r:id="rId46">
        <w:r w:rsidR="00163EB8" w:rsidRPr="002B194C">
          <w:rPr>
            <w:color w:val="000000"/>
          </w:rPr>
          <w:t>https://doi.org/10.1016/j.aquaculture.2008.08.015</w:t>
        </w:r>
      </w:hyperlink>
    </w:p>
    <w:p w14:paraId="4FA56B86" w14:textId="77777777" w:rsidR="00163EB8" w:rsidRPr="002B194C" w:rsidRDefault="00000000">
      <w:pPr>
        <w:pStyle w:val="NormalWeb"/>
        <w:spacing w:before="0" w:after="0"/>
        <w:ind w:left="720" w:hanging="720"/>
      </w:pPr>
      <w:r w:rsidRPr="002B194C">
        <w:t xml:space="preserve">Tanuja, S., Das, L., Sarkar, A., Seth, T., Devi, M., Sarangi, S. K., Sahoo, P. R., &amp; Jena, B. B. (2026). Pulsed feeding regimes for the rearing of </w:t>
      </w:r>
      <w:proofErr w:type="spellStart"/>
      <w:r w:rsidRPr="002B194C">
        <w:rPr>
          <w:i/>
        </w:rPr>
        <w:t>Labeo</w:t>
      </w:r>
      <w:proofErr w:type="spellEnd"/>
      <w:r w:rsidRPr="002B194C">
        <w:rPr>
          <w:i/>
        </w:rPr>
        <w:t xml:space="preserve"> </w:t>
      </w:r>
      <w:proofErr w:type="spellStart"/>
      <w:r w:rsidRPr="002B194C">
        <w:rPr>
          <w:i/>
        </w:rPr>
        <w:t>rohita</w:t>
      </w:r>
      <w:proofErr w:type="spellEnd"/>
      <w:r w:rsidRPr="002B194C">
        <w:t xml:space="preserve"> (Hamilton) fry: A climate-smart approach. </w:t>
      </w:r>
      <w:r w:rsidRPr="002B194C">
        <w:rPr>
          <w:i/>
        </w:rPr>
        <w:t>Indian Journal of Animal Research, 60</w:t>
      </w:r>
      <w:r w:rsidRPr="002B194C">
        <w:t xml:space="preserve">(5), 923–930. </w:t>
      </w:r>
      <w:hyperlink r:id="rId47">
        <w:r w:rsidR="00163EB8" w:rsidRPr="002B194C">
          <w:rPr>
            <w:color w:val="000000"/>
          </w:rPr>
          <w:t>https://doi.org/10.18805/IJAR.B-5524</w:t>
        </w:r>
      </w:hyperlink>
    </w:p>
    <w:p w14:paraId="181AC2BB" w14:textId="77777777" w:rsidR="00163EB8" w:rsidRPr="002B194C" w:rsidRDefault="00000000">
      <w:pPr>
        <w:pStyle w:val="NormalWeb"/>
        <w:spacing w:before="0" w:after="0"/>
        <w:ind w:left="720" w:hanging="720"/>
      </w:pPr>
      <w:r w:rsidRPr="002B194C">
        <w:rPr>
          <w:lang w:val="es-US"/>
        </w:rPr>
        <w:t xml:space="preserve">Teixeira, E. M. B., Carvalho, M. R. B., Neves, V. A., Silva, M. A., &amp; Arantes-Pereira, L. (2014). </w:t>
      </w:r>
      <w:r w:rsidRPr="002B194C">
        <w:t xml:space="preserve">Chemical characteristics and fractionation of proteins from </w:t>
      </w:r>
      <w:r w:rsidRPr="002B194C">
        <w:rPr>
          <w:i/>
        </w:rPr>
        <w:t>Moringa oleifera</w:t>
      </w:r>
      <w:r w:rsidRPr="002B194C">
        <w:t xml:space="preserve"> Lam. leaves. </w:t>
      </w:r>
      <w:r w:rsidRPr="002B194C">
        <w:rPr>
          <w:i/>
        </w:rPr>
        <w:t>Food Chemistry, 147</w:t>
      </w:r>
      <w:r w:rsidRPr="002B194C">
        <w:t xml:space="preserve">, 51–54. </w:t>
      </w:r>
      <w:hyperlink r:id="rId48">
        <w:r w:rsidR="00163EB8" w:rsidRPr="002B194C">
          <w:rPr>
            <w:color w:val="000000"/>
          </w:rPr>
          <w:t>https://doi.org/10.1016/j.foodchem.2013.09.135</w:t>
        </w:r>
      </w:hyperlink>
    </w:p>
    <w:p w14:paraId="55AD4B9C" w14:textId="77777777" w:rsidR="00163EB8" w:rsidRPr="002B194C" w:rsidRDefault="00000000">
      <w:pPr>
        <w:pStyle w:val="NormalWeb"/>
        <w:spacing w:before="0" w:after="0"/>
        <w:ind w:left="720" w:hanging="720"/>
      </w:pPr>
      <w:proofErr w:type="spellStart"/>
      <w:r w:rsidRPr="002B194C">
        <w:lastRenderedPageBreak/>
        <w:t>Witeska</w:t>
      </w:r>
      <w:proofErr w:type="spellEnd"/>
      <w:r w:rsidRPr="002B194C">
        <w:t xml:space="preserve">, M., </w:t>
      </w:r>
      <w:proofErr w:type="spellStart"/>
      <w:r w:rsidRPr="002B194C">
        <w:t>Kondera</w:t>
      </w:r>
      <w:proofErr w:type="spellEnd"/>
      <w:r w:rsidRPr="002B194C">
        <w:t xml:space="preserve">, E., </w:t>
      </w:r>
      <w:proofErr w:type="spellStart"/>
      <w:r w:rsidRPr="002B194C">
        <w:t>Ługowska</w:t>
      </w:r>
      <w:proofErr w:type="spellEnd"/>
      <w:r w:rsidRPr="002B194C">
        <w:t xml:space="preserve">, K., &amp; Bojarski, B. (2022). Hematological methods in fish—Not only for beginners. </w:t>
      </w:r>
      <w:r w:rsidRPr="002B194C">
        <w:rPr>
          <w:i/>
        </w:rPr>
        <w:t>Aquaculture, 547</w:t>
      </w:r>
      <w:r w:rsidRPr="002B194C">
        <w:t xml:space="preserve">, 737498. </w:t>
      </w:r>
      <w:hyperlink r:id="rId49">
        <w:r w:rsidR="00163EB8" w:rsidRPr="002B194C">
          <w:rPr>
            <w:color w:val="000000"/>
          </w:rPr>
          <w:t>https://doi.org/10.1016/j.aquaculture.2021.737498</w:t>
        </w:r>
      </w:hyperlink>
    </w:p>
    <w:p w14:paraId="743A8B0B" w14:textId="77777777" w:rsidR="00163EB8" w:rsidRDefault="00000000">
      <w:pPr>
        <w:pStyle w:val="NormalWeb"/>
        <w:spacing w:before="0" w:after="0"/>
        <w:ind w:left="720" w:hanging="720"/>
      </w:pPr>
      <w:proofErr w:type="spellStart"/>
      <w:r w:rsidRPr="002B194C">
        <w:t>Witeska</w:t>
      </w:r>
      <w:proofErr w:type="spellEnd"/>
      <w:r w:rsidRPr="002B194C">
        <w:t xml:space="preserve">, M., </w:t>
      </w:r>
      <w:proofErr w:type="spellStart"/>
      <w:r w:rsidRPr="002B194C">
        <w:t>Kondera</w:t>
      </w:r>
      <w:proofErr w:type="spellEnd"/>
      <w:r w:rsidRPr="002B194C">
        <w:t xml:space="preserve">, E., &amp; Bojarski, B. (2023). Hematological and hematopoietic analysis in fish toxicology—A review. </w:t>
      </w:r>
      <w:r w:rsidRPr="002B194C">
        <w:rPr>
          <w:i/>
        </w:rPr>
        <w:t>Animals, 13</w:t>
      </w:r>
      <w:r w:rsidRPr="002B194C">
        <w:t xml:space="preserve">(16), 2625. </w:t>
      </w:r>
      <w:hyperlink r:id="rId50">
        <w:r w:rsidR="00163EB8" w:rsidRPr="002B194C">
          <w:rPr>
            <w:color w:val="000000"/>
          </w:rPr>
          <w:t>https://doi.org/10.3390/ani13162625</w:t>
        </w:r>
      </w:hyperlink>
    </w:p>
    <w:sectPr w:rsidR="00163EB8" w:rsidSect="00BE7265">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8D1CF" w14:textId="77777777" w:rsidR="00CF1F31" w:rsidRDefault="00CF1F31" w:rsidP="00C45E1F">
      <w:pPr>
        <w:spacing w:after="0" w:line="240" w:lineRule="auto"/>
      </w:pPr>
      <w:r>
        <w:separator/>
      </w:r>
    </w:p>
  </w:endnote>
  <w:endnote w:type="continuationSeparator" w:id="0">
    <w:p w14:paraId="0E33A54A" w14:textId="77777777" w:rsidR="00CF1F31" w:rsidRDefault="00CF1F31" w:rsidP="00C45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7253053"/>
      <w:docPartObj>
        <w:docPartGallery w:val="Page Numbers (Bottom of Page)"/>
        <w:docPartUnique/>
      </w:docPartObj>
    </w:sdtPr>
    <w:sdtEndPr>
      <w:rPr>
        <w:noProof/>
      </w:rPr>
    </w:sdtEndPr>
    <w:sdtContent>
      <w:p w14:paraId="2CFA2635" w14:textId="77777777" w:rsidR="005E72C2" w:rsidRDefault="005E72C2">
        <w:pPr>
          <w:pStyle w:val="Footer"/>
          <w:jc w:val="center"/>
        </w:pPr>
        <w:r>
          <w:fldChar w:fldCharType="begin"/>
        </w:r>
        <w:r>
          <w:instrText xml:space="preserve"> PAGE   \* MERGEFORMAT </w:instrText>
        </w:r>
        <w:r>
          <w:fldChar w:fldCharType="separate"/>
        </w:r>
        <w:r w:rsidR="008D29D9">
          <w:rPr>
            <w:noProof/>
          </w:rPr>
          <w:t>3</w:t>
        </w:r>
        <w:r>
          <w:rPr>
            <w:noProof/>
          </w:rPr>
          <w:fldChar w:fldCharType="end"/>
        </w:r>
      </w:p>
    </w:sdtContent>
  </w:sdt>
  <w:p w14:paraId="139897E6" w14:textId="77777777" w:rsidR="005E72C2" w:rsidRDefault="005E72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A0E06" w14:textId="77777777" w:rsidR="00CF1F31" w:rsidRDefault="00CF1F31" w:rsidP="00C45E1F">
      <w:pPr>
        <w:spacing w:after="0" w:line="240" w:lineRule="auto"/>
      </w:pPr>
      <w:r>
        <w:separator/>
      </w:r>
    </w:p>
  </w:footnote>
  <w:footnote w:type="continuationSeparator" w:id="0">
    <w:p w14:paraId="6919D230" w14:textId="77777777" w:rsidR="00CF1F31" w:rsidRDefault="00CF1F31" w:rsidP="00C45E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71069"/>
    <w:multiLevelType w:val="multilevel"/>
    <w:tmpl w:val="6930E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2A119A"/>
    <w:multiLevelType w:val="multilevel"/>
    <w:tmpl w:val="E1EE2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6E3E7B"/>
    <w:multiLevelType w:val="hybridMultilevel"/>
    <w:tmpl w:val="1B68BD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0F5735F"/>
    <w:multiLevelType w:val="multilevel"/>
    <w:tmpl w:val="3904CF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E91491"/>
    <w:multiLevelType w:val="multilevel"/>
    <w:tmpl w:val="7EC8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D421F0"/>
    <w:multiLevelType w:val="hybridMultilevel"/>
    <w:tmpl w:val="39F4A7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693784"/>
    <w:multiLevelType w:val="multilevel"/>
    <w:tmpl w:val="FEFC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464C89"/>
    <w:multiLevelType w:val="hybridMultilevel"/>
    <w:tmpl w:val="1B68B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4537795">
    <w:abstractNumId w:val="0"/>
  </w:num>
  <w:num w:numId="2" w16cid:durableId="173301717">
    <w:abstractNumId w:val="4"/>
  </w:num>
  <w:num w:numId="3" w16cid:durableId="63451376">
    <w:abstractNumId w:val="1"/>
  </w:num>
  <w:num w:numId="4" w16cid:durableId="1715542600">
    <w:abstractNumId w:val="6"/>
  </w:num>
  <w:num w:numId="5" w16cid:durableId="950941077">
    <w:abstractNumId w:val="7"/>
  </w:num>
  <w:num w:numId="6" w16cid:durableId="2043556471">
    <w:abstractNumId w:val="3"/>
  </w:num>
  <w:num w:numId="7" w16cid:durableId="1229801304">
    <w:abstractNumId w:val="5"/>
  </w:num>
  <w:num w:numId="8" w16cid:durableId="938297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0DA3"/>
    <w:rsid w:val="000017C7"/>
    <w:rsid w:val="000040F8"/>
    <w:rsid w:val="00007021"/>
    <w:rsid w:val="000136B3"/>
    <w:rsid w:val="00013BDA"/>
    <w:rsid w:val="00014CE6"/>
    <w:rsid w:val="000240F0"/>
    <w:rsid w:val="00031425"/>
    <w:rsid w:val="00042044"/>
    <w:rsid w:val="000425E2"/>
    <w:rsid w:val="00062595"/>
    <w:rsid w:val="000630E5"/>
    <w:rsid w:val="00063405"/>
    <w:rsid w:val="0006443B"/>
    <w:rsid w:val="0006766D"/>
    <w:rsid w:val="000836CE"/>
    <w:rsid w:val="00092A42"/>
    <w:rsid w:val="000A1507"/>
    <w:rsid w:val="000A5533"/>
    <w:rsid w:val="000B3CE4"/>
    <w:rsid w:val="000B72FF"/>
    <w:rsid w:val="000B7C49"/>
    <w:rsid w:val="000D2DCF"/>
    <w:rsid w:val="000E7A28"/>
    <w:rsid w:val="0011082E"/>
    <w:rsid w:val="001143BE"/>
    <w:rsid w:val="00127780"/>
    <w:rsid w:val="0013785A"/>
    <w:rsid w:val="00143376"/>
    <w:rsid w:val="00150143"/>
    <w:rsid w:val="00163EB8"/>
    <w:rsid w:val="00177453"/>
    <w:rsid w:val="00183869"/>
    <w:rsid w:val="0018680A"/>
    <w:rsid w:val="001951A6"/>
    <w:rsid w:val="00195DC7"/>
    <w:rsid w:val="001A0139"/>
    <w:rsid w:val="001A1F7A"/>
    <w:rsid w:val="00202083"/>
    <w:rsid w:val="00205CF5"/>
    <w:rsid w:val="0021482D"/>
    <w:rsid w:val="00224E06"/>
    <w:rsid w:val="00275327"/>
    <w:rsid w:val="002767A0"/>
    <w:rsid w:val="0028651D"/>
    <w:rsid w:val="00290028"/>
    <w:rsid w:val="00293F58"/>
    <w:rsid w:val="002A47D6"/>
    <w:rsid w:val="002B194C"/>
    <w:rsid w:val="002D63DF"/>
    <w:rsid w:val="002F4C0F"/>
    <w:rsid w:val="00305613"/>
    <w:rsid w:val="003062A2"/>
    <w:rsid w:val="00310B4D"/>
    <w:rsid w:val="003312DB"/>
    <w:rsid w:val="00337FF2"/>
    <w:rsid w:val="00341F0B"/>
    <w:rsid w:val="00355DB4"/>
    <w:rsid w:val="00356302"/>
    <w:rsid w:val="00364C71"/>
    <w:rsid w:val="00371ED6"/>
    <w:rsid w:val="003767B2"/>
    <w:rsid w:val="00395CF0"/>
    <w:rsid w:val="003A32F1"/>
    <w:rsid w:val="003A4365"/>
    <w:rsid w:val="003B49E4"/>
    <w:rsid w:val="003B5D0F"/>
    <w:rsid w:val="003F6773"/>
    <w:rsid w:val="004118F9"/>
    <w:rsid w:val="00415138"/>
    <w:rsid w:val="0041748B"/>
    <w:rsid w:val="004402AE"/>
    <w:rsid w:val="0045298B"/>
    <w:rsid w:val="0046099F"/>
    <w:rsid w:val="00460DA3"/>
    <w:rsid w:val="00467552"/>
    <w:rsid w:val="00476AC1"/>
    <w:rsid w:val="004B426A"/>
    <w:rsid w:val="004D41D2"/>
    <w:rsid w:val="004E0C2B"/>
    <w:rsid w:val="004E4748"/>
    <w:rsid w:val="0050100D"/>
    <w:rsid w:val="005168D6"/>
    <w:rsid w:val="00540674"/>
    <w:rsid w:val="00545A01"/>
    <w:rsid w:val="00553475"/>
    <w:rsid w:val="00553761"/>
    <w:rsid w:val="00560A3E"/>
    <w:rsid w:val="00560FC4"/>
    <w:rsid w:val="00567E8A"/>
    <w:rsid w:val="00574FFF"/>
    <w:rsid w:val="00580AFA"/>
    <w:rsid w:val="0058140F"/>
    <w:rsid w:val="005839C7"/>
    <w:rsid w:val="00587979"/>
    <w:rsid w:val="005A1393"/>
    <w:rsid w:val="005A281A"/>
    <w:rsid w:val="005B35FF"/>
    <w:rsid w:val="005B4045"/>
    <w:rsid w:val="005D27BD"/>
    <w:rsid w:val="005D2D81"/>
    <w:rsid w:val="005E72C2"/>
    <w:rsid w:val="005E765B"/>
    <w:rsid w:val="005F3C40"/>
    <w:rsid w:val="00602D4C"/>
    <w:rsid w:val="006054CF"/>
    <w:rsid w:val="006102B9"/>
    <w:rsid w:val="00616229"/>
    <w:rsid w:val="00645A62"/>
    <w:rsid w:val="00652FAD"/>
    <w:rsid w:val="00671804"/>
    <w:rsid w:val="00675EAD"/>
    <w:rsid w:val="00680C89"/>
    <w:rsid w:val="00685231"/>
    <w:rsid w:val="006B471D"/>
    <w:rsid w:val="006B51D6"/>
    <w:rsid w:val="006E351D"/>
    <w:rsid w:val="006E7C53"/>
    <w:rsid w:val="00707DF9"/>
    <w:rsid w:val="00710508"/>
    <w:rsid w:val="007158C4"/>
    <w:rsid w:val="00735979"/>
    <w:rsid w:val="0074083B"/>
    <w:rsid w:val="00755926"/>
    <w:rsid w:val="0075639F"/>
    <w:rsid w:val="00771697"/>
    <w:rsid w:val="0077433E"/>
    <w:rsid w:val="00776156"/>
    <w:rsid w:val="007829F4"/>
    <w:rsid w:val="00783109"/>
    <w:rsid w:val="007A2B5E"/>
    <w:rsid w:val="007B0AA7"/>
    <w:rsid w:val="007B1150"/>
    <w:rsid w:val="007B75E5"/>
    <w:rsid w:val="007C06E8"/>
    <w:rsid w:val="008001D6"/>
    <w:rsid w:val="00800268"/>
    <w:rsid w:val="00813034"/>
    <w:rsid w:val="00815684"/>
    <w:rsid w:val="008211EE"/>
    <w:rsid w:val="00831ECA"/>
    <w:rsid w:val="00835C0B"/>
    <w:rsid w:val="00841164"/>
    <w:rsid w:val="00844628"/>
    <w:rsid w:val="00845049"/>
    <w:rsid w:val="00853610"/>
    <w:rsid w:val="00867789"/>
    <w:rsid w:val="00877D37"/>
    <w:rsid w:val="008840E3"/>
    <w:rsid w:val="00890365"/>
    <w:rsid w:val="008907E2"/>
    <w:rsid w:val="008934C4"/>
    <w:rsid w:val="008A7FC9"/>
    <w:rsid w:val="008B7829"/>
    <w:rsid w:val="008C6AA2"/>
    <w:rsid w:val="008D29D9"/>
    <w:rsid w:val="008F7263"/>
    <w:rsid w:val="00920E75"/>
    <w:rsid w:val="009232C7"/>
    <w:rsid w:val="00933653"/>
    <w:rsid w:val="009546C8"/>
    <w:rsid w:val="009622EF"/>
    <w:rsid w:val="00972305"/>
    <w:rsid w:val="009755DC"/>
    <w:rsid w:val="009A573B"/>
    <w:rsid w:val="009B1708"/>
    <w:rsid w:val="009C4426"/>
    <w:rsid w:val="009C72F7"/>
    <w:rsid w:val="009C7694"/>
    <w:rsid w:val="009E31C0"/>
    <w:rsid w:val="009F0905"/>
    <w:rsid w:val="009F6348"/>
    <w:rsid w:val="009F6768"/>
    <w:rsid w:val="00A00C3C"/>
    <w:rsid w:val="00A236CF"/>
    <w:rsid w:val="00A27A30"/>
    <w:rsid w:val="00A315C8"/>
    <w:rsid w:val="00A3450D"/>
    <w:rsid w:val="00A37BA6"/>
    <w:rsid w:val="00A500D8"/>
    <w:rsid w:val="00A54B0F"/>
    <w:rsid w:val="00A67F2E"/>
    <w:rsid w:val="00A70CD0"/>
    <w:rsid w:val="00A800EE"/>
    <w:rsid w:val="00A85E6F"/>
    <w:rsid w:val="00A86B45"/>
    <w:rsid w:val="00A966AA"/>
    <w:rsid w:val="00AA6C1F"/>
    <w:rsid w:val="00AB6B4E"/>
    <w:rsid w:val="00AC297C"/>
    <w:rsid w:val="00AE639C"/>
    <w:rsid w:val="00AF4F68"/>
    <w:rsid w:val="00B04D23"/>
    <w:rsid w:val="00B12725"/>
    <w:rsid w:val="00B155D4"/>
    <w:rsid w:val="00B565AB"/>
    <w:rsid w:val="00B571E2"/>
    <w:rsid w:val="00B61ED2"/>
    <w:rsid w:val="00B61F64"/>
    <w:rsid w:val="00B63C88"/>
    <w:rsid w:val="00B75EDC"/>
    <w:rsid w:val="00B805A2"/>
    <w:rsid w:val="00B80DDA"/>
    <w:rsid w:val="00BC0A33"/>
    <w:rsid w:val="00BC3A5E"/>
    <w:rsid w:val="00BC7EBF"/>
    <w:rsid w:val="00BE15A1"/>
    <w:rsid w:val="00BE7265"/>
    <w:rsid w:val="00BF26C6"/>
    <w:rsid w:val="00C2390E"/>
    <w:rsid w:val="00C3065D"/>
    <w:rsid w:val="00C44E22"/>
    <w:rsid w:val="00C4513F"/>
    <w:rsid w:val="00C45E1F"/>
    <w:rsid w:val="00C51B4E"/>
    <w:rsid w:val="00C5281E"/>
    <w:rsid w:val="00C52E60"/>
    <w:rsid w:val="00C90FFB"/>
    <w:rsid w:val="00CA17F7"/>
    <w:rsid w:val="00CB0D97"/>
    <w:rsid w:val="00CB6F61"/>
    <w:rsid w:val="00CC6113"/>
    <w:rsid w:val="00CD785C"/>
    <w:rsid w:val="00CE222D"/>
    <w:rsid w:val="00CE48CE"/>
    <w:rsid w:val="00CE6015"/>
    <w:rsid w:val="00CF1F31"/>
    <w:rsid w:val="00D009F3"/>
    <w:rsid w:val="00D22A37"/>
    <w:rsid w:val="00D3253F"/>
    <w:rsid w:val="00D32BEC"/>
    <w:rsid w:val="00D441F1"/>
    <w:rsid w:val="00D52A88"/>
    <w:rsid w:val="00D544B5"/>
    <w:rsid w:val="00D85DD2"/>
    <w:rsid w:val="00D94B8C"/>
    <w:rsid w:val="00D97EEF"/>
    <w:rsid w:val="00DC0231"/>
    <w:rsid w:val="00DC4568"/>
    <w:rsid w:val="00DD4237"/>
    <w:rsid w:val="00DE0135"/>
    <w:rsid w:val="00DE020B"/>
    <w:rsid w:val="00DE159D"/>
    <w:rsid w:val="00DF02EA"/>
    <w:rsid w:val="00DF25E4"/>
    <w:rsid w:val="00DF6424"/>
    <w:rsid w:val="00E010C2"/>
    <w:rsid w:val="00E23B05"/>
    <w:rsid w:val="00E2526C"/>
    <w:rsid w:val="00E268DF"/>
    <w:rsid w:val="00E51FE9"/>
    <w:rsid w:val="00E6651D"/>
    <w:rsid w:val="00E8612A"/>
    <w:rsid w:val="00E95D4F"/>
    <w:rsid w:val="00EC1049"/>
    <w:rsid w:val="00EE235C"/>
    <w:rsid w:val="00EE7425"/>
    <w:rsid w:val="00F15E5C"/>
    <w:rsid w:val="00F303BF"/>
    <w:rsid w:val="00F41224"/>
    <w:rsid w:val="00F53AF3"/>
    <w:rsid w:val="00F65C26"/>
    <w:rsid w:val="00F71DBC"/>
    <w:rsid w:val="00F954AD"/>
    <w:rsid w:val="00FB0910"/>
    <w:rsid w:val="00FD1BC5"/>
    <w:rsid w:val="00FF07FE"/>
    <w:rsid w:val="00FF2524"/>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47D64"/>
  <w15:docId w15:val="{8BEC907E-03FF-4D35-8AA3-8B67DF5D2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A3E"/>
  </w:style>
  <w:style w:type="paragraph" w:styleId="Heading1">
    <w:name w:val="heading 1"/>
    <w:basedOn w:val="Normal"/>
    <w:next w:val="Normal"/>
    <w:link w:val="Heading1Char"/>
    <w:uiPriority w:val="9"/>
    <w:qFormat/>
    <w:rsid w:val="00460DA3"/>
    <w:pPr>
      <w:keepNext/>
      <w:keepLines/>
      <w:spacing w:before="360" w:after="80"/>
      <w:outlineLvl w:val="0"/>
    </w:pPr>
    <w:rPr>
      <w:rFonts w:asciiTheme="majorHAnsi" w:eastAsiaTheme="majorEastAsia" w:hAnsiTheme="majorHAnsi" w:cstheme="majorBidi"/>
      <w:color w:val="365F91" w:themeColor="accent1" w:themeShade="BF"/>
      <w:sz w:val="40"/>
      <w:szCs w:val="36"/>
    </w:rPr>
  </w:style>
  <w:style w:type="paragraph" w:styleId="Heading2">
    <w:name w:val="heading 2"/>
    <w:basedOn w:val="Normal"/>
    <w:next w:val="Normal"/>
    <w:link w:val="Heading2Char"/>
    <w:uiPriority w:val="9"/>
    <w:semiHidden/>
    <w:unhideWhenUsed/>
    <w:qFormat/>
    <w:rsid w:val="00460DA3"/>
    <w:pPr>
      <w:keepNext/>
      <w:keepLines/>
      <w:spacing w:before="160" w:after="80"/>
      <w:outlineLvl w:val="1"/>
    </w:pPr>
    <w:rPr>
      <w:rFonts w:asciiTheme="majorHAnsi" w:eastAsiaTheme="majorEastAsia" w:hAnsiTheme="majorHAnsi" w:cstheme="majorBidi"/>
      <w:color w:val="365F91" w:themeColor="accent1" w:themeShade="BF"/>
      <w:sz w:val="32"/>
      <w:szCs w:val="29"/>
    </w:rPr>
  </w:style>
  <w:style w:type="paragraph" w:styleId="Heading3">
    <w:name w:val="heading 3"/>
    <w:basedOn w:val="Normal"/>
    <w:next w:val="Normal"/>
    <w:link w:val="Heading3Char"/>
    <w:uiPriority w:val="9"/>
    <w:semiHidden/>
    <w:unhideWhenUsed/>
    <w:qFormat/>
    <w:rsid w:val="00460DA3"/>
    <w:pPr>
      <w:keepNext/>
      <w:keepLines/>
      <w:spacing w:before="160" w:after="80"/>
      <w:outlineLvl w:val="2"/>
    </w:pPr>
    <w:rPr>
      <w:rFonts w:eastAsiaTheme="majorEastAsia" w:cstheme="majorBidi"/>
      <w:color w:val="365F91" w:themeColor="accent1" w:themeShade="BF"/>
      <w:sz w:val="28"/>
      <w:szCs w:val="25"/>
    </w:rPr>
  </w:style>
  <w:style w:type="paragraph" w:styleId="Heading4">
    <w:name w:val="heading 4"/>
    <w:basedOn w:val="Normal"/>
    <w:next w:val="Normal"/>
    <w:link w:val="Heading4Char"/>
    <w:uiPriority w:val="9"/>
    <w:semiHidden/>
    <w:unhideWhenUsed/>
    <w:qFormat/>
    <w:rsid w:val="00460DA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60DA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60D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0D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0D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0D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DA3"/>
    <w:rPr>
      <w:rFonts w:asciiTheme="majorHAnsi" w:eastAsiaTheme="majorEastAsia" w:hAnsiTheme="majorHAnsi" w:cstheme="majorBidi"/>
      <w:color w:val="365F91" w:themeColor="accent1" w:themeShade="BF"/>
      <w:sz w:val="40"/>
      <w:szCs w:val="36"/>
    </w:rPr>
  </w:style>
  <w:style w:type="character" w:customStyle="1" w:styleId="Heading2Char">
    <w:name w:val="Heading 2 Char"/>
    <w:basedOn w:val="DefaultParagraphFont"/>
    <w:link w:val="Heading2"/>
    <w:uiPriority w:val="9"/>
    <w:semiHidden/>
    <w:rsid w:val="00460DA3"/>
    <w:rPr>
      <w:rFonts w:asciiTheme="majorHAnsi" w:eastAsiaTheme="majorEastAsia" w:hAnsiTheme="majorHAnsi" w:cstheme="majorBidi"/>
      <w:color w:val="365F91" w:themeColor="accent1" w:themeShade="BF"/>
      <w:sz w:val="32"/>
      <w:szCs w:val="29"/>
    </w:rPr>
  </w:style>
  <w:style w:type="character" w:customStyle="1" w:styleId="Heading3Char">
    <w:name w:val="Heading 3 Char"/>
    <w:basedOn w:val="DefaultParagraphFont"/>
    <w:link w:val="Heading3"/>
    <w:uiPriority w:val="9"/>
    <w:semiHidden/>
    <w:rsid w:val="00460DA3"/>
    <w:rPr>
      <w:rFonts w:eastAsiaTheme="majorEastAsia" w:cstheme="majorBidi"/>
      <w:color w:val="365F91" w:themeColor="accent1" w:themeShade="BF"/>
      <w:sz w:val="28"/>
      <w:szCs w:val="25"/>
    </w:rPr>
  </w:style>
  <w:style w:type="character" w:customStyle="1" w:styleId="Heading4Char">
    <w:name w:val="Heading 4 Char"/>
    <w:basedOn w:val="DefaultParagraphFont"/>
    <w:link w:val="Heading4"/>
    <w:uiPriority w:val="9"/>
    <w:semiHidden/>
    <w:rsid w:val="00460DA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460DA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60D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0D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0D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0DA3"/>
    <w:rPr>
      <w:rFonts w:eastAsiaTheme="majorEastAsia" w:cstheme="majorBidi"/>
      <w:color w:val="272727" w:themeColor="text1" w:themeTint="D8"/>
    </w:rPr>
  </w:style>
  <w:style w:type="paragraph" w:styleId="Title">
    <w:name w:val="Title"/>
    <w:basedOn w:val="Normal"/>
    <w:next w:val="Normal"/>
    <w:link w:val="TitleChar"/>
    <w:uiPriority w:val="10"/>
    <w:qFormat/>
    <w:rsid w:val="00460DA3"/>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460DA3"/>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460DA3"/>
    <w:pPr>
      <w:numPr>
        <w:ilvl w:val="1"/>
      </w:numPr>
      <w:spacing w:after="160"/>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460DA3"/>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460D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60DA3"/>
    <w:rPr>
      <w:i/>
      <w:iCs/>
      <w:color w:val="404040" w:themeColor="text1" w:themeTint="BF"/>
    </w:rPr>
  </w:style>
  <w:style w:type="paragraph" w:styleId="ListParagraph">
    <w:name w:val="List Paragraph"/>
    <w:basedOn w:val="Normal"/>
    <w:uiPriority w:val="34"/>
    <w:qFormat/>
    <w:rsid w:val="00460DA3"/>
    <w:pPr>
      <w:ind w:left="720"/>
      <w:contextualSpacing/>
    </w:pPr>
  </w:style>
  <w:style w:type="character" w:styleId="IntenseEmphasis">
    <w:name w:val="Intense Emphasis"/>
    <w:basedOn w:val="DefaultParagraphFont"/>
    <w:uiPriority w:val="21"/>
    <w:qFormat/>
    <w:rsid w:val="00460DA3"/>
    <w:rPr>
      <w:i/>
      <w:iCs/>
      <w:color w:val="365F91" w:themeColor="accent1" w:themeShade="BF"/>
    </w:rPr>
  </w:style>
  <w:style w:type="paragraph" w:styleId="IntenseQuote">
    <w:name w:val="Intense Quote"/>
    <w:basedOn w:val="Normal"/>
    <w:next w:val="Normal"/>
    <w:link w:val="IntenseQuoteChar"/>
    <w:uiPriority w:val="30"/>
    <w:qFormat/>
    <w:rsid w:val="00460DA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60DA3"/>
    <w:rPr>
      <w:i/>
      <w:iCs/>
      <w:color w:val="365F91" w:themeColor="accent1" w:themeShade="BF"/>
    </w:rPr>
  </w:style>
  <w:style w:type="character" w:styleId="IntenseReference">
    <w:name w:val="Intense Reference"/>
    <w:basedOn w:val="DefaultParagraphFont"/>
    <w:uiPriority w:val="32"/>
    <w:qFormat/>
    <w:rsid w:val="00460DA3"/>
    <w:rPr>
      <w:b/>
      <w:bCs/>
      <w:smallCaps/>
      <w:color w:val="365F91" w:themeColor="accent1" w:themeShade="BF"/>
      <w:spacing w:val="5"/>
    </w:rPr>
  </w:style>
  <w:style w:type="paragraph" w:styleId="NormalWeb">
    <w:name w:val="Normal (Web)"/>
    <w:basedOn w:val="Normal"/>
    <w:uiPriority w:val="99"/>
    <w:unhideWhenUsed/>
    <w:rsid w:val="00460DA3"/>
    <w:pPr>
      <w:spacing w:before="100" w:beforeAutospacing="1" w:after="100" w:afterAutospacing="1" w:line="240" w:lineRule="auto"/>
    </w:pPr>
    <w:rPr>
      <w:rFonts w:ascii="Times New Roman" w:eastAsia="Times New Roman" w:hAnsi="Times New Roman" w:cs="Times New Roman"/>
      <w:kern w:val="0"/>
      <w:sz w:val="24"/>
      <w:szCs w:val="24"/>
    </w:rPr>
  </w:style>
  <w:style w:type="table" w:customStyle="1" w:styleId="TableGridLight1">
    <w:name w:val="Table Grid Light1"/>
    <w:basedOn w:val="TableNormal"/>
    <w:uiPriority w:val="40"/>
    <w:rsid w:val="006E351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205CF5"/>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205CF5"/>
    <w:rPr>
      <w:rFonts w:ascii="Tahoma" w:hAnsi="Tahoma" w:cs="Mangal"/>
      <w:sz w:val="16"/>
      <w:szCs w:val="14"/>
    </w:rPr>
  </w:style>
  <w:style w:type="character" w:styleId="LineNumber">
    <w:name w:val="line number"/>
    <w:basedOn w:val="DefaultParagraphFont"/>
    <w:uiPriority w:val="99"/>
    <w:semiHidden/>
    <w:unhideWhenUsed/>
    <w:rsid w:val="00BE7265"/>
  </w:style>
  <w:style w:type="character" w:styleId="CommentReference">
    <w:name w:val="annotation reference"/>
    <w:basedOn w:val="DefaultParagraphFont"/>
    <w:uiPriority w:val="99"/>
    <w:semiHidden/>
    <w:unhideWhenUsed/>
    <w:rsid w:val="006054CF"/>
    <w:rPr>
      <w:sz w:val="16"/>
      <w:szCs w:val="16"/>
    </w:rPr>
  </w:style>
  <w:style w:type="paragraph" w:styleId="CommentText">
    <w:name w:val="annotation text"/>
    <w:basedOn w:val="Normal"/>
    <w:link w:val="CommentTextChar"/>
    <w:uiPriority w:val="99"/>
    <w:semiHidden/>
    <w:unhideWhenUsed/>
    <w:rsid w:val="006054CF"/>
    <w:pPr>
      <w:spacing w:line="240" w:lineRule="auto"/>
    </w:pPr>
    <w:rPr>
      <w:rFonts w:cs="Mangal"/>
      <w:sz w:val="20"/>
      <w:szCs w:val="18"/>
    </w:rPr>
  </w:style>
  <w:style w:type="character" w:customStyle="1" w:styleId="CommentTextChar">
    <w:name w:val="Comment Text Char"/>
    <w:basedOn w:val="DefaultParagraphFont"/>
    <w:link w:val="CommentText"/>
    <w:uiPriority w:val="99"/>
    <w:semiHidden/>
    <w:rsid w:val="006054CF"/>
    <w:rPr>
      <w:rFonts w:cs="Mangal"/>
      <w:sz w:val="20"/>
      <w:szCs w:val="18"/>
    </w:rPr>
  </w:style>
  <w:style w:type="paragraph" w:styleId="CommentSubject">
    <w:name w:val="annotation subject"/>
    <w:basedOn w:val="CommentText"/>
    <w:next w:val="CommentText"/>
    <w:link w:val="CommentSubjectChar"/>
    <w:uiPriority w:val="99"/>
    <w:semiHidden/>
    <w:unhideWhenUsed/>
    <w:rsid w:val="006054CF"/>
    <w:rPr>
      <w:b/>
      <w:bCs/>
    </w:rPr>
  </w:style>
  <w:style w:type="character" w:customStyle="1" w:styleId="CommentSubjectChar">
    <w:name w:val="Comment Subject Char"/>
    <w:basedOn w:val="CommentTextChar"/>
    <w:link w:val="CommentSubject"/>
    <w:uiPriority w:val="99"/>
    <w:semiHidden/>
    <w:rsid w:val="006054CF"/>
    <w:rPr>
      <w:rFonts w:cs="Mangal"/>
      <w:b/>
      <w:bCs/>
      <w:sz w:val="20"/>
      <w:szCs w:val="18"/>
    </w:rPr>
  </w:style>
  <w:style w:type="paragraph" w:styleId="Header">
    <w:name w:val="header"/>
    <w:basedOn w:val="Normal"/>
    <w:link w:val="HeaderChar"/>
    <w:uiPriority w:val="99"/>
    <w:unhideWhenUsed/>
    <w:rsid w:val="00C45E1F"/>
    <w:pPr>
      <w:tabs>
        <w:tab w:val="center" w:pos="4513"/>
        <w:tab w:val="right" w:pos="9026"/>
      </w:tabs>
      <w:spacing w:after="0" w:line="240" w:lineRule="auto"/>
    </w:pPr>
    <w:rPr>
      <w:rFonts w:cs="Mangal"/>
    </w:rPr>
  </w:style>
  <w:style w:type="character" w:customStyle="1" w:styleId="HeaderChar">
    <w:name w:val="Header Char"/>
    <w:basedOn w:val="DefaultParagraphFont"/>
    <w:link w:val="Header"/>
    <w:uiPriority w:val="99"/>
    <w:rsid w:val="00C45E1F"/>
    <w:rPr>
      <w:rFonts w:cs="Mangal"/>
    </w:rPr>
  </w:style>
  <w:style w:type="paragraph" w:styleId="Footer">
    <w:name w:val="footer"/>
    <w:basedOn w:val="Normal"/>
    <w:link w:val="FooterChar"/>
    <w:uiPriority w:val="99"/>
    <w:unhideWhenUsed/>
    <w:rsid w:val="00C45E1F"/>
    <w:pPr>
      <w:tabs>
        <w:tab w:val="center" w:pos="4513"/>
        <w:tab w:val="right" w:pos="9026"/>
      </w:tabs>
      <w:spacing w:after="0" w:line="240" w:lineRule="auto"/>
    </w:pPr>
    <w:rPr>
      <w:rFonts w:cs="Mangal"/>
    </w:rPr>
  </w:style>
  <w:style w:type="character" w:customStyle="1" w:styleId="FooterChar">
    <w:name w:val="Footer Char"/>
    <w:basedOn w:val="DefaultParagraphFont"/>
    <w:link w:val="Footer"/>
    <w:uiPriority w:val="99"/>
    <w:rsid w:val="00C45E1F"/>
    <w:rPr>
      <w:rFonts w:cs="Mangal"/>
    </w:rPr>
  </w:style>
  <w:style w:type="character" w:styleId="Hyperlink">
    <w:name w:val="Hyperlink"/>
    <w:basedOn w:val="DefaultParagraphFont"/>
    <w:uiPriority w:val="99"/>
    <w:unhideWhenUsed/>
    <w:rsid w:val="00DD4237"/>
    <w:rPr>
      <w:color w:val="0000FF" w:themeColor="hyperlink"/>
      <w:u w:val="single"/>
    </w:rPr>
  </w:style>
  <w:style w:type="character" w:styleId="Strong">
    <w:name w:val="Strong"/>
    <w:basedOn w:val="DefaultParagraphFont"/>
    <w:uiPriority w:val="22"/>
    <w:qFormat/>
    <w:rsid w:val="00C44E22"/>
    <w:rPr>
      <w:b/>
      <w:bCs/>
    </w:rPr>
  </w:style>
  <w:style w:type="character" w:customStyle="1" w:styleId="math-inline">
    <w:name w:val="math-inline"/>
    <w:basedOn w:val="DefaultParagraphFont"/>
    <w:rsid w:val="0074083B"/>
  </w:style>
  <w:style w:type="character" w:styleId="Emphasis">
    <w:name w:val="Emphasis"/>
    <w:basedOn w:val="DefaultParagraphFont"/>
    <w:uiPriority w:val="20"/>
    <w:qFormat/>
    <w:rsid w:val="000836CE"/>
    <w:rPr>
      <w:i/>
      <w:iCs/>
    </w:rPr>
  </w:style>
  <w:style w:type="table" w:styleId="PlainTable2">
    <w:name w:val="Plain Table 2"/>
    <w:basedOn w:val="TableNormal"/>
    <w:uiPriority w:val="42"/>
    <w:rsid w:val="00645A6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48083">
      <w:bodyDiv w:val="1"/>
      <w:marLeft w:val="0"/>
      <w:marRight w:val="0"/>
      <w:marTop w:val="0"/>
      <w:marBottom w:val="0"/>
      <w:divBdr>
        <w:top w:val="none" w:sz="0" w:space="0" w:color="auto"/>
        <w:left w:val="none" w:sz="0" w:space="0" w:color="auto"/>
        <w:bottom w:val="none" w:sz="0" w:space="0" w:color="auto"/>
        <w:right w:val="none" w:sz="0" w:space="0" w:color="auto"/>
      </w:divBdr>
    </w:div>
    <w:div w:id="371074726">
      <w:bodyDiv w:val="1"/>
      <w:marLeft w:val="0"/>
      <w:marRight w:val="0"/>
      <w:marTop w:val="0"/>
      <w:marBottom w:val="0"/>
      <w:divBdr>
        <w:top w:val="none" w:sz="0" w:space="0" w:color="auto"/>
        <w:left w:val="none" w:sz="0" w:space="0" w:color="auto"/>
        <w:bottom w:val="none" w:sz="0" w:space="0" w:color="auto"/>
        <w:right w:val="none" w:sz="0" w:space="0" w:color="auto"/>
      </w:divBdr>
    </w:div>
    <w:div w:id="525488110">
      <w:bodyDiv w:val="1"/>
      <w:marLeft w:val="0"/>
      <w:marRight w:val="0"/>
      <w:marTop w:val="0"/>
      <w:marBottom w:val="0"/>
      <w:divBdr>
        <w:top w:val="none" w:sz="0" w:space="0" w:color="auto"/>
        <w:left w:val="none" w:sz="0" w:space="0" w:color="auto"/>
        <w:bottom w:val="none" w:sz="0" w:space="0" w:color="auto"/>
        <w:right w:val="none" w:sz="0" w:space="0" w:color="auto"/>
      </w:divBdr>
    </w:div>
    <w:div w:id="546256140">
      <w:bodyDiv w:val="1"/>
      <w:marLeft w:val="0"/>
      <w:marRight w:val="0"/>
      <w:marTop w:val="0"/>
      <w:marBottom w:val="0"/>
      <w:divBdr>
        <w:top w:val="none" w:sz="0" w:space="0" w:color="auto"/>
        <w:left w:val="none" w:sz="0" w:space="0" w:color="auto"/>
        <w:bottom w:val="none" w:sz="0" w:space="0" w:color="auto"/>
        <w:right w:val="none" w:sz="0" w:space="0" w:color="auto"/>
      </w:divBdr>
    </w:div>
    <w:div w:id="555893933">
      <w:bodyDiv w:val="1"/>
      <w:marLeft w:val="0"/>
      <w:marRight w:val="0"/>
      <w:marTop w:val="0"/>
      <w:marBottom w:val="0"/>
      <w:divBdr>
        <w:top w:val="none" w:sz="0" w:space="0" w:color="auto"/>
        <w:left w:val="none" w:sz="0" w:space="0" w:color="auto"/>
        <w:bottom w:val="none" w:sz="0" w:space="0" w:color="auto"/>
        <w:right w:val="none" w:sz="0" w:space="0" w:color="auto"/>
      </w:divBdr>
    </w:div>
    <w:div w:id="682823894">
      <w:bodyDiv w:val="1"/>
      <w:marLeft w:val="0"/>
      <w:marRight w:val="0"/>
      <w:marTop w:val="0"/>
      <w:marBottom w:val="0"/>
      <w:divBdr>
        <w:top w:val="none" w:sz="0" w:space="0" w:color="auto"/>
        <w:left w:val="none" w:sz="0" w:space="0" w:color="auto"/>
        <w:bottom w:val="none" w:sz="0" w:space="0" w:color="auto"/>
        <w:right w:val="none" w:sz="0" w:space="0" w:color="auto"/>
      </w:divBdr>
    </w:div>
    <w:div w:id="1070076109">
      <w:bodyDiv w:val="1"/>
      <w:marLeft w:val="0"/>
      <w:marRight w:val="0"/>
      <w:marTop w:val="0"/>
      <w:marBottom w:val="0"/>
      <w:divBdr>
        <w:top w:val="none" w:sz="0" w:space="0" w:color="auto"/>
        <w:left w:val="none" w:sz="0" w:space="0" w:color="auto"/>
        <w:bottom w:val="none" w:sz="0" w:space="0" w:color="auto"/>
        <w:right w:val="none" w:sz="0" w:space="0" w:color="auto"/>
      </w:divBdr>
    </w:div>
    <w:div w:id="1415712004">
      <w:bodyDiv w:val="1"/>
      <w:marLeft w:val="0"/>
      <w:marRight w:val="0"/>
      <w:marTop w:val="0"/>
      <w:marBottom w:val="0"/>
      <w:divBdr>
        <w:top w:val="none" w:sz="0" w:space="0" w:color="auto"/>
        <w:left w:val="none" w:sz="0" w:space="0" w:color="auto"/>
        <w:bottom w:val="none" w:sz="0" w:space="0" w:color="auto"/>
        <w:right w:val="none" w:sz="0" w:space="0" w:color="auto"/>
      </w:divBdr>
    </w:div>
    <w:div w:id="200338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nspub.net/effects-of-moringa-oleifera-leaf-meal-molm-based-diets-on-carcass-composition-and-hematology-of-labeo-rohita-fingerlings/" TargetMode="External"/><Relationship Id="rId18" Type="http://schemas.openxmlformats.org/officeDocument/2006/relationships/hyperlink" Target="https://doi.org/10.5958/2231-6744.2019.00061.6" TargetMode="External"/><Relationship Id="rId26" Type="http://schemas.openxmlformats.org/officeDocument/2006/relationships/hyperlink" Target="https://doi.org/10.1111/j.1365-2109.2009.02349.x" TargetMode="External"/><Relationship Id="rId39" Type="http://schemas.openxmlformats.org/officeDocument/2006/relationships/hyperlink" Target="https://doi.org/10.1186/s12917-024-04070-3" TargetMode="External"/><Relationship Id="rId21" Type="http://schemas.openxmlformats.org/officeDocument/2006/relationships/hyperlink" Target="https://doi.org/10.3389/fsufs.2024.1405614" TargetMode="External"/><Relationship Id="rId34" Type="http://schemas.openxmlformats.org/officeDocument/2006/relationships/hyperlink" Target="https://doi.org/10.1017/S0021859697004292" TargetMode="External"/><Relationship Id="rId42" Type="http://schemas.openxmlformats.org/officeDocument/2006/relationships/hyperlink" Target="https://doi.org/10.32350/bsr.71.06" TargetMode="External"/><Relationship Id="rId47" Type="http://schemas.openxmlformats.org/officeDocument/2006/relationships/hyperlink" Target="https://doi.org/10.18805/IJAR.B-5524" TargetMode="External"/><Relationship Id="rId50" Type="http://schemas.openxmlformats.org/officeDocument/2006/relationships/hyperlink" Target="https://doi.org/10.3390/ani13162625"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1080/23308249.2021.1897520" TargetMode="External"/><Relationship Id="rId29" Type="http://schemas.openxmlformats.org/officeDocument/2006/relationships/hyperlink" Target="https://doi.org/10.1016/j.oneear.2019.10.018" TargetMode="External"/><Relationship Id="rId11" Type="http://schemas.openxmlformats.org/officeDocument/2006/relationships/hyperlink" Target="https://doi.org/10.1046/j.1365-2109.2003.00920.x" TargetMode="External"/><Relationship Id="rId24" Type="http://schemas.openxmlformats.org/officeDocument/2006/relationships/hyperlink" Target="https://abah.bioflux.com.ro/docs/2014.158-167.pdf" TargetMode="External"/><Relationship Id="rId32" Type="http://schemas.openxmlformats.org/officeDocument/2006/relationships/hyperlink" Target="https://doi.org/10.4103/ajts.AJTS_135_16" TargetMode="External"/><Relationship Id="rId37" Type="http://schemas.openxmlformats.org/officeDocument/2006/relationships/hyperlink" Target="https://doi.org/10.26650/ASE20221225220" TargetMode="External"/><Relationship Id="rId40" Type="http://schemas.openxmlformats.org/officeDocument/2006/relationships/hyperlink" Target="https://doi.org/10.1038/s41586-021-03308-6" TargetMode="External"/><Relationship Id="rId45" Type="http://schemas.openxmlformats.org/officeDocument/2006/relationships/hyperlink" Target="https://doi.org/10.1590/1519-6984.246333" TargetMode="External"/><Relationship Id="rId5" Type="http://schemas.openxmlformats.org/officeDocument/2006/relationships/footnotes" Target="footnotes.xml"/><Relationship Id="rId15" Type="http://schemas.openxmlformats.org/officeDocument/2006/relationships/hyperlink" Target="https://www.standardmethods.org/" TargetMode="External"/><Relationship Id="rId23" Type="http://schemas.openxmlformats.org/officeDocument/2006/relationships/hyperlink" Target="https://doi.org/10.4060/cc0461en" TargetMode="External"/><Relationship Id="rId28" Type="http://schemas.openxmlformats.org/officeDocument/2006/relationships/hyperlink" Target="https://doi.org/10.56557/upjoz/2025/v46i185248" TargetMode="External"/><Relationship Id="rId36" Type="http://schemas.openxmlformats.org/officeDocument/2006/relationships/hyperlink" Target="https://doi.org/10.12692/ijb/8.4.11-17" TargetMode="External"/><Relationship Id="rId49" Type="http://schemas.openxmlformats.org/officeDocument/2006/relationships/hyperlink" Target="https://doi.org/10.1016/j.aquaculture.2021.737498" TargetMode="External"/><Relationship Id="rId10" Type="http://schemas.openxmlformats.org/officeDocument/2006/relationships/hyperlink" Target="https://doi.org/10.2478/cjf-2018-0021" TargetMode="External"/><Relationship Id="rId19" Type="http://schemas.openxmlformats.org/officeDocument/2006/relationships/hyperlink" Target="https://doi.org/10.1016/j.ejar.2019.05.009" TargetMode="External"/><Relationship Id="rId31" Type="http://schemas.openxmlformats.org/officeDocument/2006/relationships/hyperlink" Target="https://doi.org/10.3390/ani14060953" TargetMode="External"/><Relationship Id="rId44" Type="http://schemas.openxmlformats.org/officeDocument/2006/relationships/hyperlink" Target="https://doi.org/10.3389/fvets.2020.00053"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016/j.aquaculture.2021.737369" TargetMode="External"/><Relationship Id="rId14" Type="http://schemas.openxmlformats.org/officeDocument/2006/relationships/hyperlink" Target="https://www.academia.edu/99839839/Effect_of_partial_replacement_of_fishmeal_with_Moringa_oleifera_Leaf_meal_on_the_Haematology_carcass_composition_and_growth_perfomance_of_Clarias_gariepinus_Burchell_1822_Fingerlings" TargetMode="External"/><Relationship Id="rId22" Type="http://schemas.openxmlformats.org/officeDocument/2006/relationships/hyperlink" Target="https://doi.org/10.1016/j.aquaculture.2018.10.030" TargetMode="External"/><Relationship Id="rId27" Type="http://schemas.openxmlformats.org/officeDocument/2006/relationships/hyperlink" Target="https://doi.org/10.1016/j.aquaculture.2018.06.018" TargetMode="External"/><Relationship Id="rId30" Type="http://schemas.openxmlformats.org/officeDocument/2006/relationships/hyperlink" Target="https://www.fao.org/fishery/docs/DOCUMENT/aquaculture/CulturedSpecies/file/en/en_roholabeo.htm" TargetMode="External"/><Relationship Id="rId35" Type="http://schemas.openxmlformats.org/officeDocument/2006/relationships/hyperlink" Target="https://doi.org/10.26480/bdwre.01.2020.04.08" TargetMode="External"/><Relationship Id="rId43" Type="http://schemas.openxmlformats.org/officeDocument/2006/relationships/hyperlink" Target="https://doi.org/10.1016/j.aqrep.2024.102388" TargetMode="External"/><Relationship Id="rId48" Type="http://schemas.openxmlformats.org/officeDocument/2006/relationships/hyperlink" Target="https://doi.org/10.1016/j.foodchem.2013.09.135" TargetMode="External"/><Relationship Id="rId8" Type="http://schemas.openxmlformats.org/officeDocument/2006/relationships/footer" Target="footer1.xm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aoac.org/official-methods-of-analysis/" TargetMode="External"/><Relationship Id="rId17" Type="http://schemas.openxmlformats.org/officeDocument/2006/relationships/hyperlink" Target="https://doi.org/10.1111/j.1753-5131.2011.01048.x" TargetMode="External"/><Relationship Id="rId25" Type="http://schemas.openxmlformats.org/officeDocument/2006/relationships/hyperlink" Target="https://doi.org/10.1111/j.1365-2109.2007.01704.x" TargetMode="External"/><Relationship Id="rId33" Type="http://schemas.openxmlformats.org/officeDocument/2006/relationships/hyperlink" Target="https://www.researchgate.net/publication/328477770_Effect_of_water_hardness_on_survival_and_growth_of_Labeo_rohita_Hamilton_fry" TargetMode="External"/><Relationship Id="rId38" Type="http://schemas.openxmlformats.org/officeDocument/2006/relationships/hyperlink" Target="https://doi.org/10.1016/j.micpath.2020.104202" TargetMode="External"/><Relationship Id="rId46" Type="http://schemas.openxmlformats.org/officeDocument/2006/relationships/hyperlink" Target="https://doi.org/10.1016/j.aquaculture.2008.08.015" TargetMode="External"/><Relationship Id="rId20" Type="http://schemas.openxmlformats.org/officeDocument/2006/relationships/hyperlink" Target="https://doi.org/10.1016/j.aaf.2021.12.011" TargetMode="External"/><Relationship Id="rId41" Type="http://schemas.openxmlformats.org/officeDocument/2006/relationships/hyperlink" Target="https://doi.org/10.1016/S0044-8486(02)00497-0"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3419</TotalTime>
  <Pages>19</Pages>
  <Words>7832</Words>
  <Characters>44646</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Puneet Patel</dc:creator>
  <cp:keywords/>
  <dc:description/>
  <cp:lastModifiedBy>SDI CPU 1117</cp:lastModifiedBy>
  <cp:revision>56</cp:revision>
  <dcterms:created xsi:type="dcterms:W3CDTF">2026-05-02T11:07:00Z</dcterms:created>
  <dcterms:modified xsi:type="dcterms:W3CDTF">2026-07-11T07:09:00Z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e2269ea7-f76f-4708-a0da-eb0c0625823f</vt:lpwstr>
  </property>
</Properties>
</file>