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84FC2" w14:textId="77777777" w:rsidR="002711BD" w:rsidRPr="00F12824" w:rsidRDefault="002711BD" w:rsidP="00235F95">
      <w:pPr>
        <w:pStyle w:val="CommentText"/>
        <w:spacing w:line="480" w:lineRule="auto"/>
        <w:jc w:val="center"/>
        <w:rPr>
          <w:rFonts w:ascii="Times New Roman" w:eastAsia="Times New Roman" w:hAnsi="Times New Roman" w:cs="Times New Roman"/>
          <w:b/>
          <w:bCs/>
          <w:sz w:val="24"/>
          <w:szCs w:val="24"/>
          <w:u w:val="single"/>
          <w:lang w:bidi="bn-IN"/>
        </w:rPr>
      </w:pPr>
      <w:bookmarkStart w:id="0" w:name="_Hlk203056981"/>
      <w:r w:rsidRPr="00F12824">
        <w:rPr>
          <w:rFonts w:ascii="Times New Roman" w:eastAsia="Times New Roman" w:hAnsi="Times New Roman" w:cs="Times New Roman"/>
          <w:b/>
          <w:bCs/>
          <w:sz w:val="24"/>
          <w:szCs w:val="24"/>
          <w:u w:val="single"/>
          <w:lang w:bidi="bn-IN"/>
        </w:rPr>
        <w:t>ORIGINAL RESEARCH ARTICLE</w:t>
      </w:r>
    </w:p>
    <w:p w14:paraId="53289B6B" w14:textId="73032F5B" w:rsidR="00943AB3" w:rsidRPr="00F12824" w:rsidRDefault="00060E47" w:rsidP="00235F95">
      <w:pPr>
        <w:pStyle w:val="CommentText"/>
        <w:spacing w:line="480" w:lineRule="auto"/>
        <w:jc w:val="center"/>
        <w:rPr>
          <w:rFonts w:ascii="Times New Roman" w:eastAsia="Times New Roman" w:hAnsi="Times New Roman" w:cs="Times New Roman"/>
          <w:b/>
          <w:bCs/>
          <w:sz w:val="24"/>
          <w:szCs w:val="24"/>
          <w:lang w:bidi="bn-IN"/>
        </w:rPr>
      </w:pPr>
      <w:r w:rsidRPr="00F12824">
        <w:rPr>
          <w:rFonts w:ascii="Times New Roman" w:eastAsia="Times New Roman" w:hAnsi="Times New Roman" w:cs="Times New Roman"/>
          <w:b/>
          <w:bCs/>
          <w:sz w:val="24"/>
          <w:szCs w:val="24"/>
          <w:lang w:bidi="bn-IN"/>
        </w:rPr>
        <w:t>COMPARATIVE EVALUATION OF OVSYNCH AND HEATSYNCH PROTOCOLS ON REPRODUCTIVE PERFORMANCE OF POSTPARTUM ANESTRUS CROSSBRED DAIRY COWS UNDER FIELD CONDITIONS</w:t>
      </w:r>
      <w:bookmarkEnd w:id="0"/>
    </w:p>
    <w:p w14:paraId="57DF3ED2" w14:textId="77777777" w:rsidR="000E4EB7" w:rsidRPr="00F12824" w:rsidRDefault="000E4EB7" w:rsidP="00235F95">
      <w:pPr>
        <w:spacing w:line="480" w:lineRule="auto"/>
        <w:jc w:val="center"/>
        <w:rPr>
          <w:rFonts w:ascii="Times New Roman" w:hAnsi="Times New Roman" w:cs="Times New Roman"/>
          <w:b/>
          <w:bCs/>
          <w:iCs/>
          <w:sz w:val="24"/>
          <w:szCs w:val="24"/>
        </w:rPr>
      </w:pPr>
      <w:r w:rsidRPr="00F12824">
        <w:rPr>
          <w:rFonts w:ascii="Times New Roman" w:eastAsia="Times New Roman" w:hAnsi="Times New Roman" w:cs="Times New Roman"/>
          <w:b/>
          <w:bCs/>
          <w:iCs/>
          <w:sz w:val="24"/>
          <w:szCs w:val="24"/>
          <w:u w:val="single"/>
        </w:rPr>
        <w:t>Abstract</w:t>
      </w:r>
    </w:p>
    <w:p w14:paraId="22B255A4" w14:textId="052ABBE4" w:rsidR="00C56831" w:rsidRPr="00F12824" w:rsidRDefault="00C56831" w:rsidP="00006FD9">
      <w:pPr>
        <w:spacing w:before="100" w:beforeAutospacing="1" w:after="100" w:afterAutospacing="1"/>
        <w:jc w:val="both"/>
        <w:rPr>
          <w:rFonts w:ascii="Times New Roman" w:eastAsia="Times New Roman" w:hAnsi="Times New Roman" w:cs="Times New Roman"/>
          <w:sz w:val="24"/>
          <w:szCs w:val="24"/>
          <w:lang w:bidi="bn-IN"/>
        </w:rPr>
      </w:pPr>
      <w:r w:rsidRPr="00F12824">
        <w:rPr>
          <w:rFonts w:ascii="Times New Roman" w:eastAsia="Times New Roman" w:hAnsi="Times New Roman"/>
          <w:sz w:val="24"/>
        </w:rPr>
        <w:t>Postpartum anoestrus is a reproductive constraint in dairy cattle, particularly in smallholder field systems where oestrus detection and reproductive management may be limited. This study evaluated responses in postpartum anoestrous crossbred cows subjected to Ovsynch and Heatsynch synchronisation protocols under field conditions in East Champaran district, Bihar, India. Sixty postpartum anoestrous crossbred cows were enrolled over two breeding seasons and allocated to three groups of 20 animals each. The control group received supportive management, whereas the treatment groups received either the Ovsynch or Heatsynch protocol, followed by artificial insemination according to the assigned schedule. Oestrus response, conception rate, body condition score, parity and study year effects were explored.</w:t>
      </w:r>
      <w:r w:rsidR="00EE75CF">
        <w:rPr>
          <w:rFonts w:ascii="Times New Roman" w:eastAsia="Times New Roman" w:hAnsi="Times New Roman" w:cs="Times New Roman"/>
          <w:sz w:val="24"/>
          <w:szCs w:val="24"/>
          <w:lang w:bidi="bn-IN"/>
        </w:rPr>
        <w:t xml:space="preserve"> </w:t>
      </w:r>
      <w:proofErr w:type="spellStart"/>
      <w:r w:rsidRPr="00F12824">
        <w:rPr>
          <w:rFonts w:ascii="Times New Roman" w:eastAsia="Times New Roman" w:hAnsi="Times New Roman"/>
          <w:sz w:val="24"/>
        </w:rPr>
        <w:t>Oestrus</w:t>
      </w:r>
      <w:proofErr w:type="spellEnd"/>
      <w:r w:rsidRPr="00F12824">
        <w:rPr>
          <w:rFonts w:ascii="Times New Roman" w:eastAsia="Times New Roman" w:hAnsi="Times New Roman"/>
          <w:sz w:val="24"/>
        </w:rPr>
        <w:t xml:space="preserve"> response was 45.0% in the control group, 80.0% in the Ovsynch group and 75.0% in the Heatsynch group. Both synchronisation protocols produced higher oestrus responses than supportive management alone, with the Ovsynch group showing a statistically significant improvement over the control group. Conception rates were 35.0%, 65.0% and 55.0% in the control, Ovsynch and Heatsynch groups, respectively. Conception was numerically higher in the synchronised groups, although the difference between Ovsynch and Heatsynch was not significant. Body condition score and parity were not significantly associated with conception outcome, although cows with body condition scores of ≥3.0 tended to perform better. Reproductive responses were broadly consistent across study years. These findings indicate that Ovsynch and Heatsynch may be useful reproductive management options for postpartum anoestrous crossbred cows under smallholder field conditions; however, larger studies are needed to confirm treatment effects with greater precision.</w:t>
      </w:r>
    </w:p>
    <w:p w14:paraId="2E8C37A4" w14:textId="77777777" w:rsidR="00EE5341" w:rsidRDefault="000E4EB7" w:rsidP="00006FD9">
      <w:pPr>
        <w:spacing w:before="360"/>
        <w:jc w:val="both"/>
        <w:rPr>
          <w:rFonts w:ascii="Times New Roman" w:eastAsia="Times New Roman" w:hAnsi="Times New Roman"/>
          <w:sz w:val="24"/>
        </w:rPr>
      </w:pPr>
      <w:r w:rsidRPr="003B4272">
        <w:rPr>
          <w:rFonts w:ascii="Times New Roman" w:eastAsia="Times New Roman" w:hAnsi="Times New Roman"/>
          <w:b/>
          <w:bCs/>
          <w:sz w:val="24"/>
        </w:rPr>
        <w:t>Keywords</w:t>
      </w:r>
      <w:r w:rsidRPr="00F12824">
        <w:rPr>
          <w:rFonts w:ascii="Times New Roman" w:eastAsia="Times New Roman" w:hAnsi="Times New Roman"/>
          <w:sz w:val="24"/>
        </w:rPr>
        <w:t>: Postpartum anoestrus, Ovsynch, Heatsynch, oestrus synchronisation, fixed-time artificial insemination, conception rate, crossbred cows, body condition score, smallholder dairy system, reproductive performance.</w:t>
      </w:r>
    </w:p>
    <w:p w14:paraId="37E7CEEB" w14:textId="77777777" w:rsidR="003B4272" w:rsidRDefault="003B4272" w:rsidP="00006FD9">
      <w:pPr>
        <w:spacing w:before="360"/>
        <w:jc w:val="both"/>
        <w:rPr>
          <w:rFonts w:ascii="Times New Roman" w:eastAsia="Times New Roman" w:hAnsi="Times New Roman"/>
          <w:sz w:val="24"/>
        </w:rPr>
      </w:pPr>
    </w:p>
    <w:p w14:paraId="55DA8ECD" w14:textId="77777777" w:rsidR="003B4272" w:rsidRPr="00F12824" w:rsidRDefault="003B4272" w:rsidP="00006FD9">
      <w:pPr>
        <w:spacing w:before="360"/>
        <w:jc w:val="both"/>
        <w:rPr>
          <w:rFonts w:ascii="Times New Roman" w:hAnsi="Times New Roman" w:cs="Times New Roman"/>
          <w:sz w:val="24"/>
          <w:szCs w:val="24"/>
        </w:rPr>
      </w:pPr>
    </w:p>
    <w:p w14:paraId="543F57DB" w14:textId="77777777" w:rsidR="00517CFA" w:rsidRPr="00F12824" w:rsidRDefault="00517CFA" w:rsidP="00235F95">
      <w:pPr>
        <w:spacing w:line="480" w:lineRule="auto"/>
        <w:rPr>
          <w:rFonts w:ascii="Times New Roman" w:hAnsi="Times New Roman" w:cs="Times New Roman"/>
          <w:b/>
          <w:bCs/>
          <w:sz w:val="24"/>
          <w:szCs w:val="22"/>
        </w:rPr>
      </w:pPr>
      <w:r w:rsidRPr="00F12824">
        <w:rPr>
          <w:rFonts w:ascii="Times New Roman" w:eastAsia="Times New Roman" w:hAnsi="Times New Roman" w:cs="Times New Roman"/>
          <w:b/>
          <w:bCs/>
          <w:sz w:val="24"/>
          <w:szCs w:val="22"/>
        </w:rPr>
        <w:lastRenderedPageBreak/>
        <w:t>Introduction</w:t>
      </w:r>
    </w:p>
    <w:p w14:paraId="1D1A5F20" w14:textId="77777777" w:rsidR="00C37F62" w:rsidRPr="00F12824" w:rsidRDefault="00C37F62" w:rsidP="00235F95">
      <w:pPr>
        <w:spacing w:line="480" w:lineRule="auto"/>
        <w:jc w:val="both"/>
        <w:rPr>
          <w:rFonts w:ascii="Times New Roman" w:hAnsi="Times New Roman" w:cs="Times New Roman"/>
          <w:sz w:val="24"/>
          <w:szCs w:val="22"/>
          <w:lang w:val="en-IN"/>
        </w:rPr>
      </w:pPr>
      <w:r w:rsidRPr="00F12824">
        <w:rPr>
          <w:rFonts w:ascii="Times New Roman" w:eastAsia="Times New Roman" w:hAnsi="Times New Roman"/>
          <w:sz w:val="24"/>
        </w:rPr>
        <w:t>Reproductive efficiency is a major determinant of dairy herd productivity and profitability, and maintaining optimal calving intervals is an important management objective in dairy production systems (Taylor et al., 2018). However, postpartum anoestrus remains one of the common reproductive disorders affecting dairy cattle in developing countries, particularly in smallholder production systems where nutritional limitations, environmental stressors and restricted veterinary services can delay the resumption of ovarian cyclicity (Banda and Tanganyika, 2021; Gautam, 2023). The condition prolongs calving intervals, reduces reproductive efficiency and may adversely affect household income in communities that depend heavily on livestock for their livelihoods (Gautam, 2023). The challenge is particularly evident in tropical and subtropical regions, where heat stress, seasonal feed shortages, parasitic burden and management constraints can impair reproductive recovery after calving (Oke et al., 2021; Sacarrão-Birrento et al., 2024; Ding et al., 2024). Postpartum anoestrus is a multifactorial condition influenced by nutritional, metabolic, health and environmental factors that collectively delay the return of normal ovarian activity and oestrus expression (Chaves et al., 2024; Ding et al., 2024).</w:t>
      </w:r>
    </w:p>
    <w:p w14:paraId="404DA0E1" w14:textId="0E233A36" w:rsidR="00955452" w:rsidRPr="00F12824" w:rsidRDefault="00C37F62">
      <w:pPr>
        <w:spacing w:line="480" w:lineRule="auto"/>
        <w:jc w:val="both"/>
        <w:rPr>
          <w:rFonts w:ascii="Times New Roman" w:hAnsi="Times New Roman" w:cs="Times New Roman"/>
          <w:bCs/>
          <w:sz w:val="24"/>
          <w:szCs w:val="22"/>
          <w:lang w:val="en-IN"/>
        </w:rPr>
      </w:pPr>
      <w:r w:rsidRPr="00F12824">
        <w:rPr>
          <w:rFonts w:ascii="Times New Roman" w:eastAsia="Times New Roman" w:hAnsi="Times New Roman"/>
          <w:sz w:val="24"/>
        </w:rPr>
        <w:t xml:space="preserve">Although improvements in nutrition, health care and general management remain fundamental approaches for reducing postpartum anoestrus, implementation of these measures is often challenging in smallholder dairy systems. In addition, effective oestrus detection remains a major constraint under field conditions, where detection efficiency may be substantially reduced because of limited labour availability, inadequate observation practices and restricted veterinary support (Reith and Hoy, 2018; Nowicki et al., 2017). Consequently, reproductive management strategies that reduce dependence on visual oestrus detection are of practical interest. Smallholder dairy studies indicate that farm-level economic and management constraints can </w:t>
      </w:r>
      <w:r w:rsidRPr="00F12824">
        <w:rPr>
          <w:rFonts w:ascii="Times New Roman" w:eastAsia="Times New Roman" w:hAnsi="Times New Roman"/>
          <w:sz w:val="24"/>
        </w:rPr>
        <w:lastRenderedPageBreak/>
        <w:t>reduce dairy enterprise performance, emphasising the need to assess reproductive interventions in practical field settings (Heema et al., 2025).</w:t>
      </w:r>
    </w:p>
    <w:p w14:paraId="103071BE" w14:textId="61398B87" w:rsidR="00955452" w:rsidRPr="00F12824" w:rsidRDefault="00C37F62">
      <w:pPr>
        <w:spacing w:line="480" w:lineRule="auto"/>
        <w:jc w:val="both"/>
        <w:rPr>
          <w:rFonts w:ascii="Times New Roman" w:hAnsi="Times New Roman" w:cs="Times New Roman"/>
          <w:bCs/>
          <w:sz w:val="24"/>
          <w:szCs w:val="22"/>
          <w:lang w:val="en-IN"/>
        </w:rPr>
      </w:pPr>
      <w:r w:rsidRPr="00F12824">
        <w:rPr>
          <w:rFonts w:ascii="Times New Roman" w:eastAsia="Times New Roman" w:hAnsi="Times New Roman"/>
          <w:sz w:val="24"/>
        </w:rPr>
        <w:t xml:space="preserve">Hormonal synchronisation protocols that facilitate fixed-time artificial insemination (FTAI) have been widely adopted for this purpose (Nowicki et al., 2017; Lamb and Mercadante, 2016; Ayantoye et al., 2025). The Ovsynch protocol, originally described by Pursley et al. (1995), uses sequential administration of GnRH and PGF₂α to synchronise ovulation and allow insemination at a predetermined time. Similarly, the Heatsynch protocol incorporates estradiol benzoate following PGF₂α administration to enhance oestrus expression while maintaining synchronisation for timed breeding (Pancarci et al., 2002; Williams and Cardoso, 2021; Arya et al., 2023). Both protocols offer the advantage of minimising reliance on visual oestrus detection, making them potentially valuable tools under field conditions (Mahto, 2023). Previous studies have reported favourable reproductive responses following the use of synchronisation protocols in dairy cattle and buffaloes (Kandiel et al., 2012; </w:t>
      </w:r>
      <w:r w:rsidR="00614F28">
        <w:rPr>
          <w:rFonts w:ascii="Times New Roman" w:eastAsia="Times New Roman" w:hAnsi="Times New Roman"/>
          <w:sz w:val="24"/>
        </w:rPr>
        <w:t>Dhami</w:t>
      </w:r>
      <w:r w:rsidRPr="00F12824">
        <w:rPr>
          <w:rFonts w:ascii="Times New Roman" w:eastAsia="Times New Roman" w:hAnsi="Times New Roman"/>
          <w:sz w:val="24"/>
        </w:rPr>
        <w:t xml:space="preserve"> et al., 2019; Ratnaparkhi et al., 2020; Ferré et al., 2023; Ferré et al., 2025; Berean et al., 2025). However, reproductive outcomes vary considerably across breeds, production environments, nutritional status and management systems. Most available studies have been conducted under organised farm conditions or research settings that differ substantially from farmer-managed smallholder systems. Such differences may influence the field performance of synchronisation protocols and limit direct extrapolation of published findings (Banda and Tanganyika, 2021; Reddy et al., 2022; Tanwer et al., 2020). Recent comparative evidence further indicates that synchronisation protocols can differ in pregnancy outcomes, while parity, body condition score, oestrus expression before insemination and farm-level management may influence fertility responses (Ambarcioglu et al., 2023; Vazquez Belandria et al., 2023; Laplacette et al., 2025). A recent field study on postpartum </w:t>
      </w:r>
      <w:r w:rsidRPr="00F12824">
        <w:rPr>
          <w:rFonts w:ascii="Times New Roman" w:eastAsia="Times New Roman" w:hAnsi="Times New Roman"/>
          <w:sz w:val="24"/>
        </w:rPr>
        <w:lastRenderedPageBreak/>
        <w:t>anoestrous native cows also reported improved oestrus induction following CIDR-based synchronisation, supporting the broader relevance of controlled breeding interventions under farm conditions (Prasanth Kumar et al., 2025).</w:t>
      </w:r>
    </w:p>
    <w:p w14:paraId="2D8848A3" w14:textId="77777777" w:rsidR="00C37F62" w:rsidRPr="00F12824" w:rsidRDefault="00C37F62" w:rsidP="00235F95">
      <w:pPr>
        <w:spacing w:line="480" w:lineRule="auto"/>
        <w:jc w:val="both"/>
        <w:rPr>
          <w:rFonts w:ascii="Times New Roman" w:hAnsi="Times New Roman" w:cs="Times New Roman"/>
          <w:sz w:val="24"/>
          <w:szCs w:val="22"/>
          <w:lang w:val="en-IN"/>
        </w:rPr>
      </w:pPr>
      <w:r w:rsidRPr="00F12824">
        <w:rPr>
          <w:rFonts w:ascii="Times New Roman" w:eastAsia="Times New Roman" w:hAnsi="Times New Roman"/>
          <w:sz w:val="24"/>
        </w:rPr>
        <w:t>This knowledge gap is particularly relevant in eastern India, including Bihar, where dairy farming is predominantly practised by smallholder households and where reproductive inefficiency remains a major production constraint (Singh et al., 2020). Farmers commonly face challenges associated with seasonal fodder scarcity, climatic stress and limited access to veterinary services, all of which may contribute to prolonged postpartum anoestrus and extended calving intervals (Gautam, 2023).</w:t>
      </w:r>
    </w:p>
    <w:p w14:paraId="124CC04A" w14:textId="79733B2C" w:rsidR="00C37F62" w:rsidRPr="00F12824" w:rsidRDefault="00AB6E0F" w:rsidP="00235F95">
      <w:pPr>
        <w:spacing w:line="480" w:lineRule="auto"/>
        <w:jc w:val="both"/>
      </w:pPr>
      <w:r w:rsidRPr="00F12824">
        <w:rPr>
          <w:rFonts w:ascii="Times New Roman" w:eastAsia="Times New Roman" w:hAnsi="Times New Roman"/>
          <w:sz w:val="24"/>
        </w:rPr>
        <w:t>Evidence remains limited on how Ovsynch and Heatsynch perform under farmer-managed smallholder conditions in Bihar, where postpartum anoestrus is assessed and managed under routine field constraints rather than controlled research-farm settings. Therefore, the present study evaluated and compared the reproductive responses of postpartum anoestrous crossbred cows subjected to Ovsynch and Heatsynch synchronisation protocols under smallholder field conditions in Bihar, India. We hypothesised that synchronisation protocols would improve oestrus induction and conception outcomes compared with supportive management alone. By generating evidence directly from farmer-managed herds, the study provides field-based information relevant to reproductive management in smallholder dairy production systems operating under comparable tropical conditions.</w:t>
      </w:r>
    </w:p>
    <w:p w14:paraId="2579A410" w14:textId="77777777" w:rsidR="00517CFA" w:rsidRPr="00014D01" w:rsidRDefault="00517CFA" w:rsidP="00235F95">
      <w:pPr>
        <w:spacing w:line="480" w:lineRule="auto"/>
        <w:rPr>
          <w:rFonts w:ascii="Times New Roman" w:hAnsi="Times New Roman" w:cs="Times New Roman"/>
          <w:b/>
          <w:bCs/>
          <w:sz w:val="28"/>
          <w:szCs w:val="24"/>
        </w:rPr>
      </w:pPr>
      <w:r w:rsidRPr="00014D01">
        <w:rPr>
          <w:rFonts w:ascii="Times New Roman" w:eastAsia="Times New Roman" w:hAnsi="Times New Roman"/>
          <w:b/>
          <w:bCs/>
          <w:sz w:val="28"/>
          <w:szCs w:val="22"/>
        </w:rPr>
        <w:t>Materials and Methods</w:t>
      </w:r>
    </w:p>
    <w:p w14:paraId="4697B0BC" w14:textId="77777777" w:rsidR="00667B26" w:rsidRPr="00F12824" w:rsidRDefault="00667B26" w:rsidP="00235F95">
      <w:pPr>
        <w:spacing w:line="480" w:lineRule="auto"/>
        <w:ind w:firstLine="720"/>
        <w:jc w:val="both"/>
        <w:rPr>
          <w:rFonts w:ascii="Times New Roman" w:hAnsi="Times New Roman" w:cs="Times New Roman"/>
          <w:sz w:val="24"/>
          <w:szCs w:val="22"/>
          <w:lang w:val="en-IN"/>
        </w:rPr>
      </w:pPr>
      <w:r w:rsidRPr="00F12824">
        <w:rPr>
          <w:rFonts w:ascii="Times New Roman" w:eastAsia="Times New Roman" w:hAnsi="Times New Roman"/>
          <w:sz w:val="24"/>
        </w:rPr>
        <w:t xml:space="preserve">The study was conducted under the On-Farm Trial (OFT) programme of Krishi Vigyan Kendra (KVK), Piprakothi and Parsauni, East Champaran district, Bihar, India, affiliated with </w:t>
      </w:r>
      <w:r w:rsidRPr="00F12824">
        <w:rPr>
          <w:rFonts w:ascii="Times New Roman" w:eastAsia="Times New Roman" w:hAnsi="Times New Roman"/>
          <w:sz w:val="24"/>
        </w:rPr>
        <w:lastRenderedPageBreak/>
        <w:t>Dr. Rajendra Prasad Central Agricultural University, Pusa. The experimental locations fall within a humid subtropical agro-climatic zone characterised by warm summers, monsoon rainfall and mild winters. Dairy production in the study area is based on smallholder mixed crop-livestock systems, where cows are maintained under semi-intensive management in naturally ventilated sheds. Feeding primarily consisted of crop residues (wheat straw, paddy straw and maize stover) supplemented with limited seasonal green fodder and farmer-formulated concentrates. Water was available ad libitum, and routine farm management practices were maintained throughout the trial. The experiment was conducted across two consecutive breeding seasons (2020-21 and 2021-22) to minimise seasonal bias under field conditions.</w:t>
      </w:r>
    </w:p>
    <w:p w14:paraId="4463FB9B" w14:textId="1F3816EB" w:rsidR="00667B26" w:rsidRPr="00F12824" w:rsidRDefault="00667B26" w:rsidP="00235F95">
      <w:pPr>
        <w:spacing w:line="480" w:lineRule="auto"/>
        <w:jc w:val="both"/>
        <w:rPr>
          <w:rFonts w:ascii="Times New Roman" w:hAnsi="Times New Roman" w:cs="Times New Roman"/>
          <w:sz w:val="24"/>
          <w:szCs w:val="22"/>
          <w:lang w:val="en-IN"/>
        </w:rPr>
      </w:pPr>
      <w:r w:rsidRPr="00F12824">
        <w:rPr>
          <w:rFonts w:ascii="Times New Roman" w:eastAsia="Times New Roman" w:hAnsi="Times New Roman"/>
          <w:sz w:val="24"/>
        </w:rPr>
        <w:t>A total of 60 postpartum anoestrous crossbred cows (Holstein-Friesian × indigenous) were enrolled (30 per year). The sample size was calculated based on an expected conception rate difference of 30% between the Ovsynch and control groups (</w:t>
      </w:r>
      <w:r w:rsidR="00614F28">
        <w:rPr>
          <w:rFonts w:ascii="Times New Roman" w:eastAsia="Times New Roman" w:hAnsi="Times New Roman"/>
          <w:sz w:val="24"/>
        </w:rPr>
        <w:t>Dhami</w:t>
      </w:r>
      <w:r w:rsidRPr="00F12824">
        <w:rPr>
          <w:rFonts w:ascii="Times New Roman" w:eastAsia="Times New Roman" w:hAnsi="Times New Roman"/>
          <w:sz w:val="24"/>
        </w:rPr>
        <w:t xml:space="preserve"> et al., 2019), with 20 cows per group included to account for potential losses.</w:t>
      </w:r>
    </w:p>
    <w:p w14:paraId="4AB844F2" w14:textId="77777777" w:rsidR="00667B26" w:rsidRPr="00F12824" w:rsidRDefault="00667B26" w:rsidP="00235F95">
      <w:pPr>
        <w:spacing w:line="480" w:lineRule="auto"/>
        <w:jc w:val="both"/>
        <w:rPr>
          <w:rFonts w:ascii="Times New Roman" w:hAnsi="Times New Roman" w:cs="Times New Roman"/>
          <w:sz w:val="24"/>
          <w:szCs w:val="22"/>
          <w:lang w:val="en-IN"/>
        </w:rPr>
      </w:pPr>
      <w:r w:rsidRPr="00F12824">
        <w:rPr>
          <w:rFonts w:ascii="Times New Roman" w:eastAsia="Times New Roman" w:hAnsi="Times New Roman" w:cs="Times New Roman"/>
          <w:b/>
          <w:bCs/>
          <w:sz w:val="24"/>
          <w:szCs w:val="22"/>
          <w:lang w:val="en-IN"/>
        </w:rPr>
        <w:t>Inclusion criteria:</w:t>
      </w:r>
    </w:p>
    <w:p w14:paraId="1A39D760" w14:textId="77777777" w:rsidR="00667B26" w:rsidRPr="00F12824" w:rsidRDefault="00667B26" w:rsidP="00235F95">
      <w:pPr>
        <w:numPr>
          <w:ilvl w:val="0"/>
          <w:numId w:val="5"/>
        </w:numPr>
        <w:spacing w:line="480" w:lineRule="auto"/>
        <w:jc w:val="both"/>
        <w:rPr>
          <w:rFonts w:ascii="Times New Roman" w:hAnsi="Times New Roman" w:cs="Times New Roman"/>
          <w:sz w:val="24"/>
          <w:szCs w:val="22"/>
          <w:lang w:val="en-IN"/>
        </w:rPr>
      </w:pPr>
      <w:r w:rsidRPr="00F12824">
        <w:rPr>
          <w:rFonts w:ascii="Times New Roman" w:eastAsia="Times New Roman" w:hAnsi="Times New Roman"/>
          <w:sz w:val="24"/>
        </w:rPr>
        <w:t>Postpartum interval ≥90 days without observed oestrus</w:t>
      </w:r>
    </w:p>
    <w:p w14:paraId="38084116" w14:textId="77777777" w:rsidR="00667B26" w:rsidRPr="00F12824" w:rsidRDefault="00667B26" w:rsidP="00235F95">
      <w:pPr>
        <w:numPr>
          <w:ilvl w:val="0"/>
          <w:numId w:val="5"/>
        </w:numPr>
        <w:spacing w:line="480" w:lineRule="auto"/>
        <w:jc w:val="both"/>
        <w:rPr>
          <w:rFonts w:ascii="Times New Roman" w:hAnsi="Times New Roman" w:cs="Times New Roman"/>
          <w:sz w:val="24"/>
          <w:szCs w:val="22"/>
          <w:lang w:val="en-IN"/>
        </w:rPr>
      </w:pPr>
      <w:r w:rsidRPr="00F12824">
        <w:rPr>
          <w:rFonts w:ascii="Times New Roman" w:eastAsia="Times New Roman" w:hAnsi="Times New Roman" w:cs="Times New Roman"/>
          <w:sz w:val="24"/>
          <w:szCs w:val="22"/>
          <w:lang w:val="en-IN"/>
        </w:rPr>
        <w:t>Age: 3.5-4.5 years (confirmed from dentition and farm records)</w:t>
      </w:r>
    </w:p>
    <w:p w14:paraId="2FB5C036" w14:textId="77777777" w:rsidR="00667B26" w:rsidRPr="00F12824" w:rsidRDefault="00667B26" w:rsidP="00235F95">
      <w:pPr>
        <w:numPr>
          <w:ilvl w:val="0"/>
          <w:numId w:val="5"/>
        </w:numPr>
        <w:spacing w:line="480" w:lineRule="auto"/>
        <w:jc w:val="both"/>
        <w:rPr>
          <w:rFonts w:ascii="Times New Roman" w:hAnsi="Times New Roman" w:cs="Times New Roman"/>
          <w:sz w:val="24"/>
          <w:szCs w:val="22"/>
          <w:lang w:val="en-IN"/>
        </w:rPr>
      </w:pPr>
      <w:r w:rsidRPr="00F12824">
        <w:rPr>
          <w:rFonts w:ascii="Times New Roman" w:eastAsia="Times New Roman" w:hAnsi="Times New Roman" w:cs="Times New Roman"/>
          <w:sz w:val="24"/>
          <w:szCs w:val="22"/>
          <w:lang w:val="en-IN"/>
        </w:rPr>
        <w:t>Parity: 2-4 (second to fourth lactation)</w:t>
      </w:r>
    </w:p>
    <w:p w14:paraId="6A9B9B93" w14:textId="77777777" w:rsidR="00667B26" w:rsidRPr="00F12824" w:rsidRDefault="00667B26" w:rsidP="00235F95">
      <w:pPr>
        <w:numPr>
          <w:ilvl w:val="0"/>
          <w:numId w:val="5"/>
        </w:numPr>
        <w:spacing w:line="480" w:lineRule="auto"/>
        <w:jc w:val="both"/>
        <w:rPr>
          <w:rFonts w:ascii="Times New Roman" w:hAnsi="Times New Roman" w:cs="Times New Roman"/>
          <w:sz w:val="24"/>
          <w:szCs w:val="22"/>
          <w:lang w:val="en-IN"/>
        </w:rPr>
      </w:pPr>
      <w:r w:rsidRPr="00F12824">
        <w:rPr>
          <w:rFonts w:ascii="Times New Roman" w:eastAsia="Times New Roman" w:hAnsi="Times New Roman"/>
          <w:sz w:val="24"/>
        </w:rPr>
        <w:t>Body condition score: 2.5-3.5 on a 1-5 scale (Ferguson et al., 1994)</w:t>
      </w:r>
    </w:p>
    <w:p w14:paraId="6EAC4CF0" w14:textId="77777777" w:rsidR="00667B26" w:rsidRPr="00F12824" w:rsidRDefault="00667B26" w:rsidP="00235F95">
      <w:pPr>
        <w:numPr>
          <w:ilvl w:val="0"/>
          <w:numId w:val="5"/>
        </w:numPr>
        <w:spacing w:line="480" w:lineRule="auto"/>
        <w:jc w:val="both"/>
        <w:rPr>
          <w:rFonts w:ascii="Times New Roman" w:hAnsi="Times New Roman" w:cs="Times New Roman"/>
          <w:sz w:val="24"/>
          <w:szCs w:val="22"/>
          <w:lang w:val="en-IN"/>
        </w:rPr>
      </w:pPr>
      <w:r w:rsidRPr="00F12824">
        <w:rPr>
          <w:rFonts w:ascii="Times New Roman" w:eastAsia="Times New Roman" w:hAnsi="Times New Roman" w:cs="Times New Roman"/>
          <w:sz w:val="24"/>
          <w:szCs w:val="22"/>
          <w:lang w:val="en-IN"/>
        </w:rPr>
        <w:t>Clinically healthy with no palpable reproductive tract abnormalities</w:t>
      </w:r>
    </w:p>
    <w:p w14:paraId="63107AA9" w14:textId="77777777" w:rsidR="00667B26" w:rsidRPr="00F12824" w:rsidRDefault="00667B26" w:rsidP="00235F95">
      <w:pPr>
        <w:numPr>
          <w:ilvl w:val="0"/>
          <w:numId w:val="5"/>
        </w:numPr>
        <w:spacing w:line="480" w:lineRule="auto"/>
        <w:jc w:val="both"/>
        <w:rPr>
          <w:rFonts w:ascii="Times New Roman" w:hAnsi="Times New Roman" w:cs="Times New Roman"/>
          <w:sz w:val="24"/>
          <w:szCs w:val="22"/>
          <w:lang w:val="en-IN"/>
        </w:rPr>
      </w:pPr>
      <w:r w:rsidRPr="00F12824">
        <w:rPr>
          <w:rFonts w:ascii="Times New Roman" w:eastAsia="Times New Roman" w:hAnsi="Times New Roman" w:cs="Times New Roman"/>
          <w:sz w:val="24"/>
          <w:szCs w:val="22"/>
          <w:lang w:val="en-IN"/>
        </w:rPr>
        <w:t>Mean body weight: 438.52 ± 18.49 kg</w:t>
      </w:r>
    </w:p>
    <w:p w14:paraId="0A3E9FC2" w14:textId="77777777" w:rsidR="00667B26" w:rsidRPr="00F12824" w:rsidRDefault="00667B26" w:rsidP="00235F95">
      <w:pPr>
        <w:spacing w:line="480" w:lineRule="auto"/>
        <w:jc w:val="both"/>
        <w:rPr>
          <w:rFonts w:ascii="Times New Roman" w:hAnsi="Times New Roman" w:cs="Times New Roman"/>
          <w:sz w:val="24"/>
          <w:szCs w:val="22"/>
          <w:lang w:val="en-IN"/>
        </w:rPr>
      </w:pPr>
      <w:r w:rsidRPr="00F12824">
        <w:rPr>
          <w:rFonts w:ascii="Times New Roman" w:eastAsia="Times New Roman" w:hAnsi="Times New Roman" w:cs="Times New Roman"/>
          <w:b/>
          <w:bCs/>
          <w:sz w:val="24"/>
          <w:szCs w:val="22"/>
          <w:lang w:val="en-IN"/>
        </w:rPr>
        <w:lastRenderedPageBreak/>
        <w:t>Exclusion criteria:</w:t>
      </w:r>
    </w:p>
    <w:p w14:paraId="1F837A58" w14:textId="77777777" w:rsidR="00667B26" w:rsidRPr="00F12824" w:rsidRDefault="00667B26" w:rsidP="00235F95">
      <w:pPr>
        <w:numPr>
          <w:ilvl w:val="0"/>
          <w:numId w:val="6"/>
        </w:numPr>
        <w:spacing w:line="480" w:lineRule="auto"/>
        <w:jc w:val="both"/>
        <w:rPr>
          <w:rFonts w:ascii="Times New Roman" w:hAnsi="Times New Roman" w:cs="Times New Roman"/>
          <w:sz w:val="24"/>
          <w:szCs w:val="22"/>
          <w:lang w:val="en-IN"/>
        </w:rPr>
      </w:pPr>
      <w:r w:rsidRPr="00F12824">
        <w:rPr>
          <w:rFonts w:ascii="Times New Roman" w:eastAsia="Times New Roman" w:hAnsi="Times New Roman" w:cs="Times New Roman"/>
          <w:sz w:val="24"/>
          <w:szCs w:val="22"/>
          <w:lang w:val="en-IN"/>
        </w:rPr>
        <w:t>History of repeat breeding (≥3 services without conception)</w:t>
      </w:r>
    </w:p>
    <w:p w14:paraId="11F94389" w14:textId="77777777" w:rsidR="00667B26" w:rsidRPr="00F12824" w:rsidRDefault="00667B26" w:rsidP="00235F95">
      <w:pPr>
        <w:numPr>
          <w:ilvl w:val="0"/>
          <w:numId w:val="6"/>
        </w:numPr>
        <w:spacing w:line="480" w:lineRule="auto"/>
        <w:jc w:val="both"/>
        <w:rPr>
          <w:rFonts w:ascii="Times New Roman" w:hAnsi="Times New Roman" w:cs="Times New Roman"/>
          <w:sz w:val="24"/>
          <w:szCs w:val="22"/>
          <w:lang w:val="en-IN"/>
        </w:rPr>
      </w:pPr>
      <w:r w:rsidRPr="00F12824">
        <w:rPr>
          <w:rFonts w:ascii="Times New Roman" w:eastAsia="Times New Roman" w:hAnsi="Times New Roman" w:cs="Times New Roman"/>
          <w:sz w:val="24"/>
          <w:szCs w:val="22"/>
          <w:lang w:val="en-IN"/>
        </w:rPr>
        <w:t>Previous reproductive pathology (retained placenta, uterine prolapse, dystocia)</w:t>
      </w:r>
    </w:p>
    <w:p w14:paraId="22A08FC6" w14:textId="77777777" w:rsidR="00667B26" w:rsidRPr="00F12824" w:rsidRDefault="00667B26" w:rsidP="00235F95">
      <w:pPr>
        <w:numPr>
          <w:ilvl w:val="0"/>
          <w:numId w:val="6"/>
        </w:numPr>
        <w:spacing w:line="480" w:lineRule="auto"/>
        <w:jc w:val="both"/>
        <w:rPr>
          <w:rFonts w:ascii="Times New Roman" w:hAnsi="Times New Roman" w:cs="Times New Roman"/>
          <w:sz w:val="24"/>
          <w:szCs w:val="22"/>
          <w:lang w:val="en-IN"/>
        </w:rPr>
      </w:pPr>
      <w:r w:rsidRPr="00F12824">
        <w:rPr>
          <w:rFonts w:ascii="Times New Roman" w:eastAsia="Times New Roman" w:hAnsi="Times New Roman" w:cs="Times New Roman"/>
          <w:sz w:val="24"/>
          <w:szCs w:val="22"/>
          <w:lang w:val="en-IN"/>
        </w:rPr>
        <w:t>Systemic illness or emaciation</w:t>
      </w:r>
    </w:p>
    <w:p w14:paraId="04B870D5" w14:textId="77777777" w:rsidR="00667B26" w:rsidRPr="00F12824" w:rsidRDefault="00667B26" w:rsidP="00235F95">
      <w:pPr>
        <w:numPr>
          <w:ilvl w:val="0"/>
          <w:numId w:val="6"/>
        </w:numPr>
        <w:spacing w:line="480" w:lineRule="auto"/>
        <w:jc w:val="both"/>
        <w:rPr>
          <w:rFonts w:ascii="Times New Roman" w:hAnsi="Times New Roman" w:cs="Times New Roman"/>
          <w:sz w:val="24"/>
          <w:szCs w:val="22"/>
          <w:lang w:val="en-IN"/>
        </w:rPr>
      </w:pPr>
      <w:r w:rsidRPr="00F12824">
        <w:rPr>
          <w:rFonts w:ascii="Times New Roman" w:eastAsia="Times New Roman" w:hAnsi="Times New Roman" w:cs="Times New Roman"/>
          <w:sz w:val="24"/>
          <w:szCs w:val="22"/>
          <w:lang w:val="en-IN"/>
        </w:rPr>
        <w:t>BCS &lt;2.5 or &gt;3.5</w:t>
      </w:r>
    </w:p>
    <w:p w14:paraId="32CD3CF3" w14:textId="77777777" w:rsidR="00667B26" w:rsidRPr="00F12824" w:rsidRDefault="00667B26" w:rsidP="00235F95">
      <w:pPr>
        <w:numPr>
          <w:ilvl w:val="0"/>
          <w:numId w:val="6"/>
        </w:numPr>
        <w:spacing w:line="480" w:lineRule="auto"/>
        <w:jc w:val="both"/>
        <w:rPr>
          <w:rFonts w:ascii="Times New Roman" w:hAnsi="Times New Roman" w:cs="Times New Roman"/>
          <w:sz w:val="24"/>
          <w:szCs w:val="22"/>
          <w:lang w:val="en-IN"/>
        </w:rPr>
      </w:pPr>
      <w:r w:rsidRPr="00F12824">
        <w:rPr>
          <w:rFonts w:ascii="Times New Roman" w:eastAsia="Times New Roman" w:hAnsi="Times New Roman" w:cs="Times New Roman"/>
          <w:sz w:val="24"/>
          <w:szCs w:val="22"/>
          <w:lang w:val="en-IN"/>
        </w:rPr>
        <w:t>Parity &lt;2 or &gt;5</w:t>
      </w:r>
    </w:p>
    <w:p w14:paraId="06A7F825" w14:textId="77777777" w:rsidR="00667B26" w:rsidRPr="00F12824" w:rsidRDefault="00667B26" w:rsidP="00235F95">
      <w:pPr>
        <w:numPr>
          <w:ilvl w:val="0"/>
          <w:numId w:val="6"/>
        </w:numPr>
        <w:spacing w:line="480" w:lineRule="auto"/>
        <w:jc w:val="both"/>
        <w:rPr>
          <w:rFonts w:ascii="Times New Roman" w:hAnsi="Times New Roman" w:cs="Times New Roman"/>
          <w:sz w:val="24"/>
          <w:szCs w:val="22"/>
          <w:lang w:val="en-IN"/>
        </w:rPr>
      </w:pPr>
      <w:r w:rsidRPr="00F12824">
        <w:rPr>
          <w:rFonts w:ascii="Times New Roman" w:eastAsia="Times New Roman" w:hAnsi="Times New Roman" w:cs="Times New Roman"/>
          <w:sz w:val="24"/>
          <w:szCs w:val="22"/>
          <w:lang w:val="en-IN"/>
        </w:rPr>
        <w:t xml:space="preserve">Ovarian pathology (cysts, </w:t>
      </w:r>
      <w:proofErr w:type="spellStart"/>
      <w:r w:rsidRPr="00F12824">
        <w:rPr>
          <w:rFonts w:ascii="Times New Roman" w:eastAsia="Times New Roman" w:hAnsi="Times New Roman" w:cs="Times New Roman"/>
          <w:sz w:val="24"/>
          <w:szCs w:val="22"/>
          <w:lang w:val="en-IN"/>
        </w:rPr>
        <w:t>tumors</w:t>
      </w:r>
      <w:proofErr w:type="spellEnd"/>
      <w:r w:rsidRPr="00F12824">
        <w:rPr>
          <w:rFonts w:ascii="Times New Roman" w:eastAsia="Times New Roman" w:hAnsi="Times New Roman" w:cs="Times New Roman"/>
          <w:sz w:val="24"/>
          <w:szCs w:val="22"/>
          <w:lang w:val="en-IN"/>
        </w:rPr>
        <w:t>, adhesions) on rectal palpation</w:t>
      </w:r>
    </w:p>
    <w:p w14:paraId="74E749F4" w14:textId="77777777" w:rsidR="00667B26" w:rsidRPr="00F12824" w:rsidRDefault="00667B26" w:rsidP="00235F95">
      <w:pPr>
        <w:numPr>
          <w:ilvl w:val="0"/>
          <w:numId w:val="6"/>
        </w:numPr>
        <w:spacing w:line="480" w:lineRule="auto"/>
        <w:jc w:val="both"/>
        <w:rPr>
          <w:rFonts w:ascii="Times New Roman" w:hAnsi="Times New Roman" w:cs="Times New Roman"/>
          <w:sz w:val="24"/>
          <w:szCs w:val="22"/>
          <w:lang w:val="en-IN"/>
        </w:rPr>
      </w:pPr>
      <w:r w:rsidRPr="00F12824">
        <w:rPr>
          <w:rFonts w:ascii="Times New Roman" w:eastAsia="Times New Roman" w:hAnsi="Times New Roman" w:cs="Times New Roman"/>
          <w:sz w:val="24"/>
          <w:szCs w:val="22"/>
          <w:lang w:val="en-IN"/>
        </w:rPr>
        <w:t>Farmer non-compliance with scheduled visits</w:t>
      </w:r>
    </w:p>
    <w:p w14:paraId="680CFD6A" w14:textId="77777777" w:rsidR="0056172B" w:rsidRPr="00944A5A" w:rsidRDefault="00E429F9" w:rsidP="00235F95">
      <w:pPr>
        <w:spacing w:line="480" w:lineRule="auto"/>
        <w:jc w:val="both"/>
        <w:rPr>
          <w:rFonts w:ascii="Times New Roman" w:hAnsi="Times New Roman" w:cs="Times New Roman"/>
          <w:b/>
          <w:bCs/>
          <w:sz w:val="24"/>
          <w:szCs w:val="22"/>
          <w:lang w:val="en-IN"/>
        </w:rPr>
      </w:pPr>
      <w:r w:rsidRPr="00944A5A">
        <w:rPr>
          <w:rFonts w:ascii="Times New Roman" w:eastAsia="Times New Roman" w:hAnsi="Times New Roman"/>
          <w:b/>
          <w:bCs/>
          <w:sz w:val="24"/>
        </w:rPr>
        <w:t>Experimental Design and Treatment Protocols</w:t>
      </w:r>
    </w:p>
    <w:p w14:paraId="5562BB60" w14:textId="77777777" w:rsidR="00784BB7" w:rsidRPr="00F12824" w:rsidRDefault="00784BB7" w:rsidP="00235F95">
      <w:pPr>
        <w:spacing w:line="480" w:lineRule="auto"/>
        <w:jc w:val="both"/>
        <w:rPr>
          <w:rFonts w:ascii="Times New Roman" w:hAnsi="Times New Roman" w:cs="Times New Roman"/>
          <w:sz w:val="24"/>
          <w:szCs w:val="22"/>
        </w:rPr>
      </w:pPr>
      <w:r w:rsidRPr="00F12824">
        <w:rPr>
          <w:rFonts w:ascii="Times New Roman" w:eastAsia="Times New Roman" w:hAnsi="Times New Roman"/>
          <w:sz w:val="24"/>
        </w:rPr>
        <w:t>All cows received comprehensive health management at enrolment, including deworming with fenbendazole (3 g orally, single dose; Panacur, Intervet), as shown in Figure 1.</w:t>
      </w:r>
    </w:p>
    <w:p w14:paraId="47BB32FB" w14:textId="77777777" w:rsidR="00784BB7" w:rsidRPr="00F12824" w:rsidRDefault="00784BB7" w:rsidP="00235F95">
      <w:pPr>
        <w:spacing w:line="480" w:lineRule="auto"/>
        <w:jc w:val="both"/>
        <w:rPr>
          <w:rFonts w:ascii="Times New Roman" w:hAnsi="Times New Roman" w:cs="Times New Roman"/>
          <w:b/>
          <w:bCs/>
          <w:sz w:val="24"/>
          <w:szCs w:val="22"/>
          <w:lang w:val="en-IN"/>
        </w:rPr>
      </w:pPr>
      <w:r w:rsidRPr="00F12824">
        <w:rPr>
          <w:rFonts w:ascii="Times New Roman" w:eastAsia="Times New Roman" w:hAnsi="Times New Roman"/>
          <w:sz w:val="24"/>
        </w:rPr>
        <w:t>Control Group (C; n = 20)</w:t>
      </w:r>
    </w:p>
    <w:p w14:paraId="739FB09B" w14:textId="77777777" w:rsidR="00784BB7" w:rsidRPr="00F12824" w:rsidRDefault="00784BB7" w:rsidP="00235F95">
      <w:pPr>
        <w:spacing w:line="480" w:lineRule="auto"/>
        <w:jc w:val="both"/>
        <w:rPr>
          <w:rFonts w:ascii="Times New Roman" w:hAnsi="Times New Roman" w:cs="Times New Roman"/>
          <w:b/>
          <w:bCs/>
          <w:sz w:val="24"/>
          <w:szCs w:val="22"/>
          <w:lang w:val="en-IN"/>
        </w:rPr>
      </w:pPr>
      <w:r w:rsidRPr="00F12824">
        <w:rPr>
          <w:rFonts w:ascii="Times New Roman" w:eastAsia="Times New Roman" w:hAnsi="Times New Roman" w:cs="Times New Roman"/>
          <w:b/>
          <w:bCs/>
          <w:sz w:val="24"/>
          <w:szCs w:val="22"/>
          <w:lang w:val="en-IN"/>
        </w:rPr>
        <w:t>Received standard supportive therapy:</w:t>
      </w:r>
    </w:p>
    <w:p w14:paraId="504719F3" w14:textId="77777777" w:rsidR="00784BB7" w:rsidRPr="00F12824" w:rsidRDefault="00784BB7" w:rsidP="00235F95">
      <w:pPr>
        <w:numPr>
          <w:ilvl w:val="0"/>
          <w:numId w:val="10"/>
        </w:numPr>
        <w:spacing w:line="480" w:lineRule="auto"/>
        <w:jc w:val="both"/>
        <w:rPr>
          <w:rFonts w:ascii="Times New Roman" w:hAnsi="Times New Roman" w:cs="Times New Roman"/>
          <w:bCs/>
          <w:sz w:val="24"/>
          <w:szCs w:val="22"/>
          <w:lang w:val="en-IN"/>
        </w:rPr>
      </w:pPr>
      <w:r w:rsidRPr="00F12824">
        <w:rPr>
          <w:rFonts w:ascii="Times New Roman" w:eastAsia="Times New Roman" w:hAnsi="Times New Roman"/>
          <w:sz w:val="24"/>
        </w:rPr>
        <w:t>Phosphorus supplementation: 80 mg intramuscularly (Inj. Tonophosphan, MSD Animal Health) on alternate days for 7 days</w:t>
      </w:r>
    </w:p>
    <w:p w14:paraId="52BB71FE" w14:textId="77777777" w:rsidR="00784BB7" w:rsidRPr="00F12824" w:rsidRDefault="00784BB7" w:rsidP="00235F95">
      <w:pPr>
        <w:numPr>
          <w:ilvl w:val="0"/>
          <w:numId w:val="10"/>
        </w:numPr>
        <w:spacing w:line="480" w:lineRule="auto"/>
        <w:jc w:val="both"/>
        <w:rPr>
          <w:rFonts w:ascii="Times New Roman" w:hAnsi="Times New Roman" w:cs="Times New Roman"/>
          <w:bCs/>
          <w:sz w:val="24"/>
          <w:szCs w:val="22"/>
          <w:lang w:val="en-IN"/>
        </w:rPr>
      </w:pPr>
      <w:r w:rsidRPr="00F12824">
        <w:rPr>
          <w:rFonts w:ascii="Times New Roman" w:eastAsia="Times New Roman" w:hAnsi="Times New Roman" w:cs="Times New Roman"/>
          <w:bCs/>
          <w:sz w:val="24"/>
          <w:szCs w:val="22"/>
          <w:lang w:val="en-IN"/>
        </w:rPr>
        <w:t xml:space="preserve">Multimineral bolus (each containing: Cu 50 mg, Zn 75 mg, Mn 50 mg, Co 5 mg, I 10 mg, Se 5 mg; </w:t>
      </w:r>
      <w:proofErr w:type="spellStart"/>
      <w:r w:rsidRPr="00F12824">
        <w:rPr>
          <w:rFonts w:ascii="Times New Roman" w:eastAsia="Times New Roman" w:hAnsi="Times New Roman" w:cs="Times New Roman"/>
          <w:bCs/>
          <w:sz w:val="24"/>
          <w:szCs w:val="22"/>
          <w:lang w:val="en-IN"/>
        </w:rPr>
        <w:t>Ayurvet</w:t>
      </w:r>
      <w:proofErr w:type="spellEnd"/>
      <w:r w:rsidRPr="00F12824">
        <w:rPr>
          <w:rFonts w:ascii="Times New Roman" w:eastAsia="Times New Roman" w:hAnsi="Times New Roman" w:cs="Times New Roman"/>
          <w:bCs/>
          <w:sz w:val="24"/>
          <w:szCs w:val="22"/>
          <w:lang w:val="en-IN"/>
        </w:rPr>
        <w:t xml:space="preserve"> Ltd.) orally once daily for 7 days</w:t>
      </w:r>
    </w:p>
    <w:p w14:paraId="7C10FAA1" w14:textId="77777777" w:rsidR="00784BB7" w:rsidRPr="00F12824" w:rsidRDefault="00784BB7" w:rsidP="00235F95">
      <w:pPr>
        <w:numPr>
          <w:ilvl w:val="0"/>
          <w:numId w:val="10"/>
        </w:numPr>
        <w:spacing w:line="480" w:lineRule="auto"/>
        <w:jc w:val="both"/>
        <w:rPr>
          <w:rFonts w:ascii="Times New Roman" w:hAnsi="Times New Roman" w:cs="Times New Roman"/>
          <w:bCs/>
          <w:sz w:val="24"/>
          <w:szCs w:val="22"/>
          <w:lang w:val="en-IN"/>
        </w:rPr>
      </w:pPr>
      <w:r w:rsidRPr="00F12824">
        <w:rPr>
          <w:rFonts w:ascii="Times New Roman" w:eastAsia="Times New Roman" w:hAnsi="Times New Roman"/>
          <w:sz w:val="24"/>
        </w:rPr>
        <w:t>Observed for natural oestrus for 21 days and inseminated when detected</w:t>
      </w:r>
    </w:p>
    <w:p w14:paraId="326BFF21" w14:textId="77777777" w:rsidR="00C03E18" w:rsidRPr="00B2029E" w:rsidRDefault="00C03E18" w:rsidP="00235F95">
      <w:pPr>
        <w:spacing w:line="480" w:lineRule="auto"/>
        <w:jc w:val="both"/>
        <w:rPr>
          <w:rFonts w:ascii="Times New Roman" w:hAnsi="Times New Roman" w:cs="Times New Roman"/>
          <w:b/>
          <w:bCs/>
          <w:sz w:val="24"/>
          <w:szCs w:val="22"/>
          <w:lang w:val="en-IN"/>
        </w:rPr>
      </w:pPr>
      <w:r w:rsidRPr="00B2029E">
        <w:rPr>
          <w:rFonts w:ascii="Times New Roman" w:eastAsia="Times New Roman" w:hAnsi="Times New Roman"/>
          <w:b/>
          <w:bCs/>
          <w:sz w:val="24"/>
        </w:rPr>
        <w:lastRenderedPageBreak/>
        <w:t>Treatment 1 (T1; Ovsynch Protocol; n = 20)</w:t>
      </w:r>
    </w:p>
    <w:p w14:paraId="74276C94" w14:textId="77777777" w:rsidR="00C03E18" w:rsidRPr="00F12824" w:rsidRDefault="00C03E18" w:rsidP="00235F95">
      <w:pPr>
        <w:spacing w:line="480" w:lineRule="auto"/>
        <w:jc w:val="both"/>
        <w:rPr>
          <w:rFonts w:ascii="Times New Roman" w:hAnsi="Times New Roman" w:cs="Times New Roman"/>
          <w:bCs/>
          <w:sz w:val="24"/>
          <w:szCs w:val="22"/>
          <w:lang w:val="en-IN"/>
        </w:rPr>
      </w:pPr>
      <w:r w:rsidRPr="00F12824">
        <w:rPr>
          <w:rFonts w:ascii="Times New Roman" w:eastAsia="Times New Roman" w:hAnsi="Times New Roman"/>
          <w:sz w:val="24"/>
        </w:rPr>
        <w:t>Based on Pursley et al. (1995), with modifications for field application:</w:t>
      </w:r>
    </w:p>
    <w:p w14:paraId="277D5092" w14:textId="77777777" w:rsidR="00C03E18" w:rsidRPr="00F12824" w:rsidRDefault="00C03E18" w:rsidP="00235F95">
      <w:pPr>
        <w:numPr>
          <w:ilvl w:val="0"/>
          <w:numId w:val="8"/>
        </w:numPr>
        <w:spacing w:line="480" w:lineRule="auto"/>
        <w:jc w:val="both"/>
        <w:rPr>
          <w:rFonts w:ascii="Times New Roman" w:hAnsi="Times New Roman" w:cs="Times New Roman"/>
          <w:bCs/>
          <w:sz w:val="24"/>
          <w:szCs w:val="22"/>
          <w:lang w:val="en-IN"/>
        </w:rPr>
      </w:pPr>
      <w:r w:rsidRPr="00F12824">
        <w:rPr>
          <w:rFonts w:ascii="Times New Roman" w:eastAsia="Times New Roman" w:hAnsi="Times New Roman" w:cs="Times New Roman"/>
          <w:bCs/>
          <w:sz w:val="24"/>
          <w:szCs w:val="22"/>
          <w:lang w:val="en-IN"/>
        </w:rPr>
        <w:t>Day 0: GnRH (</w:t>
      </w:r>
      <w:proofErr w:type="spellStart"/>
      <w:r w:rsidRPr="00F12824">
        <w:rPr>
          <w:rFonts w:ascii="Times New Roman" w:eastAsia="Times New Roman" w:hAnsi="Times New Roman" w:cs="Times New Roman"/>
          <w:bCs/>
          <w:sz w:val="24"/>
          <w:szCs w:val="22"/>
          <w:lang w:val="en-IN"/>
        </w:rPr>
        <w:t>Buserelin</w:t>
      </w:r>
      <w:proofErr w:type="spellEnd"/>
      <w:r w:rsidRPr="00F12824">
        <w:rPr>
          <w:rFonts w:ascii="Times New Roman" w:eastAsia="Times New Roman" w:hAnsi="Times New Roman" w:cs="Times New Roman"/>
          <w:bCs/>
          <w:sz w:val="24"/>
          <w:szCs w:val="22"/>
          <w:lang w:val="en-IN"/>
        </w:rPr>
        <w:t xml:space="preserve"> acetate, 10 </w:t>
      </w:r>
      <w:proofErr w:type="spellStart"/>
      <w:r w:rsidRPr="00F12824">
        <w:rPr>
          <w:rFonts w:ascii="Times New Roman" w:eastAsia="Times New Roman" w:hAnsi="Times New Roman" w:cs="Times New Roman"/>
          <w:bCs/>
          <w:sz w:val="24"/>
          <w:szCs w:val="22"/>
          <w:lang w:val="en-IN"/>
        </w:rPr>
        <w:t>μg</w:t>
      </w:r>
      <w:proofErr w:type="spellEnd"/>
      <w:r w:rsidRPr="00F12824">
        <w:rPr>
          <w:rFonts w:ascii="Times New Roman" w:eastAsia="Times New Roman" w:hAnsi="Times New Roman" w:cs="Times New Roman"/>
          <w:bCs/>
          <w:sz w:val="24"/>
          <w:szCs w:val="22"/>
          <w:lang w:val="en-IN"/>
        </w:rPr>
        <w:t>/2.5 ml, IM; Receptal, MSD Animal Health)</w:t>
      </w:r>
    </w:p>
    <w:p w14:paraId="0D88AC9C" w14:textId="77777777" w:rsidR="00C03E18" w:rsidRPr="00F12824" w:rsidRDefault="00C03E18" w:rsidP="00235F95">
      <w:pPr>
        <w:numPr>
          <w:ilvl w:val="0"/>
          <w:numId w:val="8"/>
        </w:numPr>
        <w:spacing w:line="480" w:lineRule="auto"/>
        <w:jc w:val="both"/>
        <w:rPr>
          <w:rFonts w:ascii="Times New Roman" w:hAnsi="Times New Roman" w:cs="Times New Roman"/>
          <w:bCs/>
          <w:sz w:val="24"/>
          <w:szCs w:val="22"/>
          <w:lang w:val="en-IN"/>
        </w:rPr>
      </w:pPr>
      <w:r w:rsidRPr="00F12824">
        <w:rPr>
          <w:rFonts w:ascii="Times New Roman" w:eastAsia="Times New Roman" w:hAnsi="Times New Roman" w:cs="Times New Roman"/>
          <w:bCs/>
          <w:sz w:val="24"/>
          <w:szCs w:val="22"/>
          <w:lang w:val="en-IN"/>
        </w:rPr>
        <w:t>Day 7: PGF₂α (</w:t>
      </w:r>
      <w:proofErr w:type="spellStart"/>
      <w:r w:rsidRPr="00F12824">
        <w:rPr>
          <w:rFonts w:ascii="Times New Roman" w:eastAsia="Times New Roman" w:hAnsi="Times New Roman" w:cs="Times New Roman"/>
          <w:bCs/>
          <w:sz w:val="24"/>
          <w:szCs w:val="22"/>
          <w:lang w:val="en-IN"/>
        </w:rPr>
        <w:t>Cloprostenol</w:t>
      </w:r>
      <w:proofErr w:type="spellEnd"/>
      <w:r w:rsidRPr="00F12824">
        <w:rPr>
          <w:rFonts w:ascii="Times New Roman" w:eastAsia="Times New Roman" w:hAnsi="Times New Roman" w:cs="Times New Roman"/>
          <w:bCs/>
          <w:sz w:val="24"/>
          <w:szCs w:val="22"/>
          <w:lang w:val="en-IN"/>
        </w:rPr>
        <w:t xml:space="preserve"> sodium, 500 </w:t>
      </w:r>
      <w:proofErr w:type="spellStart"/>
      <w:r w:rsidRPr="00F12824">
        <w:rPr>
          <w:rFonts w:ascii="Times New Roman" w:eastAsia="Times New Roman" w:hAnsi="Times New Roman" w:cs="Times New Roman"/>
          <w:bCs/>
          <w:sz w:val="24"/>
          <w:szCs w:val="22"/>
          <w:lang w:val="en-IN"/>
        </w:rPr>
        <w:t>μg</w:t>
      </w:r>
      <w:proofErr w:type="spellEnd"/>
      <w:r w:rsidRPr="00F12824">
        <w:rPr>
          <w:rFonts w:ascii="Times New Roman" w:eastAsia="Times New Roman" w:hAnsi="Times New Roman" w:cs="Times New Roman"/>
          <w:bCs/>
          <w:sz w:val="24"/>
          <w:szCs w:val="22"/>
          <w:lang w:val="en-IN"/>
        </w:rPr>
        <w:t xml:space="preserve">/2 ml, IM; </w:t>
      </w:r>
      <w:proofErr w:type="spellStart"/>
      <w:r w:rsidRPr="00F12824">
        <w:rPr>
          <w:rFonts w:ascii="Times New Roman" w:eastAsia="Times New Roman" w:hAnsi="Times New Roman" w:cs="Times New Roman"/>
          <w:bCs/>
          <w:sz w:val="24"/>
          <w:szCs w:val="22"/>
          <w:lang w:val="en-IN"/>
        </w:rPr>
        <w:t>Vetmate</w:t>
      </w:r>
      <w:proofErr w:type="spellEnd"/>
      <w:r w:rsidRPr="00F12824">
        <w:rPr>
          <w:rFonts w:ascii="Times New Roman" w:eastAsia="Times New Roman" w:hAnsi="Times New Roman" w:cs="Times New Roman"/>
          <w:bCs/>
          <w:sz w:val="24"/>
          <w:szCs w:val="22"/>
          <w:lang w:val="en-IN"/>
        </w:rPr>
        <w:t>, Virbac)</w:t>
      </w:r>
    </w:p>
    <w:p w14:paraId="4F529FA8" w14:textId="77777777" w:rsidR="00C03E18" w:rsidRPr="00F12824" w:rsidRDefault="00C03E18" w:rsidP="00235F95">
      <w:pPr>
        <w:numPr>
          <w:ilvl w:val="0"/>
          <w:numId w:val="8"/>
        </w:numPr>
        <w:spacing w:line="480" w:lineRule="auto"/>
        <w:jc w:val="both"/>
        <w:rPr>
          <w:rFonts w:ascii="Times New Roman" w:hAnsi="Times New Roman" w:cs="Times New Roman"/>
          <w:bCs/>
          <w:sz w:val="24"/>
          <w:szCs w:val="22"/>
          <w:lang w:val="en-IN"/>
        </w:rPr>
      </w:pPr>
      <w:r w:rsidRPr="00F12824">
        <w:rPr>
          <w:rFonts w:ascii="Times New Roman" w:eastAsia="Times New Roman" w:hAnsi="Times New Roman" w:cs="Times New Roman"/>
          <w:bCs/>
          <w:sz w:val="24"/>
          <w:szCs w:val="22"/>
          <w:lang w:val="en-IN"/>
        </w:rPr>
        <w:t xml:space="preserve">Day 9: GnRH (10 </w:t>
      </w:r>
      <w:proofErr w:type="spellStart"/>
      <w:r w:rsidRPr="00F12824">
        <w:rPr>
          <w:rFonts w:ascii="Times New Roman" w:eastAsia="Times New Roman" w:hAnsi="Times New Roman" w:cs="Times New Roman"/>
          <w:bCs/>
          <w:sz w:val="24"/>
          <w:szCs w:val="22"/>
          <w:lang w:val="en-IN"/>
        </w:rPr>
        <w:t>μg</w:t>
      </w:r>
      <w:proofErr w:type="spellEnd"/>
      <w:r w:rsidRPr="00F12824">
        <w:rPr>
          <w:rFonts w:ascii="Times New Roman" w:eastAsia="Times New Roman" w:hAnsi="Times New Roman" w:cs="Times New Roman"/>
          <w:bCs/>
          <w:sz w:val="24"/>
          <w:szCs w:val="22"/>
          <w:lang w:val="en-IN"/>
        </w:rPr>
        <w:t>/2.5 ml, IM)</w:t>
      </w:r>
    </w:p>
    <w:p w14:paraId="2FC3D8B5" w14:textId="77777777" w:rsidR="00C03E18" w:rsidRPr="00F12824" w:rsidRDefault="00C03E18" w:rsidP="00235F95">
      <w:pPr>
        <w:numPr>
          <w:ilvl w:val="0"/>
          <w:numId w:val="8"/>
        </w:numPr>
        <w:spacing w:line="480" w:lineRule="auto"/>
        <w:jc w:val="both"/>
        <w:rPr>
          <w:rFonts w:ascii="Times New Roman" w:hAnsi="Times New Roman" w:cs="Times New Roman"/>
          <w:bCs/>
          <w:sz w:val="24"/>
          <w:szCs w:val="22"/>
          <w:lang w:val="en-IN"/>
        </w:rPr>
      </w:pPr>
      <w:r w:rsidRPr="00F12824">
        <w:rPr>
          <w:rFonts w:ascii="Times New Roman" w:eastAsia="Times New Roman" w:hAnsi="Times New Roman"/>
          <w:sz w:val="24"/>
        </w:rPr>
        <w:t>Day 10: Fixed-time artificial insemination (16-20 h after the second GnRH)</w:t>
      </w:r>
    </w:p>
    <w:p w14:paraId="075D6815" w14:textId="77777777" w:rsidR="00C03E18" w:rsidRPr="00B2029E" w:rsidRDefault="00C03E18" w:rsidP="00235F95">
      <w:pPr>
        <w:spacing w:line="480" w:lineRule="auto"/>
        <w:jc w:val="both"/>
        <w:rPr>
          <w:rFonts w:ascii="Times New Roman" w:hAnsi="Times New Roman" w:cs="Times New Roman"/>
          <w:b/>
          <w:bCs/>
          <w:sz w:val="24"/>
          <w:szCs w:val="22"/>
          <w:lang w:val="en-IN"/>
        </w:rPr>
      </w:pPr>
      <w:r w:rsidRPr="00B2029E">
        <w:rPr>
          <w:rFonts w:ascii="Times New Roman" w:eastAsia="Times New Roman" w:hAnsi="Times New Roman"/>
          <w:b/>
          <w:bCs/>
          <w:sz w:val="24"/>
        </w:rPr>
        <w:t>Treatment 2 (T2; Heatsynch Protocol; n = 20)</w:t>
      </w:r>
    </w:p>
    <w:p w14:paraId="256E9651" w14:textId="77777777" w:rsidR="00C03E18" w:rsidRPr="00F12824" w:rsidRDefault="00C03E18" w:rsidP="00235F95">
      <w:pPr>
        <w:spacing w:line="480" w:lineRule="auto"/>
        <w:jc w:val="both"/>
        <w:rPr>
          <w:rFonts w:ascii="Times New Roman" w:hAnsi="Times New Roman" w:cs="Times New Roman"/>
          <w:bCs/>
          <w:sz w:val="24"/>
          <w:szCs w:val="22"/>
          <w:lang w:val="en-IN"/>
        </w:rPr>
      </w:pPr>
      <w:r w:rsidRPr="00F12824">
        <w:rPr>
          <w:rFonts w:ascii="Times New Roman" w:eastAsia="Times New Roman" w:hAnsi="Times New Roman"/>
          <w:sz w:val="24"/>
        </w:rPr>
        <w:t>Based on Pancarci et al. (2002), with modifications:</w:t>
      </w:r>
    </w:p>
    <w:p w14:paraId="1E896D1B" w14:textId="77777777" w:rsidR="00C03E18" w:rsidRPr="00F12824" w:rsidRDefault="00C03E18" w:rsidP="00235F95">
      <w:pPr>
        <w:numPr>
          <w:ilvl w:val="0"/>
          <w:numId w:val="9"/>
        </w:numPr>
        <w:spacing w:line="480" w:lineRule="auto"/>
        <w:jc w:val="both"/>
        <w:rPr>
          <w:rFonts w:ascii="Times New Roman" w:hAnsi="Times New Roman" w:cs="Times New Roman"/>
          <w:bCs/>
          <w:sz w:val="24"/>
          <w:szCs w:val="22"/>
          <w:lang w:val="en-IN"/>
        </w:rPr>
      </w:pPr>
      <w:r w:rsidRPr="00F12824">
        <w:rPr>
          <w:rFonts w:ascii="Times New Roman" w:eastAsia="Times New Roman" w:hAnsi="Times New Roman" w:cs="Times New Roman"/>
          <w:bCs/>
          <w:sz w:val="24"/>
          <w:szCs w:val="22"/>
          <w:lang w:val="en-IN"/>
        </w:rPr>
        <w:t xml:space="preserve">Day 0: GnRH (10 </w:t>
      </w:r>
      <w:proofErr w:type="spellStart"/>
      <w:r w:rsidRPr="00F12824">
        <w:rPr>
          <w:rFonts w:ascii="Times New Roman" w:eastAsia="Times New Roman" w:hAnsi="Times New Roman" w:cs="Times New Roman"/>
          <w:bCs/>
          <w:sz w:val="24"/>
          <w:szCs w:val="22"/>
          <w:lang w:val="en-IN"/>
        </w:rPr>
        <w:t>μg</w:t>
      </w:r>
      <w:proofErr w:type="spellEnd"/>
      <w:r w:rsidRPr="00F12824">
        <w:rPr>
          <w:rFonts w:ascii="Times New Roman" w:eastAsia="Times New Roman" w:hAnsi="Times New Roman" w:cs="Times New Roman"/>
          <w:bCs/>
          <w:sz w:val="24"/>
          <w:szCs w:val="22"/>
          <w:lang w:val="en-IN"/>
        </w:rPr>
        <w:t>/2.5 ml, IM)</w:t>
      </w:r>
    </w:p>
    <w:p w14:paraId="192B69D2" w14:textId="77777777" w:rsidR="00C03E18" w:rsidRPr="00F12824" w:rsidRDefault="00C03E18" w:rsidP="00235F95">
      <w:pPr>
        <w:numPr>
          <w:ilvl w:val="0"/>
          <w:numId w:val="9"/>
        </w:numPr>
        <w:spacing w:line="480" w:lineRule="auto"/>
        <w:jc w:val="both"/>
        <w:rPr>
          <w:rFonts w:ascii="Times New Roman" w:hAnsi="Times New Roman" w:cs="Times New Roman"/>
          <w:bCs/>
          <w:sz w:val="24"/>
          <w:szCs w:val="22"/>
          <w:lang w:val="en-IN"/>
        </w:rPr>
      </w:pPr>
      <w:r w:rsidRPr="00F12824">
        <w:rPr>
          <w:rFonts w:ascii="Times New Roman" w:eastAsia="Times New Roman" w:hAnsi="Times New Roman" w:cs="Times New Roman"/>
          <w:bCs/>
          <w:sz w:val="24"/>
          <w:szCs w:val="22"/>
          <w:lang w:val="en-IN"/>
        </w:rPr>
        <w:t xml:space="preserve">Day 7: PGF₂α (500 </w:t>
      </w:r>
      <w:proofErr w:type="spellStart"/>
      <w:r w:rsidRPr="00F12824">
        <w:rPr>
          <w:rFonts w:ascii="Times New Roman" w:eastAsia="Times New Roman" w:hAnsi="Times New Roman" w:cs="Times New Roman"/>
          <w:bCs/>
          <w:sz w:val="24"/>
          <w:szCs w:val="22"/>
          <w:lang w:val="en-IN"/>
        </w:rPr>
        <w:t>μg</w:t>
      </w:r>
      <w:proofErr w:type="spellEnd"/>
      <w:r w:rsidRPr="00F12824">
        <w:rPr>
          <w:rFonts w:ascii="Times New Roman" w:eastAsia="Times New Roman" w:hAnsi="Times New Roman" w:cs="Times New Roman"/>
          <w:bCs/>
          <w:sz w:val="24"/>
          <w:szCs w:val="22"/>
          <w:lang w:val="en-IN"/>
        </w:rPr>
        <w:t>/2 ml, IM)</w:t>
      </w:r>
    </w:p>
    <w:p w14:paraId="31875BEE" w14:textId="77777777" w:rsidR="00C03E18" w:rsidRPr="00F12824" w:rsidRDefault="00C03E18" w:rsidP="00235F95">
      <w:pPr>
        <w:numPr>
          <w:ilvl w:val="0"/>
          <w:numId w:val="9"/>
        </w:numPr>
        <w:spacing w:line="480" w:lineRule="auto"/>
        <w:jc w:val="both"/>
        <w:rPr>
          <w:rFonts w:ascii="Times New Roman" w:hAnsi="Times New Roman" w:cs="Times New Roman"/>
          <w:bCs/>
          <w:sz w:val="24"/>
          <w:szCs w:val="22"/>
          <w:lang w:val="en-IN"/>
        </w:rPr>
      </w:pPr>
      <w:r w:rsidRPr="00F12824">
        <w:rPr>
          <w:rFonts w:ascii="Times New Roman" w:eastAsia="Times New Roman" w:hAnsi="Times New Roman" w:cs="Times New Roman"/>
          <w:bCs/>
          <w:sz w:val="24"/>
          <w:szCs w:val="22"/>
          <w:lang w:val="en-IN"/>
        </w:rPr>
        <w:t>Day 8: </w:t>
      </w:r>
      <w:proofErr w:type="spellStart"/>
      <w:r w:rsidRPr="00F12824">
        <w:rPr>
          <w:rFonts w:ascii="Times New Roman" w:eastAsia="Times New Roman" w:hAnsi="Times New Roman" w:cs="Times New Roman"/>
          <w:bCs/>
          <w:sz w:val="24"/>
          <w:szCs w:val="22"/>
          <w:lang w:val="en-IN"/>
        </w:rPr>
        <w:t>Estradiol</w:t>
      </w:r>
      <w:proofErr w:type="spellEnd"/>
      <w:r w:rsidRPr="00F12824">
        <w:rPr>
          <w:rFonts w:ascii="Times New Roman" w:eastAsia="Times New Roman" w:hAnsi="Times New Roman" w:cs="Times New Roman"/>
          <w:bCs/>
          <w:sz w:val="24"/>
          <w:szCs w:val="22"/>
          <w:lang w:val="en-IN"/>
        </w:rPr>
        <w:t xml:space="preserve"> benzoate (1 mg/2 ml, IM; </w:t>
      </w:r>
      <w:proofErr w:type="spellStart"/>
      <w:r w:rsidRPr="00F12824">
        <w:rPr>
          <w:rFonts w:ascii="Times New Roman" w:eastAsia="Times New Roman" w:hAnsi="Times New Roman" w:cs="Times New Roman"/>
          <w:bCs/>
          <w:sz w:val="24"/>
          <w:szCs w:val="22"/>
          <w:lang w:val="en-IN"/>
        </w:rPr>
        <w:t>Sincro</w:t>
      </w:r>
      <w:proofErr w:type="spellEnd"/>
      <w:r w:rsidRPr="00F12824">
        <w:rPr>
          <w:rFonts w:ascii="Times New Roman" w:eastAsia="Times New Roman" w:hAnsi="Times New Roman" w:cs="Times New Roman"/>
          <w:bCs/>
          <w:sz w:val="24"/>
          <w:szCs w:val="22"/>
          <w:lang w:val="en-IN"/>
        </w:rPr>
        <w:t xml:space="preserve"> CP, Ouro Fino Saude Animal)</w:t>
      </w:r>
    </w:p>
    <w:p w14:paraId="30DE8D9B" w14:textId="77777777" w:rsidR="00C03E18" w:rsidRPr="00F12824" w:rsidRDefault="00C03E18" w:rsidP="00235F95">
      <w:pPr>
        <w:numPr>
          <w:ilvl w:val="0"/>
          <w:numId w:val="9"/>
        </w:numPr>
        <w:spacing w:line="480" w:lineRule="auto"/>
        <w:jc w:val="both"/>
        <w:rPr>
          <w:rFonts w:ascii="Times New Roman" w:hAnsi="Times New Roman" w:cs="Times New Roman"/>
          <w:bCs/>
          <w:sz w:val="24"/>
          <w:szCs w:val="22"/>
          <w:lang w:val="en-IN"/>
        </w:rPr>
      </w:pPr>
      <w:r w:rsidRPr="00F12824">
        <w:rPr>
          <w:rFonts w:ascii="Times New Roman" w:eastAsia="Times New Roman" w:hAnsi="Times New Roman" w:cs="Times New Roman"/>
          <w:bCs/>
          <w:sz w:val="24"/>
          <w:szCs w:val="22"/>
          <w:lang w:val="en-IN"/>
        </w:rPr>
        <w:t xml:space="preserve">Day 10: Fixed-time artificial insemination (48 h after </w:t>
      </w:r>
      <w:proofErr w:type="spellStart"/>
      <w:r w:rsidRPr="00F12824">
        <w:rPr>
          <w:rFonts w:ascii="Times New Roman" w:eastAsia="Times New Roman" w:hAnsi="Times New Roman" w:cs="Times New Roman"/>
          <w:bCs/>
          <w:sz w:val="24"/>
          <w:szCs w:val="22"/>
          <w:lang w:val="en-IN"/>
        </w:rPr>
        <w:t>estradiol</w:t>
      </w:r>
      <w:proofErr w:type="spellEnd"/>
      <w:r w:rsidRPr="00F12824">
        <w:rPr>
          <w:rFonts w:ascii="Times New Roman" w:eastAsia="Times New Roman" w:hAnsi="Times New Roman" w:cs="Times New Roman"/>
          <w:bCs/>
          <w:sz w:val="24"/>
          <w:szCs w:val="22"/>
          <w:lang w:val="en-IN"/>
        </w:rPr>
        <w:t>)</w:t>
      </w:r>
    </w:p>
    <w:p w14:paraId="64EB4C79" w14:textId="77777777" w:rsidR="00043855" w:rsidRPr="00014D01" w:rsidRDefault="00043855" w:rsidP="00235F95">
      <w:pPr>
        <w:spacing w:line="480" w:lineRule="auto"/>
        <w:rPr>
          <w:rFonts w:ascii="Times New Roman" w:hAnsi="Times New Roman" w:cs="Times New Roman"/>
          <w:b/>
          <w:bCs/>
          <w:sz w:val="24"/>
          <w:szCs w:val="22"/>
          <w:lang w:val="en-IN"/>
        </w:rPr>
      </w:pPr>
      <w:r w:rsidRPr="00014D01">
        <w:rPr>
          <w:rFonts w:ascii="Times New Roman" w:eastAsia="Times New Roman" w:hAnsi="Times New Roman"/>
          <w:b/>
          <w:bCs/>
          <w:sz w:val="24"/>
        </w:rPr>
        <w:t>Odds Ratio Calculation and Interpretation</w:t>
      </w:r>
    </w:p>
    <w:p w14:paraId="31E19DA4" w14:textId="77777777" w:rsidR="00A96F20" w:rsidRPr="00F12824" w:rsidRDefault="00043855" w:rsidP="00235F95">
      <w:pPr>
        <w:spacing w:line="480" w:lineRule="auto"/>
        <w:jc w:val="both"/>
        <w:rPr>
          <w:rFonts w:ascii="Times New Roman" w:hAnsi="Times New Roman" w:cs="Times New Roman"/>
          <w:bCs/>
          <w:sz w:val="24"/>
          <w:szCs w:val="22"/>
          <w:lang w:val="en-IN"/>
        </w:rPr>
      </w:pPr>
      <w:r w:rsidRPr="00F12824">
        <w:rPr>
          <w:rFonts w:ascii="Times New Roman" w:eastAsia="Times New Roman" w:hAnsi="Times New Roman"/>
          <w:sz w:val="24"/>
        </w:rPr>
        <w:t>To quantify the strength of association between treatment and reproductive outcomes, odds ratios (ORs) with 95% confidence intervals (CIs) were calculated for all pairwise comparisons where Fisher's exact test indicated a significant or borderline significant difference (P &lt; 0.10).</w:t>
      </w:r>
    </w:p>
    <w:p w14:paraId="376974B2" w14:textId="77777777" w:rsidR="0056172B" w:rsidRPr="00F12824" w:rsidRDefault="0090393D" w:rsidP="00235F95">
      <w:pPr>
        <w:spacing w:line="480" w:lineRule="auto"/>
        <w:jc w:val="both"/>
        <w:rPr>
          <w:rFonts w:ascii="Times New Roman" w:hAnsi="Times New Roman" w:cs="Times New Roman"/>
          <w:sz w:val="24"/>
          <w:szCs w:val="22"/>
          <w:lang w:val="en-IN"/>
        </w:rPr>
      </w:pPr>
      <w:r w:rsidRPr="00F12824">
        <w:rPr>
          <w:noProof/>
        </w:rPr>
        <w:lastRenderedPageBreak/>
        <w:drawing>
          <wp:anchor distT="0" distB="0" distL="114300" distR="114300" simplePos="0" relativeHeight="251658240" behindDoc="1" locked="0" layoutInCell="1" allowOverlap="1" wp14:anchorId="5F74E8E8" wp14:editId="231807B1">
            <wp:simplePos x="0" y="0"/>
            <wp:positionH relativeFrom="column">
              <wp:posOffset>397510</wp:posOffset>
            </wp:positionH>
            <wp:positionV relativeFrom="paragraph">
              <wp:posOffset>815975</wp:posOffset>
            </wp:positionV>
            <wp:extent cx="5943600" cy="3541395"/>
            <wp:effectExtent l="0" t="0" r="0" b="1905"/>
            <wp:wrapTight wrapText="bothSides">
              <wp:wrapPolygon edited="0">
                <wp:start x="0" y="0"/>
                <wp:lineTo x="0" y="21495"/>
                <wp:lineTo x="21531" y="21495"/>
                <wp:lineTo x="21531" y="0"/>
                <wp:lineTo x="0" y="0"/>
              </wp:wrapPolygon>
            </wp:wrapTight>
            <wp:docPr id="6345810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541395"/>
                    </a:xfrm>
                    <a:prstGeom prst="rect">
                      <a:avLst/>
                    </a:prstGeom>
                    <a:noFill/>
                    <a:ln>
                      <a:noFill/>
                    </a:ln>
                  </pic:spPr>
                </pic:pic>
              </a:graphicData>
            </a:graphic>
          </wp:anchor>
        </w:drawing>
      </w:r>
    </w:p>
    <w:p w14:paraId="63AE9B84" w14:textId="77777777" w:rsidR="00EE5341" w:rsidRPr="00F12824" w:rsidRDefault="00EE5341" w:rsidP="00235F95">
      <w:pPr>
        <w:spacing w:line="480" w:lineRule="auto"/>
        <w:jc w:val="both"/>
        <w:rPr>
          <w:rFonts w:ascii="Times New Roman" w:hAnsi="Times New Roman" w:cs="Times New Roman"/>
          <w:sz w:val="24"/>
          <w:szCs w:val="22"/>
          <w:lang w:val="en-IN"/>
        </w:rPr>
      </w:pPr>
    </w:p>
    <w:p w14:paraId="3C910267" w14:textId="77777777" w:rsidR="00EE5341" w:rsidRPr="00F12824" w:rsidRDefault="00EE5341" w:rsidP="00235F95">
      <w:pPr>
        <w:spacing w:line="480" w:lineRule="auto"/>
        <w:jc w:val="both"/>
        <w:rPr>
          <w:rFonts w:ascii="Times New Roman" w:hAnsi="Times New Roman" w:cs="Times New Roman"/>
          <w:sz w:val="24"/>
          <w:szCs w:val="22"/>
          <w:lang w:val="en-IN"/>
        </w:rPr>
      </w:pPr>
    </w:p>
    <w:p w14:paraId="2215EF07" w14:textId="77777777" w:rsidR="00EE5341" w:rsidRPr="00F12824" w:rsidRDefault="00EE5341" w:rsidP="00235F95">
      <w:pPr>
        <w:spacing w:line="480" w:lineRule="auto"/>
        <w:jc w:val="both"/>
        <w:rPr>
          <w:rFonts w:ascii="Times New Roman" w:hAnsi="Times New Roman" w:cs="Times New Roman"/>
          <w:sz w:val="24"/>
          <w:szCs w:val="22"/>
          <w:lang w:val="en-IN"/>
        </w:rPr>
      </w:pPr>
    </w:p>
    <w:p w14:paraId="3E7FAF91" w14:textId="77777777" w:rsidR="00EE5341" w:rsidRPr="00F12824" w:rsidRDefault="00EE5341" w:rsidP="00235F95">
      <w:pPr>
        <w:spacing w:line="480" w:lineRule="auto"/>
        <w:jc w:val="both"/>
        <w:rPr>
          <w:rFonts w:ascii="Times New Roman" w:hAnsi="Times New Roman" w:cs="Times New Roman"/>
          <w:sz w:val="24"/>
          <w:szCs w:val="22"/>
          <w:lang w:val="en-IN"/>
        </w:rPr>
      </w:pPr>
    </w:p>
    <w:p w14:paraId="437F2737" w14:textId="77777777" w:rsidR="00EE5341" w:rsidRPr="00F12824" w:rsidRDefault="00EE5341" w:rsidP="00235F95">
      <w:pPr>
        <w:spacing w:line="480" w:lineRule="auto"/>
        <w:jc w:val="both"/>
        <w:rPr>
          <w:rFonts w:ascii="Times New Roman" w:hAnsi="Times New Roman" w:cs="Times New Roman"/>
          <w:sz w:val="24"/>
          <w:szCs w:val="22"/>
          <w:lang w:val="en-IN"/>
        </w:rPr>
      </w:pPr>
    </w:p>
    <w:p w14:paraId="00104526" w14:textId="77777777" w:rsidR="00EE5341" w:rsidRPr="00F12824" w:rsidRDefault="00EE5341" w:rsidP="00235F95">
      <w:pPr>
        <w:spacing w:line="480" w:lineRule="auto"/>
        <w:jc w:val="both"/>
        <w:rPr>
          <w:rFonts w:ascii="Times New Roman" w:hAnsi="Times New Roman" w:cs="Times New Roman"/>
          <w:sz w:val="24"/>
          <w:szCs w:val="22"/>
          <w:lang w:val="en-IN"/>
        </w:rPr>
      </w:pPr>
    </w:p>
    <w:p w14:paraId="0B395FF5" w14:textId="77777777" w:rsidR="00EE5341" w:rsidRPr="00F12824" w:rsidRDefault="00EE5341" w:rsidP="00235F95">
      <w:pPr>
        <w:spacing w:line="480" w:lineRule="auto"/>
        <w:jc w:val="both"/>
        <w:rPr>
          <w:rFonts w:ascii="Times New Roman" w:hAnsi="Times New Roman" w:cs="Times New Roman"/>
          <w:sz w:val="24"/>
          <w:szCs w:val="22"/>
          <w:lang w:val="en-IN"/>
        </w:rPr>
      </w:pPr>
    </w:p>
    <w:p w14:paraId="3322E05F" w14:textId="77777777" w:rsidR="003077E6" w:rsidRPr="00F12824" w:rsidRDefault="003077E6" w:rsidP="00235F95">
      <w:pPr>
        <w:spacing w:line="480" w:lineRule="auto"/>
        <w:jc w:val="both"/>
        <w:rPr>
          <w:rFonts w:ascii="Times New Roman" w:hAnsi="Times New Roman" w:cs="Times New Roman"/>
          <w:sz w:val="24"/>
          <w:szCs w:val="22"/>
          <w:lang w:val="en-IN"/>
        </w:rPr>
      </w:pPr>
    </w:p>
    <w:p w14:paraId="5C065DA4" w14:textId="77777777" w:rsidR="003077E6" w:rsidRPr="00F12824" w:rsidRDefault="003077E6" w:rsidP="00235F95">
      <w:pPr>
        <w:spacing w:line="480" w:lineRule="auto"/>
        <w:jc w:val="both"/>
        <w:rPr>
          <w:rFonts w:ascii="Times New Roman" w:hAnsi="Times New Roman" w:cs="Times New Roman"/>
          <w:sz w:val="24"/>
          <w:szCs w:val="22"/>
          <w:lang w:val="en-IN"/>
        </w:rPr>
      </w:pPr>
      <w:r w:rsidRPr="00F12824">
        <w:rPr>
          <w:rFonts w:ascii="Times New Roman" w:eastAsia="Times New Roman" w:hAnsi="Times New Roman"/>
          <w:sz w:val="24"/>
        </w:rPr>
        <w:t>Figure 1. Schematic timeline of supportive care control, Ovsynch and Heatsynch protocols in postpartum anoestrous crossbred cows.</w:t>
      </w:r>
    </w:p>
    <w:p w14:paraId="7B434EFE" w14:textId="77777777" w:rsidR="003077E6" w:rsidRPr="00F12824" w:rsidRDefault="003077E6" w:rsidP="00235F95">
      <w:pPr>
        <w:spacing w:line="480" w:lineRule="auto"/>
        <w:jc w:val="both"/>
        <w:rPr>
          <w:rFonts w:ascii="Times New Roman" w:hAnsi="Times New Roman" w:cs="Times New Roman"/>
          <w:sz w:val="24"/>
          <w:szCs w:val="22"/>
          <w:lang w:val="en-IN"/>
        </w:rPr>
      </w:pPr>
    </w:p>
    <w:p w14:paraId="603A4E1F" w14:textId="77777777" w:rsidR="00EE5341" w:rsidRPr="00F12824" w:rsidRDefault="00E429F9" w:rsidP="00235F95">
      <w:pPr>
        <w:spacing w:line="480" w:lineRule="auto"/>
        <w:jc w:val="both"/>
        <w:rPr>
          <w:rFonts w:ascii="Times New Roman" w:hAnsi="Times New Roman" w:cs="Times New Roman"/>
          <w:sz w:val="24"/>
          <w:szCs w:val="22"/>
          <w:lang w:val="en-IN"/>
        </w:rPr>
      </w:pPr>
      <w:r w:rsidRPr="00F12824">
        <w:rPr>
          <w:rFonts w:ascii="Times New Roman" w:eastAsia="Times New Roman" w:hAnsi="Times New Roman"/>
          <w:sz w:val="24"/>
        </w:rPr>
        <w:t>Artificial insemination was performed using frozen-thawed semen from genetically proven bulls. Each cow was inseminated once per synchronisation cycle.</w:t>
      </w:r>
    </w:p>
    <w:p w14:paraId="37D3F22C" w14:textId="77777777" w:rsidR="0056172B" w:rsidRPr="00F12824" w:rsidRDefault="00E429F9" w:rsidP="00235F95">
      <w:pPr>
        <w:spacing w:line="480" w:lineRule="auto"/>
        <w:jc w:val="both"/>
        <w:rPr>
          <w:rFonts w:ascii="Times New Roman" w:hAnsi="Times New Roman" w:cs="Times New Roman"/>
          <w:sz w:val="24"/>
          <w:szCs w:val="22"/>
          <w:lang w:val="en-IN"/>
        </w:rPr>
      </w:pPr>
      <w:r w:rsidRPr="00F12824">
        <w:rPr>
          <w:rFonts w:ascii="Times New Roman" w:eastAsia="Times New Roman" w:hAnsi="Times New Roman"/>
          <w:sz w:val="24"/>
        </w:rPr>
        <w:t>Oestrus detection and pregnancy confirmation: Oestrus expression was assessed twice daily (06:00-08:00 h and 17:00-19:00 h) by observing behavioural signs (restlessness, mounting attempts and bellowing) and physical signs (clear mucus discharge, vulvar swelling and reddening).</w:t>
      </w:r>
    </w:p>
    <w:p w14:paraId="58FE65F0" w14:textId="77777777" w:rsidR="00AB48B9" w:rsidRPr="00F12824" w:rsidRDefault="00E429F9" w:rsidP="00235F95">
      <w:pPr>
        <w:spacing w:line="480" w:lineRule="auto"/>
        <w:jc w:val="both"/>
        <w:rPr>
          <w:rFonts w:ascii="Times New Roman" w:hAnsi="Times New Roman" w:cs="Times New Roman"/>
          <w:sz w:val="24"/>
          <w:szCs w:val="22"/>
          <w:lang w:val="en-IN"/>
        </w:rPr>
      </w:pPr>
      <w:r w:rsidRPr="00F12824">
        <w:rPr>
          <w:rFonts w:ascii="Times New Roman" w:eastAsia="Times New Roman" w:hAnsi="Times New Roman"/>
          <w:sz w:val="24"/>
        </w:rPr>
        <w:lastRenderedPageBreak/>
        <w:t>In the treatment groups, FTAI was conducted according to the protocol regardless of oestrus expression, although oestrus response was still recorded. Before insemination, rectal palpation was performed to confirm follicular activity and uterine tone. Pregnancy diagnosis was carried out by rectal palpation at 60-90 days post-AI.</w:t>
      </w:r>
    </w:p>
    <w:p w14:paraId="32998DDE" w14:textId="77777777" w:rsidR="00C80D1F" w:rsidRPr="00F12824" w:rsidRDefault="00C80D1F" w:rsidP="00235F95">
      <w:pPr>
        <w:spacing w:line="480" w:lineRule="auto"/>
        <w:jc w:val="both"/>
        <w:rPr>
          <w:rFonts w:ascii="Times New Roman" w:hAnsi="Times New Roman" w:cs="Times New Roman"/>
          <w:b/>
          <w:sz w:val="28"/>
          <w:szCs w:val="22"/>
          <w:lang w:val="en-IN"/>
        </w:rPr>
      </w:pPr>
      <w:r w:rsidRPr="00F12824">
        <w:rPr>
          <w:rFonts w:ascii="Times New Roman" w:eastAsia="Times New Roman" w:hAnsi="Times New Roman" w:cs="Times New Roman"/>
          <w:b/>
          <w:sz w:val="24"/>
        </w:rPr>
        <w:t>Reproductive performance parameters</w:t>
      </w:r>
    </w:p>
    <w:p w14:paraId="47E443C8" w14:textId="77777777" w:rsidR="00AB48B9" w:rsidRPr="00F12824" w:rsidRDefault="00E429F9" w:rsidP="00235F95">
      <w:pPr>
        <w:spacing w:line="480" w:lineRule="auto"/>
        <w:jc w:val="both"/>
        <w:rPr>
          <w:rFonts w:ascii="Times New Roman" w:hAnsi="Times New Roman" w:cs="Times New Roman"/>
          <w:sz w:val="24"/>
          <w:szCs w:val="22"/>
          <w:lang w:val="en-IN"/>
        </w:rPr>
      </w:pPr>
      <w:r w:rsidRPr="00F12824">
        <w:rPr>
          <w:rFonts w:ascii="Times New Roman" w:eastAsia="Times New Roman" w:hAnsi="Times New Roman"/>
          <w:sz w:val="24"/>
        </w:rPr>
        <w:t>Oestrus response rate (%) = (Number of animals showing oestrus ÷ Total treated animals) × 100</w:t>
      </w:r>
      <w:r w:rsidRPr="00F12824">
        <w:rPr>
          <w:rFonts w:ascii="Times New Roman" w:eastAsia="Times New Roman" w:hAnsi="Times New Roman"/>
          <w:sz w:val="24"/>
        </w:rPr>
        <w:br/>
        <w:t>Conception rate (%) = (Number of animals confirmed pregnant ÷ Total inseminated animals) × 100</w:t>
      </w:r>
    </w:p>
    <w:p w14:paraId="1B092A19" w14:textId="77777777" w:rsidR="00D923A9" w:rsidRPr="00944A5A" w:rsidRDefault="00E429F9" w:rsidP="00235F95">
      <w:pPr>
        <w:spacing w:line="480" w:lineRule="auto"/>
        <w:jc w:val="both"/>
        <w:rPr>
          <w:rFonts w:ascii="Times New Roman" w:hAnsi="Times New Roman" w:cs="Times New Roman"/>
          <w:b/>
          <w:bCs/>
          <w:sz w:val="28"/>
          <w:szCs w:val="24"/>
          <w:lang w:val="en-IN"/>
        </w:rPr>
      </w:pPr>
      <w:r w:rsidRPr="00944A5A">
        <w:rPr>
          <w:rFonts w:ascii="Times New Roman" w:eastAsia="Times New Roman" w:hAnsi="Times New Roman"/>
          <w:b/>
          <w:bCs/>
          <w:sz w:val="28"/>
          <w:szCs w:val="22"/>
        </w:rPr>
        <w:t>Statistical Analysis:</w:t>
      </w:r>
    </w:p>
    <w:p w14:paraId="49A0BDC6" w14:textId="77777777" w:rsidR="00C37F62" w:rsidRPr="00F12824" w:rsidRDefault="00C37F62" w:rsidP="00235F95">
      <w:pPr>
        <w:spacing w:line="480" w:lineRule="auto"/>
        <w:jc w:val="both"/>
        <w:rPr>
          <w:rFonts w:ascii="Times New Roman" w:hAnsi="Times New Roman" w:cs="Times New Roman"/>
          <w:sz w:val="24"/>
          <w:szCs w:val="22"/>
          <w:lang w:val="en-IN"/>
        </w:rPr>
      </w:pPr>
      <w:r w:rsidRPr="00F12824">
        <w:rPr>
          <w:rFonts w:ascii="Times New Roman" w:eastAsia="Times New Roman" w:hAnsi="Times New Roman"/>
          <w:sz w:val="24"/>
        </w:rPr>
        <w:t>Data were analysed using IBM SPSS Statistics Version 20.0 (IBM Corp., Armonk, NY, USA).</w:t>
      </w:r>
    </w:p>
    <w:p w14:paraId="369D33B7" w14:textId="77777777" w:rsidR="00C37F62" w:rsidRPr="00F12824" w:rsidRDefault="00C37F62" w:rsidP="00235F95">
      <w:pPr>
        <w:spacing w:line="480" w:lineRule="auto"/>
        <w:jc w:val="both"/>
        <w:rPr>
          <w:rFonts w:ascii="Times New Roman" w:hAnsi="Times New Roman" w:cs="Times New Roman"/>
          <w:sz w:val="24"/>
          <w:szCs w:val="22"/>
          <w:lang w:val="en-IN"/>
        </w:rPr>
      </w:pPr>
      <w:r w:rsidRPr="00F12824">
        <w:rPr>
          <w:rFonts w:ascii="Times New Roman" w:eastAsia="Times New Roman" w:hAnsi="Times New Roman"/>
          <w:sz w:val="24"/>
        </w:rPr>
        <w:t>Baseline continuous variables were expressed as mean ± standard error (SE) and compared among treatment groups using one-way analysis of variance (ANOVA) after verification of normality and homogeneity of variance assumptions. Oestrus response and conception rate were analysed as categorical outcomes. Differences among treatment groups were evaluated using Fisher's exact test because of the relatively small sample size. Odds ratios (ORs) and corresponding 95% confidence intervals (CIs) were calculated to quantify treatment effects.</w:t>
      </w:r>
    </w:p>
    <w:p w14:paraId="47D5C4B4" w14:textId="77777777" w:rsidR="00C37F62" w:rsidRPr="00F12824" w:rsidRDefault="00C37F62" w:rsidP="00235F95">
      <w:pPr>
        <w:spacing w:line="480" w:lineRule="auto"/>
        <w:jc w:val="both"/>
        <w:rPr>
          <w:rFonts w:ascii="Times New Roman" w:hAnsi="Times New Roman" w:cs="Times New Roman"/>
          <w:sz w:val="24"/>
          <w:szCs w:val="22"/>
          <w:lang w:val="en-IN"/>
        </w:rPr>
      </w:pPr>
      <w:r w:rsidRPr="00F12824">
        <w:rPr>
          <w:rFonts w:ascii="Times New Roman" w:eastAsia="Times New Roman" w:hAnsi="Times New Roman"/>
          <w:sz w:val="24"/>
        </w:rPr>
        <w:t>Exploratory logistic regression analyses were performed to examine the influence of treatment, parity, body condition score and study year on reproductive outcomes. Year-wise and BCS-stratified analyses were considered exploratory because the study was not specifically powered for subgroup comparisons. Statistical significance was declared at P &lt; 0.05, and all tests were two-sided.</w:t>
      </w:r>
    </w:p>
    <w:p w14:paraId="6EE80355" w14:textId="77777777" w:rsidR="00C80D1F" w:rsidRPr="00F12824" w:rsidRDefault="00C80D1F" w:rsidP="00235F95">
      <w:pPr>
        <w:spacing w:line="480" w:lineRule="auto"/>
        <w:jc w:val="both"/>
        <w:rPr>
          <w:rFonts w:ascii="Times New Roman" w:hAnsi="Times New Roman" w:cs="Times New Roman"/>
          <w:sz w:val="24"/>
          <w:szCs w:val="22"/>
          <w:lang w:val="en-IN"/>
        </w:rPr>
      </w:pPr>
      <w:r w:rsidRPr="00F12824">
        <w:rPr>
          <w:rFonts w:ascii="Times New Roman" w:eastAsia="Times New Roman" w:hAnsi="Times New Roman"/>
          <w:sz w:val="24"/>
        </w:rPr>
        <w:lastRenderedPageBreak/>
        <w:t>Data are expressed as mean ± standard error (SE). Statistical analyses were performed using IBM SPSS Statistics Version 20.0 (IBM Corp., Armonk, NY, USA).</w:t>
      </w:r>
    </w:p>
    <w:p w14:paraId="55D4BAD4" w14:textId="77777777" w:rsidR="001B473E" w:rsidRPr="00F12824" w:rsidRDefault="001B473E" w:rsidP="00235F95">
      <w:pPr>
        <w:spacing w:line="480" w:lineRule="auto"/>
        <w:jc w:val="both"/>
        <w:rPr>
          <w:rFonts w:ascii="Times New Roman" w:eastAsia="Times New Roman" w:hAnsi="Times New Roman" w:cs="Times New Roman"/>
          <w:b/>
          <w:bCs/>
          <w:sz w:val="24"/>
          <w:szCs w:val="24"/>
          <w:lang w:val="en-IN" w:eastAsia="en-IN" w:bidi="ar-SA"/>
        </w:rPr>
      </w:pPr>
    </w:p>
    <w:p w14:paraId="5D104708" w14:textId="77777777" w:rsidR="00517CFA" w:rsidRPr="00F134D9" w:rsidRDefault="00517CFA" w:rsidP="00235F95">
      <w:pPr>
        <w:spacing w:line="480" w:lineRule="auto"/>
        <w:jc w:val="both"/>
        <w:rPr>
          <w:rFonts w:ascii="Times New Roman" w:eastAsia="Times New Roman" w:hAnsi="Times New Roman" w:cs="Times New Roman"/>
          <w:b/>
          <w:bCs/>
          <w:sz w:val="28"/>
          <w:szCs w:val="28"/>
          <w:lang w:val="en-IN" w:eastAsia="en-IN" w:bidi="ar-SA"/>
        </w:rPr>
      </w:pPr>
      <w:r w:rsidRPr="00F134D9">
        <w:rPr>
          <w:rFonts w:ascii="Times New Roman" w:eastAsia="Times New Roman" w:hAnsi="Times New Roman"/>
          <w:b/>
          <w:bCs/>
          <w:sz w:val="28"/>
          <w:szCs w:val="22"/>
        </w:rPr>
        <w:t>Results</w:t>
      </w:r>
    </w:p>
    <w:p w14:paraId="5481ECF3" w14:textId="77777777" w:rsidR="00C123A4" w:rsidRPr="00F12824" w:rsidRDefault="00C123A4" w:rsidP="00235F95">
      <w:pPr>
        <w:spacing w:before="100" w:beforeAutospacing="1" w:after="100" w:afterAutospacing="1" w:line="480" w:lineRule="auto"/>
        <w:outlineLvl w:val="1"/>
        <w:rPr>
          <w:rFonts w:ascii="Times New Roman" w:eastAsia="Times New Roman" w:hAnsi="Times New Roman" w:cs="Times New Roman"/>
          <w:b/>
          <w:bCs/>
          <w:sz w:val="24"/>
          <w:szCs w:val="24"/>
          <w:lang w:val="en-IN" w:eastAsia="en-IN" w:bidi="ar-SA"/>
        </w:rPr>
      </w:pPr>
      <w:r w:rsidRPr="00F12824">
        <w:rPr>
          <w:rFonts w:ascii="Times New Roman" w:eastAsia="Times New Roman" w:hAnsi="Times New Roman" w:cs="Times New Roman"/>
          <w:b/>
          <w:bCs/>
          <w:sz w:val="24"/>
          <w:szCs w:val="24"/>
          <w:lang w:val="en-IN" w:eastAsia="en-IN" w:bidi="ar-SA"/>
        </w:rPr>
        <w:t xml:space="preserve">Reproductive Performance of </w:t>
      </w:r>
      <w:proofErr w:type="spellStart"/>
      <w:r w:rsidRPr="00F12824">
        <w:rPr>
          <w:rFonts w:ascii="Times New Roman" w:eastAsia="Times New Roman" w:hAnsi="Times New Roman" w:cs="Times New Roman"/>
          <w:b/>
          <w:bCs/>
          <w:sz w:val="24"/>
          <w:szCs w:val="24"/>
          <w:lang w:val="en-IN" w:eastAsia="en-IN" w:bidi="ar-SA"/>
        </w:rPr>
        <w:t>Ovsynch</w:t>
      </w:r>
      <w:proofErr w:type="spellEnd"/>
      <w:r w:rsidRPr="00F12824">
        <w:rPr>
          <w:rFonts w:ascii="Times New Roman" w:eastAsia="Times New Roman" w:hAnsi="Times New Roman" w:cs="Times New Roman"/>
          <w:b/>
          <w:bCs/>
          <w:sz w:val="24"/>
          <w:szCs w:val="24"/>
          <w:lang w:val="en-IN" w:eastAsia="en-IN" w:bidi="ar-SA"/>
        </w:rPr>
        <w:t xml:space="preserve"> and </w:t>
      </w:r>
      <w:proofErr w:type="spellStart"/>
      <w:r w:rsidRPr="00F12824">
        <w:rPr>
          <w:rFonts w:ascii="Times New Roman" w:eastAsia="Times New Roman" w:hAnsi="Times New Roman" w:cs="Times New Roman"/>
          <w:b/>
          <w:bCs/>
          <w:sz w:val="24"/>
          <w:szCs w:val="24"/>
          <w:lang w:val="en-IN" w:eastAsia="en-IN" w:bidi="ar-SA"/>
        </w:rPr>
        <w:t>Heatsynch</w:t>
      </w:r>
      <w:proofErr w:type="spellEnd"/>
      <w:r w:rsidRPr="00F12824">
        <w:rPr>
          <w:rFonts w:ascii="Times New Roman" w:eastAsia="Times New Roman" w:hAnsi="Times New Roman" w:cs="Times New Roman"/>
          <w:b/>
          <w:bCs/>
          <w:sz w:val="24"/>
          <w:szCs w:val="24"/>
          <w:lang w:val="en-IN" w:eastAsia="en-IN" w:bidi="ar-SA"/>
        </w:rPr>
        <w:t xml:space="preserve"> Protocols</w:t>
      </w:r>
    </w:p>
    <w:p w14:paraId="176C0776" w14:textId="77777777" w:rsidR="00C123A4" w:rsidRPr="00F12824" w:rsidRDefault="00C123A4" w:rsidP="00235F95">
      <w:pPr>
        <w:spacing w:before="100" w:beforeAutospacing="1" w:after="100" w:afterAutospacing="1" w:line="480" w:lineRule="auto"/>
        <w:jc w:val="both"/>
        <w:rPr>
          <w:rFonts w:ascii="Times New Roman" w:eastAsia="Times New Roman" w:hAnsi="Times New Roman" w:cs="Times New Roman"/>
          <w:sz w:val="24"/>
          <w:szCs w:val="24"/>
          <w:lang w:val="en-IN" w:eastAsia="en-IN" w:bidi="ar-SA"/>
        </w:rPr>
      </w:pPr>
      <w:r w:rsidRPr="00F12824">
        <w:rPr>
          <w:rFonts w:ascii="Times New Roman" w:eastAsia="Times New Roman" w:hAnsi="Times New Roman" w:cs="Times New Roman"/>
          <w:sz w:val="24"/>
          <w:szCs w:val="24"/>
          <w:lang w:val="en-IN" w:eastAsia="en-IN" w:bidi="ar-SA"/>
        </w:rPr>
        <w:t xml:space="preserve">The reproductive responses of postpartum </w:t>
      </w:r>
      <w:proofErr w:type="spellStart"/>
      <w:r w:rsidRPr="00F12824">
        <w:rPr>
          <w:rFonts w:ascii="Times New Roman" w:eastAsia="Times New Roman" w:hAnsi="Times New Roman" w:cs="Times New Roman"/>
          <w:sz w:val="24"/>
          <w:szCs w:val="24"/>
          <w:lang w:val="en-IN" w:eastAsia="en-IN" w:bidi="ar-SA"/>
        </w:rPr>
        <w:t>anestrus</w:t>
      </w:r>
      <w:proofErr w:type="spellEnd"/>
      <w:r w:rsidRPr="00F12824">
        <w:rPr>
          <w:rFonts w:ascii="Times New Roman" w:eastAsia="Times New Roman" w:hAnsi="Times New Roman" w:cs="Times New Roman"/>
          <w:sz w:val="24"/>
          <w:szCs w:val="24"/>
          <w:lang w:val="en-IN" w:eastAsia="en-IN" w:bidi="ar-SA"/>
        </w:rPr>
        <w:t xml:space="preserve"> crossbred cows subjected to different synchronization protocols are presented in Table 1</w:t>
      </w:r>
      <w:r w:rsidR="003077E6" w:rsidRPr="00F12824">
        <w:rPr>
          <w:rFonts w:ascii="Times New Roman" w:eastAsia="Times New Roman" w:hAnsi="Times New Roman" w:cs="Times New Roman"/>
          <w:sz w:val="24"/>
          <w:szCs w:val="24"/>
          <w:lang w:val="en-IN" w:eastAsia="en-IN" w:bidi="ar-SA"/>
        </w:rPr>
        <w:t>.</w:t>
      </w:r>
    </w:p>
    <w:p w14:paraId="266703E6" w14:textId="77777777" w:rsidR="00C123A4" w:rsidRPr="00452169" w:rsidRDefault="00C123A4" w:rsidP="00235F95">
      <w:pPr>
        <w:spacing w:before="100" w:beforeAutospacing="1" w:after="100" w:afterAutospacing="1" w:line="480" w:lineRule="auto"/>
        <w:outlineLvl w:val="2"/>
        <w:rPr>
          <w:rFonts w:ascii="Times New Roman" w:eastAsia="Times New Roman" w:hAnsi="Times New Roman" w:cs="Times New Roman"/>
          <w:b/>
          <w:bCs/>
          <w:sz w:val="24"/>
          <w:szCs w:val="24"/>
          <w:lang w:val="en-IN" w:eastAsia="en-IN" w:bidi="ar-SA"/>
        </w:rPr>
      </w:pPr>
      <w:r w:rsidRPr="00452169">
        <w:rPr>
          <w:rFonts w:ascii="Times New Roman" w:eastAsia="Times New Roman" w:hAnsi="Times New Roman"/>
          <w:b/>
          <w:bCs/>
          <w:sz w:val="24"/>
        </w:rPr>
        <w:t>Oestrus Response</w:t>
      </w:r>
    </w:p>
    <w:p w14:paraId="590D53B6" w14:textId="77777777" w:rsidR="00C123A4" w:rsidRPr="00F12824" w:rsidRDefault="00C123A4" w:rsidP="00235F95">
      <w:pPr>
        <w:spacing w:before="100" w:beforeAutospacing="1" w:after="100" w:afterAutospacing="1" w:line="480" w:lineRule="auto"/>
        <w:jc w:val="both"/>
        <w:rPr>
          <w:rFonts w:ascii="Times New Roman" w:eastAsia="Times New Roman" w:hAnsi="Times New Roman" w:cs="Times New Roman"/>
          <w:sz w:val="24"/>
          <w:szCs w:val="24"/>
          <w:lang w:val="en-IN" w:eastAsia="en-IN" w:bidi="ar-SA"/>
        </w:rPr>
      </w:pPr>
      <w:r w:rsidRPr="00F12824">
        <w:rPr>
          <w:rFonts w:ascii="Times New Roman" w:eastAsia="Times New Roman" w:hAnsi="Times New Roman"/>
          <w:sz w:val="24"/>
        </w:rPr>
        <w:t>Oestrus response differed among treatment groups. Across both study years, oestrus was detected in 45.0% (9/20) of cows in the control group, compared with 80.0% (16/20) and 75.0% (15/20) of cows treated with the Ovsynch and Heatsynch protocols, respectively. Ovsynch resulted in a significantly greater oestrus response than the control group (OR = 5.09; 95% CI: 1.27-20.41; P &lt; 0.05). A similar trend was observed for Heatsynch compared with the control group (OR = 3.67; 95% CI: 0.98-13.70). However, oestrus response did not differ significantly between Ovsynch and Heatsynch (OR = 1.33; 95% CI: 0.31-5.68; P &gt; 0.05).</w:t>
      </w:r>
    </w:p>
    <w:p w14:paraId="6F51600E" w14:textId="77777777" w:rsidR="00C123A4" w:rsidRPr="00F12824" w:rsidRDefault="00C123A4" w:rsidP="00235F95">
      <w:pPr>
        <w:spacing w:before="100" w:beforeAutospacing="1" w:after="100" w:afterAutospacing="1" w:line="480" w:lineRule="auto"/>
        <w:outlineLvl w:val="2"/>
        <w:rPr>
          <w:rFonts w:ascii="Times New Roman" w:eastAsia="Times New Roman" w:hAnsi="Times New Roman" w:cs="Times New Roman"/>
          <w:b/>
          <w:bCs/>
          <w:sz w:val="24"/>
          <w:szCs w:val="24"/>
          <w:lang w:val="en-IN" w:eastAsia="en-IN" w:bidi="ar-SA"/>
        </w:rPr>
      </w:pPr>
      <w:r w:rsidRPr="00F12824">
        <w:rPr>
          <w:rFonts w:ascii="Times New Roman" w:eastAsia="Times New Roman" w:hAnsi="Times New Roman" w:cs="Times New Roman"/>
          <w:b/>
          <w:bCs/>
          <w:sz w:val="24"/>
          <w:szCs w:val="24"/>
          <w:lang w:val="en-IN" w:eastAsia="en-IN" w:bidi="ar-SA"/>
        </w:rPr>
        <w:t>Conception Rate</w:t>
      </w:r>
    </w:p>
    <w:p w14:paraId="1FDEEB5B" w14:textId="77777777" w:rsidR="00C123A4" w:rsidRPr="00F12824" w:rsidRDefault="00C123A4" w:rsidP="00235F95">
      <w:pPr>
        <w:spacing w:before="100" w:beforeAutospacing="1" w:after="100" w:afterAutospacing="1" w:line="480" w:lineRule="auto"/>
        <w:jc w:val="both"/>
        <w:rPr>
          <w:rFonts w:ascii="Times New Roman" w:eastAsia="Times New Roman" w:hAnsi="Times New Roman" w:cs="Times New Roman"/>
          <w:sz w:val="24"/>
          <w:szCs w:val="24"/>
          <w:lang w:val="en-IN" w:eastAsia="en-IN" w:bidi="ar-SA"/>
        </w:rPr>
      </w:pPr>
      <w:r w:rsidRPr="00F12824">
        <w:rPr>
          <w:rFonts w:ascii="Times New Roman" w:eastAsia="Times New Roman" w:hAnsi="Times New Roman"/>
          <w:sz w:val="24"/>
        </w:rPr>
        <w:t xml:space="preserve">Pregnancy was confirmed in 35.0% (7/20) of cows in the control group, 65.0% (13/20) of cows receiving Ovsynch and 55.0% (11/20) of cows receiving Heatsynch. The Ovsynch protocol produced a significantly higher conception rate than supportive management alone (OR = 3.45; 95% CI: 1.02-11.67; P &lt; 0.05). Although conception rate was numerically greater in the </w:t>
      </w:r>
      <w:r w:rsidRPr="00F12824">
        <w:rPr>
          <w:rFonts w:ascii="Times New Roman" w:eastAsia="Times New Roman" w:hAnsi="Times New Roman"/>
          <w:sz w:val="24"/>
        </w:rPr>
        <w:lastRenderedPageBreak/>
        <w:t>Heatsynch group than in the control group, the difference was not statistically significant (OR = 2.27; 95% CI: 0.67-7.69; P &gt; 0.05). No significant difference in conception rate was observed between the Ovsynch and Heatsynch groups (OR = 1.51; 95% CI: 0.44-5.19; P &gt; 0.05). The relatively wide confidence intervals associated with treatment comparisons indicate substantial uncertainty around the magnitude of treatment effects.</w:t>
      </w:r>
    </w:p>
    <w:p w14:paraId="45F7B5AF" w14:textId="77777777" w:rsidR="00C123A4" w:rsidRPr="00F12824" w:rsidRDefault="00C123A4" w:rsidP="00235F95">
      <w:pPr>
        <w:spacing w:before="100" w:beforeAutospacing="1" w:after="100" w:afterAutospacing="1" w:line="480" w:lineRule="auto"/>
        <w:outlineLvl w:val="2"/>
        <w:rPr>
          <w:rFonts w:ascii="Times New Roman" w:eastAsia="Times New Roman" w:hAnsi="Times New Roman" w:cs="Times New Roman"/>
          <w:b/>
          <w:bCs/>
          <w:sz w:val="24"/>
          <w:szCs w:val="24"/>
          <w:lang w:val="en-IN" w:eastAsia="en-IN" w:bidi="ar-SA"/>
        </w:rPr>
      </w:pPr>
      <w:r w:rsidRPr="00F12824">
        <w:rPr>
          <w:rFonts w:ascii="Times New Roman" w:eastAsia="Times New Roman" w:hAnsi="Times New Roman" w:cs="Times New Roman"/>
          <w:b/>
          <w:bCs/>
          <w:sz w:val="24"/>
          <w:szCs w:val="24"/>
          <w:lang w:val="en-IN" w:eastAsia="en-IN" w:bidi="ar-SA"/>
        </w:rPr>
        <w:t>Year-wise Performance</w:t>
      </w:r>
    </w:p>
    <w:p w14:paraId="4B01DA2F" w14:textId="77777777" w:rsidR="00C123A4" w:rsidRPr="00F12824" w:rsidRDefault="00C123A4" w:rsidP="00235F95">
      <w:pPr>
        <w:spacing w:before="100" w:beforeAutospacing="1" w:after="100" w:afterAutospacing="1" w:line="480" w:lineRule="auto"/>
        <w:jc w:val="both"/>
        <w:rPr>
          <w:rFonts w:ascii="Times New Roman" w:eastAsia="Times New Roman" w:hAnsi="Times New Roman" w:cs="Times New Roman"/>
          <w:sz w:val="24"/>
          <w:szCs w:val="24"/>
          <w:lang w:val="en-IN" w:eastAsia="en-IN" w:bidi="ar-SA"/>
        </w:rPr>
      </w:pPr>
      <w:r w:rsidRPr="00F12824">
        <w:rPr>
          <w:rFonts w:ascii="Times New Roman" w:eastAsia="Times New Roman" w:hAnsi="Times New Roman"/>
          <w:sz w:val="24"/>
        </w:rPr>
        <w:t>Reproductive responses were generally consistent across the two years of the study. Oestrus response and conception rate did not differ significantly between the 2020-21 and 2021-22 breeding seasons (P &gt; 0.05), suggesting that protocol performance remained stable under the field conditions evaluated.</w:t>
      </w:r>
    </w:p>
    <w:p w14:paraId="211C0E39" w14:textId="77777777" w:rsidR="00C123A4" w:rsidRPr="00F12824" w:rsidRDefault="00C123A4" w:rsidP="00235F95">
      <w:pPr>
        <w:spacing w:before="100" w:beforeAutospacing="1" w:after="100" w:afterAutospacing="1" w:line="480" w:lineRule="auto"/>
        <w:outlineLvl w:val="2"/>
        <w:rPr>
          <w:rFonts w:ascii="Times New Roman" w:eastAsia="Times New Roman" w:hAnsi="Times New Roman" w:cs="Times New Roman"/>
          <w:b/>
          <w:bCs/>
          <w:sz w:val="24"/>
          <w:szCs w:val="24"/>
          <w:lang w:val="en-IN" w:eastAsia="en-IN" w:bidi="ar-SA"/>
        </w:rPr>
      </w:pPr>
      <w:r w:rsidRPr="00F12824">
        <w:rPr>
          <w:rFonts w:ascii="Times New Roman" w:eastAsia="Times New Roman" w:hAnsi="Times New Roman" w:cs="Times New Roman"/>
          <w:b/>
          <w:bCs/>
          <w:sz w:val="24"/>
          <w:szCs w:val="24"/>
          <w:lang w:val="en-IN" w:eastAsia="en-IN" w:bidi="ar-SA"/>
        </w:rPr>
        <w:t>Influence of Body Condition Score and Parity</w:t>
      </w:r>
    </w:p>
    <w:p w14:paraId="4C5A6FAE" w14:textId="77777777" w:rsidR="00C123A4" w:rsidRPr="00F12824" w:rsidRDefault="00C123A4" w:rsidP="00235F95">
      <w:pPr>
        <w:spacing w:before="100" w:beforeAutospacing="1" w:after="100" w:afterAutospacing="1" w:line="480" w:lineRule="auto"/>
        <w:jc w:val="both"/>
        <w:rPr>
          <w:rFonts w:ascii="Times New Roman" w:eastAsia="Times New Roman" w:hAnsi="Times New Roman" w:cs="Times New Roman"/>
          <w:sz w:val="24"/>
          <w:szCs w:val="24"/>
          <w:lang w:val="en-IN" w:eastAsia="en-IN" w:bidi="ar-SA"/>
        </w:rPr>
      </w:pPr>
      <w:r w:rsidRPr="00F12824">
        <w:rPr>
          <w:rFonts w:ascii="Times New Roman" w:eastAsia="Times New Roman" w:hAnsi="Times New Roman"/>
          <w:sz w:val="24"/>
        </w:rPr>
        <w:t>Exploratory analyses indicated no significant association between body condition score (BCS) or parity and conception outcome (P &gt; 0.05). Nevertheless, cows with BCS ≥3.0 tended to achieve higher conception rates than cows with lower BCS. Similarly, cows in later parities (3-4) showed numerically greater conception rates than parity-2 cows. No significant treatment × BCS interaction was detected.</w:t>
      </w:r>
    </w:p>
    <w:p w14:paraId="447B5149" w14:textId="77777777" w:rsidR="00060E47" w:rsidRPr="00452169" w:rsidRDefault="00060E47" w:rsidP="00235F95">
      <w:pPr>
        <w:spacing w:line="480" w:lineRule="auto"/>
        <w:jc w:val="both"/>
        <w:rPr>
          <w:rFonts w:ascii="Times New Roman" w:hAnsi="Times New Roman" w:cs="Times New Roman"/>
          <w:b/>
          <w:bCs/>
          <w:sz w:val="24"/>
          <w:szCs w:val="22"/>
        </w:rPr>
      </w:pPr>
      <w:r w:rsidRPr="00452169">
        <w:rPr>
          <w:rFonts w:ascii="Times New Roman" w:eastAsia="Times New Roman" w:hAnsi="Times New Roman"/>
          <w:b/>
          <w:bCs/>
          <w:sz w:val="24"/>
        </w:rPr>
        <w:t>Table 1. Effect of Ovsynch and Heatsynch protocols on oestrus induction response and conception in postpartum anoestrous cows</w:t>
      </w:r>
    </w:p>
    <w:tbl>
      <w:tblPr>
        <w:tblStyle w:val="TableGrid"/>
        <w:tblW w:w="10632" w:type="dxa"/>
        <w:tblInd w:w="-601" w:type="dxa"/>
        <w:tblLook w:val="04A0" w:firstRow="1" w:lastRow="0" w:firstColumn="1" w:lastColumn="0" w:noHBand="0" w:noVBand="1"/>
      </w:tblPr>
      <w:tblGrid>
        <w:gridCol w:w="1276"/>
        <w:gridCol w:w="1134"/>
        <w:gridCol w:w="709"/>
        <w:gridCol w:w="1276"/>
        <w:gridCol w:w="1701"/>
        <w:gridCol w:w="1417"/>
        <w:gridCol w:w="1484"/>
        <w:gridCol w:w="1635"/>
      </w:tblGrid>
      <w:tr w:rsidR="00060E47" w:rsidRPr="00F12824" w14:paraId="331D085E" w14:textId="77777777" w:rsidTr="00C421CE">
        <w:tc>
          <w:tcPr>
            <w:tcW w:w="1276" w:type="dxa"/>
            <w:vAlign w:val="center"/>
          </w:tcPr>
          <w:p w14:paraId="49EA26A6"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Group</w:t>
            </w:r>
          </w:p>
        </w:tc>
        <w:tc>
          <w:tcPr>
            <w:tcW w:w="1134" w:type="dxa"/>
            <w:vAlign w:val="center"/>
          </w:tcPr>
          <w:p w14:paraId="36D992EF"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Year</w:t>
            </w:r>
          </w:p>
        </w:tc>
        <w:tc>
          <w:tcPr>
            <w:tcW w:w="709" w:type="dxa"/>
            <w:vAlign w:val="center"/>
          </w:tcPr>
          <w:p w14:paraId="53E6B27D"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n</w:t>
            </w:r>
          </w:p>
        </w:tc>
        <w:tc>
          <w:tcPr>
            <w:tcW w:w="1276" w:type="dxa"/>
            <w:vAlign w:val="center"/>
          </w:tcPr>
          <w:p w14:paraId="545A532E"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BCS</w:t>
            </w:r>
          </w:p>
        </w:tc>
        <w:tc>
          <w:tcPr>
            <w:tcW w:w="1701" w:type="dxa"/>
            <w:vAlign w:val="center"/>
          </w:tcPr>
          <w:p w14:paraId="2835E986"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Estrus response n/N (%)</w:t>
            </w:r>
          </w:p>
        </w:tc>
        <w:tc>
          <w:tcPr>
            <w:tcW w:w="1417" w:type="dxa"/>
            <w:vAlign w:val="center"/>
          </w:tcPr>
          <w:p w14:paraId="374C7D0B"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[95% CI]</w:t>
            </w:r>
          </w:p>
        </w:tc>
        <w:tc>
          <w:tcPr>
            <w:tcW w:w="1484" w:type="dxa"/>
            <w:vAlign w:val="center"/>
          </w:tcPr>
          <w:p w14:paraId="0C65CDCA"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Conception rate n/N (%)</w:t>
            </w:r>
          </w:p>
        </w:tc>
        <w:tc>
          <w:tcPr>
            <w:tcW w:w="1635" w:type="dxa"/>
            <w:vAlign w:val="center"/>
          </w:tcPr>
          <w:p w14:paraId="38947A1A"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[95% CI]</w:t>
            </w:r>
          </w:p>
        </w:tc>
      </w:tr>
      <w:tr w:rsidR="00060E47" w:rsidRPr="00F12824" w14:paraId="6ED9D3F6" w14:textId="77777777" w:rsidTr="00C421CE">
        <w:tc>
          <w:tcPr>
            <w:tcW w:w="1276" w:type="dxa"/>
            <w:vMerge w:val="restart"/>
            <w:vAlign w:val="center"/>
          </w:tcPr>
          <w:p w14:paraId="7BD6DE94"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lastRenderedPageBreak/>
              <w:t>Control</w:t>
            </w:r>
          </w:p>
        </w:tc>
        <w:tc>
          <w:tcPr>
            <w:tcW w:w="1134" w:type="dxa"/>
            <w:vAlign w:val="center"/>
          </w:tcPr>
          <w:p w14:paraId="7D25CB33"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2020-21</w:t>
            </w:r>
          </w:p>
        </w:tc>
        <w:tc>
          <w:tcPr>
            <w:tcW w:w="709" w:type="dxa"/>
            <w:vAlign w:val="center"/>
          </w:tcPr>
          <w:p w14:paraId="2DF1520C"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10</w:t>
            </w:r>
          </w:p>
        </w:tc>
        <w:tc>
          <w:tcPr>
            <w:tcW w:w="1276" w:type="dxa"/>
            <w:vAlign w:val="center"/>
          </w:tcPr>
          <w:p w14:paraId="1DE56D34"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3.0 ± 0.1</w:t>
            </w:r>
          </w:p>
        </w:tc>
        <w:tc>
          <w:tcPr>
            <w:tcW w:w="1701" w:type="dxa"/>
            <w:vAlign w:val="center"/>
          </w:tcPr>
          <w:p w14:paraId="059B2B60"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4/10 (40.0)</w:t>
            </w:r>
          </w:p>
        </w:tc>
        <w:tc>
          <w:tcPr>
            <w:tcW w:w="1417" w:type="dxa"/>
            <w:vAlign w:val="center"/>
          </w:tcPr>
          <w:p w14:paraId="2CDBC04B"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(12.2-73.8)</w:t>
            </w:r>
          </w:p>
        </w:tc>
        <w:tc>
          <w:tcPr>
            <w:tcW w:w="1484" w:type="dxa"/>
            <w:vAlign w:val="center"/>
          </w:tcPr>
          <w:p w14:paraId="056CBC7D"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3/10 (30.0)</w:t>
            </w:r>
          </w:p>
        </w:tc>
        <w:tc>
          <w:tcPr>
            <w:tcW w:w="1635" w:type="dxa"/>
            <w:vAlign w:val="center"/>
          </w:tcPr>
          <w:p w14:paraId="3787C693"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(6.7-65.2)</w:t>
            </w:r>
          </w:p>
        </w:tc>
      </w:tr>
      <w:tr w:rsidR="00060E47" w:rsidRPr="00F12824" w14:paraId="63D654E5" w14:textId="77777777" w:rsidTr="00C421CE">
        <w:tc>
          <w:tcPr>
            <w:tcW w:w="1276" w:type="dxa"/>
            <w:vMerge/>
            <w:vAlign w:val="center"/>
          </w:tcPr>
          <w:p w14:paraId="35A5670C" w14:textId="77777777" w:rsidR="00060E47" w:rsidRPr="00F12824" w:rsidRDefault="00060E47" w:rsidP="00235F95">
            <w:pPr>
              <w:spacing w:line="480" w:lineRule="auto"/>
              <w:jc w:val="center"/>
              <w:rPr>
                <w:rFonts w:ascii="Times New Roman" w:hAnsi="Times New Roman" w:cs="Times New Roman"/>
                <w:b/>
                <w:bCs/>
                <w:sz w:val="24"/>
                <w:szCs w:val="22"/>
              </w:rPr>
            </w:pPr>
          </w:p>
        </w:tc>
        <w:tc>
          <w:tcPr>
            <w:tcW w:w="1134" w:type="dxa"/>
            <w:vAlign w:val="center"/>
          </w:tcPr>
          <w:p w14:paraId="256F19BE"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2021-22</w:t>
            </w:r>
          </w:p>
        </w:tc>
        <w:tc>
          <w:tcPr>
            <w:tcW w:w="709" w:type="dxa"/>
            <w:vAlign w:val="center"/>
          </w:tcPr>
          <w:p w14:paraId="323B5475"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10</w:t>
            </w:r>
          </w:p>
        </w:tc>
        <w:tc>
          <w:tcPr>
            <w:tcW w:w="1276" w:type="dxa"/>
            <w:vAlign w:val="center"/>
          </w:tcPr>
          <w:p w14:paraId="2923DC74"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3.1 ± 0.1</w:t>
            </w:r>
          </w:p>
        </w:tc>
        <w:tc>
          <w:tcPr>
            <w:tcW w:w="1701" w:type="dxa"/>
            <w:vAlign w:val="center"/>
          </w:tcPr>
          <w:p w14:paraId="5FCD20B6"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5/10 (50.0)</w:t>
            </w:r>
          </w:p>
        </w:tc>
        <w:tc>
          <w:tcPr>
            <w:tcW w:w="1417" w:type="dxa"/>
            <w:vAlign w:val="center"/>
          </w:tcPr>
          <w:p w14:paraId="5B6CC666"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(18.7-81.3)</w:t>
            </w:r>
          </w:p>
        </w:tc>
        <w:tc>
          <w:tcPr>
            <w:tcW w:w="1484" w:type="dxa"/>
            <w:vAlign w:val="center"/>
          </w:tcPr>
          <w:p w14:paraId="7704208D"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4/10 (40.0)</w:t>
            </w:r>
          </w:p>
        </w:tc>
        <w:tc>
          <w:tcPr>
            <w:tcW w:w="1635" w:type="dxa"/>
            <w:vAlign w:val="center"/>
          </w:tcPr>
          <w:p w14:paraId="7461B7D5"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(12.2-73.8)</w:t>
            </w:r>
          </w:p>
        </w:tc>
      </w:tr>
      <w:tr w:rsidR="00060E47" w:rsidRPr="00F12824" w14:paraId="499D28E7" w14:textId="77777777" w:rsidTr="00C421CE">
        <w:tc>
          <w:tcPr>
            <w:tcW w:w="1276" w:type="dxa"/>
            <w:vMerge/>
            <w:vAlign w:val="center"/>
          </w:tcPr>
          <w:p w14:paraId="3083D266" w14:textId="77777777" w:rsidR="00060E47" w:rsidRPr="00F12824" w:rsidRDefault="00060E47" w:rsidP="00235F95">
            <w:pPr>
              <w:spacing w:line="480" w:lineRule="auto"/>
              <w:jc w:val="center"/>
              <w:rPr>
                <w:rFonts w:ascii="Times New Roman" w:hAnsi="Times New Roman" w:cs="Times New Roman"/>
                <w:b/>
                <w:bCs/>
                <w:sz w:val="24"/>
                <w:szCs w:val="22"/>
              </w:rPr>
            </w:pPr>
          </w:p>
        </w:tc>
        <w:tc>
          <w:tcPr>
            <w:tcW w:w="1134" w:type="dxa"/>
            <w:vAlign w:val="center"/>
          </w:tcPr>
          <w:p w14:paraId="4C2B5A89"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Overall</w:t>
            </w:r>
          </w:p>
        </w:tc>
        <w:tc>
          <w:tcPr>
            <w:tcW w:w="709" w:type="dxa"/>
            <w:vAlign w:val="center"/>
          </w:tcPr>
          <w:p w14:paraId="363D1E8D"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20</w:t>
            </w:r>
          </w:p>
        </w:tc>
        <w:tc>
          <w:tcPr>
            <w:tcW w:w="1276" w:type="dxa"/>
            <w:vAlign w:val="center"/>
          </w:tcPr>
          <w:p w14:paraId="61C9C676"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3.05 ± 0.07</w:t>
            </w:r>
          </w:p>
        </w:tc>
        <w:tc>
          <w:tcPr>
            <w:tcW w:w="1701" w:type="dxa"/>
            <w:vAlign w:val="center"/>
          </w:tcPr>
          <w:p w14:paraId="14CF8266"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9/20 (45.0)</w:t>
            </w:r>
          </w:p>
        </w:tc>
        <w:tc>
          <w:tcPr>
            <w:tcW w:w="1417" w:type="dxa"/>
            <w:vAlign w:val="center"/>
          </w:tcPr>
          <w:p w14:paraId="77CA3B3F"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(23.1-68.5)</w:t>
            </w:r>
          </w:p>
        </w:tc>
        <w:tc>
          <w:tcPr>
            <w:tcW w:w="1484" w:type="dxa"/>
            <w:vAlign w:val="center"/>
          </w:tcPr>
          <w:p w14:paraId="244FE8EF"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7/20 (35.0)</w:t>
            </w:r>
          </w:p>
        </w:tc>
        <w:tc>
          <w:tcPr>
            <w:tcW w:w="1635" w:type="dxa"/>
            <w:vAlign w:val="center"/>
          </w:tcPr>
          <w:p w14:paraId="28A7D4D8"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(15.4-59.2)</w:t>
            </w:r>
          </w:p>
        </w:tc>
      </w:tr>
      <w:tr w:rsidR="00060E47" w:rsidRPr="00F12824" w14:paraId="1DF8D01F" w14:textId="77777777" w:rsidTr="00C421CE">
        <w:tc>
          <w:tcPr>
            <w:tcW w:w="1276" w:type="dxa"/>
            <w:vMerge w:val="restart"/>
            <w:vAlign w:val="center"/>
          </w:tcPr>
          <w:p w14:paraId="2D36F5DE" w14:textId="77777777" w:rsidR="00060E47" w:rsidRPr="00F12824" w:rsidRDefault="00060E47" w:rsidP="00235F95">
            <w:pPr>
              <w:spacing w:line="480" w:lineRule="auto"/>
              <w:jc w:val="center"/>
              <w:rPr>
                <w:rFonts w:ascii="Times New Roman" w:hAnsi="Times New Roman" w:cs="Times New Roman"/>
                <w:b/>
                <w:bCs/>
                <w:sz w:val="24"/>
                <w:szCs w:val="22"/>
              </w:rPr>
            </w:pPr>
            <w:proofErr w:type="spellStart"/>
            <w:r w:rsidRPr="00F12824">
              <w:rPr>
                <w:rFonts w:ascii="Times New Roman" w:hAnsi="Times New Roman" w:cs="Times New Roman"/>
              </w:rPr>
              <w:t>Ovsynch</w:t>
            </w:r>
            <w:proofErr w:type="spellEnd"/>
          </w:p>
        </w:tc>
        <w:tc>
          <w:tcPr>
            <w:tcW w:w="1134" w:type="dxa"/>
            <w:vAlign w:val="center"/>
          </w:tcPr>
          <w:p w14:paraId="30831838"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2020-21</w:t>
            </w:r>
          </w:p>
        </w:tc>
        <w:tc>
          <w:tcPr>
            <w:tcW w:w="709" w:type="dxa"/>
            <w:vAlign w:val="center"/>
          </w:tcPr>
          <w:p w14:paraId="3044FCA1"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10</w:t>
            </w:r>
          </w:p>
        </w:tc>
        <w:tc>
          <w:tcPr>
            <w:tcW w:w="1276" w:type="dxa"/>
            <w:vAlign w:val="center"/>
          </w:tcPr>
          <w:p w14:paraId="619C6F9F"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3.1 ± 0.1</w:t>
            </w:r>
          </w:p>
        </w:tc>
        <w:tc>
          <w:tcPr>
            <w:tcW w:w="1701" w:type="dxa"/>
            <w:vAlign w:val="center"/>
          </w:tcPr>
          <w:p w14:paraId="49731D5F"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8/10 (80.0)</w:t>
            </w:r>
          </w:p>
        </w:tc>
        <w:tc>
          <w:tcPr>
            <w:tcW w:w="1417" w:type="dxa"/>
            <w:vAlign w:val="center"/>
          </w:tcPr>
          <w:p w14:paraId="603AB3F4"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(44.4-97.5)</w:t>
            </w:r>
          </w:p>
        </w:tc>
        <w:tc>
          <w:tcPr>
            <w:tcW w:w="1484" w:type="dxa"/>
            <w:vAlign w:val="center"/>
          </w:tcPr>
          <w:p w14:paraId="47168DCD"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7/10 (70.0)</w:t>
            </w:r>
          </w:p>
        </w:tc>
        <w:tc>
          <w:tcPr>
            <w:tcW w:w="1635" w:type="dxa"/>
            <w:vAlign w:val="center"/>
          </w:tcPr>
          <w:p w14:paraId="474ADC78"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(34.8-93.3)</w:t>
            </w:r>
          </w:p>
        </w:tc>
      </w:tr>
      <w:tr w:rsidR="00060E47" w:rsidRPr="00F12824" w14:paraId="5BD8177D" w14:textId="77777777" w:rsidTr="00C421CE">
        <w:tc>
          <w:tcPr>
            <w:tcW w:w="1276" w:type="dxa"/>
            <w:vMerge/>
            <w:vAlign w:val="center"/>
          </w:tcPr>
          <w:p w14:paraId="6D54F7A5" w14:textId="77777777" w:rsidR="00060E47" w:rsidRPr="00F12824" w:rsidRDefault="00060E47" w:rsidP="00235F95">
            <w:pPr>
              <w:spacing w:line="480" w:lineRule="auto"/>
              <w:jc w:val="center"/>
              <w:rPr>
                <w:rFonts w:ascii="Times New Roman" w:hAnsi="Times New Roman" w:cs="Times New Roman"/>
                <w:b/>
                <w:bCs/>
                <w:sz w:val="24"/>
                <w:szCs w:val="22"/>
              </w:rPr>
            </w:pPr>
          </w:p>
        </w:tc>
        <w:tc>
          <w:tcPr>
            <w:tcW w:w="1134" w:type="dxa"/>
            <w:vAlign w:val="center"/>
          </w:tcPr>
          <w:p w14:paraId="6FAD7298"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2021-22</w:t>
            </w:r>
          </w:p>
        </w:tc>
        <w:tc>
          <w:tcPr>
            <w:tcW w:w="709" w:type="dxa"/>
            <w:vAlign w:val="center"/>
          </w:tcPr>
          <w:p w14:paraId="6C122295"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10</w:t>
            </w:r>
          </w:p>
        </w:tc>
        <w:tc>
          <w:tcPr>
            <w:tcW w:w="1276" w:type="dxa"/>
            <w:vAlign w:val="center"/>
          </w:tcPr>
          <w:p w14:paraId="0EC5A797"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3.0 ± 0.1</w:t>
            </w:r>
          </w:p>
        </w:tc>
        <w:tc>
          <w:tcPr>
            <w:tcW w:w="1701" w:type="dxa"/>
            <w:vAlign w:val="center"/>
          </w:tcPr>
          <w:p w14:paraId="4FBB1044"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8/10 (80.0)</w:t>
            </w:r>
          </w:p>
        </w:tc>
        <w:tc>
          <w:tcPr>
            <w:tcW w:w="1417" w:type="dxa"/>
            <w:vAlign w:val="center"/>
          </w:tcPr>
          <w:p w14:paraId="566BD452"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(44.4-97.5)</w:t>
            </w:r>
          </w:p>
        </w:tc>
        <w:tc>
          <w:tcPr>
            <w:tcW w:w="1484" w:type="dxa"/>
            <w:vAlign w:val="center"/>
          </w:tcPr>
          <w:p w14:paraId="01BD42E8"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6/10 (60.0)</w:t>
            </w:r>
          </w:p>
        </w:tc>
        <w:tc>
          <w:tcPr>
            <w:tcW w:w="1635" w:type="dxa"/>
            <w:vAlign w:val="center"/>
          </w:tcPr>
          <w:p w14:paraId="54BC6E16"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(26.2-87.8)</w:t>
            </w:r>
          </w:p>
        </w:tc>
      </w:tr>
      <w:tr w:rsidR="00060E47" w:rsidRPr="00F12824" w14:paraId="3612E6F2" w14:textId="77777777" w:rsidTr="00C421CE">
        <w:tc>
          <w:tcPr>
            <w:tcW w:w="1276" w:type="dxa"/>
            <w:vMerge/>
            <w:vAlign w:val="center"/>
          </w:tcPr>
          <w:p w14:paraId="0C09EA8F" w14:textId="77777777" w:rsidR="00060E47" w:rsidRPr="00F12824" w:rsidRDefault="00060E47" w:rsidP="00235F95">
            <w:pPr>
              <w:spacing w:line="480" w:lineRule="auto"/>
              <w:jc w:val="center"/>
              <w:rPr>
                <w:rFonts w:ascii="Times New Roman" w:hAnsi="Times New Roman" w:cs="Times New Roman"/>
                <w:b/>
                <w:bCs/>
                <w:sz w:val="24"/>
                <w:szCs w:val="22"/>
              </w:rPr>
            </w:pPr>
          </w:p>
        </w:tc>
        <w:tc>
          <w:tcPr>
            <w:tcW w:w="1134" w:type="dxa"/>
            <w:vAlign w:val="center"/>
          </w:tcPr>
          <w:p w14:paraId="737822BF"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Overall</w:t>
            </w:r>
          </w:p>
        </w:tc>
        <w:tc>
          <w:tcPr>
            <w:tcW w:w="709" w:type="dxa"/>
            <w:vAlign w:val="center"/>
          </w:tcPr>
          <w:p w14:paraId="62D9FF6E"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20</w:t>
            </w:r>
          </w:p>
        </w:tc>
        <w:tc>
          <w:tcPr>
            <w:tcW w:w="1276" w:type="dxa"/>
            <w:vAlign w:val="center"/>
          </w:tcPr>
          <w:p w14:paraId="60291D83"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3.05 ± 0.07</w:t>
            </w:r>
          </w:p>
        </w:tc>
        <w:tc>
          <w:tcPr>
            <w:tcW w:w="1701" w:type="dxa"/>
            <w:vAlign w:val="center"/>
          </w:tcPr>
          <w:p w14:paraId="245E22C7"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16/20 (80.0)</w:t>
            </w:r>
          </w:p>
        </w:tc>
        <w:tc>
          <w:tcPr>
            <w:tcW w:w="1417" w:type="dxa"/>
            <w:vAlign w:val="center"/>
          </w:tcPr>
          <w:p w14:paraId="4A68ED41"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(56.3-94.3)</w:t>
            </w:r>
          </w:p>
        </w:tc>
        <w:tc>
          <w:tcPr>
            <w:tcW w:w="1484" w:type="dxa"/>
            <w:vAlign w:val="center"/>
          </w:tcPr>
          <w:p w14:paraId="3662C2F6"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13/20 (65.0)</w:t>
            </w:r>
          </w:p>
        </w:tc>
        <w:tc>
          <w:tcPr>
            <w:tcW w:w="1635" w:type="dxa"/>
            <w:vAlign w:val="center"/>
          </w:tcPr>
          <w:p w14:paraId="05DE23DF"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(40.8-84.6)</w:t>
            </w:r>
          </w:p>
        </w:tc>
      </w:tr>
      <w:tr w:rsidR="00060E47" w:rsidRPr="00F12824" w14:paraId="62CBB943" w14:textId="77777777" w:rsidTr="00C421CE">
        <w:tc>
          <w:tcPr>
            <w:tcW w:w="1276" w:type="dxa"/>
            <w:vMerge w:val="restart"/>
            <w:vAlign w:val="center"/>
          </w:tcPr>
          <w:p w14:paraId="0E32AFF4" w14:textId="77777777" w:rsidR="00060E47" w:rsidRPr="00F12824" w:rsidRDefault="00060E47" w:rsidP="00235F95">
            <w:pPr>
              <w:spacing w:line="480" w:lineRule="auto"/>
              <w:jc w:val="center"/>
              <w:rPr>
                <w:rFonts w:ascii="Times New Roman" w:hAnsi="Times New Roman" w:cs="Times New Roman"/>
                <w:b/>
                <w:bCs/>
                <w:sz w:val="24"/>
                <w:szCs w:val="22"/>
              </w:rPr>
            </w:pPr>
            <w:proofErr w:type="spellStart"/>
            <w:r w:rsidRPr="00F12824">
              <w:rPr>
                <w:rFonts w:ascii="Times New Roman" w:hAnsi="Times New Roman" w:cs="Times New Roman"/>
              </w:rPr>
              <w:t>Heatsynch</w:t>
            </w:r>
            <w:proofErr w:type="spellEnd"/>
          </w:p>
        </w:tc>
        <w:tc>
          <w:tcPr>
            <w:tcW w:w="1134" w:type="dxa"/>
            <w:vAlign w:val="center"/>
          </w:tcPr>
          <w:p w14:paraId="4994D58B"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2020-21</w:t>
            </w:r>
          </w:p>
        </w:tc>
        <w:tc>
          <w:tcPr>
            <w:tcW w:w="709" w:type="dxa"/>
            <w:vAlign w:val="center"/>
          </w:tcPr>
          <w:p w14:paraId="6DD10E49"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10</w:t>
            </w:r>
          </w:p>
        </w:tc>
        <w:tc>
          <w:tcPr>
            <w:tcW w:w="1276" w:type="dxa"/>
            <w:vAlign w:val="center"/>
          </w:tcPr>
          <w:p w14:paraId="081DE9BA"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3.0 ± 0.1</w:t>
            </w:r>
          </w:p>
        </w:tc>
        <w:tc>
          <w:tcPr>
            <w:tcW w:w="1701" w:type="dxa"/>
            <w:vAlign w:val="center"/>
          </w:tcPr>
          <w:p w14:paraId="7E9C4AED"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8/10 (80.0)</w:t>
            </w:r>
          </w:p>
        </w:tc>
        <w:tc>
          <w:tcPr>
            <w:tcW w:w="1417" w:type="dxa"/>
            <w:vAlign w:val="center"/>
          </w:tcPr>
          <w:p w14:paraId="4CF35571"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(44.4-97.5)</w:t>
            </w:r>
          </w:p>
        </w:tc>
        <w:tc>
          <w:tcPr>
            <w:tcW w:w="1484" w:type="dxa"/>
            <w:vAlign w:val="center"/>
          </w:tcPr>
          <w:p w14:paraId="2E21A6E5"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6/10 (60.0)</w:t>
            </w:r>
          </w:p>
        </w:tc>
        <w:tc>
          <w:tcPr>
            <w:tcW w:w="1635" w:type="dxa"/>
            <w:vAlign w:val="center"/>
          </w:tcPr>
          <w:p w14:paraId="5C0C66AC"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(26.2-87.8)</w:t>
            </w:r>
          </w:p>
        </w:tc>
      </w:tr>
      <w:tr w:rsidR="00060E47" w:rsidRPr="00F12824" w14:paraId="053F589E" w14:textId="77777777" w:rsidTr="00C421CE">
        <w:tc>
          <w:tcPr>
            <w:tcW w:w="1276" w:type="dxa"/>
            <w:vMerge/>
            <w:vAlign w:val="center"/>
          </w:tcPr>
          <w:p w14:paraId="3C8F24F1" w14:textId="77777777" w:rsidR="00060E47" w:rsidRPr="00F12824" w:rsidRDefault="00060E47" w:rsidP="00235F95">
            <w:pPr>
              <w:spacing w:line="480" w:lineRule="auto"/>
              <w:jc w:val="center"/>
              <w:rPr>
                <w:rFonts w:ascii="Times New Roman" w:hAnsi="Times New Roman" w:cs="Times New Roman"/>
                <w:b/>
                <w:bCs/>
                <w:sz w:val="24"/>
                <w:szCs w:val="22"/>
              </w:rPr>
            </w:pPr>
          </w:p>
        </w:tc>
        <w:tc>
          <w:tcPr>
            <w:tcW w:w="1134" w:type="dxa"/>
            <w:vAlign w:val="center"/>
          </w:tcPr>
          <w:p w14:paraId="5A891714"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2021-22</w:t>
            </w:r>
          </w:p>
        </w:tc>
        <w:tc>
          <w:tcPr>
            <w:tcW w:w="709" w:type="dxa"/>
            <w:vAlign w:val="center"/>
          </w:tcPr>
          <w:p w14:paraId="584738D3"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10</w:t>
            </w:r>
          </w:p>
        </w:tc>
        <w:tc>
          <w:tcPr>
            <w:tcW w:w="1276" w:type="dxa"/>
            <w:vAlign w:val="center"/>
          </w:tcPr>
          <w:p w14:paraId="3F5BD955"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3.1 ± 0.1</w:t>
            </w:r>
          </w:p>
        </w:tc>
        <w:tc>
          <w:tcPr>
            <w:tcW w:w="1701" w:type="dxa"/>
            <w:vAlign w:val="center"/>
          </w:tcPr>
          <w:p w14:paraId="41AD742F"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7/10 (70.0)</w:t>
            </w:r>
          </w:p>
        </w:tc>
        <w:tc>
          <w:tcPr>
            <w:tcW w:w="1417" w:type="dxa"/>
            <w:vAlign w:val="center"/>
          </w:tcPr>
          <w:p w14:paraId="364F14E7"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(34.8-93.3)</w:t>
            </w:r>
          </w:p>
        </w:tc>
        <w:tc>
          <w:tcPr>
            <w:tcW w:w="1484" w:type="dxa"/>
            <w:vAlign w:val="center"/>
          </w:tcPr>
          <w:p w14:paraId="12E1B5FE"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5/10 (50.0)</w:t>
            </w:r>
          </w:p>
        </w:tc>
        <w:tc>
          <w:tcPr>
            <w:tcW w:w="1635" w:type="dxa"/>
            <w:vAlign w:val="center"/>
          </w:tcPr>
          <w:p w14:paraId="780F7D1A"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(18.7-81.3)</w:t>
            </w:r>
          </w:p>
        </w:tc>
      </w:tr>
      <w:tr w:rsidR="00060E47" w:rsidRPr="00F12824" w14:paraId="261A5ABE" w14:textId="77777777" w:rsidTr="00C421CE">
        <w:tc>
          <w:tcPr>
            <w:tcW w:w="1276" w:type="dxa"/>
            <w:vMerge/>
            <w:vAlign w:val="center"/>
          </w:tcPr>
          <w:p w14:paraId="6A3756C6" w14:textId="77777777" w:rsidR="00060E47" w:rsidRPr="00F12824" w:rsidRDefault="00060E47" w:rsidP="00235F95">
            <w:pPr>
              <w:spacing w:line="480" w:lineRule="auto"/>
              <w:jc w:val="center"/>
              <w:rPr>
                <w:rFonts w:ascii="Times New Roman" w:hAnsi="Times New Roman" w:cs="Times New Roman"/>
                <w:b/>
                <w:bCs/>
                <w:sz w:val="24"/>
                <w:szCs w:val="22"/>
              </w:rPr>
            </w:pPr>
          </w:p>
        </w:tc>
        <w:tc>
          <w:tcPr>
            <w:tcW w:w="1134" w:type="dxa"/>
            <w:vAlign w:val="center"/>
          </w:tcPr>
          <w:p w14:paraId="6808DEAA"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Overall</w:t>
            </w:r>
          </w:p>
        </w:tc>
        <w:tc>
          <w:tcPr>
            <w:tcW w:w="709" w:type="dxa"/>
            <w:vAlign w:val="center"/>
          </w:tcPr>
          <w:p w14:paraId="37531FD0"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20</w:t>
            </w:r>
          </w:p>
        </w:tc>
        <w:tc>
          <w:tcPr>
            <w:tcW w:w="1276" w:type="dxa"/>
            <w:vAlign w:val="center"/>
          </w:tcPr>
          <w:p w14:paraId="0AF8324D"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3.05 ± 0.07</w:t>
            </w:r>
          </w:p>
        </w:tc>
        <w:tc>
          <w:tcPr>
            <w:tcW w:w="1701" w:type="dxa"/>
            <w:vAlign w:val="center"/>
          </w:tcPr>
          <w:p w14:paraId="6EAE6F3D"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15/20 (75.0)</w:t>
            </w:r>
          </w:p>
        </w:tc>
        <w:tc>
          <w:tcPr>
            <w:tcW w:w="1417" w:type="dxa"/>
            <w:vAlign w:val="center"/>
          </w:tcPr>
          <w:p w14:paraId="34EE6B00"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(50.9-91.3)</w:t>
            </w:r>
          </w:p>
        </w:tc>
        <w:tc>
          <w:tcPr>
            <w:tcW w:w="1484" w:type="dxa"/>
            <w:vAlign w:val="center"/>
          </w:tcPr>
          <w:p w14:paraId="398BB1F2"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11/20 (55.0)</w:t>
            </w:r>
          </w:p>
        </w:tc>
        <w:tc>
          <w:tcPr>
            <w:tcW w:w="1635" w:type="dxa"/>
            <w:vAlign w:val="center"/>
          </w:tcPr>
          <w:p w14:paraId="3F366DAD" w14:textId="77777777" w:rsidR="00060E47" w:rsidRPr="00F12824" w:rsidRDefault="00060E47" w:rsidP="00235F95">
            <w:pPr>
              <w:spacing w:line="480" w:lineRule="auto"/>
              <w:jc w:val="center"/>
              <w:rPr>
                <w:rFonts w:ascii="Times New Roman" w:hAnsi="Times New Roman" w:cs="Times New Roman"/>
                <w:b/>
                <w:bCs/>
                <w:sz w:val="24"/>
                <w:szCs w:val="22"/>
              </w:rPr>
            </w:pPr>
            <w:r w:rsidRPr="00F12824">
              <w:rPr>
                <w:rFonts w:ascii="Times New Roman" w:hAnsi="Times New Roman" w:cs="Times New Roman"/>
              </w:rPr>
              <w:t>(31.5-76.9)</w:t>
            </w:r>
          </w:p>
        </w:tc>
      </w:tr>
    </w:tbl>
    <w:p w14:paraId="5C17FD25" w14:textId="77777777" w:rsidR="00060E47" w:rsidRPr="00F12824" w:rsidRDefault="00060E47" w:rsidP="00235F95">
      <w:pPr>
        <w:spacing w:line="480" w:lineRule="auto"/>
        <w:jc w:val="both"/>
        <w:rPr>
          <w:rFonts w:ascii="Times New Roman" w:hAnsi="Times New Roman" w:cs="Times New Roman"/>
          <w:b/>
          <w:bCs/>
          <w:sz w:val="24"/>
          <w:szCs w:val="22"/>
        </w:rPr>
      </w:pPr>
    </w:p>
    <w:p w14:paraId="1F575148" w14:textId="77777777" w:rsidR="00060E47" w:rsidRPr="00F12824" w:rsidRDefault="00060E47" w:rsidP="00235F95">
      <w:pPr>
        <w:spacing w:line="480" w:lineRule="auto"/>
        <w:rPr>
          <w:rFonts w:ascii="Times New Roman" w:hAnsi="Times New Roman" w:cs="Times New Roman"/>
          <w:sz w:val="24"/>
          <w:szCs w:val="22"/>
        </w:rPr>
      </w:pPr>
      <w:r w:rsidRPr="00F12824">
        <w:rPr>
          <w:rFonts w:ascii="Times New Roman" w:eastAsia="Times New Roman" w:hAnsi="Times New Roman"/>
          <w:sz w:val="24"/>
        </w:rPr>
        <w:t>Means with different superscripts within a column differ significantly (P &lt; 0.05).</w:t>
      </w:r>
    </w:p>
    <w:p w14:paraId="73D5ECA7" w14:textId="77777777" w:rsidR="00060E47" w:rsidRPr="00F12824" w:rsidRDefault="00060E47" w:rsidP="00235F95">
      <w:pPr>
        <w:spacing w:before="100" w:beforeAutospacing="1" w:after="100" w:afterAutospacing="1" w:line="480" w:lineRule="auto"/>
        <w:jc w:val="both"/>
        <w:rPr>
          <w:rFonts w:ascii="Times New Roman" w:eastAsia="Times New Roman" w:hAnsi="Times New Roman" w:cs="Times New Roman"/>
          <w:sz w:val="24"/>
          <w:szCs w:val="24"/>
          <w:lang w:val="en-IN" w:eastAsia="en-IN" w:bidi="ar-SA"/>
        </w:rPr>
      </w:pPr>
    </w:p>
    <w:p w14:paraId="70E4B707" w14:textId="77777777" w:rsidR="00D564F2" w:rsidRPr="00F12824" w:rsidRDefault="00336BA2" w:rsidP="00235F95">
      <w:pPr>
        <w:spacing w:line="480" w:lineRule="auto"/>
        <w:jc w:val="both"/>
        <w:rPr>
          <w:rFonts w:ascii="Times New Roman" w:hAnsi="Times New Roman" w:cs="Times New Roman"/>
          <w:b/>
          <w:bCs/>
          <w:sz w:val="24"/>
          <w:szCs w:val="22"/>
        </w:rPr>
      </w:pPr>
      <w:r w:rsidRPr="00F12824">
        <w:rPr>
          <w:rFonts w:ascii="Times New Roman" w:eastAsia="Times New Roman" w:hAnsi="Times New Roman" w:cs="Times New Roman"/>
          <w:b/>
          <w:bCs/>
          <w:sz w:val="24"/>
          <w:szCs w:val="22"/>
        </w:rPr>
        <w:t>Discussion</w:t>
      </w:r>
    </w:p>
    <w:p w14:paraId="114E8B32" w14:textId="77777777" w:rsidR="00C123A4" w:rsidRPr="00452169" w:rsidRDefault="00C123A4" w:rsidP="00235F95">
      <w:pPr>
        <w:spacing w:line="480" w:lineRule="auto"/>
        <w:jc w:val="both"/>
        <w:rPr>
          <w:rFonts w:ascii="Times New Roman" w:hAnsi="Times New Roman" w:cs="Times New Roman"/>
          <w:b/>
          <w:bCs/>
          <w:sz w:val="24"/>
          <w:szCs w:val="22"/>
        </w:rPr>
      </w:pPr>
      <w:r w:rsidRPr="00452169">
        <w:rPr>
          <w:rFonts w:ascii="Times New Roman" w:eastAsia="Times New Roman" w:hAnsi="Times New Roman"/>
          <w:b/>
          <w:bCs/>
          <w:sz w:val="24"/>
        </w:rPr>
        <w:t>Effect of Synchronisation Protocols on Oestrus Induction</w:t>
      </w:r>
    </w:p>
    <w:p w14:paraId="0D3EB630" w14:textId="62E7A990" w:rsidR="00C123A4" w:rsidRPr="00F12824" w:rsidRDefault="00C123A4" w:rsidP="00235F95">
      <w:pPr>
        <w:shd w:val="clear" w:color="auto" w:fill="FFFFFF"/>
        <w:spacing w:before="240" w:after="240" w:line="480" w:lineRule="auto"/>
        <w:jc w:val="both"/>
        <w:rPr>
          <w:rFonts w:ascii="Times New Roman" w:eastAsia="Times New Roman" w:hAnsi="Times New Roman" w:cs="Times New Roman"/>
          <w:color w:val="0F1115"/>
          <w:sz w:val="24"/>
          <w:szCs w:val="24"/>
          <w:lang w:val="en-IN" w:eastAsia="en-IN" w:bidi="ar-SA"/>
        </w:rPr>
      </w:pPr>
      <w:r w:rsidRPr="00F12824">
        <w:rPr>
          <w:rFonts w:ascii="Times New Roman" w:eastAsia="Times New Roman" w:hAnsi="Times New Roman"/>
          <w:sz w:val="24"/>
        </w:rPr>
        <w:t xml:space="preserve">The present study found that both Ovsynch and Heatsynch protocols were associated with improved oestrus response compared with supportive management alone in postpartum anoestrous crossbred cows. These findings agree with previous reports showing enhanced oestrus induction following synchronisation treatments in cattle under farm and field conditions (Kandiel et al., 2012; </w:t>
      </w:r>
      <w:proofErr w:type="spellStart"/>
      <w:r w:rsidRPr="00F12824">
        <w:rPr>
          <w:rFonts w:ascii="Times New Roman" w:eastAsia="Times New Roman" w:hAnsi="Times New Roman"/>
          <w:sz w:val="24"/>
        </w:rPr>
        <w:t>Carabă</w:t>
      </w:r>
      <w:proofErr w:type="spellEnd"/>
      <w:r w:rsidRPr="00F12824">
        <w:rPr>
          <w:rFonts w:ascii="Times New Roman" w:eastAsia="Times New Roman" w:hAnsi="Times New Roman"/>
          <w:sz w:val="24"/>
        </w:rPr>
        <w:t xml:space="preserve"> and </w:t>
      </w:r>
      <w:proofErr w:type="spellStart"/>
      <w:r w:rsidRPr="00F12824">
        <w:rPr>
          <w:rFonts w:ascii="Times New Roman" w:eastAsia="Times New Roman" w:hAnsi="Times New Roman"/>
          <w:sz w:val="24"/>
        </w:rPr>
        <w:t>Velicevici</w:t>
      </w:r>
      <w:proofErr w:type="spellEnd"/>
      <w:r w:rsidRPr="00F12824">
        <w:rPr>
          <w:rFonts w:ascii="Times New Roman" w:eastAsia="Times New Roman" w:hAnsi="Times New Roman"/>
          <w:sz w:val="24"/>
        </w:rPr>
        <w:t xml:space="preserve">, 2013; </w:t>
      </w:r>
      <w:r w:rsidR="00614F28">
        <w:rPr>
          <w:rFonts w:ascii="Times New Roman" w:eastAsia="Times New Roman" w:hAnsi="Times New Roman"/>
          <w:sz w:val="24"/>
        </w:rPr>
        <w:t>Dhami</w:t>
      </w:r>
      <w:r w:rsidRPr="00F12824">
        <w:rPr>
          <w:rFonts w:ascii="Times New Roman" w:eastAsia="Times New Roman" w:hAnsi="Times New Roman"/>
          <w:sz w:val="24"/>
        </w:rPr>
        <w:t xml:space="preserve"> et al., 2019; Reddy et al., 2022). The higher oestrus response observed in the synchronised groups is consistent with the primary objective of these protocols, namely the coordination of reproductive events that facilitate predictable oestrus expression and timed insemination (Pursley et al., 1995; Wiltbank and Pursley, 2014; Nowicki et </w:t>
      </w:r>
      <w:r w:rsidRPr="00F12824">
        <w:rPr>
          <w:rFonts w:ascii="Times New Roman" w:eastAsia="Times New Roman" w:hAnsi="Times New Roman"/>
          <w:sz w:val="24"/>
        </w:rPr>
        <w:lastRenderedPageBreak/>
        <w:t>al., 2017; Tanwer et al., 2020; Ferré et al., 2023). However, ovarian follicular dynamics, ovulation timing and endocrine responses were not evaluated in the present study. Therefore, the biological mechanisms underlying the observed responses cannot be confirmed and should be interpreted cautiously.</w:t>
      </w:r>
    </w:p>
    <w:p w14:paraId="39E00BAE" w14:textId="77777777" w:rsidR="00235F95" w:rsidRPr="00F12824" w:rsidRDefault="00C123A4" w:rsidP="00235F95">
      <w:pPr>
        <w:shd w:val="clear" w:color="auto" w:fill="FFFFFF"/>
        <w:spacing w:before="240" w:after="240" w:line="480" w:lineRule="auto"/>
        <w:jc w:val="both"/>
        <w:rPr>
          <w:rFonts w:ascii="Times New Roman" w:eastAsia="Times New Roman" w:hAnsi="Times New Roman" w:cs="Times New Roman"/>
          <w:color w:val="0F1115"/>
          <w:sz w:val="24"/>
          <w:szCs w:val="24"/>
          <w:lang w:val="en-IN" w:eastAsia="en-IN" w:bidi="ar-SA"/>
        </w:rPr>
      </w:pPr>
      <w:r w:rsidRPr="00F12824">
        <w:rPr>
          <w:rFonts w:ascii="Times New Roman" w:eastAsia="Times New Roman" w:hAnsi="Times New Roman"/>
          <w:sz w:val="24"/>
        </w:rPr>
        <w:t>Although Heatsynch includes estradiol benzoate administration, which has been associated with enhanced behavioural oestrus expression in some studies (Pancarci et al., 2002; Arya et al., 2023), oestrus response was comparable between Ovsynch and Heatsynch in the current investigation. This suggests that, under the management and environmental conditions of the present study, both protocols were similarly effective in inducing oestrus in postpartum anoestrous cows.</w:t>
      </w:r>
    </w:p>
    <w:p w14:paraId="632CED8C" w14:textId="77777777" w:rsidR="00C123A4" w:rsidRPr="00F12824" w:rsidRDefault="00C123A4" w:rsidP="00235F95">
      <w:pPr>
        <w:shd w:val="clear" w:color="auto" w:fill="FFFFFF"/>
        <w:spacing w:before="240" w:after="240" w:line="480" w:lineRule="auto"/>
        <w:jc w:val="both"/>
        <w:rPr>
          <w:rFonts w:ascii="Times New Roman" w:eastAsia="Times New Roman" w:hAnsi="Times New Roman" w:cs="Times New Roman"/>
          <w:color w:val="0F1115"/>
          <w:sz w:val="24"/>
          <w:szCs w:val="24"/>
          <w:lang w:val="en-IN" w:eastAsia="en-IN" w:bidi="ar-SA"/>
        </w:rPr>
      </w:pPr>
      <w:r w:rsidRPr="00F12824">
        <w:rPr>
          <w:rFonts w:ascii="Times New Roman" w:eastAsia="Times New Roman" w:hAnsi="Times New Roman" w:cs="Times New Roman"/>
          <w:b/>
          <w:bCs/>
          <w:color w:val="0F1115"/>
          <w:sz w:val="24"/>
          <w:szCs w:val="24"/>
          <w:lang w:val="en-IN" w:eastAsia="en-IN" w:bidi="ar-SA"/>
        </w:rPr>
        <w:t>Effect on Conception Rate</w:t>
      </w:r>
    </w:p>
    <w:p w14:paraId="4DA1FDCF" w14:textId="1CED85C8" w:rsidR="00C123A4" w:rsidRPr="00F12824" w:rsidRDefault="00C123A4" w:rsidP="00235F95">
      <w:pPr>
        <w:shd w:val="clear" w:color="auto" w:fill="FFFFFF"/>
        <w:spacing w:before="240" w:after="240" w:line="480" w:lineRule="auto"/>
        <w:jc w:val="both"/>
        <w:rPr>
          <w:rFonts w:ascii="Times New Roman" w:eastAsia="Times New Roman" w:hAnsi="Times New Roman" w:cs="Times New Roman"/>
          <w:color w:val="0F1115"/>
          <w:sz w:val="24"/>
          <w:szCs w:val="24"/>
          <w:lang w:val="en-IN" w:eastAsia="en-IN" w:bidi="ar-SA"/>
        </w:rPr>
      </w:pPr>
      <w:r w:rsidRPr="00F12824">
        <w:rPr>
          <w:rFonts w:ascii="Times New Roman" w:eastAsia="Times New Roman" w:hAnsi="Times New Roman"/>
          <w:sz w:val="24"/>
        </w:rPr>
        <w:t xml:space="preserve">Conception rate followed a pattern similar to oestrus response, with synchronised cows achieving higher pregnancy rates than cows receiving supportive management alone. Ovsynch was associated with a statistically significant improvement in conception rate compared with the control group, although the wide confidence interval indicates limited precision. The numerical improvement observed with Heatsynch was not statistically significant compared with the control. These findings are generally consistent with earlier studies reporting improved fertility following synchronisation protocols in postpartum anoestrous and repeat-breeding cattle (Chaudhary et al., 2012; Parmar et al., 2015; </w:t>
      </w:r>
      <w:r w:rsidR="00614F28">
        <w:rPr>
          <w:rFonts w:ascii="Times New Roman" w:eastAsia="Times New Roman" w:hAnsi="Times New Roman"/>
          <w:sz w:val="24"/>
        </w:rPr>
        <w:t>Dhami</w:t>
      </w:r>
      <w:r w:rsidRPr="00F12824">
        <w:rPr>
          <w:rFonts w:ascii="Times New Roman" w:eastAsia="Times New Roman" w:hAnsi="Times New Roman"/>
          <w:sz w:val="24"/>
        </w:rPr>
        <w:t xml:space="preserve"> et al., 2019; Ratnaparkhi et al., 2020; Mahto, 2023). However, direct comparisons among studies should be made cautiously because reproductive performance is influenced by numerous factors, including breed, nutritional status, postpartum interval, management practices, climatic conditions and insemination efficiency </w:t>
      </w:r>
      <w:r w:rsidRPr="00F12824">
        <w:rPr>
          <w:rFonts w:ascii="Times New Roman" w:eastAsia="Times New Roman" w:hAnsi="Times New Roman"/>
          <w:sz w:val="24"/>
        </w:rPr>
        <w:lastRenderedPageBreak/>
        <w:t>(Ammu et al., 2012; Banda and Tanganyika, 2021; Reddy et al., 2022). Although conception rate was numerically greater in the Ovsynch group (65.0%) than in the Heatsynch group (55.0%), the difference was not statistically significant. Therefore, the present data do not provide sufficient evidence to conclude that one synchronisation protocol was superior to the other. The wide confidence intervals observed for treatment comparisons indicate limited precision of the estimated effects, likely reflecting the relatively small sample size.</w:t>
      </w:r>
    </w:p>
    <w:p w14:paraId="5A92C1E5" w14:textId="77777777" w:rsidR="00F706EF" w:rsidRPr="00F12824" w:rsidRDefault="00C123A4" w:rsidP="00235F95">
      <w:pPr>
        <w:shd w:val="clear" w:color="auto" w:fill="FFFFFF"/>
        <w:spacing w:before="240" w:after="240" w:line="480" w:lineRule="auto"/>
        <w:jc w:val="both"/>
        <w:rPr>
          <w:rFonts w:ascii="Times New Roman" w:eastAsia="Times New Roman" w:hAnsi="Times New Roman" w:cs="Times New Roman"/>
          <w:color w:val="0F1115"/>
          <w:sz w:val="24"/>
          <w:szCs w:val="24"/>
          <w:lang w:val="en-IN" w:eastAsia="en-IN" w:bidi="ar-SA"/>
        </w:rPr>
      </w:pPr>
      <w:r w:rsidRPr="00F12824">
        <w:rPr>
          <w:rFonts w:ascii="Times New Roman" w:eastAsia="Times New Roman" w:hAnsi="Times New Roman"/>
          <w:sz w:val="24"/>
        </w:rPr>
        <w:t>The conception rates obtained in the present study were somewhat lower than those reported from several institutional or research-farm studies (Ammu et al., 2012; Reddy et al., 2022). This difference is not unexpected because the present investigation was conducted under farmer-managed smallholder conditions, where greater variability in feeding practices, housing, health management and environmental exposure is inevitable. Consequently, the results may better reflect the performance of synchronisation protocols under practical field conditions than under controlled research settings.</w:t>
      </w:r>
    </w:p>
    <w:p w14:paraId="4B2543E9" w14:textId="77777777" w:rsidR="00C123A4" w:rsidRPr="00F12824" w:rsidRDefault="00C123A4" w:rsidP="00235F95">
      <w:pPr>
        <w:shd w:val="clear" w:color="auto" w:fill="FFFFFF"/>
        <w:spacing w:before="240" w:after="240" w:line="480" w:lineRule="auto"/>
        <w:jc w:val="both"/>
        <w:rPr>
          <w:rFonts w:ascii="Times New Roman" w:eastAsia="Times New Roman" w:hAnsi="Times New Roman" w:cs="Times New Roman"/>
          <w:b/>
          <w:bCs/>
          <w:color w:val="0F1115"/>
          <w:sz w:val="24"/>
          <w:szCs w:val="24"/>
          <w:lang w:val="en-IN" w:eastAsia="en-IN" w:bidi="ar-SA"/>
        </w:rPr>
      </w:pPr>
      <w:r w:rsidRPr="00F12824">
        <w:rPr>
          <w:rFonts w:ascii="Times New Roman" w:eastAsia="Times New Roman" w:hAnsi="Times New Roman" w:cs="Times New Roman"/>
          <w:b/>
          <w:bCs/>
          <w:color w:val="0F1115"/>
          <w:sz w:val="24"/>
          <w:szCs w:val="24"/>
          <w:lang w:val="en-IN" w:eastAsia="en-IN" w:bidi="ar-SA"/>
        </w:rPr>
        <w:t>Influence of Body Condition Score and Parity</w:t>
      </w:r>
    </w:p>
    <w:p w14:paraId="6FAB13B0" w14:textId="77777777" w:rsidR="00C123A4" w:rsidRPr="00F12824" w:rsidRDefault="00C123A4" w:rsidP="00235F95">
      <w:pPr>
        <w:shd w:val="clear" w:color="auto" w:fill="FFFFFF"/>
        <w:spacing w:before="240" w:after="240" w:line="480" w:lineRule="auto"/>
        <w:jc w:val="both"/>
        <w:rPr>
          <w:rFonts w:ascii="Times New Roman" w:eastAsia="Times New Roman" w:hAnsi="Times New Roman" w:cs="Times New Roman"/>
          <w:color w:val="0F1115"/>
          <w:sz w:val="24"/>
          <w:szCs w:val="24"/>
          <w:lang w:val="en-IN" w:eastAsia="en-IN" w:bidi="ar-SA"/>
        </w:rPr>
      </w:pPr>
      <w:r w:rsidRPr="00F12824">
        <w:rPr>
          <w:rFonts w:ascii="Times New Roman" w:eastAsia="Times New Roman" w:hAnsi="Times New Roman"/>
          <w:sz w:val="24"/>
        </w:rPr>
        <w:t>Neither BCS nor parity significantly influenced reproductive outcomes in the statistical analyses. However, cows with higher BCS (≥3.0) tended to achieve numerically better conception rates across all treatment groups. This observation is consistent with the established relationship between nutritional status and reproductive function in ruminants (Chaves et al., 2024; Ding et al., 2024). Adequate body reserves are generally associated with improved metabolic status and reproductive recovery during the postpartum period.</w:t>
      </w:r>
    </w:p>
    <w:p w14:paraId="111F432C" w14:textId="77777777" w:rsidR="00C123A4" w:rsidRPr="00F12824" w:rsidRDefault="00C123A4" w:rsidP="00235F95">
      <w:pPr>
        <w:shd w:val="clear" w:color="auto" w:fill="FFFFFF"/>
        <w:spacing w:before="240" w:after="240" w:line="480" w:lineRule="auto"/>
        <w:jc w:val="both"/>
        <w:rPr>
          <w:rFonts w:ascii="Times New Roman" w:eastAsia="Times New Roman" w:hAnsi="Times New Roman" w:cs="Times New Roman"/>
          <w:color w:val="0F1115"/>
          <w:sz w:val="24"/>
          <w:szCs w:val="24"/>
          <w:lang w:val="en-IN" w:eastAsia="en-IN" w:bidi="ar-SA"/>
        </w:rPr>
      </w:pPr>
      <w:r w:rsidRPr="00F12824">
        <w:rPr>
          <w:rFonts w:ascii="Times New Roman" w:eastAsia="Times New Roman" w:hAnsi="Times New Roman"/>
          <w:sz w:val="24"/>
        </w:rPr>
        <w:t xml:space="preserve">The present study was not specifically powered to detect subgroup differences based on BCS or parity. Therefore, these findings should be considered exploratory rather than definitive. Future </w:t>
      </w:r>
      <w:r w:rsidRPr="00F12824">
        <w:rPr>
          <w:rFonts w:ascii="Times New Roman" w:eastAsia="Times New Roman" w:hAnsi="Times New Roman"/>
          <w:sz w:val="24"/>
        </w:rPr>
        <w:lastRenderedPageBreak/>
        <w:t>studies involving larger populations and broader nutritional variation are required to clarify the contribution of body condition to synchronisation success.</w:t>
      </w:r>
    </w:p>
    <w:p w14:paraId="7760A8C0" w14:textId="77777777" w:rsidR="00C123A4" w:rsidRPr="00F12824" w:rsidRDefault="00C123A4" w:rsidP="00235F95">
      <w:pPr>
        <w:shd w:val="clear" w:color="auto" w:fill="FFFFFF"/>
        <w:spacing w:before="240" w:after="240" w:line="480" w:lineRule="auto"/>
        <w:jc w:val="both"/>
        <w:rPr>
          <w:rFonts w:ascii="Times New Roman" w:eastAsia="Times New Roman" w:hAnsi="Times New Roman" w:cs="Times New Roman"/>
          <w:color w:val="0F1115"/>
          <w:sz w:val="24"/>
          <w:szCs w:val="24"/>
          <w:lang w:val="en-IN" w:eastAsia="en-IN" w:bidi="ar-SA"/>
        </w:rPr>
      </w:pPr>
      <w:r w:rsidRPr="00F12824">
        <w:rPr>
          <w:rFonts w:ascii="Times New Roman" w:eastAsia="Times New Roman" w:hAnsi="Times New Roman"/>
          <w:sz w:val="24"/>
        </w:rPr>
        <w:t>Similarly, parity did not significantly affect treatment response. Although cows with parities 3-4 showed numerically higher conception rates than parity-2 cows, the difference was small and may have arisen from random variation. Additional studies with larger sample sizes are needed before drawing conclusions regarding parity-related effects.</w:t>
      </w:r>
    </w:p>
    <w:p w14:paraId="5236CFAD" w14:textId="77777777" w:rsidR="00C123A4" w:rsidRPr="00F12824" w:rsidRDefault="00C123A4" w:rsidP="00235F95">
      <w:pPr>
        <w:shd w:val="clear" w:color="auto" w:fill="FFFFFF"/>
        <w:spacing w:before="480" w:after="240" w:line="480" w:lineRule="auto"/>
        <w:outlineLvl w:val="2"/>
        <w:rPr>
          <w:rFonts w:ascii="Times New Roman" w:eastAsia="Times New Roman" w:hAnsi="Times New Roman" w:cs="Times New Roman"/>
          <w:b/>
          <w:bCs/>
          <w:color w:val="0F1115"/>
          <w:sz w:val="24"/>
          <w:szCs w:val="24"/>
          <w:lang w:val="en-IN" w:eastAsia="en-IN" w:bidi="ar-SA"/>
        </w:rPr>
      </w:pPr>
      <w:r w:rsidRPr="00F12824">
        <w:rPr>
          <w:rFonts w:ascii="Times New Roman" w:eastAsia="Times New Roman" w:hAnsi="Times New Roman" w:cs="Times New Roman"/>
          <w:b/>
          <w:bCs/>
          <w:color w:val="0F1115"/>
          <w:sz w:val="24"/>
          <w:szCs w:val="24"/>
          <w:lang w:val="en-IN" w:eastAsia="en-IN" w:bidi="ar-SA"/>
        </w:rPr>
        <w:t>Practical Relevance Under Smallholder Conditions</w:t>
      </w:r>
    </w:p>
    <w:p w14:paraId="1BC9F87E" w14:textId="77777777" w:rsidR="00C123A4" w:rsidRPr="00F12824" w:rsidRDefault="00C123A4" w:rsidP="00235F95">
      <w:pPr>
        <w:shd w:val="clear" w:color="auto" w:fill="FFFFFF"/>
        <w:spacing w:before="240" w:after="240" w:line="480" w:lineRule="auto"/>
        <w:jc w:val="both"/>
        <w:rPr>
          <w:rFonts w:ascii="Times New Roman" w:eastAsia="Times New Roman" w:hAnsi="Times New Roman" w:cs="Times New Roman"/>
          <w:color w:val="0F1115"/>
          <w:sz w:val="24"/>
          <w:szCs w:val="24"/>
          <w:lang w:val="en-IN" w:eastAsia="en-IN" w:bidi="ar-SA"/>
        </w:rPr>
      </w:pPr>
      <w:r w:rsidRPr="00F12824">
        <w:rPr>
          <w:rFonts w:ascii="Times New Roman" w:eastAsia="Times New Roman" w:hAnsi="Times New Roman"/>
          <w:sz w:val="24"/>
        </w:rPr>
        <w:t>Efficient oestrus detection remains a major limitation to reproductive management in smallholder dairy systems. Under the field conditions evaluated in the present study, both synchronisation protocols were associated with increased oestrus expression and facilitated breeding without complete reliance on spontaneous oestrus detection. This characteristic may be particularly valuable in production systems where labour availability and routine reproductive monitoring are limited.</w:t>
      </w:r>
    </w:p>
    <w:p w14:paraId="2E4EA8AE" w14:textId="77777777" w:rsidR="00C123A4" w:rsidRDefault="00C123A4" w:rsidP="00235F95">
      <w:pPr>
        <w:shd w:val="clear" w:color="auto" w:fill="FFFFFF"/>
        <w:spacing w:before="240" w:after="240" w:line="480" w:lineRule="auto"/>
        <w:jc w:val="both"/>
        <w:rPr>
          <w:rFonts w:ascii="Times New Roman" w:eastAsia="Times New Roman" w:hAnsi="Times New Roman"/>
          <w:sz w:val="24"/>
        </w:rPr>
      </w:pPr>
      <w:r w:rsidRPr="00F12824">
        <w:rPr>
          <w:rFonts w:ascii="Times New Roman" w:eastAsia="Times New Roman" w:hAnsi="Times New Roman"/>
          <w:sz w:val="24"/>
        </w:rPr>
        <w:t>The absence of significant year-to-year variation further suggests that the observed responses were reasonably consistent across the environmental conditions encountered during the study period. Nevertheless, the relatively small sample size and single-region study design limit broader extrapolation. Larger multicentric studies incorporating economic assessment, ultrasonographic monitoring and endocrine evaluation would help strengthen recommendations regarding protocol selection under diverse field conditions.</w:t>
      </w:r>
    </w:p>
    <w:p w14:paraId="0850ADE5" w14:textId="77777777" w:rsidR="00506A91" w:rsidRDefault="00506A91" w:rsidP="00235F95">
      <w:pPr>
        <w:shd w:val="clear" w:color="auto" w:fill="FFFFFF"/>
        <w:spacing w:before="240" w:after="240" w:line="480" w:lineRule="auto"/>
        <w:jc w:val="both"/>
        <w:rPr>
          <w:rFonts w:ascii="Times New Roman" w:eastAsia="Times New Roman" w:hAnsi="Times New Roman"/>
          <w:sz w:val="24"/>
        </w:rPr>
      </w:pPr>
    </w:p>
    <w:p w14:paraId="1EAD48C3" w14:textId="77777777" w:rsidR="00506A91" w:rsidRPr="00F12824" w:rsidRDefault="00506A91" w:rsidP="00235F95">
      <w:pPr>
        <w:shd w:val="clear" w:color="auto" w:fill="FFFFFF"/>
        <w:spacing w:before="240" w:after="240" w:line="480" w:lineRule="auto"/>
        <w:jc w:val="both"/>
        <w:rPr>
          <w:rFonts w:ascii="Times New Roman" w:eastAsia="Times New Roman" w:hAnsi="Times New Roman" w:cs="Times New Roman"/>
          <w:color w:val="0F1115"/>
          <w:sz w:val="24"/>
          <w:szCs w:val="24"/>
          <w:lang w:val="en-IN" w:eastAsia="en-IN" w:bidi="ar-SA"/>
        </w:rPr>
      </w:pPr>
    </w:p>
    <w:p w14:paraId="1AA9E9D0" w14:textId="77777777" w:rsidR="00C56831" w:rsidRPr="00F12824" w:rsidRDefault="00C56831" w:rsidP="00235F95">
      <w:pPr>
        <w:spacing w:before="100" w:beforeAutospacing="1" w:after="100" w:afterAutospacing="1" w:line="480" w:lineRule="auto"/>
        <w:rPr>
          <w:rFonts w:ascii="Times New Roman" w:eastAsia="Times New Roman" w:hAnsi="Times New Roman" w:cs="Times New Roman"/>
          <w:sz w:val="24"/>
          <w:szCs w:val="24"/>
          <w:lang w:bidi="bn-IN"/>
        </w:rPr>
      </w:pPr>
      <w:r w:rsidRPr="00F12824">
        <w:rPr>
          <w:rFonts w:ascii="Times New Roman" w:eastAsia="Times New Roman" w:hAnsi="Times New Roman" w:cs="Times New Roman"/>
          <w:b/>
          <w:bCs/>
          <w:sz w:val="24"/>
          <w:szCs w:val="24"/>
          <w:lang w:bidi="bn-IN"/>
        </w:rPr>
        <w:t>Conclusion</w:t>
      </w:r>
    </w:p>
    <w:p w14:paraId="37A1817B" w14:textId="57E1192E" w:rsidR="00C56831" w:rsidRPr="00F12824" w:rsidRDefault="00C56831" w:rsidP="00235F95">
      <w:pPr>
        <w:spacing w:before="100" w:beforeAutospacing="1" w:after="100" w:afterAutospacing="1" w:line="480" w:lineRule="auto"/>
        <w:jc w:val="both"/>
        <w:rPr>
          <w:rFonts w:ascii="Times New Roman" w:eastAsia="Times New Roman" w:hAnsi="Times New Roman" w:cs="Times New Roman"/>
          <w:sz w:val="24"/>
          <w:szCs w:val="24"/>
          <w:lang w:bidi="bn-IN"/>
        </w:rPr>
      </w:pPr>
      <w:r w:rsidRPr="00F12824">
        <w:rPr>
          <w:rFonts w:ascii="Times New Roman" w:eastAsia="Times New Roman" w:hAnsi="Times New Roman"/>
          <w:sz w:val="24"/>
        </w:rPr>
        <w:t xml:space="preserve">This field study evaluated the reproductive performance of Ovsynch and Heatsynch synchronisation protocols in postpartum anoestrous crossbred cows maintained under smallholder dairy production conditions. Both protocols were associated with improved oestrus response compared with supportive management alone. Oestrus response was highest in the Ovsynch group, followed by the Heatsynch and control groups. Conception rate was also numerically higher in cows treated with synchronisation protocols than in cows receiving supportive management, although conception outcomes did not differ significantly between the </w:t>
      </w:r>
      <w:proofErr w:type="spellStart"/>
      <w:r w:rsidRPr="00F12824">
        <w:rPr>
          <w:rFonts w:ascii="Times New Roman" w:eastAsia="Times New Roman" w:hAnsi="Times New Roman"/>
          <w:sz w:val="24"/>
        </w:rPr>
        <w:t>Ovsynch</w:t>
      </w:r>
      <w:proofErr w:type="spellEnd"/>
      <w:r w:rsidRPr="00F12824">
        <w:rPr>
          <w:rFonts w:ascii="Times New Roman" w:eastAsia="Times New Roman" w:hAnsi="Times New Roman"/>
          <w:sz w:val="24"/>
        </w:rPr>
        <w:t xml:space="preserve"> and </w:t>
      </w:r>
      <w:proofErr w:type="spellStart"/>
      <w:r w:rsidRPr="00F12824">
        <w:rPr>
          <w:rFonts w:ascii="Times New Roman" w:eastAsia="Times New Roman" w:hAnsi="Times New Roman"/>
          <w:sz w:val="24"/>
        </w:rPr>
        <w:t>Heatsynch</w:t>
      </w:r>
      <w:proofErr w:type="spellEnd"/>
      <w:r w:rsidRPr="00F12824">
        <w:rPr>
          <w:rFonts w:ascii="Times New Roman" w:eastAsia="Times New Roman" w:hAnsi="Times New Roman"/>
          <w:sz w:val="24"/>
        </w:rPr>
        <w:t xml:space="preserve"> groups.</w:t>
      </w:r>
      <w:r w:rsidR="00631520">
        <w:rPr>
          <w:rFonts w:ascii="Times New Roman" w:eastAsia="Times New Roman" w:hAnsi="Times New Roman" w:cs="Times New Roman"/>
          <w:sz w:val="24"/>
          <w:szCs w:val="24"/>
          <w:lang w:bidi="bn-IN"/>
        </w:rPr>
        <w:t xml:space="preserve"> </w:t>
      </w:r>
      <w:r w:rsidRPr="00F12824">
        <w:rPr>
          <w:rFonts w:ascii="Times New Roman" w:eastAsia="Times New Roman" w:hAnsi="Times New Roman"/>
          <w:sz w:val="24"/>
        </w:rPr>
        <w:t>The findings suggest that hormonal synchronisation may help improve breeding management in postpartum anoestrous cows where reliable oestrus detection is difficult. Ovsynch and Heatsynch both appear to be practical options under field conditions, provided that animals are appropriately selected and handled by trained personnel. Body condition and parity showed numerical trends in reproductive performance, but these effects were not statistically significant in the present study. Overall, the findings provide field-based evidence supporting the use of synchronisation protocols in smallholder dairy systems, while emphasising the need for cautious interpretation because of the limited sample size and absence of detailed physiological monitoring.</w:t>
      </w:r>
    </w:p>
    <w:p w14:paraId="49F12E70" w14:textId="77777777" w:rsidR="00C56831" w:rsidRPr="00F12824" w:rsidRDefault="00C56831" w:rsidP="00235F95">
      <w:pPr>
        <w:spacing w:before="100" w:beforeAutospacing="1" w:after="100" w:afterAutospacing="1" w:line="480" w:lineRule="auto"/>
        <w:jc w:val="both"/>
        <w:rPr>
          <w:rFonts w:ascii="Times New Roman" w:eastAsia="Times New Roman" w:hAnsi="Times New Roman" w:cs="Times New Roman"/>
          <w:sz w:val="24"/>
          <w:szCs w:val="24"/>
          <w:lang w:bidi="bn-IN"/>
        </w:rPr>
      </w:pPr>
      <w:r w:rsidRPr="00F12824">
        <w:rPr>
          <w:rFonts w:ascii="Times New Roman" w:eastAsia="Times New Roman" w:hAnsi="Times New Roman" w:cs="Times New Roman"/>
          <w:b/>
          <w:bCs/>
          <w:sz w:val="24"/>
          <w:szCs w:val="24"/>
          <w:lang w:bidi="bn-IN"/>
        </w:rPr>
        <w:t>Limitations</w:t>
      </w:r>
    </w:p>
    <w:p w14:paraId="448F67F6" w14:textId="77777777" w:rsidR="00C56831" w:rsidRPr="00F12824" w:rsidRDefault="00C56831" w:rsidP="00235F95">
      <w:pPr>
        <w:spacing w:before="100" w:beforeAutospacing="1" w:after="100" w:afterAutospacing="1" w:line="480" w:lineRule="auto"/>
        <w:jc w:val="both"/>
        <w:rPr>
          <w:rFonts w:ascii="Times New Roman" w:eastAsia="Times New Roman" w:hAnsi="Times New Roman" w:cs="Times New Roman"/>
          <w:sz w:val="24"/>
          <w:szCs w:val="24"/>
          <w:lang w:bidi="bn-IN"/>
        </w:rPr>
      </w:pPr>
      <w:r w:rsidRPr="00F12824">
        <w:rPr>
          <w:rFonts w:ascii="Times New Roman" w:eastAsia="Times New Roman" w:hAnsi="Times New Roman"/>
          <w:sz w:val="24"/>
        </w:rPr>
        <w:t xml:space="preserve">This study had a relatively small sample size, with 20 cows in each group, which limited precision and reduced power for subgroup analyses. The single-region field design may restrict </w:t>
      </w:r>
      <w:r w:rsidRPr="00F12824">
        <w:rPr>
          <w:rFonts w:ascii="Times New Roman" w:eastAsia="Times New Roman" w:hAnsi="Times New Roman"/>
          <w:sz w:val="24"/>
        </w:rPr>
        <w:lastRenderedPageBreak/>
        <w:t>wider applicability. Ovarian follicular dynamics, endocrine profiles and metabolic parameters were not evaluated, so the physiological basis of the responses could not be confirmed. Pregnancy diagnosis at 60-90 days post-AI did not assess early embryonic loss. Economic feasibility for smallholder farmers was also not examined; larger multicentric studies with physiological monitoring and cost-benefit analysis are needed.</w:t>
      </w:r>
    </w:p>
    <w:p w14:paraId="4C942A13" w14:textId="77777777" w:rsidR="00C4573F" w:rsidRPr="00F12824" w:rsidRDefault="00C4573F" w:rsidP="00235F95">
      <w:pPr>
        <w:spacing w:line="480" w:lineRule="auto"/>
        <w:jc w:val="both"/>
        <w:rPr>
          <w:rFonts w:ascii="Times New Roman" w:hAnsi="Times New Roman" w:cs="Times New Roman"/>
          <w:b/>
          <w:bCs/>
          <w:sz w:val="24"/>
          <w:szCs w:val="22"/>
        </w:rPr>
      </w:pPr>
      <w:r w:rsidRPr="00F12824">
        <w:rPr>
          <w:rFonts w:ascii="Times New Roman" w:eastAsia="Times New Roman" w:hAnsi="Times New Roman" w:cs="Times New Roman"/>
          <w:b/>
          <w:bCs/>
          <w:sz w:val="24"/>
          <w:szCs w:val="22"/>
        </w:rPr>
        <w:t>Ethics approval</w:t>
      </w:r>
    </w:p>
    <w:p w14:paraId="44E8C916" w14:textId="217CF2E8" w:rsidR="0032306E" w:rsidRDefault="0032306E" w:rsidP="00235F95">
      <w:pPr>
        <w:spacing w:line="480" w:lineRule="auto"/>
        <w:jc w:val="both"/>
        <w:rPr>
          <w:rFonts w:ascii="Times New Roman" w:eastAsia="Times New Roman" w:hAnsi="Times New Roman" w:cs="Times New Roman"/>
          <w:sz w:val="24"/>
          <w:szCs w:val="22"/>
        </w:rPr>
      </w:pPr>
      <w:r w:rsidRPr="0032306E">
        <w:rPr>
          <w:rFonts w:ascii="Times New Roman" w:eastAsia="Times New Roman" w:hAnsi="Times New Roman" w:cs="Times New Roman"/>
          <w:sz w:val="24"/>
          <w:szCs w:val="22"/>
        </w:rPr>
        <w:t>Animal Ethic committee approval has been collected and preserved by the author(s)</w:t>
      </w:r>
    </w:p>
    <w:p w14:paraId="4F22D107" w14:textId="24BB6A46" w:rsidR="00943AB3" w:rsidRPr="008D385A" w:rsidRDefault="00943AB3" w:rsidP="00235F95">
      <w:pPr>
        <w:spacing w:line="480" w:lineRule="auto"/>
        <w:jc w:val="both"/>
        <w:rPr>
          <w:rFonts w:ascii="Times New Roman" w:hAnsi="Times New Roman" w:cs="Times New Roman"/>
          <w:b/>
          <w:bCs/>
          <w:sz w:val="24"/>
          <w:szCs w:val="22"/>
        </w:rPr>
      </w:pPr>
      <w:r w:rsidRPr="008D385A">
        <w:rPr>
          <w:rFonts w:ascii="Times New Roman" w:eastAsia="Times New Roman" w:hAnsi="Times New Roman" w:cs="Times New Roman"/>
          <w:b/>
          <w:bCs/>
          <w:sz w:val="24"/>
          <w:szCs w:val="22"/>
        </w:rPr>
        <w:t>COMPETING INTERESTS:</w:t>
      </w:r>
    </w:p>
    <w:p w14:paraId="05B9E00C" w14:textId="77777777" w:rsidR="00943AB3" w:rsidRPr="00F12824" w:rsidRDefault="00943AB3" w:rsidP="00235F95">
      <w:pPr>
        <w:spacing w:line="480" w:lineRule="auto"/>
        <w:jc w:val="both"/>
        <w:rPr>
          <w:rFonts w:ascii="Times New Roman" w:hAnsi="Times New Roman" w:cs="Times New Roman"/>
          <w:sz w:val="24"/>
          <w:szCs w:val="22"/>
        </w:rPr>
      </w:pPr>
      <w:r w:rsidRPr="00F12824">
        <w:rPr>
          <w:rFonts w:ascii="Times New Roman" w:eastAsia="Times New Roman" w:hAnsi="Times New Roman" w:cs="Times New Roman"/>
          <w:sz w:val="24"/>
          <w:szCs w:val="22"/>
        </w:rPr>
        <w:t>Authors have declared that they have no known competing financial interests OR non-financial interests OR personal relationships that could have appeared to influence the work reported in this paper.</w:t>
      </w:r>
    </w:p>
    <w:p w14:paraId="46D4F26B" w14:textId="77777777" w:rsidR="007C234A" w:rsidRPr="008D385A" w:rsidRDefault="007C234A" w:rsidP="00235F95">
      <w:pPr>
        <w:spacing w:line="480" w:lineRule="auto"/>
        <w:jc w:val="both"/>
        <w:rPr>
          <w:rFonts w:ascii="Times New Roman" w:hAnsi="Times New Roman" w:cs="Times New Roman"/>
          <w:b/>
          <w:bCs/>
          <w:sz w:val="24"/>
          <w:szCs w:val="22"/>
        </w:rPr>
      </w:pPr>
      <w:r w:rsidRPr="008D385A">
        <w:rPr>
          <w:rFonts w:ascii="Times New Roman" w:eastAsia="Times New Roman" w:hAnsi="Times New Roman" w:cs="Times New Roman"/>
          <w:b/>
          <w:bCs/>
          <w:sz w:val="24"/>
          <w:szCs w:val="22"/>
        </w:rPr>
        <w:t>Declaration of AI Use</w:t>
      </w:r>
    </w:p>
    <w:p w14:paraId="7264C657" w14:textId="77777777" w:rsidR="007C234A" w:rsidRPr="00F12824" w:rsidRDefault="007C234A" w:rsidP="00235F95">
      <w:pPr>
        <w:spacing w:line="480" w:lineRule="auto"/>
        <w:jc w:val="both"/>
        <w:rPr>
          <w:rFonts w:ascii="Times New Roman" w:hAnsi="Times New Roman" w:cs="Times New Roman"/>
          <w:sz w:val="24"/>
          <w:szCs w:val="22"/>
        </w:rPr>
      </w:pPr>
      <w:r w:rsidRPr="00F12824">
        <w:rPr>
          <w:rFonts w:ascii="Times New Roman" w:eastAsia="Times New Roman" w:hAnsi="Times New Roman"/>
          <w:sz w:val="24"/>
        </w:rPr>
        <w:t>This manuscript was prepared through the combined contributions of all author(s), including contributions to study design, data collection,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F19DEC9" w14:textId="77777777" w:rsidR="007C234A" w:rsidRPr="00F12824" w:rsidRDefault="007C234A" w:rsidP="00235F95">
      <w:pPr>
        <w:spacing w:line="480" w:lineRule="auto"/>
        <w:jc w:val="both"/>
        <w:rPr>
          <w:rFonts w:ascii="Times New Roman" w:hAnsi="Times New Roman" w:cs="Times New Roman"/>
          <w:sz w:val="24"/>
          <w:szCs w:val="22"/>
        </w:rPr>
      </w:pPr>
    </w:p>
    <w:p w14:paraId="3E847D24" w14:textId="77777777" w:rsidR="00517CFA" w:rsidRDefault="00647127" w:rsidP="00235F95">
      <w:pPr>
        <w:spacing w:line="480" w:lineRule="auto"/>
        <w:rPr>
          <w:rFonts w:ascii="Times New Roman" w:eastAsia="Times New Roman" w:hAnsi="Times New Roman" w:cs="Times New Roman"/>
          <w:b/>
          <w:bCs/>
          <w:sz w:val="24"/>
          <w:szCs w:val="22"/>
        </w:rPr>
      </w:pPr>
      <w:r w:rsidRPr="00F12824">
        <w:rPr>
          <w:rFonts w:ascii="Times New Roman" w:eastAsia="Times New Roman" w:hAnsi="Times New Roman" w:cs="Times New Roman"/>
          <w:b/>
          <w:bCs/>
          <w:sz w:val="24"/>
          <w:szCs w:val="22"/>
        </w:rPr>
        <w:lastRenderedPageBreak/>
        <w:t>Reference</w:t>
      </w:r>
      <w:r w:rsidR="000A713E" w:rsidRPr="00F12824">
        <w:rPr>
          <w:rFonts w:ascii="Times New Roman" w:eastAsia="Times New Roman" w:hAnsi="Times New Roman" w:cs="Times New Roman"/>
          <w:b/>
          <w:bCs/>
          <w:sz w:val="24"/>
          <w:szCs w:val="22"/>
        </w:rPr>
        <w:t>s</w:t>
      </w:r>
    </w:p>
    <w:p w14:paraId="4161EC37" w14:textId="7C78C9DC" w:rsidR="009A1CCE" w:rsidRPr="009A1CCE" w:rsidRDefault="009A1CCE" w:rsidP="009A1CCE">
      <w:pPr>
        <w:spacing w:after="0" w:line="240" w:lineRule="auto"/>
        <w:rPr>
          <w:rFonts w:ascii="Times New Roman" w:eastAsia="Times New Roman" w:hAnsi="Times New Roman" w:cs="Times New Roman"/>
          <w:sz w:val="24"/>
          <w:szCs w:val="24"/>
          <w:lang w:bidi="ar-SA"/>
        </w:rPr>
      </w:pPr>
      <w:r w:rsidRPr="009A1CCE">
        <w:rPr>
          <w:rFonts w:ascii="Times New Roman" w:eastAsia="Times New Roman" w:hAnsi="Symbol" w:cs="Times New Roman"/>
          <w:sz w:val="24"/>
          <w:szCs w:val="24"/>
          <w:lang w:bidi="ar-SA"/>
        </w:rPr>
        <w:t></w:t>
      </w:r>
      <w:r w:rsidRPr="009A1CCE">
        <w:rPr>
          <w:rFonts w:ascii="Times New Roman" w:eastAsia="Times New Roman" w:hAnsi="Times New Roman" w:cs="Times New Roman"/>
          <w:sz w:val="24"/>
          <w:szCs w:val="24"/>
          <w:lang w:bidi="ar-SA"/>
        </w:rPr>
        <w:t xml:space="preserve">  Ammu, R., Dhami, A. J., </w:t>
      </w:r>
      <w:proofErr w:type="spellStart"/>
      <w:r w:rsidRPr="009A1CCE">
        <w:rPr>
          <w:rFonts w:ascii="Times New Roman" w:eastAsia="Times New Roman" w:hAnsi="Times New Roman" w:cs="Times New Roman"/>
          <w:sz w:val="24"/>
          <w:szCs w:val="24"/>
          <w:lang w:bidi="ar-SA"/>
        </w:rPr>
        <w:t>Naikoo</w:t>
      </w:r>
      <w:proofErr w:type="spellEnd"/>
      <w:r w:rsidRPr="009A1CCE">
        <w:rPr>
          <w:rFonts w:ascii="Times New Roman" w:eastAsia="Times New Roman" w:hAnsi="Times New Roman" w:cs="Times New Roman"/>
          <w:sz w:val="24"/>
          <w:szCs w:val="24"/>
          <w:lang w:bidi="ar-SA"/>
        </w:rPr>
        <w:t xml:space="preserve">, M., Parmar, B. C., &amp; Divekar, B. S. (2012). Estrus induction and fertility response in postpartum </w:t>
      </w:r>
      <w:proofErr w:type="spellStart"/>
      <w:r w:rsidRPr="009A1CCE">
        <w:rPr>
          <w:rFonts w:ascii="Times New Roman" w:eastAsia="Times New Roman" w:hAnsi="Times New Roman" w:cs="Times New Roman"/>
          <w:sz w:val="24"/>
          <w:szCs w:val="24"/>
          <w:lang w:bidi="ar-SA"/>
        </w:rPr>
        <w:t>anoestrus</w:t>
      </w:r>
      <w:proofErr w:type="spellEnd"/>
      <w:r w:rsidRPr="009A1CCE">
        <w:rPr>
          <w:rFonts w:ascii="Times New Roman" w:eastAsia="Times New Roman" w:hAnsi="Times New Roman" w:cs="Times New Roman"/>
          <w:sz w:val="24"/>
          <w:szCs w:val="24"/>
          <w:lang w:bidi="ar-SA"/>
        </w:rPr>
        <w:t xml:space="preserve"> Gir cows. </w:t>
      </w:r>
      <w:r w:rsidRPr="009A1CCE">
        <w:rPr>
          <w:rFonts w:ascii="Times New Roman" w:eastAsia="Times New Roman" w:hAnsi="Times New Roman" w:cs="Times New Roman"/>
          <w:i/>
          <w:iCs/>
          <w:sz w:val="24"/>
          <w:szCs w:val="24"/>
          <w:lang w:bidi="ar-SA"/>
        </w:rPr>
        <w:t>Indian Journal of Animal Reproduction, 33</w:t>
      </w:r>
      <w:r w:rsidRPr="009A1CCE">
        <w:rPr>
          <w:rFonts w:ascii="Times New Roman" w:eastAsia="Times New Roman" w:hAnsi="Times New Roman" w:cs="Times New Roman"/>
          <w:sz w:val="24"/>
          <w:szCs w:val="24"/>
          <w:lang w:bidi="ar-SA"/>
        </w:rPr>
        <w:t xml:space="preserve">(1), 37–42. </w:t>
      </w:r>
    </w:p>
    <w:p w14:paraId="64AFCC06" w14:textId="77777777" w:rsidR="009A1CCE" w:rsidRPr="009A1CCE" w:rsidRDefault="009A1CCE" w:rsidP="009A1CCE">
      <w:pPr>
        <w:spacing w:after="0" w:line="240" w:lineRule="auto"/>
        <w:rPr>
          <w:rFonts w:ascii="Times New Roman" w:eastAsia="Times New Roman" w:hAnsi="Times New Roman" w:cs="Times New Roman"/>
          <w:sz w:val="24"/>
          <w:szCs w:val="24"/>
          <w:lang w:bidi="ar-SA"/>
        </w:rPr>
      </w:pPr>
      <w:r w:rsidRPr="009A1CCE">
        <w:rPr>
          <w:rFonts w:ascii="Times New Roman" w:eastAsia="Times New Roman" w:hAnsi="Symbol" w:cs="Times New Roman"/>
          <w:sz w:val="24"/>
          <w:szCs w:val="24"/>
          <w:lang w:bidi="ar-SA"/>
        </w:rPr>
        <w:t></w:t>
      </w:r>
      <w:r w:rsidRPr="009A1CCE">
        <w:rPr>
          <w:rFonts w:ascii="Times New Roman" w:eastAsia="Times New Roman" w:hAnsi="Times New Roman" w:cs="Times New Roman"/>
          <w:sz w:val="24"/>
          <w:szCs w:val="24"/>
          <w:lang w:bidi="ar-SA"/>
        </w:rPr>
        <w:t xml:space="preserve">  </w:t>
      </w:r>
      <w:proofErr w:type="spellStart"/>
      <w:r w:rsidRPr="009A1CCE">
        <w:rPr>
          <w:rFonts w:ascii="Times New Roman" w:eastAsia="Times New Roman" w:hAnsi="Times New Roman" w:cs="Times New Roman"/>
          <w:sz w:val="24"/>
          <w:szCs w:val="24"/>
          <w:lang w:bidi="ar-SA"/>
        </w:rPr>
        <w:t>Ambarcioglu</w:t>
      </w:r>
      <w:proofErr w:type="spellEnd"/>
      <w:r w:rsidRPr="009A1CCE">
        <w:rPr>
          <w:rFonts w:ascii="Times New Roman" w:eastAsia="Times New Roman" w:hAnsi="Times New Roman" w:cs="Times New Roman"/>
          <w:sz w:val="24"/>
          <w:szCs w:val="24"/>
          <w:lang w:bidi="ar-SA"/>
        </w:rPr>
        <w:t xml:space="preserve">, P., Mavridis, D., </w:t>
      </w:r>
      <w:proofErr w:type="spellStart"/>
      <w:r w:rsidRPr="009A1CCE">
        <w:rPr>
          <w:rFonts w:ascii="Times New Roman" w:eastAsia="Times New Roman" w:hAnsi="Times New Roman" w:cs="Times New Roman"/>
          <w:sz w:val="24"/>
          <w:szCs w:val="24"/>
          <w:lang w:bidi="ar-SA"/>
        </w:rPr>
        <w:t>Yazlik</w:t>
      </w:r>
      <w:proofErr w:type="spellEnd"/>
      <w:r w:rsidRPr="009A1CCE">
        <w:rPr>
          <w:rFonts w:ascii="Times New Roman" w:eastAsia="Times New Roman" w:hAnsi="Times New Roman" w:cs="Times New Roman"/>
          <w:sz w:val="24"/>
          <w:szCs w:val="24"/>
          <w:lang w:bidi="ar-SA"/>
        </w:rPr>
        <w:t xml:space="preserve">, M. O., Vural, R., </w:t>
      </w:r>
      <w:proofErr w:type="spellStart"/>
      <w:r w:rsidRPr="009A1CCE">
        <w:rPr>
          <w:rFonts w:ascii="Times New Roman" w:eastAsia="Times New Roman" w:hAnsi="Times New Roman" w:cs="Times New Roman"/>
          <w:sz w:val="24"/>
          <w:szCs w:val="24"/>
          <w:lang w:bidi="ar-SA"/>
        </w:rPr>
        <w:t>Akcil</w:t>
      </w:r>
      <w:proofErr w:type="spellEnd"/>
      <w:r w:rsidRPr="009A1CCE">
        <w:rPr>
          <w:rFonts w:ascii="Times New Roman" w:eastAsia="Times New Roman" w:hAnsi="Times New Roman" w:cs="Times New Roman"/>
          <w:sz w:val="24"/>
          <w:szCs w:val="24"/>
          <w:lang w:bidi="ar-SA"/>
        </w:rPr>
        <w:t xml:space="preserve"> Ok, M. M., &amp; Gürcan, S. (2023). Comparison of </w:t>
      </w:r>
      <w:proofErr w:type="spellStart"/>
      <w:r w:rsidRPr="009A1CCE">
        <w:rPr>
          <w:rFonts w:ascii="Times New Roman" w:eastAsia="Times New Roman" w:hAnsi="Times New Roman" w:cs="Times New Roman"/>
          <w:sz w:val="24"/>
          <w:szCs w:val="24"/>
          <w:lang w:bidi="ar-SA"/>
        </w:rPr>
        <w:t>synchronisation</w:t>
      </w:r>
      <w:proofErr w:type="spellEnd"/>
      <w:r w:rsidRPr="009A1CCE">
        <w:rPr>
          <w:rFonts w:ascii="Times New Roman" w:eastAsia="Times New Roman" w:hAnsi="Times New Roman" w:cs="Times New Roman"/>
          <w:sz w:val="24"/>
          <w:szCs w:val="24"/>
          <w:lang w:bidi="ar-SA"/>
        </w:rPr>
        <w:t xml:space="preserve"> protocols on pregnancy rate in dairy cows and heifers: A systematic review and network meta-analysis. </w:t>
      </w:r>
      <w:r w:rsidRPr="009A1CCE">
        <w:rPr>
          <w:rFonts w:ascii="Times New Roman" w:eastAsia="Times New Roman" w:hAnsi="Times New Roman" w:cs="Times New Roman"/>
          <w:i/>
          <w:iCs/>
          <w:sz w:val="24"/>
          <w:szCs w:val="24"/>
          <w:lang w:bidi="ar-SA"/>
        </w:rPr>
        <w:t>Journal of the Hellenic Veterinary Medical Society, 74</w:t>
      </w:r>
      <w:r w:rsidRPr="009A1CCE">
        <w:rPr>
          <w:rFonts w:ascii="Times New Roman" w:eastAsia="Times New Roman" w:hAnsi="Times New Roman" w:cs="Times New Roman"/>
          <w:sz w:val="24"/>
          <w:szCs w:val="24"/>
          <w:lang w:bidi="ar-SA"/>
        </w:rPr>
        <w:t xml:space="preserve">(2), 5657–5666. </w:t>
      </w:r>
      <w:hyperlink r:id="rId9" w:history="1">
        <w:r w:rsidRPr="009A1CCE">
          <w:rPr>
            <w:rFonts w:ascii="Times New Roman" w:eastAsia="Times New Roman" w:hAnsi="Times New Roman" w:cs="Times New Roman"/>
            <w:color w:val="0000FF"/>
            <w:sz w:val="24"/>
            <w:szCs w:val="24"/>
            <w:u w:val="single"/>
            <w:lang w:bidi="ar-SA"/>
          </w:rPr>
          <w:t>https://doi.org/10.12681/jhvms.29829</w:t>
        </w:r>
      </w:hyperlink>
    </w:p>
    <w:p w14:paraId="4732FE69" w14:textId="77777777" w:rsidR="009A1CCE" w:rsidRPr="009A1CCE" w:rsidRDefault="009A1CCE" w:rsidP="009A1CCE">
      <w:pPr>
        <w:spacing w:after="0" w:line="240" w:lineRule="auto"/>
        <w:rPr>
          <w:rFonts w:ascii="Times New Roman" w:eastAsia="Times New Roman" w:hAnsi="Times New Roman" w:cs="Times New Roman"/>
          <w:sz w:val="24"/>
          <w:szCs w:val="24"/>
          <w:lang w:bidi="ar-SA"/>
        </w:rPr>
      </w:pPr>
      <w:r w:rsidRPr="009A1CCE">
        <w:rPr>
          <w:rFonts w:ascii="Times New Roman" w:eastAsia="Times New Roman" w:hAnsi="Symbol" w:cs="Times New Roman"/>
          <w:sz w:val="24"/>
          <w:szCs w:val="24"/>
          <w:lang w:bidi="ar-SA"/>
        </w:rPr>
        <w:t></w:t>
      </w:r>
      <w:r w:rsidRPr="009A1CCE">
        <w:rPr>
          <w:rFonts w:ascii="Times New Roman" w:eastAsia="Times New Roman" w:hAnsi="Times New Roman" w:cs="Times New Roman"/>
          <w:sz w:val="24"/>
          <w:szCs w:val="24"/>
          <w:lang w:bidi="ar-SA"/>
        </w:rPr>
        <w:t xml:space="preserve">  Arya, D., Goswami, R., &amp; Sharma, M. (2023). Estrous synchronization in cattle, sheep and goat. </w:t>
      </w:r>
      <w:r w:rsidRPr="009A1CCE">
        <w:rPr>
          <w:rFonts w:ascii="Times New Roman" w:eastAsia="Times New Roman" w:hAnsi="Times New Roman" w:cs="Times New Roman"/>
          <w:i/>
          <w:iCs/>
          <w:sz w:val="24"/>
          <w:szCs w:val="24"/>
          <w:lang w:bidi="ar-SA"/>
        </w:rPr>
        <w:t>Multidisciplinary Reviews, 6</w:t>
      </w:r>
      <w:r w:rsidRPr="009A1CCE">
        <w:rPr>
          <w:rFonts w:ascii="Times New Roman" w:eastAsia="Times New Roman" w:hAnsi="Times New Roman" w:cs="Times New Roman"/>
          <w:sz w:val="24"/>
          <w:szCs w:val="24"/>
          <w:lang w:bidi="ar-SA"/>
        </w:rPr>
        <w:t xml:space="preserve">(1), Article 2023001. </w:t>
      </w:r>
      <w:hyperlink r:id="rId10" w:history="1">
        <w:r w:rsidRPr="009A1CCE">
          <w:rPr>
            <w:rFonts w:ascii="Times New Roman" w:eastAsia="Times New Roman" w:hAnsi="Times New Roman" w:cs="Times New Roman"/>
            <w:color w:val="0000FF"/>
            <w:sz w:val="24"/>
            <w:szCs w:val="24"/>
            <w:u w:val="single"/>
            <w:lang w:bidi="ar-SA"/>
          </w:rPr>
          <w:t>https://doi.org/10.31893/multirev.2023001</w:t>
        </w:r>
      </w:hyperlink>
    </w:p>
    <w:p w14:paraId="0A56E222" w14:textId="77777777" w:rsidR="009A1CCE" w:rsidRPr="009A1CCE" w:rsidRDefault="009A1CCE" w:rsidP="009A1CCE">
      <w:pPr>
        <w:spacing w:after="0" w:line="240" w:lineRule="auto"/>
        <w:rPr>
          <w:rFonts w:ascii="Times New Roman" w:eastAsia="Times New Roman" w:hAnsi="Times New Roman" w:cs="Times New Roman"/>
          <w:sz w:val="24"/>
          <w:szCs w:val="24"/>
          <w:lang w:bidi="ar-SA"/>
        </w:rPr>
      </w:pPr>
      <w:r w:rsidRPr="009A1CCE">
        <w:rPr>
          <w:rFonts w:ascii="Times New Roman" w:eastAsia="Times New Roman" w:hAnsi="Symbol" w:cs="Times New Roman"/>
          <w:sz w:val="24"/>
          <w:szCs w:val="24"/>
          <w:lang w:bidi="ar-SA"/>
        </w:rPr>
        <w:t></w:t>
      </w:r>
      <w:r w:rsidRPr="009A1CCE">
        <w:rPr>
          <w:rFonts w:ascii="Times New Roman" w:eastAsia="Times New Roman" w:hAnsi="Times New Roman" w:cs="Times New Roman"/>
          <w:sz w:val="24"/>
          <w:szCs w:val="24"/>
          <w:lang w:bidi="ar-SA"/>
        </w:rPr>
        <w:t xml:space="preserve">  </w:t>
      </w:r>
      <w:proofErr w:type="spellStart"/>
      <w:r w:rsidRPr="009A1CCE">
        <w:rPr>
          <w:rFonts w:ascii="Times New Roman" w:eastAsia="Times New Roman" w:hAnsi="Times New Roman" w:cs="Times New Roman"/>
          <w:sz w:val="24"/>
          <w:szCs w:val="24"/>
          <w:lang w:bidi="ar-SA"/>
        </w:rPr>
        <w:t>Ayantoye</w:t>
      </w:r>
      <w:proofErr w:type="spellEnd"/>
      <w:r w:rsidRPr="009A1CCE">
        <w:rPr>
          <w:rFonts w:ascii="Times New Roman" w:eastAsia="Times New Roman" w:hAnsi="Times New Roman" w:cs="Times New Roman"/>
          <w:sz w:val="24"/>
          <w:szCs w:val="24"/>
          <w:lang w:bidi="ar-SA"/>
        </w:rPr>
        <w:t xml:space="preserve">, J. O., </w:t>
      </w:r>
      <w:proofErr w:type="spellStart"/>
      <w:r w:rsidRPr="009A1CCE">
        <w:rPr>
          <w:rFonts w:ascii="Times New Roman" w:eastAsia="Times New Roman" w:hAnsi="Times New Roman" w:cs="Times New Roman"/>
          <w:sz w:val="24"/>
          <w:szCs w:val="24"/>
          <w:lang w:bidi="ar-SA"/>
        </w:rPr>
        <w:t>Kolachi</w:t>
      </w:r>
      <w:proofErr w:type="spellEnd"/>
      <w:r w:rsidRPr="009A1CCE">
        <w:rPr>
          <w:rFonts w:ascii="Times New Roman" w:eastAsia="Times New Roman" w:hAnsi="Times New Roman" w:cs="Times New Roman"/>
          <w:sz w:val="24"/>
          <w:szCs w:val="24"/>
          <w:lang w:bidi="ar-SA"/>
        </w:rPr>
        <w:t xml:space="preserve">, H. A., Zhang, X., Shahzad, M., Kandil, O. M. T., Wan, P., &amp; Zhao, X. (2025). Advances in timed artificial insemination: Integrating omics technologies for enhanced reproductive efficiency in dairy cattle. </w:t>
      </w:r>
      <w:r w:rsidRPr="009A1CCE">
        <w:rPr>
          <w:rFonts w:ascii="Times New Roman" w:eastAsia="Times New Roman" w:hAnsi="Times New Roman" w:cs="Times New Roman"/>
          <w:i/>
          <w:iCs/>
          <w:sz w:val="24"/>
          <w:szCs w:val="24"/>
          <w:lang w:bidi="ar-SA"/>
        </w:rPr>
        <w:t>Animals, 15</w:t>
      </w:r>
      <w:r w:rsidRPr="009A1CCE">
        <w:rPr>
          <w:rFonts w:ascii="Times New Roman" w:eastAsia="Times New Roman" w:hAnsi="Times New Roman" w:cs="Times New Roman"/>
          <w:sz w:val="24"/>
          <w:szCs w:val="24"/>
          <w:lang w:bidi="ar-SA"/>
        </w:rPr>
        <w:t xml:space="preserve">(6), Article 816. </w:t>
      </w:r>
      <w:hyperlink r:id="rId11" w:history="1">
        <w:r w:rsidRPr="009A1CCE">
          <w:rPr>
            <w:rFonts w:ascii="Times New Roman" w:eastAsia="Times New Roman" w:hAnsi="Times New Roman" w:cs="Times New Roman"/>
            <w:color w:val="0000FF"/>
            <w:sz w:val="24"/>
            <w:szCs w:val="24"/>
            <w:u w:val="single"/>
            <w:lang w:bidi="ar-SA"/>
          </w:rPr>
          <w:t>https://doi.org/10.3390/ani15060816</w:t>
        </w:r>
      </w:hyperlink>
    </w:p>
    <w:p w14:paraId="422DD99D" w14:textId="77777777" w:rsidR="009A1CCE" w:rsidRPr="009A1CCE" w:rsidRDefault="009A1CCE" w:rsidP="009A1CCE">
      <w:pPr>
        <w:spacing w:after="0" w:line="240" w:lineRule="auto"/>
        <w:rPr>
          <w:rFonts w:ascii="Times New Roman" w:eastAsia="Times New Roman" w:hAnsi="Times New Roman" w:cs="Times New Roman"/>
          <w:sz w:val="24"/>
          <w:szCs w:val="24"/>
          <w:lang w:bidi="ar-SA"/>
        </w:rPr>
      </w:pPr>
      <w:r w:rsidRPr="009A1CCE">
        <w:rPr>
          <w:rFonts w:ascii="Times New Roman" w:eastAsia="Times New Roman" w:hAnsi="Symbol" w:cs="Times New Roman"/>
          <w:sz w:val="24"/>
          <w:szCs w:val="24"/>
          <w:lang w:bidi="ar-SA"/>
        </w:rPr>
        <w:t></w:t>
      </w:r>
      <w:r w:rsidRPr="009A1CCE">
        <w:rPr>
          <w:rFonts w:ascii="Times New Roman" w:eastAsia="Times New Roman" w:hAnsi="Times New Roman" w:cs="Times New Roman"/>
          <w:sz w:val="24"/>
          <w:szCs w:val="24"/>
          <w:lang w:bidi="ar-SA"/>
        </w:rPr>
        <w:t xml:space="preserve">  Banda, L. J., &amp; Tanganyika, J. (2021). Livestock provide more than food in smallholder production systems of developing countries. </w:t>
      </w:r>
      <w:r w:rsidRPr="009A1CCE">
        <w:rPr>
          <w:rFonts w:ascii="Times New Roman" w:eastAsia="Times New Roman" w:hAnsi="Times New Roman" w:cs="Times New Roman"/>
          <w:i/>
          <w:iCs/>
          <w:sz w:val="24"/>
          <w:szCs w:val="24"/>
          <w:lang w:bidi="ar-SA"/>
        </w:rPr>
        <w:t>Animal Frontiers, 11</w:t>
      </w:r>
      <w:r w:rsidRPr="009A1CCE">
        <w:rPr>
          <w:rFonts w:ascii="Times New Roman" w:eastAsia="Times New Roman" w:hAnsi="Times New Roman" w:cs="Times New Roman"/>
          <w:sz w:val="24"/>
          <w:szCs w:val="24"/>
          <w:lang w:bidi="ar-SA"/>
        </w:rPr>
        <w:t xml:space="preserve">(2), 7–14. </w:t>
      </w:r>
      <w:hyperlink r:id="rId12" w:history="1">
        <w:r w:rsidRPr="009A1CCE">
          <w:rPr>
            <w:rFonts w:ascii="Times New Roman" w:eastAsia="Times New Roman" w:hAnsi="Times New Roman" w:cs="Times New Roman"/>
            <w:color w:val="0000FF"/>
            <w:sz w:val="24"/>
            <w:szCs w:val="24"/>
            <w:u w:val="single"/>
            <w:lang w:bidi="ar-SA"/>
          </w:rPr>
          <w:t>https://doi.org/10.1093/af/vfab001</w:t>
        </w:r>
      </w:hyperlink>
    </w:p>
    <w:p w14:paraId="74023CC4" w14:textId="77777777" w:rsidR="009A1CCE" w:rsidRPr="009A1CCE" w:rsidRDefault="009A1CCE" w:rsidP="009A1CCE">
      <w:pPr>
        <w:spacing w:after="0" w:line="240" w:lineRule="auto"/>
        <w:rPr>
          <w:rFonts w:ascii="Times New Roman" w:eastAsia="Times New Roman" w:hAnsi="Times New Roman" w:cs="Times New Roman"/>
          <w:sz w:val="24"/>
          <w:szCs w:val="24"/>
          <w:lang w:bidi="ar-SA"/>
        </w:rPr>
      </w:pPr>
      <w:r w:rsidRPr="009A1CCE">
        <w:rPr>
          <w:rFonts w:ascii="Times New Roman" w:eastAsia="Times New Roman" w:hAnsi="Symbol" w:cs="Times New Roman"/>
          <w:sz w:val="24"/>
          <w:szCs w:val="24"/>
          <w:lang w:bidi="ar-SA"/>
        </w:rPr>
        <w:t></w:t>
      </w:r>
      <w:r w:rsidRPr="009A1CCE">
        <w:rPr>
          <w:rFonts w:ascii="Times New Roman" w:eastAsia="Times New Roman" w:hAnsi="Times New Roman" w:cs="Times New Roman"/>
          <w:sz w:val="24"/>
          <w:szCs w:val="24"/>
          <w:lang w:bidi="ar-SA"/>
        </w:rPr>
        <w:t xml:space="preserve">  Berean, D. I., Bogdan, L. M., &amp; Cimpean, R. (2025). Comparative evaluation of </w:t>
      </w:r>
      <w:proofErr w:type="spellStart"/>
      <w:r w:rsidRPr="009A1CCE">
        <w:rPr>
          <w:rFonts w:ascii="Times New Roman" w:eastAsia="Times New Roman" w:hAnsi="Times New Roman" w:cs="Times New Roman"/>
          <w:sz w:val="24"/>
          <w:szCs w:val="24"/>
          <w:lang w:bidi="ar-SA"/>
        </w:rPr>
        <w:t>Ovsynch</w:t>
      </w:r>
      <w:proofErr w:type="spellEnd"/>
      <w:r w:rsidRPr="009A1CCE">
        <w:rPr>
          <w:rFonts w:ascii="Times New Roman" w:eastAsia="Times New Roman" w:hAnsi="Times New Roman" w:cs="Times New Roman"/>
          <w:sz w:val="24"/>
          <w:szCs w:val="24"/>
          <w:lang w:bidi="ar-SA"/>
        </w:rPr>
        <w:t xml:space="preserve"> and Double </w:t>
      </w:r>
      <w:proofErr w:type="spellStart"/>
      <w:r w:rsidRPr="009A1CCE">
        <w:rPr>
          <w:rFonts w:ascii="Times New Roman" w:eastAsia="Times New Roman" w:hAnsi="Times New Roman" w:cs="Times New Roman"/>
          <w:sz w:val="24"/>
          <w:szCs w:val="24"/>
          <w:lang w:bidi="ar-SA"/>
        </w:rPr>
        <w:t>Ovsynch</w:t>
      </w:r>
      <w:proofErr w:type="spellEnd"/>
      <w:r w:rsidRPr="009A1CCE">
        <w:rPr>
          <w:rFonts w:ascii="Times New Roman" w:eastAsia="Times New Roman" w:hAnsi="Times New Roman" w:cs="Times New Roman"/>
          <w:sz w:val="24"/>
          <w:szCs w:val="24"/>
          <w:lang w:bidi="ar-SA"/>
        </w:rPr>
        <w:t xml:space="preserve"> protocols with single and double insemination in Holstein dairy cows: Reproductive performance and cost analysis. </w:t>
      </w:r>
      <w:r w:rsidRPr="009A1CCE">
        <w:rPr>
          <w:rFonts w:ascii="Times New Roman" w:eastAsia="Times New Roman" w:hAnsi="Times New Roman" w:cs="Times New Roman"/>
          <w:i/>
          <w:iCs/>
          <w:sz w:val="24"/>
          <w:szCs w:val="24"/>
          <w:lang w:bidi="ar-SA"/>
        </w:rPr>
        <w:t>Animals, 15</w:t>
      </w:r>
      <w:r w:rsidRPr="009A1CCE">
        <w:rPr>
          <w:rFonts w:ascii="Times New Roman" w:eastAsia="Times New Roman" w:hAnsi="Times New Roman" w:cs="Times New Roman"/>
          <w:sz w:val="24"/>
          <w:szCs w:val="24"/>
          <w:lang w:bidi="ar-SA"/>
        </w:rPr>
        <w:t xml:space="preserve">(16), Article 2380. </w:t>
      </w:r>
      <w:hyperlink r:id="rId13" w:history="1">
        <w:r w:rsidRPr="009A1CCE">
          <w:rPr>
            <w:rFonts w:ascii="Times New Roman" w:eastAsia="Times New Roman" w:hAnsi="Times New Roman" w:cs="Times New Roman"/>
            <w:color w:val="0000FF"/>
            <w:sz w:val="24"/>
            <w:szCs w:val="24"/>
            <w:u w:val="single"/>
            <w:lang w:bidi="ar-SA"/>
          </w:rPr>
          <w:t>https://doi.org/10.3390/ani15162380</w:t>
        </w:r>
      </w:hyperlink>
    </w:p>
    <w:p w14:paraId="14E21827" w14:textId="77777777" w:rsidR="009A1CCE" w:rsidRPr="009A1CCE" w:rsidRDefault="009A1CCE" w:rsidP="009A1CCE">
      <w:pPr>
        <w:spacing w:after="0" w:line="240" w:lineRule="auto"/>
        <w:rPr>
          <w:rFonts w:ascii="Times New Roman" w:eastAsia="Times New Roman" w:hAnsi="Times New Roman" w:cs="Times New Roman"/>
          <w:sz w:val="24"/>
          <w:szCs w:val="24"/>
          <w:lang w:bidi="ar-SA"/>
        </w:rPr>
      </w:pPr>
      <w:r w:rsidRPr="009A1CCE">
        <w:rPr>
          <w:rFonts w:ascii="Times New Roman" w:eastAsia="Times New Roman" w:hAnsi="Symbol" w:cs="Times New Roman"/>
          <w:sz w:val="24"/>
          <w:szCs w:val="24"/>
          <w:lang w:bidi="ar-SA"/>
        </w:rPr>
        <w:t></w:t>
      </w:r>
      <w:r w:rsidRPr="009A1CCE">
        <w:rPr>
          <w:rFonts w:ascii="Times New Roman" w:eastAsia="Times New Roman" w:hAnsi="Times New Roman" w:cs="Times New Roman"/>
          <w:sz w:val="24"/>
          <w:szCs w:val="24"/>
          <w:lang w:bidi="ar-SA"/>
        </w:rPr>
        <w:t xml:space="preserve">  Caraba, I. V., &amp; </w:t>
      </w:r>
      <w:proofErr w:type="spellStart"/>
      <w:r w:rsidRPr="009A1CCE">
        <w:rPr>
          <w:rFonts w:ascii="Times New Roman" w:eastAsia="Times New Roman" w:hAnsi="Times New Roman" w:cs="Times New Roman"/>
          <w:sz w:val="24"/>
          <w:szCs w:val="24"/>
          <w:lang w:bidi="ar-SA"/>
        </w:rPr>
        <w:t>Velicevici</w:t>
      </w:r>
      <w:proofErr w:type="spellEnd"/>
      <w:r w:rsidRPr="009A1CCE">
        <w:rPr>
          <w:rFonts w:ascii="Times New Roman" w:eastAsia="Times New Roman" w:hAnsi="Times New Roman" w:cs="Times New Roman"/>
          <w:sz w:val="24"/>
          <w:szCs w:val="24"/>
          <w:lang w:bidi="ar-SA"/>
        </w:rPr>
        <w:t xml:space="preserve">, S. (2013). Using </w:t>
      </w:r>
      <w:proofErr w:type="spellStart"/>
      <w:r w:rsidRPr="009A1CCE">
        <w:rPr>
          <w:rFonts w:ascii="Times New Roman" w:eastAsia="Times New Roman" w:hAnsi="Times New Roman" w:cs="Times New Roman"/>
          <w:sz w:val="24"/>
          <w:szCs w:val="24"/>
          <w:lang w:bidi="ar-SA"/>
        </w:rPr>
        <w:t>Ovsynch</w:t>
      </w:r>
      <w:proofErr w:type="spellEnd"/>
      <w:r w:rsidRPr="009A1CCE">
        <w:rPr>
          <w:rFonts w:ascii="Times New Roman" w:eastAsia="Times New Roman" w:hAnsi="Times New Roman" w:cs="Times New Roman"/>
          <w:sz w:val="24"/>
          <w:szCs w:val="24"/>
          <w:lang w:bidi="ar-SA"/>
        </w:rPr>
        <w:t xml:space="preserve"> protocol versus </w:t>
      </w:r>
      <w:proofErr w:type="spellStart"/>
      <w:r w:rsidRPr="009A1CCE">
        <w:rPr>
          <w:rFonts w:ascii="Times New Roman" w:eastAsia="Times New Roman" w:hAnsi="Times New Roman" w:cs="Times New Roman"/>
          <w:sz w:val="24"/>
          <w:szCs w:val="24"/>
          <w:lang w:bidi="ar-SA"/>
        </w:rPr>
        <w:t>Cosynch</w:t>
      </w:r>
      <w:proofErr w:type="spellEnd"/>
      <w:r w:rsidRPr="009A1CCE">
        <w:rPr>
          <w:rFonts w:ascii="Times New Roman" w:eastAsia="Times New Roman" w:hAnsi="Times New Roman" w:cs="Times New Roman"/>
          <w:sz w:val="24"/>
          <w:szCs w:val="24"/>
          <w:lang w:bidi="ar-SA"/>
        </w:rPr>
        <w:t xml:space="preserve"> protocol in dairy cows. </w:t>
      </w:r>
      <w:r w:rsidRPr="009A1CCE">
        <w:rPr>
          <w:rFonts w:ascii="Times New Roman" w:eastAsia="Times New Roman" w:hAnsi="Times New Roman" w:cs="Times New Roman"/>
          <w:i/>
          <w:iCs/>
          <w:sz w:val="24"/>
          <w:szCs w:val="24"/>
          <w:lang w:bidi="ar-SA"/>
        </w:rPr>
        <w:t>Animal Science and Biotechnologies, 46</w:t>
      </w:r>
      <w:r w:rsidRPr="009A1CCE">
        <w:rPr>
          <w:rFonts w:ascii="Times New Roman" w:eastAsia="Times New Roman" w:hAnsi="Times New Roman" w:cs="Times New Roman"/>
          <w:sz w:val="24"/>
          <w:szCs w:val="24"/>
          <w:lang w:bidi="ar-SA"/>
        </w:rPr>
        <w:t xml:space="preserve">(2), 63–65. </w:t>
      </w:r>
      <w:hyperlink r:id="rId14" w:history="1">
        <w:r w:rsidRPr="009A1CCE">
          <w:rPr>
            <w:rFonts w:ascii="Times New Roman" w:eastAsia="Times New Roman" w:hAnsi="Times New Roman" w:cs="Times New Roman"/>
            <w:color w:val="0000FF"/>
            <w:sz w:val="24"/>
            <w:szCs w:val="24"/>
            <w:u w:val="single"/>
            <w:lang w:bidi="ar-SA"/>
          </w:rPr>
          <w:t>https://core.ac.uk/display/25519410</w:t>
        </w:r>
      </w:hyperlink>
    </w:p>
    <w:p w14:paraId="40C547D7" w14:textId="40E4E67F" w:rsidR="009A1CCE" w:rsidRPr="009A1CCE" w:rsidRDefault="009A1CCE" w:rsidP="009A1CCE">
      <w:pPr>
        <w:spacing w:after="0" w:line="240" w:lineRule="auto"/>
        <w:rPr>
          <w:rFonts w:ascii="Times New Roman" w:eastAsia="Times New Roman" w:hAnsi="Times New Roman" w:cs="Times New Roman"/>
          <w:sz w:val="24"/>
          <w:szCs w:val="24"/>
          <w:lang w:bidi="ar-SA"/>
        </w:rPr>
      </w:pPr>
      <w:r w:rsidRPr="009A1CCE">
        <w:rPr>
          <w:rFonts w:ascii="Times New Roman" w:eastAsia="Times New Roman" w:hAnsi="Symbol" w:cs="Times New Roman"/>
          <w:sz w:val="24"/>
          <w:szCs w:val="24"/>
          <w:lang w:bidi="ar-SA"/>
        </w:rPr>
        <w:t></w:t>
      </w:r>
      <w:r w:rsidRPr="009A1CCE">
        <w:rPr>
          <w:rFonts w:ascii="Times New Roman" w:eastAsia="Times New Roman" w:hAnsi="Times New Roman" w:cs="Times New Roman"/>
          <w:sz w:val="24"/>
          <w:szCs w:val="24"/>
          <w:lang w:bidi="ar-SA"/>
        </w:rPr>
        <w:t xml:space="preserve">  Chaudhary, A. K., Panchal, M. T., Dhami, A. J., &amp; Shah, R. G. (2012). Effect of </w:t>
      </w:r>
      <w:proofErr w:type="spellStart"/>
      <w:r w:rsidRPr="009A1CCE">
        <w:rPr>
          <w:rFonts w:ascii="Times New Roman" w:eastAsia="Times New Roman" w:hAnsi="Times New Roman" w:cs="Times New Roman"/>
          <w:sz w:val="24"/>
          <w:szCs w:val="24"/>
          <w:lang w:bidi="ar-SA"/>
        </w:rPr>
        <w:t>Ovsynch</w:t>
      </w:r>
      <w:proofErr w:type="spellEnd"/>
      <w:r w:rsidRPr="009A1CCE">
        <w:rPr>
          <w:rFonts w:ascii="Times New Roman" w:eastAsia="Times New Roman" w:hAnsi="Times New Roman" w:cs="Times New Roman"/>
          <w:sz w:val="24"/>
          <w:szCs w:val="24"/>
          <w:lang w:bidi="ar-SA"/>
        </w:rPr>
        <w:t xml:space="preserve"> and one shot PGF₂α protocols on estrus synchronization, plasma progesterone and conception rate in cyclic crossbred cows under field conditions. In </w:t>
      </w:r>
      <w:r w:rsidRPr="009A1CCE">
        <w:rPr>
          <w:rFonts w:ascii="Times New Roman" w:eastAsia="Times New Roman" w:hAnsi="Times New Roman" w:cs="Times New Roman"/>
          <w:i/>
          <w:iCs/>
          <w:sz w:val="24"/>
          <w:szCs w:val="24"/>
          <w:lang w:bidi="ar-SA"/>
        </w:rPr>
        <w:t>Proceedings of the National Symposium on Addressing Animal Reproductive Stresses through Biotechnological Tools and XXVII Annual Convention of ISSAR</w:t>
      </w:r>
      <w:r w:rsidRPr="009A1CCE">
        <w:rPr>
          <w:rFonts w:ascii="Times New Roman" w:eastAsia="Times New Roman" w:hAnsi="Times New Roman" w:cs="Times New Roman"/>
          <w:sz w:val="24"/>
          <w:szCs w:val="24"/>
          <w:lang w:bidi="ar-SA"/>
        </w:rPr>
        <w:t xml:space="preserve"> (p. 71). </w:t>
      </w:r>
    </w:p>
    <w:p w14:paraId="6B61DB5E" w14:textId="77777777" w:rsidR="009A1CCE" w:rsidRPr="009A1CCE" w:rsidRDefault="009A1CCE" w:rsidP="009A1CCE">
      <w:pPr>
        <w:spacing w:after="0" w:line="240" w:lineRule="auto"/>
        <w:rPr>
          <w:rFonts w:ascii="Times New Roman" w:eastAsia="Times New Roman" w:hAnsi="Times New Roman" w:cs="Times New Roman"/>
          <w:sz w:val="24"/>
          <w:szCs w:val="24"/>
          <w:lang w:bidi="ar-SA"/>
        </w:rPr>
      </w:pPr>
      <w:r w:rsidRPr="009A1CCE">
        <w:rPr>
          <w:rFonts w:ascii="Times New Roman" w:eastAsia="Times New Roman" w:hAnsi="Symbol" w:cs="Times New Roman"/>
          <w:sz w:val="24"/>
          <w:szCs w:val="24"/>
          <w:lang w:bidi="ar-SA"/>
        </w:rPr>
        <w:t></w:t>
      </w:r>
      <w:r w:rsidRPr="009A1CCE">
        <w:rPr>
          <w:rFonts w:ascii="Times New Roman" w:eastAsia="Times New Roman" w:hAnsi="Times New Roman" w:cs="Times New Roman"/>
          <w:sz w:val="24"/>
          <w:szCs w:val="24"/>
          <w:lang w:bidi="ar-SA"/>
        </w:rPr>
        <w:t xml:space="preserve">  Chaves, A. S., Silva, F., Valentim, R., &amp; Quintas, H. (2024). Body condition in small ruminants: Effects of nutrition on the hypothalamic–pituitary–gonad axis and ovarian activity that controls reproduction. </w:t>
      </w:r>
      <w:proofErr w:type="spellStart"/>
      <w:r w:rsidRPr="009A1CCE">
        <w:rPr>
          <w:rFonts w:ascii="Times New Roman" w:eastAsia="Times New Roman" w:hAnsi="Times New Roman" w:cs="Times New Roman"/>
          <w:i/>
          <w:iCs/>
          <w:sz w:val="24"/>
          <w:szCs w:val="24"/>
          <w:lang w:bidi="ar-SA"/>
        </w:rPr>
        <w:t>Physiologia</w:t>
      </w:r>
      <w:proofErr w:type="spellEnd"/>
      <w:r w:rsidRPr="009A1CCE">
        <w:rPr>
          <w:rFonts w:ascii="Times New Roman" w:eastAsia="Times New Roman" w:hAnsi="Times New Roman" w:cs="Times New Roman"/>
          <w:i/>
          <w:iCs/>
          <w:sz w:val="24"/>
          <w:szCs w:val="24"/>
          <w:lang w:bidi="ar-SA"/>
        </w:rPr>
        <w:t>, 4</w:t>
      </w:r>
      <w:r w:rsidRPr="009A1CCE">
        <w:rPr>
          <w:rFonts w:ascii="Times New Roman" w:eastAsia="Times New Roman" w:hAnsi="Times New Roman" w:cs="Times New Roman"/>
          <w:sz w:val="24"/>
          <w:szCs w:val="24"/>
          <w:lang w:bidi="ar-SA"/>
        </w:rPr>
        <w:t xml:space="preserve">(2), 213–225. </w:t>
      </w:r>
      <w:hyperlink r:id="rId15" w:history="1">
        <w:r w:rsidRPr="009A1CCE">
          <w:rPr>
            <w:rFonts w:ascii="Times New Roman" w:eastAsia="Times New Roman" w:hAnsi="Times New Roman" w:cs="Times New Roman"/>
            <w:color w:val="0000FF"/>
            <w:sz w:val="24"/>
            <w:szCs w:val="24"/>
            <w:u w:val="single"/>
            <w:lang w:bidi="ar-SA"/>
          </w:rPr>
          <w:t>https://doi.org/10.3390/physiologia4020012</w:t>
        </w:r>
      </w:hyperlink>
    </w:p>
    <w:p w14:paraId="2429A44E" w14:textId="77777777" w:rsidR="009A1CCE" w:rsidRPr="009A1CCE" w:rsidRDefault="009A1CCE" w:rsidP="009A1CCE">
      <w:pPr>
        <w:spacing w:after="0" w:line="240" w:lineRule="auto"/>
        <w:rPr>
          <w:rFonts w:ascii="Times New Roman" w:eastAsia="Times New Roman" w:hAnsi="Times New Roman" w:cs="Times New Roman"/>
          <w:sz w:val="24"/>
          <w:szCs w:val="24"/>
          <w:lang w:bidi="ar-SA"/>
        </w:rPr>
      </w:pPr>
      <w:r w:rsidRPr="009A1CCE">
        <w:rPr>
          <w:rFonts w:ascii="Times New Roman" w:eastAsia="Times New Roman" w:hAnsi="Symbol" w:cs="Times New Roman"/>
          <w:sz w:val="24"/>
          <w:szCs w:val="24"/>
          <w:lang w:bidi="ar-SA"/>
        </w:rPr>
        <w:t></w:t>
      </w:r>
      <w:r w:rsidRPr="009A1CCE">
        <w:rPr>
          <w:rFonts w:ascii="Times New Roman" w:eastAsia="Times New Roman" w:hAnsi="Times New Roman" w:cs="Times New Roman"/>
          <w:sz w:val="24"/>
          <w:szCs w:val="24"/>
          <w:lang w:bidi="ar-SA"/>
        </w:rPr>
        <w:t xml:space="preserve">  Ding, Y., Liu, X., Guan, Y., Li, Z., Luo, M., Wu, D., Ye, L., Guo, L., Wang, L., &amp; Guan, Y. (2024). Balancing nutrition for successful reproduction in ruminants. </w:t>
      </w:r>
      <w:r w:rsidRPr="009A1CCE">
        <w:rPr>
          <w:rFonts w:ascii="Times New Roman" w:eastAsia="Times New Roman" w:hAnsi="Times New Roman" w:cs="Times New Roman"/>
          <w:i/>
          <w:iCs/>
          <w:sz w:val="24"/>
          <w:szCs w:val="24"/>
          <w:lang w:bidi="ar-SA"/>
        </w:rPr>
        <w:t>Modern Agriculture, 2</w:t>
      </w:r>
      <w:r w:rsidRPr="009A1CCE">
        <w:rPr>
          <w:rFonts w:ascii="Times New Roman" w:eastAsia="Times New Roman" w:hAnsi="Times New Roman" w:cs="Times New Roman"/>
          <w:sz w:val="24"/>
          <w:szCs w:val="24"/>
          <w:lang w:bidi="ar-SA"/>
        </w:rPr>
        <w:t xml:space="preserve">(1), Article e29. </w:t>
      </w:r>
      <w:hyperlink r:id="rId16" w:history="1">
        <w:r w:rsidRPr="009A1CCE">
          <w:rPr>
            <w:rFonts w:ascii="Times New Roman" w:eastAsia="Times New Roman" w:hAnsi="Times New Roman" w:cs="Times New Roman"/>
            <w:color w:val="0000FF"/>
            <w:sz w:val="24"/>
            <w:szCs w:val="24"/>
            <w:u w:val="single"/>
            <w:lang w:bidi="ar-SA"/>
          </w:rPr>
          <w:t>https://doi.org/10.1002/moda.29</w:t>
        </w:r>
      </w:hyperlink>
    </w:p>
    <w:p w14:paraId="6C910140" w14:textId="77777777" w:rsidR="009A1CCE" w:rsidRPr="009A1CCE" w:rsidRDefault="009A1CCE" w:rsidP="009A1CCE">
      <w:pPr>
        <w:spacing w:after="0" w:line="240" w:lineRule="auto"/>
        <w:rPr>
          <w:rFonts w:ascii="Times New Roman" w:eastAsia="Times New Roman" w:hAnsi="Times New Roman" w:cs="Times New Roman"/>
          <w:sz w:val="24"/>
          <w:szCs w:val="24"/>
          <w:lang w:bidi="ar-SA"/>
        </w:rPr>
      </w:pPr>
      <w:r w:rsidRPr="009A1CCE">
        <w:rPr>
          <w:rFonts w:ascii="Times New Roman" w:eastAsia="Times New Roman" w:hAnsi="Symbol" w:cs="Times New Roman"/>
          <w:sz w:val="24"/>
          <w:szCs w:val="24"/>
          <w:lang w:bidi="ar-SA"/>
        </w:rPr>
        <w:t></w:t>
      </w:r>
      <w:r w:rsidRPr="009A1CCE">
        <w:rPr>
          <w:rFonts w:ascii="Times New Roman" w:eastAsia="Times New Roman" w:hAnsi="Times New Roman" w:cs="Times New Roman"/>
          <w:sz w:val="24"/>
          <w:szCs w:val="24"/>
          <w:lang w:bidi="ar-SA"/>
        </w:rPr>
        <w:t xml:space="preserve">  Ferguson, J. D., Galligan, D. T., &amp; Thomsen, N. (1994). Principal descriptors of body condition score in Holstein cows. </w:t>
      </w:r>
      <w:r w:rsidRPr="009A1CCE">
        <w:rPr>
          <w:rFonts w:ascii="Times New Roman" w:eastAsia="Times New Roman" w:hAnsi="Times New Roman" w:cs="Times New Roman"/>
          <w:i/>
          <w:iCs/>
          <w:sz w:val="24"/>
          <w:szCs w:val="24"/>
          <w:lang w:bidi="ar-SA"/>
        </w:rPr>
        <w:t>Journal of Dairy Science, 77</w:t>
      </w:r>
      <w:r w:rsidRPr="009A1CCE">
        <w:rPr>
          <w:rFonts w:ascii="Times New Roman" w:eastAsia="Times New Roman" w:hAnsi="Times New Roman" w:cs="Times New Roman"/>
          <w:sz w:val="24"/>
          <w:szCs w:val="24"/>
          <w:lang w:bidi="ar-SA"/>
        </w:rPr>
        <w:t xml:space="preserve">(9), 2695–2703. </w:t>
      </w:r>
      <w:hyperlink r:id="rId17" w:history="1">
        <w:r w:rsidRPr="009A1CCE">
          <w:rPr>
            <w:rFonts w:ascii="Times New Roman" w:eastAsia="Times New Roman" w:hAnsi="Times New Roman" w:cs="Times New Roman"/>
            <w:color w:val="0000FF"/>
            <w:sz w:val="24"/>
            <w:szCs w:val="24"/>
            <w:u w:val="single"/>
            <w:lang w:bidi="ar-SA"/>
          </w:rPr>
          <w:t>https://doi.org/10.3168/jds.S0022-0302(94)77212-X</w:t>
        </w:r>
      </w:hyperlink>
    </w:p>
    <w:p w14:paraId="11E9E7F1" w14:textId="77777777" w:rsidR="009A1CCE" w:rsidRPr="009A1CCE" w:rsidRDefault="009A1CCE" w:rsidP="009A1CCE">
      <w:pPr>
        <w:spacing w:after="0" w:line="240" w:lineRule="auto"/>
        <w:rPr>
          <w:rFonts w:ascii="Times New Roman" w:eastAsia="Times New Roman" w:hAnsi="Times New Roman" w:cs="Times New Roman"/>
          <w:sz w:val="24"/>
          <w:szCs w:val="24"/>
          <w:lang w:bidi="ar-SA"/>
        </w:rPr>
      </w:pPr>
      <w:r w:rsidRPr="009A1CCE">
        <w:rPr>
          <w:rFonts w:ascii="Times New Roman" w:eastAsia="Times New Roman" w:hAnsi="Symbol" w:cs="Times New Roman"/>
          <w:sz w:val="24"/>
          <w:szCs w:val="24"/>
          <w:lang w:bidi="ar-SA"/>
        </w:rPr>
        <w:t></w:t>
      </w:r>
      <w:r w:rsidRPr="009A1CCE">
        <w:rPr>
          <w:rFonts w:ascii="Times New Roman" w:eastAsia="Times New Roman" w:hAnsi="Times New Roman" w:cs="Times New Roman"/>
          <w:sz w:val="24"/>
          <w:szCs w:val="24"/>
          <w:lang w:bidi="ar-SA"/>
        </w:rPr>
        <w:t xml:space="preserve">  Ferré, L. B., Cerviño, N. M., Jaeschke, J., </w:t>
      </w:r>
      <w:proofErr w:type="spellStart"/>
      <w:r w:rsidRPr="009A1CCE">
        <w:rPr>
          <w:rFonts w:ascii="Times New Roman" w:eastAsia="Times New Roman" w:hAnsi="Times New Roman" w:cs="Times New Roman"/>
          <w:sz w:val="24"/>
          <w:szCs w:val="24"/>
          <w:lang w:bidi="ar-SA"/>
        </w:rPr>
        <w:t>Itterman</w:t>
      </w:r>
      <w:proofErr w:type="spellEnd"/>
      <w:r w:rsidRPr="009A1CCE">
        <w:rPr>
          <w:rFonts w:ascii="Times New Roman" w:eastAsia="Times New Roman" w:hAnsi="Times New Roman" w:cs="Times New Roman"/>
          <w:sz w:val="24"/>
          <w:szCs w:val="24"/>
          <w:lang w:bidi="ar-SA"/>
        </w:rPr>
        <w:t xml:space="preserve">, M., McLean, J., Aragon, A., Fernández, M., Villa, M., Formia, N., </w:t>
      </w:r>
      <w:proofErr w:type="spellStart"/>
      <w:r w:rsidRPr="009A1CCE">
        <w:rPr>
          <w:rFonts w:ascii="Times New Roman" w:eastAsia="Times New Roman" w:hAnsi="Times New Roman" w:cs="Times New Roman"/>
          <w:sz w:val="24"/>
          <w:szCs w:val="24"/>
          <w:lang w:bidi="ar-SA"/>
        </w:rPr>
        <w:t>Jaureguiberry</w:t>
      </w:r>
      <w:proofErr w:type="spellEnd"/>
      <w:r w:rsidRPr="009A1CCE">
        <w:rPr>
          <w:rFonts w:ascii="Times New Roman" w:eastAsia="Times New Roman" w:hAnsi="Times New Roman" w:cs="Times New Roman"/>
          <w:sz w:val="24"/>
          <w:szCs w:val="24"/>
          <w:lang w:bidi="ar-SA"/>
        </w:rPr>
        <w:t xml:space="preserve">, M., Rearte, R., Kjelland, M. E., Colazo, M. G., Thomas, J. M., &amp; de la Sota, R. L. (2025). Evaluation of GnRH- versus estradiol-based protocols for ovulation synchronization in postpartum </w:t>
      </w:r>
      <w:r w:rsidRPr="009A1CCE">
        <w:rPr>
          <w:rFonts w:ascii="Times New Roman" w:eastAsia="Times New Roman" w:hAnsi="Times New Roman" w:cs="Times New Roman"/>
          <w:i/>
          <w:iCs/>
          <w:sz w:val="24"/>
          <w:szCs w:val="24"/>
          <w:lang w:bidi="ar-SA"/>
        </w:rPr>
        <w:t>Bos taurus</w:t>
      </w:r>
      <w:r w:rsidRPr="009A1CCE">
        <w:rPr>
          <w:rFonts w:ascii="Times New Roman" w:eastAsia="Times New Roman" w:hAnsi="Times New Roman" w:cs="Times New Roman"/>
          <w:sz w:val="24"/>
          <w:szCs w:val="24"/>
          <w:lang w:bidi="ar-SA"/>
        </w:rPr>
        <w:t xml:space="preserve"> grazing beef cows submitted to fixed-</w:t>
      </w:r>
      <w:r w:rsidRPr="009A1CCE">
        <w:rPr>
          <w:rFonts w:ascii="Times New Roman" w:eastAsia="Times New Roman" w:hAnsi="Times New Roman" w:cs="Times New Roman"/>
          <w:sz w:val="24"/>
          <w:szCs w:val="24"/>
          <w:lang w:bidi="ar-SA"/>
        </w:rPr>
        <w:lastRenderedPageBreak/>
        <w:t xml:space="preserve">time artificial insemination. </w:t>
      </w:r>
      <w:r w:rsidRPr="009A1CCE">
        <w:rPr>
          <w:rFonts w:ascii="Times New Roman" w:eastAsia="Times New Roman" w:hAnsi="Times New Roman" w:cs="Times New Roman"/>
          <w:i/>
          <w:iCs/>
          <w:sz w:val="24"/>
          <w:szCs w:val="24"/>
          <w:lang w:bidi="ar-SA"/>
        </w:rPr>
        <w:t>Theriogenology, 233</w:t>
      </w:r>
      <w:r w:rsidRPr="009A1CCE">
        <w:rPr>
          <w:rFonts w:ascii="Times New Roman" w:eastAsia="Times New Roman" w:hAnsi="Times New Roman" w:cs="Times New Roman"/>
          <w:sz w:val="24"/>
          <w:szCs w:val="24"/>
          <w:lang w:bidi="ar-SA"/>
        </w:rPr>
        <w:t xml:space="preserve">, 1–7. </w:t>
      </w:r>
      <w:hyperlink r:id="rId18" w:history="1">
        <w:r w:rsidRPr="009A1CCE">
          <w:rPr>
            <w:rFonts w:ascii="Times New Roman" w:eastAsia="Times New Roman" w:hAnsi="Times New Roman" w:cs="Times New Roman"/>
            <w:color w:val="0000FF"/>
            <w:sz w:val="24"/>
            <w:szCs w:val="24"/>
            <w:u w:val="single"/>
            <w:lang w:bidi="ar-SA"/>
          </w:rPr>
          <w:t>https://doi.org/10.1016/j.theriogenology.2024.11.008</w:t>
        </w:r>
      </w:hyperlink>
    </w:p>
    <w:p w14:paraId="5573CD69" w14:textId="77777777" w:rsidR="009A1CCE" w:rsidRPr="009A1CCE" w:rsidRDefault="009A1CCE" w:rsidP="009A1CCE">
      <w:pPr>
        <w:spacing w:after="0" w:line="240" w:lineRule="auto"/>
        <w:rPr>
          <w:rFonts w:ascii="Times New Roman" w:eastAsia="Times New Roman" w:hAnsi="Times New Roman" w:cs="Times New Roman"/>
          <w:sz w:val="24"/>
          <w:szCs w:val="24"/>
          <w:lang w:bidi="ar-SA"/>
        </w:rPr>
      </w:pPr>
      <w:r w:rsidRPr="009A1CCE">
        <w:rPr>
          <w:rFonts w:ascii="Times New Roman" w:eastAsia="Times New Roman" w:hAnsi="Symbol" w:cs="Times New Roman"/>
          <w:sz w:val="24"/>
          <w:szCs w:val="24"/>
          <w:lang w:bidi="ar-SA"/>
        </w:rPr>
        <w:t></w:t>
      </w:r>
      <w:r w:rsidRPr="009A1CCE">
        <w:rPr>
          <w:rFonts w:ascii="Times New Roman" w:eastAsia="Times New Roman" w:hAnsi="Times New Roman" w:cs="Times New Roman"/>
          <w:sz w:val="24"/>
          <w:szCs w:val="24"/>
          <w:lang w:bidi="ar-SA"/>
        </w:rPr>
        <w:t xml:space="preserve">  Ferré, L. B., Jaeschke, J., Gatti, J., </w:t>
      </w:r>
      <w:proofErr w:type="spellStart"/>
      <w:r w:rsidRPr="009A1CCE">
        <w:rPr>
          <w:rFonts w:ascii="Times New Roman" w:eastAsia="Times New Roman" w:hAnsi="Times New Roman" w:cs="Times New Roman"/>
          <w:sz w:val="24"/>
          <w:szCs w:val="24"/>
          <w:lang w:bidi="ar-SA"/>
        </w:rPr>
        <w:t>Baladón</w:t>
      </w:r>
      <w:proofErr w:type="spellEnd"/>
      <w:r w:rsidRPr="009A1CCE">
        <w:rPr>
          <w:rFonts w:ascii="Times New Roman" w:eastAsia="Times New Roman" w:hAnsi="Times New Roman" w:cs="Times New Roman"/>
          <w:sz w:val="24"/>
          <w:szCs w:val="24"/>
          <w:lang w:bidi="ar-SA"/>
        </w:rPr>
        <w:t xml:space="preserve">, G., </w:t>
      </w:r>
      <w:proofErr w:type="spellStart"/>
      <w:r w:rsidRPr="009A1CCE">
        <w:rPr>
          <w:rFonts w:ascii="Times New Roman" w:eastAsia="Times New Roman" w:hAnsi="Times New Roman" w:cs="Times New Roman"/>
          <w:sz w:val="24"/>
          <w:szCs w:val="24"/>
          <w:lang w:bidi="ar-SA"/>
        </w:rPr>
        <w:t>Bellocq</w:t>
      </w:r>
      <w:proofErr w:type="spellEnd"/>
      <w:r w:rsidRPr="009A1CCE">
        <w:rPr>
          <w:rFonts w:ascii="Times New Roman" w:eastAsia="Times New Roman" w:hAnsi="Times New Roman" w:cs="Times New Roman"/>
          <w:sz w:val="24"/>
          <w:szCs w:val="24"/>
          <w:lang w:bidi="ar-SA"/>
        </w:rPr>
        <w:t xml:space="preserve">, E., Fernández, G., Rearte, R., Kjelland, M. E., Colazo, M. G., &amp; Thomas, J. M. (2023). Comparison of gonadotropin-releasing hormone versus estrogen-based fixed-time artificial insemination protocols in grazing </w:t>
      </w:r>
      <w:r w:rsidRPr="009A1CCE">
        <w:rPr>
          <w:rFonts w:ascii="Times New Roman" w:eastAsia="Times New Roman" w:hAnsi="Times New Roman" w:cs="Times New Roman"/>
          <w:i/>
          <w:iCs/>
          <w:sz w:val="24"/>
          <w:szCs w:val="24"/>
          <w:lang w:bidi="ar-SA"/>
        </w:rPr>
        <w:t>Bos taurus</w:t>
      </w:r>
      <w:r w:rsidRPr="009A1CCE">
        <w:rPr>
          <w:rFonts w:ascii="Times New Roman" w:eastAsia="Times New Roman" w:hAnsi="Times New Roman" w:cs="Times New Roman"/>
          <w:sz w:val="24"/>
          <w:szCs w:val="24"/>
          <w:lang w:bidi="ar-SA"/>
        </w:rPr>
        <w:t xml:space="preserve"> suckled beef cows. </w:t>
      </w:r>
      <w:r w:rsidRPr="009A1CCE">
        <w:rPr>
          <w:rFonts w:ascii="Times New Roman" w:eastAsia="Times New Roman" w:hAnsi="Times New Roman" w:cs="Times New Roman"/>
          <w:i/>
          <w:iCs/>
          <w:sz w:val="24"/>
          <w:szCs w:val="24"/>
          <w:lang w:bidi="ar-SA"/>
        </w:rPr>
        <w:t>Animals, 13</w:t>
      </w:r>
      <w:r w:rsidRPr="009A1CCE">
        <w:rPr>
          <w:rFonts w:ascii="Times New Roman" w:eastAsia="Times New Roman" w:hAnsi="Times New Roman" w:cs="Times New Roman"/>
          <w:sz w:val="24"/>
          <w:szCs w:val="24"/>
          <w:lang w:bidi="ar-SA"/>
        </w:rPr>
        <w:t xml:space="preserve">(17), Article 2803. </w:t>
      </w:r>
      <w:hyperlink r:id="rId19" w:history="1">
        <w:r w:rsidRPr="009A1CCE">
          <w:rPr>
            <w:rFonts w:ascii="Times New Roman" w:eastAsia="Times New Roman" w:hAnsi="Times New Roman" w:cs="Times New Roman"/>
            <w:color w:val="0000FF"/>
            <w:sz w:val="24"/>
            <w:szCs w:val="24"/>
            <w:u w:val="single"/>
            <w:lang w:bidi="ar-SA"/>
          </w:rPr>
          <w:t>https://doi.org/10.3390/ani13172803</w:t>
        </w:r>
      </w:hyperlink>
    </w:p>
    <w:p w14:paraId="569C0C36" w14:textId="77777777" w:rsidR="009A1CCE" w:rsidRPr="009A1CCE" w:rsidRDefault="009A1CCE" w:rsidP="009A1CCE">
      <w:pPr>
        <w:spacing w:after="0" w:line="240" w:lineRule="auto"/>
        <w:rPr>
          <w:rFonts w:ascii="Times New Roman" w:eastAsia="Times New Roman" w:hAnsi="Times New Roman" w:cs="Times New Roman"/>
          <w:sz w:val="24"/>
          <w:szCs w:val="24"/>
          <w:lang w:bidi="ar-SA"/>
        </w:rPr>
      </w:pPr>
      <w:r w:rsidRPr="009A1CCE">
        <w:rPr>
          <w:rFonts w:ascii="Times New Roman" w:eastAsia="Times New Roman" w:hAnsi="Symbol" w:cs="Times New Roman"/>
          <w:sz w:val="24"/>
          <w:szCs w:val="24"/>
          <w:lang w:bidi="ar-SA"/>
        </w:rPr>
        <w:t></w:t>
      </w:r>
      <w:r w:rsidRPr="009A1CCE">
        <w:rPr>
          <w:rFonts w:ascii="Times New Roman" w:eastAsia="Times New Roman" w:hAnsi="Times New Roman" w:cs="Times New Roman"/>
          <w:sz w:val="24"/>
          <w:szCs w:val="24"/>
          <w:lang w:bidi="ar-SA"/>
        </w:rPr>
        <w:t xml:space="preserve">  Gautam, G. (2023). Postpartum anestrous in dairy cattle and its management. </w:t>
      </w:r>
      <w:r w:rsidRPr="009A1CCE">
        <w:rPr>
          <w:rFonts w:ascii="Times New Roman" w:eastAsia="Times New Roman" w:hAnsi="Times New Roman" w:cs="Times New Roman"/>
          <w:i/>
          <w:iCs/>
          <w:sz w:val="24"/>
          <w:szCs w:val="24"/>
          <w:lang w:bidi="ar-SA"/>
        </w:rPr>
        <w:t>AIP Conference Proceedings, 2628</w:t>
      </w:r>
      <w:r w:rsidRPr="009A1CCE">
        <w:rPr>
          <w:rFonts w:ascii="Times New Roman" w:eastAsia="Times New Roman" w:hAnsi="Times New Roman" w:cs="Times New Roman"/>
          <w:sz w:val="24"/>
          <w:szCs w:val="24"/>
          <w:lang w:bidi="ar-SA"/>
        </w:rPr>
        <w:t xml:space="preserve">, Article 070005. </w:t>
      </w:r>
      <w:hyperlink r:id="rId20" w:history="1">
        <w:r w:rsidRPr="009A1CCE">
          <w:rPr>
            <w:rFonts w:ascii="Times New Roman" w:eastAsia="Times New Roman" w:hAnsi="Times New Roman" w:cs="Times New Roman"/>
            <w:color w:val="0000FF"/>
            <w:sz w:val="24"/>
            <w:szCs w:val="24"/>
            <w:u w:val="single"/>
            <w:lang w:bidi="ar-SA"/>
          </w:rPr>
          <w:t>https://doi.org/10.1063/5.0143994</w:t>
        </w:r>
      </w:hyperlink>
    </w:p>
    <w:p w14:paraId="3B8D5001" w14:textId="77777777" w:rsidR="009A1CCE" w:rsidRPr="009A1CCE" w:rsidRDefault="009A1CCE" w:rsidP="009A1CCE">
      <w:pPr>
        <w:spacing w:after="0" w:line="240" w:lineRule="auto"/>
        <w:rPr>
          <w:rFonts w:ascii="Times New Roman" w:eastAsia="Times New Roman" w:hAnsi="Times New Roman" w:cs="Times New Roman"/>
          <w:sz w:val="24"/>
          <w:szCs w:val="24"/>
          <w:lang w:bidi="ar-SA"/>
        </w:rPr>
      </w:pPr>
      <w:r w:rsidRPr="009A1CCE">
        <w:rPr>
          <w:rFonts w:ascii="Times New Roman" w:eastAsia="Times New Roman" w:hAnsi="Symbol" w:cs="Times New Roman"/>
          <w:sz w:val="24"/>
          <w:szCs w:val="24"/>
          <w:lang w:bidi="ar-SA"/>
        </w:rPr>
        <w:t></w:t>
      </w:r>
      <w:r w:rsidRPr="009A1CCE">
        <w:rPr>
          <w:rFonts w:ascii="Times New Roman" w:eastAsia="Times New Roman" w:hAnsi="Times New Roman" w:cs="Times New Roman"/>
          <w:sz w:val="24"/>
          <w:szCs w:val="24"/>
          <w:lang w:bidi="ar-SA"/>
        </w:rPr>
        <w:t xml:space="preserve">  Heema, H. P., Dipu, S. M. M. A., &amp; Sumy, M. C. (2025). The ripple effect of COVID-19: Analyzing challenges faced by smallholder dairy farmers in Cox’s Bazar, Bangladesh. </w:t>
      </w:r>
      <w:r w:rsidRPr="009A1CCE">
        <w:rPr>
          <w:rFonts w:ascii="Times New Roman" w:eastAsia="Times New Roman" w:hAnsi="Times New Roman" w:cs="Times New Roman"/>
          <w:i/>
          <w:iCs/>
          <w:sz w:val="24"/>
          <w:szCs w:val="24"/>
          <w:lang w:bidi="ar-SA"/>
        </w:rPr>
        <w:t>Asian Journal of Advances in Research, 8</w:t>
      </w:r>
      <w:r w:rsidRPr="009A1CCE">
        <w:rPr>
          <w:rFonts w:ascii="Times New Roman" w:eastAsia="Times New Roman" w:hAnsi="Times New Roman" w:cs="Times New Roman"/>
          <w:sz w:val="24"/>
          <w:szCs w:val="24"/>
          <w:lang w:bidi="ar-SA"/>
        </w:rPr>
        <w:t xml:space="preserve">(1), 16–27. </w:t>
      </w:r>
      <w:hyperlink r:id="rId21" w:history="1">
        <w:r w:rsidRPr="009A1CCE">
          <w:rPr>
            <w:rFonts w:ascii="Times New Roman" w:eastAsia="Times New Roman" w:hAnsi="Times New Roman" w:cs="Times New Roman"/>
            <w:color w:val="0000FF"/>
            <w:sz w:val="24"/>
            <w:szCs w:val="24"/>
            <w:u w:val="single"/>
            <w:lang w:bidi="ar-SA"/>
          </w:rPr>
          <w:t>https://doi.org/10.56557/ajoair/2025/v8i1501</w:t>
        </w:r>
      </w:hyperlink>
    </w:p>
    <w:p w14:paraId="37430EC8" w14:textId="77777777" w:rsidR="009A1CCE" w:rsidRPr="009A1CCE" w:rsidRDefault="009A1CCE" w:rsidP="009A1CCE">
      <w:pPr>
        <w:spacing w:after="0" w:line="240" w:lineRule="auto"/>
        <w:rPr>
          <w:rFonts w:ascii="Times New Roman" w:eastAsia="Times New Roman" w:hAnsi="Times New Roman" w:cs="Times New Roman"/>
          <w:sz w:val="24"/>
          <w:szCs w:val="24"/>
          <w:lang w:bidi="ar-SA"/>
        </w:rPr>
      </w:pPr>
      <w:r w:rsidRPr="009A1CCE">
        <w:rPr>
          <w:rFonts w:ascii="Times New Roman" w:eastAsia="Times New Roman" w:hAnsi="Symbol" w:cs="Times New Roman"/>
          <w:sz w:val="24"/>
          <w:szCs w:val="24"/>
          <w:lang w:bidi="ar-SA"/>
        </w:rPr>
        <w:t></w:t>
      </w:r>
      <w:r w:rsidRPr="009A1CCE">
        <w:rPr>
          <w:rFonts w:ascii="Times New Roman" w:eastAsia="Times New Roman" w:hAnsi="Times New Roman" w:cs="Times New Roman"/>
          <w:sz w:val="24"/>
          <w:szCs w:val="24"/>
          <w:lang w:bidi="ar-SA"/>
        </w:rPr>
        <w:t xml:space="preserve">  Kandiel, M. M., </w:t>
      </w:r>
      <w:proofErr w:type="spellStart"/>
      <w:r w:rsidRPr="009A1CCE">
        <w:rPr>
          <w:rFonts w:ascii="Times New Roman" w:eastAsia="Times New Roman" w:hAnsi="Times New Roman" w:cs="Times New Roman"/>
          <w:sz w:val="24"/>
          <w:szCs w:val="24"/>
          <w:lang w:bidi="ar-SA"/>
        </w:rPr>
        <w:t>Bassuoni</w:t>
      </w:r>
      <w:proofErr w:type="spellEnd"/>
      <w:r w:rsidRPr="009A1CCE">
        <w:rPr>
          <w:rFonts w:ascii="Times New Roman" w:eastAsia="Times New Roman" w:hAnsi="Times New Roman" w:cs="Times New Roman"/>
          <w:sz w:val="24"/>
          <w:szCs w:val="24"/>
          <w:lang w:bidi="ar-SA"/>
        </w:rPr>
        <w:t xml:space="preserve">, L. A., Sosa, G. A., Abou Ahmed, M. M., &amp; Ghallab, A. R. M. (2012). Comparative efficacy of </w:t>
      </w:r>
      <w:proofErr w:type="spellStart"/>
      <w:r w:rsidRPr="009A1CCE">
        <w:rPr>
          <w:rFonts w:ascii="Times New Roman" w:eastAsia="Times New Roman" w:hAnsi="Times New Roman" w:cs="Times New Roman"/>
          <w:sz w:val="24"/>
          <w:szCs w:val="24"/>
          <w:lang w:bidi="ar-SA"/>
        </w:rPr>
        <w:t>Ovsynch</w:t>
      </w:r>
      <w:proofErr w:type="spellEnd"/>
      <w:r w:rsidRPr="009A1CCE">
        <w:rPr>
          <w:rFonts w:ascii="Times New Roman" w:eastAsia="Times New Roman" w:hAnsi="Times New Roman" w:cs="Times New Roman"/>
          <w:sz w:val="24"/>
          <w:szCs w:val="24"/>
          <w:lang w:bidi="ar-SA"/>
        </w:rPr>
        <w:t xml:space="preserve"> and </w:t>
      </w:r>
      <w:proofErr w:type="spellStart"/>
      <w:r w:rsidRPr="009A1CCE">
        <w:rPr>
          <w:rFonts w:ascii="Times New Roman" w:eastAsia="Times New Roman" w:hAnsi="Times New Roman" w:cs="Times New Roman"/>
          <w:sz w:val="24"/>
          <w:szCs w:val="24"/>
          <w:lang w:bidi="ar-SA"/>
        </w:rPr>
        <w:t>Heatsynch</w:t>
      </w:r>
      <w:proofErr w:type="spellEnd"/>
      <w:r w:rsidRPr="009A1CCE">
        <w:rPr>
          <w:rFonts w:ascii="Times New Roman" w:eastAsia="Times New Roman" w:hAnsi="Times New Roman" w:cs="Times New Roman"/>
          <w:sz w:val="24"/>
          <w:szCs w:val="24"/>
          <w:lang w:bidi="ar-SA"/>
        </w:rPr>
        <w:t xml:space="preserve"> protocols assessed by transrectal ultrasonography and serum progesterone in Egyptian buffalo heifers. </w:t>
      </w:r>
      <w:r w:rsidRPr="009A1CCE">
        <w:rPr>
          <w:rFonts w:ascii="Times New Roman" w:eastAsia="Times New Roman" w:hAnsi="Times New Roman" w:cs="Times New Roman"/>
          <w:i/>
          <w:iCs/>
          <w:sz w:val="24"/>
          <w:szCs w:val="24"/>
          <w:lang w:bidi="ar-SA"/>
        </w:rPr>
        <w:t>Theriogenology Insight, 2</w:t>
      </w:r>
      <w:r w:rsidRPr="009A1CCE">
        <w:rPr>
          <w:rFonts w:ascii="Times New Roman" w:eastAsia="Times New Roman" w:hAnsi="Times New Roman" w:cs="Times New Roman"/>
          <w:sz w:val="24"/>
          <w:szCs w:val="24"/>
          <w:lang w:bidi="ar-SA"/>
        </w:rPr>
        <w:t xml:space="preserve">(3), 173–183. </w:t>
      </w:r>
      <w:hyperlink r:id="rId22" w:history="1">
        <w:r w:rsidRPr="009A1CCE">
          <w:rPr>
            <w:rFonts w:ascii="Times New Roman" w:eastAsia="Times New Roman" w:hAnsi="Times New Roman" w:cs="Times New Roman"/>
            <w:color w:val="0000FF"/>
            <w:sz w:val="24"/>
            <w:szCs w:val="24"/>
            <w:u w:val="single"/>
            <w:lang w:bidi="ar-SA"/>
          </w:rPr>
          <w:t>https://fvtm.stafpu.bu.edu.eg/Theriogenology/1009/publications/Gamal%20Abdel%20-%20Raheem%20Mohamed%20Sosa_Comparative%20Efficacy%20of%20Ovsynch.pdf</w:t>
        </w:r>
      </w:hyperlink>
    </w:p>
    <w:p w14:paraId="229ACF06" w14:textId="77777777" w:rsidR="009A1CCE" w:rsidRPr="009A1CCE" w:rsidRDefault="009A1CCE" w:rsidP="009A1CCE">
      <w:pPr>
        <w:spacing w:after="0" w:line="240" w:lineRule="auto"/>
        <w:rPr>
          <w:rFonts w:ascii="Times New Roman" w:eastAsia="Times New Roman" w:hAnsi="Times New Roman" w:cs="Times New Roman"/>
          <w:sz w:val="24"/>
          <w:szCs w:val="24"/>
          <w:lang w:bidi="ar-SA"/>
        </w:rPr>
      </w:pPr>
      <w:r w:rsidRPr="009A1CCE">
        <w:rPr>
          <w:rFonts w:ascii="Times New Roman" w:eastAsia="Times New Roman" w:hAnsi="Symbol" w:cs="Times New Roman"/>
          <w:sz w:val="24"/>
          <w:szCs w:val="24"/>
          <w:lang w:bidi="ar-SA"/>
        </w:rPr>
        <w:t></w:t>
      </w:r>
      <w:r w:rsidRPr="009A1CCE">
        <w:rPr>
          <w:rFonts w:ascii="Times New Roman" w:eastAsia="Times New Roman" w:hAnsi="Times New Roman" w:cs="Times New Roman"/>
          <w:sz w:val="24"/>
          <w:szCs w:val="24"/>
          <w:lang w:bidi="ar-SA"/>
        </w:rPr>
        <w:t xml:space="preserve">  Lamb, G. C., &amp; Mercadante, V. R. G. (2016). Synchronization and artificial insemination strategies in beef cattle. </w:t>
      </w:r>
      <w:r w:rsidRPr="009A1CCE">
        <w:rPr>
          <w:rFonts w:ascii="Times New Roman" w:eastAsia="Times New Roman" w:hAnsi="Times New Roman" w:cs="Times New Roman"/>
          <w:i/>
          <w:iCs/>
          <w:sz w:val="24"/>
          <w:szCs w:val="24"/>
          <w:lang w:bidi="ar-SA"/>
        </w:rPr>
        <w:t>Veterinary Clinics of North America: Food Animal Practice, 32</w:t>
      </w:r>
      <w:r w:rsidRPr="009A1CCE">
        <w:rPr>
          <w:rFonts w:ascii="Times New Roman" w:eastAsia="Times New Roman" w:hAnsi="Times New Roman" w:cs="Times New Roman"/>
          <w:sz w:val="24"/>
          <w:szCs w:val="24"/>
          <w:lang w:bidi="ar-SA"/>
        </w:rPr>
        <w:t xml:space="preserve">(2), 335–347. </w:t>
      </w:r>
      <w:hyperlink r:id="rId23" w:history="1">
        <w:r w:rsidRPr="009A1CCE">
          <w:rPr>
            <w:rFonts w:ascii="Times New Roman" w:eastAsia="Times New Roman" w:hAnsi="Times New Roman" w:cs="Times New Roman"/>
            <w:color w:val="0000FF"/>
            <w:sz w:val="24"/>
            <w:szCs w:val="24"/>
            <w:u w:val="single"/>
            <w:lang w:bidi="ar-SA"/>
          </w:rPr>
          <w:t>https://doi.org/10.1016/j.cvfa.2016.01.006</w:t>
        </w:r>
      </w:hyperlink>
    </w:p>
    <w:p w14:paraId="2804CDC8" w14:textId="77777777" w:rsidR="009A1CCE" w:rsidRPr="009A1CCE" w:rsidRDefault="009A1CCE" w:rsidP="009A1CCE">
      <w:pPr>
        <w:spacing w:after="0" w:line="240" w:lineRule="auto"/>
        <w:rPr>
          <w:rFonts w:ascii="Times New Roman" w:eastAsia="Times New Roman" w:hAnsi="Times New Roman" w:cs="Times New Roman"/>
          <w:sz w:val="24"/>
          <w:szCs w:val="24"/>
          <w:lang w:bidi="ar-SA"/>
        </w:rPr>
      </w:pPr>
      <w:r w:rsidRPr="009A1CCE">
        <w:rPr>
          <w:rFonts w:ascii="Times New Roman" w:eastAsia="Times New Roman" w:hAnsi="Symbol" w:cs="Times New Roman"/>
          <w:sz w:val="24"/>
          <w:szCs w:val="24"/>
          <w:lang w:bidi="ar-SA"/>
        </w:rPr>
        <w:t></w:t>
      </w:r>
      <w:r w:rsidRPr="009A1CCE">
        <w:rPr>
          <w:rFonts w:ascii="Times New Roman" w:eastAsia="Times New Roman" w:hAnsi="Times New Roman" w:cs="Times New Roman"/>
          <w:sz w:val="24"/>
          <w:szCs w:val="24"/>
          <w:lang w:bidi="ar-SA"/>
        </w:rPr>
        <w:t xml:space="preserve">  Laplacette, A. L., Rial, C., Sitko, E., Perez, M. M., Tompkins, S., </w:t>
      </w:r>
      <w:proofErr w:type="spellStart"/>
      <w:r w:rsidRPr="009A1CCE">
        <w:rPr>
          <w:rFonts w:ascii="Times New Roman" w:eastAsia="Times New Roman" w:hAnsi="Times New Roman" w:cs="Times New Roman"/>
          <w:sz w:val="24"/>
          <w:szCs w:val="24"/>
          <w:lang w:bidi="ar-SA"/>
        </w:rPr>
        <w:t>Stangaferro</w:t>
      </w:r>
      <w:proofErr w:type="spellEnd"/>
      <w:r w:rsidRPr="009A1CCE">
        <w:rPr>
          <w:rFonts w:ascii="Times New Roman" w:eastAsia="Times New Roman" w:hAnsi="Times New Roman" w:cs="Times New Roman"/>
          <w:sz w:val="24"/>
          <w:szCs w:val="24"/>
          <w:lang w:bidi="ar-SA"/>
        </w:rPr>
        <w:t>, M. L., Thomas, M. J., &amp; Giordano, J. O. (2025). Delaying induction of ovulation and timed artificial insemination in a Double-</w:t>
      </w:r>
      <w:proofErr w:type="spellStart"/>
      <w:r w:rsidRPr="009A1CCE">
        <w:rPr>
          <w:rFonts w:ascii="Times New Roman" w:eastAsia="Times New Roman" w:hAnsi="Times New Roman" w:cs="Times New Roman"/>
          <w:sz w:val="24"/>
          <w:szCs w:val="24"/>
          <w:lang w:bidi="ar-SA"/>
        </w:rPr>
        <w:t>Ovsynch</w:t>
      </w:r>
      <w:proofErr w:type="spellEnd"/>
      <w:r w:rsidRPr="009A1CCE">
        <w:rPr>
          <w:rFonts w:ascii="Times New Roman" w:eastAsia="Times New Roman" w:hAnsi="Times New Roman" w:cs="Times New Roman"/>
          <w:sz w:val="24"/>
          <w:szCs w:val="24"/>
          <w:lang w:bidi="ar-SA"/>
        </w:rPr>
        <w:t xml:space="preserve"> protocol increased expression of estrus and altered first-service reproductive outcomes of lactating dairy cows. </w:t>
      </w:r>
      <w:r w:rsidRPr="009A1CCE">
        <w:rPr>
          <w:rFonts w:ascii="Times New Roman" w:eastAsia="Times New Roman" w:hAnsi="Times New Roman" w:cs="Times New Roman"/>
          <w:i/>
          <w:iCs/>
          <w:sz w:val="24"/>
          <w:szCs w:val="24"/>
          <w:lang w:bidi="ar-SA"/>
        </w:rPr>
        <w:t>Journal of Dairy Science, 108</w:t>
      </w:r>
      <w:r w:rsidRPr="009A1CCE">
        <w:rPr>
          <w:rFonts w:ascii="Times New Roman" w:eastAsia="Times New Roman" w:hAnsi="Times New Roman" w:cs="Times New Roman"/>
          <w:sz w:val="24"/>
          <w:szCs w:val="24"/>
          <w:lang w:bidi="ar-SA"/>
        </w:rPr>
        <w:t xml:space="preserve">(1), 1103–1124. </w:t>
      </w:r>
      <w:hyperlink r:id="rId24" w:history="1">
        <w:r w:rsidRPr="009A1CCE">
          <w:rPr>
            <w:rFonts w:ascii="Times New Roman" w:eastAsia="Times New Roman" w:hAnsi="Times New Roman" w:cs="Times New Roman"/>
            <w:color w:val="0000FF"/>
            <w:sz w:val="24"/>
            <w:szCs w:val="24"/>
            <w:u w:val="single"/>
            <w:lang w:bidi="ar-SA"/>
          </w:rPr>
          <w:t>https://doi.org/10.3168/jds.2024-24994</w:t>
        </w:r>
      </w:hyperlink>
    </w:p>
    <w:p w14:paraId="5B5738C3" w14:textId="77777777" w:rsidR="009A1CCE" w:rsidRPr="009A1CCE" w:rsidRDefault="009A1CCE" w:rsidP="009A1CCE">
      <w:pPr>
        <w:spacing w:after="0" w:line="240" w:lineRule="auto"/>
        <w:rPr>
          <w:rFonts w:ascii="Times New Roman" w:eastAsia="Times New Roman" w:hAnsi="Times New Roman" w:cs="Times New Roman"/>
          <w:sz w:val="24"/>
          <w:szCs w:val="24"/>
          <w:lang w:bidi="ar-SA"/>
        </w:rPr>
      </w:pPr>
      <w:r w:rsidRPr="009A1CCE">
        <w:rPr>
          <w:rFonts w:ascii="Times New Roman" w:eastAsia="Times New Roman" w:hAnsi="Symbol" w:cs="Times New Roman"/>
          <w:sz w:val="24"/>
          <w:szCs w:val="24"/>
          <w:lang w:bidi="ar-SA"/>
        </w:rPr>
        <w:t></w:t>
      </w:r>
      <w:r w:rsidRPr="009A1CCE">
        <w:rPr>
          <w:rFonts w:ascii="Times New Roman" w:eastAsia="Times New Roman" w:hAnsi="Times New Roman" w:cs="Times New Roman"/>
          <w:sz w:val="24"/>
          <w:szCs w:val="24"/>
          <w:lang w:bidi="ar-SA"/>
        </w:rPr>
        <w:t xml:space="preserve">  Mahto, D. (2023). Validation of </w:t>
      </w:r>
      <w:proofErr w:type="spellStart"/>
      <w:r w:rsidRPr="009A1CCE">
        <w:rPr>
          <w:rFonts w:ascii="Times New Roman" w:eastAsia="Times New Roman" w:hAnsi="Times New Roman" w:cs="Times New Roman"/>
          <w:sz w:val="24"/>
          <w:szCs w:val="24"/>
          <w:lang w:bidi="ar-SA"/>
        </w:rPr>
        <w:t>Ovsynch</w:t>
      </w:r>
      <w:proofErr w:type="spellEnd"/>
      <w:r w:rsidRPr="009A1CCE">
        <w:rPr>
          <w:rFonts w:ascii="Times New Roman" w:eastAsia="Times New Roman" w:hAnsi="Times New Roman" w:cs="Times New Roman"/>
          <w:sz w:val="24"/>
          <w:szCs w:val="24"/>
          <w:lang w:bidi="ar-SA"/>
        </w:rPr>
        <w:t xml:space="preserve"> and Heat Synch protocol in </w:t>
      </w:r>
      <w:proofErr w:type="spellStart"/>
      <w:r w:rsidRPr="009A1CCE">
        <w:rPr>
          <w:rFonts w:ascii="Times New Roman" w:eastAsia="Times New Roman" w:hAnsi="Times New Roman" w:cs="Times New Roman"/>
          <w:sz w:val="24"/>
          <w:szCs w:val="24"/>
          <w:lang w:bidi="ar-SA"/>
        </w:rPr>
        <w:t>post partum</w:t>
      </w:r>
      <w:proofErr w:type="spellEnd"/>
      <w:r w:rsidRPr="009A1CCE">
        <w:rPr>
          <w:rFonts w:ascii="Times New Roman" w:eastAsia="Times New Roman" w:hAnsi="Times New Roman" w:cs="Times New Roman"/>
          <w:sz w:val="24"/>
          <w:szCs w:val="24"/>
          <w:lang w:bidi="ar-SA"/>
        </w:rPr>
        <w:t xml:space="preserve"> </w:t>
      </w:r>
      <w:proofErr w:type="spellStart"/>
      <w:r w:rsidRPr="009A1CCE">
        <w:rPr>
          <w:rFonts w:ascii="Times New Roman" w:eastAsia="Times New Roman" w:hAnsi="Times New Roman" w:cs="Times New Roman"/>
          <w:sz w:val="24"/>
          <w:szCs w:val="24"/>
          <w:lang w:bidi="ar-SA"/>
        </w:rPr>
        <w:t>anoestrus</w:t>
      </w:r>
      <w:proofErr w:type="spellEnd"/>
      <w:r w:rsidRPr="009A1CCE">
        <w:rPr>
          <w:rFonts w:ascii="Times New Roman" w:eastAsia="Times New Roman" w:hAnsi="Times New Roman" w:cs="Times New Roman"/>
          <w:sz w:val="24"/>
          <w:szCs w:val="24"/>
          <w:lang w:bidi="ar-SA"/>
        </w:rPr>
        <w:t xml:space="preserve"> cows. </w:t>
      </w:r>
      <w:r w:rsidRPr="009A1CCE">
        <w:rPr>
          <w:rFonts w:ascii="Times New Roman" w:eastAsia="Times New Roman" w:hAnsi="Times New Roman" w:cs="Times New Roman"/>
          <w:i/>
          <w:iCs/>
          <w:sz w:val="24"/>
          <w:szCs w:val="24"/>
          <w:lang w:bidi="ar-SA"/>
        </w:rPr>
        <w:t>The Indian Journal of Animal Reproduction, 41</w:t>
      </w:r>
      <w:r w:rsidRPr="009A1CCE">
        <w:rPr>
          <w:rFonts w:ascii="Times New Roman" w:eastAsia="Times New Roman" w:hAnsi="Times New Roman" w:cs="Times New Roman"/>
          <w:sz w:val="24"/>
          <w:szCs w:val="24"/>
          <w:lang w:bidi="ar-SA"/>
        </w:rPr>
        <w:t xml:space="preserve">(2), 55–56. </w:t>
      </w:r>
      <w:hyperlink r:id="rId25" w:history="1">
        <w:r w:rsidRPr="009A1CCE">
          <w:rPr>
            <w:rFonts w:ascii="Times New Roman" w:eastAsia="Times New Roman" w:hAnsi="Times New Roman" w:cs="Times New Roman"/>
            <w:color w:val="0000FF"/>
            <w:sz w:val="24"/>
            <w:szCs w:val="24"/>
            <w:u w:val="single"/>
            <w:lang w:bidi="ar-SA"/>
          </w:rPr>
          <w:t>https://acspublisher.com/journals/index.php/ijar/article/view/4195</w:t>
        </w:r>
      </w:hyperlink>
    </w:p>
    <w:p w14:paraId="3C297924" w14:textId="77777777" w:rsidR="009A1CCE" w:rsidRPr="009A1CCE" w:rsidRDefault="009A1CCE" w:rsidP="009A1CCE">
      <w:pPr>
        <w:spacing w:after="0" w:line="240" w:lineRule="auto"/>
        <w:rPr>
          <w:rFonts w:ascii="Times New Roman" w:eastAsia="Times New Roman" w:hAnsi="Times New Roman" w:cs="Times New Roman"/>
          <w:sz w:val="24"/>
          <w:szCs w:val="24"/>
          <w:lang w:bidi="ar-SA"/>
        </w:rPr>
      </w:pPr>
      <w:r w:rsidRPr="009A1CCE">
        <w:rPr>
          <w:rFonts w:ascii="Times New Roman" w:eastAsia="Times New Roman" w:hAnsi="Symbol" w:cs="Times New Roman"/>
          <w:sz w:val="24"/>
          <w:szCs w:val="24"/>
          <w:lang w:bidi="ar-SA"/>
        </w:rPr>
        <w:t></w:t>
      </w:r>
      <w:r w:rsidRPr="009A1CCE">
        <w:rPr>
          <w:rFonts w:ascii="Times New Roman" w:eastAsia="Times New Roman" w:hAnsi="Times New Roman" w:cs="Times New Roman"/>
          <w:sz w:val="24"/>
          <w:szCs w:val="24"/>
          <w:lang w:bidi="ar-SA"/>
        </w:rPr>
        <w:t xml:space="preserve">  Nowicki, A., Barański, W., </w:t>
      </w:r>
      <w:proofErr w:type="spellStart"/>
      <w:r w:rsidRPr="009A1CCE">
        <w:rPr>
          <w:rFonts w:ascii="Times New Roman" w:eastAsia="Times New Roman" w:hAnsi="Times New Roman" w:cs="Times New Roman"/>
          <w:sz w:val="24"/>
          <w:szCs w:val="24"/>
          <w:lang w:bidi="ar-SA"/>
        </w:rPr>
        <w:t>Baryczka</w:t>
      </w:r>
      <w:proofErr w:type="spellEnd"/>
      <w:r w:rsidRPr="009A1CCE">
        <w:rPr>
          <w:rFonts w:ascii="Times New Roman" w:eastAsia="Times New Roman" w:hAnsi="Times New Roman" w:cs="Times New Roman"/>
          <w:sz w:val="24"/>
          <w:szCs w:val="24"/>
          <w:lang w:bidi="ar-SA"/>
        </w:rPr>
        <w:t xml:space="preserve">, A., &amp; Janowski, T. (2017). </w:t>
      </w:r>
      <w:proofErr w:type="spellStart"/>
      <w:r w:rsidRPr="009A1CCE">
        <w:rPr>
          <w:rFonts w:ascii="Times New Roman" w:eastAsia="Times New Roman" w:hAnsi="Times New Roman" w:cs="Times New Roman"/>
          <w:sz w:val="24"/>
          <w:szCs w:val="24"/>
          <w:lang w:bidi="ar-SA"/>
        </w:rPr>
        <w:t>OvSynch</w:t>
      </w:r>
      <w:proofErr w:type="spellEnd"/>
      <w:r w:rsidRPr="009A1CCE">
        <w:rPr>
          <w:rFonts w:ascii="Times New Roman" w:eastAsia="Times New Roman" w:hAnsi="Times New Roman" w:cs="Times New Roman"/>
          <w:sz w:val="24"/>
          <w:szCs w:val="24"/>
          <w:lang w:bidi="ar-SA"/>
        </w:rPr>
        <w:t xml:space="preserve"> protocol and its modifications in the reproduction management of dairy cattle herds: An update. </w:t>
      </w:r>
      <w:r w:rsidRPr="009A1CCE">
        <w:rPr>
          <w:rFonts w:ascii="Times New Roman" w:eastAsia="Times New Roman" w:hAnsi="Times New Roman" w:cs="Times New Roman"/>
          <w:i/>
          <w:iCs/>
          <w:sz w:val="24"/>
          <w:szCs w:val="24"/>
          <w:lang w:bidi="ar-SA"/>
        </w:rPr>
        <w:t>Journal of Veterinary Research, 61</w:t>
      </w:r>
      <w:r w:rsidRPr="009A1CCE">
        <w:rPr>
          <w:rFonts w:ascii="Times New Roman" w:eastAsia="Times New Roman" w:hAnsi="Times New Roman" w:cs="Times New Roman"/>
          <w:sz w:val="24"/>
          <w:szCs w:val="24"/>
          <w:lang w:bidi="ar-SA"/>
        </w:rPr>
        <w:t xml:space="preserve">(3), 329–336. </w:t>
      </w:r>
      <w:hyperlink r:id="rId26" w:history="1">
        <w:r w:rsidRPr="009A1CCE">
          <w:rPr>
            <w:rFonts w:ascii="Times New Roman" w:eastAsia="Times New Roman" w:hAnsi="Times New Roman" w:cs="Times New Roman"/>
            <w:color w:val="0000FF"/>
            <w:sz w:val="24"/>
            <w:szCs w:val="24"/>
            <w:u w:val="single"/>
            <w:lang w:bidi="ar-SA"/>
          </w:rPr>
          <w:t>https://doi.org/10.1515/jvetres-2017-0043</w:t>
        </w:r>
      </w:hyperlink>
    </w:p>
    <w:p w14:paraId="1E192DED" w14:textId="77777777" w:rsidR="009A1CCE" w:rsidRPr="009A1CCE" w:rsidRDefault="009A1CCE" w:rsidP="009A1CCE">
      <w:pPr>
        <w:spacing w:after="0" w:line="240" w:lineRule="auto"/>
        <w:rPr>
          <w:rFonts w:ascii="Times New Roman" w:eastAsia="Times New Roman" w:hAnsi="Times New Roman" w:cs="Times New Roman"/>
          <w:sz w:val="24"/>
          <w:szCs w:val="24"/>
          <w:lang w:bidi="ar-SA"/>
        </w:rPr>
      </w:pPr>
      <w:r w:rsidRPr="009A1CCE">
        <w:rPr>
          <w:rFonts w:ascii="Times New Roman" w:eastAsia="Times New Roman" w:hAnsi="Symbol" w:cs="Times New Roman"/>
          <w:sz w:val="24"/>
          <w:szCs w:val="24"/>
          <w:lang w:bidi="ar-SA"/>
        </w:rPr>
        <w:t></w:t>
      </w:r>
      <w:r w:rsidRPr="009A1CCE">
        <w:rPr>
          <w:rFonts w:ascii="Times New Roman" w:eastAsia="Times New Roman" w:hAnsi="Times New Roman" w:cs="Times New Roman"/>
          <w:sz w:val="24"/>
          <w:szCs w:val="24"/>
          <w:lang w:bidi="ar-SA"/>
        </w:rPr>
        <w:t xml:space="preserve">  Oke, O. E., </w:t>
      </w:r>
      <w:proofErr w:type="spellStart"/>
      <w:r w:rsidRPr="009A1CCE">
        <w:rPr>
          <w:rFonts w:ascii="Times New Roman" w:eastAsia="Times New Roman" w:hAnsi="Times New Roman" w:cs="Times New Roman"/>
          <w:sz w:val="24"/>
          <w:szCs w:val="24"/>
          <w:lang w:bidi="ar-SA"/>
        </w:rPr>
        <w:t>Uyanga</w:t>
      </w:r>
      <w:proofErr w:type="spellEnd"/>
      <w:r w:rsidRPr="009A1CCE">
        <w:rPr>
          <w:rFonts w:ascii="Times New Roman" w:eastAsia="Times New Roman" w:hAnsi="Times New Roman" w:cs="Times New Roman"/>
          <w:sz w:val="24"/>
          <w:szCs w:val="24"/>
          <w:lang w:bidi="ar-SA"/>
        </w:rPr>
        <w:t xml:space="preserve">, V. A., </w:t>
      </w:r>
      <w:proofErr w:type="spellStart"/>
      <w:r w:rsidRPr="009A1CCE">
        <w:rPr>
          <w:rFonts w:ascii="Times New Roman" w:eastAsia="Times New Roman" w:hAnsi="Times New Roman" w:cs="Times New Roman"/>
          <w:sz w:val="24"/>
          <w:szCs w:val="24"/>
          <w:lang w:bidi="ar-SA"/>
        </w:rPr>
        <w:t>Iyasere</w:t>
      </w:r>
      <w:proofErr w:type="spellEnd"/>
      <w:r w:rsidRPr="009A1CCE">
        <w:rPr>
          <w:rFonts w:ascii="Times New Roman" w:eastAsia="Times New Roman" w:hAnsi="Times New Roman" w:cs="Times New Roman"/>
          <w:sz w:val="24"/>
          <w:szCs w:val="24"/>
          <w:lang w:bidi="ar-SA"/>
        </w:rPr>
        <w:t xml:space="preserve">, O. S., Oke, F. O., Majekodunmi, B. C., </w:t>
      </w:r>
      <w:proofErr w:type="spellStart"/>
      <w:r w:rsidRPr="009A1CCE">
        <w:rPr>
          <w:rFonts w:ascii="Times New Roman" w:eastAsia="Times New Roman" w:hAnsi="Times New Roman" w:cs="Times New Roman"/>
          <w:sz w:val="24"/>
          <w:szCs w:val="24"/>
          <w:lang w:bidi="ar-SA"/>
        </w:rPr>
        <w:t>Logunleko</w:t>
      </w:r>
      <w:proofErr w:type="spellEnd"/>
      <w:r w:rsidRPr="009A1CCE">
        <w:rPr>
          <w:rFonts w:ascii="Times New Roman" w:eastAsia="Times New Roman" w:hAnsi="Times New Roman" w:cs="Times New Roman"/>
          <w:sz w:val="24"/>
          <w:szCs w:val="24"/>
          <w:lang w:bidi="ar-SA"/>
        </w:rPr>
        <w:t xml:space="preserve">, M. O., Abiona, J. A., Nwosu, E. U., </w:t>
      </w:r>
      <w:proofErr w:type="spellStart"/>
      <w:r w:rsidRPr="009A1CCE">
        <w:rPr>
          <w:rFonts w:ascii="Times New Roman" w:eastAsia="Times New Roman" w:hAnsi="Times New Roman" w:cs="Times New Roman"/>
          <w:sz w:val="24"/>
          <w:szCs w:val="24"/>
          <w:lang w:bidi="ar-SA"/>
        </w:rPr>
        <w:t>Abioja</w:t>
      </w:r>
      <w:proofErr w:type="spellEnd"/>
      <w:r w:rsidRPr="009A1CCE">
        <w:rPr>
          <w:rFonts w:ascii="Times New Roman" w:eastAsia="Times New Roman" w:hAnsi="Times New Roman" w:cs="Times New Roman"/>
          <w:sz w:val="24"/>
          <w:szCs w:val="24"/>
          <w:lang w:bidi="ar-SA"/>
        </w:rPr>
        <w:t xml:space="preserve">, M. O., Daramola, J. O., &amp; </w:t>
      </w:r>
      <w:proofErr w:type="spellStart"/>
      <w:r w:rsidRPr="009A1CCE">
        <w:rPr>
          <w:rFonts w:ascii="Times New Roman" w:eastAsia="Times New Roman" w:hAnsi="Times New Roman" w:cs="Times New Roman"/>
          <w:sz w:val="24"/>
          <w:szCs w:val="24"/>
          <w:lang w:bidi="ar-SA"/>
        </w:rPr>
        <w:t>Onagbesan</w:t>
      </w:r>
      <w:proofErr w:type="spellEnd"/>
      <w:r w:rsidRPr="009A1CCE">
        <w:rPr>
          <w:rFonts w:ascii="Times New Roman" w:eastAsia="Times New Roman" w:hAnsi="Times New Roman" w:cs="Times New Roman"/>
          <w:sz w:val="24"/>
          <w:szCs w:val="24"/>
          <w:lang w:bidi="ar-SA"/>
        </w:rPr>
        <w:t xml:space="preserve">, O. M. (2021). Environmental stress and livestock productivity in hot-humid tropics: Alleviation and future perspectives. </w:t>
      </w:r>
      <w:r w:rsidRPr="009A1CCE">
        <w:rPr>
          <w:rFonts w:ascii="Times New Roman" w:eastAsia="Times New Roman" w:hAnsi="Times New Roman" w:cs="Times New Roman"/>
          <w:i/>
          <w:iCs/>
          <w:sz w:val="24"/>
          <w:szCs w:val="24"/>
          <w:lang w:bidi="ar-SA"/>
        </w:rPr>
        <w:t>Journal of Thermal Biology, 100</w:t>
      </w:r>
      <w:r w:rsidRPr="009A1CCE">
        <w:rPr>
          <w:rFonts w:ascii="Times New Roman" w:eastAsia="Times New Roman" w:hAnsi="Times New Roman" w:cs="Times New Roman"/>
          <w:sz w:val="24"/>
          <w:szCs w:val="24"/>
          <w:lang w:bidi="ar-SA"/>
        </w:rPr>
        <w:t xml:space="preserve">, Article 103077. </w:t>
      </w:r>
      <w:hyperlink r:id="rId27" w:history="1">
        <w:r w:rsidRPr="009A1CCE">
          <w:rPr>
            <w:rFonts w:ascii="Times New Roman" w:eastAsia="Times New Roman" w:hAnsi="Times New Roman" w:cs="Times New Roman"/>
            <w:color w:val="0000FF"/>
            <w:sz w:val="24"/>
            <w:szCs w:val="24"/>
            <w:u w:val="single"/>
            <w:lang w:bidi="ar-SA"/>
          </w:rPr>
          <w:t>https://doi.org/10.1016/j.jtherbio.2021.103077</w:t>
        </w:r>
      </w:hyperlink>
    </w:p>
    <w:p w14:paraId="47039A64" w14:textId="77777777" w:rsidR="009A1CCE" w:rsidRPr="009A1CCE" w:rsidRDefault="009A1CCE" w:rsidP="009A1CCE">
      <w:pPr>
        <w:spacing w:after="0" w:line="240" w:lineRule="auto"/>
        <w:rPr>
          <w:rFonts w:ascii="Times New Roman" w:eastAsia="Times New Roman" w:hAnsi="Times New Roman" w:cs="Times New Roman"/>
          <w:sz w:val="24"/>
          <w:szCs w:val="24"/>
          <w:lang w:bidi="ar-SA"/>
        </w:rPr>
      </w:pPr>
      <w:r w:rsidRPr="009A1CCE">
        <w:rPr>
          <w:rFonts w:ascii="Times New Roman" w:eastAsia="Times New Roman" w:hAnsi="Symbol" w:cs="Times New Roman"/>
          <w:sz w:val="24"/>
          <w:szCs w:val="24"/>
          <w:lang w:bidi="ar-SA"/>
        </w:rPr>
        <w:t></w:t>
      </w:r>
      <w:r w:rsidRPr="009A1CCE">
        <w:rPr>
          <w:rFonts w:ascii="Times New Roman" w:eastAsia="Times New Roman" w:hAnsi="Times New Roman" w:cs="Times New Roman"/>
          <w:sz w:val="24"/>
          <w:szCs w:val="24"/>
          <w:lang w:bidi="ar-SA"/>
        </w:rPr>
        <w:t xml:space="preserve">  </w:t>
      </w:r>
      <w:proofErr w:type="spellStart"/>
      <w:r w:rsidRPr="009A1CCE">
        <w:rPr>
          <w:rFonts w:ascii="Times New Roman" w:eastAsia="Times New Roman" w:hAnsi="Times New Roman" w:cs="Times New Roman"/>
          <w:sz w:val="24"/>
          <w:szCs w:val="24"/>
          <w:lang w:bidi="ar-SA"/>
        </w:rPr>
        <w:t>Pancarci</w:t>
      </w:r>
      <w:proofErr w:type="spellEnd"/>
      <w:r w:rsidRPr="009A1CCE">
        <w:rPr>
          <w:rFonts w:ascii="Times New Roman" w:eastAsia="Times New Roman" w:hAnsi="Times New Roman" w:cs="Times New Roman"/>
          <w:sz w:val="24"/>
          <w:szCs w:val="24"/>
          <w:lang w:bidi="ar-SA"/>
        </w:rPr>
        <w:t xml:space="preserve">, S. M., Jordan, E. R., Risco, C. A., Schouten, M. J., Lopes, F. L., Moreira, F., &amp; Thatcher, W. W. (2002). Use of estradiol cypionate in a </w:t>
      </w:r>
      <w:proofErr w:type="spellStart"/>
      <w:r w:rsidRPr="009A1CCE">
        <w:rPr>
          <w:rFonts w:ascii="Times New Roman" w:eastAsia="Times New Roman" w:hAnsi="Times New Roman" w:cs="Times New Roman"/>
          <w:sz w:val="24"/>
          <w:szCs w:val="24"/>
          <w:lang w:bidi="ar-SA"/>
        </w:rPr>
        <w:t>presynchronized</w:t>
      </w:r>
      <w:proofErr w:type="spellEnd"/>
      <w:r w:rsidRPr="009A1CCE">
        <w:rPr>
          <w:rFonts w:ascii="Times New Roman" w:eastAsia="Times New Roman" w:hAnsi="Times New Roman" w:cs="Times New Roman"/>
          <w:sz w:val="24"/>
          <w:szCs w:val="24"/>
          <w:lang w:bidi="ar-SA"/>
        </w:rPr>
        <w:t xml:space="preserve"> timed artificial insemination program for lactating dairy cattle. </w:t>
      </w:r>
      <w:r w:rsidRPr="009A1CCE">
        <w:rPr>
          <w:rFonts w:ascii="Times New Roman" w:eastAsia="Times New Roman" w:hAnsi="Times New Roman" w:cs="Times New Roman"/>
          <w:i/>
          <w:iCs/>
          <w:sz w:val="24"/>
          <w:szCs w:val="24"/>
          <w:lang w:bidi="ar-SA"/>
        </w:rPr>
        <w:t>Journal of Dairy Science, 85</w:t>
      </w:r>
      <w:r w:rsidRPr="009A1CCE">
        <w:rPr>
          <w:rFonts w:ascii="Times New Roman" w:eastAsia="Times New Roman" w:hAnsi="Times New Roman" w:cs="Times New Roman"/>
          <w:sz w:val="24"/>
          <w:szCs w:val="24"/>
          <w:lang w:bidi="ar-SA"/>
        </w:rPr>
        <w:t xml:space="preserve">(1), 122–131. </w:t>
      </w:r>
      <w:hyperlink r:id="rId28" w:history="1">
        <w:r w:rsidRPr="009A1CCE">
          <w:rPr>
            <w:rFonts w:ascii="Times New Roman" w:eastAsia="Times New Roman" w:hAnsi="Times New Roman" w:cs="Times New Roman"/>
            <w:color w:val="0000FF"/>
            <w:sz w:val="24"/>
            <w:szCs w:val="24"/>
            <w:u w:val="single"/>
            <w:lang w:bidi="ar-SA"/>
          </w:rPr>
          <w:t>https://doi.org/10.3168/jds.S0022-0302(02)74060-5</w:t>
        </w:r>
      </w:hyperlink>
    </w:p>
    <w:p w14:paraId="7046B821" w14:textId="77777777" w:rsidR="009A1CCE" w:rsidRPr="009A1CCE" w:rsidRDefault="009A1CCE" w:rsidP="009A1CCE">
      <w:pPr>
        <w:spacing w:after="0" w:line="240" w:lineRule="auto"/>
        <w:rPr>
          <w:rFonts w:ascii="Times New Roman" w:eastAsia="Times New Roman" w:hAnsi="Times New Roman" w:cs="Times New Roman"/>
          <w:sz w:val="24"/>
          <w:szCs w:val="24"/>
          <w:lang w:bidi="ar-SA"/>
        </w:rPr>
      </w:pPr>
      <w:r w:rsidRPr="009A1CCE">
        <w:rPr>
          <w:rFonts w:ascii="Times New Roman" w:eastAsia="Times New Roman" w:hAnsi="Symbol" w:cs="Times New Roman"/>
          <w:sz w:val="24"/>
          <w:szCs w:val="24"/>
          <w:lang w:bidi="ar-SA"/>
        </w:rPr>
        <w:t></w:t>
      </w:r>
      <w:r w:rsidRPr="009A1CCE">
        <w:rPr>
          <w:rFonts w:ascii="Times New Roman" w:eastAsia="Times New Roman" w:hAnsi="Times New Roman" w:cs="Times New Roman"/>
          <w:sz w:val="24"/>
          <w:szCs w:val="24"/>
          <w:lang w:bidi="ar-SA"/>
        </w:rPr>
        <w:t xml:space="preserve">  Parmar, C. P., Patel, D. M., Hadiya, K. K., Dhami, A. J., </w:t>
      </w:r>
      <w:proofErr w:type="spellStart"/>
      <w:r w:rsidRPr="009A1CCE">
        <w:rPr>
          <w:rFonts w:ascii="Times New Roman" w:eastAsia="Times New Roman" w:hAnsi="Times New Roman" w:cs="Times New Roman"/>
          <w:sz w:val="24"/>
          <w:szCs w:val="24"/>
          <w:lang w:bidi="ar-SA"/>
        </w:rPr>
        <w:t>Buhecha</w:t>
      </w:r>
      <w:proofErr w:type="spellEnd"/>
      <w:r w:rsidRPr="009A1CCE">
        <w:rPr>
          <w:rFonts w:ascii="Times New Roman" w:eastAsia="Times New Roman" w:hAnsi="Times New Roman" w:cs="Times New Roman"/>
          <w:sz w:val="24"/>
          <w:szCs w:val="24"/>
          <w:lang w:bidi="ar-SA"/>
        </w:rPr>
        <w:t xml:space="preserve">, K. V., &amp; </w:t>
      </w:r>
      <w:proofErr w:type="spellStart"/>
      <w:r w:rsidRPr="009A1CCE">
        <w:rPr>
          <w:rFonts w:ascii="Times New Roman" w:eastAsia="Times New Roman" w:hAnsi="Times New Roman" w:cs="Times New Roman"/>
          <w:sz w:val="24"/>
          <w:szCs w:val="24"/>
          <w:lang w:bidi="ar-SA"/>
        </w:rPr>
        <w:t>Sarvaiya</w:t>
      </w:r>
      <w:proofErr w:type="spellEnd"/>
      <w:r w:rsidRPr="009A1CCE">
        <w:rPr>
          <w:rFonts w:ascii="Times New Roman" w:eastAsia="Times New Roman" w:hAnsi="Times New Roman" w:cs="Times New Roman"/>
          <w:sz w:val="24"/>
          <w:szCs w:val="24"/>
          <w:lang w:bidi="ar-SA"/>
        </w:rPr>
        <w:t xml:space="preserve">, N. P. (2015). Fertility and plasma progesterone profile in repeat breeding cows and buffaloes in </w:t>
      </w:r>
      <w:proofErr w:type="spellStart"/>
      <w:r w:rsidRPr="009A1CCE">
        <w:rPr>
          <w:rFonts w:ascii="Times New Roman" w:eastAsia="Times New Roman" w:hAnsi="Times New Roman" w:cs="Times New Roman"/>
          <w:sz w:val="24"/>
          <w:szCs w:val="24"/>
          <w:lang w:bidi="ar-SA"/>
        </w:rPr>
        <w:t>Ovsynch</w:t>
      </w:r>
      <w:proofErr w:type="spellEnd"/>
      <w:r w:rsidRPr="009A1CCE">
        <w:rPr>
          <w:rFonts w:ascii="Times New Roman" w:eastAsia="Times New Roman" w:hAnsi="Times New Roman" w:cs="Times New Roman"/>
          <w:sz w:val="24"/>
          <w:szCs w:val="24"/>
          <w:lang w:bidi="ar-SA"/>
        </w:rPr>
        <w:t xml:space="preserve"> and mid-cycle PGF₂α treatment protocols. </w:t>
      </w:r>
      <w:r w:rsidRPr="009A1CCE">
        <w:rPr>
          <w:rFonts w:ascii="Times New Roman" w:eastAsia="Times New Roman" w:hAnsi="Times New Roman" w:cs="Times New Roman"/>
          <w:i/>
          <w:iCs/>
          <w:sz w:val="24"/>
          <w:szCs w:val="24"/>
          <w:lang w:bidi="ar-SA"/>
        </w:rPr>
        <w:t>Indian Journal of Animal Reproduction, 36</w:t>
      </w:r>
      <w:r w:rsidRPr="009A1CCE">
        <w:rPr>
          <w:rFonts w:ascii="Times New Roman" w:eastAsia="Times New Roman" w:hAnsi="Times New Roman" w:cs="Times New Roman"/>
          <w:sz w:val="24"/>
          <w:szCs w:val="24"/>
          <w:lang w:bidi="ar-SA"/>
        </w:rPr>
        <w:t xml:space="preserve">(2), 29–32. </w:t>
      </w:r>
      <w:hyperlink r:id="rId29" w:history="1">
        <w:r w:rsidRPr="009A1CCE">
          <w:rPr>
            <w:rFonts w:ascii="Times New Roman" w:eastAsia="Times New Roman" w:hAnsi="Times New Roman" w:cs="Times New Roman"/>
            <w:color w:val="0000FF"/>
            <w:sz w:val="24"/>
            <w:szCs w:val="24"/>
            <w:u w:val="single"/>
            <w:lang w:bidi="ar-SA"/>
          </w:rPr>
          <w:t>https://acspublisher.com/journals/index.php/ijar/article/view/4150/3821</w:t>
        </w:r>
      </w:hyperlink>
    </w:p>
    <w:p w14:paraId="6412C6F7" w14:textId="77777777" w:rsidR="009A1CCE" w:rsidRPr="009A1CCE" w:rsidRDefault="009A1CCE" w:rsidP="009A1CCE">
      <w:pPr>
        <w:spacing w:after="0" w:line="240" w:lineRule="auto"/>
        <w:rPr>
          <w:rFonts w:ascii="Times New Roman" w:eastAsia="Times New Roman" w:hAnsi="Times New Roman" w:cs="Times New Roman"/>
          <w:sz w:val="24"/>
          <w:szCs w:val="24"/>
          <w:lang w:bidi="ar-SA"/>
        </w:rPr>
      </w:pPr>
      <w:r w:rsidRPr="009A1CCE">
        <w:rPr>
          <w:rFonts w:ascii="Times New Roman" w:eastAsia="Times New Roman" w:hAnsi="Symbol" w:cs="Times New Roman"/>
          <w:sz w:val="24"/>
          <w:szCs w:val="24"/>
          <w:lang w:bidi="ar-SA"/>
        </w:rPr>
        <w:t></w:t>
      </w:r>
      <w:r w:rsidRPr="009A1CCE">
        <w:rPr>
          <w:rFonts w:ascii="Times New Roman" w:eastAsia="Times New Roman" w:hAnsi="Times New Roman" w:cs="Times New Roman"/>
          <w:sz w:val="24"/>
          <w:szCs w:val="24"/>
          <w:lang w:bidi="ar-SA"/>
        </w:rPr>
        <w:t xml:space="preserve">  Prasanth Kumar, M., Murugavel, K., Nikhil Kumar Tej, J., Vivek Srinivas, V. M., Hemalatha, H., &amp; </w:t>
      </w:r>
      <w:proofErr w:type="spellStart"/>
      <w:r w:rsidRPr="009A1CCE">
        <w:rPr>
          <w:rFonts w:ascii="Times New Roman" w:eastAsia="Times New Roman" w:hAnsi="Times New Roman" w:cs="Times New Roman"/>
          <w:sz w:val="24"/>
          <w:szCs w:val="24"/>
          <w:lang w:bidi="ar-SA"/>
        </w:rPr>
        <w:t>Kantharaj</w:t>
      </w:r>
      <w:proofErr w:type="spellEnd"/>
      <w:r w:rsidRPr="009A1CCE">
        <w:rPr>
          <w:rFonts w:ascii="Times New Roman" w:eastAsia="Times New Roman" w:hAnsi="Times New Roman" w:cs="Times New Roman"/>
          <w:sz w:val="24"/>
          <w:szCs w:val="24"/>
          <w:lang w:bidi="ar-SA"/>
        </w:rPr>
        <w:t xml:space="preserve">, S. (2025). Comparative efficacy of CIDR-based estrus synchronization protocol </w:t>
      </w:r>
      <w:r w:rsidRPr="009A1CCE">
        <w:rPr>
          <w:rFonts w:ascii="Times New Roman" w:eastAsia="Times New Roman" w:hAnsi="Times New Roman" w:cs="Times New Roman"/>
          <w:sz w:val="24"/>
          <w:szCs w:val="24"/>
          <w:lang w:bidi="ar-SA"/>
        </w:rPr>
        <w:lastRenderedPageBreak/>
        <w:t xml:space="preserve">in postpartum anestrus Gir and </w:t>
      </w:r>
      <w:proofErr w:type="spellStart"/>
      <w:r w:rsidRPr="009A1CCE">
        <w:rPr>
          <w:rFonts w:ascii="Times New Roman" w:eastAsia="Times New Roman" w:hAnsi="Times New Roman" w:cs="Times New Roman"/>
          <w:sz w:val="24"/>
          <w:szCs w:val="24"/>
          <w:lang w:bidi="ar-SA"/>
        </w:rPr>
        <w:t>Ongole</w:t>
      </w:r>
      <w:proofErr w:type="spellEnd"/>
      <w:r w:rsidRPr="009A1CCE">
        <w:rPr>
          <w:rFonts w:ascii="Times New Roman" w:eastAsia="Times New Roman" w:hAnsi="Times New Roman" w:cs="Times New Roman"/>
          <w:sz w:val="24"/>
          <w:szCs w:val="24"/>
          <w:lang w:bidi="ar-SA"/>
        </w:rPr>
        <w:t xml:space="preserve"> cows under field conditions. </w:t>
      </w:r>
      <w:r w:rsidRPr="009A1CCE">
        <w:rPr>
          <w:rFonts w:ascii="Times New Roman" w:eastAsia="Times New Roman" w:hAnsi="Times New Roman" w:cs="Times New Roman"/>
          <w:i/>
          <w:iCs/>
          <w:sz w:val="24"/>
          <w:szCs w:val="24"/>
          <w:lang w:bidi="ar-SA"/>
        </w:rPr>
        <w:t>Journal of Advances in Biology &amp; Biotechnology, 28</w:t>
      </w:r>
      <w:r w:rsidRPr="009A1CCE">
        <w:rPr>
          <w:rFonts w:ascii="Times New Roman" w:eastAsia="Times New Roman" w:hAnsi="Times New Roman" w:cs="Times New Roman"/>
          <w:sz w:val="24"/>
          <w:szCs w:val="24"/>
          <w:lang w:bidi="ar-SA"/>
        </w:rPr>
        <w:t xml:space="preserve">(8), 508–516. </w:t>
      </w:r>
      <w:hyperlink r:id="rId30" w:history="1">
        <w:r w:rsidRPr="009A1CCE">
          <w:rPr>
            <w:rFonts w:ascii="Times New Roman" w:eastAsia="Times New Roman" w:hAnsi="Times New Roman" w:cs="Times New Roman"/>
            <w:color w:val="0000FF"/>
            <w:sz w:val="24"/>
            <w:szCs w:val="24"/>
            <w:u w:val="single"/>
            <w:lang w:bidi="ar-SA"/>
          </w:rPr>
          <w:t>https://doi.org/10.9734/jabb/2025/v28i82724</w:t>
        </w:r>
      </w:hyperlink>
    </w:p>
    <w:p w14:paraId="3F67F109" w14:textId="5F3210E9" w:rsidR="009A1CCE" w:rsidRPr="009A1CCE" w:rsidRDefault="009A1CCE" w:rsidP="009A1CCE">
      <w:pPr>
        <w:spacing w:after="0" w:line="240" w:lineRule="auto"/>
        <w:rPr>
          <w:rFonts w:ascii="Times New Roman" w:eastAsia="Times New Roman" w:hAnsi="Times New Roman" w:cs="Times New Roman"/>
          <w:sz w:val="24"/>
          <w:szCs w:val="24"/>
          <w:lang w:bidi="ar-SA"/>
        </w:rPr>
      </w:pPr>
      <w:r w:rsidRPr="009A1CCE">
        <w:rPr>
          <w:rFonts w:ascii="Times New Roman" w:eastAsia="Times New Roman" w:hAnsi="Symbol" w:cs="Times New Roman"/>
          <w:sz w:val="24"/>
          <w:szCs w:val="24"/>
          <w:lang w:bidi="ar-SA"/>
        </w:rPr>
        <w:t></w:t>
      </w:r>
      <w:r w:rsidRPr="009A1CCE">
        <w:rPr>
          <w:rFonts w:ascii="Times New Roman" w:eastAsia="Times New Roman" w:hAnsi="Times New Roman" w:cs="Times New Roman"/>
          <w:sz w:val="24"/>
          <w:szCs w:val="24"/>
          <w:lang w:bidi="ar-SA"/>
        </w:rPr>
        <w:t xml:space="preserve">  Dhami, A. J., Prajapati, A. R., Hadiya, K. K., Patel, J. A., &amp; Prajapati, J. P. (2019). Efficacy of different ovulation synchronization protocols on estrus induction response and conception rate in acyclic and cyclic crossbred cows. </w:t>
      </w:r>
      <w:r w:rsidRPr="009A1CCE">
        <w:rPr>
          <w:rFonts w:ascii="Times New Roman" w:eastAsia="Times New Roman" w:hAnsi="Times New Roman" w:cs="Times New Roman"/>
          <w:i/>
          <w:iCs/>
          <w:sz w:val="24"/>
          <w:szCs w:val="24"/>
          <w:lang w:bidi="ar-SA"/>
        </w:rPr>
        <w:t>Indian Journal of Dairy Science, 72</w:t>
      </w:r>
      <w:r w:rsidRPr="009A1CCE">
        <w:rPr>
          <w:rFonts w:ascii="Times New Roman" w:eastAsia="Times New Roman" w:hAnsi="Times New Roman" w:cs="Times New Roman"/>
          <w:sz w:val="24"/>
          <w:szCs w:val="24"/>
          <w:lang w:bidi="ar-SA"/>
        </w:rPr>
        <w:t xml:space="preserve">(2), 201–206. </w:t>
      </w:r>
      <w:hyperlink r:id="rId31" w:history="1">
        <w:r w:rsidRPr="009A1CCE">
          <w:rPr>
            <w:rFonts w:ascii="Times New Roman" w:eastAsia="Times New Roman" w:hAnsi="Times New Roman" w:cs="Times New Roman"/>
            <w:color w:val="0000FF"/>
            <w:sz w:val="24"/>
            <w:szCs w:val="24"/>
            <w:u w:val="single"/>
            <w:lang w:bidi="ar-SA"/>
          </w:rPr>
          <w:t>https://epubs.icar.org.in/index.php/IJDS/article/view/74779</w:t>
        </w:r>
      </w:hyperlink>
      <w:r w:rsidRPr="009A1CCE">
        <w:rPr>
          <w:rFonts w:ascii="Times New Roman" w:eastAsia="Times New Roman" w:hAnsi="Times New Roman" w:cs="Times New Roman"/>
          <w:sz w:val="24"/>
          <w:szCs w:val="24"/>
          <w:lang w:bidi="ar-SA"/>
        </w:rPr>
        <w:t xml:space="preserve"> </w:t>
      </w:r>
    </w:p>
    <w:p w14:paraId="1196B10D" w14:textId="77777777" w:rsidR="009A1CCE" w:rsidRPr="009A1CCE" w:rsidRDefault="009A1CCE" w:rsidP="009A1CCE">
      <w:pPr>
        <w:spacing w:after="0" w:line="240" w:lineRule="auto"/>
        <w:rPr>
          <w:rFonts w:ascii="Times New Roman" w:eastAsia="Times New Roman" w:hAnsi="Times New Roman" w:cs="Times New Roman"/>
          <w:sz w:val="24"/>
          <w:szCs w:val="24"/>
          <w:lang w:bidi="ar-SA"/>
        </w:rPr>
      </w:pPr>
      <w:r w:rsidRPr="009A1CCE">
        <w:rPr>
          <w:rFonts w:ascii="Times New Roman" w:eastAsia="Times New Roman" w:hAnsi="Symbol" w:cs="Times New Roman"/>
          <w:sz w:val="24"/>
          <w:szCs w:val="24"/>
          <w:lang w:bidi="ar-SA"/>
        </w:rPr>
        <w:t></w:t>
      </w:r>
      <w:r w:rsidRPr="009A1CCE">
        <w:rPr>
          <w:rFonts w:ascii="Times New Roman" w:eastAsia="Times New Roman" w:hAnsi="Times New Roman" w:cs="Times New Roman"/>
          <w:sz w:val="24"/>
          <w:szCs w:val="24"/>
          <w:lang w:bidi="ar-SA"/>
        </w:rPr>
        <w:t xml:space="preserve">  Pursley, J. R., Mee, M. O., &amp; Wiltbank, M. C. (1995). Synchronization of ovulation in dairy cows using PGF₂α and GnRH. </w:t>
      </w:r>
      <w:r w:rsidRPr="009A1CCE">
        <w:rPr>
          <w:rFonts w:ascii="Times New Roman" w:eastAsia="Times New Roman" w:hAnsi="Times New Roman" w:cs="Times New Roman"/>
          <w:i/>
          <w:iCs/>
          <w:sz w:val="24"/>
          <w:szCs w:val="24"/>
          <w:lang w:bidi="ar-SA"/>
        </w:rPr>
        <w:t>Theriogenology, 44</w:t>
      </w:r>
      <w:r w:rsidRPr="009A1CCE">
        <w:rPr>
          <w:rFonts w:ascii="Times New Roman" w:eastAsia="Times New Roman" w:hAnsi="Times New Roman" w:cs="Times New Roman"/>
          <w:sz w:val="24"/>
          <w:szCs w:val="24"/>
          <w:lang w:bidi="ar-SA"/>
        </w:rPr>
        <w:t xml:space="preserve">(7), 915–923. </w:t>
      </w:r>
      <w:hyperlink r:id="rId32" w:history="1">
        <w:r w:rsidRPr="009A1CCE">
          <w:rPr>
            <w:rFonts w:ascii="Times New Roman" w:eastAsia="Times New Roman" w:hAnsi="Times New Roman" w:cs="Times New Roman"/>
            <w:color w:val="0000FF"/>
            <w:sz w:val="24"/>
            <w:szCs w:val="24"/>
            <w:u w:val="single"/>
            <w:lang w:bidi="ar-SA"/>
          </w:rPr>
          <w:t>https://doi.org/10.1016/0093-691X(95)00279-H</w:t>
        </w:r>
      </w:hyperlink>
    </w:p>
    <w:p w14:paraId="5D12FDD6" w14:textId="77777777" w:rsidR="009A1CCE" w:rsidRPr="009A1CCE" w:rsidRDefault="009A1CCE" w:rsidP="009A1CCE">
      <w:pPr>
        <w:spacing w:after="0" w:line="240" w:lineRule="auto"/>
        <w:rPr>
          <w:rFonts w:ascii="Times New Roman" w:eastAsia="Times New Roman" w:hAnsi="Times New Roman" w:cs="Times New Roman"/>
          <w:sz w:val="24"/>
          <w:szCs w:val="24"/>
          <w:lang w:bidi="ar-SA"/>
        </w:rPr>
      </w:pPr>
      <w:r w:rsidRPr="009A1CCE">
        <w:rPr>
          <w:rFonts w:ascii="Times New Roman" w:eastAsia="Times New Roman" w:hAnsi="Symbol" w:cs="Times New Roman"/>
          <w:sz w:val="24"/>
          <w:szCs w:val="24"/>
          <w:lang w:bidi="ar-SA"/>
        </w:rPr>
        <w:t></w:t>
      </w:r>
      <w:r w:rsidRPr="009A1CCE">
        <w:rPr>
          <w:rFonts w:ascii="Times New Roman" w:eastAsia="Times New Roman" w:hAnsi="Times New Roman" w:cs="Times New Roman"/>
          <w:sz w:val="24"/>
          <w:szCs w:val="24"/>
          <w:lang w:bidi="ar-SA"/>
        </w:rPr>
        <w:t xml:space="preserve">  Ratnaparkhi, A. R., Deshmukh, S. G., </w:t>
      </w:r>
      <w:proofErr w:type="spellStart"/>
      <w:r w:rsidRPr="009A1CCE">
        <w:rPr>
          <w:rFonts w:ascii="Times New Roman" w:eastAsia="Times New Roman" w:hAnsi="Times New Roman" w:cs="Times New Roman"/>
          <w:sz w:val="24"/>
          <w:szCs w:val="24"/>
          <w:lang w:bidi="ar-SA"/>
        </w:rPr>
        <w:t>Birade</w:t>
      </w:r>
      <w:proofErr w:type="spellEnd"/>
      <w:r w:rsidRPr="009A1CCE">
        <w:rPr>
          <w:rFonts w:ascii="Times New Roman" w:eastAsia="Times New Roman" w:hAnsi="Times New Roman" w:cs="Times New Roman"/>
          <w:sz w:val="24"/>
          <w:szCs w:val="24"/>
          <w:lang w:bidi="ar-SA"/>
        </w:rPr>
        <w:t xml:space="preserve">, H. S., Kale, V. B., </w:t>
      </w:r>
      <w:proofErr w:type="spellStart"/>
      <w:r w:rsidRPr="009A1CCE">
        <w:rPr>
          <w:rFonts w:ascii="Times New Roman" w:eastAsia="Times New Roman" w:hAnsi="Times New Roman" w:cs="Times New Roman"/>
          <w:sz w:val="24"/>
          <w:szCs w:val="24"/>
          <w:lang w:bidi="ar-SA"/>
        </w:rPr>
        <w:t>Harkal</w:t>
      </w:r>
      <w:proofErr w:type="spellEnd"/>
      <w:r w:rsidRPr="009A1CCE">
        <w:rPr>
          <w:rFonts w:ascii="Times New Roman" w:eastAsia="Times New Roman" w:hAnsi="Times New Roman" w:cs="Times New Roman"/>
          <w:sz w:val="24"/>
          <w:szCs w:val="24"/>
          <w:lang w:bidi="ar-SA"/>
        </w:rPr>
        <w:t xml:space="preserve">, S. B., &amp; </w:t>
      </w:r>
      <w:proofErr w:type="spellStart"/>
      <w:r w:rsidRPr="009A1CCE">
        <w:rPr>
          <w:rFonts w:ascii="Times New Roman" w:eastAsia="Times New Roman" w:hAnsi="Times New Roman" w:cs="Times New Roman"/>
          <w:sz w:val="24"/>
          <w:szCs w:val="24"/>
          <w:lang w:bidi="ar-SA"/>
        </w:rPr>
        <w:t>Jadhao</w:t>
      </w:r>
      <w:proofErr w:type="spellEnd"/>
      <w:r w:rsidRPr="009A1CCE">
        <w:rPr>
          <w:rFonts w:ascii="Times New Roman" w:eastAsia="Times New Roman" w:hAnsi="Times New Roman" w:cs="Times New Roman"/>
          <w:sz w:val="24"/>
          <w:szCs w:val="24"/>
          <w:lang w:bidi="ar-SA"/>
        </w:rPr>
        <w:t xml:space="preserve">, A. D. (2020). Comparative efficacy of synchronization protocols for improving fertility in postpartum crossbred dairy cows. </w:t>
      </w:r>
      <w:r w:rsidRPr="009A1CCE">
        <w:rPr>
          <w:rFonts w:ascii="Times New Roman" w:eastAsia="Times New Roman" w:hAnsi="Times New Roman" w:cs="Times New Roman"/>
          <w:i/>
          <w:iCs/>
          <w:sz w:val="24"/>
          <w:szCs w:val="24"/>
          <w:lang w:bidi="ar-SA"/>
        </w:rPr>
        <w:t>Haryana Veterinarian, 59</w:t>
      </w:r>
      <w:r w:rsidRPr="009A1CCE">
        <w:rPr>
          <w:rFonts w:ascii="Times New Roman" w:eastAsia="Times New Roman" w:hAnsi="Times New Roman" w:cs="Times New Roman"/>
          <w:sz w:val="24"/>
          <w:szCs w:val="24"/>
          <w:lang w:bidi="ar-SA"/>
        </w:rPr>
        <w:t xml:space="preserve">(SI), 23–26. </w:t>
      </w:r>
      <w:hyperlink r:id="rId33" w:history="1">
        <w:r w:rsidRPr="009A1CCE">
          <w:rPr>
            <w:rFonts w:ascii="Times New Roman" w:eastAsia="Times New Roman" w:hAnsi="Times New Roman" w:cs="Times New Roman"/>
            <w:color w:val="0000FF"/>
            <w:sz w:val="24"/>
            <w:szCs w:val="24"/>
            <w:u w:val="single"/>
            <w:lang w:bidi="ar-SA"/>
          </w:rPr>
          <w:t>https://www.luvas.edu.in/haryana-veterinarian/download/harvet2020-march/5.pdf</w:t>
        </w:r>
      </w:hyperlink>
    </w:p>
    <w:p w14:paraId="3CA0EAD6" w14:textId="1EBFB0E2" w:rsidR="009A1CCE" w:rsidRPr="009A1CCE" w:rsidRDefault="009A1CCE" w:rsidP="009A1CCE">
      <w:pPr>
        <w:spacing w:after="0" w:line="240" w:lineRule="auto"/>
        <w:rPr>
          <w:rFonts w:ascii="Times New Roman" w:eastAsia="Times New Roman" w:hAnsi="Times New Roman" w:cs="Times New Roman"/>
          <w:sz w:val="24"/>
          <w:szCs w:val="24"/>
          <w:lang w:bidi="ar-SA"/>
        </w:rPr>
      </w:pPr>
      <w:r w:rsidRPr="009A1CCE">
        <w:rPr>
          <w:rFonts w:ascii="Times New Roman" w:eastAsia="Times New Roman" w:hAnsi="Symbol" w:cs="Times New Roman"/>
          <w:sz w:val="24"/>
          <w:szCs w:val="24"/>
          <w:lang w:bidi="ar-SA"/>
        </w:rPr>
        <w:t></w:t>
      </w:r>
      <w:r w:rsidRPr="009A1CCE">
        <w:rPr>
          <w:rFonts w:ascii="Times New Roman" w:eastAsia="Times New Roman" w:hAnsi="Times New Roman" w:cs="Times New Roman"/>
          <w:sz w:val="24"/>
          <w:szCs w:val="24"/>
          <w:lang w:bidi="ar-SA"/>
        </w:rPr>
        <w:t xml:space="preserve">  Reddy, T. J., Krishna, N. V., Tej, J. N. K., &amp; Rao, B. E. (2022). Effect of </w:t>
      </w:r>
      <w:proofErr w:type="spellStart"/>
      <w:r w:rsidRPr="009A1CCE">
        <w:rPr>
          <w:rFonts w:ascii="Times New Roman" w:eastAsia="Times New Roman" w:hAnsi="Times New Roman" w:cs="Times New Roman"/>
          <w:sz w:val="24"/>
          <w:szCs w:val="24"/>
          <w:lang w:bidi="ar-SA"/>
        </w:rPr>
        <w:t>Ovsynch</w:t>
      </w:r>
      <w:proofErr w:type="spellEnd"/>
      <w:r w:rsidRPr="009A1CCE">
        <w:rPr>
          <w:rFonts w:ascii="Times New Roman" w:eastAsia="Times New Roman" w:hAnsi="Times New Roman" w:cs="Times New Roman"/>
          <w:sz w:val="24"/>
          <w:szCs w:val="24"/>
          <w:lang w:bidi="ar-SA"/>
        </w:rPr>
        <w:t xml:space="preserve"> synchronization protocol in postpartum </w:t>
      </w:r>
      <w:proofErr w:type="spellStart"/>
      <w:r w:rsidRPr="009A1CCE">
        <w:rPr>
          <w:rFonts w:ascii="Times New Roman" w:eastAsia="Times New Roman" w:hAnsi="Times New Roman" w:cs="Times New Roman"/>
          <w:sz w:val="24"/>
          <w:szCs w:val="24"/>
          <w:lang w:bidi="ar-SA"/>
        </w:rPr>
        <w:t>anoestrous</w:t>
      </w:r>
      <w:proofErr w:type="spellEnd"/>
      <w:r w:rsidRPr="009A1CCE">
        <w:rPr>
          <w:rFonts w:ascii="Times New Roman" w:eastAsia="Times New Roman" w:hAnsi="Times New Roman" w:cs="Times New Roman"/>
          <w:sz w:val="24"/>
          <w:szCs w:val="24"/>
          <w:lang w:bidi="ar-SA"/>
        </w:rPr>
        <w:t xml:space="preserve"> and repeat breeding cattle: A field study. </w:t>
      </w:r>
      <w:r w:rsidRPr="009A1CCE">
        <w:rPr>
          <w:rFonts w:ascii="Times New Roman" w:eastAsia="Times New Roman" w:hAnsi="Times New Roman" w:cs="Times New Roman"/>
          <w:i/>
          <w:iCs/>
          <w:sz w:val="24"/>
          <w:szCs w:val="24"/>
          <w:lang w:bidi="ar-SA"/>
        </w:rPr>
        <w:t>The Pharma Innovation Journal, 11</w:t>
      </w:r>
      <w:r w:rsidRPr="009A1CCE">
        <w:rPr>
          <w:rFonts w:ascii="Times New Roman" w:eastAsia="Times New Roman" w:hAnsi="Times New Roman" w:cs="Times New Roman"/>
          <w:sz w:val="24"/>
          <w:szCs w:val="24"/>
          <w:lang w:bidi="ar-SA"/>
        </w:rPr>
        <w:t xml:space="preserve">(8), 955–959. </w:t>
      </w:r>
    </w:p>
    <w:p w14:paraId="045DE365" w14:textId="77777777" w:rsidR="009A1CCE" w:rsidRPr="009A1CCE" w:rsidRDefault="009A1CCE" w:rsidP="009A1CCE">
      <w:pPr>
        <w:spacing w:after="0" w:line="240" w:lineRule="auto"/>
        <w:rPr>
          <w:rFonts w:ascii="Times New Roman" w:eastAsia="Times New Roman" w:hAnsi="Times New Roman" w:cs="Times New Roman"/>
          <w:sz w:val="24"/>
          <w:szCs w:val="24"/>
          <w:lang w:bidi="ar-SA"/>
        </w:rPr>
      </w:pPr>
      <w:r w:rsidRPr="009A1CCE">
        <w:rPr>
          <w:rFonts w:ascii="Times New Roman" w:eastAsia="Times New Roman" w:hAnsi="Symbol" w:cs="Times New Roman"/>
          <w:sz w:val="24"/>
          <w:szCs w:val="24"/>
          <w:lang w:bidi="ar-SA"/>
        </w:rPr>
        <w:t></w:t>
      </w:r>
      <w:r w:rsidRPr="009A1CCE">
        <w:rPr>
          <w:rFonts w:ascii="Times New Roman" w:eastAsia="Times New Roman" w:hAnsi="Times New Roman" w:cs="Times New Roman"/>
          <w:sz w:val="24"/>
          <w:szCs w:val="24"/>
          <w:lang w:bidi="ar-SA"/>
        </w:rPr>
        <w:t xml:space="preserve">  Reith, S., &amp; Hoy, S. (2018). Review: Behavioral signs of estrus and the potential of fully automated systems for detection of estrus in dairy cattle. </w:t>
      </w:r>
      <w:r w:rsidRPr="009A1CCE">
        <w:rPr>
          <w:rFonts w:ascii="Times New Roman" w:eastAsia="Times New Roman" w:hAnsi="Times New Roman" w:cs="Times New Roman"/>
          <w:i/>
          <w:iCs/>
          <w:sz w:val="24"/>
          <w:szCs w:val="24"/>
          <w:lang w:bidi="ar-SA"/>
        </w:rPr>
        <w:t>Animal, 12</w:t>
      </w:r>
      <w:r w:rsidRPr="009A1CCE">
        <w:rPr>
          <w:rFonts w:ascii="Times New Roman" w:eastAsia="Times New Roman" w:hAnsi="Times New Roman" w:cs="Times New Roman"/>
          <w:sz w:val="24"/>
          <w:szCs w:val="24"/>
          <w:lang w:bidi="ar-SA"/>
        </w:rPr>
        <w:t xml:space="preserve">(2), 398–407. </w:t>
      </w:r>
      <w:hyperlink r:id="rId34" w:history="1">
        <w:r w:rsidRPr="009A1CCE">
          <w:rPr>
            <w:rFonts w:ascii="Times New Roman" w:eastAsia="Times New Roman" w:hAnsi="Times New Roman" w:cs="Times New Roman"/>
            <w:color w:val="0000FF"/>
            <w:sz w:val="24"/>
            <w:szCs w:val="24"/>
            <w:u w:val="single"/>
            <w:lang w:bidi="ar-SA"/>
          </w:rPr>
          <w:t>https://doi.org/10.1017/S1751731117001975</w:t>
        </w:r>
      </w:hyperlink>
    </w:p>
    <w:p w14:paraId="20E95064" w14:textId="77777777" w:rsidR="009A1CCE" w:rsidRPr="009A1CCE" w:rsidRDefault="009A1CCE" w:rsidP="009A1CCE">
      <w:pPr>
        <w:spacing w:after="0" w:line="240" w:lineRule="auto"/>
        <w:rPr>
          <w:rFonts w:ascii="Times New Roman" w:eastAsia="Times New Roman" w:hAnsi="Times New Roman" w:cs="Times New Roman"/>
          <w:sz w:val="24"/>
          <w:szCs w:val="24"/>
          <w:lang w:bidi="ar-SA"/>
        </w:rPr>
      </w:pPr>
      <w:r w:rsidRPr="009A1CCE">
        <w:rPr>
          <w:rFonts w:ascii="Times New Roman" w:eastAsia="Times New Roman" w:hAnsi="Symbol" w:cs="Times New Roman"/>
          <w:sz w:val="24"/>
          <w:szCs w:val="24"/>
          <w:lang w:bidi="ar-SA"/>
        </w:rPr>
        <w:t></w:t>
      </w:r>
      <w:r w:rsidRPr="009A1CCE">
        <w:rPr>
          <w:rFonts w:ascii="Times New Roman" w:eastAsia="Times New Roman" w:hAnsi="Times New Roman" w:cs="Times New Roman"/>
          <w:sz w:val="24"/>
          <w:szCs w:val="24"/>
          <w:lang w:bidi="ar-SA"/>
        </w:rPr>
        <w:t xml:space="preserve">  </w:t>
      </w:r>
      <w:proofErr w:type="spellStart"/>
      <w:r w:rsidRPr="009A1CCE">
        <w:rPr>
          <w:rFonts w:ascii="Times New Roman" w:eastAsia="Times New Roman" w:hAnsi="Times New Roman" w:cs="Times New Roman"/>
          <w:sz w:val="24"/>
          <w:szCs w:val="24"/>
          <w:lang w:bidi="ar-SA"/>
        </w:rPr>
        <w:t>Sacarrão-Birrento</w:t>
      </w:r>
      <w:proofErr w:type="spellEnd"/>
      <w:r w:rsidRPr="009A1CCE">
        <w:rPr>
          <w:rFonts w:ascii="Times New Roman" w:eastAsia="Times New Roman" w:hAnsi="Times New Roman" w:cs="Times New Roman"/>
          <w:sz w:val="24"/>
          <w:szCs w:val="24"/>
          <w:lang w:bidi="ar-SA"/>
        </w:rPr>
        <w:t xml:space="preserve">, L., Harrison, L. J. S., Pienaar, R., Toka, F. N., Torres-Acosta, J. F. J., Vilela, V. L. R., </w:t>
      </w:r>
      <w:proofErr w:type="spellStart"/>
      <w:r w:rsidRPr="009A1CCE">
        <w:rPr>
          <w:rFonts w:ascii="Times New Roman" w:eastAsia="Times New Roman" w:hAnsi="Times New Roman" w:cs="Times New Roman"/>
          <w:sz w:val="24"/>
          <w:szCs w:val="24"/>
          <w:lang w:bidi="ar-SA"/>
        </w:rPr>
        <w:t>Githaka</w:t>
      </w:r>
      <w:proofErr w:type="spellEnd"/>
      <w:r w:rsidRPr="009A1CCE">
        <w:rPr>
          <w:rFonts w:ascii="Times New Roman" w:eastAsia="Times New Roman" w:hAnsi="Times New Roman" w:cs="Times New Roman"/>
          <w:sz w:val="24"/>
          <w:szCs w:val="24"/>
          <w:lang w:bidi="ar-SA"/>
        </w:rPr>
        <w:t xml:space="preserve">, N., </w:t>
      </w:r>
      <w:proofErr w:type="spellStart"/>
      <w:r w:rsidRPr="009A1CCE">
        <w:rPr>
          <w:rFonts w:ascii="Times New Roman" w:eastAsia="Times New Roman" w:hAnsi="Times New Roman" w:cs="Times New Roman"/>
          <w:sz w:val="24"/>
          <w:szCs w:val="24"/>
          <w:lang w:bidi="ar-SA"/>
        </w:rPr>
        <w:t>Desquesnes</w:t>
      </w:r>
      <w:proofErr w:type="spellEnd"/>
      <w:r w:rsidRPr="009A1CCE">
        <w:rPr>
          <w:rFonts w:ascii="Times New Roman" w:eastAsia="Times New Roman" w:hAnsi="Times New Roman" w:cs="Times New Roman"/>
          <w:sz w:val="24"/>
          <w:szCs w:val="24"/>
          <w:lang w:bidi="ar-SA"/>
        </w:rPr>
        <w:t xml:space="preserve">, M., Rinaldi, L., </w:t>
      </w:r>
      <w:proofErr w:type="spellStart"/>
      <w:r w:rsidRPr="009A1CCE">
        <w:rPr>
          <w:rFonts w:ascii="Times New Roman" w:eastAsia="Times New Roman" w:hAnsi="Times New Roman" w:cs="Times New Roman"/>
          <w:sz w:val="24"/>
          <w:szCs w:val="24"/>
          <w:lang w:bidi="ar-SA"/>
        </w:rPr>
        <w:t>Cringoli</w:t>
      </w:r>
      <w:proofErr w:type="spellEnd"/>
      <w:r w:rsidRPr="009A1CCE">
        <w:rPr>
          <w:rFonts w:ascii="Times New Roman" w:eastAsia="Times New Roman" w:hAnsi="Times New Roman" w:cs="Times New Roman"/>
          <w:sz w:val="24"/>
          <w:szCs w:val="24"/>
          <w:lang w:bidi="ar-SA"/>
        </w:rPr>
        <w:t xml:space="preserve">, G., Chartier, C., </w:t>
      </w:r>
      <w:proofErr w:type="spellStart"/>
      <w:r w:rsidRPr="009A1CCE">
        <w:rPr>
          <w:rFonts w:ascii="Times New Roman" w:eastAsia="Times New Roman" w:hAnsi="Times New Roman" w:cs="Times New Roman"/>
          <w:sz w:val="24"/>
          <w:szCs w:val="24"/>
          <w:lang w:bidi="ar-SA"/>
        </w:rPr>
        <w:t>Sotiraki</w:t>
      </w:r>
      <w:proofErr w:type="spellEnd"/>
      <w:r w:rsidRPr="009A1CCE">
        <w:rPr>
          <w:rFonts w:ascii="Times New Roman" w:eastAsia="Times New Roman" w:hAnsi="Times New Roman" w:cs="Times New Roman"/>
          <w:sz w:val="24"/>
          <w:szCs w:val="24"/>
          <w:lang w:bidi="ar-SA"/>
        </w:rPr>
        <w:t xml:space="preserve">, S., &amp; Nisbet, A. J. (2024). Challenges for animal health and production in the tropics and Mediterranean for the next 55 years. </w:t>
      </w:r>
      <w:r w:rsidRPr="009A1CCE">
        <w:rPr>
          <w:rFonts w:ascii="Times New Roman" w:eastAsia="Times New Roman" w:hAnsi="Times New Roman" w:cs="Times New Roman"/>
          <w:i/>
          <w:iCs/>
          <w:sz w:val="24"/>
          <w:szCs w:val="24"/>
          <w:lang w:bidi="ar-SA"/>
        </w:rPr>
        <w:t>Tropical Animal Health and Production, 56</w:t>
      </w:r>
      <w:r w:rsidRPr="009A1CCE">
        <w:rPr>
          <w:rFonts w:ascii="Times New Roman" w:eastAsia="Times New Roman" w:hAnsi="Times New Roman" w:cs="Times New Roman"/>
          <w:sz w:val="24"/>
          <w:szCs w:val="24"/>
          <w:lang w:bidi="ar-SA"/>
        </w:rPr>
        <w:t xml:space="preserve">(8), Article 381. </w:t>
      </w:r>
      <w:hyperlink r:id="rId35" w:history="1">
        <w:r w:rsidRPr="009A1CCE">
          <w:rPr>
            <w:rFonts w:ascii="Times New Roman" w:eastAsia="Times New Roman" w:hAnsi="Times New Roman" w:cs="Times New Roman"/>
            <w:color w:val="0000FF"/>
            <w:sz w:val="24"/>
            <w:szCs w:val="24"/>
            <w:u w:val="single"/>
            <w:lang w:bidi="ar-SA"/>
          </w:rPr>
          <w:t>https://doi.org/10.1007/s11250-024-04212-7</w:t>
        </w:r>
      </w:hyperlink>
    </w:p>
    <w:p w14:paraId="31BDD6BC" w14:textId="77777777" w:rsidR="009A1CCE" w:rsidRPr="009A1CCE" w:rsidRDefault="009A1CCE" w:rsidP="009A1CCE">
      <w:pPr>
        <w:spacing w:after="0" w:line="240" w:lineRule="auto"/>
        <w:rPr>
          <w:rFonts w:ascii="Times New Roman" w:eastAsia="Times New Roman" w:hAnsi="Times New Roman" w:cs="Times New Roman"/>
          <w:sz w:val="24"/>
          <w:szCs w:val="24"/>
          <w:lang w:bidi="ar-SA"/>
        </w:rPr>
      </w:pPr>
      <w:r w:rsidRPr="009A1CCE">
        <w:rPr>
          <w:rFonts w:ascii="Times New Roman" w:eastAsia="Times New Roman" w:hAnsi="Symbol" w:cs="Times New Roman"/>
          <w:sz w:val="24"/>
          <w:szCs w:val="24"/>
          <w:lang w:bidi="ar-SA"/>
        </w:rPr>
        <w:t></w:t>
      </w:r>
      <w:r w:rsidRPr="009A1CCE">
        <w:rPr>
          <w:rFonts w:ascii="Times New Roman" w:eastAsia="Times New Roman" w:hAnsi="Times New Roman" w:cs="Times New Roman"/>
          <w:sz w:val="24"/>
          <w:szCs w:val="24"/>
          <w:lang w:bidi="ar-SA"/>
        </w:rPr>
        <w:t xml:space="preserve">  Singh, K. M., Singh, P., Sinha, N., &amp; Ahmed, N. (2020). An overview of livestock and dairy sector: Strategies for its growth in Eastern Indian state of Bihar. </w:t>
      </w:r>
      <w:r w:rsidRPr="009A1CCE">
        <w:rPr>
          <w:rFonts w:ascii="Times New Roman" w:eastAsia="Times New Roman" w:hAnsi="Times New Roman" w:cs="Times New Roman"/>
          <w:i/>
          <w:iCs/>
          <w:sz w:val="24"/>
          <w:szCs w:val="24"/>
          <w:lang w:bidi="ar-SA"/>
        </w:rPr>
        <w:t>International Journal of Livestock Research, 10</w:t>
      </w:r>
      <w:r w:rsidRPr="009A1CCE">
        <w:rPr>
          <w:rFonts w:ascii="Times New Roman" w:eastAsia="Times New Roman" w:hAnsi="Times New Roman" w:cs="Times New Roman"/>
          <w:sz w:val="24"/>
          <w:szCs w:val="24"/>
          <w:lang w:bidi="ar-SA"/>
        </w:rPr>
        <w:t xml:space="preserve">(9), 13–24. </w:t>
      </w:r>
      <w:hyperlink r:id="rId36" w:history="1">
        <w:r w:rsidRPr="009A1CCE">
          <w:rPr>
            <w:rFonts w:ascii="Times New Roman" w:eastAsia="Times New Roman" w:hAnsi="Times New Roman" w:cs="Times New Roman"/>
            <w:color w:val="0000FF"/>
            <w:sz w:val="24"/>
            <w:szCs w:val="24"/>
            <w:u w:val="single"/>
            <w:lang w:bidi="ar-SA"/>
          </w:rPr>
          <w:t>https://doi.org/10.5455/ijlr.20200430054021</w:t>
        </w:r>
      </w:hyperlink>
    </w:p>
    <w:p w14:paraId="5AE3ABEF" w14:textId="77777777" w:rsidR="009A1CCE" w:rsidRPr="009A1CCE" w:rsidRDefault="009A1CCE" w:rsidP="009A1CCE">
      <w:pPr>
        <w:spacing w:after="0" w:line="240" w:lineRule="auto"/>
        <w:rPr>
          <w:rFonts w:ascii="Times New Roman" w:eastAsia="Times New Roman" w:hAnsi="Times New Roman" w:cs="Times New Roman"/>
          <w:sz w:val="24"/>
          <w:szCs w:val="24"/>
          <w:lang w:bidi="ar-SA"/>
        </w:rPr>
      </w:pPr>
      <w:r w:rsidRPr="009A1CCE">
        <w:rPr>
          <w:rFonts w:ascii="Times New Roman" w:eastAsia="Times New Roman" w:hAnsi="Symbol" w:cs="Times New Roman"/>
          <w:sz w:val="24"/>
          <w:szCs w:val="24"/>
          <w:lang w:bidi="ar-SA"/>
        </w:rPr>
        <w:t></w:t>
      </w:r>
      <w:r w:rsidRPr="009A1CCE">
        <w:rPr>
          <w:rFonts w:ascii="Times New Roman" w:eastAsia="Times New Roman" w:hAnsi="Times New Roman" w:cs="Times New Roman"/>
          <w:sz w:val="24"/>
          <w:szCs w:val="24"/>
          <w:lang w:bidi="ar-SA"/>
        </w:rPr>
        <w:t xml:space="preserve">  </w:t>
      </w:r>
      <w:proofErr w:type="spellStart"/>
      <w:r w:rsidRPr="009A1CCE">
        <w:rPr>
          <w:rFonts w:ascii="Times New Roman" w:eastAsia="Times New Roman" w:hAnsi="Times New Roman" w:cs="Times New Roman"/>
          <w:sz w:val="24"/>
          <w:szCs w:val="24"/>
          <w:lang w:bidi="ar-SA"/>
        </w:rPr>
        <w:t>Tanwer</w:t>
      </w:r>
      <w:proofErr w:type="spellEnd"/>
      <w:r w:rsidRPr="009A1CCE">
        <w:rPr>
          <w:rFonts w:ascii="Times New Roman" w:eastAsia="Times New Roman" w:hAnsi="Times New Roman" w:cs="Times New Roman"/>
          <w:sz w:val="24"/>
          <w:szCs w:val="24"/>
          <w:lang w:bidi="ar-SA"/>
        </w:rPr>
        <w:t>, A., Gaur, M., Jhamb, D. K., Bhardwaj, B., Kuldeep, S. K., &amp; Panwar, K. (2020). Comparative study of different hormone protocols in anestrus cattle (</w:t>
      </w:r>
      <w:r w:rsidRPr="009A1CCE">
        <w:rPr>
          <w:rFonts w:ascii="Times New Roman" w:eastAsia="Times New Roman" w:hAnsi="Times New Roman" w:cs="Times New Roman"/>
          <w:i/>
          <w:iCs/>
          <w:sz w:val="24"/>
          <w:szCs w:val="24"/>
          <w:lang w:bidi="ar-SA"/>
        </w:rPr>
        <w:t>Bos indicus</w:t>
      </w:r>
      <w:r w:rsidRPr="009A1CCE">
        <w:rPr>
          <w:rFonts w:ascii="Times New Roman" w:eastAsia="Times New Roman" w:hAnsi="Times New Roman" w:cs="Times New Roman"/>
          <w:sz w:val="24"/>
          <w:szCs w:val="24"/>
          <w:lang w:bidi="ar-SA"/>
        </w:rPr>
        <w:t xml:space="preserve">). </w:t>
      </w:r>
      <w:r w:rsidRPr="009A1CCE">
        <w:rPr>
          <w:rFonts w:ascii="Times New Roman" w:eastAsia="Times New Roman" w:hAnsi="Times New Roman" w:cs="Times New Roman"/>
          <w:i/>
          <w:iCs/>
          <w:sz w:val="24"/>
          <w:szCs w:val="24"/>
          <w:lang w:bidi="ar-SA"/>
        </w:rPr>
        <w:t>International Journal of Current Microbiology and Applied Sciences, 9</w:t>
      </w:r>
      <w:r w:rsidRPr="009A1CCE">
        <w:rPr>
          <w:rFonts w:ascii="Times New Roman" w:eastAsia="Times New Roman" w:hAnsi="Times New Roman" w:cs="Times New Roman"/>
          <w:sz w:val="24"/>
          <w:szCs w:val="24"/>
          <w:lang w:bidi="ar-SA"/>
        </w:rPr>
        <w:t xml:space="preserve">(7), 2122–2126. </w:t>
      </w:r>
      <w:hyperlink r:id="rId37" w:history="1">
        <w:r w:rsidRPr="009A1CCE">
          <w:rPr>
            <w:rFonts w:ascii="Times New Roman" w:eastAsia="Times New Roman" w:hAnsi="Times New Roman" w:cs="Times New Roman"/>
            <w:color w:val="0000FF"/>
            <w:sz w:val="24"/>
            <w:szCs w:val="24"/>
            <w:u w:val="single"/>
            <w:lang w:bidi="ar-SA"/>
          </w:rPr>
          <w:t>https://doi.org/10.20546/ijcmas.2020.907.247</w:t>
        </w:r>
      </w:hyperlink>
    </w:p>
    <w:p w14:paraId="6B47CE28" w14:textId="77777777" w:rsidR="009A1CCE" w:rsidRPr="009A1CCE" w:rsidRDefault="009A1CCE" w:rsidP="009A1CCE">
      <w:pPr>
        <w:spacing w:after="0" w:line="240" w:lineRule="auto"/>
        <w:rPr>
          <w:rFonts w:ascii="Times New Roman" w:eastAsia="Times New Roman" w:hAnsi="Times New Roman" w:cs="Times New Roman"/>
          <w:sz w:val="24"/>
          <w:szCs w:val="24"/>
          <w:lang w:bidi="ar-SA"/>
        </w:rPr>
      </w:pPr>
      <w:r w:rsidRPr="009A1CCE">
        <w:rPr>
          <w:rFonts w:ascii="Times New Roman" w:eastAsia="Times New Roman" w:hAnsi="Symbol" w:cs="Times New Roman"/>
          <w:sz w:val="24"/>
          <w:szCs w:val="24"/>
          <w:lang w:bidi="ar-SA"/>
        </w:rPr>
        <w:t></w:t>
      </w:r>
      <w:r w:rsidRPr="009A1CCE">
        <w:rPr>
          <w:rFonts w:ascii="Times New Roman" w:eastAsia="Times New Roman" w:hAnsi="Times New Roman" w:cs="Times New Roman"/>
          <w:sz w:val="24"/>
          <w:szCs w:val="24"/>
          <w:lang w:bidi="ar-SA"/>
        </w:rPr>
        <w:t xml:space="preserve">  Taylor, R. F., Crosson, P., Kelly, A. K., &amp; McGee, M. (2018). Benchmarking technical and economic performance of beef cow-calf to finishing production systems in Ireland. </w:t>
      </w:r>
      <w:r w:rsidRPr="009A1CCE">
        <w:rPr>
          <w:rFonts w:ascii="Times New Roman" w:eastAsia="Times New Roman" w:hAnsi="Times New Roman" w:cs="Times New Roman"/>
          <w:i/>
          <w:iCs/>
          <w:sz w:val="24"/>
          <w:szCs w:val="24"/>
          <w:lang w:bidi="ar-SA"/>
        </w:rPr>
        <w:t>The Professional Animal Scientist, 34</w:t>
      </w:r>
      <w:r w:rsidRPr="009A1CCE">
        <w:rPr>
          <w:rFonts w:ascii="Times New Roman" w:eastAsia="Times New Roman" w:hAnsi="Times New Roman" w:cs="Times New Roman"/>
          <w:sz w:val="24"/>
          <w:szCs w:val="24"/>
          <w:lang w:bidi="ar-SA"/>
        </w:rPr>
        <w:t xml:space="preserve">(5), 421–434. </w:t>
      </w:r>
      <w:hyperlink r:id="rId38" w:history="1">
        <w:r w:rsidRPr="009A1CCE">
          <w:rPr>
            <w:rFonts w:ascii="Times New Roman" w:eastAsia="Times New Roman" w:hAnsi="Times New Roman" w:cs="Times New Roman"/>
            <w:color w:val="0000FF"/>
            <w:sz w:val="24"/>
            <w:szCs w:val="24"/>
            <w:u w:val="single"/>
            <w:lang w:bidi="ar-SA"/>
          </w:rPr>
          <w:t>https://doi.org/10.15232/pas.2017-01709</w:t>
        </w:r>
      </w:hyperlink>
    </w:p>
    <w:p w14:paraId="3CBCC8AC" w14:textId="77777777" w:rsidR="009A1CCE" w:rsidRPr="009A1CCE" w:rsidRDefault="009A1CCE" w:rsidP="009A1CCE">
      <w:pPr>
        <w:spacing w:after="0" w:line="240" w:lineRule="auto"/>
        <w:rPr>
          <w:rFonts w:ascii="Times New Roman" w:eastAsia="Times New Roman" w:hAnsi="Times New Roman" w:cs="Times New Roman"/>
          <w:sz w:val="24"/>
          <w:szCs w:val="24"/>
          <w:lang w:bidi="ar-SA"/>
        </w:rPr>
      </w:pPr>
      <w:r w:rsidRPr="009A1CCE">
        <w:rPr>
          <w:rFonts w:ascii="Times New Roman" w:eastAsia="Times New Roman" w:hAnsi="Symbol" w:cs="Times New Roman"/>
          <w:sz w:val="24"/>
          <w:szCs w:val="24"/>
          <w:lang w:bidi="ar-SA"/>
        </w:rPr>
        <w:t></w:t>
      </w:r>
      <w:r w:rsidRPr="009A1CCE">
        <w:rPr>
          <w:rFonts w:ascii="Times New Roman" w:eastAsia="Times New Roman" w:hAnsi="Times New Roman" w:cs="Times New Roman"/>
          <w:sz w:val="24"/>
          <w:szCs w:val="24"/>
          <w:lang w:bidi="ar-SA"/>
        </w:rPr>
        <w:t xml:space="preserve">  Vazquez Belandria, R., Denholm, K., Pepler, P. T., Cook, J. G., Pinho, P., Randi, F., &amp; Viora, L. (2023). Comparison of three reproductive management strategies for lactating dairy cows using a combination of estrus detection or ovulation synchronization and fixed-time artificial insemination. </w:t>
      </w:r>
      <w:r w:rsidRPr="009A1CCE">
        <w:rPr>
          <w:rFonts w:ascii="Times New Roman" w:eastAsia="Times New Roman" w:hAnsi="Times New Roman" w:cs="Times New Roman"/>
          <w:i/>
          <w:iCs/>
          <w:sz w:val="24"/>
          <w:szCs w:val="24"/>
          <w:lang w:bidi="ar-SA"/>
        </w:rPr>
        <w:t>Animal Reproduction Science, 257</w:t>
      </w:r>
      <w:r w:rsidRPr="009A1CCE">
        <w:rPr>
          <w:rFonts w:ascii="Times New Roman" w:eastAsia="Times New Roman" w:hAnsi="Times New Roman" w:cs="Times New Roman"/>
          <w:sz w:val="24"/>
          <w:szCs w:val="24"/>
          <w:lang w:bidi="ar-SA"/>
        </w:rPr>
        <w:t xml:space="preserve">, Article 107331. </w:t>
      </w:r>
      <w:hyperlink r:id="rId39" w:history="1">
        <w:r w:rsidRPr="009A1CCE">
          <w:rPr>
            <w:rFonts w:ascii="Times New Roman" w:eastAsia="Times New Roman" w:hAnsi="Times New Roman" w:cs="Times New Roman"/>
            <w:color w:val="0000FF"/>
            <w:sz w:val="24"/>
            <w:szCs w:val="24"/>
            <w:u w:val="single"/>
            <w:lang w:bidi="ar-SA"/>
          </w:rPr>
          <w:t>https://doi.org/10.1016/j.anireprosci.2023.107331</w:t>
        </w:r>
      </w:hyperlink>
    </w:p>
    <w:p w14:paraId="316B36F1" w14:textId="77777777" w:rsidR="009A1CCE" w:rsidRPr="009A1CCE" w:rsidRDefault="009A1CCE" w:rsidP="009A1CCE">
      <w:pPr>
        <w:spacing w:after="0" w:line="240" w:lineRule="auto"/>
        <w:rPr>
          <w:rFonts w:ascii="Times New Roman" w:eastAsia="Times New Roman" w:hAnsi="Times New Roman" w:cs="Times New Roman"/>
          <w:sz w:val="24"/>
          <w:szCs w:val="24"/>
          <w:lang w:bidi="ar-SA"/>
        </w:rPr>
      </w:pPr>
      <w:r w:rsidRPr="009A1CCE">
        <w:rPr>
          <w:rFonts w:ascii="Times New Roman" w:eastAsia="Times New Roman" w:hAnsi="Symbol" w:cs="Times New Roman"/>
          <w:sz w:val="24"/>
          <w:szCs w:val="24"/>
          <w:lang w:bidi="ar-SA"/>
        </w:rPr>
        <w:t></w:t>
      </w:r>
      <w:r w:rsidRPr="009A1CCE">
        <w:rPr>
          <w:rFonts w:ascii="Times New Roman" w:eastAsia="Times New Roman" w:hAnsi="Times New Roman" w:cs="Times New Roman"/>
          <w:sz w:val="24"/>
          <w:szCs w:val="24"/>
          <w:lang w:bidi="ar-SA"/>
        </w:rPr>
        <w:t xml:space="preserve">  Williams, G. L., &amp; Cardoso, R. C. (2021). Neuroendocrine control of estrus and ovulation. In R. M. Hopper (Ed.), </w:t>
      </w:r>
      <w:r w:rsidRPr="009A1CCE">
        <w:rPr>
          <w:rFonts w:ascii="Times New Roman" w:eastAsia="Times New Roman" w:hAnsi="Times New Roman" w:cs="Times New Roman"/>
          <w:i/>
          <w:iCs/>
          <w:sz w:val="24"/>
          <w:szCs w:val="24"/>
          <w:lang w:bidi="ar-SA"/>
        </w:rPr>
        <w:t>Bovine reproduction</w:t>
      </w:r>
      <w:r w:rsidRPr="009A1CCE">
        <w:rPr>
          <w:rFonts w:ascii="Times New Roman" w:eastAsia="Times New Roman" w:hAnsi="Times New Roman" w:cs="Times New Roman"/>
          <w:sz w:val="24"/>
          <w:szCs w:val="24"/>
          <w:lang w:bidi="ar-SA"/>
        </w:rPr>
        <w:t xml:space="preserve"> (2nd ed., pp. 269–291). Wiley. </w:t>
      </w:r>
      <w:hyperlink r:id="rId40" w:history="1">
        <w:r w:rsidRPr="009A1CCE">
          <w:rPr>
            <w:rFonts w:ascii="Times New Roman" w:eastAsia="Times New Roman" w:hAnsi="Times New Roman" w:cs="Times New Roman"/>
            <w:color w:val="0000FF"/>
            <w:sz w:val="24"/>
            <w:szCs w:val="24"/>
            <w:u w:val="single"/>
            <w:lang w:bidi="ar-SA"/>
          </w:rPr>
          <w:t>https://onlinelibrary.wiley.com/doi/epdf/10.1002/9781119602484.fmatter</w:t>
        </w:r>
      </w:hyperlink>
    </w:p>
    <w:p w14:paraId="2CF2EBDC" w14:textId="792787D3" w:rsidR="009A1CCE" w:rsidRPr="00F12824" w:rsidRDefault="009A1CCE" w:rsidP="009A1CCE">
      <w:pPr>
        <w:spacing w:line="480" w:lineRule="auto"/>
        <w:rPr>
          <w:rFonts w:ascii="Times New Roman" w:hAnsi="Times New Roman" w:cs="Times New Roman"/>
          <w:b/>
          <w:bCs/>
          <w:sz w:val="24"/>
          <w:szCs w:val="22"/>
        </w:rPr>
      </w:pPr>
      <w:r w:rsidRPr="009A1CCE">
        <w:rPr>
          <w:rFonts w:ascii="Times New Roman" w:eastAsia="Times New Roman" w:hAnsi="Symbol" w:cs="Times New Roman"/>
          <w:sz w:val="24"/>
          <w:szCs w:val="24"/>
          <w:lang w:bidi="ar-SA"/>
        </w:rPr>
        <w:lastRenderedPageBreak/>
        <w:t></w:t>
      </w:r>
      <w:r w:rsidRPr="009A1CCE">
        <w:rPr>
          <w:rFonts w:ascii="Times New Roman" w:eastAsia="Times New Roman" w:hAnsi="Times New Roman" w:cs="Times New Roman"/>
          <w:sz w:val="24"/>
          <w:szCs w:val="24"/>
          <w:lang w:bidi="ar-SA"/>
        </w:rPr>
        <w:t xml:space="preserve">  Wiltbank, M. C., &amp; Pursley, J. R. (2014). The cow as an induced </w:t>
      </w:r>
      <w:proofErr w:type="spellStart"/>
      <w:r w:rsidRPr="009A1CCE">
        <w:rPr>
          <w:rFonts w:ascii="Times New Roman" w:eastAsia="Times New Roman" w:hAnsi="Times New Roman" w:cs="Times New Roman"/>
          <w:sz w:val="24"/>
          <w:szCs w:val="24"/>
          <w:lang w:bidi="ar-SA"/>
        </w:rPr>
        <w:t>ovulator</w:t>
      </w:r>
      <w:proofErr w:type="spellEnd"/>
      <w:r w:rsidRPr="009A1CCE">
        <w:rPr>
          <w:rFonts w:ascii="Times New Roman" w:eastAsia="Times New Roman" w:hAnsi="Times New Roman" w:cs="Times New Roman"/>
          <w:sz w:val="24"/>
          <w:szCs w:val="24"/>
          <w:lang w:bidi="ar-SA"/>
        </w:rPr>
        <w:t xml:space="preserve">: Timed AI after synchronization of ovulation. </w:t>
      </w:r>
      <w:r w:rsidRPr="009A1CCE">
        <w:rPr>
          <w:rFonts w:ascii="Times New Roman" w:eastAsia="Times New Roman" w:hAnsi="Times New Roman" w:cs="Times New Roman"/>
          <w:i/>
          <w:iCs/>
          <w:sz w:val="24"/>
          <w:szCs w:val="24"/>
          <w:lang w:bidi="ar-SA"/>
        </w:rPr>
        <w:t>Theriogenology, 81</w:t>
      </w:r>
      <w:r w:rsidRPr="009A1CCE">
        <w:rPr>
          <w:rFonts w:ascii="Times New Roman" w:eastAsia="Times New Roman" w:hAnsi="Times New Roman" w:cs="Times New Roman"/>
          <w:sz w:val="24"/>
          <w:szCs w:val="24"/>
          <w:lang w:bidi="ar-SA"/>
        </w:rPr>
        <w:t xml:space="preserve">(1), 170–185. </w:t>
      </w:r>
      <w:hyperlink r:id="rId41" w:history="1">
        <w:r w:rsidRPr="009A1CCE">
          <w:rPr>
            <w:rFonts w:ascii="Times New Roman" w:eastAsia="Times New Roman" w:hAnsi="Times New Roman" w:cs="Times New Roman"/>
            <w:color w:val="0000FF"/>
            <w:sz w:val="24"/>
            <w:szCs w:val="24"/>
            <w:u w:val="single"/>
            <w:lang w:bidi="ar-SA"/>
          </w:rPr>
          <w:t>https://doi.org/10.1016/j.theriogenology.2013.09.017</w:t>
        </w:r>
      </w:hyperlink>
    </w:p>
    <w:sectPr w:rsidR="009A1CCE" w:rsidRPr="00F12824" w:rsidSect="00073FCE">
      <w:headerReference w:type="even" r:id="rId42"/>
      <w:headerReference w:type="default" r:id="rId43"/>
      <w:footerReference w:type="even" r:id="rId44"/>
      <w:footerReference w:type="default" r:id="rId45"/>
      <w:headerReference w:type="first" r:id="rId46"/>
      <w:footerReference w:type="first" r:id="rId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D0018" w14:textId="77777777" w:rsidR="008E40E8" w:rsidRDefault="008E40E8" w:rsidP="00390FFF">
      <w:pPr>
        <w:spacing w:after="0" w:line="240" w:lineRule="auto"/>
      </w:pPr>
      <w:r>
        <w:separator/>
      </w:r>
    </w:p>
  </w:endnote>
  <w:endnote w:type="continuationSeparator" w:id="0">
    <w:p w14:paraId="64116C5A" w14:textId="77777777" w:rsidR="008E40E8" w:rsidRDefault="008E40E8" w:rsidP="00390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1F387" w14:textId="77777777" w:rsidR="00545B14" w:rsidRDefault="00545B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9543379"/>
      <w:docPartObj>
        <w:docPartGallery w:val="Page Numbers (Bottom of Page)"/>
        <w:docPartUnique/>
      </w:docPartObj>
    </w:sdtPr>
    <w:sdtEndPr>
      <w:rPr>
        <w:noProof/>
      </w:rPr>
    </w:sdtEndPr>
    <w:sdtContent>
      <w:p w14:paraId="7515B661" w14:textId="77777777" w:rsidR="001175C4" w:rsidRDefault="00103B1D">
        <w:pPr>
          <w:pStyle w:val="Footer"/>
          <w:jc w:val="center"/>
        </w:pPr>
        <w:r>
          <w:fldChar w:fldCharType="begin"/>
        </w:r>
        <w:r w:rsidR="001175C4">
          <w:instrText xml:space="preserve"> PAGE   \* MERGEFORMAT </w:instrText>
        </w:r>
        <w:r>
          <w:fldChar w:fldCharType="separate"/>
        </w:r>
        <w:r w:rsidR="002711BD">
          <w:rPr>
            <w:noProof/>
          </w:rPr>
          <w:t>1</w:t>
        </w:r>
        <w:r>
          <w:rPr>
            <w:noProof/>
          </w:rPr>
          <w:fldChar w:fldCharType="end"/>
        </w:r>
      </w:p>
    </w:sdtContent>
  </w:sdt>
  <w:p w14:paraId="5D02AE55" w14:textId="77777777" w:rsidR="001175C4" w:rsidRDefault="001175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72F1A" w14:textId="77777777" w:rsidR="00545B14" w:rsidRDefault="00545B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24458" w14:textId="77777777" w:rsidR="008E40E8" w:rsidRDefault="008E40E8" w:rsidP="00390FFF">
      <w:pPr>
        <w:spacing w:after="0" w:line="240" w:lineRule="auto"/>
      </w:pPr>
      <w:r>
        <w:separator/>
      </w:r>
    </w:p>
  </w:footnote>
  <w:footnote w:type="continuationSeparator" w:id="0">
    <w:p w14:paraId="69D399BC" w14:textId="77777777" w:rsidR="008E40E8" w:rsidRDefault="008E40E8" w:rsidP="00390F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38A3A" w14:textId="77777777" w:rsidR="00545B14" w:rsidRDefault="00000000">
    <w:pPr>
      <w:pStyle w:val="Header"/>
    </w:pPr>
    <w:r>
      <w:rPr>
        <w:noProof/>
      </w:rPr>
      <w:pict w14:anchorId="130AAD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C82EC" w14:textId="77777777" w:rsidR="00545B14" w:rsidRDefault="00000000">
    <w:pPr>
      <w:pStyle w:val="Header"/>
    </w:pPr>
    <w:r>
      <w:rPr>
        <w:noProof/>
      </w:rPr>
      <w:pict w14:anchorId="1BBE6C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85F69" w14:textId="77777777" w:rsidR="00545B14" w:rsidRDefault="00000000">
    <w:pPr>
      <w:pStyle w:val="Header"/>
    </w:pPr>
    <w:r>
      <w:rPr>
        <w:noProof/>
      </w:rPr>
      <w:pict w14:anchorId="735A44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94E4D"/>
    <w:multiLevelType w:val="hybridMultilevel"/>
    <w:tmpl w:val="B6741C5C"/>
    <w:lvl w:ilvl="0" w:tplc="5F22253A">
      <w:start w:val="1"/>
      <w:numFmt w:val="decimal"/>
      <w:lvlText w:val="%1-"/>
      <w:lvlJc w:val="left"/>
      <w:pPr>
        <w:ind w:left="785"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596608"/>
    <w:multiLevelType w:val="multilevel"/>
    <w:tmpl w:val="1E74C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435C9A"/>
    <w:multiLevelType w:val="multilevel"/>
    <w:tmpl w:val="B5342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3916E7"/>
    <w:multiLevelType w:val="multilevel"/>
    <w:tmpl w:val="87CE8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BE67F7"/>
    <w:multiLevelType w:val="multilevel"/>
    <w:tmpl w:val="5FFCA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192A96"/>
    <w:multiLevelType w:val="hybridMultilevel"/>
    <w:tmpl w:val="E028D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9346C3"/>
    <w:multiLevelType w:val="multilevel"/>
    <w:tmpl w:val="F9A4C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673733"/>
    <w:multiLevelType w:val="multilevel"/>
    <w:tmpl w:val="A48CF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DE739A"/>
    <w:multiLevelType w:val="multilevel"/>
    <w:tmpl w:val="5D1C5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F076C0"/>
    <w:multiLevelType w:val="multilevel"/>
    <w:tmpl w:val="EC4A5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123165"/>
    <w:multiLevelType w:val="hybridMultilevel"/>
    <w:tmpl w:val="53741002"/>
    <w:lvl w:ilvl="0" w:tplc="451A579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647E55"/>
    <w:multiLevelType w:val="multilevel"/>
    <w:tmpl w:val="A460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44763C"/>
    <w:multiLevelType w:val="multilevel"/>
    <w:tmpl w:val="3AF8B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4D40D1"/>
    <w:multiLevelType w:val="multilevel"/>
    <w:tmpl w:val="CB028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777816"/>
    <w:multiLevelType w:val="multilevel"/>
    <w:tmpl w:val="724C5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0540D9"/>
    <w:multiLevelType w:val="multilevel"/>
    <w:tmpl w:val="E870A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4975623">
    <w:abstractNumId w:val="14"/>
  </w:num>
  <w:num w:numId="2" w16cid:durableId="1568421044">
    <w:abstractNumId w:val="3"/>
  </w:num>
  <w:num w:numId="3" w16cid:durableId="1432433405">
    <w:abstractNumId w:val="0"/>
  </w:num>
  <w:num w:numId="4" w16cid:durableId="109474559">
    <w:abstractNumId w:val="10"/>
  </w:num>
  <w:num w:numId="5" w16cid:durableId="722021017">
    <w:abstractNumId w:val="11"/>
  </w:num>
  <w:num w:numId="6" w16cid:durableId="1838883621">
    <w:abstractNumId w:val="13"/>
  </w:num>
  <w:num w:numId="7" w16cid:durableId="850877806">
    <w:abstractNumId w:val="8"/>
  </w:num>
  <w:num w:numId="8" w16cid:durableId="1794446639">
    <w:abstractNumId w:val="7"/>
  </w:num>
  <w:num w:numId="9" w16cid:durableId="784544575">
    <w:abstractNumId w:val="12"/>
  </w:num>
  <w:num w:numId="10" w16cid:durableId="1694262685">
    <w:abstractNumId w:val="2"/>
  </w:num>
  <w:num w:numId="11" w16cid:durableId="1610048264">
    <w:abstractNumId w:val="15"/>
  </w:num>
  <w:num w:numId="12" w16cid:durableId="312295129">
    <w:abstractNumId w:val="9"/>
  </w:num>
  <w:num w:numId="13" w16cid:durableId="1222211727">
    <w:abstractNumId w:val="4"/>
  </w:num>
  <w:num w:numId="14" w16cid:durableId="1402026867">
    <w:abstractNumId w:val="6"/>
  </w:num>
  <w:num w:numId="15" w16cid:durableId="172033304">
    <w:abstractNumId w:val="1"/>
  </w:num>
  <w:num w:numId="16" w16cid:durableId="13477108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7CFA"/>
    <w:rsid w:val="000042EC"/>
    <w:rsid w:val="00006FD9"/>
    <w:rsid w:val="000120FC"/>
    <w:rsid w:val="000125E8"/>
    <w:rsid w:val="00014D01"/>
    <w:rsid w:val="00014EC6"/>
    <w:rsid w:val="00020228"/>
    <w:rsid w:val="00020AB3"/>
    <w:rsid w:val="00020C9B"/>
    <w:rsid w:val="00026536"/>
    <w:rsid w:val="0003069A"/>
    <w:rsid w:val="00030EAF"/>
    <w:rsid w:val="00043855"/>
    <w:rsid w:val="00053FB0"/>
    <w:rsid w:val="0005638F"/>
    <w:rsid w:val="000600A3"/>
    <w:rsid w:val="00060E47"/>
    <w:rsid w:val="00073FCE"/>
    <w:rsid w:val="00082E67"/>
    <w:rsid w:val="00094B97"/>
    <w:rsid w:val="00096061"/>
    <w:rsid w:val="00097FFE"/>
    <w:rsid w:val="000A4988"/>
    <w:rsid w:val="000A713E"/>
    <w:rsid w:val="000C0439"/>
    <w:rsid w:val="000D0B2D"/>
    <w:rsid w:val="000D0F85"/>
    <w:rsid w:val="000D3FBB"/>
    <w:rsid w:val="000D58A9"/>
    <w:rsid w:val="000E4EB7"/>
    <w:rsid w:val="00103B1D"/>
    <w:rsid w:val="001045F4"/>
    <w:rsid w:val="00113FEF"/>
    <w:rsid w:val="0011712D"/>
    <w:rsid w:val="001175C4"/>
    <w:rsid w:val="0012227F"/>
    <w:rsid w:val="001244C8"/>
    <w:rsid w:val="001277CE"/>
    <w:rsid w:val="0012785D"/>
    <w:rsid w:val="001332A7"/>
    <w:rsid w:val="00142DFB"/>
    <w:rsid w:val="001526D8"/>
    <w:rsid w:val="00155C94"/>
    <w:rsid w:val="001708DC"/>
    <w:rsid w:val="001827D2"/>
    <w:rsid w:val="00184EED"/>
    <w:rsid w:val="001877D6"/>
    <w:rsid w:val="00197122"/>
    <w:rsid w:val="001A1DB0"/>
    <w:rsid w:val="001A2453"/>
    <w:rsid w:val="001A60C4"/>
    <w:rsid w:val="001B473E"/>
    <w:rsid w:val="001C2604"/>
    <w:rsid w:val="001C3FC2"/>
    <w:rsid w:val="001C6D33"/>
    <w:rsid w:val="001C79B4"/>
    <w:rsid w:val="001D03C8"/>
    <w:rsid w:val="001E570A"/>
    <w:rsid w:val="001F7F3D"/>
    <w:rsid w:val="00202D29"/>
    <w:rsid w:val="0020468F"/>
    <w:rsid w:val="002168EB"/>
    <w:rsid w:val="002207E2"/>
    <w:rsid w:val="00224EB1"/>
    <w:rsid w:val="00226D10"/>
    <w:rsid w:val="00230384"/>
    <w:rsid w:val="00230A8C"/>
    <w:rsid w:val="00235F8B"/>
    <w:rsid w:val="00235F95"/>
    <w:rsid w:val="0024421F"/>
    <w:rsid w:val="0024432A"/>
    <w:rsid w:val="00246CA7"/>
    <w:rsid w:val="0025402E"/>
    <w:rsid w:val="0026447C"/>
    <w:rsid w:val="0027020A"/>
    <w:rsid w:val="002711BD"/>
    <w:rsid w:val="0027403F"/>
    <w:rsid w:val="00297AB4"/>
    <w:rsid w:val="002A0576"/>
    <w:rsid w:val="002B0DC8"/>
    <w:rsid w:val="002C0D29"/>
    <w:rsid w:val="002C2782"/>
    <w:rsid w:val="002C501D"/>
    <w:rsid w:val="002C5FB9"/>
    <w:rsid w:val="002D66B2"/>
    <w:rsid w:val="002E087D"/>
    <w:rsid w:val="002E4A40"/>
    <w:rsid w:val="002E681C"/>
    <w:rsid w:val="003077E6"/>
    <w:rsid w:val="00311E3A"/>
    <w:rsid w:val="00314F31"/>
    <w:rsid w:val="003150BD"/>
    <w:rsid w:val="00315760"/>
    <w:rsid w:val="0032306E"/>
    <w:rsid w:val="00325A85"/>
    <w:rsid w:val="003341FD"/>
    <w:rsid w:val="00336BA2"/>
    <w:rsid w:val="003459A8"/>
    <w:rsid w:val="003504F5"/>
    <w:rsid w:val="0036758F"/>
    <w:rsid w:val="00367A31"/>
    <w:rsid w:val="00373B68"/>
    <w:rsid w:val="00385298"/>
    <w:rsid w:val="00387B74"/>
    <w:rsid w:val="00390FFF"/>
    <w:rsid w:val="0039321C"/>
    <w:rsid w:val="003932E4"/>
    <w:rsid w:val="003A3FA9"/>
    <w:rsid w:val="003B339B"/>
    <w:rsid w:val="003B4272"/>
    <w:rsid w:val="003B565F"/>
    <w:rsid w:val="003C058D"/>
    <w:rsid w:val="003C6AE2"/>
    <w:rsid w:val="003D3484"/>
    <w:rsid w:val="003D3B5C"/>
    <w:rsid w:val="003D58DE"/>
    <w:rsid w:val="00415350"/>
    <w:rsid w:val="00427441"/>
    <w:rsid w:val="0043164D"/>
    <w:rsid w:val="004369A4"/>
    <w:rsid w:val="004437A8"/>
    <w:rsid w:val="00445235"/>
    <w:rsid w:val="004518AE"/>
    <w:rsid w:val="00452169"/>
    <w:rsid w:val="00455A76"/>
    <w:rsid w:val="00473B64"/>
    <w:rsid w:val="004743C6"/>
    <w:rsid w:val="00492833"/>
    <w:rsid w:val="00493089"/>
    <w:rsid w:val="0049489D"/>
    <w:rsid w:val="004A6894"/>
    <w:rsid w:val="004C0C78"/>
    <w:rsid w:val="004C2ECC"/>
    <w:rsid w:val="004D74C1"/>
    <w:rsid w:val="004D7747"/>
    <w:rsid w:val="004E57C9"/>
    <w:rsid w:val="004F34AC"/>
    <w:rsid w:val="005008B5"/>
    <w:rsid w:val="00506A91"/>
    <w:rsid w:val="00515FE9"/>
    <w:rsid w:val="00517CFA"/>
    <w:rsid w:val="00527266"/>
    <w:rsid w:val="00545B14"/>
    <w:rsid w:val="005500BE"/>
    <w:rsid w:val="00551FD1"/>
    <w:rsid w:val="00552578"/>
    <w:rsid w:val="00554FBD"/>
    <w:rsid w:val="0056172B"/>
    <w:rsid w:val="0056364C"/>
    <w:rsid w:val="0058299B"/>
    <w:rsid w:val="0059019A"/>
    <w:rsid w:val="00591EC7"/>
    <w:rsid w:val="00593C9A"/>
    <w:rsid w:val="00595606"/>
    <w:rsid w:val="0059648C"/>
    <w:rsid w:val="005A1F57"/>
    <w:rsid w:val="005A5707"/>
    <w:rsid w:val="005B2538"/>
    <w:rsid w:val="005B2AC7"/>
    <w:rsid w:val="005B2C7F"/>
    <w:rsid w:val="005B4506"/>
    <w:rsid w:val="005B51DB"/>
    <w:rsid w:val="005C4A29"/>
    <w:rsid w:val="005D3763"/>
    <w:rsid w:val="005D4FC3"/>
    <w:rsid w:val="005E2358"/>
    <w:rsid w:val="005E551B"/>
    <w:rsid w:val="005F01EA"/>
    <w:rsid w:val="005F216C"/>
    <w:rsid w:val="00600C18"/>
    <w:rsid w:val="006119AB"/>
    <w:rsid w:val="00614F28"/>
    <w:rsid w:val="006164D5"/>
    <w:rsid w:val="00621C6E"/>
    <w:rsid w:val="006248B0"/>
    <w:rsid w:val="00631520"/>
    <w:rsid w:val="0063402E"/>
    <w:rsid w:val="00634873"/>
    <w:rsid w:val="00647127"/>
    <w:rsid w:val="00660B51"/>
    <w:rsid w:val="0066205E"/>
    <w:rsid w:val="00663EAB"/>
    <w:rsid w:val="0066523B"/>
    <w:rsid w:val="0066604D"/>
    <w:rsid w:val="0066703E"/>
    <w:rsid w:val="0066726F"/>
    <w:rsid w:val="00667B26"/>
    <w:rsid w:val="00672F37"/>
    <w:rsid w:val="006940C7"/>
    <w:rsid w:val="006A1816"/>
    <w:rsid w:val="006A3506"/>
    <w:rsid w:val="006A4724"/>
    <w:rsid w:val="006A5526"/>
    <w:rsid w:val="006A7239"/>
    <w:rsid w:val="006B3ED6"/>
    <w:rsid w:val="006B4DA2"/>
    <w:rsid w:val="006B6811"/>
    <w:rsid w:val="006B7A55"/>
    <w:rsid w:val="006C55AA"/>
    <w:rsid w:val="006C5C99"/>
    <w:rsid w:val="006C6508"/>
    <w:rsid w:val="006D7913"/>
    <w:rsid w:val="006E0D2B"/>
    <w:rsid w:val="006E1702"/>
    <w:rsid w:val="006E66EF"/>
    <w:rsid w:val="006F74E8"/>
    <w:rsid w:val="007020FC"/>
    <w:rsid w:val="0071088D"/>
    <w:rsid w:val="00711C8E"/>
    <w:rsid w:val="00717221"/>
    <w:rsid w:val="00723E80"/>
    <w:rsid w:val="00726858"/>
    <w:rsid w:val="00731B4A"/>
    <w:rsid w:val="0075180B"/>
    <w:rsid w:val="00752A45"/>
    <w:rsid w:val="00755ABF"/>
    <w:rsid w:val="00763E20"/>
    <w:rsid w:val="00764861"/>
    <w:rsid w:val="007705A1"/>
    <w:rsid w:val="007772A8"/>
    <w:rsid w:val="00781D16"/>
    <w:rsid w:val="00783B46"/>
    <w:rsid w:val="00784BB7"/>
    <w:rsid w:val="00795913"/>
    <w:rsid w:val="007A4849"/>
    <w:rsid w:val="007A6513"/>
    <w:rsid w:val="007A7A45"/>
    <w:rsid w:val="007B7996"/>
    <w:rsid w:val="007C234A"/>
    <w:rsid w:val="007C244A"/>
    <w:rsid w:val="007D695B"/>
    <w:rsid w:val="007D7943"/>
    <w:rsid w:val="007D7CFC"/>
    <w:rsid w:val="007E7D29"/>
    <w:rsid w:val="007F367E"/>
    <w:rsid w:val="007F3835"/>
    <w:rsid w:val="008049F7"/>
    <w:rsid w:val="0080555F"/>
    <w:rsid w:val="008057BD"/>
    <w:rsid w:val="008062FC"/>
    <w:rsid w:val="00807DFF"/>
    <w:rsid w:val="008104E7"/>
    <w:rsid w:val="00810A76"/>
    <w:rsid w:val="00813FDB"/>
    <w:rsid w:val="00817A45"/>
    <w:rsid w:val="00821C44"/>
    <w:rsid w:val="008303E0"/>
    <w:rsid w:val="00831D84"/>
    <w:rsid w:val="00836A68"/>
    <w:rsid w:val="008377C8"/>
    <w:rsid w:val="00841B97"/>
    <w:rsid w:val="00841F40"/>
    <w:rsid w:val="008460F1"/>
    <w:rsid w:val="008463F2"/>
    <w:rsid w:val="00846CC8"/>
    <w:rsid w:val="008637AF"/>
    <w:rsid w:val="008705CE"/>
    <w:rsid w:val="0087294D"/>
    <w:rsid w:val="00874ACB"/>
    <w:rsid w:val="0087603C"/>
    <w:rsid w:val="0087681E"/>
    <w:rsid w:val="00884179"/>
    <w:rsid w:val="00893250"/>
    <w:rsid w:val="008C4282"/>
    <w:rsid w:val="008D385A"/>
    <w:rsid w:val="008E1EE9"/>
    <w:rsid w:val="008E40E8"/>
    <w:rsid w:val="008E4F25"/>
    <w:rsid w:val="009006B4"/>
    <w:rsid w:val="0090339C"/>
    <w:rsid w:val="0090393D"/>
    <w:rsid w:val="00907289"/>
    <w:rsid w:val="009166BC"/>
    <w:rsid w:val="00921001"/>
    <w:rsid w:val="00921C9C"/>
    <w:rsid w:val="0092583C"/>
    <w:rsid w:val="00925F87"/>
    <w:rsid w:val="009341B6"/>
    <w:rsid w:val="0093508B"/>
    <w:rsid w:val="00943AB3"/>
    <w:rsid w:val="00943B88"/>
    <w:rsid w:val="00944A5A"/>
    <w:rsid w:val="00955452"/>
    <w:rsid w:val="00956245"/>
    <w:rsid w:val="009563EE"/>
    <w:rsid w:val="009565B8"/>
    <w:rsid w:val="00956857"/>
    <w:rsid w:val="00956E27"/>
    <w:rsid w:val="00971F66"/>
    <w:rsid w:val="0097548C"/>
    <w:rsid w:val="00992FF5"/>
    <w:rsid w:val="009A1CCE"/>
    <w:rsid w:val="009C162F"/>
    <w:rsid w:val="009C1AA5"/>
    <w:rsid w:val="009D00C5"/>
    <w:rsid w:val="009D064C"/>
    <w:rsid w:val="009E1D16"/>
    <w:rsid w:val="009E2546"/>
    <w:rsid w:val="009E4034"/>
    <w:rsid w:val="009F18B7"/>
    <w:rsid w:val="009F4181"/>
    <w:rsid w:val="00A06953"/>
    <w:rsid w:val="00A120BE"/>
    <w:rsid w:val="00A152F5"/>
    <w:rsid w:val="00A168F5"/>
    <w:rsid w:val="00A355BB"/>
    <w:rsid w:val="00A41023"/>
    <w:rsid w:val="00A45768"/>
    <w:rsid w:val="00A5170F"/>
    <w:rsid w:val="00A66A29"/>
    <w:rsid w:val="00A70E0E"/>
    <w:rsid w:val="00A715E3"/>
    <w:rsid w:val="00A924D5"/>
    <w:rsid w:val="00A96F20"/>
    <w:rsid w:val="00AB1776"/>
    <w:rsid w:val="00AB48B9"/>
    <w:rsid w:val="00AB6E0F"/>
    <w:rsid w:val="00AC13D9"/>
    <w:rsid w:val="00AC2AA5"/>
    <w:rsid w:val="00AD397A"/>
    <w:rsid w:val="00AD45CF"/>
    <w:rsid w:val="00AE2B67"/>
    <w:rsid w:val="00AE42DC"/>
    <w:rsid w:val="00AF6650"/>
    <w:rsid w:val="00B2029E"/>
    <w:rsid w:val="00B300AC"/>
    <w:rsid w:val="00B326F6"/>
    <w:rsid w:val="00B33FF9"/>
    <w:rsid w:val="00B409A8"/>
    <w:rsid w:val="00B45BB4"/>
    <w:rsid w:val="00B47D85"/>
    <w:rsid w:val="00B50176"/>
    <w:rsid w:val="00B571D0"/>
    <w:rsid w:val="00B821A7"/>
    <w:rsid w:val="00B9084F"/>
    <w:rsid w:val="00B92E1B"/>
    <w:rsid w:val="00B954E4"/>
    <w:rsid w:val="00BA1E58"/>
    <w:rsid w:val="00BB6F29"/>
    <w:rsid w:val="00BC32AD"/>
    <w:rsid w:val="00BF20BA"/>
    <w:rsid w:val="00BF66AB"/>
    <w:rsid w:val="00C018CB"/>
    <w:rsid w:val="00C03E18"/>
    <w:rsid w:val="00C04955"/>
    <w:rsid w:val="00C123A4"/>
    <w:rsid w:val="00C208A3"/>
    <w:rsid w:val="00C25998"/>
    <w:rsid w:val="00C27342"/>
    <w:rsid w:val="00C35D3D"/>
    <w:rsid w:val="00C37F62"/>
    <w:rsid w:val="00C41B9C"/>
    <w:rsid w:val="00C43B09"/>
    <w:rsid w:val="00C4573F"/>
    <w:rsid w:val="00C45918"/>
    <w:rsid w:val="00C55DC1"/>
    <w:rsid w:val="00C567D8"/>
    <w:rsid w:val="00C56831"/>
    <w:rsid w:val="00C60BD9"/>
    <w:rsid w:val="00C65DF4"/>
    <w:rsid w:val="00C80D1F"/>
    <w:rsid w:val="00C86B90"/>
    <w:rsid w:val="00C9179F"/>
    <w:rsid w:val="00C935B4"/>
    <w:rsid w:val="00C960AE"/>
    <w:rsid w:val="00CA024B"/>
    <w:rsid w:val="00CA4395"/>
    <w:rsid w:val="00CA7D45"/>
    <w:rsid w:val="00CB2714"/>
    <w:rsid w:val="00CB4916"/>
    <w:rsid w:val="00CC07D6"/>
    <w:rsid w:val="00CE3966"/>
    <w:rsid w:val="00CF21D2"/>
    <w:rsid w:val="00D02514"/>
    <w:rsid w:val="00D06E60"/>
    <w:rsid w:val="00D20367"/>
    <w:rsid w:val="00D224D8"/>
    <w:rsid w:val="00D22CDE"/>
    <w:rsid w:val="00D3528A"/>
    <w:rsid w:val="00D435F4"/>
    <w:rsid w:val="00D45EC9"/>
    <w:rsid w:val="00D4728C"/>
    <w:rsid w:val="00D477ED"/>
    <w:rsid w:val="00D50D61"/>
    <w:rsid w:val="00D548D7"/>
    <w:rsid w:val="00D564F2"/>
    <w:rsid w:val="00D6168D"/>
    <w:rsid w:val="00D754B3"/>
    <w:rsid w:val="00D768C3"/>
    <w:rsid w:val="00D865D3"/>
    <w:rsid w:val="00D86F7B"/>
    <w:rsid w:val="00D9081E"/>
    <w:rsid w:val="00D9130F"/>
    <w:rsid w:val="00D923A9"/>
    <w:rsid w:val="00D928DB"/>
    <w:rsid w:val="00DA4795"/>
    <w:rsid w:val="00DB5A6E"/>
    <w:rsid w:val="00DC0492"/>
    <w:rsid w:val="00DC70D0"/>
    <w:rsid w:val="00DD005E"/>
    <w:rsid w:val="00DD00B4"/>
    <w:rsid w:val="00DD1ADE"/>
    <w:rsid w:val="00DF78EB"/>
    <w:rsid w:val="00E0509E"/>
    <w:rsid w:val="00E06C96"/>
    <w:rsid w:val="00E2077A"/>
    <w:rsid w:val="00E327F6"/>
    <w:rsid w:val="00E33216"/>
    <w:rsid w:val="00E429F9"/>
    <w:rsid w:val="00E452ED"/>
    <w:rsid w:val="00E4593F"/>
    <w:rsid w:val="00E4697C"/>
    <w:rsid w:val="00E7199B"/>
    <w:rsid w:val="00E73190"/>
    <w:rsid w:val="00E77CB6"/>
    <w:rsid w:val="00E8249D"/>
    <w:rsid w:val="00E86FAB"/>
    <w:rsid w:val="00E91718"/>
    <w:rsid w:val="00E95B38"/>
    <w:rsid w:val="00EA6565"/>
    <w:rsid w:val="00EB0DBA"/>
    <w:rsid w:val="00EB272C"/>
    <w:rsid w:val="00EB7454"/>
    <w:rsid w:val="00EC37A4"/>
    <w:rsid w:val="00ED00B0"/>
    <w:rsid w:val="00ED1FA1"/>
    <w:rsid w:val="00ED5E2D"/>
    <w:rsid w:val="00ED64F2"/>
    <w:rsid w:val="00EE1FE1"/>
    <w:rsid w:val="00EE2E21"/>
    <w:rsid w:val="00EE5341"/>
    <w:rsid w:val="00EE5A95"/>
    <w:rsid w:val="00EE6D3D"/>
    <w:rsid w:val="00EE75CF"/>
    <w:rsid w:val="00EF5F6C"/>
    <w:rsid w:val="00F011A4"/>
    <w:rsid w:val="00F02D15"/>
    <w:rsid w:val="00F03EF2"/>
    <w:rsid w:val="00F06E3D"/>
    <w:rsid w:val="00F10F8F"/>
    <w:rsid w:val="00F12824"/>
    <w:rsid w:val="00F134D9"/>
    <w:rsid w:val="00F234B8"/>
    <w:rsid w:val="00F24E15"/>
    <w:rsid w:val="00F2645B"/>
    <w:rsid w:val="00F26469"/>
    <w:rsid w:val="00F33045"/>
    <w:rsid w:val="00F334F6"/>
    <w:rsid w:val="00F42C03"/>
    <w:rsid w:val="00F43172"/>
    <w:rsid w:val="00F43A81"/>
    <w:rsid w:val="00F5337B"/>
    <w:rsid w:val="00F536E8"/>
    <w:rsid w:val="00F53BCF"/>
    <w:rsid w:val="00F55996"/>
    <w:rsid w:val="00F57F42"/>
    <w:rsid w:val="00F65DF5"/>
    <w:rsid w:val="00F706EF"/>
    <w:rsid w:val="00F81408"/>
    <w:rsid w:val="00F84085"/>
    <w:rsid w:val="00F85629"/>
    <w:rsid w:val="00F954A9"/>
    <w:rsid w:val="00FA0D80"/>
    <w:rsid w:val="00FB184A"/>
    <w:rsid w:val="00FB609A"/>
    <w:rsid w:val="00FC3016"/>
    <w:rsid w:val="00FD0563"/>
    <w:rsid w:val="00FD4CF4"/>
    <w:rsid w:val="00FD6270"/>
    <w:rsid w:val="00FE3D5A"/>
    <w:rsid w:val="00FF7CC4"/>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6EAE6"/>
  <w15:docId w15:val="{A62C1964-FBAF-4FBD-A22D-C27FD6039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454"/>
  </w:style>
  <w:style w:type="paragraph" w:styleId="Heading1">
    <w:name w:val="heading 1"/>
    <w:basedOn w:val="Normal"/>
    <w:next w:val="Normal"/>
    <w:link w:val="Heading1Char"/>
    <w:uiPriority w:val="9"/>
    <w:qFormat/>
    <w:rsid w:val="008705CE"/>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bidi="ar-SA"/>
    </w:rPr>
  </w:style>
  <w:style w:type="paragraph" w:styleId="Heading2">
    <w:name w:val="heading 2"/>
    <w:basedOn w:val="Normal"/>
    <w:next w:val="Normal"/>
    <w:link w:val="Heading2Char"/>
    <w:uiPriority w:val="9"/>
    <w:semiHidden/>
    <w:unhideWhenUsed/>
    <w:qFormat/>
    <w:rsid w:val="00202D29"/>
    <w:pPr>
      <w:keepNext/>
      <w:keepLines/>
      <w:spacing w:before="40" w:after="0"/>
      <w:outlineLvl w:val="1"/>
    </w:pPr>
    <w:rPr>
      <w:rFonts w:asciiTheme="majorHAnsi" w:eastAsiaTheme="majorEastAsia" w:hAnsiTheme="majorHAnsi" w:cstheme="majorBidi"/>
      <w:color w:val="365F91" w:themeColor="accent1" w:themeShade="BF"/>
      <w:sz w:val="26"/>
      <w:szCs w:val="23"/>
    </w:rPr>
  </w:style>
  <w:style w:type="paragraph" w:styleId="Heading3">
    <w:name w:val="heading 3"/>
    <w:basedOn w:val="Normal"/>
    <w:next w:val="Normal"/>
    <w:link w:val="Heading3Char"/>
    <w:uiPriority w:val="9"/>
    <w:semiHidden/>
    <w:unhideWhenUsed/>
    <w:qFormat/>
    <w:rsid w:val="00C03E18"/>
    <w:pPr>
      <w:keepNext/>
      <w:keepLines/>
      <w:spacing w:before="40" w:after="0"/>
      <w:outlineLvl w:val="2"/>
    </w:pPr>
    <w:rPr>
      <w:rFonts w:asciiTheme="majorHAnsi" w:eastAsiaTheme="majorEastAsia" w:hAnsiTheme="majorHAnsi" w:cstheme="majorBidi"/>
      <w:color w:val="243F60" w:themeColor="accent1" w:themeShade="7F"/>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0F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0FFF"/>
  </w:style>
  <w:style w:type="paragraph" w:styleId="Footer">
    <w:name w:val="footer"/>
    <w:basedOn w:val="Normal"/>
    <w:link w:val="FooterChar"/>
    <w:uiPriority w:val="99"/>
    <w:unhideWhenUsed/>
    <w:rsid w:val="00390F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0FFF"/>
  </w:style>
  <w:style w:type="character" w:styleId="Hyperlink">
    <w:name w:val="Hyperlink"/>
    <w:basedOn w:val="DefaultParagraphFont"/>
    <w:uiPriority w:val="99"/>
    <w:unhideWhenUsed/>
    <w:rsid w:val="00473B64"/>
    <w:rPr>
      <w:color w:val="0000FF" w:themeColor="hyperlink"/>
      <w:u w:val="single"/>
    </w:rPr>
  </w:style>
  <w:style w:type="character" w:customStyle="1" w:styleId="UnresolvedMention1">
    <w:name w:val="Unresolved Mention1"/>
    <w:basedOn w:val="DefaultParagraphFont"/>
    <w:uiPriority w:val="99"/>
    <w:semiHidden/>
    <w:unhideWhenUsed/>
    <w:rsid w:val="00473B64"/>
    <w:rPr>
      <w:color w:val="605E5C"/>
      <w:shd w:val="clear" w:color="auto" w:fill="E1DFDD"/>
    </w:rPr>
  </w:style>
  <w:style w:type="table" w:styleId="TableGrid">
    <w:name w:val="Table Grid"/>
    <w:basedOn w:val="TableNormal"/>
    <w:uiPriority w:val="59"/>
    <w:rsid w:val="00122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077A"/>
    <w:pPr>
      <w:ind w:left="720"/>
      <w:contextualSpacing/>
    </w:pPr>
  </w:style>
  <w:style w:type="character" w:customStyle="1" w:styleId="Heading1Char">
    <w:name w:val="Heading 1 Char"/>
    <w:basedOn w:val="DefaultParagraphFont"/>
    <w:link w:val="Heading1"/>
    <w:uiPriority w:val="9"/>
    <w:rsid w:val="008705CE"/>
    <w:rPr>
      <w:rFonts w:asciiTheme="majorHAnsi" w:eastAsiaTheme="majorEastAsia" w:hAnsiTheme="majorHAnsi" w:cstheme="majorBidi"/>
      <w:color w:val="365F91" w:themeColor="accent1" w:themeShade="BF"/>
      <w:sz w:val="32"/>
      <w:szCs w:val="32"/>
      <w:lang w:bidi="ar-SA"/>
    </w:rPr>
  </w:style>
  <w:style w:type="paragraph" w:styleId="Revision">
    <w:name w:val="Revision"/>
    <w:hidden/>
    <w:uiPriority w:val="99"/>
    <w:semiHidden/>
    <w:rsid w:val="008705CE"/>
    <w:pPr>
      <w:spacing w:after="0" w:line="240" w:lineRule="auto"/>
    </w:pPr>
  </w:style>
  <w:style w:type="character" w:styleId="LineNumber">
    <w:name w:val="line number"/>
    <w:basedOn w:val="DefaultParagraphFont"/>
    <w:uiPriority w:val="99"/>
    <w:semiHidden/>
    <w:unhideWhenUsed/>
    <w:rsid w:val="001C3FC2"/>
  </w:style>
  <w:style w:type="paragraph" w:styleId="Bibliography">
    <w:name w:val="Bibliography"/>
    <w:basedOn w:val="Normal"/>
    <w:next w:val="Normal"/>
    <w:uiPriority w:val="37"/>
    <w:unhideWhenUsed/>
    <w:rsid w:val="00367A31"/>
  </w:style>
  <w:style w:type="character" w:customStyle="1" w:styleId="Heading2Char">
    <w:name w:val="Heading 2 Char"/>
    <w:basedOn w:val="DefaultParagraphFont"/>
    <w:link w:val="Heading2"/>
    <w:uiPriority w:val="9"/>
    <w:semiHidden/>
    <w:rsid w:val="00202D29"/>
    <w:rPr>
      <w:rFonts w:asciiTheme="majorHAnsi" w:eastAsiaTheme="majorEastAsia" w:hAnsiTheme="majorHAnsi" w:cstheme="majorBidi"/>
      <w:color w:val="365F91" w:themeColor="accent1" w:themeShade="BF"/>
      <w:sz w:val="26"/>
      <w:szCs w:val="23"/>
    </w:rPr>
  </w:style>
  <w:style w:type="paragraph" w:styleId="NormalWeb">
    <w:name w:val="Normal (Web)"/>
    <w:basedOn w:val="Normal"/>
    <w:uiPriority w:val="99"/>
    <w:semiHidden/>
    <w:unhideWhenUsed/>
    <w:rsid w:val="00202D29"/>
    <w:pPr>
      <w:spacing w:before="100" w:beforeAutospacing="1" w:after="100" w:afterAutospacing="1" w:line="240" w:lineRule="auto"/>
    </w:pPr>
    <w:rPr>
      <w:rFonts w:ascii="Times New Roman" w:eastAsia="Times New Roman" w:hAnsi="Times New Roman" w:cs="Times New Roman"/>
      <w:sz w:val="24"/>
      <w:szCs w:val="24"/>
      <w:lang w:val="en-IN" w:eastAsia="en-IN" w:bidi="ar-SA"/>
    </w:rPr>
  </w:style>
  <w:style w:type="character" w:styleId="Strong">
    <w:name w:val="Strong"/>
    <w:basedOn w:val="DefaultParagraphFont"/>
    <w:uiPriority w:val="22"/>
    <w:qFormat/>
    <w:rsid w:val="00202D29"/>
    <w:rPr>
      <w:b/>
      <w:bCs/>
    </w:rPr>
  </w:style>
  <w:style w:type="character" w:customStyle="1" w:styleId="Heading3Char">
    <w:name w:val="Heading 3 Char"/>
    <w:basedOn w:val="DefaultParagraphFont"/>
    <w:link w:val="Heading3"/>
    <w:uiPriority w:val="9"/>
    <w:semiHidden/>
    <w:rsid w:val="00C03E18"/>
    <w:rPr>
      <w:rFonts w:asciiTheme="majorHAnsi" w:eastAsiaTheme="majorEastAsia" w:hAnsiTheme="majorHAnsi" w:cstheme="majorBidi"/>
      <w:color w:val="243F60" w:themeColor="accent1" w:themeShade="7F"/>
      <w:sz w:val="24"/>
      <w:szCs w:val="21"/>
    </w:rPr>
  </w:style>
  <w:style w:type="paragraph" w:customStyle="1" w:styleId="ds-markdown-paragraph">
    <w:name w:val="ds-markdown-paragraph"/>
    <w:basedOn w:val="Normal"/>
    <w:rsid w:val="0025402E"/>
    <w:pPr>
      <w:spacing w:before="100" w:beforeAutospacing="1" w:after="100" w:afterAutospacing="1" w:line="240" w:lineRule="auto"/>
    </w:pPr>
    <w:rPr>
      <w:rFonts w:ascii="Times New Roman" w:eastAsia="Times New Roman" w:hAnsi="Times New Roman" w:cs="Times New Roman"/>
      <w:sz w:val="24"/>
      <w:szCs w:val="24"/>
      <w:lang w:val="en-IN" w:eastAsia="en-IN" w:bidi="ar-SA"/>
    </w:rPr>
  </w:style>
  <w:style w:type="paragraph" w:customStyle="1" w:styleId="isselectedend">
    <w:name w:val="isselectedend"/>
    <w:basedOn w:val="Normal"/>
    <w:rsid w:val="00FD4CF4"/>
    <w:pPr>
      <w:spacing w:before="100" w:beforeAutospacing="1" w:after="100" w:afterAutospacing="1" w:line="240" w:lineRule="auto"/>
    </w:pPr>
    <w:rPr>
      <w:rFonts w:ascii="Times New Roman" w:eastAsia="Times New Roman" w:hAnsi="Times New Roman" w:cs="Times New Roman"/>
      <w:sz w:val="24"/>
      <w:szCs w:val="24"/>
      <w:lang w:val="en-IN" w:eastAsia="en-IN" w:bidi="ar-SA"/>
    </w:rPr>
  </w:style>
  <w:style w:type="character" w:customStyle="1" w:styleId="t286pc">
    <w:name w:val="t286pc"/>
    <w:basedOn w:val="DefaultParagraphFont"/>
    <w:rsid w:val="00373B68"/>
  </w:style>
  <w:style w:type="character" w:styleId="Emphasis">
    <w:name w:val="Emphasis"/>
    <w:basedOn w:val="DefaultParagraphFont"/>
    <w:uiPriority w:val="20"/>
    <w:qFormat/>
    <w:rsid w:val="00373B68"/>
    <w:rPr>
      <w:i/>
      <w:iCs/>
    </w:rPr>
  </w:style>
  <w:style w:type="character" w:customStyle="1" w:styleId="UnresolvedMention2">
    <w:name w:val="Unresolved Mention2"/>
    <w:basedOn w:val="DefaultParagraphFont"/>
    <w:uiPriority w:val="99"/>
    <w:semiHidden/>
    <w:unhideWhenUsed/>
    <w:rsid w:val="00723E80"/>
    <w:rPr>
      <w:color w:val="605E5C"/>
      <w:shd w:val="clear" w:color="auto" w:fill="E1DFDD"/>
    </w:rPr>
  </w:style>
  <w:style w:type="paragraph" w:styleId="CommentText">
    <w:name w:val="annotation text"/>
    <w:basedOn w:val="Normal"/>
    <w:link w:val="CommentTextChar"/>
    <w:uiPriority w:val="99"/>
    <w:unhideWhenUsed/>
    <w:rsid w:val="00060E47"/>
    <w:pPr>
      <w:spacing w:line="240" w:lineRule="auto"/>
    </w:pPr>
    <w:rPr>
      <w:rFonts w:ascii="Calibri" w:eastAsia="Calibri" w:hAnsi="Calibri" w:cs="Mangal"/>
      <w:sz w:val="20"/>
      <w:szCs w:val="18"/>
    </w:rPr>
  </w:style>
  <w:style w:type="character" w:customStyle="1" w:styleId="CommentTextChar">
    <w:name w:val="Comment Text Char"/>
    <w:basedOn w:val="DefaultParagraphFont"/>
    <w:link w:val="CommentText"/>
    <w:uiPriority w:val="99"/>
    <w:rsid w:val="00060E47"/>
    <w:rPr>
      <w:rFonts w:ascii="Calibri" w:eastAsia="Calibri" w:hAnsi="Calibri" w:cs="Mangal"/>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74019">
      <w:bodyDiv w:val="1"/>
      <w:marLeft w:val="0"/>
      <w:marRight w:val="0"/>
      <w:marTop w:val="0"/>
      <w:marBottom w:val="0"/>
      <w:divBdr>
        <w:top w:val="none" w:sz="0" w:space="0" w:color="auto"/>
        <w:left w:val="none" w:sz="0" w:space="0" w:color="auto"/>
        <w:bottom w:val="none" w:sz="0" w:space="0" w:color="auto"/>
        <w:right w:val="none" w:sz="0" w:space="0" w:color="auto"/>
      </w:divBdr>
    </w:div>
    <w:div w:id="104426157">
      <w:bodyDiv w:val="1"/>
      <w:marLeft w:val="0"/>
      <w:marRight w:val="0"/>
      <w:marTop w:val="0"/>
      <w:marBottom w:val="0"/>
      <w:divBdr>
        <w:top w:val="none" w:sz="0" w:space="0" w:color="auto"/>
        <w:left w:val="none" w:sz="0" w:space="0" w:color="auto"/>
        <w:bottom w:val="none" w:sz="0" w:space="0" w:color="auto"/>
        <w:right w:val="none" w:sz="0" w:space="0" w:color="auto"/>
      </w:divBdr>
      <w:divsChild>
        <w:div w:id="649211010">
          <w:marLeft w:val="0"/>
          <w:marRight w:val="0"/>
          <w:marTop w:val="0"/>
          <w:marBottom w:val="0"/>
          <w:divBdr>
            <w:top w:val="none" w:sz="0" w:space="0" w:color="auto"/>
            <w:left w:val="none" w:sz="0" w:space="0" w:color="auto"/>
            <w:bottom w:val="none" w:sz="0" w:space="0" w:color="auto"/>
            <w:right w:val="none" w:sz="0" w:space="0" w:color="auto"/>
          </w:divBdr>
          <w:divsChild>
            <w:div w:id="199610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57172">
      <w:bodyDiv w:val="1"/>
      <w:marLeft w:val="0"/>
      <w:marRight w:val="0"/>
      <w:marTop w:val="0"/>
      <w:marBottom w:val="0"/>
      <w:divBdr>
        <w:top w:val="none" w:sz="0" w:space="0" w:color="auto"/>
        <w:left w:val="none" w:sz="0" w:space="0" w:color="auto"/>
        <w:bottom w:val="none" w:sz="0" w:space="0" w:color="auto"/>
        <w:right w:val="none" w:sz="0" w:space="0" w:color="auto"/>
      </w:divBdr>
    </w:div>
    <w:div w:id="128671902">
      <w:bodyDiv w:val="1"/>
      <w:marLeft w:val="0"/>
      <w:marRight w:val="0"/>
      <w:marTop w:val="0"/>
      <w:marBottom w:val="0"/>
      <w:divBdr>
        <w:top w:val="none" w:sz="0" w:space="0" w:color="auto"/>
        <w:left w:val="none" w:sz="0" w:space="0" w:color="auto"/>
        <w:bottom w:val="none" w:sz="0" w:space="0" w:color="auto"/>
        <w:right w:val="none" w:sz="0" w:space="0" w:color="auto"/>
      </w:divBdr>
      <w:divsChild>
        <w:div w:id="372048269">
          <w:marLeft w:val="0"/>
          <w:marRight w:val="0"/>
          <w:marTop w:val="0"/>
          <w:marBottom w:val="0"/>
          <w:divBdr>
            <w:top w:val="none" w:sz="0" w:space="0" w:color="auto"/>
            <w:left w:val="none" w:sz="0" w:space="0" w:color="auto"/>
            <w:bottom w:val="none" w:sz="0" w:space="0" w:color="auto"/>
            <w:right w:val="none" w:sz="0" w:space="0" w:color="auto"/>
          </w:divBdr>
          <w:divsChild>
            <w:div w:id="1165901615">
              <w:marLeft w:val="0"/>
              <w:marRight w:val="0"/>
              <w:marTop w:val="0"/>
              <w:marBottom w:val="0"/>
              <w:divBdr>
                <w:top w:val="none" w:sz="0" w:space="0" w:color="auto"/>
                <w:left w:val="none" w:sz="0" w:space="0" w:color="auto"/>
                <w:bottom w:val="none" w:sz="0" w:space="0" w:color="auto"/>
                <w:right w:val="none" w:sz="0" w:space="0" w:color="auto"/>
              </w:divBdr>
              <w:divsChild>
                <w:div w:id="23771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603826">
          <w:marLeft w:val="0"/>
          <w:marRight w:val="0"/>
          <w:marTop w:val="0"/>
          <w:marBottom w:val="0"/>
          <w:divBdr>
            <w:top w:val="none" w:sz="0" w:space="0" w:color="auto"/>
            <w:left w:val="none" w:sz="0" w:space="0" w:color="auto"/>
            <w:bottom w:val="none" w:sz="0" w:space="0" w:color="auto"/>
            <w:right w:val="none" w:sz="0" w:space="0" w:color="auto"/>
          </w:divBdr>
          <w:divsChild>
            <w:div w:id="78153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27377">
      <w:bodyDiv w:val="1"/>
      <w:marLeft w:val="0"/>
      <w:marRight w:val="0"/>
      <w:marTop w:val="0"/>
      <w:marBottom w:val="0"/>
      <w:divBdr>
        <w:top w:val="none" w:sz="0" w:space="0" w:color="auto"/>
        <w:left w:val="none" w:sz="0" w:space="0" w:color="auto"/>
        <w:bottom w:val="none" w:sz="0" w:space="0" w:color="auto"/>
        <w:right w:val="none" w:sz="0" w:space="0" w:color="auto"/>
      </w:divBdr>
    </w:div>
    <w:div w:id="204996968">
      <w:bodyDiv w:val="1"/>
      <w:marLeft w:val="0"/>
      <w:marRight w:val="0"/>
      <w:marTop w:val="0"/>
      <w:marBottom w:val="0"/>
      <w:divBdr>
        <w:top w:val="none" w:sz="0" w:space="0" w:color="auto"/>
        <w:left w:val="none" w:sz="0" w:space="0" w:color="auto"/>
        <w:bottom w:val="none" w:sz="0" w:space="0" w:color="auto"/>
        <w:right w:val="none" w:sz="0" w:space="0" w:color="auto"/>
      </w:divBdr>
    </w:div>
    <w:div w:id="211815290">
      <w:bodyDiv w:val="1"/>
      <w:marLeft w:val="0"/>
      <w:marRight w:val="0"/>
      <w:marTop w:val="0"/>
      <w:marBottom w:val="0"/>
      <w:divBdr>
        <w:top w:val="none" w:sz="0" w:space="0" w:color="auto"/>
        <w:left w:val="none" w:sz="0" w:space="0" w:color="auto"/>
        <w:bottom w:val="none" w:sz="0" w:space="0" w:color="auto"/>
        <w:right w:val="none" w:sz="0" w:space="0" w:color="auto"/>
      </w:divBdr>
    </w:div>
    <w:div w:id="277302293">
      <w:bodyDiv w:val="1"/>
      <w:marLeft w:val="0"/>
      <w:marRight w:val="0"/>
      <w:marTop w:val="0"/>
      <w:marBottom w:val="0"/>
      <w:divBdr>
        <w:top w:val="none" w:sz="0" w:space="0" w:color="auto"/>
        <w:left w:val="none" w:sz="0" w:space="0" w:color="auto"/>
        <w:bottom w:val="none" w:sz="0" w:space="0" w:color="auto"/>
        <w:right w:val="none" w:sz="0" w:space="0" w:color="auto"/>
      </w:divBdr>
    </w:div>
    <w:div w:id="345644767">
      <w:bodyDiv w:val="1"/>
      <w:marLeft w:val="0"/>
      <w:marRight w:val="0"/>
      <w:marTop w:val="0"/>
      <w:marBottom w:val="0"/>
      <w:divBdr>
        <w:top w:val="none" w:sz="0" w:space="0" w:color="auto"/>
        <w:left w:val="none" w:sz="0" w:space="0" w:color="auto"/>
        <w:bottom w:val="none" w:sz="0" w:space="0" w:color="auto"/>
        <w:right w:val="none" w:sz="0" w:space="0" w:color="auto"/>
      </w:divBdr>
    </w:div>
    <w:div w:id="440757360">
      <w:bodyDiv w:val="1"/>
      <w:marLeft w:val="0"/>
      <w:marRight w:val="0"/>
      <w:marTop w:val="0"/>
      <w:marBottom w:val="0"/>
      <w:divBdr>
        <w:top w:val="none" w:sz="0" w:space="0" w:color="auto"/>
        <w:left w:val="none" w:sz="0" w:space="0" w:color="auto"/>
        <w:bottom w:val="none" w:sz="0" w:space="0" w:color="auto"/>
        <w:right w:val="none" w:sz="0" w:space="0" w:color="auto"/>
      </w:divBdr>
    </w:div>
    <w:div w:id="444082364">
      <w:bodyDiv w:val="1"/>
      <w:marLeft w:val="0"/>
      <w:marRight w:val="0"/>
      <w:marTop w:val="0"/>
      <w:marBottom w:val="0"/>
      <w:divBdr>
        <w:top w:val="none" w:sz="0" w:space="0" w:color="auto"/>
        <w:left w:val="none" w:sz="0" w:space="0" w:color="auto"/>
        <w:bottom w:val="none" w:sz="0" w:space="0" w:color="auto"/>
        <w:right w:val="none" w:sz="0" w:space="0" w:color="auto"/>
      </w:divBdr>
    </w:div>
    <w:div w:id="560944807">
      <w:bodyDiv w:val="1"/>
      <w:marLeft w:val="0"/>
      <w:marRight w:val="0"/>
      <w:marTop w:val="0"/>
      <w:marBottom w:val="0"/>
      <w:divBdr>
        <w:top w:val="none" w:sz="0" w:space="0" w:color="auto"/>
        <w:left w:val="none" w:sz="0" w:space="0" w:color="auto"/>
        <w:bottom w:val="none" w:sz="0" w:space="0" w:color="auto"/>
        <w:right w:val="none" w:sz="0" w:space="0" w:color="auto"/>
      </w:divBdr>
    </w:div>
    <w:div w:id="576062007">
      <w:bodyDiv w:val="1"/>
      <w:marLeft w:val="0"/>
      <w:marRight w:val="0"/>
      <w:marTop w:val="0"/>
      <w:marBottom w:val="0"/>
      <w:divBdr>
        <w:top w:val="none" w:sz="0" w:space="0" w:color="auto"/>
        <w:left w:val="none" w:sz="0" w:space="0" w:color="auto"/>
        <w:bottom w:val="none" w:sz="0" w:space="0" w:color="auto"/>
        <w:right w:val="none" w:sz="0" w:space="0" w:color="auto"/>
      </w:divBdr>
    </w:div>
    <w:div w:id="586771707">
      <w:bodyDiv w:val="1"/>
      <w:marLeft w:val="0"/>
      <w:marRight w:val="0"/>
      <w:marTop w:val="0"/>
      <w:marBottom w:val="0"/>
      <w:divBdr>
        <w:top w:val="none" w:sz="0" w:space="0" w:color="auto"/>
        <w:left w:val="none" w:sz="0" w:space="0" w:color="auto"/>
        <w:bottom w:val="none" w:sz="0" w:space="0" w:color="auto"/>
        <w:right w:val="none" w:sz="0" w:space="0" w:color="auto"/>
      </w:divBdr>
    </w:div>
    <w:div w:id="603463783">
      <w:bodyDiv w:val="1"/>
      <w:marLeft w:val="0"/>
      <w:marRight w:val="0"/>
      <w:marTop w:val="0"/>
      <w:marBottom w:val="0"/>
      <w:divBdr>
        <w:top w:val="none" w:sz="0" w:space="0" w:color="auto"/>
        <w:left w:val="none" w:sz="0" w:space="0" w:color="auto"/>
        <w:bottom w:val="none" w:sz="0" w:space="0" w:color="auto"/>
        <w:right w:val="none" w:sz="0" w:space="0" w:color="auto"/>
      </w:divBdr>
    </w:div>
    <w:div w:id="615914979">
      <w:bodyDiv w:val="1"/>
      <w:marLeft w:val="0"/>
      <w:marRight w:val="0"/>
      <w:marTop w:val="0"/>
      <w:marBottom w:val="0"/>
      <w:divBdr>
        <w:top w:val="none" w:sz="0" w:space="0" w:color="auto"/>
        <w:left w:val="none" w:sz="0" w:space="0" w:color="auto"/>
        <w:bottom w:val="none" w:sz="0" w:space="0" w:color="auto"/>
        <w:right w:val="none" w:sz="0" w:space="0" w:color="auto"/>
      </w:divBdr>
    </w:div>
    <w:div w:id="671954662">
      <w:bodyDiv w:val="1"/>
      <w:marLeft w:val="0"/>
      <w:marRight w:val="0"/>
      <w:marTop w:val="0"/>
      <w:marBottom w:val="0"/>
      <w:divBdr>
        <w:top w:val="none" w:sz="0" w:space="0" w:color="auto"/>
        <w:left w:val="none" w:sz="0" w:space="0" w:color="auto"/>
        <w:bottom w:val="none" w:sz="0" w:space="0" w:color="auto"/>
        <w:right w:val="none" w:sz="0" w:space="0" w:color="auto"/>
      </w:divBdr>
    </w:div>
    <w:div w:id="673069779">
      <w:bodyDiv w:val="1"/>
      <w:marLeft w:val="0"/>
      <w:marRight w:val="0"/>
      <w:marTop w:val="0"/>
      <w:marBottom w:val="0"/>
      <w:divBdr>
        <w:top w:val="none" w:sz="0" w:space="0" w:color="auto"/>
        <w:left w:val="none" w:sz="0" w:space="0" w:color="auto"/>
        <w:bottom w:val="none" w:sz="0" w:space="0" w:color="auto"/>
        <w:right w:val="none" w:sz="0" w:space="0" w:color="auto"/>
      </w:divBdr>
    </w:div>
    <w:div w:id="704721384">
      <w:bodyDiv w:val="1"/>
      <w:marLeft w:val="0"/>
      <w:marRight w:val="0"/>
      <w:marTop w:val="0"/>
      <w:marBottom w:val="0"/>
      <w:divBdr>
        <w:top w:val="none" w:sz="0" w:space="0" w:color="auto"/>
        <w:left w:val="none" w:sz="0" w:space="0" w:color="auto"/>
        <w:bottom w:val="none" w:sz="0" w:space="0" w:color="auto"/>
        <w:right w:val="none" w:sz="0" w:space="0" w:color="auto"/>
      </w:divBdr>
    </w:div>
    <w:div w:id="719062724">
      <w:bodyDiv w:val="1"/>
      <w:marLeft w:val="0"/>
      <w:marRight w:val="0"/>
      <w:marTop w:val="0"/>
      <w:marBottom w:val="0"/>
      <w:divBdr>
        <w:top w:val="none" w:sz="0" w:space="0" w:color="auto"/>
        <w:left w:val="none" w:sz="0" w:space="0" w:color="auto"/>
        <w:bottom w:val="none" w:sz="0" w:space="0" w:color="auto"/>
        <w:right w:val="none" w:sz="0" w:space="0" w:color="auto"/>
      </w:divBdr>
    </w:div>
    <w:div w:id="776871251">
      <w:bodyDiv w:val="1"/>
      <w:marLeft w:val="0"/>
      <w:marRight w:val="0"/>
      <w:marTop w:val="0"/>
      <w:marBottom w:val="0"/>
      <w:divBdr>
        <w:top w:val="none" w:sz="0" w:space="0" w:color="auto"/>
        <w:left w:val="none" w:sz="0" w:space="0" w:color="auto"/>
        <w:bottom w:val="none" w:sz="0" w:space="0" w:color="auto"/>
        <w:right w:val="none" w:sz="0" w:space="0" w:color="auto"/>
      </w:divBdr>
    </w:div>
    <w:div w:id="834225046">
      <w:bodyDiv w:val="1"/>
      <w:marLeft w:val="0"/>
      <w:marRight w:val="0"/>
      <w:marTop w:val="0"/>
      <w:marBottom w:val="0"/>
      <w:divBdr>
        <w:top w:val="none" w:sz="0" w:space="0" w:color="auto"/>
        <w:left w:val="none" w:sz="0" w:space="0" w:color="auto"/>
        <w:bottom w:val="none" w:sz="0" w:space="0" w:color="auto"/>
        <w:right w:val="none" w:sz="0" w:space="0" w:color="auto"/>
      </w:divBdr>
    </w:div>
    <w:div w:id="839662311">
      <w:bodyDiv w:val="1"/>
      <w:marLeft w:val="0"/>
      <w:marRight w:val="0"/>
      <w:marTop w:val="0"/>
      <w:marBottom w:val="0"/>
      <w:divBdr>
        <w:top w:val="none" w:sz="0" w:space="0" w:color="auto"/>
        <w:left w:val="none" w:sz="0" w:space="0" w:color="auto"/>
        <w:bottom w:val="none" w:sz="0" w:space="0" w:color="auto"/>
        <w:right w:val="none" w:sz="0" w:space="0" w:color="auto"/>
      </w:divBdr>
    </w:div>
    <w:div w:id="840244914">
      <w:bodyDiv w:val="1"/>
      <w:marLeft w:val="0"/>
      <w:marRight w:val="0"/>
      <w:marTop w:val="0"/>
      <w:marBottom w:val="0"/>
      <w:divBdr>
        <w:top w:val="none" w:sz="0" w:space="0" w:color="auto"/>
        <w:left w:val="none" w:sz="0" w:space="0" w:color="auto"/>
        <w:bottom w:val="none" w:sz="0" w:space="0" w:color="auto"/>
        <w:right w:val="none" w:sz="0" w:space="0" w:color="auto"/>
      </w:divBdr>
      <w:divsChild>
        <w:div w:id="85419961">
          <w:marLeft w:val="0"/>
          <w:marRight w:val="0"/>
          <w:marTop w:val="0"/>
          <w:marBottom w:val="0"/>
          <w:divBdr>
            <w:top w:val="none" w:sz="0" w:space="0" w:color="auto"/>
            <w:left w:val="none" w:sz="0" w:space="0" w:color="auto"/>
            <w:bottom w:val="none" w:sz="0" w:space="0" w:color="auto"/>
            <w:right w:val="none" w:sz="0" w:space="0" w:color="auto"/>
          </w:divBdr>
        </w:div>
        <w:div w:id="451831075">
          <w:marLeft w:val="0"/>
          <w:marRight w:val="0"/>
          <w:marTop w:val="0"/>
          <w:marBottom w:val="0"/>
          <w:divBdr>
            <w:top w:val="none" w:sz="0" w:space="0" w:color="auto"/>
            <w:left w:val="none" w:sz="0" w:space="0" w:color="auto"/>
            <w:bottom w:val="none" w:sz="0" w:space="0" w:color="auto"/>
            <w:right w:val="none" w:sz="0" w:space="0" w:color="auto"/>
          </w:divBdr>
        </w:div>
        <w:div w:id="655497409">
          <w:marLeft w:val="0"/>
          <w:marRight w:val="0"/>
          <w:marTop w:val="0"/>
          <w:marBottom w:val="0"/>
          <w:divBdr>
            <w:top w:val="none" w:sz="0" w:space="0" w:color="auto"/>
            <w:left w:val="none" w:sz="0" w:space="0" w:color="auto"/>
            <w:bottom w:val="none" w:sz="0" w:space="0" w:color="auto"/>
            <w:right w:val="none" w:sz="0" w:space="0" w:color="auto"/>
          </w:divBdr>
        </w:div>
        <w:div w:id="1024285143">
          <w:marLeft w:val="0"/>
          <w:marRight w:val="0"/>
          <w:marTop w:val="0"/>
          <w:marBottom w:val="0"/>
          <w:divBdr>
            <w:top w:val="none" w:sz="0" w:space="0" w:color="auto"/>
            <w:left w:val="none" w:sz="0" w:space="0" w:color="auto"/>
            <w:bottom w:val="none" w:sz="0" w:space="0" w:color="auto"/>
            <w:right w:val="none" w:sz="0" w:space="0" w:color="auto"/>
          </w:divBdr>
        </w:div>
        <w:div w:id="1061055642">
          <w:marLeft w:val="0"/>
          <w:marRight w:val="0"/>
          <w:marTop w:val="0"/>
          <w:marBottom w:val="0"/>
          <w:divBdr>
            <w:top w:val="none" w:sz="0" w:space="0" w:color="auto"/>
            <w:left w:val="none" w:sz="0" w:space="0" w:color="auto"/>
            <w:bottom w:val="none" w:sz="0" w:space="0" w:color="auto"/>
            <w:right w:val="none" w:sz="0" w:space="0" w:color="auto"/>
          </w:divBdr>
        </w:div>
        <w:div w:id="1158115031">
          <w:marLeft w:val="0"/>
          <w:marRight w:val="0"/>
          <w:marTop w:val="0"/>
          <w:marBottom w:val="0"/>
          <w:divBdr>
            <w:top w:val="none" w:sz="0" w:space="0" w:color="auto"/>
            <w:left w:val="none" w:sz="0" w:space="0" w:color="auto"/>
            <w:bottom w:val="none" w:sz="0" w:space="0" w:color="auto"/>
            <w:right w:val="none" w:sz="0" w:space="0" w:color="auto"/>
          </w:divBdr>
        </w:div>
        <w:div w:id="1190222256">
          <w:marLeft w:val="0"/>
          <w:marRight w:val="0"/>
          <w:marTop w:val="0"/>
          <w:marBottom w:val="0"/>
          <w:divBdr>
            <w:top w:val="none" w:sz="0" w:space="0" w:color="auto"/>
            <w:left w:val="none" w:sz="0" w:space="0" w:color="auto"/>
            <w:bottom w:val="none" w:sz="0" w:space="0" w:color="auto"/>
            <w:right w:val="none" w:sz="0" w:space="0" w:color="auto"/>
          </w:divBdr>
        </w:div>
        <w:div w:id="1248542535">
          <w:marLeft w:val="0"/>
          <w:marRight w:val="0"/>
          <w:marTop w:val="0"/>
          <w:marBottom w:val="0"/>
          <w:divBdr>
            <w:top w:val="none" w:sz="0" w:space="0" w:color="auto"/>
            <w:left w:val="none" w:sz="0" w:space="0" w:color="auto"/>
            <w:bottom w:val="none" w:sz="0" w:space="0" w:color="auto"/>
            <w:right w:val="none" w:sz="0" w:space="0" w:color="auto"/>
          </w:divBdr>
        </w:div>
        <w:div w:id="1430152486">
          <w:marLeft w:val="0"/>
          <w:marRight w:val="0"/>
          <w:marTop w:val="0"/>
          <w:marBottom w:val="0"/>
          <w:divBdr>
            <w:top w:val="none" w:sz="0" w:space="0" w:color="auto"/>
            <w:left w:val="none" w:sz="0" w:space="0" w:color="auto"/>
            <w:bottom w:val="none" w:sz="0" w:space="0" w:color="auto"/>
            <w:right w:val="none" w:sz="0" w:space="0" w:color="auto"/>
          </w:divBdr>
        </w:div>
        <w:div w:id="1505172667">
          <w:marLeft w:val="0"/>
          <w:marRight w:val="0"/>
          <w:marTop w:val="0"/>
          <w:marBottom w:val="0"/>
          <w:divBdr>
            <w:top w:val="none" w:sz="0" w:space="0" w:color="auto"/>
            <w:left w:val="none" w:sz="0" w:space="0" w:color="auto"/>
            <w:bottom w:val="none" w:sz="0" w:space="0" w:color="auto"/>
            <w:right w:val="none" w:sz="0" w:space="0" w:color="auto"/>
          </w:divBdr>
        </w:div>
        <w:div w:id="1679111223">
          <w:marLeft w:val="0"/>
          <w:marRight w:val="0"/>
          <w:marTop w:val="0"/>
          <w:marBottom w:val="0"/>
          <w:divBdr>
            <w:top w:val="none" w:sz="0" w:space="0" w:color="auto"/>
            <w:left w:val="none" w:sz="0" w:space="0" w:color="auto"/>
            <w:bottom w:val="none" w:sz="0" w:space="0" w:color="auto"/>
            <w:right w:val="none" w:sz="0" w:space="0" w:color="auto"/>
          </w:divBdr>
        </w:div>
        <w:div w:id="1865627337">
          <w:marLeft w:val="0"/>
          <w:marRight w:val="0"/>
          <w:marTop w:val="0"/>
          <w:marBottom w:val="0"/>
          <w:divBdr>
            <w:top w:val="none" w:sz="0" w:space="0" w:color="auto"/>
            <w:left w:val="none" w:sz="0" w:space="0" w:color="auto"/>
            <w:bottom w:val="none" w:sz="0" w:space="0" w:color="auto"/>
            <w:right w:val="none" w:sz="0" w:space="0" w:color="auto"/>
          </w:divBdr>
        </w:div>
      </w:divsChild>
    </w:div>
    <w:div w:id="855458619">
      <w:bodyDiv w:val="1"/>
      <w:marLeft w:val="0"/>
      <w:marRight w:val="0"/>
      <w:marTop w:val="0"/>
      <w:marBottom w:val="0"/>
      <w:divBdr>
        <w:top w:val="none" w:sz="0" w:space="0" w:color="auto"/>
        <w:left w:val="none" w:sz="0" w:space="0" w:color="auto"/>
        <w:bottom w:val="none" w:sz="0" w:space="0" w:color="auto"/>
        <w:right w:val="none" w:sz="0" w:space="0" w:color="auto"/>
      </w:divBdr>
    </w:div>
    <w:div w:id="856043647">
      <w:bodyDiv w:val="1"/>
      <w:marLeft w:val="0"/>
      <w:marRight w:val="0"/>
      <w:marTop w:val="0"/>
      <w:marBottom w:val="0"/>
      <w:divBdr>
        <w:top w:val="none" w:sz="0" w:space="0" w:color="auto"/>
        <w:left w:val="none" w:sz="0" w:space="0" w:color="auto"/>
        <w:bottom w:val="none" w:sz="0" w:space="0" w:color="auto"/>
        <w:right w:val="none" w:sz="0" w:space="0" w:color="auto"/>
      </w:divBdr>
    </w:div>
    <w:div w:id="906646487">
      <w:bodyDiv w:val="1"/>
      <w:marLeft w:val="0"/>
      <w:marRight w:val="0"/>
      <w:marTop w:val="0"/>
      <w:marBottom w:val="0"/>
      <w:divBdr>
        <w:top w:val="none" w:sz="0" w:space="0" w:color="auto"/>
        <w:left w:val="none" w:sz="0" w:space="0" w:color="auto"/>
        <w:bottom w:val="none" w:sz="0" w:space="0" w:color="auto"/>
        <w:right w:val="none" w:sz="0" w:space="0" w:color="auto"/>
      </w:divBdr>
    </w:div>
    <w:div w:id="988284134">
      <w:bodyDiv w:val="1"/>
      <w:marLeft w:val="0"/>
      <w:marRight w:val="0"/>
      <w:marTop w:val="0"/>
      <w:marBottom w:val="0"/>
      <w:divBdr>
        <w:top w:val="none" w:sz="0" w:space="0" w:color="auto"/>
        <w:left w:val="none" w:sz="0" w:space="0" w:color="auto"/>
        <w:bottom w:val="none" w:sz="0" w:space="0" w:color="auto"/>
        <w:right w:val="none" w:sz="0" w:space="0" w:color="auto"/>
      </w:divBdr>
    </w:div>
    <w:div w:id="1002395456">
      <w:bodyDiv w:val="1"/>
      <w:marLeft w:val="0"/>
      <w:marRight w:val="0"/>
      <w:marTop w:val="0"/>
      <w:marBottom w:val="0"/>
      <w:divBdr>
        <w:top w:val="none" w:sz="0" w:space="0" w:color="auto"/>
        <w:left w:val="none" w:sz="0" w:space="0" w:color="auto"/>
        <w:bottom w:val="none" w:sz="0" w:space="0" w:color="auto"/>
        <w:right w:val="none" w:sz="0" w:space="0" w:color="auto"/>
      </w:divBdr>
    </w:div>
    <w:div w:id="1026979472">
      <w:bodyDiv w:val="1"/>
      <w:marLeft w:val="0"/>
      <w:marRight w:val="0"/>
      <w:marTop w:val="0"/>
      <w:marBottom w:val="0"/>
      <w:divBdr>
        <w:top w:val="none" w:sz="0" w:space="0" w:color="auto"/>
        <w:left w:val="none" w:sz="0" w:space="0" w:color="auto"/>
        <w:bottom w:val="none" w:sz="0" w:space="0" w:color="auto"/>
        <w:right w:val="none" w:sz="0" w:space="0" w:color="auto"/>
      </w:divBdr>
      <w:divsChild>
        <w:div w:id="224535716">
          <w:marLeft w:val="0"/>
          <w:marRight w:val="0"/>
          <w:marTop w:val="0"/>
          <w:marBottom w:val="0"/>
          <w:divBdr>
            <w:top w:val="none" w:sz="0" w:space="0" w:color="auto"/>
            <w:left w:val="none" w:sz="0" w:space="0" w:color="auto"/>
            <w:bottom w:val="none" w:sz="0" w:space="0" w:color="auto"/>
            <w:right w:val="none" w:sz="0" w:space="0" w:color="auto"/>
          </w:divBdr>
          <w:divsChild>
            <w:div w:id="50752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117853">
      <w:bodyDiv w:val="1"/>
      <w:marLeft w:val="0"/>
      <w:marRight w:val="0"/>
      <w:marTop w:val="0"/>
      <w:marBottom w:val="0"/>
      <w:divBdr>
        <w:top w:val="none" w:sz="0" w:space="0" w:color="auto"/>
        <w:left w:val="none" w:sz="0" w:space="0" w:color="auto"/>
        <w:bottom w:val="none" w:sz="0" w:space="0" w:color="auto"/>
        <w:right w:val="none" w:sz="0" w:space="0" w:color="auto"/>
      </w:divBdr>
    </w:div>
    <w:div w:id="1035541652">
      <w:bodyDiv w:val="1"/>
      <w:marLeft w:val="0"/>
      <w:marRight w:val="0"/>
      <w:marTop w:val="0"/>
      <w:marBottom w:val="0"/>
      <w:divBdr>
        <w:top w:val="none" w:sz="0" w:space="0" w:color="auto"/>
        <w:left w:val="none" w:sz="0" w:space="0" w:color="auto"/>
        <w:bottom w:val="none" w:sz="0" w:space="0" w:color="auto"/>
        <w:right w:val="none" w:sz="0" w:space="0" w:color="auto"/>
      </w:divBdr>
    </w:div>
    <w:div w:id="1044407102">
      <w:bodyDiv w:val="1"/>
      <w:marLeft w:val="0"/>
      <w:marRight w:val="0"/>
      <w:marTop w:val="0"/>
      <w:marBottom w:val="0"/>
      <w:divBdr>
        <w:top w:val="none" w:sz="0" w:space="0" w:color="auto"/>
        <w:left w:val="none" w:sz="0" w:space="0" w:color="auto"/>
        <w:bottom w:val="none" w:sz="0" w:space="0" w:color="auto"/>
        <w:right w:val="none" w:sz="0" w:space="0" w:color="auto"/>
      </w:divBdr>
    </w:div>
    <w:div w:id="1074552845">
      <w:bodyDiv w:val="1"/>
      <w:marLeft w:val="0"/>
      <w:marRight w:val="0"/>
      <w:marTop w:val="0"/>
      <w:marBottom w:val="0"/>
      <w:divBdr>
        <w:top w:val="none" w:sz="0" w:space="0" w:color="auto"/>
        <w:left w:val="none" w:sz="0" w:space="0" w:color="auto"/>
        <w:bottom w:val="none" w:sz="0" w:space="0" w:color="auto"/>
        <w:right w:val="none" w:sz="0" w:space="0" w:color="auto"/>
      </w:divBdr>
    </w:div>
    <w:div w:id="1082066150">
      <w:bodyDiv w:val="1"/>
      <w:marLeft w:val="0"/>
      <w:marRight w:val="0"/>
      <w:marTop w:val="0"/>
      <w:marBottom w:val="0"/>
      <w:divBdr>
        <w:top w:val="none" w:sz="0" w:space="0" w:color="auto"/>
        <w:left w:val="none" w:sz="0" w:space="0" w:color="auto"/>
        <w:bottom w:val="none" w:sz="0" w:space="0" w:color="auto"/>
        <w:right w:val="none" w:sz="0" w:space="0" w:color="auto"/>
      </w:divBdr>
    </w:div>
    <w:div w:id="1088623549">
      <w:bodyDiv w:val="1"/>
      <w:marLeft w:val="0"/>
      <w:marRight w:val="0"/>
      <w:marTop w:val="0"/>
      <w:marBottom w:val="0"/>
      <w:divBdr>
        <w:top w:val="none" w:sz="0" w:space="0" w:color="auto"/>
        <w:left w:val="none" w:sz="0" w:space="0" w:color="auto"/>
        <w:bottom w:val="none" w:sz="0" w:space="0" w:color="auto"/>
        <w:right w:val="none" w:sz="0" w:space="0" w:color="auto"/>
      </w:divBdr>
    </w:div>
    <w:div w:id="1110051983">
      <w:bodyDiv w:val="1"/>
      <w:marLeft w:val="0"/>
      <w:marRight w:val="0"/>
      <w:marTop w:val="0"/>
      <w:marBottom w:val="0"/>
      <w:divBdr>
        <w:top w:val="none" w:sz="0" w:space="0" w:color="auto"/>
        <w:left w:val="none" w:sz="0" w:space="0" w:color="auto"/>
        <w:bottom w:val="none" w:sz="0" w:space="0" w:color="auto"/>
        <w:right w:val="none" w:sz="0" w:space="0" w:color="auto"/>
      </w:divBdr>
    </w:div>
    <w:div w:id="1211962576">
      <w:bodyDiv w:val="1"/>
      <w:marLeft w:val="0"/>
      <w:marRight w:val="0"/>
      <w:marTop w:val="0"/>
      <w:marBottom w:val="0"/>
      <w:divBdr>
        <w:top w:val="none" w:sz="0" w:space="0" w:color="auto"/>
        <w:left w:val="none" w:sz="0" w:space="0" w:color="auto"/>
        <w:bottom w:val="none" w:sz="0" w:space="0" w:color="auto"/>
        <w:right w:val="none" w:sz="0" w:space="0" w:color="auto"/>
      </w:divBdr>
    </w:div>
    <w:div w:id="1312833969">
      <w:bodyDiv w:val="1"/>
      <w:marLeft w:val="0"/>
      <w:marRight w:val="0"/>
      <w:marTop w:val="0"/>
      <w:marBottom w:val="0"/>
      <w:divBdr>
        <w:top w:val="none" w:sz="0" w:space="0" w:color="auto"/>
        <w:left w:val="none" w:sz="0" w:space="0" w:color="auto"/>
        <w:bottom w:val="none" w:sz="0" w:space="0" w:color="auto"/>
        <w:right w:val="none" w:sz="0" w:space="0" w:color="auto"/>
      </w:divBdr>
    </w:div>
    <w:div w:id="1364483141">
      <w:bodyDiv w:val="1"/>
      <w:marLeft w:val="0"/>
      <w:marRight w:val="0"/>
      <w:marTop w:val="0"/>
      <w:marBottom w:val="0"/>
      <w:divBdr>
        <w:top w:val="none" w:sz="0" w:space="0" w:color="auto"/>
        <w:left w:val="none" w:sz="0" w:space="0" w:color="auto"/>
        <w:bottom w:val="none" w:sz="0" w:space="0" w:color="auto"/>
        <w:right w:val="none" w:sz="0" w:space="0" w:color="auto"/>
      </w:divBdr>
    </w:div>
    <w:div w:id="1416898508">
      <w:bodyDiv w:val="1"/>
      <w:marLeft w:val="0"/>
      <w:marRight w:val="0"/>
      <w:marTop w:val="0"/>
      <w:marBottom w:val="0"/>
      <w:divBdr>
        <w:top w:val="none" w:sz="0" w:space="0" w:color="auto"/>
        <w:left w:val="none" w:sz="0" w:space="0" w:color="auto"/>
        <w:bottom w:val="none" w:sz="0" w:space="0" w:color="auto"/>
        <w:right w:val="none" w:sz="0" w:space="0" w:color="auto"/>
      </w:divBdr>
    </w:div>
    <w:div w:id="1452674504">
      <w:bodyDiv w:val="1"/>
      <w:marLeft w:val="0"/>
      <w:marRight w:val="0"/>
      <w:marTop w:val="0"/>
      <w:marBottom w:val="0"/>
      <w:divBdr>
        <w:top w:val="none" w:sz="0" w:space="0" w:color="auto"/>
        <w:left w:val="none" w:sz="0" w:space="0" w:color="auto"/>
        <w:bottom w:val="none" w:sz="0" w:space="0" w:color="auto"/>
        <w:right w:val="none" w:sz="0" w:space="0" w:color="auto"/>
      </w:divBdr>
      <w:divsChild>
        <w:div w:id="39020294">
          <w:marLeft w:val="0"/>
          <w:marRight w:val="0"/>
          <w:marTop w:val="0"/>
          <w:marBottom w:val="0"/>
          <w:divBdr>
            <w:top w:val="none" w:sz="0" w:space="0" w:color="auto"/>
            <w:left w:val="none" w:sz="0" w:space="0" w:color="auto"/>
            <w:bottom w:val="none" w:sz="0" w:space="0" w:color="auto"/>
            <w:right w:val="none" w:sz="0" w:space="0" w:color="auto"/>
          </w:divBdr>
        </w:div>
        <w:div w:id="40792446">
          <w:marLeft w:val="0"/>
          <w:marRight w:val="0"/>
          <w:marTop w:val="0"/>
          <w:marBottom w:val="0"/>
          <w:divBdr>
            <w:top w:val="none" w:sz="0" w:space="0" w:color="auto"/>
            <w:left w:val="none" w:sz="0" w:space="0" w:color="auto"/>
            <w:bottom w:val="none" w:sz="0" w:space="0" w:color="auto"/>
            <w:right w:val="none" w:sz="0" w:space="0" w:color="auto"/>
          </w:divBdr>
        </w:div>
        <w:div w:id="224487822">
          <w:marLeft w:val="0"/>
          <w:marRight w:val="0"/>
          <w:marTop w:val="0"/>
          <w:marBottom w:val="0"/>
          <w:divBdr>
            <w:top w:val="none" w:sz="0" w:space="0" w:color="auto"/>
            <w:left w:val="none" w:sz="0" w:space="0" w:color="auto"/>
            <w:bottom w:val="none" w:sz="0" w:space="0" w:color="auto"/>
            <w:right w:val="none" w:sz="0" w:space="0" w:color="auto"/>
          </w:divBdr>
        </w:div>
        <w:div w:id="585194287">
          <w:marLeft w:val="0"/>
          <w:marRight w:val="0"/>
          <w:marTop w:val="0"/>
          <w:marBottom w:val="0"/>
          <w:divBdr>
            <w:top w:val="none" w:sz="0" w:space="0" w:color="auto"/>
            <w:left w:val="none" w:sz="0" w:space="0" w:color="auto"/>
            <w:bottom w:val="none" w:sz="0" w:space="0" w:color="auto"/>
            <w:right w:val="none" w:sz="0" w:space="0" w:color="auto"/>
          </w:divBdr>
        </w:div>
        <w:div w:id="870728558">
          <w:marLeft w:val="0"/>
          <w:marRight w:val="0"/>
          <w:marTop w:val="0"/>
          <w:marBottom w:val="0"/>
          <w:divBdr>
            <w:top w:val="none" w:sz="0" w:space="0" w:color="auto"/>
            <w:left w:val="none" w:sz="0" w:space="0" w:color="auto"/>
            <w:bottom w:val="none" w:sz="0" w:space="0" w:color="auto"/>
            <w:right w:val="none" w:sz="0" w:space="0" w:color="auto"/>
          </w:divBdr>
        </w:div>
        <w:div w:id="1196888995">
          <w:marLeft w:val="0"/>
          <w:marRight w:val="0"/>
          <w:marTop w:val="0"/>
          <w:marBottom w:val="0"/>
          <w:divBdr>
            <w:top w:val="none" w:sz="0" w:space="0" w:color="auto"/>
            <w:left w:val="none" w:sz="0" w:space="0" w:color="auto"/>
            <w:bottom w:val="none" w:sz="0" w:space="0" w:color="auto"/>
            <w:right w:val="none" w:sz="0" w:space="0" w:color="auto"/>
          </w:divBdr>
        </w:div>
        <w:div w:id="1205143922">
          <w:marLeft w:val="0"/>
          <w:marRight w:val="0"/>
          <w:marTop w:val="0"/>
          <w:marBottom w:val="0"/>
          <w:divBdr>
            <w:top w:val="none" w:sz="0" w:space="0" w:color="auto"/>
            <w:left w:val="none" w:sz="0" w:space="0" w:color="auto"/>
            <w:bottom w:val="none" w:sz="0" w:space="0" w:color="auto"/>
            <w:right w:val="none" w:sz="0" w:space="0" w:color="auto"/>
          </w:divBdr>
        </w:div>
        <w:div w:id="1265453825">
          <w:marLeft w:val="0"/>
          <w:marRight w:val="0"/>
          <w:marTop w:val="0"/>
          <w:marBottom w:val="0"/>
          <w:divBdr>
            <w:top w:val="none" w:sz="0" w:space="0" w:color="auto"/>
            <w:left w:val="none" w:sz="0" w:space="0" w:color="auto"/>
            <w:bottom w:val="none" w:sz="0" w:space="0" w:color="auto"/>
            <w:right w:val="none" w:sz="0" w:space="0" w:color="auto"/>
          </w:divBdr>
        </w:div>
        <w:div w:id="1770158520">
          <w:marLeft w:val="0"/>
          <w:marRight w:val="0"/>
          <w:marTop w:val="0"/>
          <w:marBottom w:val="0"/>
          <w:divBdr>
            <w:top w:val="none" w:sz="0" w:space="0" w:color="auto"/>
            <w:left w:val="none" w:sz="0" w:space="0" w:color="auto"/>
            <w:bottom w:val="none" w:sz="0" w:space="0" w:color="auto"/>
            <w:right w:val="none" w:sz="0" w:space="0" w:color="auto"/>
          </w:divBdr>
        </w:div>
        <w:div w:id="1920291740">
          <w:marLeft w:val="0"/>
          <w:marRight w:val="0"/>
          <w:marTop w:val="0"/>
          <w:marBottom w:val="0"/>
          <w:divBdr>
            <w:top w:val="none" w:sz="0" w:space="0" w:color="auto"/>
            <w:left w:val="none" w:sz="0" w:space="0" w:color="auto"/>
            <w:bottom w:val="none" w:sz="0" w:space="0" w:color="auto"/>
            <w:right w:val="none" w:sz="0" w:space="0" w:color="auto"/>
          </w:divBdr>
        </w:div>
        <w:div w:id="1947351109">
          <w:marLeft w:val="0"/>
          <w:marRight w:val="0"/>
          <w:marTop w:val="0"/>
          <w:marBottom w:val="0"/>
          <w:divBdr>
            <w:top w:val="none" w:sz="0" w:space="0" w:color="auto"/>
            <w:left w:val="none" w:sz="0" w:space="0" w:color="auto"/>
            <w:bottom w:val="none" w:sz="0" w:space="0" w:color="auto"/>
            <w:right w:val="none" w:sz="0" w:space="0" w:color="auto"/>
          </w:divBdr>
        </w:div>
        <w:div w:id="2025666190">
          <w:marLeft w:val="0"/>
          <w:marRight w:val="0"/>
          <w:marTop w:val="0"/>
          <w:marBottom w:val="0"/>
          <w:divBdr>
            <w:top w:val="none" w:sz="0" w:space="0" w:color="auto"/>
            <w:left w:val="none" w:sz="0" w:space="0" w:color="auto"/>
            <w:bottom w:val="none" w:sz="0" w:space="0" w:color="auto"/>
            <w:right w:val="none" w:sz="0" w:space="0" w:color="auto"/>
          </w:divBdr>
        </w:div>
      </w:divsChild>
    </w:div>
    <w:div w:id="1496729283">
      <w:bodyDiv w:val="1"/>
      <w:marLeft w:val="0"/>
      <w:marRight w:val="0"/>
      <w:marTop w:val="0"/>
      <w:marBottom w:val="0"/>
      <w:divBdr>
        <w:top w:val="none" w:sz="0" w:space="0" w:color="auto"/>
        <w:left w:val="none" w:sz="0" w:space="0" w:color="auto"/>
        <w:bottom w:val="none" w:sz="0" w:space="0" w:color="auto"/>
        <w:right w:val="none" w:sz="0" w:space="0" w:color="auto"/>
      </w:divBdr>
    </w:div>
    <w:div w:id="1502236199">
      <w:bodyDiv w:val="1"/>
      <w:marLeft w:val="0"/>
      <w:marRight w:val="0"/>
      <w:marTop w:val="0"/>
      <w:marBottom w:val="0"/>
      <w:divBdr>
        <w:top w:val="none" w:sz="0" w:space="0" w:color="auto"/>
        <w:left w:val="none" w:sz="0" w:space="0" w:color="auto"/>
        <w:bottom w:val="none" w:sz="0" w:space="0" w:color="auto"/>
        <w:right w:val="none" w:sz="0" w:space="0" w:color="auto"/>
      </w:divBdr>
    </w:div>
    <w:div w:id="1539320738">
      <w:bodyDiv w:val="1"/>
      <w:marLeft w:val="0"/>
      <w:marRight w:val="0"/>
      <w:marTop w:val="0"/>
      <w:marBottom w:val="0"/>
      <w:divBdr>
        <w:top w:val="none" w:sz="0" w:space="0" w:color="auto"/>
        <w:left w:val="none" w:sz="0" w:space="0" w:color="auto"/>
        <w:bottom w:val="none" w:sz="0" w:space="0" w:color="auto"/>
        <w:right w:val="none" w:sz="0" w:space="0" w:color="auto"/>
      </w:divBdr>
    </w:div>
    <w:div w:id="1701667468">
      <w:bodyDiv w:val="1"/>
      <w:marLeft w:val="0"/>
      <w:marRight w:val="0"/>
      <w:marTop w:val="0"/>
      <w:marBottom w:val="0"/>
      <w:divBdr>
        <w:top w:val="none" w:sz="0" w:space="0" w:color="auto"/>
        <w:left w:val="none" w:sz="0" w:space="0" w:color="auto"/>
        <w:bottom w:val="none" w:sz="0" w:space="0" w:color="auto"/>
        <w:right w:val="none" w:sz="0" w:space="0" w:color="auto"/>
      </w:divBdr>
    </w:div>
    <w:div w:id="1764104451">
      <w:bodyDiv w:val="1"/>
      <w:marLeft w:val="0"/>
      <w:marRight w:val="0"/>
      <w:marTop w:val="0"/>
      <w:marBottom w:val="0"/>
      <w:divBdr>
        <w:top w:val="none" w:sz="0" w:space="0" w:color="auto"/>
        <w:left w:val="none" w:sz="0" w:space="0" w:color="auto"/>
        <w:bottom w:val="none" w:sz="0" w:space="0" w:color="auto"/>
        <w:right w:val="none" w:sz="0" w:space="0" w:color="auto"/>
      </w:divBdr>
    </w:div>
    <w:div w:id="1799833903">
      <w:bodyDiv w:val="1"/>
      <w:marLeft w:val="0"/>
      <w:marRight w:val="0"/>
      <w:marTop w:val="0"/>
      <w:marBottom w:val="0"/>
      <w:divBdr>
        <w:top w:val="none" w:sz="0" w:space="0" w:color="auto"/>
        <w:left w:val="none" w:sz="0" w:space="0" w:color="auto"/>
        <w:bottom w:val="none" w:sz="0" w:space="0" w:color="auto"/>
        <w:right w:val="none" w:sz="0" w:space="0" w:color="auto"/>
      </w:divBdr>
    </w:div>
    <w:div w:id="1811705125">
      <w:bodyDiv w:val="1"/>
      <w:marLeft w:val="0"/>
      <w:marRight w:val="0"/>
      <w:marTop w:val="0"/>
      <w:marBottom w:val="0"/>
      <w:divBdr>
        <w:top w:val="none" w:sz="0" w:space="0" w:color="auto"/>
        <w:left w:val="none" w:sz="0" w:space="0" w:color="auto"/>
        <w:bottom w:val="none" w:sz="0" w:space="0" w:color="auto"/>
        <w:right w:val="none" w:sz="0" w:space="0" w:color="auto"/>
      </w:divBdr>
    </w:div>
    <w:div w:id="1824808918">
      <w:bodyDiv w:val="1"/>
      <w:marLeft w:val="0"/>
      <w:marRight w:val="0"/>
      <w:marTop w:val="0"/>
      <w:marBottom w:val="0"/>
      <w:divBdr>
        <w:top w:val="none" w:sz="0" w:space="0" w:color="auto"/>
        <w:left w:val="none" w:sz="0" w:space="0" w:color="auto"/>
        <w:bottom w:val="none" w:sz="0" w:space="0" w:color="auto"/>
        <w:right w:val="none" w:sz="0" w:space="0" w:color="auto"/>
      </w:divBdr>
    </w:div>
    <w:div w:id="1832870834">
      <w:bodyDiv w:val="1"/>
      <w:marLeft w:val="0"/>
      <w:marRight w:val="0"/>
      <w:marTop w:val="0"/>
      <w:marBottom w:val="0"/>
      <w:divBdr>
        <w:top w:val="none" w:sz="0" w:space="0" w:color="auto"/>
        <w:left w:val="none" w:sz="0" w:space="0" w:color="auto"/>
        <w:bottom w:val="none" w:sz="0" w:space="0" w:color="auto"/>
        <w:right w:val="none" w:sz="0" w:space="0" w:color="auto"/>
      </w:divBdr>
    </w:div>
    <w:div w:id="1853568349">
      <w:bodyDiv w:val="1"/>
      <w:marLeft w:val="0"/>
      <w:marRight w:val="0"/>
      <w:marTop w:val="0"/>
      <w:marBottom w:val="0"/>
      <w:divBdr>
        <w:top w:val="none" w:sz="0" w:space="0" w:color="auto"/>
        <w:left w:val="none" w:sz="0" w:space="0" w:color="auto"/>
        <w:bottom w:val="none" w:sz="0" w:space="0" w:color="auto"/>
        <w:right w:val="none" w:sz="0" w:space="0" w:color="auto"/>
      </w:divBdr>
    </w:div>
    <w:div w:id="1857229170">
      <w:bodyDiv w:val="1"/>
      <w:marLeft w:val="0"/>
      <w:marRight w:val="0"/>
      <w:marTop w:val="0"/>
      <w:marBottom w:val="0"/>
      <w:divBdr>
        <w:top w:val="none" w:sz="0" w:space="0" w:color="auto"/>
        <w:left w:val="none" w:sz="0" w:space="0" w:color="auto"/>
        <w:bottom w:val="none" w:sz="0" w:space="0" w:color="auto"/>
        <w:right w:val="none" w:sz="0" w:space="0" w:color="auto"/>
      </w:divBdr>
      <w:divsChild>
        <w:div w:id="741148347">
          <w:marLeft w:val="0"/>
          <w:marRight w:val="0"/>
          <w:marTop w:val="0"/>
          <w:marBottom w:val="0"/>
          <w:divBdr>
            <w:top w:val="none" w:sz="0" w:space="0" w:color="auto"/>
            <w:left w:val="none" w:sz="0" w:space="0" w:color="auto"/>
            <w:bottom w:val="none" w:sz="0" w:space="0" w:color="auto"/>
            <w:right w:val="none" w:sz="0" w:space="0" w:color="auto"/>
          </w:divBdr>
          <w:divsChild>
            <w:div w:id="946699514">
              <w:marLeft w:val="0"/>
              <w:marRight w:val="0"/>
              <w:marTop w:val="0"/>
              <w:marBottom w:val="0"/>
              <w:divBdr>
                <w:top w:val="none" w:sz="0" w:space="0" w:color="auto"/>
                <w:left w:val="none" w:sz="0" w:space="0" w:color="auto"/>
                <w:bottom w:val="none" w:sz="0" w:space="0" w:color="auto"/>
                <w:right w:val="none" w:sz="0" w:space="0" w:color="auto"/>
              </w:divBdr>
            </w:div>
          </w:divsChild>
        </w:div>
        <w:div w:id="2100562480">
          <w:marLeft w:val="0"/>
          <w:marRight w:val="0"/>
          <w:marTop w:val="0"/>
          <w:marBottom w:val="0"/>
          <w:divBdr>
            <w:top w:val="none" w:sz="0" w:space="0" w:color="auto"/>
            <w:left w:val="none" w:sz="0" w:space="0" w:color="auto"/>
            <w:bottom w:val="none" w:sz="0" w:space="0" w:color="auto"/>
            <w:right w:val="none" w:sz="0" w:space="0" w:color="auto"/>
          </w:divBdr>
          <w:divsChild>
            <w:div w:id="1308362289">
              <w:marLeft w:val="0"/>
              <w:marRight w:val="0"/>
              <w:marTop w:val="0"/>
              <w:marBottom w:val="0"/>
              <w:divBdr>
                <w:top w:val="none" w:sz="0" w:space="0" w:color="auto"/>
                <w:left w:val="none" w:sz="0" w:space="0" w:color="auto"/>
                <w:bottom w:val="none" w:sz="0" w:space="0" w:color="auto"/>
                <w:right w:val="none" w:sz="0" w:space="0" w:color="auto"/>
              </w:divBdr>
              <w:divsChild>
                <w:div w:id="79325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999258">
      <w:bodyDiv w:val="1"/>
      <w:marLeft w:val="0"/>
      <w:marRight w:val="0"/>
      <w:marTop w:val="0"/>
      <w:marBottom w:val="0"/>
      <w:divBdr>
        <w:top w:val="none" w:sz="0" w:space="0" w:color="auto"/>
        <w:left w:val="none" w:sz="0" w:space="0" w:color="auto"/>
        <w:bottom w:val="none" w:sz="0" w:space="0" w:color="auto"/>
        <w:right w:val="none" w:sz="0" w:space="0" w:color="auto"/>
      </w:divBdr>
      <w:divsChild>
        <w:div w:id="1752777358">
          <w:marLeft w:val="0"/>
          <w:marRight w:val="0"/>
          <w:marTop w:val="0"/>
          <w:marBottom w:val="0"/>
          <w:divBdr>
            <w:top w:val="none" w:sz="0" w:space="0" w:color="auto"/>
            <w:left w:val="none" w:sz="0" w:space="0" w:color="auto"/>
            <w:bottom w:val="none" w:sz="0" w:space="0" w:color="auto"/>
            <w:right w:val="none" w:sz="0" w:space="0" w:color="auto"/>
          </w:divBdr>
          <w:divsChild>
            <w:div w:id="116524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110399">
      <w:bodyDiv w:val="1"/>
      <w:marLeft w:val="0"/>
      <w:marRight w:val="0"/>
      <w:marTop w:val="0"/>
      <w:marBottom w:val="0"/>
      <w:divBdr>
        <w:top w:val="none" w:sz="0" w:space="0" w:color="auto"/>
        <w:left w:val="none" w:sz="0" w:space="0" w:color="auto"/>
        <w:bottom w:val="none" w:sz="0" w:space="0" w:color="auto"/>
        <w:right w:val="none" w:sz="0" w:space="0" w:color="auto"/>
      </w:divBdr>
    </w:div>
    <w:div w:id="1942376319">
      <w:bodyDiv w:val="1"/>
      <w:marLeft w:val="0"/>
      <w:marRight w:val="0"/>
      <w:marTop w:val="0"/>
      <w:marBottom w:val="0"/>
      <w:divBdr>
        <w:top w:val="none" w:sz="0" w:space="0" w:color="auto"/>
        <w:left w:val="none" w:sz="0" w:space="0" w:color="auto"/>
        <w:bottom w:val="none" w:sz="0" w:space="0" w:color="auto"/>
        <w:right w:val="none" w:sz="0" w:space="0" w:color="auto"/>
      </w:divBdr>
      <w:divsChild>
        <w:div w:id="540291936">
          <w:marLeft w:val="0"/>
          <w:marRight w:val="0"/>
          <w:marTop w:val="0"/>
          <w:marBottom w:val="0"/>
          <w:divBdr>
            <w:top w:val="none" w:sz="0" w:space="0" w:color="auto"/>
            <w:left w:val="none" w:sz="0" w:space="0" w:color="auto"/>
            <w:bottom w:val="none" w:sz="0" w:space="0" w:color="auto"/>
            <w:right w:val="none" w:sz="0" w:space="0" w:color="auto"/>
          </w:divBdr>
          <w:divsChild>
            <w:div w:id="91910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09270">
      <w:bodyDiv w:val="1"/>
      <w:marLeft w:val="0"/>
      <w:marRight w:val="0"/>
      <w:marTop w:val="0"/>
      <w:marBottom w:val="0"/>
      <w:divBdr>
        <w:top w:val="none" w:sz="0" w:space="0" w:color="auto"/>
        <w:left w:val="none" w:sz="0" w:space="0" w:color="auto"/>
        <w:bottom w:val="none" w:sz="0" w:space="0" w:color="auto"/>
        <w:right w:val="none" w:sz="0" w:space="0" w:color="auto"/>
      </w:divBdr>
    </w:div>
    <w:div w:id="2111847911">
      <w:bodyDiv w:val="1"/>
      <w:marLeft w:val="0"/>
      <w:marRight w:val="0"/>
      <w:marTop w:val="0"/>
      <w:marBottom w:val="0"/>
      <w:divBdr>
        <w:top w:val="none" w:sz="0" w:space="0" w:color="auto"/>
        <w:left w:val="none" w:sz="0" w:space="0" w:color="auto"/>
        <w:bottom w:val="none" w:sz="0" w:space="0" w:color="auto"/>
        <w:right w:val="none" w:sz="0" w:space="0" w:color="auto"/>
      </w:divBdr>
    </w:div>
    <w:div w:id="213755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390/ani15162380" TargetMode="External"/><Relationship Id="rId18" Type="http://schemas.openxmlformats.org/officeDocument/2006/relationships/hyperlink" Target="https://doi.org/10.1016/j.theriogenology.2024.11.008" TargetMode="External"/><Relationship Id="rId26" Type="http://schemas.openxmlformats.org/officeDocument/2006/relationships/hyperlink" Target="https://doi.org/10.1515/jvetres-2017-0043" TargetMode="External"/><Relationship Id="rId39" Type="http://schemas.openxmlformats.org/officeDocument/2006/relationships/hyperlink" Target="https://doi.org/10.1016/j.anireprosci.2023.107331" TargetMode="External"/><Relationship Id="rId21" Type="http://schemas.openxmlformats.org/officeDocument/2006/relationships/hyperlink" Target="https://doi.org/10.56557/ajoair/2025/v8i1501" TargetMode="External"/><Relationship Id="rId34" Type="http://schemas.openxmlformats.org/officeDocument/2006/relationships/hyperlink" Target="https://doi.org/10.1017/S1751731117001975" TargetMode="External"/><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02/moda.29" TargetMode="External"/><Relationship Id="rId29" Type="http://schemas.openxmlformats.org/officeDocument/2006/relationships/hyperlink" Target="https://acspublisher.com/journals/index.php/ijar/article/view/4150/3821" TargetMode="External"/><Relationship Id="rId11" Type="http://schemas.openxmlformats.org/officeDocument/2006/relationships/hyperlink" Target="https://doi.org/10.3390/ani15060816" TargetMode="External"/><Relationship Id="rId24" Type="http://schemas.openxmlformats.org/officeDocument/2006/relationships/hyperlink" Target="https://doi.org/10.3168/jds.2024-24994" TargetMode="External"/><Relationship Id="rId32" Type="http://schemas.openxmlformats.org/officeDocument/2006/relationships/hyperlink" Target="https://doi.org/10.1016/0093-691X(95)00279-H" TargetMode="External"/><Relationship Id="rId37" Type="http://schemas.openxmlformats.org/officeDocument/2006/relationships/hyperlink" Target="https://doi.org/10.20546/ijcmas.2020.907.247" TargetMode="External"/><Relationship Id="rId40" Type="http://schemas.openxmlformats.org/officeDocument/2006/relationships/hyperlink" Target="https://onlinelibrary.wiley.com/doi/epdf/10.1002/9781119602484.fmatter"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3390/physiologia4020012" TargetMode="External"/><Relationship Id="rId23" Type="http://schemas.openxmlformats.org/officeDocument/2006/relationships/hyperlink" Target="https://doi.org/10.1016/j.cvfa.2016.01.006" TargetMode="External"/><Relationship Id="rId28" Type="http://schemas.openxmlformats.org/officeDocument/2006/relationships/hyperlink" Target="https://doi.org/10.3168/jds.S0022-0302(02)74060-5" TargetMode="External"/><Relationship Id="rId36" Type="http://schemas.openxmlformats.org/officeDocument/2006/relationships/hyperlink" Target="https://doi.org/10.5455/ijlr.20200430054021" TargetMode="External"/><Relationship Id="rId49" Type="http://schemas.openxmlformats.org/officeDocument/2006/relationships/theme" Target="theme/theme1.xml"/><Relationship Id="rId10" Type="http://schemas.openxmlformats.org/officeDocument/2006/relationships/hyperlink" Target="https://doi.org/10.31893/multirev.2023001" TargetMode="External"/><Relationship Id="rId19" Type="http://schemas.openxmlformats.org/officeDocument/2006/relationships/hyperlink" Target="https://doi.org/10.3390/ani13172803" TargetMode="External"/><Relationship Id="rId31" Type="http://schemas.openxmlformats.org/officeDocument/2006/relationships/hyperlink" Target="https://epubs.icar.org.in/index.php/IJDS/article/view/74779"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12681/jhvms.29829" TargetMode="External"/><Relationship Id="rId14" Type="http://schemas.openxmlformats.org/officeDocument/2006/relationships/hyperlink" Target="https://core.ac.uk/display/25519410" TargetMode="External"/><Relationship Id="rId22" Type="http://schemas.openxmlformats.org/officeDocument/2006/relationships/hyperlink" Target="https://fvtm.stafpu.bu.edu.eg/Theriogenology/1009/publications/Gamal%20Abdel%20-%20Raheem%20Mohamed%20Sosa_Comparative%20Efficacy%20of%20Ovsynch.pdf" TargetMode="External"/><Relationship Id="rId27" Type="http://schemas.openxmlformats.org/officeDocument/2006/relationships/hyperlink" Target="https://doi.org/10.1016/j.jtherbio.2021.103077" TargetMode="External"/><Relationship Id="rId30" Type="http://schemas.openxmlformats.org/officeDocument/2006/relationships/hyperlink" Target="https://doi.org/10.9734/jabb/2025/v28i82724" TargetMode="External"/><Relationship Id="rId35" Type="http://schemas.openxmlformats.org/officeDocument/2006/relationships/hyperlink" Target="https://doi.org/10.1007/s11250-024-04212-7"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image" Target="media/image1.tiff"/><Relationship Id="rId3" Type="http://schemas.openxmlformats.org/officeDocument/2006/relationships/styles" Target="styles.xml"/><Relationship Id="rId12" Type="http://schemas.openxmlformats.org/officeDocument/2006/relationships/hyperlink" Target="https://doi.org/10.1093/af/vfab001" TargetMode="External"/><Relationship Id="rId17" Type="http://schemas.openxmlformats.org/officeDocument/2006/relationships/hyperlink" Target="https://doi.org/10.3168/jds.S0022-0302(94)77212-X" TargetMode="External"/><Relationship Id="rId25" Type="http://schemas.openxmlformats.org/officeDocument/2006/relationships/hyperlink" Target="https://acspublisher.com/journals/index.php/ijar/article/view/4195" TargetMode="External"/><Relationship Id="rId33" Type="http://schemas.openxmlformats.org/officeDocument/2006/relationships/hyperlink" Target="https://www.luvas.edu.in/haryana-veterinarian/download/harvet2020-march/5.pdf" TargetMode="External"/><Relationship Id="rId38" Type="http://schemas.openxmlformats.org/officeDocument/2006/relationships/hyperlink" Target="https://doi.org/10.15232/pas.2017-01709" TargetMode="External"/><Relationship Id="rId46" Type="http://schemas.openxmlformats.org/officeDocument/2006/relationships/header" Target="header3.xml"/><Relationship Id="rId20" Type="http://schemas.openxmlformats.org/officeDocument/2006/relationships/hyperlink" Target="https://doi.org/10.1063/5.0143994" TargetMode="External"/><Relationship Id="rId41" Type="http://schemas.openxmlformats.org/officeDocument/2006/relationships/hyperlink" Target="https://doi.org/10.1016/j.theriogenology.2013.09.017"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A8AE5-928D-4FEF-B61C-064599EF7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21</Pages>
  <Words>5851</Words>
  <Characters>33357</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SHAILENDRA</dc:creator>
  <cp:lastModifiedBy>SDI CPU 1117</cp:lastModifiedBy>
  <cp:revision>36</cp:revision>
  <dcterms:created xsi:type="dcterms:W3CDTF">2026-07-03T07:51:00Z</dcterms:created>
  <dcterms:modified xsi:type="dcterms:W3CDTF">2026-07-09T04:19:00Z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zotero-version="8.0.4"&gt;&lt;session id="I9qz3YAn"/&gt;&lt;style id="http://www.zotero.org/styles/tropical-animal-health-and-production" hasBibliography="1" bibliographyStyleHasBeenSet="1"/&gt;&lt;prefs&gt;&lt;pref name="fieldType" value="Field"/&gt;&lt;/prefs&gt;</vt:lpwstr>
  </property>
  <property fmtid="{D5CDD505-2E9C-101B-9397-08002B2CF9AE}" pid="3" name="ZOTERO_PREF_2">
    <vt:lpwstr>&lt;/data&gt;</vt:lpwstr>
  </property>
</Properties>
</file>