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AED58" w14:textId="77777777" w:rsidR="006869BE" w:rsidRPr="00B27646" w:rsidRDefault="006869BE" w:rsidP="00B27646">
      <w:pPr>
        <w:spacing w:line="360" w:lineRule="auto"/>
        <w:jc w:val="both"/>
        <w:rPr>
          <w:rFonts w:ascii="Arial" w:hAnsi="Arial" w:cs="Arial"/>
          <w:b/>
          <w:bCs/>
          <w:sz w:val="28"/>
          <w:szCs w:val="28"/>
          <w:u w:val="single"/>
        </w:rPr>
      </w:pPr>
      <w:r w:rsidRPr="00B27646">
        <w:rPr>
          <w:rFonts w:ascii="Arial" w:hAnsi="Arial" w:cs="Arial"/>
          <w:b/>
          <w:bCs/>
          <w:sz w:val="28"/>
          <w:szCs w:val="28"/>
          <w:u w:val="single"/>
        </w:rPr>
        <w:t>Original Research Article</w:t>
      </w:r>
    </w:p>
    <w:p w14:paraId="30D37A0C" w14:textId="77777777" w:rsidR="00B27646" w:rsidRPr="00B27646" w:rsidRDefault="00B27646" w:rsidP="00B27646">
      <w:pPr>
        <w:spacing w:before="100" w:beforeAutospacing="1" w:after="100" w:afterAutospacing="1" w:line="240" w:lineRule="auto"/>
        <w:jc w:val="both"/>
        <w:rPr>
          <w:rFonts w:ascii="Times New Roman" w:eastAsia="Times New Roman" w:hAnsi="Times New Roman" w:cs="Times New Roman"/>
          <w:b/>
          <w:bCs/>
          <w:kern w:val="0"/>
          <w:sz w:val="32"/>
          <w:szCs w:val="32"/>
          <w:lang w:bidi="bn-IN"/>
          <w14:ligatures w14:val="none"/>
        </w:rPr>
      </w:pPr>
      <w:r w:rsidRPr="00B27646">
        <w:rPr>
          <w:b/>
          <w:bCs/>
          <w:sz w:val="32"/>
          <w:szCs w:val="32"/>
        </w:rPr>
        <w:t>Prevalence and Etiological Spectrum of Canine Dermatological Disorders in the Cauvery Delta Region of Tamil Nadu, India</w:t>
      </w:r>
      <w:r w:rsidRPr="00B27646">
        <w:rPr>
          <w:rFonts w:ascii="Times New Roman" w:eastAsia="Times New Roman" w:hAnsi="Times New Roman" w:cs="Times New Roman"/>
          <w:b/>
          <w:bCs/>
          <w:kern w:val="0"/>
          <w:sz w:val="32"/>
          <w:szCs w:val="32"/>
          <w:lang w:bidi="bn-IN"/>
          <w14:ligatures w14:val="none"/>
        </w:rPr>
        <w:t xml:space="preserve"> </w:t>
      </w:r>
    </w:p>
    <w:p w14:paraId="52D43B6C" w14:textId="59A1D775" w:rsidR="00774A7F" w:rsidRPr="00B27646" w:rsidRDefault="00774A7F" w:rsidP="00B27646">
      <w:pPr>
        <w:spacing w:before="100" w:beforeAutospacing="1" w:after="100" w:afterAutospacing="1" w:line="240" w:lineRule="auto"/>
        <w:jc w:val="both"/>
        <w:rPr>
          <w:rFonts w:ascii="Times New Roman" w:eastAsia="Times New Roman" w:hAnsi="Times New Roman" w:cs="Times New Roman"/>
          <w:kern w:val="0"/>
          <w:lang w:bidi="bn-IN"/>
          <w14:ligatures w14:val="none"/>
        </w:rPr>
      </w:pPr>
      <w:r w:rsidRPr="00B27646">
        <w:rPr>
          <w:rFonts w:ascii="Times New Roman" w:eastAsia="Times New Roman" w:hAnsi="Times New Roman" w:cs="Times New Roman"/>
          <w:b/>
          <w:bCs/>
          <w:kern w:val="0"/>
          <w:lang w:bidi="bn-IN"/>
          <w14:ligatures w14:val="none"/>
        </w:rPr>
        <w:t>Abstract</w:t>
      </w:r>
    </w:p>
    <w:p w14:paraId="3DB0C78A" w14:textId="77777777" w:rsidR="00B27646" w:rsidRPr="00B27646" w:rsidRDefault="00B27646" w:rsidP="00B27646">
      <w:pPr>
        <w:spacing w:before="100" w:beforeAutospacing="1" w:after="100" w:afterAutospacing="1" w:line="360" w:lineRule="auto"/>
        <w:jc w:val="both"/>
      </w:pPr>
      <w:r w:rsidRPr="00B27646">
        <w:t xml:space="preserve">Canine dermatological disorders are commonly encountered in small animal clinical practice and may be influenced by host-related and environmental factors. The present study was conducted to determine the prevalence and </w:t>
      </w:r>
      <w:proofErr w:type="spellStart"/>
      <w:r w:rsidRPr="00B27646">
        <w:t>aetiological</w:t>
      </w:r>
      <w:proofErr w:type="spellEnd"/>
      <w:r w:rsidRPr="00B27646">
        <w:t xml:space="preserve"> spectrum of dermatological disorders in dogs presented to the Small Animal Medicine Outpatient Unit, Veterinary Clinical Complex, Veterinary College and Research Institute, </w:t>
      </w:r>
      <w:proofErr w:type="spellStart"/>
      <w:r w:rsidRPr="00B27646">
        <w:t>Orathanadu</w:t>
      </w:r>
      <w:proofErr w:type="spellEnd"/>
      <w:r w:rsidRPr="00B27646">
        <w:t xml:space="preserve">, located in the Cauvery Delta region of Tamil Nadu, South India. A total of 10,841 canine cases presented between January and December 2025 were screened. Of these, 1,011 dogs were diagnosed with dermatological disorders, giving an overall prevalence of 9.32%. Seasonal distribution showed the highest occurrence during the southwest monsoon season (31.26%), followed by summer (26.51%), northeast monsoon (25.32%) and winter (16.91%). Age-wise analysis indicated that dogs below one year of age were most frequently affected (34.42%), followed by dogs aged 2–4 years (20.97%) and 1–2 years (19.29%). Male dogs accounted for 68.94% of affected cases, whereas females represented 31.06%. Breed-wise distribution showed that mongrel dogs formed the largest proportion of affected animals (50.94%), followed by Labrador Retrievers (12.07%), German Spitz (7.91%) and German Shepherd Dogs (7.12%). Among the recorded dermatological conditions, bacterial dermatitis was the most common disorder (34.32%), followed by demodicosis, sarcoptic mange, flea allergy dermatitis and contact dermatitis. The findings indicate that infectious and parasitic skin conditions were predominant among the dermatological disorders recorded in this region. </w:t>
      </w:r>
    </w:p>
    <w:p w14:paraId="24C721B9" w14:textId="25F0D1C4" w:rsidR="00D30E5E" w:rsidRPr="00B27646" w:rsidRDefault="00B27646" w:rsidP="00B27646">
      <w:pPr>
        <w:spacing w:before="100" w:beforeAutospacing="1" w:after="100" w:afterAutospacing="1" w:line="360" w:lineRule="auto"/>
        <w:jc w:val="both"/>
        <w:rPr>
          <w:rFonts w:ascii="Arial" w:eastAsia="Times New Roman" w:hAnsi="Arial" w:cs="Arial"/>
          <w:kern w:val="0"/>
          <w:sz w:val="22"/>
          <w:szCs w:val="22"/>
          <w:lang w:val="en-IN" w:eastAsia="en-IN" w:bidi="hi-IN"/>
          <w14:ligatures w14:val="none"/>
        </w:rPr>
      </w:pPr>
      <w:r w:rsidRPr="00B27646">
        <w:rPr>
          <w:rStyle w:val="Strong"/>
        </w:rPr>
        <w:t>Keywords:</w:t>
      </w:r>
      <w:r w:rsidRPr="00B27646">
        <w:t xml:space="preserve"> Canine dermatology; </w:t>
      </w:r>
      <w:proofErr w:type="spellStart"/>
      <w:r w:rsidRPr="00B27646">
        <w:t>aetiology</w:t>
      </w:r>
      <w:proofErr w:type="spellEnd"/>
      <w:r w:rsidRPr="00B27646">
        <w:t>; prevalence; bacterial dermatitis; demodicosis; sarcoptic mange; flea allergy dermatitis; epidemiology; Cauvery Delta; tropical climate</w:t>
      </w:r>
    </w:p>
    <w:p w14:paraId="066586C2" w14:textId="77777777" w:rsidR="00D30E5E" w:rsidRPr="00B27646" w:rsidRDefault="00D30E5E" w:rsidP="00B27646">
      <w:pPr>
        <w:spacing w:before="100" w:beforeAutospacing="1" w:after="100" w:afterAutospacing="1" w:line="360" w:lineRule="auto"/>
        <w:jc w:val="both"/>
        <w:rPr>
          <w:rFonts w:ascii="Arial" w:eastAsia="Times New Roman" w:hAnsi="Arial" w:cs="Arial"/>
          <w:kern w:val="0"/>
          <w:sz w:val="22"/>
          <w:szCs w:val="22"/>
          <w:lang w:val="en-IN" w:eastAsia="en-IN" w:bidi="hi-IN"/>
          <w14:ligatures w14:val="none"/>
        </w:rPr>
      </w:pPr>
    </w:p>
    <w:p w14:paraId="7FEF7E10" w14:textId="77777777" w:rsidR="00D30E5E" w:rsidRPr="00B27646" w:rsidRDefault="00D30E5E" w:rsidP="00B27646">
      <w:pPr>
        <w:spacing w:before="100" w:beforeAutospacing="1" w:after="100" w:afterAutospacing="1" w:line="360" w:lineRule="auto"/>
        <w:jc w:val="both"/>
        <w:rPr>
          <w:rFonts w:ascii="Arial" w:eastAsia="Times New Roman" w:hAnsi="Arial" w:cs="Arial"/>
          <w:kern w:val="0"/>
          <w:sz w:val="22"/>
          <w:szCs w:val="22"/>
          <w:lang w:val="en-IN" w:eastAsia="en-IN" w:bidi="hi-IN"/>
          <w14:ligatures w14:val="none"/>
        </w:rPr>
      </w:pPr>
    </w:p>
    <w:p w14:paraId="21C437DB" w14:textId="77777777" w:rsidR="00D30E5E" w:rsidRPr="00B27646" w:rsidRDefault="00D30E5E" w:rsidP="00B27646">
      <w:pPr>
        <w:spacing w:before="100" w:beforeAutospacing="1" w:after="100" w:afterAutospacing="1" w:line="360" w:lineRule="auto"/>
        <w:jc w:val="both"/>
        <w:rPr>
          <w:rFonts w:ascii="Arial" w:eastAsia="Times New Roman" w:hAnsi="Arial" w:cs="Arial"/>
          <w:kern w:val="0"/>
          <w:sz w:val="22"/>
          <w:szCs w:val="22"/>
          <w:lang w:val="en-IN" w:eastAsia="en-IN" w:bidi="hi-IN"/>
          <w14:ligatures w14:val="none"/>
        </w:rPr>
      </w:pPr>
    </w:p>
    <w:p w14:paraId="7F9F92C3" w14:textId="77777777" w:rsidR="00D30E5E" w:rsidRPr="00B27646" w:rsidRDefault="00D30E5E" w:rsidP="00B27646">
      <w:pPr>
        <w:spacing w:before="100" w:beforeAutospacing="1" w:after="100" w:afterAutospacing="1" w:line="360" w:lineRule="auto"/>
        <w:jc w:val="both"/>
        <w:rPr>
          <w:rFonts w:ascii="Arial" w:eastAsia="Times New Roman" w:hAnsi="Arial" w:cs="Arial"/>
          <w:kern w:val="0"/>
          <w:sz w:val="22"/>
          <w:szCs w:val="22"/>
          <w:lang w:val="en-IN" w:eastAsia="en-IN" w:bidi="hi-IN"/>
          <w14:ligatures w14:val="none"/>
        </w:rPr>
      </w:pPr>
    </w:p>
    <w:p w14:paraId="27CE4A9D" w14:textId="77777777" w:rsidR="00A64E2A" w:rsidRPr="00B27646" w:rsidRDefault="00A64E2A"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1. INTRODUCTION</w:t>
      </w:r>
    </w:p>
    <w:p w14:paraId="3011219B" w14:textId="77777777" w:rsidR="00A64E2A" w:rsidRPr="00B27646" w:rsidRDefault="00A64E2A" w:rsidP="00B27646">
      <w:pPr>
        <w:spacing w:line="360" w:lineRule="auto"/>
        <w:ind w:firstLine="720"/>
        <w:jc w:val="both"/>
        <w:rPr>
          <w:rFonts w:ascii="Arial" w:hAnsi="Arial" w:cs="Arial"/>
          <w:sz w:val="22"/>
          <w:szCs w:val="22"/>
          <w:lang w:val="en-IN"/>
        </w:rPr>
      </w:pPr>
      <w:r w:rsidRPr="00B27646">
        <w:t>The skin is the largest and one of the most metabolically active organs of the canine body, serving as a protective barrier against environmental, microbial, chemical and physical insults. It plays an important role in thermoregulation, sensory perception, maintenance of hydration and immune defence. The hypodermis or subcutis consists of adipose tissue, connective tissue, blood vessels and elastic fibres, which contribute to insulation, shock absorption and metabolic support (Pavletic, 1991). Dermatological disorders are among the most common clinical conditions encountered in canine practice and represent a major cause of discomfort, reduced quality of life and economic burden for pet owners (Scott et al., 2001). Dogs are susceptible to a wide variety of dermatological conditions, ranging from superficial bacterial and fungal infections to allergic, parasitic, endocrine and autoimmune disorders. These conditions commonly manifest as pruritus, alopecia, erythema, scaling, crusting and ulceration, and overlapping presentations may make clinical diagnosis challenging (Scott et al., 2001; Sharma et al., 2008). Recent observations in canine irritant contact dermatitis further indicate that exposure history, lesion distribution and histopathological assessment can support case characterisation when clinical signs are non-specific (Mani Bharathi et al., 2025).</w:t>
      </w:r>
    </w:p>
    <w:p w14:paraId="1C431678" w14:textId="77777777" w:rsidR="00A64E2A" w:rsidRPr="00B27646" w:rsidRDefault="00A64E2A" w:rsidP="00B27646">
      <w:pPr>
        <w:spacing w:line="360" w:lineRule="auto"/>
        <w:ind w:firstLine="720"/>
        <w:jc w:val="both"/>
        <w:rPr>
          <w:rFonts w:ascii="Arial" w:hAnsi="Arial" w:cs="Arial"/>
          <w:sz w:val="22"/>
          <w:szCs w:val="22"/>
          <w:lang w:val="en-IN"/>
        </w:rPr>
      </w:pPr>
      <w:r w:rsidRPr="00B27646">
        <w:t xml:space="preserve">The occurrence and severity of canine dermatological disorders are influenced by multiple factors, including age, breed, sex, nutritional status, environmental conditions and management practices. Tropical climatic conditions characterised by high temperature and humidity favour the proliferation of ectoparasites, bacteria and fungi, thereby increasing the incidence of infectious and parasitic skin diseases in dogs (Khurana et al., 2016; Sharma et al., 2009). Young dogs are considered more susceptible to dermatological disorders because of immature immune function and increased environmental exposure, while certain breeds exhibit genetic predisposition to specific skin conditions (Thapa &amp; Sarkar, 2018). Recent metagenomic analysis of healthy canine skin also suggests that breed and body site contribute to variation in the skin microbiome, supporting the need to interpret dermatological disorders in relation to host and local </w:t>
      </w:r>
      <w:r w:rsidRPr="00B27646">
        <w:lastRenderedPageBreak/>
        <w:t>environmental factors (Whittle et al., 2024). A recent report of canine demodicosis further emphasises the clinical relevance of progressive alopecia, erythema, crusting and recurrent skin infection in parasitic dermatological disease (Rajeswari et al., 2026).</w:t>
      </w:r>
    </w:p>
    <w:p w14:paraId="54C1C74B" w14:textId="77777777" w:rsidR="00A64E2A" w:rsidRPr="00B27646" w:rsidRDefault="00A64E2A" w:rsidP="00B27646">
      <w:pPr>
        <w:spacing w:line="360" w:lineRule="auto"/>
        <w:ind w:firstLine="720"/>
        <w:jc w:val="both"/>
        <w:rPr>
          <w:rFonts w:ascii="Arial" w:hAnsi="Arial" w:cs="Arial"/>
          <w:sz w:val="22"/>
          <w:szCs w:val="22"/>
          <w:lang w:val="en-IN"/>
        </w:rPr>
      </w:pPr>
      <w:r w:rsidRPr="00B27646">
        <w:t>Accurate diagnosis of dermatological disorders requires a systematic approach involving detailed history-taking, thorough clinical examination and appropriate laboratory investigations. Diagnostic procedures such as skin scraping, coat brushing, cytological examination, fungal culture, haematobiochemical analysis and histopathological examination are commonly employed to identify the underlying aetiology (Scott et al., 2001). Early diagnosis and identification of the primary cause are essential for effective therapeutic management and prevention of recurrence. Current clinical guidelines for allergic skin diseases in dogs and cats also emphasise comprehensive history-taking, dermatological examination and stepwise diagnostic evaluation before case management (Miller et al., 2023).</w:t>
      </w:r>
    </w:p>
    <w:p w14:paraId="29076FF3" w14:textId="77777777" w:rsidR="00F0250C" w:rsidRPr="00B27646" w:rsidRDefault="00000000" w:rsidP="00B27646">
      <w:pPr>
        <w:spacing w:line="360" w:lineRule="auto"/>
        <w:ind w:firstLine="720"/>
        <w:jc w:val="both"/>
        <w:rPr>
          <w:rFonts w:ascii="Arial" w:hAnsi="Arial" w:cs="Arial"/>
          <w:sz w:val="22"/>
          <w:szCs w:val="22"/>
          <w:lang w:val="en-IN"/>
        </w:rPr>
      </w:pPr>
      <w:r w:rsidRPr="00B27646">
        <w:t>However, region-specific data integrating clinical caseload, aetiological classification and epidemiological variables remain necessary to describe the local pattern of canine dermatological disorders.</w:t>
      </w:r>
    </w:p>
    <w:p w14:paraId="1D5E7FBE" w14:textId="77777777" w:rsidR="00A64E2A" w:rsidRPr="00B27646" w:rsidRDefault="00A64E2A" w:rsidP="00B27646">
      <w:pPr>
        <w:spacing w:line="360" w:lineRule="auto"/>
        <w:ind w:firstLine="720"/>
        <w:jc w:val="both"/>
        <w:rPr>
          <w:rFonts w:ascii="Arial" w:hAnsi="Arial" w:cs="Arial"/>
          <w:sz w:val="22"/>
          <w:szCs w:val="22"/>
          <w:lang w:val="en-IN"/>
        </w:rPr>
      </w:pPr>
      <w:r w:rsidRPr="00B27646">
        <w:t>Although canine dermatological disorders are frequently encountered in veterinary clinical practice, epidemiological information regarding their prevalence and aetiological distribution in the Cauvery Delta region of Tamil Nadu remains limited. Therefore, the present study was undertaken to determine the prevalence, epidemiological pattern and aetiological spectrum of dermatological disorders in dogs presented to the Veterinary Clinical Complex, Orathanadu, Tamil Nadu.</w:t>
      </w:r>
    </w:p>
    <w:p w14:paraId="4D5753EB" w14:textId="77777777" w:rsidR="00D30E5E" w:rsidRPr="00B27646" w:rsidRDefault="00D30E5E" w:rsidP="00B27646">
      <w:pPr>
        <w:spacing w:line="360" w:lineRule="auto"/>
        <w:ind w:firstLine="720"/>
        <w:jc w:val="both"/>
        <w:rPr>
          <w:rFonts w:ascii="Arial" w:hAnsi="Arial" w:cs="Arial"/>
          <w:sz w:val="22"/>
          <w:szCs w:val="22"/>
          <w:lang w:val="en-IN"/>
        </w:rPr>
      </w:pPr>
    </w:p>
    <w:p w14:paraId="2A3B4B8B" w14:textId="77777777" w:rsidR="00B54111" w:rsidRPr="00B27646" w:rsidRDefault="00B54111"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2. MATERIALS AND METHODS</w:t>
      </w:r>
    </w:p>
    <w:p w14:paraId="3FCDDFEC" w14:textId="77777777" w:rsidR="00B54111" w:rsidRPr="00B27646" w:rsidRDefault="00B54111"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2.1 Study Area and Duration</w:t>
      </w:r>
    </w:p>
    <w:p w14:paraId="58144510" w14:textId="77777777" w:rsidR="00B54111" w:rsidRPr="00B27646" w:rsidRDefault="00B54111" w:rsidP="00B27646">
      <w:pPr>
        <w:spacing w:line="360" w:lineRule="auto"/>
        <w:ind w:firstLine="720"/>
        <w:jc w:val="both"/>
        <w:rPr>
          <w:rFonts w:ascii="Arial" w:hAnsi="Arial" w:cs="Arial"/>
          <w:sz w:val="22"/>
          <w:szCs w:val="22"/>
          <w:lang w:val="en-IN"/>
        </w:rPr>
      </w:pPr>
      <w:r w:rsidRPr="00B27646">
        <w:t xml:space="preserve">The present study was conducted at the Veterinary Clinical Complex (VCC), Veterinary College and Research Institute, Orathanadu, Tamil Nadu, India, from January 2025 to December 2025. The study was designed as a prospective observational epidemiological investigation to </w:t>
      </w:r>
      <w:r w:rsidRPr="00B27646">
        <w:lastRenderedPageBreak/>
        <w:t>determine the prevalence and aetiological spectrum of dermatological disorders in dogs presented to the Small Animal Medicine Outpatient Unit.</w:t>
      </w:r>
    </w:p>
    <w:p w14:paraId="1CAA58F9" w14:textId="77777777" w:rsidR="00B54111" w:rsidRPr="00B27646" w:rsidRDefault="00B54111"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2.2 Selection of Animals and Clinical Evaluation</w:t>
      </w:r>
    </w:p>
    <w:p w14:paraId="4E23F9FC" w14:textId="77777777" w:rsidR="00B54111" w:rsidRPr="00B27646" w:rsidRDefault="00B54111" w:rsidP="00B27646">
      <w:pPr>
        <w:spacing w:line="360" w:lineRule="auto"/>
        <w:ind w:firstLine="720"/>
        <w:jc w:val="both"/>
        <w:rPr>
          <w:rFonts w:ascii="Arial" w:hAnsi="Arial" w:cs="Arial"/>
          <w:sz w:val="22"/>
          <w:szCs w:val="22"/>
          <w:lang w:val="en-IN"/>
        </w:rPr>
      </w:pPr>
      <w:r w:rsidRPr="00B27646">
        <w:t>All dogs presented with clinical manifestations suggestive of dermatological disorders, including pruritus, alopecia, erythema, scaling, crust formation, hyperpigmentation, papules, pustules, ulceration and other cutaneous lesions, were systematically screened and included in the study. A detailed history of age, breed, sex, duration of illness, housing conditions, feeding practices, environmental exposure and previous treatment was obtained from the owners. Clinical observations and examination findings were systematically recorded for further evaluation and diagnosis.</w:t>
      </w:r>
    </w:p>
    <w:p w14:paraId="553A14DC" w14:textId="77777777" w:rsidR="00B54111" w:rsidRPr="00B27646" w:rsidRDefault="00B54111"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2.3 Dermatological Investigations</w:t>
      </w:r>
    </w:p>
    <w:p w14:paraId="303F0D5F" w14:textId="77777777" w:rsidR="00B54111" w:rsidRPr="00B27646" w:rsidRDefault="00B54111" w:rsidP="00B27646">
      <w:pPr>
        <w:spacing w:line="360" w:lineRule="auto"/>
        <w:ind w:firstLine="720"/>
        <w:jc w:val="both"/>
        <w:rPr>
          <w:rFonts w:ascii="Arial" w:hAnsi="Arial" w:cs="Arial"/>
          <w:sz w:val="22"/>
          <w:szCs w:val="22"/>
          <w:lang w:val="en-IN"/>
        </w:rPr>
      </w:pPr>
      <w:r w:rsidRPr="00B27646">
        <w:t xml:space="preserve">A detailed dermatological examination was performed in all cases. Diagnostic investigations were selected based on clinical presentation and suspected aetiology. Multiple superficial and deep skin scrapings were collected from representative lesions and examined microscopically for the detection of ectoparasites such as </w:t>
      </w:r>
      <w:r w:rsidRPr="00B27646">
        <w:rPr>
          <w:i/>
        </w:rPr>
        <w:t>Demodex</w:t>
      </w:r>
      <w:r w:rsidRPr="00B27646">
        <w:t xml:space="preserve"> spp. and </w:t>
      </w:r>
      <w:r w:rsidRPr="00B27646">
        <w:rPr>
          <w:i/>
        </w:rPr>
        <w:t>Sarcoptes</w:t>
      </w:r>
      <w:r w:rsidRPr="00B27646">
        <w:t xml:space="preserve"> spp. Ectoparasitic infestations were further evaluated using coat brushing, acetate tape impression smears, flea combing and hair plucking techniques.</w:t>
      </w:r>
    </w:p>
    <w:p w14:paraId="7DF0B9FE" w14:textId="77777777" w:rsidR="00B54111" w:rsidRPr="00B27646" w:rsidRDefault="00B54111" w:rsidP="00B27646">
      <w:pPr>
        <w:spacing w:line="360" w:lineRule="auto"/>
        <w:ind w:firstLine="720"/>
        <w:jc w:val="both"/>
        <w:rPr>
          <w:rFonts w:ascii="Arial" w:hAnsi="Arial" w:cs="Arial"/>
          <w:sz w:val="22"/>
          <w:szCs w:val="22"/>
          <w:lang w:val="en-IN"/>
        </w:rPr>
      </w:pPr>
      <w:r w:rsidRPr="00B27646">
        <w:t xml:space="preserve">Cytological examination of impression smears collected from skin lesions was performed using standard staining procedures to identify bacterial and yeast infections. Cases suspected of pyoderma and </w:t>
      </w:r>
      <w:r w:rsidRPr="00B27646">
        <w:rPr>
          <w:i/>
        </w:rPr>
        <w:t>Malassezia</w:t>
      </w:r>
      <w:r w:rsidRPr="00B27646">
        <w:t xml:space="preserve"> dermatitis were confirmed through cytological evaluation and microbial culture techniques. Fungal infections were diagnosed by direct microscopic examination of skin scrapings and hair samples, along with fungal culture methods wherever indicated.</w:t>
      </w:r>
    </w:p>
    <w:p w14:paraId="171C463A" w14:textId="77777777" w:rsidR="00B54111" w:rsidRPr="00B27646" w:rsidRDefault="00B54111"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2.4 Additional Diagnostic Procedures</w:t>
      </w:r>
    </w:p>
    <w:p w14:paraId="32BEE9C6" w14:textId="77777777" w:rsidR="00B54111" w:rsidRPr="00B27646" w:rsidRDefault="00B54111" w:rsidP="00B27646">
      <w:pPr>
        <w:spacing w:line="360" w:lineRule="auto"/>
        <w:ind w:firstLine="720"/>
        <w:jc w:val="both"/>
        <w:rPr>
          <w:rFonts w:ascii="Arial" w:hAnsi="Arial" w:cs="Arial"/>
          <w:sz w:val="22"/>
          <w:szCs w:val="22"/>
          <w:lang w:val="en-IN"/>
        </w:rPr>
      </w:pPr>
      <w:r w:rsidRPr="00B27646">
        <w:rPr>
          <w:rFonts w:ascii="Arial" w:hAnsi="Arial" w:cs="Arial"/>
          <w:sz w:val="22"/>
          <w:szCs w:val="22"/>
          <w:lang w:val="en-IN"/>
        </w:rPr>
        <w:t xml:space="preserve">Additional diagnostic investigations included haematological and serum biochemical profiling, endocrine function tests, fine-needle aspiration cytology and skin biopsy for histopathological examination in chronic, recurrent and non-responsive cases. Skin biopsy specimens collected from representative lesions were fixed in 10 per cent neutral buffered </w:t>
      </w:r>
      <w:r w:rsidRPr="00B27646">
        <w:rPr>
          <w:rFonts w:ascii="Arial" w:hAnsi="Arial" w:cs="Arial"/>
          <w:sz w:val="22"/>
          <w:szCs w:val="22"/>
          <w:lang w:val="en-IN"/>
        </w:rPr>
        <w:lastRenderedPageBreak/>
        <w:t>formalin and processed using routine histopathological techniques. Histopathological examination also aided in the diagnosis of autoimmune and endocrine-mediated dermatological disorders.</w:t>
      </w:r>
    </w:p>
    <w:p w14:paraId="611B2E70" w14:textId="77777777" w:rsidR="00B54111" w:rsidRPr="00B27646" w:rsidRDefault="00B54111"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2.5 Classification and Epidemiological Analysis</w:t>
      </w:r>
    </w:p>
    <w:p w14:paraId="6AD172E6" w14:textId="77777777" w:rsidR="00B54111" w:rsidRPr="00B27646" w:rsidRDefault="00B54111" w:rsidP="00B27646">
      <w:pPr>
        <w:spacing w:line="360" w:lineRule="auto"/>
        <w:ind w:firstLine="720"/>
        <w:jc w:val="both"/>
        <w:rPr>
          <w:rFonts w:ascii="Arial" w:hAnsi="Arial" w:cs="Arial"/>
          <w:sz w:val="22"/>
          <w:szCs w:val="22"/>
          <w:lang w:val="en-IN"/>
        </w:rPr>
      </w:pPr>
      <w:r w:rsidRPr="00B27646">
        <w:t>Dermatological disorders were classified into different aetiological categories based on clinical findings and laboratory investigations. The prevalence of dermatological disorders was calculated based on the total number of canine cases presented during the study period. Epidemiological parameters, including age-wise, sex-wise, breed-wise and season-wise distributions, were also analysed. Final diagnosis and therapeutic recommendations were made based on clinical examination findings and the results of dermatological investigations.</w:t>
      </w:r>
    </w:p>
    <w:p w14:paraId="0031D732" w14:textId="77777777" w:rsidR="00B54111" w:rsidRPr="00B27646" w:rsidRDefault="00B54111"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2.6 Statistical Analysis</w:t>
      </w:r>
    </w:p>
    <w:p w14:paraId="13195389" w14:textId="77777777" w:rsidR="00B54111" w:rsidRPr="00B27646" w:rsidRDefault="00B54111" w:rsidP="00B27646">
      <w:pPr>
        <w:spacing w:line="360" w:lineRule="auto"/>
        <w:ind w:firstLine="720"/>
        <w:jc w:val="both"/>
        <w:rPr>
          <w:rFonts w:ascii="Arial" w:hAnsi="Arial" w:cs="Arial"/>
          <w:sz w:val="22"/>
          <w:szCs w:val="22"/>
          <w:lang w:val="en-IN"/>
        </w:rPr>
      </w:pPr>
      <w:r w:rsidRPr="00B27646">
        <w:t>The data obtained during the study were compiled and analysed using descriptive statistical methods. The prevalence of dermatological disorders was expressed as percentages based on the total number of canine cases presented during the study period. Age-wise, sex-wise, breed-wise and season-wise distributions were calculated and presented descriptively.</w:t>
      </w:r>
    </w:p>
    <w:p w14:paraId="4DA6755A" w14:textId="77777777" w:rsidR="00ED5AD7" w:rsidRPr="00B27646" w:rsidRDefault="00ED5AD7"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3. RESULTS AND DISCUSSION</w:t>
      </w:r>
    </w:p>
    <w:p w14:paraId="05F0E9F4" w14:textId="77777777" w:rsidR="00ED5AD7" w:rsidRPr="00B27646" w:rsidRDefault="00ED5AD7"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3.1 Overall Prevalence of Canine Dermatological Disorders</w:t>
      </w:r>
    </w:p>
    <w:p w14:paraId="064BDCAF" w14:textId="77777777" w:rsidR="00ED5AD7" w:rsidRPr="00B27646" w:rsidRDefault="00ED5AD7" w:rsidP="00B27646">
      <w:pPr>
        <w:spacing w:line="360" w:lineRule="auto"/>
        <w:ind w:firstLine="720"/>
        <w:jc w:val="both"/>
        <w:rPr>
          <w:rFonts w:ascii="Arial" w:hAnsi="Arial" w:cs="Arial"/>
          <w:sz w:val="22"/>
          <w:szCs w:val="22"/>
          <w:lang w:val="en-IN"/>
        </w:rPr>
      </w:pPr>
      <w:r w:rsidRPr="00B27646">
        <w:t>The present survey provided valuable insight into the prevalence, epidemiological pattern and clinical characteristics of dermatological disorders in domestic dogs presented to the Veterinary Clinical Complex, Orathanadu, Tamil Nadu. During the study period, 10,841 canine cases were presented to the Small Animal Medicine Unit, of which 1,011 dogs were diagnosed with dermatological disorders, representing an overall prevalence of 9.32 per cent. The substantial occurrence of dermatological disorders observed in the present study indicates that skin diseases constitute a significant component of the clinical caseload encountered in routine small animal practice.</w:t>
      </w:r>
    </w:p>
    <w:p w14:paraId="275DCB0A" w14:textId="77777777" w:rsidR="00ED5AD7" w:rsidRPr="00B27646" w:rsidRDefault="00ED5AD7" w:rsidP="00B27646">
      <w:pPr>
        <w:spacing w:line="360" w:lineRule="auto"/>
        <w:ind w:firstLine="720"/>
        <w:jc w:val="both"/>
        <w:rPr>
          <w:rFonts w:ascii="Arial" w:hAnsi="Arial" w:cs="Arial"/>
          <w:sz w:val="22"/>
          <w:szCs w:val="22"/>
          <w:lang w:val="en-IN"/>
        </w:rPr>
      </w:pPr>
      <w:r w:rsidRPr="00B27646">
        <w:t xml:space="preserve">The relatively high prevalence may be attributed to the tropical climatic conditions prevailing in the Cauvery Delta region, characterised by elevated temperature and humidity, which favour the proliferation of ectoparasites, bacteria and fungi. In addition, factors such as </w:t>
      </w:r>
      <w:r w:rsidRPr="00B27646">
        <w:lastRenderedPageBreak/>
        <w:t>inadequate grooming, poor hygiene, nutritional imbalances and increased outdoor exposure may further contribute to the occurrence of dermatological disorders in dogs.</w:t>
      </w:r>
    </w:p>
    <w:p w14:paraId="54431194" w14:textId="77777777" w:rsidR="00ED5AD7" w:rsidRPr="00B27646" w:rsidRDefault="00ED5AD7"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Fig. 1. Prevalence of canine dermatological disorders</w:t>
      </w:r>
    </w:p>
    <w:p w14:paraId="2C063787" w14:textId="77777777" w:rsidR="00ED5AD7" w:rsidRPr="00B27646" w:rsidRDefault="00ED5AD7" w:rsidP="00B27646">
      <w:pPr>
        <w:spacing w:line="360" w:lineRule="auto"/>
        <w:ind w:firstLine="720"/>
        <w:jc w:val="both"/>
        <w:rPr>
          <w:rFonts w:ascii="Arial" w:hAnsi="Arial" w:cs="Arial"/>
          <w:sz w:val="22"/>
          <w:szCs w:val="22"/>
          <w:lang w:val="en-IN"/>
        </w:rPr>
      </w:pPr>
      <w:r w:rsidRPr="00B27646">
        <w:rPr>
          <w:rFonts w:ascii="Arial" w:hAnsi="Arial" w:cs="Arial"/>
          <w:b/>
          <w:bCs/>
          <w:noProof/>
          <w:sz w:val="22"/>
          <w:szCs w:val="22"/>
        </w:rPr>
        <w:drawing>
          <wp:inline distT="0" distB="0" distL="0" distR="0" wp14:anchorId="2BE6834B" wp14:editId="23D39CAC">
            <wp:extent cx="2908300" cy="2164080"/>
            <wp:effectExtent l="0" t="0" r="6350" b="7620"/>
            <wp:docPr id="1716897881" name="Chart 1">
              <a:extLst xmlns:a="http://schemas.openxmlformats.org/drawingml/2006/main">
                <a:ext uri="{FF2B5EF4-FFF2-40B4-BE49-F238E27FC236}">
                  <a16:creationId xmlns:a16="http://schemas.microsoft.com/office/drawing/2014/main" id="{381C463A-56EC-5C29-F6CF-0E722E51CC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58D0AF1" w14:textId="77777777" w:rsidR="00ED5AD7" w:rsidRPr="00B27646" w:rsidRDefault="00ED5AD7" w:rsidP="00B27646">
      <w:pPr>
        <w:spacing w:line="360" w:lineRule="auto"/>
        <w:jc w:val="both"/>
        <w:rPr>
          <w:rFonts w:ascii="Arial" w:hAnsi="Arial" w:cs="Arial"/>
          <w:b/>
          <w:bCs/>
          <w:sz w:val="22"/>
          <w:szCs w:val="22"/>
          <w:lang w:val="en-IN"/>
        </w:rPr>
      </w:pPr>
      <w:r w:rsidRPr="00B27646">
        <w:rPr>
          <w:b/>
        </w:rPr>
        <w:t>3.2 Aetiological Distribution of Dermatological Disorders</w:t>
      </w:r>
    </w:p>
    <w:p w14:paraId="0EE96B50" w14:textId="77777777" w:rsidR="00ED5AD7" w:rsidRPr="00B27646" w:rsidRDefault="00ED5AD7" w:rsidP="00B27646">
      <w:pPr>
        <w:spacing w:line="360" w:lineRule="auto"/>
        <w:ind w:firstLine="720"/>
        <w:jc w:val="both"/>
        <w:rPr>
          <w:rFonts w:ascii="Arial" w:hAnsi="Arial" w:cs="Arial"/>
          <w:sz w:val="22"/>
          <w:szCs w:val="22"/>
          <w:lang w:val="en-IN"/>
        </w:rPr>
      </w:pPr>
      <w:r w:rsidRPr="00B27646">
        <w:t xml:space="preserve">Among the dermatological disorders encountered during the study, bacterial dermatitis was the most prevalent condition, accounting for 34.32 per cent of cases. This was followed by demodicosis (13.55%), sarcoptic mange (10.98%), flea allergy dermatitis (8.31%), contact dermatitis (7.91%), atopic dermatitis (5.74%), dermatophytosis (5.54%) and </w:t>
      </w:r>
      <w:r w:rsidRPr="00B27646">
        <w:rPr>
          <w:i/>
        </w:rPr>
        <w:t>Malassezia</w:t>
      </w:r>
      <w:r w:rsidRPr="00B27646">
        <w:t xml:space="preserve"> dermatitis (5.24%). Lower prevalence was observed for lice infestation (3.07%), hormone-mediated dermatoses (1.88%), food allergy dermatitis (1.58%), pododermatitis (1.48%) and acral lick dermatitis (0.40%).</w:t>
      </w:r>
    </w:p>
    <w:p w14:paraId="2BC69289" w14:textId="77777777" w:rsidR="00ED5AD7" w:rsidRPr="00B27646" w:rsidRDefault="00ED5AD7" w:rsidP="00B27646">
      <w:pPr>
        <w:spacing w:line="360" w:lineRule="auto"/>
        <w:ind w:firstLine="720"/>
        <w:jc w:val="both"/>
        <w:rPr>
          <w:rFonts w:ascii="Arial" w:hAnsi="Arial" w:cs="Arial"/>
          <w:sz w:val="22"/>
          <w:szCs w:val="22"/>
          <w:lang w:val="en-IN"/>
        </w:rPr>
      </w:pPr>
      <w:r w:rsidRPr="00B27646">
        <w:t>The predominance of bacterial dermatitis may be associated with secondary bacterial invasion following ectoparasitic infestations, allergic skin diseases and compromised skin barrier function. Self-inflicted trauma resulting from persistent pruritus may further predispose affected dogs to opportunistic bacterial infections. Likewise, the high prevalence of demodicosis and sarcoptic mange may be related to poor nutritional status, immunosuppression, overcrowding and inadequate ectoparasite control practices, particularly among stray and semi-owned dogs.</w:t>
      </w:r>
    </w:p>
    <w:p w14:paraId="7BF06DA1" w14:textId="77777777" w:rsidR="00ED5AD7" w:rsidRPr="00B27646" w:rsidRDefault="00ED5AD7" w:rsidP="00B27646">
      <w:pPr>
        <w:spacing w:line="360" w:lineRule="auto"/>
        <w:ind w:firstLine="720"/>
        <w:jc w:val="both"/>
        <w:rPr>
          <w:rFonts w:ascii="Arial" w:hAnsi="Arial" w:cs="Arial"/>
          <w:sz w:val="22"/>
          <w:szCs w:val="22"/>
          <w:lang w:val="en-IN"/>
        </w:rPr>
      </w:pPr>
      <w:r w:rsidRPr="00B27646">
        <w:t xml:space="preserve">The findings of the present study are consistent with previous reports. Lodh and Das (2014) reported ectoparasitic dermatitis as the predominant dermatological condition, </w:t>
      </w:r>
      <w:r w:rsidRPr="00B27646">
        <w:lastRenderedPageBreak/>
        <w:t>accounting for 28.01 per cent of cases. Similarly, Aujla et al. (2000) reported mange-mite infestations in dogs, while Sharma et al. (2008) documented bacterial dermatitis prevalence of 28.43 per cent. Sumathi and Vasu (2008) reported fungal dermatitis in 20.50 per cent of canine cases, whereas Ayodhya and Suryanarayana (2006) and Sharma et al. (2009) documented parasitic dermatitis prevalence of 36.53 and 33.33 per cent, respectively. These observations indicate that infectious and parasitic skin diseases continue to represent major dermatological problems in dogs maintained under tropical environmental conditions.</w:t>
      </w:r>
    </w:p>
    <w:p w14:paraId="51AAADDA" w14:textId="77777777" w:rsidR="00ED5AD7" w:rsidRPr="00B27646" w:rsidRDefault="00ED5AD7"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Fig. 2. Etiological distribution of dermatological disorders in dogs</w:t>
      </w:r>
    </w:p>
    <w:p w14:paraId="1BDC617C" w14:textId="77777777" w:rsidR="00DB0A72" w:rsidRPr="00B27646" w:rsidRDefault="00347945" w:rsidP="00B27646">
      <w:pPr>
        <w:spacing w:line="360" w:lineRule="auto"/>
        <w:jc w:val="both"/>
        <w:rPr>
          <w:rFonts w:ascii="Arial" w:hAnsi="Arial" w:cs="Arial"/>
          <w:sz w:val="22"/>
          <w:szCs w:val="22"/>
          <w:lang w:val="en-IN"/>
        </w:rPr>
      </w:pPr>
      <w:r w:rsidRPr="00B27646">
        <w:rPr>
          <w:rFonts w:ascii="Arial" w:hAnsi="Arial" w:cs="Arial"/>
          <w:noProof/>
          <w:sz w:val="22"/>
          <w:szCs w:val="22"/>
        </w:rPr>
        <w:drawing>
          <wp:inline distT="0" distB="0" distL="0" distR="0" wp14:anchorId="1B8A2E84" wp14:editId="7DE922E9">
            <wp:extent cx="4394200" cy="1645920"/>
            <wp:effectExtent l="0" t="0" r="6350" b="11430"/>
            <wp:docPr id="1694841378" name="Chart 1">
              <a:extLst xmlns:a="http://schemas.openxmlformats.org/drawingml/2006/main">
                <a:ext uri="{FF2B5EF4-FFF2-40B4-BE49-F238E27FC236}">
                  <a16:creationId xmlns:a16="http://schemas.microsoft.com/office/drawing/2014/main" id="{90D2828B-8875-56F2-D6CE-7EE9A90607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0948AFD" w14:textId="77777777" w:rsidR="00ED5AD7" w:rsidRPr="00B27646" w:rsidRDefault="00ED5AD7"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3.3 Age-wise Distribution of Dermatological Disorders</w:t>
      </w:r>
    </w:p>
    <w:p w14:paraId="0DA50DEA" w14:textId="77777777" w:rsidR="00ED5AD7" w:rsidRPr="00B27646" w:rsidRDefault="00ED5AD7" w:rsidP="00B27646">
      <w:pPr>
        <w:spacing w:line="360" w:lineRule="auto"/>
        <w:ind w:firstLine="720"/>
        <w:jc w:val="both"/>
        <w:rPr>
          <w:rFonts w:ascii="Arial" w:hAnsi="Arial" w:cs="Arial"/>
          <w:sz w:val="22"/>
          <w:szCs w:val="22"/>
          <w:lang w:val="en-IN"/>
        </w:rPr>
      </w:pPr>
      <w:r w:rsidRPr="00B27646">
        <w:t>Age-wise analysis revealed that dogs below one year of age exhibited the highest prevalence of dermatological disorders (34.42%), followed by dogs aged 2–4 years (20.97%) and 1–2 years (19.29%). Lower prevalence was recorded in dogs aged 4–6 years (12.76%) and 6–8 years (7.12%), while dogs above eight years showed the lowest prevalence (5.44%).</w:t>
      </w:r>
    </w:p>
    <w:p w14:paraId="1013832E" w14:textId="77777777" w:rsidR="00ED5AD7" w:rsidRPr="00B27646" w:rsidRDefault="00ED5AD7" w:rsidP="00B27646">
      <w:pPr>
        <w:spacing w:line="360" w:lineRule="auto"/>
        <w:ind w:firstLine="720"/>
        <w:jc w:val="both"/>
        <w:rPr>
          <w:rFonts w:ascii="Arial" w:hAnsi="Arial" w:cs="Arial"/>
          <w:sz w:val="22"/>
          <w:szCs w:val="22"/>
          <w:lang w:val="en-IN"/>
        </w:rPr>
      </w:pPr>
      <w:r w:rsidRPr="00B27646">
        <w:t>The higher susceptibility observed among younger dogs may be attributed to immature immune function, increased environmental exposure and incomplete development of the epidermal barrier. Furthermore, stress associated with weaning, nutritional deficiencies and inadequate preventive healthcare may predispose young animals to dermatological disorders. The comparatively lower incidence in older dogs may be associated with improved immunity and adaptation to environmental conditions.</w:t>
      </w:r>
    </w:p>
    <w:p w14:paraId="579C45E4" w14:textId="77777777" w:rsidR="00ED5AD7" w:rsidRPr="00B27646" w:rsidRDefault="00ED5AD7" w:rsidP="00B27646">
      <w:pPr>
        <w:spacing w:line="360" w:lineRule="auto"/>
        <w:ind w:firstLine="720"/>
        <w:jc w:val="both"/>
        <w:rPr>
          <w:rFonts w:ascii="Arial" w:hAnsi="Arial" w:cs="Arial"/>
          <w:sz w:val="22"/>
          <w:szCs w:val="22"/>
          <w:lang w:val="en-IN"/>
        </w:rPr>
      </w:pPr>
      <w:r w:rsidRPr="00B27646">
        <w:t xml:space="preserve">These findings corroborate the observations of Thapa and Sarkar (2018), who reported the highest prevalence of dermatological disorders in dogs below one year of age. Similar findings </w:t>
      </w:r>
      <w:r w:rsidRPr="00B27646">
        <w:lastRenderedPageBreak/>
        <w:t>were also reported by Khurana et al. (2016), Haritha et al. (2022) and Singh et al. (2012), who documented increased susceptibility of younger dogs to dermatological disorders.</w:t>
      </w:r>
    </w:p>
    <w:p w14:paraId="21320EED" w14:textId="77777777" w:rsidR="00ED5AD7" w:rsidRPr="00B27646" w:rsidRDefault="00ED5AD7"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Fig. 3. Age-wise distribution of dermatological disorders in dogs</w:t>
      </w:r>
    </w:p>
    <w:p w14:paraId="18735E6F" w14:textId="77777777" w:rsidR="006C2CDF" w:rsidRPr="00B27646" w:rsidRDefault="006C2CDF" w:rsidP="00B27646">
      <w:pPr>
        <w:spacing w:line="360" w:lineRule="auto"/>
        <w:jc w:val="both"/>
        <w:rPr>
          <w:rFonts w:ascii="Arial" w:hAnsi="Arial" w:cs="Arial"/>
          <w:sz w:val="22"/>
          <w:szCs w:val="22"/>
          <w:lang w:val="en-IN"/>
        </w:rPr>
      </w:pPr>
      <w:r w:rsidRPr="00B27646">
        <w:rPr>
          <w:rFonts w:ascii="Arial" w:hAnsi="Arial" w:cs="Arial"/>
          <w:noProof/>
          <w:sz w:val="22"/>
          <w:szCs w:val="22"/>
        </w:rPr>
        <w:drawing>
          <wp:inline distT="0" distB="0" distL="0" distR="0" wp14:anchorId="3CED44A7" wp14:editId="4B53C2ED">
            <wp:extent cx="5516880" cy="2032000"/>
            <wp:effectExtent l="0" t="0" r="7620" b="6350"/>
            <wp:docPr id="996840746" name="Chart 1">
              <a:extLst xmlns:a="http://schemas.openxmlformats.org/drawingml/2006/main">
                <a:ext uri="{FF2B5EF4-FFF2-40B4-BE49-F238E27FC236}">
                  <a16:creationId xmlns:a16="http://schemas.microsoft.com/office/drawing/2014/main" id="{395309B1-7347-C8EB-8469-3EF47100BF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CFA94FA" w14:textId="77777777" w:rsidR="00ED5AD7" w:rsidRPr="00B27646" w:rsidRDefault="00ED5AD7"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3.4 Sex-wise Distribution of Dermatological Disorders</w:t>
      </w:r>
    </w:p>
    <w:p w14:paraId="54320DB1" w14:textId="77777777" w:rsidR="00ED5AD7" w:rsidRPr="00B27646" w:rsidRDefault="00ED5AD7" w:rsidP="00B27646">
      <w:pPr>
        <w:spacing w:line="360" w:lineRule="auto"/>
        <w:ind w:firstLine="720"/>
        <w:jc w:val="both"/>
        <w:rPr>
          <w:rFonts w:ascii="Arial" w:hAnsi="Arial" w:cs="Arial"/>
          <w:sz w:val="22"/>
          <w:szCs w:val="22"/>
          <w:lang w:val="en-IN"/>
        </w:rPr>
      </w:pPr>
      <w:r w:rsidRPr="00B27646">
        <w:t>Among the affected dogs, males accounted for 697 cases (68.94%), whereas females constituted 314 cases (31.06%). The higher incidence observed in male dogs may be attributed to behavioural characteristics such as increased roaming activity, territorial behaviour and greater outdoor exposure, which increase the likelihood of contact with infectious agents and ectoparasites.</w:t>
      </w:r>
    </w:p>
    <w:p w14:paraId="1F441519" w14:textId="77777777" w:rsidR="00ED5AD7" w:rsidRPr="00B27646" w:rsidRDefault="00ED5AD7" w:rsidP="00B27646">
      <w:pPr>
        <w:spacing w:line="360" w:lineRule="auto"/>
        <w:ind w:firstLine="720"/>
        <w:jc w:val="both"/>
        <w:rPr>
          <w:rFonts w:ascii="Arial" w:hAnsi="Arial" w:cs="Arial"/>
          <w:sz w:val="22"/>
          <w:szCs w:val="22"/>
          <w:lang w:val="en-IN"/>
        </w:rPr>
      </w:pPr>
      <w:r w:rsidRPr="00B27646">
        <w:t>A similar observation was reported by Thapa and Sarkar (2018), who documented a higher prevalence of dermatological disorders among male dogs. In contrast, Kanda et al. (2019) reported a greater prevalence of dermatoses in female dogs, which was attributed to hormonal influences associated with fluctuations in oestrogen and progesterone concentrations.</w:t>
      </w:r>
    </w:p>
    <w:p w14:paraId="11EA12BD" w14:textId="77777777" w:rsidR="00ED5AD7" w:rsidRPr="00B27646" w:rsidRDefault="00ED5AD7"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Fig. 4. Sex-wise distribution of dermatological disorders in dogs</w:t>
      </w:r>
    </w:p>
    <w:p w14:paraId="5BDD880B" w14:textId="77777777" w:rsidR="004B7F64" w:rsidRPr="00B27646" w:rsidRDefault="004B7F64" w:rsidP="00B27646">
      <w:pPr>
        <w:spacing w:line="360" w:lineRule="auto"/>
        <w:jc w:val="both"/>
        <w:rPr>
          <w:rFonts w:ascii="Arial" w:hAnsi="Arial" w:cs="Arial"/>
          <w:sz w:val="22"/>
          <w:szCs w:val="22"/>
          <w:lang w:val="en-IN"/>
        </w:rPr>
      </w:pPr>
      <w:r w:rsidRPr="00B27646">
        <w:rPr>
          <w:rFonts w:ascii="Arial" w:hAnsi="Arial" w:cs="Arial"/>
          <w:noProof/>
          <w:sz w:val="22"/>
          <w:szCs w:val="22"/>
        </w:rPr>
        <w:lastRenderedPageBreak/>
        <w:drawing>
          <wp:inline distT="0" distB="0" distL="0" distR="0" wp14:anchorId="433B09CE" wp14:editId="440DDEC8">
            <wp:extent cx="2926080" cy="2062480"/>
            <wp:effectExtent l="0" t="0" r="7620" b="13970"/>
            <wp:docPr id="837584833" name="Chart 1">
              <a:extLst xmlns:a="http://schemas.openxmlformats.org/drawingml/2006/main">
                <a:ext uri="{FF2B5EF4-FFF2-40B4-BE49-F238E27FC236}">
                  <a16:creationId xmlns:a16="http://schemas.microsoft.com/office/drawing/2014/main" id="{0D613444-0F37-B138-DC2C-3FFC22EC4F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B8EE5A" w14:textId="77777777" w:rsidR="00D4664A" w:rsidRPr="00B27646" w:rsidRDefault="00D4664A" w:rsidP="00B27646">
      <w:pPr>
        <w:spacing w:line="360" w:lineRule="auto"/>
        <w:jc w:val="both"/>
        <w:rPr>
          <w:rFonts w:ascii="Arial" w:hAnsi="Arial" w:cs="Arial"/>
          <w:b/>
          <w:bCs/>
          <w:sz w:val="22"/>
          <w:szCs w:val="22"/>
          <w:lang w:val="en-IN"/>
        </w:rPr>
      </w:pPr>
    </w:p>
    <w:p w14:paraId="3D9CE32A" w14:textId="77777777" w:rsidR="00ED5AD7" w:rsidRPr="00B27646" w:rsidRDefault="00ED5AD7"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3.5 Breed-wise Distribution of Dermatological Disorders</w:t>
      </w:r>
    </w:p>
    <w:p w14:paraId="46C38E63" w14:textId="77777777" w:rsidR="00ED5AD7" w:rsidRPr="00B27646" w:rsidRDefault="00ED5AD7" w:rsidP="00B27646">
      <w:pPr>
        <w:spacing w:line="360" w:lineRule="auto"/>
        <w:ind w:firstLine="720"/>
        <w:jc w:val="both"/>
        <w:rPr>
          <w:rFonts w:ascii="Arial" w:hAnsi="Arial" w:cs="Arial"/>
          <w:sz w:val="22"/>
          <w:szCs w:val="22"/>
          <w:lang w:val="en-IN"/>
        </w:rPr>
      </w:pPr>
      <w:r w:rsidRPr="00B27646">
        <w:t>Breed-wise analysis indicated that mongrel dogs constituted the majority of affected cases (50.94%), followed by Labrador Retrievers (12.07%), German Spitz (7.91%) and German Shepherd Dogs (7.12%). Moderate prevalence was observed in Chippiparai (3.76%), Doberman Pinscher (2.67%) and Kanni (2.37%) breeds.</w:t>
      </w:r>
    </w:p>
    <w:p w14:paraId="573A346B" w14:textId="77777777" w:rsidR="00ED5AD7" w:rsidRPr="00B27646" w:rsidRDefault="00ED5AD7" w:rsidP="00B27646">
      <w:pPr>
        <w:spacing w:line="360" w:lineRule="auto"/>
        <w:ind w:firstLine="720"/>
        <w:jc w:val="both"/>
        <w:rPr>
          <w:rFonts w:ascii="Arial" w:hAnsi="Arial" w:cs="Arial"/>
          <w:sz w:val="22"/>
          <w:szCs w:val="22"/>
          <w:lang w:val="en-IN"/>
        </w:rPr>
      </w:pPr>
      <w:r w:rsidRPr="00B27646">
        <w:t>The higher occurrence of dermatological disorders in mongrel dogs may be attributed to outdoor management systems, inadequate grooming practices, increased environmental exposure and limited access to veterinary healthcare. Furthermore, stray and community dogs are more frequently exposed to ectoparasites and infectious agents, thereby increasing the risk of chronic and recurrent dermatological conditions.</w:t>
      </w:r>
    </w:p>
    <w:p w14:paraId="6EF9DF82" w14:textId="77777777" w:rsidR="00ED5AD7" w:rsidRPr="00B27646" w:rsidRDefault="00ED5AD7" w:rsidP="00B27646">
      <w:pPr>
        <w:spacing w:line="360" w:lineRule="auto"/>
        <w:ind w:firstLine="720"/>
        <w:jc w:val="both"/>
        <w:rPr>
          <w:rFonts w:ascii="Arial" w:hAnsi="Arial" w:cs="Arial"/>
          <w:sz w:val="22"/>
          <w:szCs w:val="22"/>
          <w:lang w:val="en-IN"/>
        </w:rPr>
      </w:pPr>
      <w:r w:rsidRPr="00B27646">
        <w:t>Breed predisposition may also contribute to the occurrence of dermatological disorders. Labrador Retrievers and German Shepherd Dogs are known to exhibit increased susceptibility to allergic dermatitis, pyoderma and seborrhoeic skin disorders due to genetic predisposition and altered skin barrier function. Katariya et al. (2018) similarly reported the highest incidence of dermatitis in mongrels, followed by German Shepherds and Labrador Retrievers. The present findings therefore suggest that both genetic and environmental factors influence the occurrence of dermatological disorders in dogs.</w:t>
      </w:r>
    </w:p>
    <w:p w14:paraId="03007AFC" w14:textId="77777777" w:rsidR="00ED5AD7" w:rsidRPr="00B27646" w:rsidRDefault="00ED5AD7"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Fig. 5. Breed-wise distribution of dermatological disorders in dogs</w:t>
      </w:r>
    </w:p>
    <w:p w14:paraId="447AD9A8" w14:textId="77777777" w:rsidR="003738FF" w:rsidRPr="00B27646" w:rsidRDefault="003738FF" w:rsidP="00B27646">
      <w:pPr>
        <w:spacing w:line="360" w:lineRule="auto"/>
        <w:jc w:val="both"/>
        <w:rPr>
          <w:rFonts w:ascii="Arial" w:hAnsi="Arial" w:cs="Arial"/>
          <w:sz w:val="22"/>
          <w:szCs w:val="22"/>
          <w:lang w:val="en-IN"/>
        </w:rPr>
      </w:pPr>
      <w:r w:rsidRPr="00B27646">
        <w:rPr>
          <w:rFonts w:ascii="Arial" w:hAnsi="Arial" w:cs="Arial"/>
          <w:noProof/>
          <w:sz w:val="22"/>
          <w:szCs w:val="22"/>
        </w:rPr>
        <w:lastRenderedPageBreak/>
        <w:drawing>
          <wp:inline distT="0" distB="0" distL="0" distR="0" wp14:anchorId="2A47EA24" wp14:editId="0586BCC5">
            <wp:extent cx="3830320" cy="3362960"/>
            <wp:effectExtent l="0" t="0" r="17780" b="8890"/>
            <wp:docPr id="305023109" name="Chart 1">
              <a:extLst xmlns:a="http://schemas.openxmlformats.org/drawingml/2006/main">
                <a:ext uri="{FF2B5EF4-FFF2-40B4-BE49-F238E27FC236}">
                  <a16:creationId xmlns:a16="http://schemas.microsoft.com/office/drawing/2014/main" id="{3416CC3C-BA8F-5B8F-1BEB-B47A970F22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FCE025" w14:textId="77777777" w:rsidR="00ED5AD7" w:rsidRPr="00B27646" w:rsidRDefault="00ED5AD7"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3.6 Season-wise Distribution of Dermatological Disorders</w:t>
      </w:r>
    </w:p>
    <w:p w14:paraId="7B2FBB50" w14:textId="77777777" w:rsidR="00ED5AD7" w:rsidRPr="00B27646" w:rsidRDefault="00ED5AD7" w:rsidP="00B27646">
      <w:pPr>
        <w:spacing w:line="360" w:lineRule="auto"/>
        <w:ind w:firstLine="720"/>
        <w:jc w:val="both"/>
        <w:rPr>
          <w:rFonts w:ascii="Arial" w:hAnsi="Arial" w:cs="Arial"/>
          <w:sz w:val="22"/>
          <w:szCs w:val="22"/>
          <w:lang w:val="en-IN"/>
        </w:rPr>
      </w:pPr>
      <w:r w:rsidRPr="00B27646">
        <w:t>Seasonal analysis revealed that the highest prevalence of dermatological disorders occurred during the southwest monsoon season (31.26%), followed by summer (26.51%), the northeast monsoon (25.32%) and winter (16.91%).</w:t>
      </w:r>
    </w:p>
    <w:p w14:paraId="7131DE07" w14:textId="77777777" w:rsidR="00ED5AD7" w:rsidRPr="00B27646" w:rsidRDefault="00ED5AD7" w:rsidP="00B27646">
      <w:pPr>
        <w:spacing w:line="360" w:lineRule="auto"/>
        <w:ind w:firstLine="720"/>
        <w:jc w:val="both"/>
        <w:rPr>
          <w:rFonts w:ascii="Arial" w:hAnsi="Arial" w:cs="Arial"/>
          <w:sz w:val="22"/>
          <w:szCs w:val="22"/>
          <w:lang w:val="en-IN"/>
        </w:rPr>
      </w:pPr>
      <w:r w:rsidRPr="00B27646">
        <w:t>The increased prevalence during the monsoon and summer seasons may be attributed to favourable environmental conditions, including elevated temperature and humidity, which promote the survival and multiplication of ectoparasites, bacteria and fungi. Increased vector activity and environmental contamination during these seasons may further facilitate disease transmission. Conversely, the lower prevalence recorded during winter may be associated with less favourable conditions for pathogen survival and propagation.</w:t>
      </w:r>
    </w:p>
    <w:p w14:paraId="211F9706" w14:textId="77777777" w:rsidR="00ED5AD7" w:rsidRPr="00B27646" w:rsidRDefault="00ED5AD7" w:rsidP="00B27646">
      <w:pPr>
        <w:spacing w:line="360" w:lineRule="auto"/>
        <w:ind w:firstLine="720"/>
        <w:jc w:val="both"/>
        <w:rPr>
          <w:rFonts w:ascii="Arial" w:hAnsi="Arial" w:cs="Arial"/>
          <w:sz w:val="22"/>
          <w:szCs w:val="22"/>
          <w:lang w:val="en-IN"/>
        </w:rPr>
      </w:pPr>
      <w:r w:rsidRPr="00B27646">
        <w:t>The present findings are in close agreement with those of Khurana et al. (2016), who reported the highest occurrence of canine dermatological disorders during the monsoon season and the lowest incidence during winter. Sharma et al. (2009) similarly observed that climatic and seasonal variations influence the prevalence and severity of canine skin disorders.</w:t>
      </w:r>
    </w:p>
    <w:p w14:paraId="53F18AFC" w14:textId="77777777" w:rsidR="00ED5AD7" w:rsidRPr="00B27646" w:rsidRDefault="00ED5AD7" w:rsidP="00B27646">
      <w:pPr>
        <w:spacing w:line="360" w:lineRule="auto"/>
        <w:jc w:val="both"/>
        <w:rPr>
          <w:rFonts w:ascii="Arial" w:hAnsi="Arial" w:cs="Arial"/>
          <w:b/>
          <w:bCs/>
          <w:sz w:val="22"/>
          <w:szCs w:val="22"/>
          <w:lang w:val="en-IN"/>
        </w:rPr>
      </w:pPr>
      <w:r w:rsidRPr="00B27646">
        <w:rPr>
          <w:rFonts w:ascii="Arial" w:hAnsi="Arial" w:cs="Arial"/>
          <w:b/>
          <w:bCs/>
          <w:sz w:val="22"/>
          <w:szCs w:val="22"/>
          <w:lang w:val="en-IN"/>
        </w:rPr>
        <w:t>Fig. 6. Season-wise distribution of dermatological disorders in dogs</w:t>
      </w:r>
    </w:p>
    <w:p w14:paraId="746DBC29" w14:textId="77777777" w:rsidR="00B54111" w:rsidRPr="00B27646" w:rsidRDefault="00BC6745" w:rsidP="00B27646">
      <w:pPr>
        <w:spacing w:line="360" w:lineRule="auto"/>
        <w:jc w:val="both"/>
        <w:rPr>
          <w:rFonts w:ascii="Arial" w:hAnsi="Arial" w:cs="Arial"/>
          <w:b/>
          <w:bCs/>
          <w:sz w:val="22"/>
          <w:szCs w:val="22"/>
          <w:lang w:val="en-IN"/>
        </w:rPr>
      </w:pPr>
      <w:r w:rsidRPr="00B27646">
        <w:rPr>
          <w:rFonts w:ascii="Arial" w:hAnsi="Arial" w:cs="Arial"/>
          <w:noProof/>
          <w:sz w:val="22"/>
          <w:szCs w:val="22"/>
        </w:rPr>
        <w:lastRenderedPageBreak/>
        <w:drawing>
          <wp:inline distT="0" distB="0" distL="0" distR="0" wp14:anchorId="58C88418" wp14:editId="3ED2840D">
            <wp:extent cx="3970020" cy="2219960"/>
            <wp:effectExtent l="0" t="0" r="11430" b="8890"/>
            <wp:docPr id="1652941969" name="Chart 1">
              <a:extLst xmlns:a="http://schemas.openxmlformats.org/drawingml/2006/main">
                <a:ext uri="{FF2B5EF4-FFF2-40B4-BE49-F238E27FC236}">
                  <a16:creationId xmlns:a16="http://schemas.microsoft.com/office/drawing/2014/main" id="{EF109DE8-AAA8-BD6D-63BC-37DC57237A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0D87033" w14:textId="77777777" w:rsidR="00B54111" w:rsidRPr="00B27646" w:rsidRDefault="00B54111" w:rsidP="00B27646">
      <w:pPr>
        <w:spacing w:line="360" w:lineRule="auto"/>
        <w:jc w:val="both"/>
        <w:rPr>
          <w:rFonts w:ascii="Arial" w:hAnsi="Arial" w:cs="Arial"/>
          <w:b/>
          <w:bCs/>
          <w:sz w:val="22"/>
          <w:szCs w:val="22"/>
          <w:lang w:val="en-IN"/>
        </w:rPr>
      </w:pPr>
    </w:p>
    <w:p w14:paraId="7A551F61" w14:textId="77777777" w:rsidR="00084BE2" w:rsidRPr="00B27646" w:rsidRDefault="00084BE2" w:rsidP="00B27646">
      <w:pPr>
        <w:spacing w:before="100" w:beforeAutospacing="1" w:after="100" w:afterAutospacing="1" w:line="240" w:lineRule="auto"/>
        <w:jc w:val="both"/>
        <w:rPr>
          <w:rFonts w:ascii="Times New Roman" w:eastAsia="Times New Roman" w:hAnsi="Times New Roman" w:cs="Times New Roman"/>
          <w:kern w:val="0"/>
          <w:lang w:bidi="bn-IN"/>
          <w14:ligatures w14:val="none"/>
        </w:rPr>
      </w:pPr>
      <w:r w:rsidRPr="00B27646">
        <w:rPr>
          <w:rFonts w:ascii="Times New Roman" w:eastAsia="Times New Roman" w:hAnsi="Times New Roman" w:cs="Times New Roman"/>
          <w:b/>
          <w:bCs/>
          <w:kern w:val="0"/>
          <w:lang w:bidi="bn-IN"/>
          <w14:ligatures w14:val="none"/>
        </w:rPr>
        <w:t>Conclusion</w:t>
      </w:r>
    </w:p>
    <w:p w14:paraId="540BA64A" w14:textId="77777777" w:rsidR="00B27646" w:rsidRPr="00B27646" w:rsidRDefault="00B27646" w:rsidP="00B27646">
      <w:pPr>
        <w:spacing w:before="100" w:beforeAutospacing="1" w:after="100" w:afterAutospacing="1" w:line="240" w:lineRule="auto"/>
        <w:jc w:val="both"/>
        <w:rPr>
          <w:rFonts w:ascii="Times New Roman" w:eastAsia="Times New Roman" w:hAnsi="Times New Roman" w:cs="Times New Roman"/>
          <w:b/>
          <w:bCs/>
          <w:kern w:val="0"/>
          <w:lang w:bidi="bn-IN"/>
          <w14:ligatures w14:val="none"/>
        </w:rPr>
      </w:pPr>
      <w:r w:rsidRPr="00B27646">
        <w:t xml:space="preserve">The present study recorded a 9.32% prevalence of dermatological disorders among 10,841 canine cases presented to the Veterinary Clinical Complex, Veterinary College and Research Institute, </w:t>
      </w:r>
      <w:proofErr w:type="spellStart"/>
      <w:r w:rsidRPr="00B27646">
        <w:t>Orathanadu</w:t>
      </w:r>
      <w:proofErr w:type="spellEnd"/>
      <w:r w:rsidRPr="00B27646">
        <w:t>, during January–December 2025. Bacterial dermatitis was the most frequently diagnosed condition, followed by demodicosis, sarcoptic mange, flea allergy dermatitis and contact dermatitis. The findings indicate that infectious and parasitic skin diseases formed a major proportion of the dermatological caseload in dogs from the Cauvery Delta region. Dogs below one year of age, male dogs and mongrel dogs were more commonly affected in the present clinical population. Seasonal analysis showed a higher occurrence during the southwest monsoon season, followed by summer and the northeast monsoon, suggesting that local climatic conditions may contribute to the occurrence of canine skin diseases. The study highlights the importance of systematic clinical examination supported by appropriate dermatological investigations for accurate diagnosis. These findings provide useful baseline information on the pattern of canine dermatological disorders in this region and may support future clinical and epidemiological studies.</w:t>
      </w:r>
      <w:r w:rsidRPr="00B27646">
        <w:rPr>
          <w:rFonts w:ascii="Times New Roman" w:eastAsia="Times New Roman" w:hAnsi="Times New Roman" w:cs="Times New Roman"/>
          <w:b/>
          <w:bCs/>
          <w:kern w:val="0"/>
          <w:lang w:bidi="bn-IN"/>
          <w14:ligatures w14:val="none"/>
        </w:rPr>
        <w:t xml:space="preserve"> </w:t>
      </w:r>
    </w:p>
    <w:p w14:paraId="0D10A0B3" w14:textId="25193B7B" w:rsidR="00084BE2" w:rsidRPr="00B27646" w:rsidRDefault="00084BE2" w:rsidP="00B27646">
      <w:pPr>
        <w:spacing w:before="100" w:beforeAutospacing="1" w:after="100" w:afterAutospacing="1" w:line="240" w:lineRule="auto"/>
        <w:jc w:val="both"/>
        <w:rPr>
          <w:rFonts w:ascii="Times New Roman" w:eastAsia="Times New Roman" w:hAnsi="Times New Roman" w:cs="Times New Roman"/>
          <w:kern w:val="0"/>
          <w:lang w:bidi="bn-IN"/>
          <w14:ligatures w14:val="none"/>
        </w:rPr>
      </w:pPr>
      <w:r w:rsidRPr="00B27646">
        <w:rPr>
          <w:rFonts w:ascii="Times New Roman" w:eastAsia="Times New Roman" w:hAnsi="Times New Roman" w:cs="Times New Roman"/>
          <w:b/>
          <w:bCs/>
          <w:kern w:val="0"/>
          <w:lang w:bidi="bn-IN"/>
          <w14:ligatures w14:val="none"/>
        </w:rPr>
        <w:t>Limitations</w:t>
      </w:r>
    </w:p>
    <w:p w14:paraId="51F1AAA0" w14:textId="77777777" w:rsidR="00084BE2" w:rsidRPr="00B27646" w:rsidRDefault="00084BE2" w:rsidP="00B27646">
      <w:pPr>
        <w:spacing w:before="100" w:beforeAutospacing="1" w:after="100" w:afterAutospacing="1" w:line="240" w:lineRule="auto"/>
        <w:jc w:val="both"/>
        <w:rPr>
          <w:rFonts w:ascii="Times New Roman" w:eastAsia="Times New Roman" w:hAnsi="Times New Roman" w:cs="Times New Roman"/>
          <w:kern w:val="0"/>
          <w:lang w:bidi="bn-IN"/>
          <w14:ligatures w14:val="none"/>
        </w:rPr>
      </w:pPr>
      <w:r w:rsidRPr="00B27646">
        <w:t>This hospital-based study included only dogs presented to the Small Animal Medicine Outpatient Unit, Veterinary Clinical Complex, Orathanadu; therefore, the findings may not represent community-level prevalence across the wider Cauvery Delta region. The analysis was descriptive, and uniform confirmatory testing was not applied to every case. Details on management, nutrition, housing and previous treatment were limited, and long-term follow-up on recurrence, response and outcomes was not included.</w:t>
      </w:r>
    </w:p>
    <w:p w14:paraId="3F2B8D6C" w14:textId="77777777" w:rsidR="00977963" w:rsidRPr="00B27646" w:rsidRDefault="00977963" w:rsidP="00B27646">
      <w:pPr>
        <w:pStyle w:val="NoSpacing"/>
        <w:jc w:val="both"/>
        <w:rPr>
          <w:rFonts w:ascii="Arial" w:hAnsi="Arial" w:cs="Arial"/>
          <w:b/>
          <w:bCs/>
        </w:rPr>
      </w:pPr>
      <w:r w:rsidRPr="00B27646">
        <w:rPr>
          <w:rFonts w:ascii="Arial" w:hAnsi="Arial" w:cs="Arial"/>
          <w:b/>
          <w:bCs/>
        </w:rPr>
        <w:t>Declaration of AI Use</w:t>
      </w:r>
    </w:p>
    <w:p w14:paraId="04DD4526" w14:textId="77777777" w:rsidR="00977963" w:rsidRPr="00B27646" w:rsidRDefault="00977963" w:rsidP="00B27646">
      <w:pPr>
        <w:pStyle w:val="NoSpacing"/>
        <w:jc w:val="both"/>
        <w:rPr>
          <w:rFonts w:ascii="Arial" w:hAnsi="Arial" w:cs="Arial"/>
        </w:rPr>
      </w:pPr>
    </w:p>
    <w:p w14:paraId="37B27F46" w14:textId="77777777" w:rsidR="00977963" w:rsidRPr="00B27646" w:rsidRDefault="00977963" w:rsidP="00B27646">
      <w:pPr>
        <w:pStyle w:val="NoSpacing"/>
        <w:jc w:val="both"/>
        <w:rPr>
          <w:rFonts w:ascii="Arial" w:hAnsi="Arial" w:cs="Arial"/>
        </w:rPr>
      </w:pPr>
      <w:r w:rsidRPr="00B27646">
        <w:rPr>
          <w:rFonts w:ascii="Arial" w:hAnsi="Arial" w:cs="Arial"/>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5C96A4F" w14:textId="77777777" w:rsidR="00977963" w:rsidRPr="00B27646" w:rsidRDefault="00977963" w:rsidP="00B27646">
      <w:pPr>
        <w:spacing w:before="100" w:beforeAutospacing="1" w:after="100" w:afterAutospacing="1" w:line="240" w:lineRule="auto"/>
        <w:jc w:val="both"/>
        <w:rPr>
          <w:rFonts w:ascii="Times New Roman" w:eastAsia="Times New Roman" w:hAnsi="Times New Roman" w:cs="Times New Roman"/>
          <w:kern w:val="0"/>
          <w:lang w:bidi="bn-IN"/>
          <w14:ligatures w14:val="none"/>
        </w:rPr>
      </w:pPr>
    </w:p>
    <w:p w14:paraId="2B003649" w14:textId="77777777" w:rsidR="00033A25" w:rsidRPr="00B27646" w:rsidRDefault="00033A25" w:rsidP="00B27646">
      <w:pPr>
        <w:spacing w:line="360" w:lineRule="auto"/>
        <w:jc w:val="both"/>
        <w:rPr>
          <w:rFonts w:ascii="Arial" w:hAnsi="Arial" w:cs="Arial"/>
          <w:b/>
          <w:bCs/>
          <w:sz w:val="22"/>
          <w:szCs w:val="22"/>
        </w:rPr>
      </w:pPr>
      <w:r w:rsidRPr="00B27646">
        <w:rPr>
          <w:rFonts w:ascii="Arial" w:hAnsi="Arial" w:cs="Arial"/>
          <w:b/>
          <w:bCs/>
          <w:sz w:val="22"/>
          <w:szCs w:val="22"/>
        </w:rPr>
        <w:t>REFERENCES</w:t>
      </w:r>
    </w:p>
    <w:p w14:paraId="7A5D1E98" w14:textId="070F3901"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Aujla, R. S., Singla, L. D., Juyal, P. D., &amp; Gupta, P. P. (2000). Prevalence and pathology of mange-mite infestations in dogs. </w:t>
      </w:r>
      <w:r w:rsidRPr="00842D03">
        <w:rPr>
          <w:rFonts w:ascii="Times New Roman" w:eastAsia="Times New Roman" w:hAnsi="Times New Roman" w:cs="Times New Roman"/>
          <w:i/>
          <w:iCs/>
          <w:kern w:val="0"/>
          <w14:ligatures w14:val="none"/>
        </w:rPr>
        <w:t>Journal of Veterinary Parasitology, 14</w:t>
      </w:r>
      <w:r w:rsidRPr="00842D03">
        <w:rPr>
          <w:rFonts w:ascii="Times New Roman" w:eastAsia="Times New Roman" w:hAnsi="Times New Roman" w:cs="Times New Roman"/>
          <w:kern w:val="0"/>
          <w14:ligatures w14:val="none"/>
        </w:rPr>
        <w:t xml:space="preserve">(1), 45–49. </w:t>
      </w:r>
    </w:p>
    <w:p w14:paraId="616BAD6B" w14:textId="77777777"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Ayodhya, S., &amp; Suryanarayana, C. (2006). Epidemiological studies on parasitic dermatitis in canines. </w:t>
      </w:r>
      <w:r w:rsidRPr="00842D03">
        <w:rPr>
          <w:rFonts w:ascii="Times New Roman" w:eastAsia="Times New Roman" w:hAnsi="Times New Roman" w:cs="Times New Roman"/>
          <w:i/>
          <w:iCs/>
          <w:kern w:val="0"/>
          <w14:ligatures w14:val="none"/>
        </w:rPr>
        <w:t>Indian Journal of Veterinary Medicine, 26</w:t>
      </w:r>
      <w:r w:rsidRPr="00842D03">
        <w:rPr>
          <w:rFonts w:ascii="Times New Roman" w:eastAsia="Times New Roman" w:hAnsi="Times New Roman" w:cs="Times New Roman"/>
          <w:kern w:val="0"/>
          <w14:ligatures w14:val="none"/>
        </w:rPr>
        <w:t xml:space="preserve">(1), 32–33. </w:t>
      </w:r>
      <w:hyperlink r:id="rId13" w:history="1">
        <w:r w:rsidRPr="00842D03">
          <w:rPr>
            <w:rFonts w:ascii="Times New Roman" w:eastAsia="Times New Roman" w:hAnsi="Times New Roman" w:cs="Times New Roman"/>
            <w:color w:val="0000FF"/>
            <w:kern w:val="0"/>
            <w:u w:val="single"/>
            <w14:ligatures w14:val="none"/>
          </w:rPr>
          <w:t>https://agris.fao.org/search/ar/records/647247d553aa8c896304b629</w:t>
        </w:r>
      </w:hyperlink>
    </w:p>
    <w:p w14:paraId="7AE8D9FA" w14:textId="6E0A985A"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Haritha, G. S., Ramesh, P., Manoj Kumar, K., Srilatha, B., Prakash Kumar, B., &amp; Prabhakara Rao, K. (2022). Study on prevalence of certain dermatological conditions in canines in </w:t>
      </w:r>
      <w:proofErr w:type="spellStart"/>
      <w:r w:rsidRPr="00842D03">
        <w:rPr>
          <w:rFonts w:ascii="Times New Roman" w:eastAsia="Times New Roman" w:hAnsi="Times New Roman" w:cs="Times New Roman"/>
          <w:kern w:val="0"/>
          <w14:ligatures w14:val="none"/>
        </w:rPr>
        <w:t>Garividi</w:t>
      </w:r>
      <w:proofErr w:type="spellEnd"/>
      <w:r w:rsidRPr="00842D03">
        <w:rPr>
          <w:rFonts w:ascii="Times New Roman" w:eastAsia="Times New Roman" w:hAnsi="Times New Roman" w:cs="Times New Roman"/>
          <w:kern w:val="0"/>
          <w14:ligatures w14:val="none"/>
        </w:rPr>
        <w:t xml:space="preserve"> region of Andhra Pradesh. </w:t>
      </w:r>
      <w:r w:rsidRPr="00842D03">
        <w:rPr>
          <w:rFonts w:ascii="Times New Roman" w:eastAsia="Times New Roman" w:hAnsi="Times New Roman" w:cs="Times New Roman"/>
          <w:i/>
          <w:iCs/>
          <w:kern w:val="0"/>
          <w14:ligatures w14:val="none"/>
        </w:rPr>
        <w:t>The Pharma Innovation Journal, SP-11</w:t>
      </w:r>
      <w:r w:rsidRPr="00842D03">
        <w:rPr>
          <w:rFonts w:ascii="Times New Roman" w:eastAsia="Times New Roman" w:hAnsi="Times New Roman" w:cs="Times New Roman"/>
          <w:kern w:val="0"/>
          <w14:ligatures w14:val="none"/>
        </w:rPr>
        <w:t xml:space="preserve">(9), 1726–1730. </w:t>
      </w:r>
    </w:p>
    <w:p w14:paraId="51FF528A" w14:textId="77777777"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Kanda, N., Hoashi, T., &amp; Saeki, H. (2019). The roles of sex hormones in the course of atopic dermatitis. </w:t>
      </w:r>
      <w:r w:rsidRPr="00842D03">
        <w:rPr>
          <w:rFonts w:ascii="Times New Roman" w:eastAsia="Times New Roman" w:hAnsi="Times New Roman" w:cs="Times New Roman"/>
          <w:i/>
          <w:iCs/>
          <w:kern w:val="0"/>
          <w14:ligatures w14:val="none"/>
        </w:rPr>
        <w:t>International Journal of Molecular Sciences, 20</w:t>
      </w:r>
      <w:r w:rsidRPr="00842D03">
        <w:rPr>
          <w:rFonts w:ascii="Times New Roman" w:eastAsia="Times New Roman" w:hAnsi="Times New Roman" w:cs="Times New Roman"/>
          <w:kern w:val="0"/>
          <w14:ligatures w14:val="none"/>
        </w:rPr>
        <w:t xml:space="preserve">(19), Article 4660. </w:t>
      </w:r>
      <w:hyperlink r:id="rId14" w:history="1">
        <w:r w:rsidRPr="00842D03">
          <w:rPr>
            <w:rFonts w:ascii="Times New Roman" w:eastAsia="Times New Roman" w:hAnsi="Times New Roman" w:cs="Times New Roman"/>
            <w:color w:val="0000FF"/>
            <w:kern w:val="0"/>
            <w:u w:val="single"/>
            <w14:ligatures w14:val="none"/>
          </w:rPr>
          <w:t>https://doi.org/10.3390/ijms20194660</w:t>
        </w:r>
      </w:hyperlink>
    </w:p>
    <w:p w14:paraId="4B0E68C0" w14:textId="2783AF5B"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842D03">
        <w:rPr>
          <w:rFonts w:ascii="Times New Roman" w:eastAsia="Times New Roman" w:hAnsi="Times New Roman" w:cs="Times New Roman"/>
          <w:kern w:val="0"/>
          <w14:ligatures w14:val="none"/>
        </w:rPr>
        <w:t>Katariya</w:t>
      </w:r>
      <w:proofErr w:type="spellEnd"/>
      <w:r w:rsidRPr="00842D03">
        <w:rPr>
          <w:rFonts w:ascii="Times New Roman" w:eastAsia="Times New Roman" w:hAnsi="Times New Roman" w:cs="Times New Roman"/>
          <w:kern w:val="0"/>
          <w14:ligatures w14:val="none"/>
        </w:rPr>
        <w:t xml:space="preserve">, A., Arora, N., </w:t>
      </w:r>
      <w:proofErr w:type="spellStart"/>
      <w:r w:rsidRPr="00842D03">
        <w:rPr>
          <w:rFonts w:ascii="Times New Roman" w:eastAsia="Times New Roman" w:hAnsi="Times New Roman" w:cs="Times New Roman"/>
          <w:kern w:val="0"/>
          <w14:ligatures w14:val="none"/>
        </w:rPr>
        <w:t>Rajora</w:t>
      </w:r>
      <w:proofErr w:type="spellEnd"/>
      <w:r w:rsidRPr="00842D03">
        <w:rPr>
          <w:rFonts w:ascii="Times New Roman" w:eastAsia="Times New Roman" w:hAnsi="Times New Roman" w:cs="Times New Roman"/>
          <w:kern w:val="0"/>
          <w14:ligatures w14:val="none"/>
        </w:rPr>
        <w:t xml:space="preserve">, V. S., Ilyas, W., Mrigesh, M., Das, A. K., &amp; Prasad, A. (2018). Hematobiochemical alterations in ectoparasite infestation in canines. </w:t>
      </w:r>
      <w:r w:rsidRPr="00842D03">
        <w:rPr>
          <w:rFonts w:ascii="Times New Roman" w:eastAsia="Times New Roman" w:hAnsi="Times New Roman" w:cs="Times New Roman"/>
          <w:i/>
          <w:iCs/>
          <w:kern w:val="0"/>
          <w14:ligatures w14:val="none"/>
        </w:rPr>
        <w:t>Journal of Entomology and Zoology Studies, 6</w:t>
      </w:r>
      <w:r w:rsidRPr="00842D03">
        <w:rPr>
          <w:rFonts w:ascii="Times New Roman" w:eastAsia="Times New Roman" w:hAnsi="Times New Roman" w:cs="Times New Roman"/>
          <w:kern w:val="0"/>
          <w14:ligatures w14:val="none"/>
        </w:rPr>
        <w:t xml:space="preserve">(5), 743–746. </w:t>
      </w:r>
    </w:p>
    <w:p w14:paraId="02D567D1" w14:textId="01EAF6E0"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Khurana, R., Kumar, T., Agnihotri, D., &amp; Sindhu, N. (2016). Dermatological disorders in canines: A detailed epidemiological study. </w:t>
      </w:r>
      <w:r w:rsidRPr="00842D03">
        <w:rPr>
          <w:rFonts w:ascii="Times New Roman" w:eastAsia="Times New Roman" w:hAnsi="Times New Roman" w:cs="Times New Roman"/>
          <w:i/>
          <w:iCs/>
          <w:kern w:val="0"/>
          <w14:ligatures w14:val="none"/>
        </w:rPr>
        <w:t>Haryana Veterinarian, 55</w:t>
      </w:r>
      <w:r w:rsidRPr="00842D03">
        <w:rPr>
          <w:rFonts w:ascii="Times New Roman" w:eastAsia="Times New Roman" w:hAnsi="Times New Roman" w:cs="Times New Roman"/>
          <w:kern w:val="0"/>
          <w14:ligatures w14:val="none"/>
        </w:rPr>
        <w:t xml:space="preserve">(1), 97–99. </w:t>
      </w:r>
    </w:p>
    <w:p w14:paraId="4FFC7D24" w14:textId="77777777"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proofErr w:type="spellStart"/>
      <w:r w:rsidRPr="00842D03">
        <w:rPr>
          <w:rFonts w:ascii="Times New Roman" w:eastAsia="Times New Roman" w:hAnsi="Times New Roman" w:cs="Times New Roman"/>
          <w:kern w:val="0"/>
          <w14:ligatures w14:val="none"/>
        </w:rPr>
        <w:t>Lodh</w:t>
      </w:r>
      <w:proofErr w:type="spellEnd"/>
      <w:r w:rsidRPr="00842D03">
        <w:rPr>
          <w:rFonts w:ascii="Times New Roman" w:eastAsia="Times New Roman" w:hAnsi="Times New Roman" w:cs="Times New Roman"/>
          <w:kern w:val="0"/>
          <w14:ligatures w14:val="none"/>
        </w:rPr>
        <w:t xml:space="preserve">, C., &amp; Das, S. (2014). Diagnostic significance of </w:t>
      </w:r>
      <w:proofErr w:type="spellStart"/>
      <w:r w:rsidRPr="00842D03">
        <w:rPr>
          <w:rFonts w:ascii="Times New Roman" w:eastAsia="Times New Roman" w:hAnsi="Times New Roman" w:cs="Times New Roman"/>
          <w:kern w:val="0"/>
          <w14:ligatures w14:val="none"/>
        </w:rPr>
        <w:t>haematobiochemical</w:t>
      </w:r>
      <w:proofErr w:type="spellEnd"/>
      <w:r w:rsidRPr="00842D03">
        <w:rPr>
          <w:rFonts w:ascii="Times New Roman" w:eastAsia="Times New Roman" w:hAnsi="Times New Roman" w:cs="Times New Roman"/>
          <w:kern w:val="0"/>
          <w14:ligatures w14:val="none"/>
        </w:rPr>
        <w:t xml:space="preserve"> changes in canine dermatitis. </w:t>
      </w:r>
      <w:r w:rsidRPr="00842D03">
        <w:rPr>
          <w:rFonts w:ascii="Times New Roman" w:eastAsia="Times New Roman" w:hAnsi="Times New Roman" w:cs="Times New Roman"/>
          <w:i/>
          <w:iCs/>
          <w:kern w:val="0"/>
          <w14:ligatures w14:val="none"/>
        </w:rPr>
        <w:t>Indian Journal of Canine Practice, 6</w:t>
      </w:r>
      <w:r w:rsidRPr="00842D03">
        <w:rPr>
          <w:rFonts w:ascii="Times New Roman" w:eastAsia="Times New Roman" w:hAnsi="Times New Roman" w:cs="Times New Roman"/>
          <w:kern w:val="0"/>
          <w14:ligatures w14:val="none"/>
        </w:rPr>
        <w:t xml:space="preserve">(2), 99–102. </w:t>
      </w:r>
      <w:hyperlink r:id="rId15" w:history="1">
        <w:r w:rsidRPr="00842D03">
          <w:rPr>
            <w:rFonts w:ascii="Times New Roman" w:eastAsia="Times New Roman" w:hAnsi="Times New Roman" w:cs="Times New Roman"/>
            <w:color w:val="0000FF"/>
            <w:kern w:val="0"/>
            <w:u w:val="single"/>
            <w14:ligatures w14:val="none"/>
          </w:rPr>
          <w:t>https://indianjournalofcaninepractice.com/december%202014/content/1.pdf</w:t>
        </w:r>
      </w:hyperlink>
    </w:p>
    <w:p w14:paraId="24599B1C" w14:textId="77777777"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Mani Bharathi, M., Ramesh, S., Navyasree, G., Rao, G. V. S., Vijayakumar, G., Sandhya Bhavani, M., &amp; Sundararajan, R. C. (2025). Clinical and histopathological features of irritant contact dermatitis in dogs. </w:t>
      </w:r>
      <w:r w:rsidRPr="00842D03">
        <w:rPr>
          <w:rFonts w:ascii="Times New Roman" w:eastAsia="Times New Roman" w:hAnsi="Times New Roman" w:cs="Times New Roman"/>
          <w:i/>
          <w:iCs/>
          <w:kern w:val="0"/>
          <w14:ligatures w14:val="none"/>
        </w:rPr>
        <w:t>Journal of Advances in Biology &amp; Biotechnology, 28</w:t>
      </w:r>
      <w:r w:rsidRPr="00842D03">
        <w:rPr>
          <w:rFonts w:ascii="Times New Roman" w:eastAsia="Times New Roman" w:hAnsi="Times New Roman" w:cs="Times New Roman"/>
          <w:kern w:val="0"/>
          <w14:ligatures w14:val="none"/>
        </w:rPr>
        <w:t xml:space="preserve">(8), 12–18. </w:t>
      </w:r>
      <w:hyperlink r:id="rId16" w:history="1">
        <w:r w:rsidRPr="00842D03">
          <w:rPr>
            <w:rFonts w:ascii="Times New Roman" w:eastAsia="Times New Roman" w:hAnsi="Times New Roman" w:cs="Times New Roman"/>
            <w:color w:val="0000FF"/>
            <w:kern w:val="0"/>
            <w:u w:val="single"/>
            <w14:ligatures w14:val="none"/>
          </w:rPr>
          <w:t>https://doi.org/10.9734/jabb/2025/v28i82678</w:t>
        </w:r>
      </w:hyperlink>
    </w:p>
    <w:p w14:paraId="1CA0412A" w14:textId="77777777"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Miller, J., Simpson, A., Bloom, P., Diesel, A., Friedeck, A., Paterson, T., Wisecup, M., &amp; Yu, C.-M. (2023). 2023 AAHA management of allergic skin diseases in dogs and cats guidelines. </w:t>
      </w:r>
      <w:r w:rsidRPr="00842D03">
        <w:rPr>
          <w:rFonts w:ascii="Times New Roman" w:eastAsia="Times New Roman" w:hAnsi="Times New Roman" w:cs="Times New Roman"/>
          <w:i/>
          <w:iCs/>
          <w:kern w:val="0"/>
          <w14:ligatures w14:val="none"/>
        </w:rPr>
        <w:lastRenderedPageBreak/>
        <w:t>Journal of the American Animal Hospital Association, 59</w:t>
      </w:r>
      <w:r w:rsidRPr="00842D03">
        <w:rPr>
          <w:rFonts w:ascii="Times New Roman" w:eastAsia="Times New Roman" w:hAnsi="Times New Roman" w:cs="Times New Roman"/>
          <w:kern w:val="0"/>
          <w14:ligatures w14:val="none"/>
        </w:rPr>
        <w:t xml:space="preserve">(6), 255–284. </w:t>
      </w:r>
      <w:hyperlink r:id="rId17" w:history="1">
        <w:r w:rsidRPr="00842D03">
          <w:rPr>
            <w:rFonts w:ascii="Times New Roman" w:eastAsia="Times New Roman" w:hAnsi="Times New Roman" w:cs="Times New Roman"/>
            <w:color w:val="0000FF"/>
            <w:kern w:val="0"/>
            <w:u w:val="single"/>
            <w14:ligatures w14:val="none"/>
          </w:rPr>
          <w:t>https://doi.org/10.5326/JAAHA-MS-7396</w:t>
        </w:r>
      </w:hyperlink>
    </w:p>
    <w:p w14:paraId="4AF0A061" w14:textId="77777777"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Pavletic, M. M. (1991). Anatomy and circulation of the canine skin. </w:t>
      </w:r>
      <w:r w:rsidRPr="00842D03">
        <w:rPr>
          <w:rFonts w:ascii="Times New Roman" w:eastAsia="Times New Roman" w:hAnsi="Times New Roman" w:cs="Times New Roman"/>
          <w:i/>
          <w:iCs/>
          <w:kern w:val="0"/>
          <w14:ligatures w14:val="none"/>
        </w:rPr>
        <w:t>Microsurgery, 12</w:t>
      </w:r>
      <w:r w:rsidRPr="00842D03">
        <w:rPr>
          <w:rFonts w:ascii="Times New Roman" w:eastAsia="Times New Roman" w:hAnsi="Times New Roman" w:cs="Times New Roman"/>
          <w:kern w:val="0"/>
          <w14:ligatures w14:val="none"/>
        </w:rPr>
        <w:t xml:space="preserve">(2), 103–112. </w:t>
      </w:r>
      <w:hyperlink r:id="rId18" w:history="1">
        <w:r w:rsidRPr="00842D03">
          <w:rPr>
            <w:rFonts w:ascii="Times New Roman" w:eastAsia="Times New Roman" w:hAnsi="Times New Roman" w:cs="Times New Roman"/>
            <w:color w:val="0000FF"/>
            <w:kern w:val="0"/>
            <w:u w:val="single"/>
            <w14:ligatures w14:val="none"/>
          </w:rPr>
          <w:t>https://doi.org/10.1002/micr.1920120210</w:t>
        </w:r>
      </w:hyperlink>
    </w:p>
    <w:p w14:paraId="0C4584F4" w14:textId="77777777"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Rajeswari, R., </w:t>
      </w:r>
      <w:proofErr w:type="spellStart"/>
      <w:r w:rsidRPr="00842D03">
        <w:rPr>
          <w:rFonts w:ascii="Times New Roman" w:eastAsia="Times New Roman" w:hAnsi="Times New Roman" w:cs="Times New Roman"/>
          <w:kern w:val="0"/>
          <w14:ligatures w14:val="none"/>
        </w:rPr>
        <w:t>Pattnaik</w:t>
      </w:r>
      <w:proofErr w:type="spellEnd"/>
      <w:r w:rsidRPr="00842D03">
        <w:rPr>
          <w:rFonts w:ascii="Times New Roman" w:eastAsia="Times New Roman" w:hAnsi="Times New Roman" w:cs="Times New Roman"/>
          <w:kern w:val="0"/>
          <w14:ligatures w14:val="none"/>
        </w:rPr>
        <w:t xml:space="preserve">, A., &amp; Kirti, V. (2026). Generalized demodicosis in a German Shepherd: A case report. </w:t>
      </w:r>
      <w:r w:rsidRPr="00842D03">
        <w:rPr>
          <w:rFonts w:ascii="Times New Roman" w:eastAsia="Times New Roman" w:hAnsi="Times New Roman" w:cs="Times New Roman"/>
          <w:i/>
          <w:iCs/>
          <w:kern w:val="0"/>
          <w14:ligatures w14:val="none"/>
        </w:rPr>
        <w:t>Journal of Biology and Nature, 18</w:t>
      </w:r>
      <w:r w:rsidRPr="00842D03">
        <w:rPr>
          <w:rFonts w:ascii="Times New Roman" w:eastAsia="Times New Roman" w:hAnsi="Times New Roman" w:cs="Times New Roman"/>
          <w:kern w:val="0"/>
          <w14:ligatures w14:val="none"/>
        </w:rPr>
        <w:t xml:space="preserve">(1), 455–459. </w:t>
      </w:r>
      <w:hyperlink r:id="rId19" w:history="1">
        <w:r w:rsidRPr="00842D03">
          <w:rPr>
            <w:rFonts w:ascii="Times New Roman" w:eastAsia="Times New Roman" w:hAnsi="Times New Roman" w:cs="Times New Roman"/>
            <w:color w:val="0000FF"/>
            <w:kern w:val="0"/>
            <w:u w:val="single"/>
            <w14:ligatures w14:val="none"/>
          </w:rPr>
          <w:t>https://doi.org/10.56557/joban/2026/v18i110480</w:t>
        </w:r>
      </w:hyperlink>
    </w:p>
    <w:p w14:paraId="620A44B4" w14:textId="2E0DA76C"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Scott, D. W., Miller, W. H., Jr., &amp; Griffin, C. E. (2001). </w:t>
      </w:r>
      <w:r w:rsidRPr="00842D03">
        <w:rPr>
          <w:rFonts w:ascii="Times New Roman" w:eastAsia="Times New Roman" w:hAnsi="Times New Roman" w:cs="Times New Roman"/>
          <w:i/>
          <w:iCs/>
          <w:kern w:val="0"/>
          <w14:ligatures w14:val="none"/>
        </w:rPr>
        <w:t>Muller &amp; Kirk’s small animal dermatology</w:t>
      </w:r>
      <w:r w:rsidRPr="00842D03">
        <w:rPr>
          <w:rFonts w:ascii="Times New Roman" w:eastAsia="Times New Roman" w:hAnsi="Times New Roman" w:cs="Times New Roman"/>
          <w:kern w:val="0"/>
          <w14:ligatures w14:val="none"/>
        </w:rPr>
        <w:t xml:space="preserve"> (6th ed.). W. B. Saunders. </w:t>
      </w:r>
    </w:p>
    <w:p w14:paraId="3EFA92D8" w14:textId="5CDCAEFB"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Sharma, S. K., </w:t>
      </w:r>
      <w:proofErr w:type="spellStart"/>
      <w:r w:rsidRPr="00842D03">
        <w:rPr>
          <w:rFonts w:ascii="Times New Roman" w:eastAsia="Times New Roman" w:hAnsi="Times New Roman" w:cs="Times New Roman"/>
          <w:kern w:val="0"/>
          <w14:ligatures w14:val="none"/>
        </w:rPr>
        <w:t>Soodan</w:t>
      </w:r>
      <w:proofErr w:type="spellEnd"/>
      <w:r w:rsidRPr="00842D03">
        <w:rPr>
          <w:rFonts w:ascii="Times New Roman" w:eastAsia="Times New Roman" w:hAnsi="Times New Roman" w:cs="Times New Roman"/>
          <w:kern w:val="0"/>
          <w14:ligatures w14:val="none"/>
        </w:rPr>
        <w:t xml:space="preserve">, J. S., Dutta, T. K., Raina, B. B., &amp; Tikoo, A. (2008). Occurrence of bacterial dermatitis in canines and their antibiogram. </w:t>
      </w:r>
      <w:r w:rsidRPr="00842D03">
        <w:rPr>
          <w:rFonts w:ascii="Times New Roman" w:eastAsia="Times New Roman" w:hAnsi="Times New Roman" w:cs="Times New Roman"/>
          <w:i/>
          <w:iCs/>
          <w:kern w:val="0"/>
          <w14:ligatures w14:val="none"/>
        </w:rPr>
        <w:t>Indian Journal of Veterinary Medicine, 28</w:t>
      </w:r>
      <w:r w:rsidRPr="00842D03">
        <w:rPr>
          <w:rFonts w:ascii="Times New Roman" w:eastAsia="Times New Roman" w:hAnsi="Times New Roman" w:cs="Times New Roman"/>
          <w:kern w:val="0"/>
          <w14:ligatures w14:val="none"/>
        </w:rPr>
        <w:t xml:space="preserve">(2), 126–127. </w:t>
      </w:r>
    </w:p>
    <w:p w14:paraId="2DE04010" w14:textId="1931AE60"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Sharma, S. K., </w:t>
      </w:r>
      <w:proofErr w:type="spellStart"/>
      <w:r w:rsidRPr="00842D03">
        <w:rPr>
          <w:rFonts w:ascii="Times New Roman" w:eastAsia="Times New Roman" w:hAnsi="Times New Roman" w:cs="Times New Roman"/>
          <w:kern w:val="0"/>
          <w14:ligatures w14:val="none"/>
        </w:rPr>
        <w:t>Soodan</w:t>
      </w:r>
      <w:proofErr w:type="spellEnd"/>
      <w:r w:rsidRPr="00842D03">
        <w:rPr>
          <w:rFonts w:ascii="Times New Roman" w:eastAsia="Times New Roman" w:hAnsi="Times New Roman" w:cs="Times New Roman"/>
          <w:kern w:val="0"/>
          <w14:ligatures w14:val="none"/>
        </w:rPr>
        <w:t xml:space="preserve">, J. S., Bal, M. S., Khajuria, J. K., &amp; Upadhyay, S. R. (2009). Parasitic dermatitis in canines of Jammu region. </w:t>
      </w:r>
      <w:r w:rsidRPr="00842D03">
        <w:rPr>
          <w:rFonts w:ascii="Times New Roman" w:eastAsia="Times New Roman" w:hAnsi="Times New Roman" w:cs="Times New Roman"/>
          <w:i/>
          <w:iCs/>
          <w:kern w:val="0"/>
          <w14:ligatures w14:val="none"/>
        </w:rPr>
        <w:t>Journal of Veterinary Parasitology, 23</w:t>
      </w:r>
      <w:r w:rsidRPr="00842D03">
        <w:rPr>
          <w:rFonts w:ascii="Times New Roman" w:eastAsia="Times New Roman" w:hAnsi="Times New Roman" w:cs="Times New Roman"/>
          <w:kern w:val="0"/>
          <w14:ligatures w14:val="none"/>
        </w:rPr>
        <w:t xml:space="preserve">(1), 65–67. </w:t>
      </w:r>
    </w:p>
    <w:p w14:paraId="0F066641" w14:textId="77777777"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lang w:val="nl-BE"/>
          <w14:ligatures w14:val="none"/>
        </w:rPr>
      </w:pPr>
      <w:r w:rsidRPr="00842D03">
        <w:rPr>
          <w:rFonts w:ascii="Times New Roman" w:eastAsia="Times New Roman" w:hAnsi="Times New Roman" w:cs="Times New Roman"/>
          <w:kern w:val="0"/>
          <w14:ligatures w14:val="none"/>
        </w:rPr>
        <w:t xml:space="preserve">Singh, R., Beigh, S. A., </w:t>
      </w:r>
      <w:proofErr w:type="spellStart"/>
      <w:r w:rsidRPr="00842D03">
        <w:rPr>
          <w:rFonts w:ascii="Times New Roman" w:eastAsia="Times New Roman" w:hAnsi="Times New Roman" w:cs="Times New Roman"/>
          <w:kern w:val="0"/>
          <w14:ligatures w14:val="none"/>
        </w:rPr>
        <w:t>Soodan</w:t>
      </w:r>
      <w:proofErr w:type="spellEnd"/>
      <w:r w:rsidRPr="00842D03">
        <w:rPr>
          <w:rFonts w:ascii="Times New Roman" w:eastAsia="Times New Roman" w:hAnsi="Times New Roman" w:cs="Times New Roman"/>
          <w:kern w:val="0"/>
          <w14:ligatures w14:val="none"/>
        </w:rPr>
        <w:t xml:space="preserve">, J. S., Tikoo, A., &amp; </w:t>
      </w:r>
      <w:proofErr w:type="spellStart"/>
      <w:r w:rsidRPr="00842D03">
        <w:rPr>
          <w:rFonts w:ascii="Times New Roman" w:eastAsia="Times New Roman" w:hAnsi="Times New Roman" w:cs="Times New Roman"/>
          <w:kern w:val="0"/>
          <w14:ligatures w14:val="none"/>
        </w:rPr>
        <w:t>Tantaray</w:t>
      </w:r>
      <w:proofErr w:type="spellEnd"/>
      <w:r w:rsidRPr="00842D03">
        <w:rPr>
          <w:rFonts w:ascii="Times New Roman" w:eastAsia="Times New Roman" w:hAnsi="Times New Roman" w:cs="Times New Roman"/>
          <w:kern w:val="0"/>
          <w14:ligatures w14:val="none"/>
        </w:rPr>
        <w:t xml:space="preserve">, H. (2012). </w:t>
      </w:r>
      <w:proofErr w:type="spellStart"/>
      <w:r w:rsidRPr="00842D03">
        <w:rPr>
          <w:rFonts w:ascii="Times New Roman" w:eastAsia="Times New Roman" w:hAnsi="Times New Roman" w:cs="Times New Roman"/>
          <w:kern w:val="0"/>
          <w14:ligatures w14:val="none"/>
        </w:rPr>
        <w:t>Clinico</w:t>
      </w:r>
      <w:proofErr w:type="spellEnd"/>
      <w:r w:rsidRPr="00842D03">
        <w:rPr>
          <w:rFonts w:ascii="Times New Roman" w:eastAsia="Times New Roman" w:hAnsi="Times New Roman" w:cs="Times New Roman"/>
          <w:kern w:val="0"/>
          <w14:ligatures w14:val="none"/>
        </w:rPr>
        <w:t xml:space="preserve">-epidemiological studies in canine dermatitis. </w:t>
      </w:r>
      <w:r w:rsidRPr="00842D03">
        <w:rPr>
          <w:rFonts w:ascii="Times New Roman" w:eastAsia="Times New Roman" w:hAnsi="Times New Roman" w:cs="Times New Roman"/>
          <w:i/>
          <w:iCs/>
          <w:kern w:val="0"/>
          <w14:ligatures w14:val="none"/>
        </w:rPr>
        <w:t>Indian Journal of Canine Practice, 4</w:t>
      </w:r>
      <w:r w:rsidRPr="00842D03">
        <w:rPr>
          <w:rFonts w:ascii="Times New Roman" w:eastAsia="Times New Roman" w:hAnsi="Times New Roman" w:cs="Times New Roman"/>
          <w:kern w:val="0"/>
          <w14:ligatures w14:val="none"/>
        </w:rPr>
        <w:t xml:space="preserve">(2), 96. </w:t>
      </w:r>
      <w:hyperlink r:id="rId20" w:history="1">
        <w:r w:rsidRPr="00842D03">
          <w:rPr>
            <w:rFonts w:ascii="Times New Roman" w:eastAsia="Times New Roman" w:hAnsi="Times New Roman" w:cs="Times New Roman"/>
            <w:color w:val="0000FF"/>
            <w:kern w:val="0"/>
            <w:u w:val="single"/>
            <w:lang w:val="nl-BE"/>
            <w14:ligatures w14:val="none"/>
          </w:rPr>
          <w:t>https://indianjournalofcaninepractice.com/december%202012/content/7.pdf</w:t>
        </w:r>
      </w:hyperlink>
    </w:p>
    <w:p w14:paraId="038D872F" w14:textId="77777777"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lang w:val="nl-BE"/>
          <w14:ligatures w14:val="none"/>
        </w:rPr>
        <w:t xml:space="preserve">Sumathi, D., &amp; Vasu, K. (2008). </w:t>
      </w:r>
      <w:r w:rsidRPr="00842D03">
        <w:rPr>
          <w:rFonts w:ascii="Times New Roman" w:eastAsia="Times New Roman" w:hAnsi="Times New Roman" w:cs="Times New Roman"/>
          <w:kern w:val="0"/>
          <w14:ligatures w14:val="none"/>
        </w:rPr>
        <w:t xml:space="preserve">Etiology of mycotic dermatitis in dogs. </w:t>
      </w:r>
      <w:r w:rsidRPr="00842D03">
        <w:rPr>
          <w:rFonts w:ascii="Times New Roman" w:eastAsia="Times New Roman" w:hAnsi="Times New Roman" w:cs="Times New Roman"/>
          <w:i/>
          <w:iCs/>
          <w:kern w:val="0"/>
          <w14:ligatures w14:val="none"/>
        </w:rPr>
        <w:t>The Indian Veterinary Journal, 85</w:t>
      </w:r>
      <w:r w:rsidRPr="00842D03">
        <w:rPr>
          <w:rFonts w:ascii="Times New Roman" w:eastAsia="Times New Roman" w:hAnsi="Times New Roman" w:cs="Times New Roman"/>
          <w:kern w:val="0"/>
          <w14:ligatures w14:val="none"/>
        </w:rPr>
        <w:t xml:space="preserve">(8), 887–888. </w:t>
      </w:r>
      <w:hyperlink r:id="rId21" w:history="1">
        <w:r w:rsidRPr="00842D03">
          <w:rPr>
            <w:rFonts w:ascii="Times New Roman" w:eastAsia="Times New Roman" w:hAnsi="Times New Roman" w:cs="Times New Roman"/>
            <w:color w:val="0000FF"/>
            <w:kern w:val="0"/>
            <w:u w:val="single"/>
            <w14:ligatures w14:val="none"/>
          </w:rPr>
          <w:t>https://www.connectjournals.com/file_html_pdf/192108H_Aug_cont.pdf</w:t>
        </w:r>
      </w:hyperlink>
    </w:p>
    <w:p w14:paraId="6787D90F" w14:textId="77777777"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Thapa, G., &amp; Sarkar, S. (2018). Occurrence of canine skin disorder and its </w:t>
      </w:r>
      <w:proofErr w:type="spellStart"/>
      <w:r w:rsidRPr="00842D03">
        <w:rPr>
          <w:rFonts w:ascii="Times New Roman" w:eastAsia="Times New Roman" w:hAnsi="Times New Roman" w:cs="Times New Roman"/>
          <w:kern w:val="0"/>
          <w14:ligatures w14:val="none"/>
        </w:rPr>
        <w:t>haematobiochemical</w:t>
      </w:r>
      <w:proofErr w:type="spellEnd"/>
      <w:r w:rsidRPr="00842D03">
        <w:rPr>
          <w:rFonts w:ascii="Times New Roman" w:eastAsia="Times New Roman" w:hAnsi="Times New Roman" w:cs="Times New Roman"/>
          <w:kern w:val="0"/>
          <w14:ligatures w14:val="none"/>
        </w:rPr>
        <w:t xml:space="preserve"> alterations. </w:t>
      </w:r>
      <w:r w:rsidRPr="00842D03">
        <w:rPr>
          <w:rFonts w:ascii="Times New Roman" w:eastAsia="Times New Roman" w:hAnsi="Times New Roman" w:cs="Times New Roman"/>
          <w:i/>
          <w:iCs/>
          <w:kern w:val="0"/>
          <w14:ligatures w14:val="none"/>
        </w:rPr>
        <w:t>International Journal of Current Microbiology and Applied Sciences, 7</w:t>
      </w:r>
      <w:r w:rsidRPr="00842D03">
        <w:rPr>
          <w:rFonts w:ascii="Times New Roman" w:eastAsia="Times New Roman" w:hAnsi="Times New Roman" w:cs="Times New Roman"/>
          <w:kern w:val="0"/>
          <w14:ligatures w14:val="none"/>
        </w:rPr>
        <w:t xml:space="preserve">(12), 184–195. </w:t>
      </w:r>
      <w:hyperlink r:id="rId22" w:history="1">
        <w:r w:rsidRPr="00842D03">
          <w:rPr>
            <w:rFonts w:ascii="Times New Roman" w:eastAsia="Times New Roman" w:hAnsi="Times New Roman" w:cs="Times New Roman"/>
            <w:color w:val="0000FF"/>
            <w:kern w:val="0"/>
            <w:u w:val="single"/>
            <w14:ligatures w14:val="none"/>
          </w:rPr>
          <w:t>https://doi.org/10.20546/ijcmas.2018.712.024</w:t>
        </w:r>
      </w:hyperlink>
    </w:p>
    <w:p w14:paraId="619EFD1F" w14:textId="77777777" w:rsidR="00842D03" w:rsidRPr="00842D03" w:rsidRDefault="00842D03" w:rsidP="00842D03">
      <w:pPr>
        <w:spacing w:before="100" w:beforeAutospacing="1" w:after="100" w:afterAutospacing="1" w:line="240" w:lineRule="auto"/>
        <w:ind w:left="540" w:hanging="540"/>
        <w:jc w:val="both"/>
        <w:rPr>
          <w:rFonts w:ascii="Times New Roman" w:eastAsia="Times New Roman" w:hAnsi="Times New Roman" w:cs="Times New Roman"/>
          <w:kern w:val="0"/>
          <w14:ligatures w14:val="none"/>
        </w:rPr>
      </w:pPr>
      <w:r w:rsidRPr="00842D03">
        <w:rPr>
          <w:rFonts w:ascii="Times New Roman" w:eastAsia="Times New Roman" w:hAnsi="Times New Roman" w:cs="Times New Roman"/>
          <w:kern w:val="0"/>
          <w14:ligatures w14:val="none"/>
        </w:rPr>
        <w:t xml:space="preserve">Whittle, M. J., Castillo-Fernandez, J., Amos, G. C. A., &amp; Watson, P. (2024). Metagenomic </w:t>
      </w:r>
      <w:proofErr w:type="spellStart"/>
      <w:r w:rsidRPr="00842D03">
        <w:rPr>
          <w:rFonts w:ascii="Times New Roman" w:eastAsia="Times New Roman" w:hAnsi="Times New Roman" w:cs="Times New Roman"/>
          <w:kern w:val="0"/>
          <w14:ligatures w14:val="none"/>
        </w:rPr>
        <w:t>characterisation</w:t>
      </w:r>
      <w:proofErr w:type="spellEnd"/>
      <w:r w:rsidRPr="00842D03">
        <w:rPr>
          <w:rFonts w:ascii="Times New Roman" w:eastAsia="Times New Roman" w:hAnsi="Times New Roman" w:cs="Times New Roman"/>
          <w:kern w:val="0"/>
          <w14:ligatures w14:val="none"/>
        </w:rPr>
        <w:t xml:space="preserve"> of canine skin reveals a core healthy skin microbiome. </w:t>
      </w:r>
      <w:r w:rsidRPr="00842D03">
        <w:rPr>
          <w:rFonts w:ascii="Times New Roman" w:eastAsia="Times New Roman" w:hAnsi="Times New Roman" w:cs="Times New Roman"/>
          <w:i/>
          <w:iCs/>
          <w:kern w:val="0"/>
          <w14:ligatures w14:val="none"/>
        </w:rPr>
        <w:t>Scientific Reports, 14</w:t>
      </w:r>
      <w:r w:rsidRPr="00842D03">
        <w:rPr>
          <w:rFonts w:ascii="Times New Roman" w:eastAsia="Times New Roman" w:hAnsi="Times New Roman" w:cs="Times New Roman"/>
          <w:kern w:val="0"/>
          <w14:ligatures w14:val="none"/>
        </w:rPr>
        <w:t xml:space="preserve">, Article 20104. </w:t>
      </w:r>
      <w:hyperlink r:id="rId23" w:history="1">
        <w:r w:rsidRPr="00842D03">
          <w:rPr>
            <w:rFonts w:ascii="Times New Roman" w:eastAsia="Times New Roman" w:hAnsi="Times New Roman" w:cs="Times New Roman"/>
            <w:color w:val="0000FF"/>
            <w:kern w:val="0"/>
            <w:u w:val="single"/>
            <w14:ligatures w14:val="none"/>
          </w:rPr>
          <w:t>https://doi.org/10.1038/s41598-024-63999-5</w:t>
        </w:r>
      </w:hyperlink>
    </w:p>
    <w:p w14:paraId="67675B3F" w14:textId="508ADD6A" w:rsidR="00F0250C" w:rsidRDefault="00F0250C" w:rsidP="00842D03">
      <w:pPr>
        <w:pStyle w:val="ListParagraph"/>
        <w:spacing w:line="360" w:lineRule="auto"/>
        <w:ind w:hanging="720"/>
        <w:jc w:val="both"/>
      </w:pPr>
    </w:p>
    <w:sectPr w:rsidR="00F0250C">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6D73B" w14:textId="77777777" w:rsidR="00E15980" w:rsidRDefault="00E15980" w:rsidP="00F008BF">
      <w:pPr>
        <w:spacing w:after="0" w:line="240" w:lineRule="auto"/>
      </w:pPr>
      <w:r>
        <w:separator/>
      </w:r>
    </w:p>
  </w:endnote>
  <w:endnote w:type="continuationSeparator" w:id="0">
    <w:p w14:paraId="20898FAB" w14:textId="77777777" w:rsidR="00E15980" w:rsidRDefault="00E15980" w:rsidP="00F00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29D6" w14:textId="77777777" w:rsidR="00F008BF" w:rsidRDefault="00F008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7EE8" w14:textId="77777777" w:rsidR="00F008BF" w:rsidRDefault="00F008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9151" w14:textId="77777777" w:rsidR="00F008BF" w:rsidRDefault="00F00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6D640" w14:textId="77777777" w:rsidR="00E15980" w:rsidRDefault="00E15980" w:rsidP="00F008BF">
      <w:pPr>
        <w:spacing w:after="0" w:line="240" w:lineRule="auto"/>
      </w:pPr>
      <w:r>
        <w:separator/>
      </w:r>
    </w:p>
  </w:footnote>
  <w:footnote w:type="continuationSeparator" w:id="0">
    <w:p w14:paraId="124F31BA" w14:textId="77777777" w:rsidR="00E15980" w:rsidRDefault="00E15980" w:rsidP="00F00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B5D1A" w14:textId="77777777" w:rsidR="00F008BF" w:rsidRDefault="00000000">
    <w:pPr>
      <w:pStyle w:val="Header"/>
    </w:pPr>
    <w:r>
      <w:rPr>
        <w:noProof/>
      </w:rPr>
      <w:pict w14:anchorId="26B992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510678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6D9C" w14:textId="77777777" w:rsidR="00F008BF" w:rsidRDefault="00000000">
    <w:pPr>
      <w:pStyle w:val="Header"/>
    </w:pPr>
    <w:r>
      <w:rPr>
        <w:noProof/>
      </w:rPr>
      <w:pict w14:anchorId="772682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510678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2A8C" w14:textId="77777777" w:rsidR="00F008BF" w:rsidRDefault="00000000">
    <w:pPr>
      <w:pStyle w:val="Header"/>
    </w:pPr>
    <w:r>
      <w:rPr>
        <w:noProof/>
      </w:rPr>
      <w:pict w14:anchorId="020942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510678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D343A"/>
    <w:multiLevelType w:val="hybridMultilevel"/>
    <w:tmpl w:val="9210DF82"/>
    <w:lvl w:ilvl="0" w:tplc="270C4FB6">
      <w:start w:val="19"/>
      <w:numFmt w:val="bullet"/>
      <w:lvlText w:val=""/>
      <w:lvlJc w:val="left"/>
      <w:pPr>
        <w:ind w:left="720" w:hanging="360"/>
      </w:pPr>
      <w:rPr>
        <w:rFonts w:ascii="Symbol" w:eastAsiaTheme="minorHAnsi" w:hAnsi="Symbol" w:cs="Times New Roman"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21C78F2"/>
    <w:multiLevelType w:val="hybridMultilevel"/>
    <w:tmpl w:val="78A6D3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88328D7"/>
    <w:multiLevelType w:val="hybridMultilevel"/>
    <w:tmpl w:val="19EE2E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14542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3137202">
    <w:abstractNumId w:val="0"/>
  </w:num>
  <w:num w:numId="3" w16cid:durableId="1782256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M0MTM2tzAxMzczMjVR0lEKTi0uzszPAykwrAUAT43x8ywAAAA="/>
  </w:docVars>
  <w:rsids>
    <w:rsidRoot w:val="007F5A87"/>
    <w:rsid w:val="00033A25"/>
    <w:rsid w:val="000369CA"/>
    <w:rsid w:val="000423DB"/>
    <w:rsid w:val="000550D3"/>
    <w:rsid w:val="00084BE2"/>
    <w:rsid w:val="000C32D4"/>
    <w:rsid w:val="000F552D"/>
    <w:rsid w:val="000F6A31"/>
    <w:rsid w:val="0010389F"/>
    <w:rsid w:val="001061A1"/>
    <w:rsid w:val="00131F93"/>
    <w:rsid w:val="0015382F"/>
    <w:rsid w:val="0018480A"/>
    <w:rsid w:val="00190F62"/>
    <w:rsid w:val="001A74E8"/>
    <w:rsid w:val="001C09E9"/>
    <w:rsid w:val="001C4941"/>
    <w:rsid w:val="001C6FAF"/>
    <w:rsid w:val="001D51BA"/>
    <w:rsid w:val="001E63B3"/>
    <w:rsid w:val="00217848"/>
    <w:rsid w:val="00221B36"/>
    <w:rsid w:val="002273E4"/>
    <w:rsid w:val="00237D81"/>
    <w:rsid w:val="0024259F"/>
    <w:rsid w:val="00271897"/>
    <w:rsid w:val="002F769F"/>
    <w:rsid w:val="00300803"/>
    <w:rsid w:val="00327A6F"/>
    <w:rsid w:val="003379AA"/>
    <w:rsid w:val="00347945"/>
    <w:rsid w:val="00347F62"/>
    <w:rsid w:val="003738FF"/>
    <w:rsid w:val="003760CF"/>
    <w:rsid w:val="003A1F01"/>
    <w:rsid w:val="003A5029"/>
    <w:rsid w:val="003A515C"/>
    <w:rsid w:val="003D638F"/>
    <w:rsid w:val="003F2DAC"/>
    <w:rsid w:val="003F3385"/>
    <w:rsid w:val="00423DDA"/>
    <w:rsid w:val="00445121"/>
    <w:rsid w:val="00484BF3"/>
    <w:rsid w:val="004B477F"/>
    <w:rsid w:val="004B6390"/>
    <w:rsid w:val="004B7F64"/>
    <w:rsid w:val="004C1A99"/>
    <w:rsid w:val="004D6D20"/>
    <w:rsid w:val="004F4967"/>
    <w:rsid w:val="00514AC5"/>
    <w:rsid w:val="00524ADE"/>
    <w:rsid w:val="00536681"/>
    <w:rsid w:val="00572B2B"/>
    <w:rsid w:val="005B7D65"/>
    <w:rsid w:val="005C7593"/>
    <w:rsid w:val="00602ACA"/>
    <w:rsid w:val="00605EAF"/>
    <w:rsid w:val="006319D8"/>
    <w:rsid w:val="00647FBE"/>
    <w:rsid w:val="00666499"/>
    <w:rsid w:val="006869BE"/>
    <w:rsid w:val="00690928"/>
    <w:rsid w:val="006A1247"/>
    <w:rsid w:val="006A62CB"/>
    <w:rsid w:val="006C223B"/>
    <w:rsid w:val="006C2CDF"/>
    <w:rsid w:val="006E7985"/>
    <w:rsid w:val="006F7E26"/>
    <w:rsid w:val="007210FD"/>
    <w:rsid w:val="00736D58"/>
    <w:rsid w:val="00750EF0"/>
    <w:rsid w:val="00761EDC"/>
    <w:rsid w:val="0076336E"/>
    <w:rsid w:val="00774A7F"/>
    <w:rsid w:val="007A3EF0"/>
    <w:rsid w:val="007B6913"/>
    <w:rsid w:val="007E4B2B"/>
    <w:rsid w:val="007F2859"/>
    <w:rsid w:val="007F5A87"/>
    <w:rsid w:val="00807A38"/>
    <w:rsid w:val="00823692"/>
    <w:rsid w:val="0083150C"/>
    <w:rsid w:val="00831CFC"/>
    <w:rsid w:val="00842D03"/>
    <w:rsid w:val="008679D9"/>
    <w:rsid w:val="00886FC9"/>
    <w:rsid w:val="008D56BA"/>
    <w:rsid w:val="008E09D1"/>
    <w:rsid w:val="009071A6"/>
    <w:rsid w:val="00946D8D"/>
    <w:rsid w:val="00953330"/>
    <w:rsid w:val="00965750"/>
    <w:rsid w:val="009754B7"/>
    <w:rsid w:val="00977963"/>
    <w:rsid w:val="0099087E"/>
    <w:rsid w:val="009C1548"/>
    <w:rsid w:val="009F69C5"/>
    <w:rsid w:val="00A0060E"/>
    <w:rsid w:val="00A64E2A"/>
    <w:rsid w:val="00A74C8B"/>
    <w:rsid w:val="00AB6C71"/>
    <w:rsid w:val="00AC3740"/>
    <w:rsid w:val="00AD14EC"/>
    <w:rsid w:val="00AE2118"/>
    <w:rsid w:val="00AE2B02"/>
    <w:rsid w:val="00AF0A4C"/>
    <w:rsid w:val="00AF4A8C"/>
    <w:rsid w:val="00B04635"/>
    <w:rsid w:val="00B12EA6"/>
    <w:rsid w:val="00B130B6"/>
    <w:rsid w:val="00B27646"/>
    <w:rsid w:val="00B54111"/>
    <w:rsid w:val="00B54B4B"/>
    <w:rsid w:val="00B615DF"/>
    <w:rsid w:val="00B65D5A"/>
    <w:rsid w:val="00BA0A50"/>
    <w:rsid w:val="00BC4C0E"/>
    <w:rsid w:val="00BC6745"/>
    <w:rsid w:val="00BE1BD0"/>
    <w:rsid w:val="00C72445"/>
    <w:rsid w:val="00C93DD7"/>
    <w:rsid w:val="00C96795"/>
    <w:rsid w:val="00CB2E12"/>
    <w:rsid w:val="00CF471D"/>
    <w:rsid w:val="00D0641B"/>
    <w:rsid w:val="00D10FF2"/>
    <w:rsid w:val="00D11F1C"/>
    <w:rsid w:val="00D14BC2"/>
    <w:rsid w:val="00D214CC"/>
    <w:rsid w:val="00D30E5E"/>
    <w:rsid w:val="00D4664A"/>
    <w:rsid w:val="00D76774"/>
    <w:rsid w:val="00DA6342"/>
    <w:rsid w:val="00DB0A72"/>
    <w:rsid w:val="00DB3C4A"/>
    <w:rsid w:val="00DE693D"/>
    <w:rsid w:val="00DE6A0F"/>
    <w:rsid w:val="00DE799F"/>
    <w:rsid w:val="00DF2B03"/>
    <w:rsid w:val="00E07923"/>
    <w:rsid w:val="00E15980"/>
    <w:rsid w:val="00E25900"/>
    <w:rsid w:val="00E50C66"/>
    <w:rsid w:val="00E76ED9"/>
    <w:rsid w:val="00EA79DC"/>
    <w:rsid w:val="00EB637F"/>
    <w:rsid w:val="00ED5AD7"/>
    <w:rsid w:val="00EF7378"/>
    <w:rsid w:val="00F008BF"/>
    <w:rsid w:val="00F0250C"/>
    <w:rsid w:val="00F117E8"/>
    <w:rsid w:val="00F272AC"/>
    <w:rsid w:val="00F30FDF"/>
    <w:rsid w:val="00F442CE"/>
    <w:rsid w:val="00F56741"/>
    <w:rsid w:val="00F6582C"/>
    <w:rsid w:val="00F74A47"/>
    <w:rsid w:val="00F86B85"/>
    <w:rsid w:val="00FA46B4"/>
    <w:rsid w:val="00FD029F"/>
    <w:rsid w:val="00FE4F34"/>
    <w:rsid w:val="00FE573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8858F"/>
  <w15:chartTrackingRefBased/>
  <w15:docId w15:val="{E41EADAF-1BFF-44FC-AB26-DD06999A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A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5A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5A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5A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5A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5A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A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A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A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A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5A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5A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5A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5A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5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A87"/>
    <w:rPr>
      <w:rFonts w:eastAsiaTheme="majorEastAsia" w:cstheme="majorBidi"/>
      <w:color w:val="272727" w:themeColor="text1" w:themeTint="D8"/>
    </w:rPr>
  </w:style>
  <w:style w:type="paragraph" w:styleId="Title">
    <w:name w:val="Title"/>
    <w:basedOn w:val="Normal"/>
    <w:next w:val="Normal"/>
    <w:link w:val="TitleChar"/>
    <w:uiPriority w:val="10"/>
    <w:qFormat/>
    <w:rsid w:val="007F5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A87"/>
    <w:pPr>
      <w:spacing w:before="160"/>
      <w:jc w:val="center"/>
    </w:pPr>
    <w:rPr>
      <w:i/>
      <w:iCs/>
      <w:color w:val="404040" w:themeColor="text1" w:themeTint="BF"/>
    </w:rPr>
  </w:style>
  <w:style w:type="character" w:customStyle="1" w:styleId="QuoteChar">
    <w:name w:val="Quote Char"/>
    <w:basedOn w:val="DefaultParagraphFont"/>
    <w:link w:val="Quote"/>
    <w:uiPriority w:val="29"/>
    <w:rsid w:val="007F5A87"/>
    <w:rPr>
      <w:i/>
      <w:iCs/>
      <w:color w:val="404040" w:themeColor="text1" w:themeTint="BF"/>
    </w:rPr>
  </w:style>
  <w:style w:type="paragraph" w:styleId="ListParagraph">
    <w:name w:val="List Paragraph"/>
    <w:basedOn w:val="Normal"/>
    <w:uiPriority w:val="34"/>
    <w:qFormat/>
    <w:rsid w:val="007F5A87"/>
    <w:pPr>
      <w:ind w:left="720"/>
      <w:contextualSpacing/>
    </w:pPr>
  </w:style>
  <w:style w:type="character" w:styleId="IntenseEmphasis">
    <w:name w:val="Intense Emphasis"/>
    <w:basedOn w:val="DefaultParagraphFont"/>
    <w:uiPriority w:val="21"/>
    <w:qFormat/>
    <w:rsid w:val="007F5A87"/>
    <w:rPr>
      <w:i/>
      <w:iCs/>
      <w:color w:val="2F5496" w:themeColor="accent1" w:themeShade="BF"/>
    </w:rPr>
  </w:style>
  <w:style w:type="paragraph" w:styleId="IntenseQuote">
    <w:name w:val="Intense Quote"/>
    <w:basedOn w:val="Normal"/>
    <w:next w:val="Normal"/>
    <w:link w:val="IntenseQuoteChar"/>
    <w:uiPriority w:val="30"/>
    <w:qFormat/>
    <w:rsid w:val="007F5A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5A87"/>
    <w:rPr>
      <w:i/>
      <w:iCs/>
      <w:color w:val="2F5496" w:themeColor="accent1" w:themeShade="BF"/>
    </w:rPr>
  </w:style>
  <w:style w:type="character" w:styleId="IntenseReference">
    <w:name w:val="Intense Reference"/>
    <w:basedOn w:val="DefaultParagraphFont"/>
    <w:uiPriority w:val="32"/>
    <w:qFormat/>
    <w:rsid w:val="007F5A87"/>
    <w:rPr>
      <w:b/>
      <w:bCs/>
      <w:smallCaps/>
      <w:color w:val="2F5496" w:themeColor="accent1" w:themeShade="BF"/>
      <w:spacing w:val="5"/>
    </w:rPr>
  </w:style>
  <w:style w:type="paragraph" w:styleId="NormalWeb">
    <w:name w:val="Normal (Web)"/>
    <w:basedOn w:val="Normal"/>
    <w:uiPriority w:val="99"/>
    <w:semiHidden/>
    <w:unhideWhenUsed/>
    <w:rsid w:val="003A1F01"/>
    <w:rPr>
      <w:rFonts w:ascii="Times New Roman" w:hAnsi="Times New Roman" w:cs="Times New Roman"/>
    </w:rPr>
  </w:style>
  <w:style w:type="table" w:styleId="TableGrid">
    <w:name w:val="Table Grid"/>
    <w:basedOn w:val="TableNormal"/>
    <w:uiPriority w:val="39"/>
    <w:rsid w:val="00BA0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3150C"/>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83150C"/>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9F69C5"/>
    <w:rPr>
      <w:color w:val="0563C1" w:themeColor="hyperlink"/>
      <w:u w:val="single"/>
    </w:rPr>
  </w:style>
  <w:style w:type="character" w:styleId="UnresolvedMention">
    <w:name w:val="Unresolved Mention"/>
    <w:basedOn w:val="DefaultParagraphFont"/>
    <w:uiPriority w:val="99"/>
    <w:semiHidden/>
    <w:unhideWhenUsed/>
    <w:rsid w:val="009F69C5"/>
    <w:rPr>
      <w:color w:val="605E5C"/>
      <w:shd w:val="clear" w:color="auto" w:fill="E1DFDD"/>
    </w:rPr>
  </w:style>
  <w:style w:type="paragraph" w:styleId="Header">
    <w:name w:val="header"/>
    <w:basedOn w:val="Normal"/>
    <w:link w:val="HeaderChar"/>
    <w:uiPriority w:val="99"/>
    <w:unhideWhenUsed/>
    <w:rsid w:val="00F00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8BF"/>
  </w:style>
  <w:style w:type="paragraph" w:styleId="Footer">
    <w:name w:val="footer"/>
    <w:basedOn w:val="Normal"/>
    <w:link w:val="FooterChar"/>
    <w:uiPriority w:val="99"/>
    <w:unhideWhenUsed/>
    <w:rsid w:val="00F00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8BF"/>
  </w:style>
  <w:style w:type="paragraph" w:styleId="NoSpacing">
    <w:name w:val="No Spacing"/>
    <w:uiPriority w:val="1"/>
    <w:qFormat/>
    <w:rsid w:val="00977963"/>
    <w:pPr>
      <w:spacing w:after="0" w:line="240" w:lineRule="auto"/>
    </w:pPr>
    <w:rPr>
      <w:kern w:val="0"/>
      <w:sz w:val="22"/>
      <w:szCs w:val="22"/>
      <w:lang w:val="en-GB"/>
      <w14:ligatures w14:val="none"/>
    </w:rPr>
  </w:style>
  <w:style w:type="character" w:styleId="Strong">
    <w:name w:val="Strong"/>
    <w:basedOn w:val="DefaultParagraphFont"/>
    <w:uiPriority w:val="22"/>
    <w:qFormat/>
    <w:rsid w:val="00B276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agris.fao.org/search/ar/records/647247d553aa8c896304b629" TargetMode="External"/><Relationship Id="rId18" Type="http://schemas.openxmlformats.org/officeDocument/2006/relationships/hyperlink" Target="https://doi.org/10.1002/micr.192012021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connectjournals.com/file_html_pdf/192108H_Aug_cont.pdf" TargetMode="Externa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s://doi.org/10.5326/JAAHA-MS-7396"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9734/jabb/2025/v28i82678" TargetMode="External"/><Relationship Id="rId20" Type="http://schemas.openxmlformats.org/officeDocument/2006/relationships/hyperlink" Target="https://indianjournalofcaninepractice.com/december%202012/content/7.pdf"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indianjournalofcaninepractice.com/december%202014/content/1.pdf" TargetMode="External"/><Relationship Id="rId23" Type="http://schemas.openxmlformats.org/officeDocument/2006/relationships/hyperlink" Target="https://doi.org/10.1038/s41598-024-63999-5" TargetMode="External"/><Relationship Id="rId28" Type="http://schemas.openxmlformats.org/officeDocument/2006/relationships/header" Target="header3.xml"/><Relationship Id="rId10" Type="http://schemas.openxmlformats.org/officeDocument/2006/relationships/chart" Target="charts/chart4.xml"/><Relationship Id="rId19" Type="http://schemas.openxmlformats.org/officeDocument/2006/relationships/hyperlink" Target="https://doi.org/10.56557/joban/2026/v18i11048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doi.org/10.3390/ijms20194660" TargetMode="External"/><Relationship Id="rId22" Type="http://schemas.openxmlformats.org/officeDocument/2006/relationships/hyperlink" Target="https://doi.org/10.20546/ijcmas.2018.712.024" TargetMode="External"/><Relationship Id="rId27" Type="http://schemas.openxmlformats.org/officeDocument/2006/relationships/footer" Target="foot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E:\PRP\THESIS%20COPY\MY%20THESIS\Thesis%20compilation\Excel%20datas\Prevalance%20study%20ON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PRP\THESIS%20COPY\MY%20THESIS\Thesis%20compilation\Excel%20datas\Prevalance%20study%20ON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PRP\THESIS%20COPY\MY%20THESIS\Thesis%20compilation\Excel%20datas\Prevalance%20study%20ON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PRP\THESIS%20COPY\MY%20THESIS\Thesis%20compilation\Excel%20datas\Prevalance%20study%20ON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PRP\THESIS%20COPY\MY%20THESIS\Thesis%20compilation\Excel%20datas\Prevalance%20study%20ON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PRP\THESIS%20COPY\MY%20THESIS\Thesis%20compilation\Excel%20datas\Prevalance%20study%20OND.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29422312309971"/>
          <c:y val="0.39435436311201838"/>
          <c:w val="0.4762170941503599"/>
          <c:h val="0.59380156184180677"/>
        </c:manualLayout>
      </c:layout>
      <c:doughnutChart>
        <c:varyColors val="1"/>
        <c:ser>
          <c:idx val="0"/>
          <c:order val="0"/>
          <c:dPt>
            <c:idx val="0"/>
            <c:bubble3D val="0"/>
            <c:spPr>
              <a:solidFill>
                <a:schemeClr val="accent1">
                  <a:alpha val="70000"/>
                </a:schemeClr>
              </a:solidFill>
              <a:ln>
                <a:noFill/>
              </a:ln>
              <a:effectLst/>
            </c:spPr>
            <c:extLst>
              <c:ext xmlns:c16="http://schemas.microsoft.com/office/drawing/2014/chart" uri="{C3380CC4-5D6E-409C-BE32-E72D297353CC}">
                <c16:uniqueId val="{00000001-CBD5-4E3D-815E-7129166FD5CB}"/>
              </c:ext>
            </c:extLst>
          </c:dPt>
          <c:dPt>
            <c:idx val="1"/>
            <c:bubble3D val="0"/>
            <c:spPr>
              <a:solidFill>
                <a:schemeClr val="accent2">
                  <a:alpha val="70000"/>
                </a:schemeClr>
              </a:solidFill>
              <a:ln>
                <a:noFill/>
              </a:ln>
              <a:effectLst/>
            </c:spPr>
            <c:extLst>
              <c:ext xmlns:c16="http://schemas.microsoft.com/office/drawing/2014/chart" uri="{C3380CC4-5D6E-409C-BE32-E72D297353CC}">
                <c16:uniqueId val="{00000003-CBD5-4E3D-815E-7129166FD5CB}"/>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6="http://schemas.microsoft.com/office/drawing/2014/chart" uri="{C3380CC4-5D6E-409C-BE32-E72D297353CC}">
                  <c16:uniqueId val="{00000001-CBD5-4E3D-815E-7129166FD5CB}"/>
                </c:ext>
              </c:extLst>
            </c:dLbl>
            <c:dLbl>
              <c:idx val="1"/>
              <c:layout>
                <c:manualLayout>
                  <c:x val="-8.9116729144620016E-2"/>
                  <c:y val="-0.16612200435729849"/>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Times New Roman" panose="02020603050405020304" pitchFamily="18" charset="0"/>
                        <a:ea typeface="+mn-ea"/>
                        <a:cs typeface="Times New Roman" panose="02020603050405020304" pitchFamily="18" charset="0"/>
                      </a:defRPr>
                    </a:pPr>
                    <a:fld id="{C59023A5-9278-42DC-B9AE-325704593E3A}" type="CATEGORYNAME">
                      <a:rPr lang="en-US"/>
                      <a:pPr>
                        <a:defRPr>
                          <a:solidFill>
                            <a:schemeClr val="accent1"/>
                          </a:solidFill>
                          <a:latin typeface="Times New Roman" panose="02020603050405020304" pitchFamily="18" charset="0"/>
                          <a:cs typeface="Times New Roman" panose="02020603050405020304" pitchFamily="18" charset="0"/>
                        </a:defRPr>
                      </a:pPr>
                      <a:t>[CATEGORY NAME]</a:t>
                    </a:fld>
                    <a:r>
                      <a:rPr lang="en-US"/>
                      <a:t> </a:t>
                    </a:r>
                    <a:fld id="{4A3CB902-67D7-4653-BF1B-0E9343C94455}" type="PERCENTAGE">
                      <a:rPr lang="en-US" baseline="0"/>
                      <a:pPr>
                        <a:defRPr>
                          <a:solidFill>
                            <a:schemeClr val="accent1"/>
                          </a:solidFill>
                          <a:latin typeface="Times New Roman" panose="02020603050405020304" pitchFamily="18" charset="0"/>
                          <a:cs typeface="Times New Roman" panose="02020603050405020304" pitchFamily="18" charset="0"/>
                        </a:defRPr>
                      </a:pPr>
                      <a:t>[PERCENTAGE]</a:t>
                    </a:fld>
                    <a:endParaRPr lang="en-US"/>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34840546697038716"/>
                      <c:h val="0.14978213507625274"/>
                    </c:manualLayout>
                  </c15:layout>
                  <c15:dlblFieldTable/>
                  <c15:showDataLabelsRange val="0"/>
                </c:ext>
                <c:ext xmlns:c16="http://schemas.microsoft.com/office/drawing/2014/chart" uri="{C3380CC4-5D6E-409C-BE32-E72D297353CC}">
                  <c16:uniqueId val="{00000003-CBD5-4E3D-815E-7129166FD5CB}"/>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Sheet3!$B$17:$B$18</c:f>
              <c:strCache>
                <c:ptCount val="2"/>
                <c:pt idx="0">
                  <c:v>Other cases</c:v>
                </c:pt>
                <c:pt idx="1">
                  <c:v>Dermatology cases</c:v>
                </c:pt>
              </c:strCache>
            </c:strRef>
          </c:cat>
          <c:val>
            <c:numRef>
              <c:f>Sheet3!$C$17:$C$18</c:f>
              <c:numCache>
                <c:formatCode>General</c:formatCode>
                <c:ptCount val="2"/>
                <c:pt idx="0">
                  <c:v>10841</c:v>
                </c:pt>
                <c:pt idx="1">
                  <c:v>1011</c:v>
                </c:pt>
              </c:numCache>
            </c:numRef>
          </c:val>
          <c:extLst>
            <c:ext xmlns:c16="http://schemas.microsoft.com/office/drawing/2014/chart" uri="{C3380CC4-5D6E-409C-BE32-E72D297353CC}">
              <c16:uniqueId val="{00000004-CBD5-4E3D-815E-7129166FD5CB}"/>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Sheet3!$T$28</c:f>
              <c:strCache>
                <c:ptCount val="1"/>
                <c:pt idx="0">
                  <c:v>Number of Cases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Sheet3!$S$29:$S$41</c:f>
              <c:strCache>
                <c:ptCount val="13"/>
                <c:pt idx="0">
                  <c:v>Bacterial Dermatitis</c:v>
                </c:pt>
                <c:pt idx="1">
                  <c:v>Demodicosis</c:v>
                </c:pt>
                <c:pt idx="2">
                  <c:v>Sarcoptic mange</c:v>
                </c:pt>
                <c:pt idx="3">
                  <c:v>Flea allergy dermatitis</c:v>
                </c:pt>
                <c:pt idx="4">
                  <c:v>Contact Dermatitis</c:v>
                </c:pt>
                <c:pt idx="5">
                  <c:v>Atopic dermatitis</c:v>
                </c:pt>
                <c:pt idx="6">
                  <c:v>Dermatophytosis</c:v>
                </c:pt>
                <c:pt idx="7">
                  <c:v>Malassezia dermatitis</c:v>
                </c:pt>
                <c:pt idx="8">
                  <c:v>Lice infestation</c:v>
                </c:pt>
                <c:pt idx="9">
                  <c:v>Hormonal mediated dermatosis</c:v>
                </c:pt>
                <c:pt idx="10">
                  <c:v>Food allergy dermatitis</c:v>
                </c:pt>
                <c:pt idx="11">
                  <c:v>Pododermatitis</c:v>
                </c:pt>
                <c:pt idx="12">
                  <c:v>Acral lick dermatitis</c:v>
                </c:pt>
              </c:strCache>
            </c:strRef>
          </c:cat>
          <c:val>
            <c:numRef>
              <c:f>Sheet3!$T$29:$T$41</c:f>
              <c:numCache>
                <c:formatCode>General</c:formatCode>
                <c:ptCount val="13"/>
                <c:pt idx="0">
                  <c:v>347</c:v>
                </c:pt>
                <c:pt idx="1">
                  <c:v>137</c:v>
                </c:pt>
                <c:pt idx="2">
                  <c:v>111</c:v>
                </c:pt>
                <c:pt idx="3">
                  <c:v>84</c:v>
                </c:pt>
                <c:pt idx="4">
                  <c:v>80</c:v>
                </c:pt>
                <c:pt idx="5">
                  <c:v>58</c:v>
                </c:pt>
                <c:pt idx="6">
                  <c:v>56</c:v>
                </c:pt>
                <c:pt idx="7">
                  <c:v>53</c:v>
                </c:pt>
                <c:pt idx="8">
                  <c:v>31</c:v>
                </c:pt>
                <c:pt idx="9">
                  <c:v>19</c:v>
                </c:pt>
                <c:pt idx="10">
                  <c:v>16</c:v>
                </c:pt>
                <c:pt idx="11">
                  <c:v>15</c:v>
                </c:pt>
                <c:pt idx="12">
                  <c:v>4</c:v>
                </c:pt>
              </c:numCache>
            </c:numRef>
          </c:val>
          <c:extLst>
            <c:ext xmlns:c16="http://schemas.microsoft.com/office/drawing/2014/chart" uri="{C3380CC4-5D6E-409C-BE32-E72D297353CC}">
              <c16:uniqueId val="{00000000-0C0B-4B27-8D8E-DB2E0A3AD452}"/>
            </c:ext>
          </c:extLst>
        </c:ser>
        <c:dLbls>
          <c:dLblPos val="outEnd"/>
          <c:showLegendKey val="0"/>
          <c:showVal val="1"/>
          <c:showCatName val="0"/>
          <c:showSerName val="0"/>
          <c:showPercent val="0"/>
          <c:showBubbleSize val="0"/>
        </c:dLbls>
        <c:gapWidth val="150"/>
        <c:axId val="501755215"/>
        <c:axId val="501764335"/>
        <c:extLst>
          <c:ext xmlns:c15="http://schemas.microsoft.com/office/drawing/2012/chart" uri="{02D57815-91ED-43cb-92C2-25804820EDAC}">
            <c15:filteredBarSeries>
              <c15:ser>
                <c:idx val="1"/>
                <c:order val="1"/>
                <c:tx>
                  <c:strRef>
                    <c:extLst>
                      <c:ext uri="{02D57815-91ED-43cb-92C2-25804820EDAC}">
                        <c15:formulaRef>
                          <c15:sqref>Sheet3!$U$28</c15:sqref>
                        </c15:formulaRef>
                      </c:ext>
                    </c:extLst>
                    <c:strCache>
                      <c:ptCount val="1"/>
                      <c:pt idx="0">
                        <c:v>Percentage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Sheet3!$S$29:$S$41</c15:sqref>
                        </c15:formulaRef>
                      </c:ext>
                    </c:extLst>
                    <c:strCache>
                      <c:ptCount val="13"/>
                      <c:pt idx="0">
                        <c:v>Bacterial Dermatitis</c:v>
                      </c:pt>
                      <c:pt idx="1">
                        <c:v>Demodicosis</c:v>
                      </c:pt>
                      <c:pt idx="2">
                        <c:v>Sarcoptic mange</c:v>
                      </c:pt>
                      <c:pt idx="3">
                        <c:v>Flea allergy dermatitis</c:v>
                      </c:pt>
                      <c:pt idx="4">
                        <c:v>Contact Dermatitis</c:v>
                      </c:pt>
                      <c:pt idx="5">
                        <c:v>Atopic dermatitis</c:v>
                      </c:pt>
                      <c:pt idx="6">
                        <c:v>Dermatophytosis</c:v>
                      </c:pt>
                      <c:pt idx="7">
                        <c:v>Malassezia dermatitis</c:v>
                      </c:pt>
                      <c:pt idx="8">
                        <c:v>Lice infestation</c:v>
                      </c:pt>
                      <c:pt idx="9">
                        <c:v>Hormonal mediated dermatosis</c:v>
                      </c:pt>
                      <c:pt idx="10">
                        <c:v>Food allergy dermatitis</c:v>
                      </c:pt>
                      <c:pt idx="11">
                        <c:v>Pododermatitis</c:v>
                      </c:pt>
                      <c:pt idx="12">
                        <c:v>Acral lick dermatitis</c:v>
                      </c:pt>
                    </c:strCache>
                  </c:strRef>
                </c:cat>
                <c:val>
                  <c:numRef>
                    <c:extLst>
                      <c:ext uri="{02D57815-91ED-43cb-92C2-25804820EDAC}">
                        <c15:formulaRef>
                          <c15:sqref>Sheet3!$U$29:$U$41</c15:sqref>
                        </c15:formulaRef>
                      </c:ext>
                    </c:extLst>
                    <c:numCache>
                      <c:formatCode>General</c:formatCode>
                      <c:ptCount val="13"/>
                      <c:pt idx="0">
                        <c:v>34.32</c:v>
                      </c:pt>
                      <c:pt idx="1">
                        <c:v>13.55</c:v>
                      </c:pt>
                      <c:pt idx="2">
                        <c:v>10.98</c:v>
                      </c:pt>
                      <c:pt idx="3">
                        <c:v>8.31</c:v>
                      </c:pt>
                      <c:pt idx="4">
                        <c:v>7.91</c:v>
                      </c:pt>
                      <c:pt idx="5">
                        <c:v>5.74</c:v>
                      </c:pt>
                      <c:pt idx="6">
                        <c:v>5.54</c:v>
                      </c:pt>
                      <c:pt idx="7">
                        <c:v>5.24</c:v>
                      </c:pt>
                      <c:pt idx="8">
                        <c:v>3.07</c:v>
                      </c:pt>
                      <c:pt idx="9">
                        <c:v>1.88</c:v>
                      </c:pt>
                      <c:pt idx="10">
                        <c:v>1.58</c:v>
                      </c:pt>
                      <c:pt idx="11">
                        <c:v>1.48</c:v>
                      </c:pt>
                      <c:pt idx="12">
                        <c:v>0.4</c:v>
                      </c:pt>
                    </c:numCache>
                  </c:numRef>
                </c:val>
                <c:extLst>
                  <c:ext xmlns:c16="http://schemas.microsoft.com/office/drawing/2014/chart" uri="{C3380CC4-5D6E-409C-BE32-E72D297353CC}">
                    <c16:uniqueId val="{00000001-0C0B-4B27-8D8E-DB2E0A3AD452}"/>
                  </c:ext>
                </c:extLst>
              </c15:ser>
            </c15:filteredBarSeries>
          </c:ext>
        </c:extLst>
      </c:barChart>
      <c:catAx>
        <c:axId val="501755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1764335"/>
        <c:crosses val="autoZero"/>
        <c:auto val="1"/>
        <c:lblAlgn val="ctr"/>
        <c:lblOffset val="100"/>
        <c:noMultiLvlLbl val="0"/>
      </c:catAx>
      <c:valAx>
        <c:axId val="501764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17552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Sheet3!$N$7</c:f>
              <c:strCache>
                <c:ptCount val="1"/>
                <c:pt idx="0">
                  <c:v>No. of cases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Sheet3!$M$8:$M$13</c:f>
              <c:strCache>
                <c:ptCount val="6"/>
                <c:pt idx="0">
                  <c:v>&lt;1yr</c:v>
                </c:pt>
                <c:pt idx="1">
                  <c:v>1-2 yr</c:v>
                </c:pt>
                <c:pt idx="2">
                  <c:v>2-4yr</c:v>
                </c:pt>
                <c:pt idx="3">
                  <c:v>4-6yr</c:v>
                </c:pt>
                <c:pt idx="4">
                  <c:v>6-8yr</c:v>
                </c:pt>
                <c:pt idx="5">
                  <c:v>&gt; 8 yr</c:v>
                </c:pt>
              </c:strCache>
            </c:strRef>
          </c:cat>
          <c:val>
            <c:numRef>
              <c:f>Sheet3!$N$8:$N$13</c:f>
              <c:numCache>
                <c:formatCode>General</c:formatCode>
                <c:ptCount val="6"/>
                <c:pt idx="0">
                  <c:v>348</c:v>
                </c:pt>
                <c:pt idx="1">
                  <c:v>195</c:v>
                </c:pt>
                <c:pt idx="2">
                  <c:v>212</c:v>
                </c:pt>
                <c:pt idx="3">
                  <c:v>129</c:v>
                </c:pt>
                <c:pt idx="4">
                  <c:v>72</c:v>
                </c:pt>
                <c:pt idx="5">
                  <c:v>55</c:v>
                </c:pt>
              </c:numCache>
            </c:numRef>
          </c:val>
          <c:extLst>
            <c:ext xmlns:c16="http://schemas.microsoft.com/office/drawing/2014/chart" uri="{C3380CC4-5D6E-409C-BE32-E72D297353CC}">
              <c16:uniqueId val="{00000000-2DA5-4CA5-9CDC-99E7CFAE1926}"/>
            </c:ext>
          </c:extLst>
        </c:ser>
        <c:dLbls>
          <c:dLblPos val="outEnd"/>
          <c:showLegendKey val="0"/>
          <c:showVal val="1"/>
          <c:showCatName val="0"/>
          <c:showSerName val="0"/>
          <c:showPercent val="0"/>
          <c:showBubbleSize val="0"/>
        </c:dLbls>
        <c:gapWidth val="219"/>
        <c:overlap val="-27"/>
        <c:axId val="1368019791"/>
        <c:axId val="1368021231"/>
        <c:extLst>
          <c:ext xmlns:c15="http://schemas.microsoft.com/office/drawing/2012/chart" uri="{02D57815-91ED-43cb-92C2-25804820EDAC}">
            <c15:filteredBarSeries>
              <c15:ser>
                <c:idx val="1"/>
                <c:order val="1"/>
                <c:tx>
                  <c:strRef>
                    <c:extLst>
                      <c:ext uri="{02D57815-91ED-43cb-92C2-25804820EDAC}">
                        <c15:formulaRef>
                          <c15:sqref>Sheet3!$O$7</c15:sqref>
                        </c15:formulaRef>
                      </c:ext>
                    </c:extLst>
                    <c:strCache>
                      <c:ptCount val="1"/>
                      <c:pt idx="0">
                        <c:v>Percentage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Sheet3!$M$8:$M$13</c15:sqref>
                        </c15:formulaRef>
                      </c:ext>
                    </c:extLst>
                    <c:strCache>
                      <c:ptCount val="6"/>
                      <c:pt idx="0">
                        <c:v>&lt;1yr</c:v>
                      </c:pt>
                      <c:pt idx="1">
                        <c:v>1-2 yr</c:v>
                      </c:pt>
                      <c:pt idx="2">
                        <c:v>2-4yr</c:v>
                      </c:pt>
                      <c:pt idx="3">
                        <c:v>4-6yr</c:v>
                      </c:pt>
                      <c:pt idx="4">
                        <c:v>6-8yr</c:v>
                      </c:pt>
                      <c:pt idx="5">
                        <c:v>&gt; 8 yr</c:v>
                      </c:pt>
                    </c:strCache>
                  </c:strRef>
                </c:cat>
                <c:val>
                  <c:numRef>
                    <c:extLst>
                      <c:ext uri="{02D57815-91ED-43cb-92C2-25804820EDAC}">
                        <c15:formulaRef>
                          <c15:sqref>Sheet3!$O$8:$O$13</c15:sqref>
                        </c15:formulaRef>
                      </c:ext>
                    </c:extLst>
                    <c:numCache>
                      <c:formatCode>General</c:formatCode>
                      <c:ptCount val="6"/>
                      <c:pt idx="0">
                        <c:v>34.421364985163208</c:v>
                      </c:pt>
                      <c:pt idx="1">
                        <c:v>19.287833827893174</c:v>
                      </c:pt>
                      <c:pt idx="2">
                        <c:v>20.969337289812067</c:v>
                      </c:pt>
                      <c:pt idx="3">
                        <c:v>12.759643916913946</c:v>
                      </c:pt>
                      <c:pt idx="4">
                        <c:v>7.1216617210682491</c:v>
                      </c:pt>
                      <c:pt idx="5">
                        <c:v>5.4401582591493574</c:v>
                      </c:pt>
                    </c:numCache>
                  </c:numRef>
                </c:val>
                <c:extLst>
                  <c:ext xmlns:c16="http://schemas.microsoft.com/office/drawing/2014/chart" uri="{C3380CC4-5D6E-409C-BE32-E72D297353CC}">
                    <c16:uniqueId val="{00000001-2DA5-4CA5-9CDC-99E7CFAE1926}"/>
                  </c:ext>
                </c:extLst>
              </c15:ser>
            </c15:filteredBarSeries>
          </c:ext>
        </c:extLst>
      </c:barChart>
      <c:catAx>
        <c:axId val="136801979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Age</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68021231"/>
        <c:crosses val="autoZero"/>
        <c:auto val="1"/>
        <c:lblAlgn val="ctr"/>
        <c:lblOffset val="100"/>
        <c:noMultiLvlLbl val="0"/>
      </c:catAx>
      <c:valAx>
        <c:axId val="13680212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No</a:t>
                </a:r>
                <a:r>
                  <a:rPr lang="en-US" b="1" baseline="0">
                    <a:latin typeface="Times New Roman" panose="02020603050405020304" pitchFamily="18" charset="0"/>
                    <a:cs typeface="Times New Roman" panose="02020603050405020304" pitchFamily="18" charset="0"/>
                  </a:rPr>
                  <a:t> of Cases</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680197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1"/>
          <c:order val="1"/>
          <c:tx>
            <c:strRef>
              <c:f>Sheet3!$S$19</c:f>
              <c:strCache>
                <c:ptCount val="1"/>
                <c:pt idx="0">
                  <c:v>Percentage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3D4-4DE3-BD63-4DA38DF93A1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3D4-4DE3-BD63-4DA38DF93A1D}"/>
              </c:ext>
            </c:extLst>
          </c:dPt>
          <c:dLbls>
            <c:dLbl>
              <c:idx val="0"/>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3D4-4DE3-BD63-4DA38DF93A1D}"/>
                </c:ext>
              </c:extLst>
            </c:dLbl>
            <c:dLbl>
              <c:idx val="1"/>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3D4-4DE3-BD63-4DA38DF93A1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Sheet3!$Q$20:$Q$21</c:f>
              <c:strCache>
                <c:ptCount val="2"/>
                <c:pt idx="0">
                  <c:v>M</c:v>
                </c:pt>
                <c:pt idx="1">
                  <c:v>F</c:v>
                </c:pt>
              </c:strCache>
            </c:strRef>
          </c:cat>
          <c:val>
            <c:numRef>
              <c:f>Sheet3!$S$20:$S$21</c:f>
              <c:numCache>
                <c:formatCode>General</c:formatCode>
                <c:ptCount val="2"/>
                <c:pt idx="0">
                  <c:v>68.941641938674579</c:v>
                </c:pt>
                <c:pt idx="1">
                  <c:v>31.058358061325421</c:v>
                </c:pt>
              </c:numCache>
            </c:numRef>
          </c:val>
          <c:extLst>
            <c:ext xmlns:c16="http://schemas.microsoft.com/office/drawing/2014/chart" uri="{C3380CC4-5D6E-409C-BE32-E72D297353CC}">
              <c16:uniqueId val="{00000004-73D4-4DE3-BD63-4DA38DF93A1D}"/>
            </c:ext>
          </c:extLst>
        </c:ser>
        <c:dLbls>
          <c:dLblPos val="ctr"/>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Sheet3!$R$19</c15:sqref>
                        </c15:formulaRef>
                      </c:ext>
                    </c:extLst>
                    <c:strCache>
                      <c:ptCount val="1"/>
                      <c:pt idx="0">
                        <c:v>No. of cases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73D4-4DE3-BD63-4DA38DF93A1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73D4-4DE3-BD63-4DA38DF93A1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Sheet3!$Q$20:$Q$21</c15:sqref>
                        </c15:formulaRef>
                      </c:ext>
                    </c:extLst>
                    <c:strCache>
                      <c:ptCount val="2"/>
                      <c:pt idx="0">
                        <c:v>M</c:v>
                      </c:pt>
                      <c:pt idx="1">
                        <c:v>F</c:v>
                      </c:pt>
                    </c:strCache>
                  </c:strRef>
                </c:cat>
                <c:val>
                  <c:numRef>
                    <c:extLst>
                      <c:ext uri="{02D57815-91ED-43cb-92C2-25804820EDAC}">
                        <c15:formulaRef>
                          <c15:sqref>Sheet3!$R$20:$R$21</c15:sqref>
                        </c15:formulaRef>
                      </c:ext>
                    </c:extLst>
                    <c:numCache>
                      <c:formatCode>General</c:formatCode>
                      <c:ptCount val="2"/>
                      <c:pt idx="0">
                        <c:v>697</c:v>
                      </c:pt>
                      <c:pt idx="1">
                        <c:v>314</c:v>
                      </c:pt>
                    </c:numCache>
                  </c:numRef>
                </c:val>
                <c:extLst>
                  <c:ext xmlns:c16="http://schemas.microsoft.com/office/drawing/2014/chart" uri="{C3380CC4-5D6E-409C-BE32-E72D297353CC}">
                    <c16:uniqueId val="{00000009-73D4-4DE3-BD63-4DA38DF93A1D}"/>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tx>
            <c:strRef>
              <c:f>Sheet3!$R$55</c:f>
              <c:strCache>
                <c:ptCount val="1"/>
                <c:pt idx="0">
                  <c:v>Percentage (%)</c:v>
                </c:pt>
              </c:strCache>
            </c:strRef>
          </c:tx>
          <c:spPr>
            <a:solidFill>
              <a:srgbClr val="002060"/>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Sheet3!$P$56:$P$79</c:f>
              <c:strCache>
                <c:ptCount val="24"/>
                <c:pt idx="0">
                  <c:v>Mongrel</c:v>
                </c:pt>
                <c:pt idx="1">
                  <c:v>Labrador Retriever</c:v>
                </c:pt>
                <c:pt idx="2">
                  <c:v>German Spitz</c:v>
                </c:pt>
                <c:pt idx="3">
                  <c:v>German Shepherd Dog (GSD)</c:v>
                </c:pt>
                <c:pt idx="4">
                  <c:v>Chippiparai</c:v>
                </c:pt>
                <c:pt idx="5">
                  <c:v>Doberman Pinscher</c:v>
                </c:pt>
                <c:pt idx="6">
                  <c:v>Kanni</c:v>
                </c:pt>
                <c:pt idx="7">
                  <c:v>Pug</c:v>
                </c:pt>
                <c:pt idx="8">
                  <c:v>Shih Tzu</c:v>
                </c:pt>
                <c:pt idx="9">
                  <c:v>Great Dane</c:v>
                </c:pt>
                <c:pt idx="10">
                  <c:v>Pomeranian</c:v>
                </c:pt>
                <c:pt idx="11">
                  <c:v>Rajapalayam</c:v>
                </c:pt>
                <c:pt idx="12">
                  <c:v>Beagle</c:v>
                </c:pt>
                <c:pt idx="13">
                  <c:v>Dachshund</c:v>
                </c:pt>
                <c:pt idx="14">
                  <c:v>Rottweiler</c:v>
                </c:pt>
                <c:pt idx="15">
                  <c:v>Bully Kutta</c:v>
                </c:pt>
                <c:pt idx="16">
                  <c:v>Golden Retriever</c:v>
                </c:pt>
                <c:pt idx="17">
                  <c:v>Kombai</c:v>
                </c:pt>
                <c:pt idx="18">
                  <c:v>American Pit Bull Terrier</c:v>
                </c:pt>
                <c:pt idx="19">
                  <c:v>Dalmatian</c:v>
                </c:pt>
                <c:pt idx="20">
                  <c:v>Siberian Husky Cross</c:v>
                </c:pt>
                <c:pt idx="21">
                  <c:v>Chow Chow</c:v>
                </c:pt>
                <c:pt idx="22">
                  <c:v>Lhasa Apso</c:v>
                </c:pt>
                <c:pt idx="23">
                  <c:v>Terrier</c:v>
                </c:pt>
              </c:strCache>
            </c:strRef>
          </c:cat>
          <c:val>
            <c:numRef>
              <c:f>Sheet3!$R$56:$R$79</c:f>
              <c:numCache>
                <c:formatCode>0.00%</c:formatCode>
                <c:ptCount val="24"/>
                <c:pt idx="0">
                  <c:v>0.50939999999999996</c:v>
                </c:pt>
                <c:pt idx="1">
                  <c:v>0.1207</c:v>
                </c:pt>
                <c:pt idx="2">
                  <c:v>7.9100000000000004E-2</c:v>
                </c:pt>
                <c:pt idx="3">
                  <c:v>7.1199999999999999E-2</c:v>
                </c:pt>
                <c:pt idx="4">
                  <c:v>3.7600000000000001E-2</c:v>
                </c:pt>
                <c:pt idx="5">
                  <c:v>2.6700000000000002E-2</c:v>
                </c:pt>
                <c:pt idx="6">
                  <c:v>2.3699999999999999E-2</c:v>
                </c:pt>
                <c:pt idx="7">
                  <c:v>1.6799999999999999E-2</c:v>
                </c:pt>
                <c:pt idx="8">
                  <c:v>1.38E-2</c:v>
                </c:pt>
                <c:pt idx="9">
                  <c:v>1.29E-2</c:v>
                </c:pt>
                <c:pt idx="10">
                  <c:v>1.29E-2</c:v>
                </c:pt>
                <c:pt idx="11">
                  <c:v>1.29E-2</c:v>
                </c:pt>
                <c:pt idx="12">
                  <c:v>9.9000000000000008E-3</c:v>
                </c:pt>
                <c:pt idx="13">
                  <c:v>9.9000000000000008E-3</c:v>
                </c:pt>
                <c:pt idx="14">
                  <c:v>8.8999999999999999E-3</c:v>
                </c:pt>
                <c:pt idx="15">
                  <c:v>6.8999999999999999E-3</c:v>
                </c:pt>
                <c:pt idx="16">
                  <c:v>5.8999999999999999E-3</c:v>
                </c:pt>
                <c:pt idx="17">
                  <c:v>4.8999999999999998E-3</c:v>
                </c:pt>
                <c:pt idx="18">
                  <c:v>4.0000000000000001E-3</c:v>
                </c:pt>
                <c:pt idx="19">
                  <c:v>4.0000000000000001E-3</c:v>
                </c:pt>
                <c:pt idx="20">
                  <c:v>3.0000000000000001E-3</c:v>
                </c:pt>
                <c:pt idx="21">
                  <c:v>2E-3</c:v>
                </c:pt>
                <c:pt idx="22">
                  <c:v>2E-3</c:v>
                </c:pt>
                <c:pt idx="23">
                  <c:v>2E-3</c:v>
                </c:pt>
              </c:numCache>
            </c:numRef>
          </c:val>
          <c:extLst>
            <c:ext xmlns:c16="http://schemas.microsoft.com/office/drawing/2014/chart" uri="{C3380CC4-5D6E-409C-BE32-E72D297353CC}">
              <c16:uniqueId val="{00000000-23AE-49AA-ABCF-6E1EC940B2ED}"/>
            </c:ext>
          </c:extLst>
        </c:ser>
        <c:dLbls>
          <c:showLegendKey val="0"/>
          <c:showVal val="0"/>
          <c:showCatName val="0"/>
          <c:showSerName val="0"/>
          <c:showPercent val="0"/>
          <c:showBubbleSize val="0"/>
        </c:dLbls>
        <c:gapWidth val="182"/>
        <c:axId val="209416703"/>
        <c:axId val="209407103"/>
        <c:extLst>
          <c:ext xmlns:c15="http://schemas.microsoft.com/office/drawing/2012/chart" uri="{02D57815-91ED-43cb-92C2-25804820EDAC}">
            <c15:filteredBarSeries>
              <c15:ser>
                <c:idx val="0"/>
                <c:order val="0"/>
                <c:tx>
                  <c:strRef>
                    <c:extLst>
                      <c:ext uri="{02D57815-91ED-43cb-92C2-25804820EDAC}">
                        <c15:formulaRef>
                          <c15:sqref>Sheet3!$Q$55</c15:sqref>
                        </c15:formulaRef>
                      </c:ext>
                    </c:extLst>
                    <c:strCache>
                      <c:ptCount val="1"/>
                      <c:pt idx="0">
                        <c:v>No. of Cases</c:v>
                      </c:pt>
                    </c:strCache>
                  </c:strRef>
                </c:tx>
                <c:spPr>
                  <a:solidFill>
                    <a:schemeClr val="accent1"/>
                  </a:solidFill>
                  <a:ln>
                    <a:noFill/>
                  </a:ln>
                  <a:effectLst/>
                </c:spPr>
                <c:invertIfNegative val="0"/>
                <c:cat>
                  <c:strRef>
                    <c:extLst>
                      <c:ext uri="{02D57815-91ED-43cb-92C2-25804820EDAC}">
                        <c15:formulaRef>
                          <c15:sqref>Sheet3!$P$56:$P$79</c15:sqref>
                        </c15:formulaRef>
                      </c:ext>
                    </c:extLst>
                    <c:strCache>
                      <c:ptCount val="24"/>
                      <c:pt idx="0">
                        <c:v>Mongrel</c:v>
                      </c:pt>
                      <c:pt idx="1">
                        <c:v>Labrador Retriever</c:v>
                      </c:pt>
                      <c:pt idx="2">
                        <c:v>German Spitz</c:v>
                      </c:pt>
                      <c:pt idx="3">
                        <c:v>German Shepherd Dog (GSD)</c:v>
                      </c:pt>
                      <c:pt idx="4">
                        <c:v>Chippiparai</c:v>
                      </c:pt>
                      <c:pt idx="5">
                        <c:v>Doberman Pinscher</c:v>
                      </c:pt>
                      <c:pt idx="6">
                        <c:v>Kanni</c:v>
                      </c:pt>
                      <c:pt idx="7">
                        <c:v>Pug</c:v>
                      </c:pt>
                      <c:pt idx="8">
                        <c:v>Shih Tzu</c:v>
                      </c:pt>
                      <c:pt idx="9">
                        <c:v>Great Dane</c:v>
                      </c:pt>
                      <c:pt idx="10">
                        <c:v>Pomeranian</c:v>
                      </c:pt>
                      <c:pt idx="11">
                        <c:v>Rajapalayam</c:v>
                      </c:pt>
                      <c:pt idx="12">
                        <c:v>Beagle</c:v>
                      </c:pt>
                      <c:pt idx="13">
                        <c:v>Dachshund</c:v>
                      </c:pt>
                      <c:pt idx="14">
                        <c:v>Rottweiler</c:v>
                      </c:pt>
                      <c:pt idx="15">
                        <c:v>Bully Kutta</c:v>
                      </c:pt>
                      <c:pt idx="16">
                        <c:v>Golden Retriever</c:v>
                      </c:pt>
                      <c:pt idx="17">
                        <c:v>Kombai</c:v>
                      </c:pt>
                      <c:pt idx="18">
                        <c:v>American Pit Bull Terrier</c:v>
                      </c:pt>
                      <c:pt idx="19">
                        <c:v>Dalmatian</c:v>
                      </c:pt>
                      <c:pt idx="20">
                        <c:v>Siberian Husky Cross</c:v>
                      </c:pt>
                      <c:pt idx="21">
                        <c:v>Chow Chow</c:v>
                      </c:pt>
                      <c:pt idx="22">
                        <c:v>Lhasa Apso</c:v>
                      </c:pt>
                      <c:pt idx="23">
                        <c:v>Terrier</c:v>
                      </c:pt>
                    </c:strCache>
                  </c:strRef>
                </c:cat>
                <c:val>
                  <c:numRef>
                    <c:extLst>
                      <c:ext uri="{02D57815-91ED-43cb-92C2-25804820EDAC}">
                        <c15:formulaRef>
                          <c15:sqref>Sheet3!$Q$56:$Q$79</c15:sqref>
                        </c15:formulaRef>
                      </c:ext>
                    </c:extLst>
                    <c:numCache>
                      <c:formatCode>General</c:formatCode>
                      <c:ptCount val="24"/>
                      <c:pt idx="0">
                        <c:v>515</c:v>
                      </c:pt>
                      <c:pt idx="1">
                        <c:v>122</c:v>
                      </c:pt>
                      <c:pt idx="2">
                        <c:v>80</c:v>
                      </c:pt>
                      <c:pt idx="3">
                        <c:v>72</c:v>
                      </c:pt>
                      <c:pt idx="4">
                        <c:v>38</c:v>
                      </c:pt>
                      <c:pt idx="5">
                        <c:v>27</c:v>
                      </c:pt>
                      <c:pt idx="6">
                        <c:v>24</c:v>
                      </c:pt>
                      <c:pt idx="7">
                        <c:v>17</c:v>
                      </c:pt>
                      <c:pt idx="8">
                        <c:v>14</c:v>
                      </c:pt>
                      <c:pt idx="9">
                        <c:v>13</c:v>
                      </c:pt>
                      <c:pt idx="10">
                        <c:v>13</c:v>
                      </c:pt>
                      <c:pt idx="11">
                        <c:v>13</c:v>
                      </c:pt>
                      <c:pt idx="12">
                        <c:v>10</c:v>
                      </c:pt>
                      <c:pt idx="13">
                        <c:v>10</c:v>
                      </c:pt>
                      <c:pt idx="14">
                        <c:v>9</c:v>
                      </c:pt>
                      <c:pt idx="15">
                        <c:v>7</c:v>
                      </c:pt>
                      <c:pt idx="16">
                        <c:v>6</c:v>
                      </c:pt>
                      <c:pt idx="17">
                        <c:v>5</c:v>
                      </c:pt>
                      <c:pt idx="18">
                        <c:v>4</c:v>
                      </c:pt>
                      <c:pt idx="19">
                        <c:v>4</c:v>
                      </c:pt>
                      <c:pt idx="20">
                        <c:v>3</c:v>
                      </c:pt>
                      <c:pt idx="21">
                        <c:v>2</c:v>
                      </c:pt>
                      <c:pt idx="22">
                        <c:v>2</c:v>
                      </c:pt>
                      <c:pt idx="23">
                        <c:v>2</c:v>
                      </c:pt>
                    </c:numCache>
                  </c:numRef>
                </c:val>
                <c:extLst>
                  <c:ext xmlns:c16="http://schemas.microsoft.com/office/drawing/2014/chart" uri="{C3380CC4-5D6E-409C-BE32-E72D297353CC}">
                    <c16:uniqueId val="{00000001-23AE-49AA-ABCF-6E1EC940B2ED}"/>
                  </c:ext>
                </c:extLst>
              </c15:ser>
            </c15:filteredBarSeries>
          </c:ext>
        </c:extLst>
      </c:barChart>
      <c:catAx>
        <c:axId val="2094167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07103"/>
        <c:crosses val="autoZero"/>
        <c:auto val="1"/>
        <c:lblAlgn val="ctr"/>
        <c:lblOffset val="100"/>
        <c:noMultiLvlLbl val="0"/>
      </c:catAx>
      <c:valAx>
        <c:axId val="20940710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1670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Sheet3!$C$7</c:f>
              <c:strCache>
                <c:ptCount val="1"/>
                <c:pt idx="0">
                  <c:v>No. of cases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7C5A-4F11-97A8-C619F623CC6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7C5A-4F11-97A8-C619F623CC6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7C5A-4F11-97A8-C619F623CC6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7C5A-4F11-97A8-C619F623CC6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Sheet3!$B$8:$B$11</c:f>
              <c:strCache>
                <c:ptCount val="4"/>
                <c:pt idx="0">
                  <c:v>Winter</c:v>
                </c:pt>
                <c:pt idx="1">
                  <c:v>Summer</c:v>
                </c:pt>
                <c:pt idx="2">
                  <c:v>Southwest Monsoon</c:v>
                </c:pt>
                <c:pt idx="3">
                  <c:v>Northeast Monsoon</c:v>
                </c:pt>
              </c:strCache>
              <c:extLst/>
            </c:strRef>
          </c:cat>
          <c:val>
            <c:numRef>
              <c:f>Sheet3!$C$8:$C$11</c:f>
              <c:numCache>
                <c:formatCode>General</c:formatCode>
                <c:ptCount val="4"/>
                <c:pt idx="0">
                  <c:v>171</c:v>
                </c:pt>
                <c:pt idx="1">
                  <c:v>268</c:v>
                </c:pt>
                <c:pt idx="2">
                  <c:v>316</c:v>
                </c:pt>
                <c:pt idx="3">
                  <c:v>256</c:v>
                </c:pt>
              </c:numCache>
              <c:extLst/>
            </c:numRef>
          </c:val>
          <c:extLst>
            <c:ext xmlns:c16="http://schemas.microsoft.com/office/drawing/2014/chart" uri="{C3380CC4-5D6E-409C-BE32-E72D297353CC}">
              <c16:uniqueId val="{00000008-7C5A-4F11-97A8-C619F623CC69}"/>
            </c:ext>
          </c:extLst>
        </c:ser>
        <c:dLbls>
          <c:dLblPos val="outEnd"/>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Sheet3!$D$7</c15:sqref>
                        </c15:formulaRef>
                      </c:ext>
                    </c:extLst>
                    <c:strCache>
                      <c:ptCount val="1"/>
                      <c:pt idx="0">
                        <c:v>Percentage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7C5A-4F11-97A8-C619F623CC6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7C5A-4F11-97A8-C619F623CC6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E-7C5A-4F11-97A8-C619F623CC6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0-7C5A-4F11-97A8-C619F623CC6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Sheet3!$B$8:$B$11</c15:sqref>
                        </c15:formulaRef>
                      </c:ext>
                    </c:extLst>
                    <c:strCache>
                      <c:ptCount val="4"/>
                      <c:pt idx="0">
                        <c:v>Winter</c:v>
                      </c:pt>
                      <c:pt idx="1">
                        <c:v>Summer</c:v>
                      </c:pt>
                      <c:pt idx="2">
                        <c:v>Southwest Monsoon</c:v>
                      </c:pt>
                      <c:pt idx="3">
                        <c:v>Northeast Monsoon</c:v>
                      </c:pt>
                    </c:strCache>
                  </c:strRef>
                </c:cat>
                <c:val>
                  <c:numRef>
                    <c:extLst>
                      <c:ext uri="{02D57815-91ED-43cb-92C2-25804820EDAC}">
                        <c15:formulaRef>
                          <c15:sqref>Sheet3!$D$8:$D$11</c15:sqref>
                        </c15:formulaRef>
                      </c:ext>
                    </c:extLst>
                    <c:numCache>
                      <c:formatCode>General</c:formatCode>
                      <c:ptCount val="4"/>
                      <c:pt idx="0">
                        <c:v>16.913946587537094</c:v>
                      </c:pt>
                      <c:pt idx="1">
                        <c:v>26.508407517309596</c:v>
                      </c:pt>
                      <c:pt idx="2">
                        <c:v>31.256181998021759</c:v>
                      </c:pt>
                      <c:pt idx="3">
                        <c:v>25.321463897131551</c:v>
                      </c:pt>
                    </c:numCache>
                  </c:numRef>
                </c:val>
                <c:extLst>
                  <c:ext xmlns:c16="http://schemas.microsoft.com/office/drawing/2014/chart" uri="{C3380CC4-5D6E-409C-BE32-E72D297353CC}">
                    <c16:uniqueId val="{00000011-7C5A-4F11-97A8-C619F623CC69}"/>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3722</Words>
  <Characters>21221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vijaysvs003@gmail.com</dc:creator>
  <cp:keywords/>
  <dc:description/>
  <cp:lastModifiedBy>Editor-90</cp:lastModifiedBy>
  <cp:revision>35</cp:revision>
  <dcterms:created xsi:type="dcterms:W3CDTF">2026-06-15T09:39:00Z</dcterms:created>
  <dcterms:modified xsi:type="dcterms:W3CDTF">2026-06-27T09:27:00Z</dcterms:modified>
</cp:coreProperties>
</file>