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474A" w14:textId="77777777" w:rsidR="00BB1673" w:rsidRPr="00E36C2A" w:rsidRDefault="00BB1673" w:rsidP="00E36C2A">
      <w:pPr>
        <w:spacing w:before="100" w:beforeAutospacing="1" w:after="100" w:afterAutospacing="1" w:line="240" w:lineRule="auto"/>
        <w:jc w:val="both"/>
        <w:outlineLvl w:val="1"/>
        <w:rPr>
          <w:rFonts w:ascii="Times New Roman" w:eastAsia="Times New Roman" w:hAnsi="Times New Roman" w:cs="Times New Roman"/>
          <w:b/>
          <w:bCs/>
          <w:sz w:val="32"/>
          <w:szCs w:val="32"/>
          <w:lang w:eastAsia="en-GB"/>
        </w:rPr>
      </w:pPr>
      <w:r w:rsidRPr="00E36C2A">
        <w:rPr>
          <w:rFonts w:ascii="Times New Roman" w:eastAsia="Times New Roman" w:hAnsi="Times New Roman" w:cs="Times New Roman"/>
          <w:b/>
          <w:bCs/>
          <w:sz w:val="32"/>
          <w:szCs w:val="32"/>
          <w:lang w:eastAsia="en-GB"/>
        </w:rPr>
        <w:t xml:space="preserve">Exploring the Role of Probiotics Inhabiting the </w:t>
      </w:r>
      <w:r w:rsidRPr="00E36C2A">
        <w:rPr>
          <w:rFonts w:ascii="Times New Roman" w:eastAsia="Times New Roman" w:hAnsi="Times New Roman" w:cs="Times New Roman"/>
          <w:b/>
          <w:bCs/>
          <w:i/>
          <w:iCs/>
          <w:sz w:val="32"/>
          <w:szCs w:val="32"/>
          <w:lang w:eastAsia="en-GB"/>
        </w:rPr>
        <w:t>Apis mellifera</w:t>
      </w:r>
      <w:r w:rsidRPr="00E36C2A">
        <w:rPr>
          <w:rFonts w:ascii="Times New Roman" w:eastAsia="Times New Roman" w:hAnsi="Times New Roman" w:cs="Times New Roman"/>
          <w:b/>
          <w:bCs/>
          <w:sz w:val="32"/>
          <w:szCs w:val="32"/>
          <w:lang w:eastAsia="en-GB"/>
        </w:rPr>
        <w:t xml:space="preserve"> Gut as Inherent Antibiotics and a Boon for Human Welfare</w:t>
      </w:r>
    </w:p>
    <w:p w14:paraId="741BC5AF"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Abstract</w:t>
      </w:r>
    </w:p>
    <w:p w14:paraId="687BC8AD"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gut of the Western honeybee,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harbours a compact and highly conserved bacterial community that performs functions extending well beyond digestion. Core symbionts such as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clusters, and </w:t>
      </w:r>
      <w:r w:rsidRPr="00BB1673">
        <w:rPr>
          <w:rFonts w:ascii="Times New Roman" w:eastAsia="Times New Roman" w:hAnsi="Times New Roman" w:cs="Times New Roman"/>
          <w:i/>
          <w:iCs/>
          <w:sz w:val="24"/>
          <w:szCs w:val="24"/>
          <w:lang w:eastAsia="en-GB"/>
        </w:rPr>
        <w:t xml:space="preserve">Bifidobacterium </w:t>
      </w:r>
      <w:proofErr w:type="spellStart"/>
      <w:r w:rsidRPr="00BB1673">
        <w:rPr>
          <w:rFonts w:ascii="Times New Roman" w:eastAsia="Times New Roman" w:hAnsi="Times New Roman" w:cs="Times New Roman"/>
          <w:i/>
          <w:iCs/>
          <w:sz w:val="24"/>
          <w:szCs w:val="24"/>
          <w:lang w:eastAsia="en-GB"/>
        </w:rPr>
        <w:t>asteroides</w:t>
      </w:r>
      <w:proofErr w:type="spellEnd"/>
      <w:r w:rsidRPr="00BB1673">
        <w:rPr>
          <w:rFonts w:ascii="Times New Roman" w:eastAsia="Times New Roman" w:hAnsi="Times New Roman" w:cs="Times New Roman"/>
          <w:sz w:val="24"/>
          <w:szCs w:val="24"/>
          <w:lang w:eastAsia="en-GB"/>
        </w:rPr>
        <w:t xml:space="preserve"> produce organic acids, bacteriocins, exopolysaccharides and other metabolites that suppress bee pathogens and stimulate host antimicrobial peptide expression. These properties place the bee gut microbiota within a broader category of naturally occurring antimicrobial systems, and they have prompted growing interest in whether such organisms, or the hive products they help create, might offer practical value for human health in an era of accelerating antimicrobial resistance. This review draws together evidence on the composition and antimicrobial functioning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the mechanisms by which resident lactic acid bacteria and associated taxa restrict honeybee pathogens, and the translational evidence linking honeybee-derived bacteria, honey, propolis and bee bread to inhibition of clinically relevant human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and multidrug-resistant Gram-negative organisms. Particular attention is given to candidate probiotic strains such as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honey-associated lactic acid bacteria that have shown gastrointestinal stress tolerance and antagonism toward wound pathogens in preliminary human-relevant assays. Environmental stressors, notably agrochemical exposure and veterinary antibiotic use in apiculture, are examined as drivers of gut dysbiosis that compromise these protective functions and that may themselves contribute to the spread of resistance determinants. The review closes by outlining research priorities, including standardised strain characterisation, controlled human and preclinical trials, and regulatory pathways, that would be required before honeybee gut-derived probiotics could be considered a genuine adjunct or alternative to conventional antimicrobials.</w:t>
      </w:r>
    </w:p>
    <w:p w14:paraId="6FCE89A9"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Keywords: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gut microbiota; probiotics; lactic acid bacteria; antimicrobial resistance; apitherapy</w:t>
      </w:r>
    </w:p>
    <w:p w14:paraId="6183F90D"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 Introduction</w:t>
      </w:r>
    </w:p>
    <w:p w14:paraId="1EF64DDA"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1.1 The Honeybee as an Ecological and Economic Keystone</w:t>
      </w:r>
    </w:p>
    <w:p w14:paraId="6A156DC6"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Western honeybee,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occupies a position in global agriculture and natural ecosystems that is disproportionate to its individual size. As a generalist pollinator, it supports the reproduction of a substantial share of flowering plant species and contributes materially to the yield of numerous food crops (Nowak et al., 2021). Beyond pollination, honeybee colonies generate a suite of hive products, including honey, propolis, bee bread and royal jelly, that have been used across cultures for centuries in both nutrition and traditional medicine. The sustained health of managed and wild colonies is therefore a matter of agricultural, economic and public-health relevance, and this has directed sustained scientific attention toward the biological systems that keep individual bees and their colonies functioning, chief among them the gut microbiota.</w:t>
      </w:r>
    </w:p>
    <w:p w14:paraId="53212D01"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1.2 A Simple but Functionally Rich Gut Microbiota</w:t>
      </w:r>
    </w:p>
    <w:p w14:paraId="34CABDC7" w14:textId="2E3C93BC" w:rsidR="004C7E4F" w:rsidRPr="00E36C2A"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 xml:space="preserve">Unlike the compositionally complex gut communities of mammals, the adult worker honeybee gut is colonised by a comparatively small and highly conserved set of bacterial lineages, generally described as nine core phylotypes that together occupy more than ninety per cent of the bacterial biomass in a healthy gut (Kwong &amp; Moran, 2016). This simplicity, combined with the </w:t>
      </w:r>
      <w:proofErr w:type="spellStart"/>
      <w:r w:rsidRPr="00BB1673">
        <w:rPr>
          <w:rFonts w:ascii="Times New Roman" w:eastAsia="Times New Roman" w:hAnsi="Times New Roman" w:cs="Times New Roman"/>
          <w:sz w:val="24"/>
          <w:szCs w:val="24"/>
          <w:lang w:eastAsia="en-GB"/>
        </w:rPr>
        <w:t>culturability</w:t>
      </w:r>
      <w:proofErr w:type="spellEnd"/>
      <w:r w:rsidRPr="00BB1673">
        <w:rPr>
          <w:rFonts w:ascii="Times New Roman" w:eastAsia="Times New Roman" w:hAnsi="Times New Roman" w:cs="Times New Roman"/>
          <w:sz w:val="24"/>
          <w:szCs w:val="24"/>
          <w:lang w:eastAsia="en-GB"/>
        </w:rPr>
        <w:t xml:space="preserve"> of nearly all core members and the availability of gnotobiotic bee models, has made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an increasingly used comparative system for studying host–microbiota interactions more generally (Motta &amp; Moran, 2024). Despite their taxonomic austerity, these bacteria perform an outsized functional role: they assist in carbohydrate and pollen-wall digestion, contribute to detoxification of dietary xenobiotics, and, most relevant to the present review, produce a range of antimicrobial metabolites and stimulate the bee's own innate immune defences (Engel et al., 2012; Kwong et al., 2017).</w:t>
      </w:r>
      <w:r w:rsidR="00E36C2A">
        <w:rPr>
          <w:rFonts w:ascii="Times New Roman" w:eastAsia="Times New Roman" w:hAnsi="Times New Roman" w:cs="Times New Roman"/>
          <w:sz w:val="24"/>
          <w:szCs w:val="24"/>
          <w:lang w:eastAsia="en-GB"/>
        </w:rPr>
        <w:t xml:space="preserve"> </w:t>
      </w:r>
      <w:r w:rsidRPr="00E36C2A">
        <w:rPr>
          <w:rFonts w:ascii="Times New Roman" w:eastAsia="Times New Roman" w:hAnsi="Times New Roman" w:cs="Times New Roman"/>
          <w:bCs/>
          <w:sz w:val="24"/>
          <w:highlight w:val="yellow"/>
        </w:rPr>
        <w:t xml:space="preserve">Recent studies further indicate that the composition and stability of the honeybee gut community can vary in response to pathogen challenge and probiotic supplementation, reinforcing the importance of evaluating microbiota-related interventions within their specific biological context (Lau et al., 2024; </w:t>
      </w:r>
      <w:proofErr w:type="spellStart"/>
      <w:r w:rsidRPr="00E36C2A">
        <w:rPr>
          <w:rFonts w:ascii="Times New Roman" w:eastAsia="Times New Roman" w:hAnsi="Times New Roman" w:cs="Times New Roman"/>
          <w:bCs/>
          <w:sz w:val="24"/>
          <w:highlight w:val="yellow"/>
        </w:rPr>
        <w:t>Sinekçi</w:t>
      </w:r>
      <w:proofErr w:type="spellEnd"/>
      <w:r w:rsidRPr="00E36C2A">
        <w:rPr>
          <w:rFonts w:ascii="Times New Roman" w:eastAsia="Times New Roman" w:hAnsi="Times New Roman" w:cs="Times New Roman"/>
          <w:bCs/>
          <w:sz w:val="24"/>
          <w:highlight w:val="yellow"/>
        </w:rPr>
        <w:t xml:space="preserve"> et al., 2024).</w:t>
      </w:r>
    </w:p>
    <w:p w14:paraId="60DF43F9"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1.3 Antimicrobial Potential and the Wider Public-Health Context</w:t>
      </w:r>
    </w:p>
    <w:p w14:paraId="5069C59B" w14:textId="431EC772" w:rsidR="004C7E4F" w:rsidRPr="00E36C2A"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recognition that lactic acid bacteria (LAB) and associated symbionts within the bee gut can inhibit economically damaging bee pathogens such as </w:t>
      </w: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xml:space="preserve"> has, over roughly the past decade, been extended by a smaller but growing body of work testing whether the same organisms, or the fermented hive products they help generate, retain antagonistic activity against pathogens of direct concern to human medicine (Olofsson et al., 2016; Butler et al., 2016). This question arrives at a moment of considerable urgency. Bacterial antimicrobial resistance was associated with close to five million deaths globally in 2019, and current forecasts place it among the leading contributors to global mortality through the middle of the century (Antimicrobial Resistance Collaborators, 2022; GBD 2021 Antimicrobial Resistance Collaborators, 2024). Against this backdrop, naturally derived antimicrobial systems, including those associated with social insects, have attracted renewed scientific interest as potential sources of novel bioactive compounds or as candidate probiotic organisms in their own right.</w:t>
      </w:r>
      <w:r w:rsidR="00E36C2A">
        <w:rPr>
          <w:rFonts w:ascii="Times New Roman" w:eastAsia="Times New Roman" w:hAnsi="Times New Roman" w:cs="Times New Roman"/>
          <w:sz w:val="24"/>
          <w:szCs w:val="24"/>
          <w:lang w:eastAsia="en-GB"/>
        </w:rPr>
        <w:t xml:space="preserve"> </w:t>
      </w:r>
      <w:r w:rsidRPr="00E36C2A">
        <w:rPr>
          <w:rFonts w:ascii="Times New Roman" w:eastAsia="Times New Roman" w:hAnsi="Times New Roman" w:cs="Times New Roman"/>
          <w:bCs/>
          <w:sz w:val="24"/>
          <w:highlight w:val="yellow"/>
        </w:rPr>
        <w:t>Evidence from recent experimental and field investigations also suggests that native gut-derived bacterial strains may support microbiota homeostasis under pesticide stress, whereas non-native commercial probiotic formulations do not consistently produce measurable benefits; consequently, candidate strains require careful, strain-specific validation before practical use (El Khoury et al., 2024; Anderson et al., 2024).</w:t>
      </w:r>
    </w:p>
    <w:p w14:paraId="04CEB6D6"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1.4 Scope, Research Gap and Objectives</w:t>
      </w:r>
    </w:p>
    <w:p w14:paraId="0948D5F6"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review addresses the honeybee gut microbiota specifically as a source of inherent antimicrobial activity, and it evaluates the evidence connecting that activity to potential human welfare applications. Several existing reviews have described the taxonomic composition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in detail, and others have separately reviewed the apitherapeutic properties of honey and propolis; comparatively few have brought these two literatures together to ask, in a single synthesis, how the mechanistic antimicrobial biology of bee gut symbionts relates to the translational evidence for human-relevant probiotic or antimicrobial use. This represents a discernible gap, particularly because the strongest mechanistic data on antimicrobial peptide induction and pathogen exclusion come from the bee-health literature, whereas the strongest translational signals for human application come from a comparatively small and geographically concentrated set of wound-pathogen and food-science studies. The objectives of this review are threefold: first, to characterise the composition and antimicrobial </w:t>
      </w:r>
      <w:r w:rsidRPr="00BB1673">
        <w:rPr>
          <w:rFonts w:ascii="Times New Roman" w:eastAsia="Times New Roman" w:hAnsi="Times New Roman" w:cs="Times New Roman"/>
          <w:sz w:val="24"/>
          <w:szCs w:val="24"/>
          <w:lang w:eastAsia="en-GB"/>
        </w:rPr>
        <w:lastRenderedPageBreak/>
        <w:t xml:space="preserve">mechanisms of the core and accessory members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second, to evaluate the evidence linking honeybee-derived bacteria and hive products to inhibition of pathogens relevant to human health, including the specific strains and products for which translational data exist; and third, to identify the environmental stressors and methodological gaps that currently limit confident extrapolation from bee-health findings to human applications, thereby framing priorities for future research.</w:t>
      </w:r>
    </w:p>
    <w:p w14:paraId="4A44E3E8"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2. Methods for Literature Selection</w:t>
      </w:r>
    </w:p>
    <w:p w14:paraId="4FE81532"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2.1 Databases and Search Strategy</w:t>
      </w:r>
    </w:p>
    <w:p w14:paraId="1581F7CF"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Literature was identified through structured searches of four general bibliographic databases, Web of Science, Scopus, Google Scholar and PubMed, supplemented by six field-specific indexing databases selected for their coverage of apicultural science, microbiology and agricultural literature: CAB Abstracts, BIOSIS Previews, Apicultural Abstracts (International Bee Research Association), AGRICOLA (United States National Agricultural Library), AGRIS (Food and Agriculture Organization of the United Nations International System for Agricultural Science and Technology), and Entomology Abstracts. These databases were selected jointly to capture both the microbiological and the entomological dimensions of the topic, since neither general biomedical databases nor general life-science databases alone provide adequate coverage of the apicultural literature.</w:t>
      </w:r>
    </w:p>
    <w:p w14:paraId="360C6F1B"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2.2 Search Strings and Date Range</w:t>
      </w:r>
    </w:p>
    <w:p w14:paraId="160F2D69"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Search strings combined controlled vocabulary and free-text terms across three conceptual blocks connected with the Boolean operator AND, with terms within each block connected by OR: (</w:t>
      </w:r>
      <w:proofErr w:type="spellStart"/>
      <w:r w:rsidRPr="00BB1673">
        <w:rPr>
          <w:rFonts w:ascii="Times New Roman" w:eastAsia="Times New Roman" w:hAnsi="Times New Roman" w:cs="Times New Roman"/>
          <w:sz w:val="24"/>
          <w:szCs w:val="24"/>
          <w:lang w:eastAsia="en-GB"/>
        </w:rPr>
        <w:t>i</w:t>
      </w:r>
      <w:proofErr w:type="spellEnd"/>
      <w:r w:rsidRPr="00BB1673">
        <w:rPr>
          <w:rFonts w:ascii="Times New Roman" w:eastAsia="Times New Roman" w:hAnsi="Times New Roman" w:cs="Times New Roman"/>
          <w:sz w:val="24"/>
          <w:szCs w:val="24"/>
          <w:lang w:eastAsia="en-GB"/>
        </w:rPr>
        <w:t>) organism terms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OR "honey bee" OR "honeybee"); (ii) microbiota terms ("gut microbiota" OR "gut microbiome" OR "gut symbiont*" OR "lactic acid bacteria" OR probiotic*); and (iii) function terms (antimicrobial OR antibacterial OR "antimicrobial peptide*" OR bacteriocin* OR "antimicrobial resistance" OR apitherapy). A parallel search combined block (ii) with human-health terms ("human health" OR "wound pathogen*" OR "probiotic potential" OR "food-borne pathogen*") to capture the translational literature specifically. The principal search window covered January 2015 to 8 April 2026, chosen because this period captures the substantial expansion of culture-independent and gnotobiotic approaches to the bee gut microbiota that followed the establishment of the core-phylotype framework. A smaller set of methodologically foundational or highly cited studies published before 2015 was retained where these works remain the primary reference point for taxonomic, mechanistic or methodological claims still in active use.</w:t>
      </w:r>
    </w:p>
    <w:p w14:paraId="5F4DDD60"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2.3 Inclusion and Exclusion Criteria</w:t>
      </w:r>
    </w:p>
    <w:p w14:paraId="4932899C"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Studies were included if they were published in English in a peer-reviewed journal, reported primary data or synthesised evidence on the gut microbiota of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(or, for comparative purposes, closely related </w:t>
      </w:r>
      <w:r w:rsidRPr="00BB1673">
        <w:rPr>
          <w:rFonts w:ascii="Times New Roman" w:eastAsia="Times New Roman" w:hAnsi="Times New Roman" w:cs="Times New Roman"/>
          <w:i/>
          <w:iCs/>
          <w:sz w:val="24"/>
          <w:szCs w:val="24"/>
          <w:lang w:eastAsia="en-GB"/>
        </w:rPr>
        <w:t>Apis</w:t>
      </w:r>
      <w:r w:rsidRPr="00BB1673">
        <w:rPr>
          <w:rFonts w:ascii="Times New Roman" w:eastAsia="Times New Roman" w:hAnsi="Times New Roman" w:cs="Times New Roman"/>
          <w:sz w:val="24"/>
          <w:szCs w:val="24"/>
          <w:lang w:eastAsia="en-GB"/>
        </w:rPr>
        <w:t xml:space="preserve"> species), and addressed at least one of the following: microbiota composition, antimicrobial mechanisms, pathogen inhibition, environmental or agrochemical disruption of the microbiota, or the antimicrobial or probiotic properties of honeybee-derived organisms or hive products in relation to human-relevant pathogens. Authoritative institutional reports from bodies such as the World Health Organization, the Food and Agriculture Organization and comparable agencies were eligible where no peer-reviewed equivalent existed and a verifiable uniform resource locator could be confirmed. Grey literature, non-peer-</w:t>
      </w:r>
      <w:r w:rsidRPr="00BB1673">
        <w:rPr>
          <w:rFonts w:ascii="Times New Roman" w:eastAsia="Times New Roman" w:hAnsi="Times New Roman" w:cs="Times New Roman"/>
          <w:sz w:val="24"/>
          <w:szCs w:val="24"/>
          <w:lang w:eastAsia="en-GB"/>
        </w:rPr>
        <w:lastRenderedPageBreak/>
        <w:t>reviewed preprints, conference abstracts without accompanying full-text publication, patents, trade publications and studies without a traceable digital object identifier were excluded, as were non-English publications for which no validated translation was available.</w:t>
      </w:r>
    </w:p>
    <w:p w14:paraId="32D6086E"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2.4 Screening Workflow and Study Selection</w:t>
      </w:r>
    </w:p>
    <w:p w14:paraId="580E26DF"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Records retrieved from each database were consolidated and screened at the title and abstract level for topical relevance, with duplicate records identified through reference-manager deduplication and removed prior to full-text review. Full texts of apparently relevant records were then assessed against the inclusion and exclusion criteria described above. Where multiple studies addressed a closely related question, priority for inclusion and discussion was given to studies with larger sample sizes, more rigorous experimental controls (for example, gnotobiotic or germ-free bee models where mechanistic claims were made), or greater methodological influence on the subsequent literature, as judged by citation pattern and by explicit reliance on the study in later reviews. Reference lists of eligible articles and of major prior reviews were hand-searched to identify additional studies not captured by the electronic search, a supplementary strategy consistent with recommended practice for narrative synthesis (Green et al., 2006).</w:t>
      </w:r>
    </w:p>
    <w:p w14:paraId="31F61AB8" w14:textId="77777777" w:rsidR="00BB1673" w:rsidRPr="00BB1673" w:rsidRDefault="00BB1673" w:rsidP="00E36C2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2.5 Rationale for a Narrative Review Approach</w:t>
      </w:r>
    </w:p>
    <w:p w14:paraId="496BD94A"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 narrative rather than a systematic review approach was adopted because the objective of this article is to integrate mechanistic microbiological evidence from the apicultural literature with translational evidence from the human-health and food-science literatures, a synthesis that spans heterogeneous study designs, outcome measures and disciplinary conventions poorly suited to the pooled quantitative synthesis that characterises systematic review and meta-analysis. Narrative review methodology remains appropriate for this purpose provided that the search strategy, source selection and screening procedure are made explicit and reproducible, a principle followed throughout the present methods section (Green et al., 2006).</w:t>
      </w:r>
    </w:p>
    <w:p w14:paraId="497BBA8F"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 xml:space="preserve">3. Composition and Architecture of the </w:t>
      </w:r>
      <w:r w:rsidRPr="00BB1673">
        <w:rPr>
          <w:rFonts w:ascii="Times New Roman" w:eastAsia="Times New Roman" w:hAnsi="Times New Roman" w:cs="Times New Roman"/>
          <w:b/>
          <w:bCs/>
          <w:i/>
          <w:iCs/>
          <w:sz w:val="27"/>
          <w:szCs w:val="27"/>
          <w:lang w:eastAsia="en-GB"/>
        </w:rPr>
        <w:t>Apis mellifera</w:t>
      </w:r>
      <w:r w:rsidRPr="00BB1673">
        <w:rPr>
          <w:rFonts w:ascii="Times New Roman" w:eastAsia="Times New Roman" w:hAnsi="Times New Roman" w:cs="Times New Roman"/>
          <w:b/>
          <w:bCs/>
          <w:sz w:val="27"/>
          <w:szCs w:val="27"/>
          <w:lang w:eastAsia="en-GB"/>
        </w:rPr>
        <w:t xml:space="preserve"> Gut Microbiota</w:t>
      </w:r>
    </w:p>
    <w:p w14:paraId="2AB0CF26"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adult worker honeybee gut is anatomically divided into the crop, midgut and hindgut, the latter comprising the ileum and rectum, and bacterial colonisation is markedly regionalised within this structure. Two Gram-negative species,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dominate the ileum, where </w:t>
      </w:r>
      <w:r w:rsidRPr="00BB1673">
        <w:rPr>
          <w:rFonts w:ascii="Times New Roman" w:eastAsia="Times New Roman" w:hAnsi="Times New Roman" w:cs="Times New Roman"/>
          <w:i/>
          <w:iCs/>
          <w:sz w:val="24"/>
          <w:szCs w:val="24"/>
          <w:lang w:eastAsia="en-GB"/>
        </w:rPr>
        <w:t xml:space="preserve">S.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forms a biofilm directly against the gut epithelium while </w:t>
      </w:r>
      <w:r w:rsidRPr="00BB1673">
        <w:rPr>
          <w:rFonts w:ascii="Times New Roman" w:eastAsia="Times New Roman" w:hAnsi="Times New Roman" w:cs="Times New Roman"/>
          <w:i/>
          <w:iCs/>
          <w:sz w:val="24"/>
          <w:szCs w:val="24"/>
          <w:lang w:eastAsia="en-GB"/>
        </w:rPr>
        <w:t xml:space="preserve">G.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occupies the more central lumen (Kwong &amp; Moran, 2016). The rectum, by contrast, is dominated by Gram-positive Firmicutes, principally the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cluster together with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(formerly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Firm-4), alongside </w:t>
      </w:r>
      <w:r w:rsidRPr="00BB1673">
        <w:rPr>
          <w:rFonts w:ascii="Times New Roman" w:eastAsia="Times New Roman" w:hAnsi="Times New Roman" w:cs="Times New Roman"/>
          <w:i/>
          <w:iCs/>
          <w:sz w:val="24"/>
          <w:szCs w:val="24"/>
          <w:lang w:eastAsia="en-GB"/>
        </w:rPr>
        <w:t xml:space="preserve">Bifidobacterium </w:t>
      </w:r>
      <w:proofErr w:type="spellStart"/>
      <w:r w:rsidRPr="00BB1673">
        <w:rPr>
          <w:rFonts w:ascii="Times New Roman" w:eastAsia="Times New Roman" w:hAnsi="Times New Roman" w:cs="Times New Roman"/>
          <w:i/>
          <w:iCs/>
          <w:sz w:val="24"/>
          <w:szCs w:val="24"/>
          <w:lang w:eastAsia="en-GB"/>
        </w:rPr>
        <w:t>asteroides</w:t>
      </w:r>
      <w:proofErr w:type="spellEnd"/>
      <w:r w:rsidRPr="00BB1673">
        <w:rPr>
          <w:rFonts w:ascii="Times New Roman" w:eastAsia="Times New Roman" w:hAnsi="Times New Roman" w:cs="Times New Roman"/>
          <w:sz w:val="24"/>
          <w:szCs w:val="24"/>
          <w:lang w:eastAsia="en-GB"/>
        </w:rPr>
        <w:t xml:space="preserve"> of the phylum Actinobacteria (Engel et al., 2012). Metagenomic and deep-sequencing surveys conducted across geographically diverse bee populations have repeatedly recovered this same set of core taxa, indicating a high degree of evolutionary conservation despite substantial environmental variation (Moran et al., 2012; Corby-Harris et al., 2014).</w:t>
      </w:r>
    </w:p>
    <w:p w14:paraId="5C07BE6B"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Colonisation of the newly emerged worker gut proceeds rapidly and in a broadly predictable sequence.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establish within the first day after emergence, while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populations become dominant slightly later, typically by the third day, following social contact with older nestmates and exposure to hive-stored food (Dong et al., 2020; Nowak et al., 2021). This transmission route, dependent on trophallaxis and contact with faecal material within the hive, parallels the socially mediated </w:t>
      </w:r>
      <w:r w:rsidRPr="00BB1673">
        <w:rPr>
          <w:rFonts w:ascii="Times New Roman" w:eastAsia="Times New Roman" w:hAnsi="Times New Roman" w:cs="Times New Roman"/>
          <w:sz w:val="24"/>
          <w:szCs w:val="24"/>
          <w:lang w:eastAsia="en-GB"/>
        </w:rPr>
        <w:lastRenderedPageBreak/>
        <w:t xml:space="preserve">transmission observed in other group-living animals and is thought to underlie the strong host specificity documented for several core taxa, including divergent, host-restricted lineages of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recovered from honeybees as opposed to bumblebees (Kwong et al., 2014).</w:t>
      </w:r>
    </w:p>
    <w:p w14:paraId="3020F201"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Beyond the numerically dominant core, a set of less consistently detected but functionally significant taxa </w:t>
      </w:r>
      <w:proofErr w:type="gramStart"/>
      <w:r w:rsidRPr="00BB1673">
        <w:rPr>
          <w:rFonts w:ascii="Times New Roman" w:eastAsia="Times New Roman" w:hAnsi="Times New Roman" w:cs="Times New Roman"/>
          <w:sz w:val="24"/>
          <w:szCs w:val="24"/>
          <w:lang w:eastAsia="en-GB"/>
        </w:rPr>
        <w:t>contributes</w:t>
      </w:r>
      <w:proofErr w:type="gramEnd"/>
      <w:r w:rsidRPr="00BB1673">
        <w:rPr>
          <w:rFonts w:ascii="Times New Roman" w:eastAsia="Times New Roman" w:hAnsi="Times New Roman" w:cs="Times New Roman"/>
          <w:sz w:val="24"/>
          <w:szCs w:val="24"/>
          <w:lang w:eastAsia="en-GB"/>
        </w:rPr>
        <w:t xml:space="preserve"> further to the antimicrobial landscape of the gut.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colonises the pylorus and induces a distinctive melanised "scab" response in the gut epithelium, a phenomenon associated with localised immune activation (Kwong &amp; Moran, 2016). </w:t>
      </w: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apis</w:t>
      </w:r>
      <w:proofErr w:type="spellEnd"/>
      <w:r w:rsidRPr="00BB1673">
        <w:rPr>
          <w:rFonts w:ascii="Times New Roman" w:eastAsia="Times New Roman" w:hAnsi="Times New Roman" w:cs="Times New Roman"/>
          <w:sz w:val="24"/>
          <w:szCs w:val="24"/>
          <w:lang w:eastAsia="en-GB"/>
        </w:rPr>
        <w:t xml:space="preserve"> and related </w:t>
      </w:r>
      <w:proofErr w:type="spellStart"/>
      <w:r w:rsidRPr="00BB1673">
        <w:rPr>
          <w:rFonts w:ascii="Times New Roman" w:eastAsia="Times New Roman" w:hAnsi="Times New Roman" w:cs="Times New Roman"/>
          <w:sz w:val="24"/>
          <w:szCs w:val="24"/>
          <w:lang w:eastAsia="en-GB"/>
        </w:rPr>
        <w:t>Acetobacteraceae</w:t>
      </w:r>
      <w:proofErr w:type="spellEnd"/>
      <w:r w:rsidRPr="00BB1673">
        <w:rPr>
          <w:rFonts w:ascii="Times New Roman" w:eastAsia="Times New Roman" w:hAnsi="Times New Roman" w:cs="Times New Roman"/>
          <w:sz w:val="24"/>
          <w:szCs w:val="24"/>
          <w:lang w:eastAsia="en-GB"/>
        </w:rPr>
        <w:t xml:space="preserve">, sometimes referred to under the earlier name </w:t>
      </w:r>
      <w:proofErr w:type="spellStart"/>
      <w:r w:rsidRPr="00BB1673">
        <w:rPr>
          <w:rFonts w:ascii="Times New Roman" w:eastAsia="Times New Roman" w:hAnsi="Times New Roman" w:cs="Times New Roman"/>
          <w:i/>
          <w:iCs/>
          <w:sz w:val="24"/>
          <w:szCs w:val="24"/>
          <w:lang w:eastAsia="en-GB"/>
        </w:rPr>
        <w:t>Parasaccharibacter</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apium</w:t>
      </w:r>
      <w:proofErr w:type="spellEnd"/>
      <w:r w:rsidRPr="00BB1673">
        <w:rPr>
          <w:rFonts w:ascii="Times New Roman" w:eastAsia="Times New Roman" w:hAnsi="Times New Roman" w:cs="Times New Roman"/>
          <w:sz w:val="24"/>
          <w:szCs w:val="24"/>
          <w:lang w:eastAsia="en-GB"/>
        </w:rPr>
        <w:t xml:space="preserve">, are recovered preferentially from the hypopharyngeal glands, royal jelly and larval food, where they appear to protect developing larvae from fungal and bacterial invasion (Motta &amp; Moran, 2024).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 </w:t>
      </w: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lactic acid bacterium, is characteristically abundant in the crop, in fresh nectar and honey, and in bee bread, where it contributes to the low pH environment that limits spoilage organisms (Vásquez et al., 2012). The functional roles, gut localisation and principal supporting evidence for these taxa are summarised in Table 1.</w:t>
      </w:r>
    </w:p>
    <w:p w14:paraId="7AF0CFC0"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 xml:space="preserve">Table 1. Core and Notable Non-Core Bacterial Taxa of the </w:t>
      </w:r>
      <w:r w:rsidRPr="00BB1673">
        <w:rPr>
          <w:rFonts w:ascii="Times New Roman" w:eastAsia="Times New Roman" w:hAnsi="Times New Roman" w:cs="Times New Roman"/>
          <w:b/>
          <w:bCs/>
          <w:i/>
          <w:iCs/>
          <w:sz w:val="24"/>
          <w:szCs w:val="24"/>
          <w:lang w:eastAsia="en-GB"/>
        </w:rPr>
        <w:t>Apis mellifera</w:t>
      </w:r>
      <w:r w:rsidRPr="00BB1673">
        <w:rPr>
          <w:rFonts w:ascii="Times New Roman" w:eastAsia="Times New Roman" w:hAnsi="Times New Roman" w:cs="Times New Roman"/>
          <w:b/>
          <w:bCs/>
          <w:sz w:val="24"/>
          <w:szCs w:val="24"/>
          <w:lang w:eastAsia="en-GB"/>
        </w:rPr>
        <w:t xml:space="preserve"> Gut</w:t>
      </w:r>
    </w:p>
    <w:tbl>
      <w:tblPr>
        <w:tblStyle w:val="TableGridLight"/>
        <w:tblW w:w="0" w:type="auto"/>
        <w:tblLook w:val="04A0" w:firstRow="1" w:lastRow="0" w:firstColumn="1" w:lastColumn="0" w:noHBand="0" w:noVBand="1"/>
      </w:tblPr>
      <w:tblGrid>
        <w:gridCol w:w="2032"/>
        <w:gridCol w:w="2446"/>
        <w:gridCol w:w="1772"/>
        <w:gridCol w:w="1616"/>
        <w:gridCol w:w="1150"/>
      </w:tblGrid>
      <w:tr w:rsidR="00BB1673" w:rsidRPr="00BB1673" w14:paraId="57AC0851" w14:textId="77777777" w:rsidTr="00BB1673">
        <w:tc>
          <w:tcPr>
            <w:tcW w:w="0" w:type="auto"/>
            <w:hideMark/>
          </w:tcPr>
          <w:p w14:paraId="035EEC38"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Taxon</w:t>
            </w:r>
          </w:p>
        </w:tc>
        <w:tc>
          <w:tcPr>
            <w:tcW w:w="0" w:type="auto"/>
            <w:hideMark/>
          </w:tcPr>
          <w:p w14:paraId="6B98D05F"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Phylum/Class</w:t>
            </w:r>
          </w:p>
        </w:tc>
        <w:tc>
          <w:tcPr>
            <w:tcW w:w="0" w:type="auto"/>
            <w:hideMark/>
          </w:tcPr>
          <w:p w14:paraId="607EB6E9"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Principal Gut Region</w:t>
            </w:r>
          </w:p>
        </w:tc>
        <w:tc>
          <w:tcPr>
            <w:tcW w:w="0" w:type="auto"/>
            <w:hideMark/>
          </w:tcPr>
          <w:p w14:paraId="783BDFC8"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Antimicrobial or Protective Function</w:t>
            </w:r>
          </w:p>
        </w:tc>
        <w:tc>
          <w:tcPr>
            <w:tcW w:w="0" w:type="auto"/>
            <w:hideMark/>
          </w:tcPr>
          <w:p w14:paraId="2C050560"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964D6F" w14:paraId="4E979DF6" w14:textId="77777777" w:rsidTr="00BB1673">
        <w:tc>
          <w:tcPr>
            <w:tcW w:w="0" w:type="auto"/>
            <w:hideMark/>
          </w:tcPr>
          <w:p w14:paraId="7DC80076"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p>
        </w:tc>
        <w:tc>
          <w:tcPr>
            <w:tcW w:w="0" w:type="auto"/>
            <w:hideMark/>
          </w:tcPr>
          <w:p w14:paraId="7CC6A46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(Betaproteobacteria)</w:t>
            </w:r>
          </w:p>
        </w:tc>
        <w:tc>
          <w:tcPr>
            <w:tcW w:w="0" w:type="auto"/>
            <w:hideMark/>
          </w:tcPr>
          <w:p w14:paraId="6B9EE9A6"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Ileum</w:t>
            </w:r>
          </w:p>
        </w:tc>
        <w:tc>
          <w:tcPr>
            <w:tcW w:w="0" w:type="auto"/>
            <w:hideMark/>
          </w:tcPr>
          <w:p w14:paraId="4A766F7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Epithelial biofilm formation; oxidation of carboxylic acids; induces host antimicrobial peptide expression</w:t>
            </w:r>
          </w:p>
        </w:tc>
        <w:tc>
          <w:tcPr>
            <w:tcW w:w="0" w:type="auto"/>
            <w:hideMark/>
          </w:tcPr>
          <w:p w14:paraId="3C9F83FF"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Kwong &amp; Moran, 2016; Kwong et al., 2017</w:t>
            </w:r>
          </w:p>
        </w:tc>
      </w:tr>
      <w:tr w:rsidR="00BB1673" w:rsidRPr="00964D6F" w14:paraId="3BCC2F8B" w14:textId="77777777" w:rsidTr="00BB1673">
        <w:tc>
          <w:tcPr>
            <w:tcW w:w="0" w:type="auto"/>
            <w:hideMark/>
          </w:tcPr>
          <w:p w14:paraId="2993B56B"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p>
        </w:tc>
        <w:tc>
          <w:tcPr>
            <w:tcW w:w="0" w:type="auto"/>
            <w:hideMark/>
          </w:tcPr>
          <w:p w14:paraId="22A3958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(Gammaproteobacteria)</w:t>
            </w:r>
          </w:p>
        </w:tc>
        <w:tc>
          <w:tcPr>
            <w:tcW w:w="0" w:type="auto"/>
            <w:hideMark/>
          </w:tcPr>
          <w:p w14:paraId="78AD073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Ileum</w:t>
            </w:r>
          </w:p>
        </w:tc>
        <w:tc>
          <w:tcPr>
            <w:tcW w:w="0" w:type="auto"/>
            <w:hideMark/>
          </w:tcPr>
          <w:p w14:paraId="20FB4770"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Ferments and detoxifies dietary sugars; niche exclusion of opportunists</w:t>
            </w:r>
          </w:p>
        </w:tc>
        <w:tc>
          <w:tcPr>
            <w:tcW w:w="0" w:type="auto"/>
            <w:hideMark/>
          </w:tcPr>
          <w:p w14:paraId="62F067D5"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Kwong &amp; Moran, 2016; Zheng et al., 2016</w:t>
            </w:r>
          </w:p>
        </w:tc>
      </w:tr>
      <w:tr w:rsidR="00BB1673" w:rsidRPr="00964D6F" w14:paraId="434E7C53" w14:textId="77777777" w:rsidTr="00BB1673">
        <w:tc>
          <w:tcPr>
            <w:tcW w:w="0" w:type="auto"/>
            <w:hideMark/>
          </w:tcPr>
          <w:p w14:paraId="2348C72E"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(Firm-4)</w:t>
            </w:r>
          </w:p>
        </w:tc>
        <w:tc>
          <w:tcPr>
            <w:tcW w:w="0" w:type="auto"/>
            <w:hideMark/>
          </w:tcPr>
          <w:p w14:paraId="3A0E07D4"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Firmicutes</w:t>
            </w:r>
          </w:p>
        </w:tc>
        <w:tc>
          <w:tcPr>
            <w:tcW w:w="0" w:type="auto"/>
            <w:hideMark/>
          </w:tcPr>
          <w:p w14:paraId="474F1ADE"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Rectum</w:t>
            </w:r>
          </w:p>
        </w:tc>
        <w:tc>
          <w:tcPr>
            <w:tcW w:w="0" w:type="auto"/>
            <w:hideMark/>
          </w:tcPr>
          <w:p w14:paraId="40C6A219"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Organic acid and bacteriocin-like metabolite production; immune stimulation</w:t>
            </w:r>
          </w:p>
        </w:tc>
        <w:tc>
          <w:tcPr>
            <w:tcW w:w="0" w:type="auto"/>
            <w:hideMark/>
          </w:tcPr>
          <w:p w14:paraId="1F455EB1"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Engel et al., 2012; Kwong et al., 2017</w:t>
            </w:r>
          </w:p>
        </w:tc>
      </w:tr>
      <w:tr w:rsidR="00BB1673" w:rsidRPr="00964D6F" w14:paraId="740385F9" w14:textId="77777777" w:rsidTr="00BB1673">
        <w:tc>
          <w:tcPr>
            <w:tcW w:w="0" w:type="auto"/>
            <w:hideMark/>
          </w:tcPr>
          <w:p w14:paraId="350455B1"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lastRenderedPageBreak/>
              <w:t xml:space="preserve">Bifidobacterium </w:t>
            </w:r>
            <w:proofErr w:type="spellStart"/>
            <w:r w:rsidRPr="00BB1673">
              <w:rPr>
                <w:rFonts w:ascii="Times New Roman" w:eastAsia="Times New Roman" w:hAnsi="Times New Roman" w:cs="Times New Roman"/>
                <w:i/>
                <w:iCs/>
                <w:sz w:val="24"/>
                <w:szCs w:val="24"/>
                <w:lang w:eastAsia="en-GB"/>
              </w:rPr>
              <w:t>asteroides</w:t>
            </w:r>
            <w:proofErr w:type="spellEnd"/>
          </w:p>
        </w:tc>
        <w:tc>
          <w:tcPr>
            <w:tcW w:w="0" w:type="auto"/>
            <w:hideMark/>
          </w:tcPr>
          <w:p w14:paraId="02584377"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Actinobacteria</w:t>
            </w:r>
          </w:p>
        </w:tc>
        <w:tc>
          <w:tcPr>
            <w:tcW w:w="0" w:type="auto"/>
            <w:hideMark/>
          </w:tcPr>
          <w:p w14:paraId="0F20EFBF"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Rectum</w:t>
            </w:r>
          </w:p>
        </w:tc>
        <w:tc>
          <w:tcPr>
            <w:tcW w:w="0" w:type="auto"/>
            <w:hideMark/>
          </w:tcPr>
          <w:p w14:paraId="7D9A18C0"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Short-chain fatty acid production; pollen-wall polysaccharide breakdown</w:t>
            </w:r>
          </w:p>
        </w:tc>
        <w:tc>
          <w:tcPr>
            <w:tcW w:w="0" w:type="auto"/>
            <w:hideMark/>
          </w:tcPr>
          <w:p w14:paraId="1BB46E98"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Engel et al., 2012; Nowak et al., 2021</w:t>
            </w:r>
          </w:p>
        </w:tc>
      </w:tr>
      <w:tr w:rsidR="00BB1673" w:rsidRPr="00BB1673" w14:paraId="487A843B" w14:textId="77777777" w:rsidTr="00BB1673">
        <w:tc>
          <w:tcPr>
            <w:tcW w:w="0" w:type="auto"/>
            <w:hideMark/>
          </w:tcPr>
          <w:p w14:paraId="4637899B"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p>
        </w:tc>
        <w:tc>
          <w:tcPr>
            <w:tcW w:w="0" w:type="auto"/>
            <w:hideMark/>
          </w:tcPr>
          <w:p w14:paraId="5BA6EBB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(Gammaproteobacteria)</w:t>
            </w:r>
          </w:p>
        </w:tc>
        <w:tc>
          <w:tcPr>
            <w:tcW w:w="0" w:type="auto"/>
            <w:hideMark/>
          </w:tcPr>
          <w:p w14:paraId="2DAE3868"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Pylorus</w:t>
            </w:r>
          </w:p>
        </w:tc>
        <w:tc>
          <w:tcPr>
            <w:tcW w:w="0" w:type="auto"/>
            <w:hideMark/>
          </w:tcPr>
          <w:p w14:paraId="0FB6AE99"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Localised epithelial immune activation; competitive niche occupation</w:t>
            </w:r>
          </w:p>
        </w:tc>
        <w:tc>
          <w:tcPr>
            <w:tcW w:w="0" w:type="auto"/>
            <w:hideMark/>
          </w:tcPr>
          <w:p w14:paraId="6E54DBA0"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w:t>
            </w:r>
          </w:p>
        </w:tc>
      </w:tr>
      <w:tr w:rsidR="00BB1673" w:rsidRPr="00BB1673" w14:paraId="2EE5E9DA" w14:textId="77777777" w:rsidTr="00BB1673">
        <w:tc>
          <w:tcPr>
            <w:tcW w:w="0" w:type="auto"/>
            <w:hideMark/>
          </w:tcPr>
          <w:p w14:paraId="1F2FB60F"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apis</w:t>
            </w:r>
            <w:proofErr w:type="spellEnd"/>
          </w:p>
        </w:tc>
        <w:tc>
          <w:tcPr>
            <w:tcW w:w="0" w:type="auto"/>
            <w:hideMark/>
          </w:tcPr>
          <w:p w14:paraId="04682323"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w:t>
            </w:r>
            <w:proofErr w:type="spellStart"/>
            <w:r w:rsidRPr="00BB1673">
              <w:rPr>
                <w:rFonts w:ascii="Times New Roman" w:eastAsia="Times New Roman" w:hAnsi="Times New Roman" w:cs="Times New Roman"/>
                <w:sz w:val="24"/>
                <w:szCs w:val="24"/>
                <w:lang w:eastAsia="en-GB"/>
              </w:rPr>
              <w:t>Alphaproteobacteria</w:t>
            </w:r>
            <w:proofErr w:type="spellEnd"/>
            <w:r w:rsidRPr="00BB1673">
              <w:rPr>
                <w:rFonts w:ascii="Times New Roman" w:eastAsia="Times New Roman" w:hAnsi="Times New Roman" w:cs="Times New Roman"/>
                <w:sz w:val="24"/>
                <w:szCs w:val="24"/>
                <w:lang w:eastAsia="en-GB"/>
              </w:rPr>
              <w:t>)</w:t>
            </w:r>
          </w:p>
        </w:tc>
        <w:tc>
          <w:tcPr>
            <w:tcW w:w="0" w:type="auto"/>
            <w:hideMark/>
          </w:tcPr>
          <w:p w14:paraId="2A18A658"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Hypopharyngeal glands, larval food</w:t>
            </w:r>
          </w:p>
        </w:tc>
        <w:tc>
          <w:tcPr>
            <w:tcW w:w="0" w:type="auto"/>
            <w:hideMark/>
          </w:tcPr>
          <w:p w14:paraId="0EB25364"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Antifungal and osmotolerant protection of larvae</w:t>
            </w:r>
          </w:p>
        </w:tc>
        <w:tc>
          <w:tcPr>
            <w:tcW w:w="0" w:type="auto"/>
            <w:hideMark/>
          </w:tcPr>
          <w:p w14:paraId="6A35D980"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Motta &amp; Moran, 2024</w:t>
            </w:r>
          </w:p>
        </w:tc>
      </w:tr>
      <w:tr w:rsidR="00BB1673" w:rsidRPr="00964D6F" w14:paraId="20DE6F48" w14:textId="77777777" w:rsidTr="00BB1673">
        <w:tc>
          <w:tcPr>
            <w:tcW w:w="0" w:type="auto"/>
            <w:hideMark/>
          </w:tcPr>
          <w:p w14:paraId="45492EAE"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p>
        </w:tc>
        <w:tc>
          <w:tcPr>
            <w:tcW w:w="0" w:type="auto"/>
            <w:hideMark/>
          </w:tcPr>
          <w:p w14:paraId="2390A4E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Firmicutes</w:t>
            </w:r>
          </w:p>
        </w:tc>
        <w:tc>
          <w:tcPr>
            <w:tcW w:w="0" w:type="auto"/>
            <w:hideMark/>
          </w:tcPr>
          <w:p w14:paraId="7F13D828"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Crop, honey, bee bread</w:t>
            </w:r>
          </w:p>
        </w:tc>
        <w:tc>
          <w:tcPr>
            <w:tcW w:w="0" w:type="auto"/>
            <w:hideMark/>
          </w:tcPr>
          <w:p w14:paraId="37588259"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acid production; maintenance of low pH, spoilage resistance</w:t>
            </w:r>
          </w:p>
        </w:tc>
        <w:tc>
          <w:tcPr>
            <w:tcW w:w="0" w:type="auto"/>
            <w:hideMark/>
          </w:tcPr>
          <w:p w14:paraId="598D6812"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Vásquez et al., 2012; Vergalito et al., 2020</w:t>
            </w:r>
          </w:p>
        </w:tc>
      </w:tr>
    </w:tbl>
    <w:p w14:paraId="105FD07C"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As Table 1 illustrates, the antimicrobial contribution of the bee gut microbiota does not rest on a single dominant organism but rather emerges from complementary, regionally distinct activities across several taxa, ranging from direct metabolite production to physical niche occupation and host immune priming. The following sections examine these mechanisms in greater mechanistic detail.</w:t>
      </w:r>
    </w:p>
    <w:p w14:paraId="46CDE8C8"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4. Antimicrobial Mechanisms of Gut Symbionts: Metabolites, Bacteriocins and Niche Exclusion</w:t>
      </w:r>
    </w:p>
    <w:p w14:paraId="64682249"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The antimicrobial character of the honeybee gut microbiota rests on several overlapping mechanisms rather than a single unifying process. The most extensively documented is acidification through organic acid production. Lactic acid bacteria native to the bee gut generate lactic, acetic and other organic acids as principal fermentation products, lowering local pH to levels that many bee and non-bee pathogens cannot tolerate; this same acidification underlies the preservative properties long observed in fermented bee bread and in fresh honey, both of which are seeded by the same LAB community present in the honey stomach (Vásquez et al., 2012; Olofsson et al., 2016). Beyond simple acidification, several bee-associated LAB strains produce hydrogen peroxide and bacteriocin-like inhibitory substances that act directly on competitor bacteria, and cell-free supernatants prepared from these strains retain antibacterial activity even after cells are removed, indicating that the active principle is a secreted, diffusible metabolite rather than a requirement for live-cell contact (Olofsson et al., 2016).</w:t>
      </w:r>
    </w:p>
    <w:p w14:paraId="09F83E5D"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 xml:space="preserve">A second mechanism operates through competitive exclusion rather than direct metabolite toxicity. Core symbionts such as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occupy specific spatial niches within the gut and metabolise substrates, including toxic dietary sugars, in ways that limit the resources and physical space available to invading opportunists (Zheng et al., 2016; Kwong &amp; Moran, 2016). This form of colonisation resistance is analogous to mechanisms described in mammalian gut ecology, where an intact resident community limits pathogen establishment largely through resource competition rather than active antagonism.</w:t>
      </w:r>
    </w:p>
    <w:p w14:paraId="137D2238"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third and mechanistically distinct route involves modulation of surface structures and biofilm architecture.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forms a structured biofilm against the ileal epithelium, and genomic comparisons between honeybee- and bumblebee-associated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strains have identified an enrichment of genes encoding type VI secretion systems, repeat-in-toxin proteins and adhesins, structures implicated in both interbacterial competition and host-surface attachment (Kwong et al., 2014). Related exopolysaccharide-producing taxa isolated from the bee gut have independently demonstrated antimicrobial and antibiofilm activity against non-bee pathogens in vitro, suggesting that structural and secreted antimicrobial functions can coexist within a single organism. Table 2 summarises the principal mechanistic categories, the taxa most strongly associated with each, and representative reported outcomes.</w:t>
      </w:r>
    </w:p>
    <w:p w14:paraId="42968D2B"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2. Documented Antimicrobial Mechanisms of Honeybee Gut Symbionts</w:t>
      </w:r>
    </w:p>
    <w:tbl>
      <w:tblPr>
        <w:tblStyle w:val="TableGridLight"/>
        <w:tblW w:w="0" w:type="auto"/>
        <w:tblLook w:val="04A0" w:firstRow="1" w:lastRow="0" w:firstColumn="1" w:lastColumn="0" w:noHBand="0" w:noVBand="1"/>
      </w:tblPr>
      <w:tblGrid>
        <w:gridCol w:w="1834"/>
        <w:gridCol w:w="1932"/>
        <w:gridCol w:w="1852"/>
        <w:gridCol w:w="2054"/>
        <w:gridCol w:w="1344"/>
      </w:tblGrid>
      <w:tr w:rsidR="00BB1673" w:rsidRPr="00BB1673" w14:paraId="4DF52805" w14:textId="77777777" w:rsidTr="00BB1673">
        <w:tc>
          <w:tcPr>
            <w:tcW w:w="0" w:type="auto"/>
            <w:hideMark/>
          </w:tcPr>
          <w:p w14:paraId="24B287C2"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Mechanism</w:t>
            </w:r>
          </w:p>
        </w:tc>
        <w:tc>
          <w:tcPr>
            <w:tcW w:w="0" w:type="auto"/>
            <w:hideMark/>
          </w:tcPr>
          <w:p w14:paraId="700EEED9"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Representative Taxa</w:t>
            </w:r>
          </w:p>
        </w:tc>
        <w:tc>
          <w:tcPr>
            <w:tcW w:w="0" w:type="auto"/>
            <w:hideMark/>
          </w:tcPr>
          <w:p w14:paraId="07EDDEB7"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Target(s)</w:t>
            </w:r>
          </w:p>
        </w:tc>
        <w:tc>
          <w:tcPr>
            <w:tcW w:w="0" w:type="auto"/>
            <w:hideMark/>
          </w:tcPr>
          <w:p w14:paraId="4B85CAE7"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Summary of Effect</w:t>
            </w:r>
          </w:p>
        </w:tc>
        <w:tc>
          <w:tcPr>
            <w:tcW w:w="0" w:type="auto"/>
            <w:hideMark/>
          </w:tcPr>
          <w:p w14:paraId="66C5D123"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964D6F" w14:paraId="14C5B277" w14:textId="77777777" w:rsidTr="00BB1673">
        <w:tc>
          <w:tcPr>
            <w:tcW w:w="0" w:type="auto"/>
            <w:hideMark/>
          </w:tcPr>
          <w:p w14:paraId="510D2EC4"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Organic acid / pH-mediated inhibition</w:t>
            </w:r>
          </w:p>
        </w:tc>
        <w:tc>
          <w:tcPr>
            <w:tcW w:w="0" w:type="auto"/>
            <w:hideMark/>
          </w:tcPr>
          <w:p w14:paraId="01C80513"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w:t>
            </w:r>
          </w:p>
        </w:tc>
        <w:tc>
          <w:tcPr>
            <w:tcW w:w="0" w:type="auto"/>
            <w:hideMark/>
          </w:tcPr>
          <w:p w14:paraId="717764A5"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p>
        </w:tc>
        <w:tc>
          <w:tcPr>
            <w:tcW w:w="0" w:type="auto"/>
            <w:hideMark/>
          </w:tcPr>
          <w:p w14:paraId="0C5CF75F"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Growth suppression via acidification of local environment</w:t>
            </w:r>
          </w:p>
        </w:tc>
        <w:tc>
          <w:tcPr>
            <w:tcW w:w="0" w:type="auto"/>
            <w:hideMark/>
          </w:tcPr>
          <w:p w14:paraId="658AB16E"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Vásquez et al., 2012; Olofsson et al., 2016</w:t>
            </w:r>
          </w:p>
        </w:tc>
      </w:tr>
      <w:tr w:rsidR="00BB1673" w:rsidRPr="00964D6F" w14:paraId="3A70FF07" w14:textId="77777777" w:rsidTr="00BB1673">
        <w:tc>
          <w:tcPr>
            <w:tcW w:w="0" w:type="auto"/>
            <w:hideMark/>
          </w:tcPr>
          <w:p w14:paraId="7F5C291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Secreted bacteriocin-like metabolites</w:t>
            </w:r>
          </w:p>
        </w:tc>
        <w:tc>
          <w:tcPr>
            <w:tcW w:w="0" w:type="auto"/>
            <w:hideMark/>
          </w:tcPr>
          <w:p w14:paraId="0DA22BF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Honey-associated LAB consortium</w:t>
            </w:r>
          </w:p>
        </w:tc>
        <w:tc>
          <w:tcPr>
            <w:tcW w:w="0" w:type="auto"/>
            <w:hideMark/>
          </w:tcPr>
          <w:p w14:paraId="217E0C22"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Gram-positive and Gram-negative bee and human pathogens</w:t>
            </w:r>
          </w:p>
        </w:tc>
        <w:tc>
          <w:tcPr>
            <w:tcW w:w="0" w:type="auto"/>
            <w:hideMark/>
          </w:tcPr>
          <w:p w14:paraId="7BA446EB"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Direct antagonism retained in cell-free supernatants</w:t>
            </w:r>
          </w:p>
        </w:tc>
        <w:tc>
          <w:tcPr>
            <w:tcW w:w="0" w:type="auto"/>
            <w:hideMark/>
          </w:tcPr>
          <w:p w14:paraId="6841AC04"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Olofsson et al., 2016; Butler et al., 2016</w:t>
            </w:r>
          </w:p>
        </w:tc>
      </w:tr>
      <w:tr w:rsidR="00BB1673" w:rsidRPr="00BB1673" w14:paraId="3043F702" w14:textId="77777777" w:rsidTr="00BB1673">
        <w:tc>
          <w:tcPr>
            <w:tcW w:w="0" w:type="auto"/>
            <w:hideMark/>
          </w:tcPr>
          <w:p w14:paraId="1BF486C3"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Antimicrobial peptide induction in host</w:t>
            </w:r>
          </w:p>
        </w:tc>
        <w:tc>
          <w:tcPr>
            <w:tcW w:w="0" w:type="auto"/>
            <w:hideMark/>
          </w:tcPr>
          <w:p w14:paraId="0EE2AACE"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w:t>
            </w:r>
          </w:p>
        </w:tc>
        <w:tc>
          <w:tcPr>
            <w:tcW w:w="0" w:type="auto"/>
            <w:hideMark/>
          </w:tcPr>
          <w:p w14:paraId="28BF4AA6"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Escherichia coli</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Hafnia alvei</w:t>
            </w:r>
          </w:p>
        </w:tc>
        <w:tc>
          <w:tcPr>
            <w:tcW w:w="0" w:type="auto"/>
            <w:hideMark/>
          </w:tcPr>
          <w:p w14:paraId="4D9F836B"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Upregulation of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enhanced pathogen clearance</w:t>
            </w:r>
          </w:p>
        </w:tc>
        <w:tc>
          <w:tcPr>
            <w:tcW w:w="0" w:type="auto"/>
            <w:hideMark/>
          </w:tcPr>
          <w:p w14:paraId="7B8173C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2017</w:t>
            </w:r>
          </w:p>
        </w:tc>
      </w:tr>
      <w:tr w:rsidR="00BB1673" w:rsidRPr="00964D6F" w14:paraId="0FAE3952" w14:textId="77777777" w:rsidTr="00BB1673">
        <w:tc>
          <w:tcPr>
            <w:tcW w:w="0" w:type="auto"/>
            <w:hideMark/>
          </w:tcPr>
          <w:p w14:paraId="3A67CD7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Competitive nutrient/niche exclusion</w:t>
            </w:r>
          </w:p>
        </w:tc>
        <w:tc>
          <w:tcPr>
            <w:tcW w:w="0" w:type="auto"/>
            <w:hideMark/>
          </w:tcPr>
          <w:p w14:paraId="3B42EC02"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p>
        </w:tc>
        <w:tc>
          <w:tcPr>
            <w:tcW w:w="0" w:type="auto"/>
            <w:hideMark/>
          </w:tcPr>
          <w:p w14:paraId="1164DA07"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Opportunistic gut colonisers</w:t>
            </w:r>
          </w:p>
        </w:tc>
        <w:tc>
          <w:tcPr>
            <w:tcW w:w="0" w:type="auto"/>
            <w:hideMark/>
          </w:tcPr>
          <w:p w14:paraId="650CF517"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Reduced establishment of non-core taxa</w:t>
            </w:r>
          </w:p>
        </w:tc>
        <w:tc>
          <w:tcPr>
            <w:tcW w:w="0" w:type="auto"/>
            <w:hideMark/>
          </w:tcPr>
          <w:p w14:paraId="3D235630"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Kwong &amp; Moran, 2016; Zheng et al., 2016</w:t>
            </w:r>
          </w:p>
        </w:tc>
      </w:tr>
      <w:tr w:rsidR="00BB1673" w:rsidRPr="00BB1673" w14:paraId="0D00FF5C" w14:textId="77777777" w:rsidTr="00BB1673">
        <w:tc>
          <w:tcPr>
            <w:tcW w:w="0" w:type="auto"/>
            <w:hideMark/>
          </w:tcPr>
          <w:p w14:paraId="29D9B603"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Adhesin- and secretion-system-mediated interbacterial competition</w:t>
            </w:r>
          </w:p>
        </w:tc>
        <w:tc>
          <w:tcPr>
            <w:tcW w:w="0" w:type="auto"/>
            <w:hideMark/>
          </w:tcPr>
          <w:p w14:paraId="202865E9"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p>
        </w:tc>
        <w:tc>
          <w:tcPr>
            <w:tcW w:w="0" w:type="auto"/>
            <w:hideMark/>
          </w:tcPr>
          <w:p w14:paraId="48DA66C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Competing bacterial strains</w:t>
            </w:r>
          </w:p>
        </w:tc>
        <w:tc>
          <w:tcPr>
            <w:tcW w:w="0" w:type="auto"/>
            <w:hideMark/>
          </w:tcPr>
          <w:p w14:paraId="7DA68110"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Biofilm structuring and host-specific colonisation advantage</w:t>
            </w:r>
          </w:p>
        </w:tc>
        <w:tc>
          <w:tcPr>
            <w:tcW w:w="0" w:type="auto"/>
            <w:hideMark/>
          </w:tcPr>
          <w:p w14:paraId="77B244A9"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2014</w:t>
            </w:r>
          </w:p>
        </w:tc>
      </w:tr>
    </w:tbl>
    <w:p w14:paraId="7A51188D"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lastRenderedPageBreak/>
        <w:t>5. Antimicrobial Peptides and Host Immune Modulation</w:t>
      </w:r>
    </w:p>
    <w:p w14:paraId="1427D8E7"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defining feature of the relationship between the honeybee gut microbiota and antimicrobial defence is that the microbiota does not act solely through its own secreted products; it also actively conditions the host's innate immune system. Honeybees possess four principal families of antimicrobial peptides, </w:t>
      </w:r>
      <w:proofErr w:type="spellStart"/>
      <w:r w:rsidRPr="00BB1673">
        <w:rPr>
          <w:rFonts w:ascii="Times New Roman" w:eastAsia="Times New Roman" w:hAnsi="Times New Roman" w:cs="Times New Roman"/>
          <w:sz w:val="24"/>
          <w:szCs w:val="24"/>
          <w:lang w:eastAsia="en-GB"/>
        </w:rPr>
        <w:t>abaecin</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defensin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induced through the Toll and immune deficiency (</w:t>
      </w:r>
      <w:proofErr w:type="spellStart"/>
      <w:r w:rsidRPr="00BB1673">
        <w:rPr>
          <w:rFonts w:ascii="Times New Roman" w:eastAsia="Times New Roman" w:hAnsi="Times New Roman" w:cs="Times New Roman"/>
          <w:sz w:val="24"/>
          <w:szCs w:val="24"/>
          <w:lang w:eastAsia="en-GB"/>
        </w:rPr>
        <w:t>Imd</w:t>
      </w:r>
      <w:proofErr w:type="spellEnd"/>
      <w:r w:rsidRPr="00BB1673">
        <w:rPr>
          <w:rFonts w:ascii="Times New Roman" w:eastAsia="Times New Roman" w:hAnsi="Times New Roman" w:cs="Times New Roman"/>
          <w:sz w:val="24"/>
          <w:szCs w:val="24"/>
          <w:lang w:eastAsia="en-GB"/>
        </w:rPr>
        <w:t xml:space="preserve">) signalling pathways in response to bacterial challenge. Comparative studies of conventionally reared bees against microbiota-depleted or germ-free bees have shown that the presence of a normal gut microbiota is required for baseline induction of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within gut tissue, with proteomic analysis confirming elevated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concentrations in both gut lumen and haemolymph of colonised bees relative to microbiota-free controls (Kwong et al., 2017).</w:t>
      </w:r>
    </w:p>
    <w:p w14:paraId="57B8DD2C"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immune-priming effect appears to be strain- and species-specific rather than a generic consequence of bacterial presence. Mono-colonisation experiments using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alone were sufficient to stimulate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expression, whereas subsequent work examining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found that surface-layer proteins unique to certain isolates were associated with enhanced Toll-pathway activation and improved clearance of the opportunistic pathogen </w:t>
      </w: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a bacterium implicated as a secondary invader in colonies affected by American foulbrood (Kwong et al., 2017). Notably, core symbiont taxa themselves display differential susceptibility to the very antimicrobial peptides their presence helps induce: Gram-positive members such as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are comparatively resistant to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whereas some Gram-negative symbionts show intermediate sensitivity, a pattern consistent with a coevolved relationship in which resident bacteria tolerate the host defences they help to elicit while transient or pathogenic invaders remain more vulnerable.</w:t>
      </w:r>
    </w:p>
    <w:p w14:paraId="6A09D738"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dual mode of protection, direct microbial antagonism combined with host immune conditioning, mirrors mechanisms increasingly recognised in mammalian systems and reinforces the conceptual basis for describing the honeybee gut microbiota as functioning collectively as an inherent antimicrobial system rather than as a passive digestive community.</w:t>
      </w:r>
    </w:p>
    <w:p w14:paraId="16927150"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6. Gut-Symbiont-Mediated Protection Against Honeybee Pathogens</w:t>
      </w:r>
    </w:p>
    <w:p w14:paraId="0B11C81B"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practical significance of these antimicrobial mechanisms is most clearly demonstrated in studies examining protection against major honeybee diseases. American foulbrood, caused by the spore-forming bacterium </w:t>
      </w: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remains among the most economically damaging bacterial diseases of managed colonies, and several native LAB strains isolated from bee bread and the honeybee gut, including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various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species, have demonstrated in vitro inhibitory activity against the pathogen (Vásquez et al., 2012). Comparable antagonism has been documented against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the causative agent of European foulbrood, with cell-free supernatants from selected LAB strains suppressing pathogen growth through the combined effect of organic acids and secreted inhibitory metabolites (Olofsson et al., 2016).</w:t>
      </w:r>
    </w:p>
    <w:p w14:paraId="44367692"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Beyond classical foulbrood pathogens, gut-symbiont-mediated protection has been documented against the opportunistic pathogen </w:t>
      </w: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associated with bee septicaemia, where colonisation by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and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cleared the pathogen through antimicrobial peptide induction described in the preceding section (Kwong et al., 2017). A structurally distinct but conceptually related line of research has applied </w:t>
      </w:r>
      <w:r w:rsidRPr="00BB1673">
        <w:rPr>
          <w:rFonts w:ascii="Times New Roman" w:eastAsia="Times New Roman" w:hAnsi="Times New Roman" w:cs="Times New Roman"/>
          <w:sz w:val="24"/>
          <w:szCs w:val="24"/>
          <w:lang w:eastAsia="en-GB"/>
        </w:rPr>
        <w:lastRenderedPageBreak/>
        <w:t xml:space="preserve">synthetic biology to the bee gut symbiont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itself, engineering the bacterium to express double-stranded ribonucleic acid targeted against genes of the deformed wing virus and the parasitic mite </w:t>
      </w:r>
      <w:r w:rsidRPr="00BB1673">
        <w:rPr>
          <w:rFonts w:ascii="Times New Roman" w:eastAsia="Times New Roman" w:hAnsi="Times New Roman" w:cs="Times New Roman"/>
          <w:i/>
          <w:iCs/>
          <w:sz w:val="24"/>
          <w:szCs w:val="24"/>
          <w:lang w:eastAsia="en-GB"/>
        </w:rPr>
        <w:t>Varroa destructor</w:t>
      </w:r>
      <w:r w:rsidRPr="00BB1673">
        <w:rPr>
          <w:rFonts w:ascii="Times New Roman" w:eastAsia="Times New Roman" w:hAnsi="Times New Roman" w:cs="Times New Roman"/>
          <w:sz w:val="24"/>
          <w:szCs w:val="24"/>
          <w:lang w:eastAsia="en-GB"/>
        </w:rPr>
        <w:t xml:space="preserve">. This engineered symbiont approach achieved measurable reductions in viral titre and increased mite mortality following stable gut recolonisation, representing a novel extension of the native protective role of gut bacteria into a directed antiviral and acaricidal tool, although independent commentary has cautioned that its field applicability, particularly against phoretic-phase mites on adult bees, requires further evaluation before practical deployment (Leonard et al., 2020;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w:t>
      </w:r>
    </w:p>
    <w:p w14:paraId="786F92CE"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further dimension of protection concerns resilience of the microbiota itself under antibiotic pressure, since apicultural use of antibiotics such as oxytetracycline can deplete key symbionts including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strains, with measurable downstream consequences for capped brood counts and haemolymph antimicrobial capacity; supplementation with a defined consortium of immunostimulatory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during antibiotic recovery has been shown to mitigate these deficits, restoring both microbiota composition and immune competence (Daisley et al., 2020). Table 3 summarises these pathogen-specific findings.</w:t>
      </w:r>
    </w:p>
    <w:p w14:paraId="6B5FEBE2"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3. Selected Evidence on Gut-Symbiont-Mediated Protection Against Honeybee Pathogens and Stressors</w:t>
      </w:r>
    </w:p>
    <w:tbl>
      <w:tblPr>
        <w:tblStyle w:val="TableGridLight"/>
        <w:tblW w:w="0" w:type="auto"/>
        <w:tblLook w:val="04A0" w:firstRow="1" w:lastRow="0" w:firstColumn="1" w:lastColumn="0" w:noHBand="0" w:noVBand="1"/>
      </w:tblPr>
      <w:tblGrid>
        <w:gridCol w:w="2315"/>
        <w:gridCol w:w="2536"/>
        <w:gridCol w:w="2609"/>
        <w:gridCol w:w="1556"/>
      </w:tblGrid>
      <w:tr w:rsidR="00BB1673" w:rsidRPr="00BB1673" w14:paraId="6C312147" w14:textId="77777777" w:rsidTr="00BB1673">
        <w:tc>
          <w:tcPr>
            <w:tcW w:w="0" w:type="auto"/>
            <w:hideMark/>
          </w:tcPr>
          <w:p w14:paraId="59E93177"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Pathogen / Stressor</w:t>
            </w:r>
          </w:p>
        </w:tc>
        <w:tc>
          <w:tcPr>
            <w:tcW w:w="0" w:type="auto"/>
            <w:hideMark/>
          </w:tcPr>
          <w:p w14:paraId="621B7F84"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Symbiont-Based Intervention</w:t>
            </w:r>
          </w:p>
        </w:tc>
        <w:tc>
          <w:tcPr>
            <w:tcW w:w="0" w:type="auto"/>
            <w:hideMark/>
          </w:tcPr>
          <w:p w14:paraId="53F7CA43"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Outcome</w:t>
            </w:r>
          </w:p>
        </w:tc>
        <w:tc>
          <w:tcPr>
            <w:tcW w:w="0" w:type="auto"/>
            <w:hideMark/>
          </w:tcPr>
          <w:p w14:paraId="641747FA"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064296A7" w14:textId="77777777" w:rsidTr="00BB1673">
        <w:tc>
          <w:tcPr>
            <w:tcW w:w="0" w:type="auto"/>
            <w:hideMark/>
          </w:tcPr>
          <w:p w14:paraId="33D68A5E"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(American foulbrood)</w:t>
            </w:r>
          </w:p>
        </w:tc>
        <w:tc>
          <w:tcPr>
            <w:tcW w:w="0" w:type="auto"/>
            <w:hideMark/>
          </w:tcPr>
          <w:p w14:paraId="48870F71"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Native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strains</w:t>
            </w:r>
          </w:p>
        </w:tc>
        <w:tc>
          <w:tcPr>
            <w:tcW w:w="0" w:type="auto"/>
            <w:hideMark/>
          </w:tcPr>
          <w:p w14:paraId="00682CF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In vitro growth inhibition; proposed biocontrol candidates</w:t>
            </w:r>
          </w:p>
        </w:tc>
        <w:tc>
          <w:tcPr>
            <w:tcW w:w="0" w:type="auto"/>
            <w:hideMark/>
          </w:tcPr>
          <w:p w14:paraId="3792653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w:t>
            </w:r>
          </w:p>
        </w:tc>
      </w:tr>
      <w:tr w:rsidR="00BB1673" w:rsidRPr="00BB1673" w14:paraId="226A8E43" w14:textId="77777777" w:rsidTr="00BB1673">
        <w:tc>
          <w:tcPr>
            <w:tcW w:w="0" w:type="auto"/>
            <w:hideMark/>
          </w:tcPr>
          <w:p w14:paraId="439A3D17"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xml:space="preserve"> (European foulbrood)</w:t>
            </w:r>
          </w:p>
        </w:tc>
        <w:tc>
          <w:tcPr>
            <w:tcW w:w="0" w:type="auto"/>
            <w:hideMark/>
          </w:tcPr>
          <w:p w14:paraId="0F266C95"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LAB cell-free supernatants</w:t>
            </w:r>
          </w:p>
        </w:tc>
        <w:tc>
          <w:tcPr>
            <w:tcW w:w="0" w:type="auto"/>
            <w:hideMark/>
          </w:tcPr>
          <w:p w14:paraId="50203FB5"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Antagonistic activity attributable to organic acids and secreted metabolites</w:t>
            </w:r>
          </w:p>
        </w:tc>
        <w:tc>
          <w:tcPr>
            <w:tcW w:w="0" w:type="auto"/>
            <w:hideMark/>
          </w:tcPr>
          <w:p w14:paraId="0038E9B6"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w:t>
            </w:r>
          </w:p>
        </w:tc>
      </w:tr>
      <w:tr w:rsidR="00BB1673" w:rsidRPr="00BB1673" w14:paraId="2A48DED0" w14:textId="77777777" w:rsidTr="00BB1673">
        <w:tc>
          <w:tcPr>
            <w:tcW w:w="0" w:type="auto"/>
            <w:hideMark/>
          </w:tcPr>
          <w:p w14:paraId="6CE05B15"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(bee septicaemia)</w:t>
            </w:r>
          </w:p>
        </w:tc>
        <w:tc>
          <w:tcPr>
            <w:tcW w:w="0" w:type="auto"/>
            <w:hideMark/>
          </w:tcPr>
          <w:p w14:paraId="76132C70"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mono-colonisation</w:t>
            </w:r>
          </w:p>
        </w:tc>
        <w:tc>
          <w:tcPr>
            <w:tcW w:w="0" w:type="auto"/>
            <w:hideMark/>
          </w:tcPr>
          <w:p w14:paraId="589CAF9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Antimicrobial-peptide-mediated pathogen clearance</w:t>
            </w:r>
          </w:p>
        </w:tc>
        <w:tc>
          <w:tcPr>
            <w:tcW w:w="0" w:type="auto"/>
            <w:hideMark/>
          </w:tcPr>
          <w:p w14:paraId="0E09D54F"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2017</w:t>
            </w:r>
          </w:p>
        </w:tc>
      </w:tr>
      <w:tr w:rsidR="00BB1673" w:rsidRPr="00BB1673" w14:paraId="2B3F9A41" w14:textId="77777777" w:rsidTr="00BB1673">
        <w:tc>
          <w:tcPr>
            <w:tcW w:w="0" w:type="auto"/>
            <w:hideMark/>
          </w:tcPr>
          <w:p w14:paraId="4898A45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Deformed wing virus / </w:t>
            </w:r>
            <w:r w:rsidRPr="00BB1673">
              <w:rPr>
                <w:rFonts w:ascii="Times New Roman" w:eastAsia="Times New Roman" w:hAnsi="Times New Roman" w:cs="Times New Roman"/>
                <w:i/>
                <w:iCs/>
                <w:sz w:val="24"/>
                <w:szCs w:val="24"/>
                <w:lang w:eastAsia="en-GB"/>
              </w:rPr>
              <w:t>Varroa destructor</w:t>
            </w:r>
          </w:p>
        </w:tc>
        <w:tc>
          <w:tcPr>
            <w:tcW w:w="0" w:type="auto"/>
            <w:hideMark/>
          </w:tcPr>
          <w:p w14:paraId="22E62C40"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Engineered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expressing targeted dsRNA</w:t>
            </w:r>
          </w:p>
        </w:tc>
        <w:tc>
          <w:tcPr>
            <w:tcW w:w="0" w:type="auto"/>
            <w:hideMark/>
          </w:tcPr>
          <w:p w14:paraId="733C4A05"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Reduced viral load; increased mite mortality</w:t>
            </w:r>
          </w:p>
        </w:tc>
        <w:tc>
          <w:tcPr>
            <w:tcW w:w="0" w:type="auto"/>
            <w:hideMark/>
          </w:tcPr>
          <w:p w14:paraId="6AF0998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Leonard et al., 2020;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w:t>
            </w:r>
          </w:p>
        </w:tc>
      </w:tr>
      <w:tr w:rsidR="00BB1673" w:rsidRPr="00BB1673" w14:paraId="0CD47678" w14:textId="77777777" w:rsidTr="00BB1673">
        <w:tc>
          <w:tcPr>
            <w:tcW w:w="0" w:type="auto"/>
            <w:hideMark/>
          </w:tcPr>
          <w:p w14:paraId="420D75F9"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Oxytetracycline-induced dysbiosis</w:t>
            </w:r>
          </w:p>
        </w:tc>
        <w:tc>
          <w:tcPr>
            <w:tcW w:w="0" w:type="auto"/>
            <w:hideMark/>
          </w:tcPr>
          <w:p w14:paraId="19739A71"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Multi-strain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supplementation during recovery</w:t>
            </w:r>
          </w:p>
        </w:tc>
        <w:tc>
          <w:tcPr>
            <w:tcW w:w="0" w:type="auto"/>
            <w:hideMark/>
          </w:tcPr>
          <w:p w14:paraId="02F89162"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Restoration of microbiota composition and immune competence</w:t>
            </w:r>
          </w:p>
        </w:tc>
        <w:tc>
          <w:tcPr>
            <w:tcW w:w="0" w:type="auto"/>
            <w:hideMark/>
          </w:tcPr>
          <w:p w14:paraId="14EE1626"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Daisley et al., 2020</w:t>
            </w:r>
          </w:p>
        </w:tc>
      </w:tr>
    </w:tbl>
    <w:p w14:paraId="4DD188B9"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7. Environmental Stressors, Dysbiosis and Links to Antimicrobial Resistance</w:t>
      </w:r>
    </w:p>
    <w:p w14:paraId="7A7704B5"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protective capacity described above is not fixed but is contingent on the integrity of the resident microbial community, and this integrity is increasingly threatened by anthropogenic stressors. Agrochemical exposure, particularly to neonicotinoid insecticides and to glyphosate-based herbicides, has been shown to reduce the abundance of core symbionts including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populations, with consequences for detoxification capacity and susceptibility to opportunistic infection (Nowak et al., 2021; Motta &amp; Moran, 2024). </w:t>
      </w:r>
      <w:r w:rsidRPr="00BB1673">
        <w:rPr>
          <w:rFonts w:ascii="Times New Roman" w:eastAsia="Times New Roman" w:hAnsi="Times New Roman" w:cs="Times New Roman"/>
          <w:sz w:val="24"/>
          <w:szCs w:val="24"/>
          <w:lang w:eastAsia="en-GB"/>
        </w:rPr>
        <w:lastRenderedPageBreak/>
        <w:t>Veterinary antibiotic use within apiculture compounds this problem. Longstanding use of oxytetracycline and related compounds to manage foulbrood in some countries has produced measurable enrichment of antibiotic-resistance determinants, including efflux-pump genes, within the core gut microbiota of honeybees, a pattern most pronounced in regions with the longest history of antibiotic application in beekeeping (Daisley et al., 2020).</w:t>
      </w:r>
    </w:p>
    <w:p w14:paraId="42FC9C59"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It is notable, in this context, that experimental comparisons of commercially available and native probiotic strains have found that non-native commercial products generally fail to establish within the bee gut, whereas cultured strains of native gut bacteria colonise robustly, and that overall evidence for meaningful health benefit from commercial bee probiotics remains mixed. This distinction underscores the importance of strain provenance and prior characterisation in any probiotic intervention, whether directed at bees or, by extension, at humans (Motta et al., 2022).</w:t>
      </w:r>
    </w:p>
    <w:p w14:paraId="7006E143"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observation carries implications that extend beyond bee health. Where antibiotic-exposed bee microbiota harbour elevated frequencies of resistance genes, and where horizontal gene transfer among gut community members has been documented in both honeybee and mammalian systems, honeybee colonies and their products represent a potential, if currently under-characterised, reservoir and vector for resistance determinants within the broader agricultural and environmental landscape (Nowak et al., 2021). This possibility does not contradict the antimicrobial potential described earlier in this review; rather, the same selective pressure created by antibiotic exposure can deplete beneficial antagonistic taxa while simultaneously enriching resistance genes among the bacteria that persist.</w:t>
      </w:r>
    </w:p>
    <w:p w14:paraId="52FCCCDC"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The wider public-health backdrop against which these findings should be interpreted is substantial. Bacterial antimicrobial resistance was estimated to be directly responsible for over a million deaths and to be associated with close to five million deaths globally in 2019 (Antimicrobial Resistance Collaborators, 2022), and updated modelling projects that resistance-attributable mortality will continue to rise in absolute terms through 2050 even as age-standardised rates begin to decline in some regions (GBD 2021 Antimicrobial Resistance Collaborators, 2024). It is against this trajectory that interest in naturally occurring antimicrobial systems, honeybee-associated bacteria among them, has intensified, though the environmental evidence reviewed here also counsels caution regarding the unqualified assumption that all honeybee-derived material is free of resistance-relevant genetic material.</w:t>
      </w:r>
    </w:p>
    <w:p w14:paraId="474C0823"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8. From Hive to Human: Apitherapeutic Products and Antimicrobial Activity Against Human Pathogens</w:t>
      </w:r>
    </w:p>
    <w:p w14:paraId="4AE0F5FD"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translational relevance of the honeybee gut microbiota to human health is most directly evidenced through the fermented products it helps generate and through the direct application of bee-associated bacteria against human pathogens. Honey itself is now understood to derive part of its long-recognised antibacterial reputation not merely from enzymatically generated hydrogen peroxide, low water activity and acidity, but also from the lactic acid bacterial community seeded into fresh honey from the honey stomach of forager bees. Work applying these honey-associated LAB directly against clinically significant wound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xml:space="preserve"> and vancomycin-resistant enterococci, demonstrated substantial antagonistic activity, suggesting that the bacteria themselves, rather than honey's abiotic properties alone, may account for a meaningful proportion of its traditional therapeutic efficacy (Olofsson et al., 2016). A companion pilot study applying the same lactic acid bacterial symbionts to samples from human chronic wounds </w:t>
      </w:r>
      <w:r w:rsidRPr="00BB1673">
        <w:rPr>
          <w:rFonts w:ascii="Times New Roman" w:eastAsia="Times New Roman" w:hAnsi="Times New Roman" w:cs="Times New Roman"/>
          <w:sz w:val="24"/>
          <w:szCs w:val="24"/>
          <w:lang w:eastAsia="en-GB"/>
        </w:rPr>
        <w:lastRenderedPageBreak/>
        <w:t>reported inhibitory activity against a broad panel of wound-associated pathogens, offering preliminary clinical-context evidence that these organisms retain antimicrobial function outside the hive environment (Butler et al., 2016). Seasonal sampling of the honey stomach itself indicates that antimicrobial production by this resident LAB community is not constant but fluctuates across the year, implying that the antibacterial potency of fresh honey depends in part on hive and environmental conditions at the time of collection rather than being a fixed property of the product (Mundo et al., 2023).</w:t>
      </w:r>
    </w:p>
    <w:p w14:paraId="3349CB7E"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Propolis, the resinous material bees collect from plant exudates and modify with salivary and enzymatic secretions, exerts antibacterial activity through a chemically distinct route dominated by flavonoids such as </w:t>
      </w:r>
      <w:proofErr w:type="spellStart"/>
      <w:r w:rsidRPr="00BB1673">
        <w:rPr>
          <w:rFonts w:ascii="Times New Roman" w:eastAsia="Times New Roman" w:hAnsi="Times New Roman" w:cs="Times New Roman"/>
          <w:sz w:val="24"/>
          <w:szCs w:val="24"/>
          <w:lang w:eastAsia="en-GB"/>
        </w:rPr>
        <w:t>galangin</w:t>
      </w:r>
      <w:proofErr w:type="spellEnd"/>
      <w:r w:rsidRPr="00BB1673">
        <w:rPr>
          <w:rFonts w:ascii="Times New Roman" w:eastAsia="Times New Roman" w:hAnsi="Times New Roman" w:cs="Times New Roman"/>
          <w:sz w:val="24"/>
          <w:szCs w:val="24"/>
          <w:lang w:eastAsia="en-GB"/>
        </w:rPr>
        <w:t xml:space="preserve">, chrysin and quercetin together with phenolic acids. These compounds have been shown to inhibit bacterial cell-wall synthesis, disrupt membrane integrity and interfere with nucleic acid synthesis by targeting DNA gyrase and topoisomerase enzymes, with greater potency generally reported against Gram-positive organisms such as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than against Gram-negative species (</w:t>
      </w: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2020). Region-specific propolis extracts have demonstrated activity against both methicillin-sensitive and methicillin-resistant strains of </w:t>
      </w:r>
      <w:r w:rsidRPr="00BB1673">
        <w:rPr>
          <w:rFonts w:ascii="Times New Roman" w:eastAsia="Times New Roman" w:hAnsi="Times New Roman" w:cs="Times New Roman"/>
          <w:i/>
          <w:iCs/>
          <w:sz w:val="24"/>
          <w:szCs w:val="24"/>
          <w:lang w:eastAsia="en-GB"/>
        </w:rPr>
        <w:t>S. aureus</w:t>
      </w:r>
      <w:r w:rsidRPr="00BB1673">
        <w:rPr>
          <w:rFonts w:ascii="Times New Roman" w:eastAsia="Times New Roman" w:hAnsi="Times New Roman" w:cs="Times New Roman"/>
          <w:sz w:val="24"/>
          <w:szCs w:val="24"/>
          <w:lang w:eastAsia="en-GB"/>
        </w:rPr>
        <w:t>, with total phenolic and flavonoid content shown to correlate with the strength of this effect, and evidence of synergistic enhancement when combined with conventional antibiotics has renewed interest in propolis as an adjunct rather than a standalone antimicrobial agent (</w:t>
      </w:r>
      <w:r w:rsidRPr="00BB1673">
        <w:rPr>
          <w:rFonts w:ascii="Times New Roman" w:eastAsia="Times New Roman" w:hAnsi="Times New Roman" w:cs="Times New Roman"/>
          <w:b/>
          <w:bCs/>
          <w:sz w:val="24"/>
          <w:szCs w:val="24"/>
          <w:lang w:eastAsia="en-GB"/>
        </w:rPr>
        <w:t>Bouchelaghem et al., 2022</w:t>
      </w:r>
      <w:r w:rsidRPr="00BB1673">
        <w:rPr>
          <w:rFonts w:ascii="Times New Roman" w:eastAsia="Times New Roman" w:hAnsi="Times New Roman" w:cs="Times New Roman"/>
          <w:sz w:val="24"/>
          <w:szCs w:val="24"/>
          <w:lang w:eastAsia="en-GB"/>
        </w:rPr>
        <w:t>).</w:t>
      </w:r>
    </w:p>
    <w:p w14:paraId="31107FC9"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formed through lactic fermentation of pollen within the comb, represents a further product in which the same LAB community responsible for gut and honey antimicrobial activity plays a preservative role, lowering pH and generating antimicrobial metabolites that protect the stored pollen from spoilage organisms while simultaneously enhancing its nutritional bioavailability for both bees and, when consumed as a functional food, for humans (</w:t>
      </w: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 Table 4 draws together these product-level findings.</w:t>
      </w:r>
    </w:p>
    <w:p w14:paraId="610301C8"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4. Antimicrobial Properties of Hive-Derived Products Relevant to Human Pathogens</w:t>
      </w:r>
    </w:p>
    <w:tbl>
      <w:tblPr>
        <w:tblStyle w:val="TableGridLight"/>
        <w:tblW w:w="0" w:type="auto"/>
        <w:tblLook w:val="04A0" w:firstRow="1" w:lastRow="0" w:firstColumn="1" w:lastColumn="0" w:noHBand="0" w:noVBand="1"/>
      </w:tblPr>
      <w:tblGrid>
        <w:gridCol w:w="1599"/>
        <w:gridCol w:w="2197"/>
        <w:gridCol w:w="2842"/>
        <w:gridCol w:w="2378"/>
      </w:tblGrid>
      <w:tr w:rsidR="00BB1673" w:rsidRPr="00BB1673" w14:paraId="56375C4F" w14:textId="77777777" w:rsidTr="00BB1673">
        <w:tc>
          <w:tcPr>
            <w:tcW w:w="0" w:type="auto"/>
            <w:hideMark/>
          </w:tcPr>
          <w:p w14:paraId="4B684599"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Product</w:t>
            </w:r>
          </w:p>
        </w:tc>
        <w:tc>
          <w:tcPr>
            <w:tcW w:w="0" w:type="auto"/>
            <w:hideMark/>
          </w:tcPr>
          <w:p w14:paraId="7A42E6A7"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Principal Bioactive Basis</w:t>
            </w:r>
          </w:p>
        </w:tc>
        <w:tc>
          <w:tcPr>
            <w:tcW w:w="0" w:type="auto"/>
            <w:hideMark/>
          </w:tcPr>
          <w:p w14:paraId="7397A055"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Human-Relevant Pathogens/Targets</w:t>
            </w:r>
          </w:p>
        </w:tc>
        <w:tc>
          <w:tcPr>
            <w:tcW w:w="0" w:type="auto"/>
            <w:hideMark/>
          </w:tcPr>
          <w:p w14:paraId="1AEECCE6"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964D6F" w14:paraId="6794D0D7" w14:textId="77777777" w:rsidTr="00BB1673">
        <w:tc>
          <w:tcPr>
            <w:tcW w:w="0" w:type="auto"/>
            <w:hideMark/>
          </w:tcPr>
          <w:p w14:paraId="24DD2AD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(LAB-associated fraction)</w:t>
            </w:r>
          </w:p>
        </w:tc>
        <w:tc>
          <w:tcPr>
            <w:tcW w:w="0" w:type="auto"/>
            <w:hideMark/>
          </w:tcPr>
          <w:p w14:paraId="53C1B31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stomach lactic acid bacterial symbionts, organic acids</w:t>
            </w:r>
          </w:p>
        </w:tc>
        <w:tc>
          <w:tcPr>
            <w:tcW w:w="0" w:type="auto"/>
            <w:hideMark/>
          </w:tcPr>
          <w:p w14:paraId="4900D858"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MRSA,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vancomycin-resistant enterococci</w:t>
            </w:r>
          </w:p>
        </w:tc>
        <w:tc>
          <w:tcPr>
            <w:tcW w:w="0" w:type="auto"/>
            <w:hideMark/>
          </w:tcPr>
          <w:p w14:paraId="40787106"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Olofsson et al., 2016; Butler et al., 2016; Mundo et al., 2023</w:t>
            </w:r>
          </w:p>
        </w:tc>
      </w:tr>
      <w:tr w:rsidR="00BB1673" w:rsidRPr="00BB1673" w14:paraId="1372C304" w14:textId="77777777" w:rsidTr="00BB1673">
        <w:tc>
          <w:tcPr>
            <w:tcW w:w="0" w:type="auto"/>
            <w:hideMark/>
          </w:tcPr>
          <w:p w14:paraId="531CA3E4"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Propolis</w:t>
            </w:r>
          </w:p>
        </w:tc>
        <w:tc>
          <w:tcPr>
            <w:tcW w:w="0" w:type="auto"/>
            <w:hideMark/>
          </w:tcPr>
          <w:p w14:paraId="0CC84F3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Flavonoids (</w:t>
            </w:r>
            <w:proofErr w:type="spellStart"/>
            <w:r w:rsidRPr="00BB1673">
              <w:rPr>
                <w:rFonts w:ascii="Times New Roman" w:eastAsia="Times New Roman" w:hAnsi="Times New Roman" w:cs="Times New Roman"/>
                <w:sz w:val="24"/>
                <w:szCs w:val="24"/>
                <w:lang w:eastAsia="en-GB"/>
              </w:rPr>
              <w:t>galangin</w:t>
            </w:r>
            <w:proofErr w:type="spellEnd"/>
            <w:r w:rsidRPr="00BB1673">
              <w:rPr>
                <w:rFonts w:ascii="Times New Roman" w:eastAsia="Times New Roman" w:hAnsi="Times New Roman" w:cs="Times New Roman"/>
                <w:sz w:val="24"/>
                <w:szCs w:val="24"/>
                <w:lang w:eastAsia="en-GB"/>
              </w:rPr>
              <w:t>, chrysin, quercetin) and phenolic acids</w:t>
            </w:r>
          </w:p>
        </w:tc>
        <w:tc>
          <w:tcPr>
            <w:tcW w:w="0" w:type="auto"/>
            <w:hideMark/>
          </w:tcPr>
          <w:p w14:paraId="7B941F09"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(including MRSA), </w:t>
            </w:r>
            <w:r w:rsidRPr="00BB1673">
              <w:rPr>
                <w:rFonts w:ascii="Times New Roman" w:eastAsia="Times New Roman" w:hAnsi="Times New Roman" w:cs="Times New Roman"/>
                <w:i/>
                <w:iCs/>
                <w:sz w:val="24"/>
                <w:szCs w:val="24"/>
                <w:lang w:eastAsia="en-GB"/>
              </w:rPr>
              <w:t>Candida albicans</w:t>
            </w:r>
          </w:p>
        </w:tc>
        <w:tc>
          <w:tcPr>
            <w:tcW w:w="0" w:type="auto"/>
            <w:hideMark/>
          </w:tcPr>
          <w:p w14:paraId="7C779A98"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2020; </w:t>
            </w:r>
            <w:r w:rsidRPr="00BB1673">
              <w:rPr>
                <w:rFonts w:ascii="Times New Roman" w:eastAsia="Times New Roman" w:hAnsi="Times New Roman" w:cs="Times New Roman"/>
                <w:b/>
                <w:bCs/>
                <w:sz w:val="24"/>
                <w:szCs w:val="24"/>
                <w:lang w:eastAsia="en-GB"/>
              </w:rPr>
              <w:t>Bouchelaghem et al., 2022</w:t>
            </w:r>
          </w:p>
        </w:tc>
      </w:tr>
      <w:tr w:rsidR="00BB1673" w:rsidRPr="00BB1673" w14:paraId="4BE73962" w14:textId="77777777" w:rsidTr="00BB1673">
        <w:tc>
          <w:tcPr>
            <w:tcW w:w="0" w:type="auto"/>
            <w:hideMark/>
          </w:tcPr>
          <w:p w14:paraId="34B0256E"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(fermented pollen)</w:t>
            </w:r>
          </w:p>
        </w:tc>
        <w:tc>
          <w:tcPr>
            <w:tcW w:w="0" w:type="auto"/>
            <w:hideMark/>
          </w:tcPr>
          <w:p w14:paraId="6498B08B"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LAB fermentation metabolites, low pH environment</w:t>
            </w:r>
          </w:p>
        </w:tc>
        <w:tc>
          <w:tcPr>
            <w:tcW w:w="0" w:type="auto"/>
            <w:hideMark/>
          </w:tcPr>
          <w:p w14:paraId="50B9BE8E"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Food-spoilage and enteric organisms (in vitro/preservative context)</w:t>
            </w:r>
          </w:p>
        </w:tc>
        <w:tc>
          <w:tcPr>
            <w:tcW w:w="0" w:type="auto"/>
            <w:hideMark/>
          </w:tcPr>
          <w:p w14:paraId="00D0234F"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w:t>
            </w:r>
          </w:p>
        </w:tc>
      </w:tr>
      <w:tr w:rsidR="00BB1673" w:rsidRPr="00BB1673" w14:paraId="40AEE4B5" w14:textId="77777777" w:rsidTr="00BB1673">
        <w:tc>
          <w:tcPr>
            <w:tcW w:w="0" w:type="auto"/>
            <w:hideMark/>
          </w:tcPr>
          <w:p w14:paraId="00913A7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Larval food / royal jelly milieu</w:t>
            </w:r>
          </w:p>
        </w:tc>
        <w:tc>
          <w:tcPr>
            <w:tcW w:w="0" w:type="auto"/>
            <w:hideMark/>
          </w:tcPr>
          <w:p w14:paraId="5E7CF90A"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sz w:val="24"/>
                <w:szCs w:val="24"/>
                <w:lang w:eastAsia="en-GB"/>
              </w:rPr>
              <w:t>-associated antimicrobial and osmotolerant activity</w:t>
            </w:r>
          </w:p>
        </w:tc>
        <w:tc>
          <w:tcPr>
            <w:tcW w:w="0" w:type="auto"/>
            <w:hideMark/>
          </w:tcPr>
          <w:p w14:paraId="7B6AE09A"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Gram-positive opportunists, fungal invaders</w:t>
            </w:r>
          </w:p>
        </w:tc>
        <w:tc>
          <w:tcPr>
            <w:tcW w:w="0" w:type="auto"/>
            <w:hideMark/>
          </w:tcPr>
          <w:p w14:paraId="4E3775C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Motta &amp; Moran, 2024</w:t>
            </w:r>
          </w:p>
        </w:tc>
      </w:tr>
    </w:tbl>
    <w:p w14:paraId="1088C62E"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lastRenderedPageBreak/>
        <w:t>9. Honeybee-Derived Probiotic Candidates for Human Health Applications</w:t>
      </w:r>
    </w:p>
    <w:p w14:paraId="6A277EB1"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Distinct from the antimicrobial properties of hive products themselves, a smaller body of work has evaluated whether individual honeybee gut- or hive-derived bacterial strains meet recognised criteria for human probiotic use. The internationally accepted definition, developed jointly by the Food and Agriculture Organization and the World Health Organization and subsequently refined by an expert consensus panel, specifies that a probiotic is a living microbial preparation which, given in sufficient dose, produces a measurable benefit for the host's health (Hill et al., 2014). Meeting this definition requires evidence of strain-level safety, tolerance of gastrointestinal transit conditions including gastric acidity and bile salts, and a documented mechanism of benefit, criteria considerably more stringent than simple demonstration of in vitro antimicrobial activity.</w:t>
      </w:r>
    </w:p>
    <w:p w14:paraId="08343E0C"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 </w:t>
      </w: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lactic acid bacterium recurrently isolated from bee bread and the honeybee gut, has received the most direct evaluation against these criteria. Strains isolated from hive products have demonstrated favourable enzymatic profiles, including β-glucosidase and β-galactosidase activity, low intrinsic antibiotic resistance, inhibitory activity against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xml:space="preserve"> and, in some strains, against </w:t>
      </w:r>
      <w:r w:rsidRPr="00BB1673">
        <w:rPr>
          <w:rFonts w:ascii="Times New Roman" w:eastAsia="Times New Roman" w:hAnsi="Times New Roman" w:cs="Times New Roman"/>
          <w:i/>
          <w:iCs/>
          <w:sz w:val="24"/>
          <w:szCs w:val="24"/>
          <w:lang w:eastAsia="en-GB"/>
        </w:rPr>
        <w:t>Enterococcus faecalis</w:t>
      </w:r>
      <w:r w:rsidRPr="00BB1673">
        <w:rPr>
          <w:rFonts w:ascii="Times New Roman" w:eastAsia="Times New Roman" w:hAnsi="Times New Roman" w:cs="Times New Roman"/>
          <w:sz w:val="24"/>
          <w:szCs w:val="24"/>
          <w:lang w:eastAsia="en-GB"/>
        </w:rPr>
        <w:t xml:space="preserve">, and survival through simulated gastrointestinal transit comparable to or better than that of </w:t>
      </w:r>
      <w:proofErr w:type="spellStart"/>
      <w:r w:rsidRPr="00BB1673">
        <w:rPr>
          <w:rFonts w:ascii="Times New Roman" w:eastAsia="Times New Roman" w:hAnsi="Times New Roman" w:cs="Times New Roman"/>
          <w:i/>
          <w:iCs/>
          <w:sz w:val="24"/>
          <w:szCs w:val="24"/>
          <w:lang w:eastAsia="en-GB"/>
        </w:rPr>
        <w:t>Lacticaseibacillus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rhamnosus</w:t>
      </w:r>
      <w:proofErr w:type="spellEnd"/>
      <w:r w:rsidRPr="00BB1673">
        <w:rPr>
          <w:rFonts w:ascii="Times New Roman" w:eastAsia="Times New Roman" w:hAnsi="Times New Roman" w:cs="Times New Roman"/>
          <w:sz w:val="24"/>
          <w:szCs w:val="24"/>
          <w:lang w:eastAsia="en-GB"/>
        </w:rPr>
        <w:t xml:space="preserve"> GG, a benchmark commercial probiotic strain (</w:t>
      </w: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 The recurrent natural presence of this organism in honey and other traditionally consumed hive products lends indirect support to an argument for its likely safety in human consumption, although this inference falls short of the direct safety and efficacy data that formal regulatory approval would require.</w:t>
      </w:r>
    </w:p>
    <w:p w14:paraId="573CFB7E"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broader honey-associated LAB consortium characterised by Olofsson, Vásquez and colleagues has similarly been positioned as a candidate source of human-relevant probiotic and antimicrobial material, with the same strains implicated in honey's antibacterial activity against wound pathogens also proposed, on the basis of their natural dietary presence, as candidates for further probiotic development (Vásquez et al., 2012; Olofsson et al., 2016). More broadly, reviews of honey and honeybee-associated bacteria as sources of probiotic and prebiotic products have catalogued a wider range of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isolates from bee bread and honey exhibiting gastrointestinal stress tolerance and prebiotic substrate utilisation relevant to human digestive health, although the authors of these reviews consistently note that most such evidence remains preclinical, derived predominantly from in vitro gastrointestinal simulation rather than controlled human trials (</w:t>
      </w: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 Table 5 summarises the principal candidate strains and the human-relevant probiotic traits documented for each.</w:t>
      </w:r>
    </w:p>
    <w:p w14:paraId="59890642"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5. Candidate Honeybee-Derived Lactic Acid Bacteria Evaluated Against Human Probiotic Criteria</w:t>
      </w:r>
    </w:p>
    <w:tbl>
      <w:tblPr>
        <w:tblStyle w:val="TableGridLight"/>
        <w:tblW w:w="0" w:type="auto"/>
        <w:tblLook w:val="04A0" w:firstRow="1" w:lastRow="0" w:firstColumn="1" w:lastColumn="0" w:noHBand="0" w:noVBand="1"/>
      </w:tblPr>
      <w:tblGrid>
        <w:gridCol w:w="2512"/>
        <w:gridCol w:w="1697"/>
        <w:gridCol w:w="3034"/>
        <w:gridCol w:w="1773"/>
      </w:tblGrid>
      <w:tr w:rsidR="00BB1673" w:rsidRPr="00BB1673" w14:paraId="5911B89C" w14:textId="77777777" w:rsidTr="00BB1673">
        <w:tc>
          <w:tcPr>
            <w:tcW w:w="0" w:type="auto"/>
            <w:hideMark/>
          </w:tcPr>
          <w:p w14:paraId="78C20AFC"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Strain / Consortium</w:t>
            </w:r>
          </w:p>
        </w:tc>
        <w:tc>
          <w:tcPr>
            <w:tcW w:w="0" w:type="auto"/>
            <w:hideMark/>
          </w:tcPr>
          <w:p w14:paraId="472C4CCC"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Isolation Source</w:t>
            </w:r>
          </w:p>
        </w:tc>
        <w:tc>
          <w:tcPr>
            <w:tcW w:w="0" w:type="auto"/>
            <w:hideMark/>
          </w:tcPr>
          <w:p w14:paraId="098B13A4"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Human-Relevant Probiotic Trait Demonstrated</w:t>
            </w:r>
          </w:p>
        </w:tc>
        <w:tc>
          <w:tcPr>
            <w:tcW w:w="0" w:type="auto"/>
            <w:hideMark/>
          </w:tcPr>
          <w:p w14:paraId="377D32C6" w14:textId="77777777" w:rsidR="00BB1673" w:rsidRPr="00BB1673" w:rsidRDefault="00BB1673" w:rsidP="00E36C2A">
            <w:pPr>
              <w:jc w:val="both"/>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2BD93158" w14:textId="77777777" w:rsidTr="00BB1673">
        <w:tc>
          <w:tcPr>
            <w:tcW w:w="0" w:type="auto"/>
            <w:hideMark/>
          </w:tcPr>
          <w:p w14:paraId="17E41AFB"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p>
        </w:tc>
        <w:tc>
          <w:tcPr>
            <w:tcW w:w="0" w:type="auto"/>
            <w:hideMark/>
          </w:tcPr>
          <w:p w14:paraId="24EBCEA6"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honeybee gut</w:t>
            </w:r>
          </w:p>
        </w:tc>
        <w:tc>
          <w:tcPr>
            <w:tcW w:w="0" w:type="auto"/>
            <w:hideMark/>
          </w:tcPr>
          <w:p w14:paraId="05638A61"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Gastrointestinal transit tolerance, low antibiotic resistance, inhibition of </w:t>
            </w:r>
            <w:r w:rsidRPr="00BB1673">
              <w:rPr>
                <w:rFonts w:ascii="Times New Roman" w:eastAsia="Times New Roman" w:hAnsi="Times New Roman" w:cs="Times New Roman"/>
                <w:i/>
                <w:iCs/>
                <w:sz w:val="24"/>
                <w:szCs w:val="24"/>
                <w:lang w:eastAsia="en-GB"/>
              </w:rPr>
              <w:t>P. aeruginosa</w:t>
            </w:r>
          </w:p>
        </w:tc>
        <w:tc>
          <w:tcPr>
            <w:tcW w:w="0" w:type="auto"/>
            <w:hideMark/>
          </w:tcPr>
          <w:p w14:paraId="56C05712"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w:t>
            </w:r>
          </w:p>
        </w:tc>
      </w:tr>
      <w:tr w:rsidR="00BB1673" w:rsidRPr="00964D6F" w14:paraId="705F685C" w14:textId="77777777" w:rsidTr="00BB1673">
        <w:tc>
          <w:tcPr>
            <w:tcW w:w="0" w:type="auto"/>
            <w:hideMark/>
          </w:tcPr>
          <w:p w14:paraId="4646D4B6"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Honey-associated LAB consortium</w:t>
            </w:r>
          </w:p>
        </w:tc>
        <w:tc>
          <w:tcPr>
            <w:tcW w:w="0" w:type="auto"/>
            <w:hideMark/>
          </w:tcPr>
          <w:p w14:paraId="265B187E"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Fresh honey (worldwide)</w:t>
            </w:r>
          </w:p>
        </w:tc>
        <w:tc>
          <w:tcPr>
            <w:tcW w:w="0" w:type="auto"/>
            <w:hideMark/>
          </w:tcPr>
          <w:p w14:paraId="0FC77377"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Broad antimicrobial spectrum against MRSA, VRE, </w:t>
            </w:r>
            <w:r w:rsidRPr="00BB1673">
              <w:rPr>
                <w:rFonts w:ascii="Times New Roman" w:eastAsia="Times New Roman" w:hAnsi="Times New Roman" w:cs="Times New Roman"/>
                <w:i/>
                <w:iCs/>
                <w:sz w:val="24"/>
                <w:szCs w:val="24"/>
                <w:lang w:eastAsia="en-GB"/>
              </w:rPr>
              <w:t>P. aeruginosa</w:t>
            </w:r>
          </w:p>
        </w:tc>
        <w:tc>
          <w:tcPr>
            <w:tcW w:w="0" w:type="auto"/>
            <w:hideMark/>
          </w:tcPr>
          <w:p w14:paraId="71A55FF7" w14:textId="77777777" w:rsidR="00BB1673" w:rsidRPr="00964D6F" w:rsidRDefault="00BB1673" w:rsidP="00E36C2A">
            <w:pPr>
              <w:jc w:val="both"/>
              <w:rPr>
                <w:rFonts w:ascii="Times New Roman" w:eastAsia="Times New Roman" w:hAnsi="Times New Roman" w:cs="Times New Roman"/>
                <w:sz w:val="24"/>
                <w:szCs w:val="24"/>
                <w:lang w:val="nl-BE" w:eastAsia="en-GB"/>
              </w:rPr>
            </w:pPr>
            <w:r w:rsidRPr="00964D6F">
              <w:rPr>
                <w:rFonts w:ascii="Times New Roman" w:eastAsia="Times New Roman" w:hAnsi="Times New Roman" w:cs="Times New Roman"/>
                <w:sz w:val="24"/>
                <w:szCs w:val="24"/>
                <w:lang w:val="nl-BE" w:eastAsia="en-GB"/>
              </w:rPr>
              <w:t>Vásquez et al., 2012; Olofsson et al., 2016</w:t>
            </w:r>
          </w:p>
        </w:tc>
      </w:tr>
      <w:tr w:rsidR="00BB1673" w:rsidRPr="00BB1673" w14:paraId="1947EA03" w14:textId="77777777" w:rsidTr="00BB1673">
        <w:tc>
          <w:tcPr>
            <w:tcW w:w="0" w:type="auto"/>
            <w:hideMark/>
          </w:tcPr>
          <w:p w14:paraId="17338557"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Honey stomach lactic acid bacterial symbionts</w:t>
            </w:r>
          </w:p>
        </w:tc>
        <w:tc>
          <w:tcPr>
            <w:tcW w:w="0" w:type="auto"/>
            <w:hideMark/>
          </w:tcPr>
          <w:p w14:paraId="2E8F0E15"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Honeybee honey stomach</w:t>
            </w:r>
          </w:p>
        </w:tc>
        <w:tc>
          <w:tcPr>
            <w:tcW w:w="0" w:type="auto"/>
            <w:hideMark/>
          </w:tcPr>
          <w:p w14:paraId="411C0D4D"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Inhibition of human chronic wound pathogens (preliminary clinical-context assay)</w:t>
            </w:r>
          </w:p>
        </w:tc>
        <w:tc>
          <w:tcPr>
            <w:tcW w:w="0" w:type="auto"/>
            <w:hideMark/>
          </w:tcPr>
          <w:p w14:paraId="6C371C5C"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Butler et al., 2016</w:t>
            </w:r>
          </w:p>
        </w:tc>
      </w:tr>
      <w:tr w:rsidR="00BB1673" w:rsidRPr="00BB1673" w14:paraId="36C10B49" w14:textId="77777777" w:rsidTr="00BB1673">
        <w:tc>
          <w:tcPr>
            <w:tcW w:w="0" w:type="auto"/>
            <w:hideMark/>
          </w:tcPr>
          <w:p w14:paraId="76E940D7"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isolates from bee bread</w:t>
            </w:r>
          </w:p>
        </w:tc>
        <w:tc>
          <w:tcPr>
            <w:tcW w:w="0" w:type="auto"/>
            <w:hideMark/>
          </w:tcPr>
          <w:p w14:paraId="6D696A72"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fermented pollen</w:t>
            </w:r>
          </w:p>
        </w:tc>
        <w:tc>
          <w:tcPr>
            <w:tcW w:w="0" w:type="auto"/>
            <w:hideMark/>
          </w:tcPr>
          <w:p w14:paraId="00257873" w14:textId="77777777" w:rsidR="00BB1673" w:rsidRPr="00BB1673" w:rsidRDefault="00BB1673" w:rsidP="00E36C2A">
            <w:pPr>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Simulated gastrointestinal stress tolerance, prebiotic substrate utilisation</w:t>
            </w:r>
          </w:p>
        </w:tc>
        <w:tc>
          <w:tcPr>
            <w:tcW w:w="0" w:type="auto"/>
            <w:hideMark/>
          </w:tcPr>
          <w:p w14:paraId="388A8FF2" w14:textId="77777777" w:rsidR="00BB1673" w:rsidRPr="00BB1673" w:rsidRDefault="00BB1673" w:rsidP="00E36C2A">
            <w:pPr>
              <w:jc w:val="both"/>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w:t>
            </w:r>
          </w:p>
        </w:tc>
      </w:tr>
    </w:tbl>
    <w:p w14:paraId="26DAC59D"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Taken together, the evidence assembled in this section indicates that several honeybee- and hive-derived organisms satisfy preliminary in vitro criteria for probiotic classification, but none has yet progressed to the controlled human intervention trials that formal validation under the Hill et al. (2014) framework requires. This gap is addressed further in the discussion of future research priorities below.</w:t>
      </w:r>
    </w:p>
    <w:p w14:paraId="31DBE690"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10. Biotechnological and Engineering Frontiers</w:t>
      </w:r>
    </w:p>
    <w:p w14:paraId="5C28E393"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Advances in genetic tractability have opened a further avenue by which the honeybee gut microbiota may inform applications beyond its native antimicrobial functions. The demonstration that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can be stably engineered to express targeted double-stranded ribonucleic acid, thereby directing the host's own ribonucleic acid interference machinery against viral and parasitic targets, established the honeybee gut symbiont as a genuinely programmable biological platform rather than solely a passive antimicrobial reservoir (Leonard et al., 2020). Subsequent work has extended the same modular engineering toolkit to develop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-based biosensors capable of reporting on gut chemical conditions non-invasively through faecal sampling, a technical advance that, while developed primarily for fundamental host–microbiota research, illustrates the broader potential for engineered bee symbionts to serve monitoring or diagnostic functions (Chhun et al., 2024).</w:t>
      </w:r>
    </w:p>
    <w:p w14:paraId="27AF6043"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These engineering approaches remain at an early, largely laboratory-based stage, and independent commentary has noted specific biological constraints, including the observation that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-based interventions act primarily on adult bees rather than on the pre-imaginal life stages where </w:t>
      </w:r>
      <w:r w:rsidRPr="00BB1673">
        <w:rPr>
          <w:rFonts w:ascii="Times New Roman" w:eastAsia="Times New Roman" w:hAnsi="Times New Roman" w:cs="Times New Roman"/>
          <w:i/>
          <w:iCs/>
          <w:sz w:val="24"/>
          <w:szCs w:val="24"/>
          <w:lang w:eastAsia="en-GB"/>
        </w:rPr>
        <w:t>Varroa destructor</w:t>
      </w:r>
      <w:r w:rsidRPr="00BB1673">
        <w:rPr>
          <w:rFonts w:ascii="Times New Roman" w:eastAsia="Times New Roman" w:hAnsi="Times New Roman" w:cs="Times New Roman"/>
          <w:sz w:val="24"/>
          <w:szCs w:val="24"/>
          <w:lang w:eastAsia="en-GB"/>
        </w:rPr>
        <w:t xml:space="preserve"> reproduces, limiting the scope of protection achievable through this particular symbiont without complementary approaches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 Nonetheless, the demonstrated feasibility of directed genetic modification within a native, stably colonising gut bacterium provides a template that could, in principle, be adapted toward engineered delivery of therapeutic peptides or antimicrobial factors, extending the concept of the bee gut microbiota as inherent antimicrobial machinery into a deliberately engineered domain.</w:t>
      </w:r>
    </w:p>
    <w:p w14:paraId="0E0CA65C"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11. Future Directions</w:t>
      </w:r>
    </w:p>
    <w:p w14:paraId="1656DDDB"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Several research priorities emerge from the evidence synthesised in this review. First, strain-level characterisation of candidate honeybee-derived probiotics requires substantial expansion beyond the handful of well-studied organisms discussed above, with particular attention to whole-genome sequencing to confirm the absence of transferable antibiotic-resistance determinants and virulence factors before any strain is proposed for human application, a precaution made more pressing by the documented enrichment of resistance genes in antibiotic-exposed bee microbiota (Daisley et al., 2020). Second, controlled human intervention studies are essential; the existing evidence base rests almost entirely on in vitro antimicrobial assays and simulated gastrointestinal models, and formal validation against the internationally </w:t>
      </w:r>
      <w:r w:rsidRPr="00BB1673">
        <w:rPr>
          <w:rFonts w:ascii="Times New Roman" w:eastAsia="Times New Roman" w:hAnsi="Times New Roman" w:cs="Times New Roman"/>
          <w:sz w:val="24"/>
          <w:szCs w:val="24"/>
          <w:lang w:eastAsia="en-GB"/>
        </w:rPr>
        <w:lastRenderedPageBreak/>
        <w:t xml:space="preserve">recognised probiotic definition requires demonstrated health benefit in living human subjects, not merely in vitro inhibition of isolated pathogens (Hill et al., 2014). Third, the relationship between environmental stressors, particularly agrochemical exposure and veterinary antibiotic use, and the antimicrobial competence of the bee gut microbiota merits closer integration with One Health surveillance frameworks, given the plausible role of managed pollinator populations as an under-monitored node in the broader ecology of antimicrobial resistance (GBD 2021 Antimicrobial Resistance Collaborators, 2024). Fourth, the engineered-symbiont approaches described in Section 10 warrant expansion beyond antiviral and acaricidal applications to explore whether directed expression of antimicrobial peptides or bacteriocin genes within stably colonising strains could enhance native protective capacity, both for bee health and, speculatively, as a platform technology transferable to other applications (Leonard et al., 2020; Chhun et al., 2024). Finally, comparative work across additional </w:t>
      </w:r>
      <w:r w:rsidRPr="00BB1673">
        <w:rPr>
          <w:rFonts w:ascii="Times New Roman" w:eastAsia="Times New Roman" w:hAnsi="Times New Roman" w:cs="Times New Roman"/>
          <w:i/>
          <w:iCs/>
          <w:sz w:val="24"/>
          <w:szCs w:val="24"/>
          <w:lang w:eastAsia="en-GB"/>
        </w:rPr>
        <w:t>Apis</w:t>
      </w:r>
      <w:r w:rsidRPr="00BB1673">
        <w:rPr>
          <w:rFonts w:ascii="Times New Roman" w:eastAsia="Times New Roman" w:hAnsi="Times New Roman" w:cs="Times New Roman"/>
          <w:sz w:val="24"/>
          <w:szCs w:val="24"/>
          <w:lang w:eastAsia="en-GB"/>
        </w:rPr>
        <w:t xml:space="preserve"> species, building on the growing body of evidence from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populations, may help distinguish antimicrobial mechanisms that are broadly conserved across the genus from those specific to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thereby clarifying which findings can be generalised with greater confidence (</w:t>
      </w:r>
      <w:proofErr w:type="spellStart"/>
      <w:r w:rsidRPr="00BB1673">
        <w:rPr>
          <w:rFonts w:ascii="Times New Roman" w:eastAsia="Times New Roman" w:hAnsi="Times New Roman" w:cs="Times New Roman"/>
          <w:sz w:val="24"/>
          <w:szCs w:val="24"/>
          <w:lang w:eastAsia="en-GB"/>
        </w:rPr>
        <w:t>Lanh</w:t>
      </w:r>
      <w:proofErr w:type="spellEnd"/>
      <w:r w:rsidRPr="00BB1673">
        <w:rPr>
          <w:rFonts w:ascii="Times New Roman" w:eastAsia="Times New Roman" w:hAnsi="Times New Roman" w:cs="Times New Roman"/>
          <w:sz w:val="24"/>
          <w:szCs w:val="24"/>
          <w:lang w:eastAsia="en-GB"/>
        </w:rPr>
        <w:t xml:space="preserve"> et al., 2022; Yun et al., 2022).</w:t>
      </w:r>
    </w:p>
    <w:p w14:paraId="1D89EA82"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12. Conclusions</w:t>
      </w:r>
    </w:p>
    <w:p w14:paraId="4EF64FCC" w14:textId="77777777" w:rsidR="00BB1673" w:rsidRP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gut microbiota of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functions as a compact but mechanistically diverse antimicrobial system, combining direct metabolite-based antagonism, competitive niche exclusion and host immune priming to protect the bee against a range of bacterial and viral pathogens. This protective capacity extends, through the same bacterial community and the hive products it helps generate, to measurable inhibitory activity against clinically significant human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and multidrug-resistant Gram-negative organisms, observed in honey, propolis and directly applied lactic acid bacterial isolates. Several individual strains, most notably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the honey-associated lactic acid bacterial consortium first characterised in Swedish honey, satisfy preliminary in vitro criteria consistent with probiotic candidacy. At the same time, the same environmental pressures that threaten honeybee colony health, agrochemical exposure and veterinary antibiotic use foremost among them, also compromise the antimicrobial integrity of the gut microbiota and may promote the accumulation of resistance determinants within it, a finding that tempers any presumption that honeybee-derived material is inherently free of resistance-associated risk. The honeybee gut microbiota therefore represents a genuinely promising, but as yet incompletely validated, source of naturally occurring antimicrobial biology, one whose translation from apicultural observation to human therapeutic application will depend on the strain-level safety characterisation and controlled clinical evaluation identified as priorities above.</w:t>
      </w:r>
    </w:p>
    <w:p w14:paraId="5A602564"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13. Limitations</w:t>
      </w:r>
    </w:p>
    <w:p w14:paraId="358756D4" w14:textId="77777777" w:rsidR="00BB1673" w:rsidRDefault="00BB1673"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review is subject to several limitations that should inform interpretation of its conclusions. The evidence base for human-relevant applications remains small relative to the substantially larger literature on bee-health outcomes, and conclusions regarding human probiotic potential rest on a comparatively narrow set of studies, several of which originate from a small number of research groups, raising the possibility of limited independent replication. Most translational studies to date have relied on in vitro or simulated gastrointestinal assays rather than controlled human trials, and extrapolation from these preclinical findings to genuine clinical benefit should be regarded as provisional. The narrative review methodology adopted here, while appropriate for the interdisciplinary synthesis attempted, does not include the formal quality-</w:t>
      </w:r>
      <w:r w:rsidRPr="00BB1673">
        <w:rPr>
          <w:rFonts w:ascii="Times New Roman" w:eastAsia="Times New Roman" w:hAnsi="Times New Roman" w:cs="Times New Roman"/>
          <w:sz w:val="24"/>
          <w:szCs w:val="24"/>
          <w:lang w:eastAsia="en-GB"/>
        </w:rPr>
        <w:lastRenderedPageBreak/>
        <w:t>appraisal or risk-of-bias scoring associated with systematic review methodology, and the selection and weighting of evidence, although conducted according to the explicit criteria described in the methods section, retains an element of author judgement. Finally, the literature search was restricted to English-language, peer-reviewed publications with verifiable digital object identifiers, a criterion that, while protecting against inclusion of unreliable or fabricated sources, may have excluded relevant regional or non-English-language research, particularly work conducted in regions with substantial apicultural traditions but comparatively limited representation in the indexed international literature.</w:t>
      </w:r>
    </w:p>
    <w:p w14:paraId="241AD344" w14:textId="77777777" w:rsidR="003668C2" w:rsidRDefault="003668C2"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34279FC9" w14:textId="77777777" w:rsidR="003668C2" w:rsidRPr="00C04DA0" w:rsidRDefault="003668C2" w:rsidP="00E36C2A">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6F29B1D1" w14:textId="77777777" w:rsidR="003668C2" w:rsidRPr="00C04DA0" w:rsidRDefault="003668C2" w:rsidP="00E36C2A">
      <w:pPr>
        <w:spacing w:after="0" w:line="240" w:lineRule="auto"/>
        <w:jc w:val="both"/>
        <w:rPr>
          <w:rFonts w:ascii="Times New Roman" w:eastAsia="Calibri" w:hAnsi="Times New Roman" w:cs="Times New Roman"/>
        </w:rPr>
      </w:pPr>
    </w:p>
    <w:p w14:paraId="2D9789ED" w14:textId="77777777" w:rsidR="003668C2" w:rsidRDefault="003668C2" w:rsidP="00E36C2A">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9930B43" w14:textId="77777777" w:rsidR="003668C2" w:rsidRDefault="003668C2" w:rsidP="00E36C2A">
      <w:pPr>
        <w:spacing w:after="0" w:line="240" w:lineRule="auto"/>
        <w:jc w:val="both"/>
        <w:rPr>
          <w:rFonts w:ascii="Times New Roman" w:eastAsia="Calibri" w:hAnsi="Times New Roman" w:cs="Times New Roman"/>
        </w:rPr>
      </w:pPr>
    </w:p>
    <w:p w14:paraId="0923CBBB" w14:textId="77777777" w:rsidR="003668C2" w:rsidRDefault="003668C2" w:rsidP="00E36C2A">
      <w:pPr>
        <w:spacing w:after="0" w:line="240" w:lineRule="auto"/>
        <w:jc w:val="both"/>
        <w:rPr>
          <w:rFonts w:ascii="Times New Roman" w:eastAsia="Calibri" w:hAnsi="Times New Roman" w:cs="Times New Roman"/>
        </w:rPr>
      </w:pPr>
    </w:p>
    <w:p w14:paraId="3D4B75DD" w14:textId="0D24C3BC" w:rsidR="003668C2" w:rsidRPr="00DA60C2" w:rsidRDefault="003668C2" w:rsidP="00E36C2A">
      <w:pPr>
        <w:jc w:val="both"/>
        <w:rPr>
          <w:rFonts w:ascii="Cambria" w:eastAsia="Times New Roman" w:hAnsi="Cambria" w:cs="Arial"/>
          <w:b/>
          <w:bCs/>
          <w:lang w:eastAsia="en-GB"/>
        </w:rPr>
      </w:pPr>
      <w:r w:rsidRPr="00DA60C2">
        <w:rPr>
          <w:rFonts w:ascii="Cambria" w:eastAsia="Times New Roman" w:hAnsi="Cambria" w:cs="Arial"/>
          <w:b/>
          <w:bCs/>
          <w:lang w:eastAsia="en-GB"/>
        </w:rPr>
        <w:t>COMPETING INTERESTS:</w:t>
      </w:r>
    </w:p>
    <w:p w14:paraId="12F56A37" w14:textId="77777777" w:rsidR="003668C2" w:rsidRPr="00DA60C2" w:rsidRDefault="003668C2" w:rsidP="00E36C2A">
      <w:pPr>
        <w:jc w:val="both"/>
        <w:rPr>
          <w:rFonts w:ascii="Cambria" w:eastAsia="Times New Roman" w:hAnsi="Cambria" w:cs="Times New Roman"/>
          <w:lang w:eastAsia="en-GB"/>
        </w:rPr>
      </w:pPr>
      <w:r w:rsidRPr="00DA60C2">
        <w:rPr>
          <w:rFonts w:ascii="Cambria" w:eastAsia="Times New Roman" w:hAnsi="Cambria" w:cs="Arial"/>
          <w:lang w:eastAsia="en-GB"/>
        </w:rPr>
        <w:t>Authors have declared that they have no known competing financial interests OR non-financial interests OR personal relationships that could have appeared to influence the work reported in this paper.</w:t>
      </w:r>
    </w:p>
    <w:p w14:paraId="6BF88C08" w14:textId="77777777" w:rsidR="003668C2" w:rsidRPr="00BB1673" w:rsidRDefault="003668C2" w:rsidP="00E36C2A">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3920F6C2" w14:textId="77777777" w:rsidR="00BB1673" w:rsidRPr="00BB1673" w:rsidRDefault="00BB1673" w:rsidP="00E36C2A">
      <w:pPr>
        <w:spacing w:after="0" w:line="240" w:lineRule="auto"/>
        <w:jc w:val="both"/>
        <w:rPr>
          <w:rFonts w:ascii="Times New Roman" w:eastAsia="Times New Roman" w:hAnsi="Times New Roman" w:cs="Times New Roman"/>
          <w:sz w:val="24"/>
          <w:szCs w:val="24"/>
          <w:lang w:eastAsia="en-GB"/>
        </w:rPr>
      </w:pPr>
    </w:p>
    <w:p w14:paraId="40A74106" w14:textId="77777777" w:rsidR="00BB1673" w:rsidRPr="00BB1673" w:rsidRDefault="00BB1673" w:rsidP="00E36C2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References</w:t>
      </w:r>
    </w:p>
    <w:p w14:paraId="771586DB" w14:textId="77777777" w:rsidR="00964D6F" w:rsidRDefault="00964D6F" w:rsidP="00964D6F">
      <w:pPr>
        <w:pStyle w:val="isselectedend"/>
        <w:ind w:left="540" w:hanging="540"/>
        <w:jc w:val="both"/>
      </w:pPr>
      <w:proofErr w:type="spellStart"/>
      <w:r>
        <w:t>Almuhayawi</w:t>
      </w:r>
      <w:proofErr w:type="spellEnd"/>
      <w:r>
        <w:t xml:space="preserve">, M. S. (2020). Propolis as a novel antibacterial agent. </w:t>
      </w:r>
      <w:r>
        <w:rPr>
          <w:rStyle w:val="Emphasis"/>
        </w:rPr>
        <w:t>Saudi Journal of Biological Sciences, 27</w:t>
      </w:r>
      <w:r>
        <w:t xml:space="preserve">(11), 3079–3086. </w:t>
      </w:r>
      <w:hyperlink r:id="rId6" w:history="1">
        <w:r>
          <w:rPr>
            <w:rStyle w:val="Hyperlink"/>
          </w:rPr>
          <w:t>https://doi.org/10.1016/j.sjbs.2020.09.016</w:t>
        </w:r>
      </w:hyperlink>
    </w:p>
    <w:p w14:paraId="0FE37FD7" w14:textId="77777777" w:rsidR="00964D6F" w:rsidRDefault="00964D6F" w:rsidP="00964D6F">
      <w:pPr>
        <w:pStyle w:val="isselectedend"/>
        <w:ind w:left="540" w:hanging="540"/>
        <w:jc w:val="both"/>
      </w:pPr>
      <w:r w:rsidRPr="00964D6F">
        <w:rPr>
          <w:lang w:val="nl-BE"/>
        </w:rPr>
        <w:t xml:space="preserve">Anderson, K. E., Allen, N. O., Copeland, D. C., Kortenkamp, O. L., Erickson, R., Mott, B. M., &amp; Oliver, R. (2024). </w:t>
      </w:r>
      <w:r>
        <w:t xml:space="preserve">A longitudinal field study of commercial honey bees shows that non-native probiotics do not rescue antibiotic treatment, and are generally not beneficial. </w:t>
      </w:r>
      <w:r>
        <w:rPr>
          <w:rStyle w:val="Emphasis"/>
        </w:rPr>
        <w:t>Scientific Reports, 14</w:t>
      </w:r>
      <w:r>
        <w:t xml:space="preserve">, Article 1954. </w:t>
      </w:r>
      <w:hyperlink r:id="rId7" w:history="1">
        <w:r>
          <w:rPr>
            <w:rStyle w:val="Hyperlink"/>
          </w:rPr>
          <w:t>https://doi.org/10.1038/s41598-024-52118-z</w:t>
        </w:r>
      </w:hyperlink>
    </w:p>
    <w:p w14:paraId="25AC0D62" w14:textId="77777777" w:rsidR="00964D6F" w:rsidRDefault="00964D6F" w:rsidP="00964D6F">
      <w:pPr>
        <w:pStyle w:val="isselectedend"/>
        <w:ind w:left="540" w:hanging="540"/>
        <w:jc w:val="both"/>
      </w:pPr>
      <w:r>
        <w:t xml:space="preserve">Antimicrobial Resistance Collaborators. (2022). Global burden of bacterial antimicrobial resistance in 2019: A systematic analysis. </w:t>
      </w:r>
      <w:r>
        <w:rPr>
          <w:rStyle w:val="Emphasis"/>
        </w:rPr>
        <w:t>The Lancet, 399</w:t>
      </w:r>
      <w:r>
        <w:t xml:space="preserve">(10325), 629–655. </w:t>
      </w:r>
      <w:hyperlink r:id="rId8" w:history="1">
        <w:r>
          <w:rPr>
            <w:rStyle w:val="Hyperlink"/>
          </w:rPr>
          <w:t>https://doi.org/10.1016/S0140-6736(21)02724-0</w:t>
        </w:r>
      </w:hyperlink>
    </w:p>
    <w:p w14:paraId="548A3DDE" w14:textId="77777777" w:rsidR="00964D6F" w:rsidRDefault="00964D6F" w:rsidP="00964D6F">
      <w:pPr>
        <w:pStyle w:val="isselectedend"/>
        <w:ind w:left="540" w:hanging="540"/>
        <w:jc w:val="both"/>
      </w:pPr>
      <w:r>
        <w:t xml:space="preserve">Bouchelaghem, S., Das, S., </w:t>
      </w:r>
      <w:proofErr w:type="spellStart"/>
      <w:r>
        <w:t>Naorem</w:t>
      </w:r>
      <w:proofErr w:type="spellEnd"/>
      <w:r>
        <w:t xml:space="preserve">, R. S., </w:t>
      </w:r>
      <w:proofErr w:type="spellStart"/>
      <w:r>
        <w:t>Czuni</w:t>
      </w:r>
      <w:proofErr w:type="spellEnd"/>
      <w:r>
        <w:t xml:space="preserve">, L., Papp, G., &amp; Kocsis, M. (2022). Evaluation of total phenolic and flavonoid contents, antibacterial and antibiofilm activities of Hungarian propolis ethanolic extract against </w:t>
      </w:r>
      <w:r>
        <w:rPr>
          <w:rStyle w:val="Emphasis"/>
        </w:rPr>
        <w:t>Staphylococcus aureus</w:t>
      </w:r>
      <w:r>
        <w:t xml:space="preserve">. </w:t>
      </w:r>
      <w:r>
        <w:rPr>
          <w:rStyle w:val="Emphasis"/>
        </w:rPr>
        <w:t>Molecules, 27</w:t>
      </w:r>
      <w:r>
        <w:t xml:space="preserve">(2), Article 574. </w:t>
      </w:r>
      <w:hyperlink r:id="rId9" w:history="1">
        <w:r>
          <w:rPr>
            <w:rStyle w:val="Hyperlink"/>
          </w:rPr>
          <w:t>https://doi.org/10.3390/molecules27020574</w:t>
        </w:r>
      </w:hyperlink>
    </w:p>
    <w:p w14:paraId="5674629C" w14:textId="77777777" w:rsidR="00964D6F" w:rsidRDefault="00964D6F" w:rsidP="00964D6F">
      <w:pPr>
        <w:pStyle w:val="isselectedend"/>
        <w:ind w:left="540" w:hanging="540"/>
        <w:jc w:val="both"/>
      </w:pPr>
      <w:r>
        <w:lastRenderedPageBreak/>
        <w:t xml:space="preserve">Butler, É., Oien, R. F., Lindholm, C., Olofsson, T. C., Nilson, B., &amp; Vásquez, A. (2016). A pilot study investigating lactic acid bacterial symbionts from the honeybee in inhibiting human chronic wound pathogens. </w:t>
      </w:r>
      <w:r>
        <w:rPr>
          <w:rStyle w:val="Emphasis"/>
        </w:rPr>
        <w:t>International Wound Journal, 13</w:t>
      </w:r>
      <w:r>
        <w:t xml:space="preserve">(5), 729–737. </w:t>
      </w:r>
      <w:hyperlink r:id="rId10" w:history="1">
        <w:r>
          <w:rPr>
            <w:rStyle w:val="Hyperlink"/>
          </w:rPr>
          <w:t>https://doi.org/10.1111/iwj.12360</w:t>
        </w:r>
      </w:hyperlink>
    </w:p>
    <w:p w14:paraId="49F7E944" w14:textId="77777777" w:rsidR="00964D6F" w:rsidRDefault="00964D6F" w:rsidP="00964D6F">
      <w:pPr>
        <w:pStyle w:val="isselectedend"/>
        <w:ind w:left="540" w:hanging="540"/>
        <w:jc w:val="both"/>
      </w:pPr>
      <w:r>
        <w:t xml:space="preserve">Chhun, A., </w:t>
      </w:r>
      <w:proofErr w:type="spellStart"/>
      <w:r>
        <w:t>Moriano</w:t>
      </w:r>
      <w:proofErr w:type="spellEnd"/>
      <w:r>
        <w:t xml:space="preserve">-Gutierrez, S., Zoppi, F., </w:t>
      </w:r>
      <w:proofErr w:type="spellStart"/>
      <w:r>
        <w:t>Cabirol</w:t>
      </w:r>
      <w:proofErr w:type="spellEnd"/>
      <w:r>
        <w:t xml:space="preserve">, A., Engel, P., &amp; </w:t>
      </w:r>
      <w:proofErr w:type="spellStart"/>
      <w:r>
        <w:t>Schaerli</w:t>
      </w:r>
      <w:proofErr w:type="spellEnd"/>
      <w:r>
        <w:t xml:space="preserve">, Y. (2024). An engineered bacterial symbiont allows noninvasive biosensing of the honey bee gut environment. </w:t>
      </w:r>
      <w:r>
        <w:rPr>
          <w:rStyle w:val="Emphasis"/>
        </w:rPr>
        <w:t>PLOS Biology, 22</w:t>
      </w:r>
      <w:r>
        <w:t xml:space="preserve">(3), Article e3002523. </w:t>
      </w:r>
      <w:hyperlink r:id="rId11" w:history="1">
        <w:r>
          <w:rPr>
            <w:rStyle w:val="Hyperlink"/>
          </w:rPr>
          <w:t>https://doi.org/10.1371/journal.pbio.3002523</w:t>
        </w:r>
      </w:hyperlink>
    </w:p>
    <w:p w14:paraId="46BCB370" w14:textId="77777777" w:rsidR="00964D6F" w:rsidRDefault="00964D6F" w:rsidP="00964D6F">
      <w:pPr>
        <w:pStyle w:val="isselectedend"/>
        <w:ind w:left="540" w:hanging="540"/>
        <w:jc w:val="both"/>
      </w:pPr>
      <w:r>
        <w:t>Corby-Harris, V., Maes, P., &amp; Anderson, K. E. (2014). The bacterial communities associated with honey bee (</w:t>
      </w:r>
      <w:r>
        <w:rPr>
          <w:rStyle w:val="Emphasis"/>
        </w:rPr>
        <w:t>Apis mellifera</w:t>
      </w:r>
      <w:r>
        <w:t xml:space="preserve">) foragers. </w:t>
      </w:r>
      <w:r>
        <w:rPr>
          <w:rStyle w:val="Emphasis"/>
        </w:rPr>
        <w:t>PLOS ONE, 9</w:t>
      </w:r>
      <w:r>
        <w:t xml:space="preserve">(4), Article e95056. </w:t>
      </w:r>
      <w:hyperlink r:id="rId12" w:history="1">
        <w:r>
          <w:rPr>
            <w:rStyle w:val="Hyperlink"/>
          </w:rPr>
          <w:t>https://doi.org/10.1371/journal.pone.0095056</w:t>
        </w:r>
      </w:hyperlink>
    </w:p>
    <w:p w14:paraId="503CB271" w14:textId="77777777" w:rsidR="00964D6F" w:rsidRDefault="00964D6F" w:rsidP="00964D6F">
      <w:pPr>
        <w:pStyle w:val="isselectedend"/>
        <w:ind w:left="540" w:hanging="540"/>
        <w:jc w:val="both"/>
      </w:pPr>
      <w:r>
        <w:t xml:space="preserve">Daisley, B. A., Pitek, A. P., Chmiel, J. A., Gibbons, S., Chernyshova, A. M., Al, K. F., Faragalla, K. M., Burton, J. P., Thompson, G. J., &amp; Reid, G. (2020). </w:t>
      </w:r>
      <w:r>
        <w:rPr>
          <w:rStyle w:val="Emphasis"/>
        </w:rPr>
        <w:t>Lactobacillus</w:t>
      </w:r>
      <w:r>
        <w:t xml:space="preserve"> spp. attenuate antibiotic-induced immune and microbiota dysregulation in honey bees. </w:t>
      </w:r>
      <w:r>
        <w:rPr>
          <w:rStyle w:val="Emphasis"/>
        </w:rPr>
        <w:t>Communications Biology, 3</w:t>
      </w:r>
      <w:r>
        <w:t xml:space="preserve">, Article 534. </w:t>
      </w:r>
      <w:hyperlink r:id="rId13" w:history="1">
        <w:r>
          <w:rPr>
            <w:rStyle w:val="Hyperlink"/>
          </w:rPr>
          <w:t>https://doi.org/10.1038/s42003-020-01259-8</w:t>
        </w:r>
      </w:hyperlink>
    </w:p>
    <w:p w14:paraId="43968253" w14:textId="77777777" w:rsidR="00964D6F" w:rsidRDefault="00964D6F" w:rsidP="00964D6F">
      <w:pPr>
        <w:pStyle w:val="isselectedend"/>
        <w:ind w:left="540" w:hanging="540"/>
        <w:jc w:val="both"/>
      </w:pPr>
      <w:r>
        <w:t>Dong, Z.-X., Li, H.-Y., Chen, Y.-F., Wang, F., Deng, X.-Y., Lin, L.-B., Zhang, Q.-L., Li, J.-L., &amp; Guo, J. (2020). Colonization of the gut microbiota of honey bee (</w:t>
      </w:r>
      <w:r>
        <w:rPr>
          <w:rStyle w:val="Emphasis"/>
        </w:rPr>
        <w:t>Apis mellifera</w:t>
      </w:r>
      <w:r>
        <w:t xml:space="preserve">) workers at different developmental stages. </w:t>
      </w:r>
      <w:r>
        <w:rPr>
          <w:rStyle w:val="Emphasis"/>
        </w:rPr>
        <w:t>Microbiological Research, 231</w:t>
      </w:r>
      <w:r>
        <w:t xml:space="preserve">, Article 126370. </w:t>
      </w:r>
      <w:hyperlink r:id="rId14" w:history="1">
        <w:r>
          <w:rPr>
            <w:rStyle w:val="Hyperlink"/>
          </w:rPr>
          <w:t>https://doi.org/10.1016/j.micres.2019.126370</w:t>
        </w:r>
      </w:hyperlink>
    </w:p>
    <w:p w14:paraId="00128BDD" w14:textId="77777777" w:rsidR="00964D6F" w:rsidRDefault="00964D6F" w:rsidP="00964D6F">
      <w:pPr>
        <w:pStyle w:val="isselectedend"/>
        <w:ind w:left="540" w:hanging="540"/>
        <w:jc w:val="both"/>
      </w:pPr>
      <w:r>
        <w:t xml:space="preserve">El Khoury, S., Gauthier, J., Mercier, P. L., Moïse, S., </w:t>
      </w:r>
      <w:proofErr w:type="spellStart"/>
      <w:r>
        <w:t>Giovenazzo</w:t>
      </w:r>
      <w:proofErr w:type="spellEnd"/>
      <w:r>
        <w:t xml:space="preserve">, P., &amp; Derome, N. (2024). Honeybee gut bacterial strain improved survival and gut microbiota homeostasis in </w:t>
      </w:r>
      <w:r>
        <w:rPr>
          <w:rStyle w:val="Emphasis"/>
        </w:rPr>
        <w:t>Apis mellifera</w:t>
      </w:r>
      <w:r>
        <w:t xml:space="preserve"> exposed in vivo to clothianidin. </w:t>
      </w:r>
      <w:r>
        <w:rPr>
          <w:rStyle w:val="Emphasis"/>
        </w:rPr>
        <w:t>Microbiology Spectrum, 12</w:t>
      </w:r>
      <w:r>
        <w:t xml:space="preserve">(10), Article e00578-24. </w:t>
      </w:r>
      <w:hyperlink r:id="rId15" w:history="1">
        <w:r>
          <w:rPr>
            <w:rStyle w:val="Hyperlink"/>
          </w:rPr>
          <w:t>https://doi.org/10.1128/spectrum.00578-24</w:t>
        </w:r>
      </w:hyperlink>
    </w:p>
    <w:p w14:paraId="628C4B5D" w14:textId="77777777" w:rsidR="00964D6F" w:rsidRDefault="00964D6F" w:rsidP="00964D6F">
      <w:pPr>
        <w:pStyle w:val="isselectedend"/>
        <w:ind w:left="540" w:hanging="540"/>
        <w:jc w:val="both"/>
      </w:pPr>
      <w:r>
        <w:t xml:space="preserve">Engel, P., Martinson, V. G., &amp; Moran, N. A. (2012). Functional diversity within the simple gut microbiota of the honey bee. </w:t>
      </w:r>
      <w:r>
        <w:rPr>
          <w:rStyle w:val="Emphasis"/>
        </w:rPr>
        <w:t>Proceedings of the National Academy of Sciences, 109</w:t>
      </w:r>
      <w:r>
        <w:t xml:space="preserve">(27), 11002–11007. </w:t>
      </w:r>
      <w:hyperlink r:id="rId16" w:history="1">
        <w:r>
          <w:rPr>
            <w:rStyle w:val="Hyperlink"/>
          </w:rPr>
          <w:t>https://doi.org/10.1073/pnas.1202970109</w:t>
        </w:r>
      </w:hyperlink>
    </w:p>
    <w:p w14:paraId="3B3423D3" w14:textId="77777777" w:rsidR="00964D6F" w:rsidRDefault="00964D6F" w:rsidP="00964D6F">
      <w:pPr>
        <w:pStyle w:val="isselectedend"/>
        <w:ind w:left="540" w:hanging="540"/>
        <w:jc w:val="both"/>
      </w:pPr>
      <w:r>
        <w:t xml:space="preserve">GBD 2021 Antimicrobial Resistance Collaborators. (2024). Global burden of bacterial antimicrobial resistance 1990–2021: A systematic analysis with forecasts to 2050. </w:t>
      </w:r>
      <w:r>
        <w:rPr>
          <w:rStyle w:val="Emphasis"/>
        </w:rPr>
        <w:t>The Lancet, 404</w:t>
      </w:r>
      <w:r>
        <w:t xml:space="preserve">(10459), 1199–1226. </w:t>
      </w:r>
      <w:hyperlink r:id="rId17" w:history="1">
        <w:r>
          <w:rPr>
            <w:rStyle w:val="Hyperlink"/>
          </w:rPr>
          <w:t>https://doi.org/10.1016/S0140-6736(24)01867-1</w:t>
        </w:r>
      </w:hyperlink>
    </w:p>
    <w:p w14:paraId="5A4F327D" w14:textId="77777777" w:rsidR="00964D6F" w:rsidRDefault="00964D6F" w:rsidP="00964D6F">
      <w:pPr>
        <w:pStyle w:val="isselectedend"/>
        <w:ind w:left="540" w:hanging="540"/>
        <w:jc w:val="both"/>
      </w:pPr>
      <w:r>
        <w:t xml:space="preserve">Green, B. N., Johnson, C. D., &amp; Adams, A. (2006). Writing narrative literature reviews for peer-reviewed journals: Secrets of the trade. </w:t>
      </w:r>
      <w:r>
        <w:rPr>
          <w:rStyle w:val="Emphasis"/>
        </w:rPr>
        <w:t>Journal of Chiropractic Medicine, 5</w:t>
      </w:r>
      <w:r>
        <w:t xml:space="preserve">(3), 101–117. </w:t>
      </w:r>
      <w:hyperlink r:id="rId18" w:history="1">
        <w:r>
          <w:rPr>
            <w:rStyle w:val="Hyperlink"/>
          </w:rPr>
          <w:t>https://doi.org/10.1016/S0899-3467(07)60142-6</w:t>
        </w:r>
      </w:hyperlink>
    </w:p>
    <w:p w14:paraId="2B50C146" w14:textId="77777777" w:rsidR="00964D6F" w:rsidRDefault="00964D6F" w:rsidP="00964D6F">
      <w:pPr>
        <w:pStyle w:val="isselectedend"/>
        <w:ind w:left="540" w:hanging="540"/>
        <w:jc w:val="both"/>
      </w:pPr>
      <w:r>
        <w:t xml:space="preserve">Hill, C., </w:t>
      </w:r>
      <w:proofErr w:type="spellStart"/>
      <w:r>
        <w:t>Guarner</w:t>
      </w:r>
      <w:proofErr w:type="spellEnd"/>
      <w:r>
        <w:t xml:space="preserve">, F., Reid, G., Gibson, G. R., Merenstein, D. J., Pot, B., Morelli, L., </w:t>
      </w:r>
      <w:proofErr w:type="spellStart"/>
      <w:r>
        <w:t>Canani</w:t>
      </w:r>
      <w:proofErr w:type="spellEnd"/>
      <w:r>
        <w:t xml:space="preserve">, R. B., Flint, H. J., Salminen, S., Calder, P. C., &amp; Sanders, M. E. (2014). Expert consensus document: The International Scientific Association for Probiotics and Prebiotics consensus statement on the scope and appropriate use of the term probiotic. </w:t>
      </w:r>
      <w:r>
        <w:rPr>
          <w:rStyle w:val="Emphasis"/>
        </w:rPr>
        <w:t>Nature Reviews Gastroenterology &amp; Hepatology, 11</w:t>
      </w:r>
      <w:r>
        <w:t xml:space="preserve">(8), 506–514. </w:t>
      </w:r>
      <w:hyperlink r:id="rId19" w:history="1">
        <w:r>
          <w:rPr>
            <w:rStyle w:val="Hyperlink"/>
          </w:rPr>
          <w:t>https://doi.org/10.1038/nrgastro.2014.66</w:t>
        </w:r>
      </w:hyperlink>
    </w:p>
    <w:p w14:paraId="5413686E" w14:textId="77777777" w:rsidR="00964D6F" w:rsidRDefault="00964D6F" w:rsidP="00964D6F">
      <w:pPr>
        <w:pStyle w:val="isselectedend"/>
        <w:ind w:left="540" w:hanging="540"/>
        <w:jc w:val="both"/>
      </w:pPr>
      <w:r>
        <w:lastRenderedPageBreak/>
        <w:t xml:space="preserve">Kwong, W. K., Engel, P., Koch, H., &amp; Moran, N. A. (2014). Genomics and host specialization of honey bee and bumble bee gut symbionts. </w:t>
      </w:r>
      <w:r>
        <w:rPr>
          <w:rStyle w:val="Emphasis"/>
        </w:rPr>
        <w:t>Proceedings of the National Academy of Sciences, 111</w:t>
      </w:r>
      <w:r>
        <w:t xml:space="preserve">(31), 11509–11514. </w:t>
      </w:r>
      <w:hyperlink r:id="rId20" w:history="1">
        <w:r>
          <w:rPr>
            <w:rStyle w:val="Hyperlink"/>
          </w:rPr>
          <w:t>https://doi.org/10.1073/pnas.1405838111</w:t>
        </w:r>
      </w:hyperlink>
    </w:p>
    <w:p w14:paraId="079A212D" w14:textId="77777777" w:rsidR="00964D6F" w:rsidRDefault="00964D6F" w:rsidP="00964D6F">
      <w:pPr>
        <w:pStyle w:val="isselectedend"/>
        <w:ind w:left="540" w:hanging="540"/>
        <w:jc w:val="both"/>
      </w:pPr>
      <w:r>
        <w:t xml:space="preserve">Kwong, W. K., </w:t>
      </w:r>
      <w:proofErr w:type="spellStart"/>
      <w:r>
        <w:t>Mancenido</w:t>
      </w:r>
      <w:proofErr w:type="spellEnd"/>
      <w:r>
        <w:t xml:space="preserve">, A. L., &amp; Moran, N. A. (2017). Immune system stimulation by the native gut microbiota of honey bees. </w:t>
      </w:r>
      <w:r>
        <w:rPr>
          <w:rStyle w:val="Emphasis"/>
        </w:rPr>
        <w:t>Royal Society Open Science, 4</w:t>
      </w:r>
      <w:r>
        <w:t xml:space="preserve">(2), Article 170003. </w:t>
      </w:r>
      <w:hyperlink r:id="rId21" w:history="1">
        <w:r>
          <w:rPr>
            <w:rStyle w:val="Hyperlink"/>
          </w:rPr>
          <w:t>https://doi.org/10.1098/rsos.170003</w:t>
        </w:r>
      </w:hyperlink>
    </w:p>
    <w:p w14:paraId="3EF76D53" w14:textId="77777777" w:rsidR="00964D6F" w:rsidRDefault="00964D6F" w:rsidP="00964D6F">
      <w:pPr>
        <w:pStyle w:val="isselectedend"/>
        <w:ind w:left="540" w:hanging="540"/>
        <w:jc w:val="both"/>
      </w:pPr>
      <w:r>
        <w:t xml:space="preserve">Kwong, W. K., &amp; Moran, N. A. (2016). Gut microbial communities of social bees. </w:t>
      </w:r>
      <w:r>
        <w:rPr>
          <w:rStyle w:val="Emphasis"/>
        </w:rPr>
        <w:t>Nature Reviews Microbiology, 14</w:t>
      </w:r>
      <w:r>
        <w:t xml:space="preserve">(6), 374–384. </w:t>
      </w:r>
      <w:hyperlink r:id="rId22" w:history="1">
        <w:r>
          <w:rPr>
            <w:rStyle w:val="Hyperlink"/>
          </w:rPr>
          <w:t>https://doi.org/10.1038/nrmicro.2016.43</w:t>
        </w:r>
      </w:hyperlink>
    </w:p>
    <w:p w14:paraId="3529E8E9" w14:textId="77777777" w:rsidR="00964D6F" w:rsidRDefault="00964D6F" w:rsidP="00964D6F">
      <w:pPr>
        <w:pStyle w:val="isselectedend"/>
        <w:ind w:left="540" w:hanging="540"/>
        <w:jc w:val="both"/>
      </w:pPr>
      <w:proofErr w:type="spellStart"/>
      <w:r>
        <w:t>Lanh</w:t>
      </w:r>
      <w:proofErr w:type="spellEnd"/>
      <w:r>
        <w:t xml:space="preserve">, P. T., Duong, B. T. T., Thu, H. T., Hoa, N. T., Yoo, M. S., Cho, Y. S., &amp; Quyen, D. V. (2022). The gut microbiota at different developmental stages of </w:t>
      </w:r>
      <w:r>
        <w:rPr>
          <w:rStyle w:val="Emphasis"/>
        </w:rPr>
        <w:t>Apis cerana</w:t>
      </w:r>
      <w:r>
        <w:t xml:space="preserve"> reveals potential probiotic bacteria for improving honeybee health. </w:t>
      </w:r>
      <w:r>
        <w:rPr>
          <w:rStyle w:val="Emphasis"/>
        </w:rPr>
        <w:t>Microorganisms, 10</w:t>
      </w:r>
      <w:r>
        <w:t xml:space="preserve">(10), Article 1938. </w:t>
      </w:r>
      <w:hyperlink r:id="rId23" w:history="1">
        <w:r>
          <w:rPr>
            <w:rStyle w:val="Hyperlink"/>
          </w:rPr>
          <w:t>https://doi.org/10.3390/microorganisms10101938</w:t>
        </w:r>
      </w:hyperlink>
    </w:p>
    <w:p w14:paraId="23D911BB" w14:textId="77777777" w:rsidR="00964D6F" w:rsidRDefault="00964D6F" w:rsidP="00964D6F">
      <w:pPr>
        <w:pStyle w:val="isselectedend"/>
        <w:ind w:left="540" w:hanging="540"/>
        <w:jc w:val="both"/>
      </w:pPr>
      <w:r>
        <w:t xml:space="preserve">Lau, E., Maccaro, J., McFrederick, Q. S., &amp; Nieh, J. C. (2024). Exploring the interactions between </w:t>
      </w:r>
      <w:r>
        <w:rPr>
          <w:rStyle w:val="Emphasis"/>
        </w:rPr>
        <w:t>Nosema ceranae</w:t>
      </w:r>
      <w:r>
        <w:t xml:space="preserve"> infection and the honey bee gut microbiome. </w:t>
      </w:r>
      <w:r>
        <w:rPr>
          <w:rStyle w:val="Emphasis"/>
        </w:rPr>
        <w:t>Scientific Reports, 14</w:t>
      </w:r>
      <w:r>
        <w:t xml:space="preserve">, Article 20037. </w:t>
      </w:r>
      <w:hyperlink r:id="rId24" w:history="1">
        <w:r>
          <w:rPr>
            <w:rStyle w:val="Hyperlink"/>
          </w:rPr>
          <w:t>https://doi.org/10.1038/s41598-024-67796-y</w:t>
        </w:r>
      </w:hyperlink>
    </w:p>
    <w:p w14:paraId="5989F9AA" w14:textId="77777777" w:rsidR="00964D6F" w:rsidRDefault="00964D6F" w:rsidP="00964D6F">
      <w:pPr>
        <w:pStyle w:val="isselectedend"/>
        <w:ind w:left="540" w:hanging="540"/>
        <w:jc w:val="both"/>
      </w:pPr>
      <w:r>
        <w:t xml:space="preserve">Leonard, S. P., Powell, J. E., </w:t>
      </w:r>
      <w:proofErr w:type="spellStart"/>
      <w:r>
        <w:t>Perutka</w:t>
      </w:r>
      <w:proofErr w:type="spellEnd"/>
      <w:r>
        <w:t xml:space="preserve">, J., Geng, P., Heckmann, L. C., Horak, R. D., Davies, B. W., Ellington, A. D., Barrick, J. E., &amp; Moran, N. A. (2020). Engineered symbionts activate honey bee immunity and limit pathogens. </w:t>
      </w:r>
      <w:r>
        <w:rPr>
          <w:rStyle w:val="Emphasis"/>
        </w:rPr>
        <w:t>Science, 367</w:t>
      </w:r>
      <w:r>
        <w:t xml:space="preserve">(6477), 573–576. </w:t>
      </w:r>
      <w:hyperlink r:id="rId25" w:history="1">
        <w:r>
          <w:rPr>
            <w:rStyle w:val="Hyperlink"/>
          </w:rPr>
          <w:t>https://doi.org/10.1126/science.aax9039</w:t>
        </w:r>
      </w:hyperlink>
    </w:p>
    <w:p w14:paraId="1D3BDA95" w14:textId="77777777" w:rsidR="00964D6F" w:rsidRDefault="00964D6F" w:rsidP="00964D6F">
      <w:pPr>
        <w:pStyle w:val="isselectedend"/>
        <w:ind w:left="540" w:hanging="540"/>
        <w:jc w:val="both"/>
      </w:pPr>
      <w:r>
        <w:t xml:space="preserve">Moran, N. A., Hansen, A. K., Powell, J. E., &amp; Sabree, Z. L. (2012). Distinctive gut microbiota of honey bees assessed using deep sampling from individual worker bees. </w:t>
      </w:r>
      <w:r>
        <w:rPr>
          <w:rStyle w:val="Emphasis"/>
        </w:rPr>
        <w:t>PLOS ONE, 7</w:t>
      </w:r>
      <w:r>
        <w:t xml:space="preserve">(4), Article e36393. </w:t>
      </w:r>
      <w:hyperlink r:id="rId26" w:history="1">
        <w:r>
          <w:rPr>
            <w:rStyle w:val="Hyperlink"/>
          </w:rPr>
          <w:t>https://doi.org/10.1371/journal.pone.0036393</w:t>
        </w:r>
      </w:hyperlink>
    </w:p>
    <w:p w14:paraId="1C3D4838" w14:textId="77777777" w:rsidR="00964D6F" w:rsidRDefault="00964D6F" w:rsidP="00964D6F">
      <w:pPr>
        <w:pStyle w:val="isselectedend"/>
        <w:ind w:left="540" w:hanging="540"/>
        <w:jc w:val="both"/>
      </w:pPr>
      <w:r>
        <w:t xml:space="preserve">Motta, E. V. S., &amp; Moran, N. A. (2024). The honeybee microbiota and its impact on health and disease. </w:t>
      </w:r>
      <w:r>
        <w:rPr>
          <w:rStyle w:val="Emphasis"/>
        </w:rPr>
        <w:t>Nature Reviews Microbiology, 22</w:t>
      </w:r>
      <w:r>
        <w:t xml:space="preserve">(3), 122–137. </w:t>
      </w:r>
      <w:hyperlink r:id="rId27" w:history="1">
        <w:r>
          <w:rPr>
            <w:rStyle w:val="Hyperlink"/>
          </w:rPr>
          <w:t>https://doi.org/10.1038/s41579-023-00990-3</w:t>
        </w:r>
      </w:hyperlink>
    </w:p>
    <w:p w14:paraId="760847C2" w14:textId="77777777" w:rsidR="00964D6F" w:rsidRDefault="00964D6F" w:rsidP="00964D6F">
      <w:pPr>
        <w:pStyle w:val="isselectedend"/>
        <w:ind w:left="540" w:hanging="540"/>
        <w:jc w:val="both"/>
      </w:pPr>
      <w:r>
        <w:t xml:space="preserve">Motta, E. V. S., Powell, J. E., Leonard, S. P., &amp; Moran, N. A. (2022). Prospects for probiotics in social bees. </w:t>
      </w:r>
      <w:r>
        <w:rPr>
          <w:rStyle w:val="Emphasis"/>
        </w:rPr>
        <w:t>Philosophical Transactions of the Royal Society B: Biological Sciences, 377</w:t>
      </w:r>
      <w:r>
        <w:t xml:space="preserve">(1853), Article 20210156. </w:t>
      </w:r>
      <w:hyperlink r:id="rId28" w:history="1">
        <w:r>
          <w:rPr>
            <w:rStyle w:val="Hyperlink"/>
          </w:rPr>
          <w:t>https://doi.org/10.1098/rstb.2021.0156</w:t>
        </w:r>
      </w:hyperlink>
    </w:p>
    <w:p w14:paraId="36B5DF41" w14:textId="77777777" w:rsidR="00964D6F" w:rsidRDefault="00964D6F" w:rsidP="00964D6F">
      <w:pPr>
        <w:pStyle w:val="isselectedend"/>
        <w:ind w:left="540" w:hanging="540"/>
        <w:jc w:val="both"/>
      </w:pPr>
      <w:r>
        <w:t xml:space="preserve">Mundo, M. A., Xiong, Z. R., </w:t>
      </w:r>
      <w:proofErr w:type="spellStart"/>
      <w:r>
        <w:t>Galasong</w:t>
      </w:r>
      <w:proofErr w:type="spellEnd"/>
      <w:r>
        <w:t xml:space="preserve">, Y., Manns, D. C., Seeley, T. D., </w:t>
      </w:r>
      <w:proofErr w:type="spellStart"/>
      <w:r>
        <w:t>Vegdahl</w:t>
      </w:r>
      <w:proofErr w:type="spellEnd"/>
      <w:r>
        <w:t xml:space="preserve">, A. C., &amp; </w:t>
      </w:r>
      <w:proofErr w:type="spellStart"/>
      <w:r>
        <w:t>Worobo</w:t>
      </w:r>
      <w:proofErr w:type="spellEnd"/>
      <w:r>
        <w:t xml:space="preserve">, R. W. (2023). Diversity, antimicrobial production, and seasonal variation of honey bee microbiota isolated from the honey stomachs of the domestic honey bee, </w:t>
      </w:r>
      <w:r>
        <w:rPr>
          <w:rStyle w:val="Emphasis"/>
        </w:rPr>
        <w:t>Apis mellifera</w:t>
      </w:r>
      <w:r>
        <w:t xml:space="preserve">. </w:t>
      </w:r>
      <w:r>
        <w:rPr>
          <w:rStyle w:val="Emphasis"/>
        </w:rPr>
        <w:t>Frontiers in Sustainable Food Systems, 6</w:t>
      </w:r>
      <w:r>
        <w:t xml:space="preserve">, Article 931363. </w:t>
      </w:r>
      <w:hyperlink r:id="rId29" w:history="1">
        <w:r>
          <w:rPr>
            <w:rStyle w:val="Hyperlink"/>
          </w:rPr>
          <w:t>https://doi.org/10.3389/fsufs.2022.931363</w:t>
        </w:r>
      </w:hyperlink>
    </w:p>
    <w:p w14:paraId="7A428B2A" w14:textId="77777777" w:rsidR="00964D6F" w:rsidRDefault="00964D6F" w:rsidP="00964D6F">
      <w:pPr>
        <w:pStyle w:val="isselectedend"/>
        <w:ind w:left="540" w:hanging="540"/>
        <w:jc w:val="both"/>
      </w:pPr>
      <w:proofErr w:type="spellStart"/>
      <w:r>
        <w:t>Mustar</w:t>
      </w:r>
      <w:proofErr w:type="spellEnd"/>
      <w:r>
        <w:t xml:space="preserve">, S., &amp; Ibrahim, N. (2022). A sweeter pill to swallow: A review of honey bees and honey as a source of probiotic and prebiotic products. </w:t>
      </w:r>
      <w:r>
        <w:rPr>
          <w:rStyle w:val="Emphasis"/>
        </w:rPr>
        <w:t>Foods, 11</w:t>
      </w:r>
      <w:r>
        <w:t xml:space="preserve">(14), Article 2102. </w:t>
      </w:r>
      <w:hyperlink r:id="rId30" w:history="1">
        <w:r>
          <w:rPr>
            <w:rStyle w:val="Hyperlink"/>
          </w:rPr>
          <w:t>https://doi.org/10.3390/foods11142102</w:t>
        </w:r>
      </w:hyperlink>
    </w:p>
    <w:p w14:paraId="65E1C031" w14:textId="77777777" w:rsidR="00964D6F" w:rsidRDefault="00964D6F" w:rsidP="00964D6F">
      <w:pPr>
        <w:pStyle w:val="isselectedend"/>
        <w:ind w:left="540" w:hanging="540"/>
        <w:jc w:val="both"/>
      </w:pPr>
      <w:r>
        <w:t xml:space="preserve">Nazzi, F. (2020). Commentary: Engineered symbionts activate honey bee immunity and limit pathogens. </w:t>
      </w:r>
      <w:r>
        <w:rPr>
          <w:rStyle w:val="Emphasis"/>
        </w:rPr>
        <w:t>Frontiers in Ecology and Evolution, 8</w:t>
      </w:r>
      <w:r>
        <w:t xml:space="preserve">, Article 538520. </w:t>
      </w:r>
      <w:hyperlink r:id="rId31" w:history="1">
        <w:r>
          <w:rPr>
            <w:rStyle w:val="Hyperlink"/>
          </w:rPr>
          <w:t>https://doi.org/10.3389/fevo.2020.538520</w:t>
        </w:r>
      </w:hyperlink>
    </w:p>
    <w:p w14:paraId="20971469" w14:textId="77777777" w:rsidR="00964D6F" w:rsidRDefault="00964D6F" w:rsidP="00964D6F">
      <w:pPr>
        <w:pStyle w:val="isselectedend"/>
        <w:ind w:left="540" w:hanging="540"/>
        <w:jc w:val="both"/>
      </w:pPr>
      <w:r>
        <w:lastRenderedPageBreak/>
        <w:t xml:space="preserve">Nowak, A., Szczuka, D., </w:t>
      </w:r>
      <w:proofErr w:type="spellStart"/>
      <w:r>
        <w:t>Górczyńska</w:t>
      </w:r>
      <w:proofErr w:type="spellEnd"/>
      <w:r>
        <w:t xml:space="preserve">, A., Motyl, I., &amp; </w:t>
      </w:r>
      <w:proofErr w:type="spellStart"/>
      <w:r>
        <w:t>Kręgiel</w:t>
      </w:r>
      <w:proofErr w:type="spellEnd"/>
      <w:r>
        <w:t xml:space="preserve">, D. (2021). Characterization of </w:t>
      </w:r>
      <w:r>
        <w:rPr>
          <w:rStyle w:val="Emphasis"/>
        </w:rPr>
        <w:t>Apis mellifera</w:t>
      </w:r>
      <w:r>
        <w:t xml:space="preserve"> gastrointestinal microbiota and lactic acid bacteria for honeybee protection—A review. </w:t>
      </w:r>
      <w:r>
        <w:rPr>
          <w:rStyle w:val="Emphasis"/>
        </w:rPr>
        <w:t>Cells, 10</w:t>
      </w:r>
      <w:r>
        <w:t xml:space="preserve">(3), Article 701. </w:t>
      </w:r>
      <w:hyperlink r:id="rId32" w:history="1">
        <w:r>
          <w:rPr>
            <w:rStyle w:val="Hyperlink"/>
          </w:rPr>
          <w:t>https://doi.org/10.3390/cells10030701</w:t>
        </w:r>
      </w:hyperlink>
    </w:p>
    <w:p w14:paraId="5EF6B63E" w14:textId="77777777" w:rsidR="00964D6F" w:rsidRDefault="00964D6F" w:rsidP="00964D6F">
      <w:pPr>
        <w:pStyle w:val="isselectedend"/>
        <w:ind w:left="540" w:hanging="540"/>
        <w:jc w:val="both"/>
      </w:pPr>
      <w:r>
        <w:t xml:space="preserve">Olofsson, T. C., Butler, É., Markowicz, P., Lindholm, C., Larsson, L., &amp; Vásquez, A. (2016). Lactic acid bacterial symbionts in honeybees—An unknown key to honey's antimicrobial and therapeutic activities. </w:t>
      </w:r>
      <w:r>
        <w:rPr>
          <w:rStyle w:val="Emphasis"/>
        </w:rPr>
        <w:t>International Wound Journal, 13</w:t>
      </w:r>
      <w:r>
        <w:t xml:space="preserve">(5), 668–679. </w:t>
      </w:r>
      <w:hyperlink r:id="rId33" w:history="1">
        <w:r>
          <w:rPr>
            <w:rStyle w:val="Hyperlink"/>
          </w:rPr>
          <w:t>https://doi.org/10.1111/iwj.12345</w:t>
        </w:r>
      </w:hyperlink>
    </w:p>
    <w:p w14:paraId="39BA47E8" w14:textId="77777777" w:rsidR="00964D6F" w:rsidRDefault="00964D6F" w:rsidP="00964D6F">
      <w:pPr>
        <w:pStyle w:val="isselectedend"/>
        <w:ind w:left="540" w:hanging="540"/>
        <w:jc w:val="both"/>
      </w:pPr>
      <w:proofErr w:type="spellStart"/>
      <w:r>
        <w:t>Sinekçi</w:t>
      </w:r>
      <w:proofErr w:type="spellEnd"/>
      <w:r>
        <w:t xml:space="preserve">, Y., </w:t>
      </w:r>
      <w:proofErr w:type="spellStart"/>
      <w:r>
        <w:t>Afşaroğlu</w:t>
      </w:r>
      <w:proofErr w:type="spellEnd"/>
      <w:r>
        <w:t xml:space="preserve">, E., Kabak, B., </w:t>
      </w:r>
      <w:proofErr w:type="spellStart"/>
      <w:r>
        <w:t>Sarıçayır</w:t>
      </w:r>
      <w:proofErr w:type="spellEnd"/>
      <w:r>
        <w:t xml:space="preserve">, S., </w:t>
      </w:r>
      <w:proofErr w:type="spellStart"/>
      <w:r>
        <w:t>Soytemiz</w:t>
      </w:r>
      <w:proofErr w:type="spellEnd"/>
      <w:r>
        <w:t xml:space="preserve">, I., &amp; Ozdemir, G. (2024). Examination of intestinal microbiota abundance of honey bees supplemented and </w:t>
      </w:r>
      <w:proofErr w:type="spellStart"/>
      <w:r>
        <w:t>unsupplemented</w:t>
      </w:r>
      <w:proofErr w:type="spellEnd"/>
      <w:r>
        <w:t xml:space="preserve"> with probiotic bacteria by QPCR. </w:t>
      </w:r>
      <w:r>
        <w:rPr>
          <w:rStyle w:val="Emphasis"/>
        </w:rPr>
        <w:t>Scientific Reports, 14</w:t>
      </w:r>
      <w:r>
        <w:t xml:space="preserve">, Article 28959. </w:t>
      </w:r>
      <w:hyperlink r:id="rId34" w:history="1">
        <w:r>
          <w:rPr>
            <w:rStyle w:val="Hyperlink"/>
          </w:rPr>
          <w:t>https://doi.org/10.1038/s41598-024-77338-1</w:t>
        </w:r>
      </w:hyperlink>
    </w:p>
    <w:p w14:paraId="3A6571E3" w14:textId="77777777" w:rsidR="00964D6F" w:rsidRDefault="00964D6F" w:rsidP="00964D6F">
      <w:pPr>
        <w:pStyle w:val="isselectedend"/>
        <w:ind w:left="540" w:hanging="540"/>
        <w:jc w:val="both"/>
      </w:pPr>
      <w:r>
        <w:t xml:space="preserve">Vásquez, A., Forsgren, E., Fries, I., Paxton, R. J., </w:t>
      </w:r>
      <w:proofErr w:type="spellStart"/>
      <w:r>
        <w:t>Flaberg</w:t>
      </w:r>
      <w:proofErr w:type="spellEnd"/>
      <w:r>
        <w:t xml:space="preserve">, E., Szekely, L., &amp; Olofsson, T. C. (2012). Symbionts as major modulators of insect health: Lactic acid bacteria and honeybees. </w:t>
      </w:r>
      <w:r>
        <w:rPr>
          <w:rStyle w:val="Emphasis"/>
        </w:rPr>
        <w:t>PLOS ONE, 7</w:t>
      </w:r>
      <w:r>
        <w:t xml:space="preserve">(3), Article e33188. </w:t>
      </w:r>
      <w:hyperlink r:id="rId35" w:history="1">
        <w:r>
          <w:rPr>
            <w:rStyle w:val="Hyperlink"/>
          </w:rPr>
          <w:t>https://doi.org/10.1371/journal.pone.0033188</w:t>
        </w:r>
      </w:hyperlink>
    </w:p>
    <w:p w14:paraId="60CEECCD" w14:textId="77777777" w:rsidR="00964D6F" w:rsidRDefault="00964D6F" w:rsidP="00964D6F">
      <w:pPr>
        <w:pStyle w:val="isselectedend"/>
        <w:ind w:left="540" w:hanging="540"/>
        <w:jc w:val="both"/>
      </w:pPr>
      <w:proofErr w:type="spellStart"/>
      <w:r>
        <w:t>Vergalito</w:t>
      </w:r>
      <w:proofErr w:type="spellEnd"/>
      <w:r>
        <w:t xml:space="preserve">, F., Testa, B., Cozzolino, A., Letizia, F., Succi, M., Lombardi, S. J., Tremonte, P., Pannella, G., Di Marco, R., Sorrentino, E., Coppola, R., &amp; Iorizzo, M. (2020). Potential application of </w:t>
      </w:r>
      <w:proofErr w:type="spellStart"/>
      <w:r>
        <w:rPr>
          <w:rStyle w:val="Emphasis"/>
        </w:rPr>
        <w:t>Apilactobacillus</w:t>
      </w:r>
      <w:proofErr w:type="spellEnd"/>
      <w:r>
        <w:rPr>
          <w:rStyle w:val="Emphasis"/>
        </w:rPr>
        <w:t xml:space="preserve"> </w:t>
      </w:r>
      <w:proofErr w:type="spellStart"/>
      <w:r>
        <w:rPr>
          <w:rStyle w:val="Emphasis"/>
        </w:rPr>
        <w:t>kunkeei</w:t>
      </w:r>
      <w:proofErr w:type="spellEnd"/>
      <w:r>
        <w:t xml:space="preserve"> for human use: Evaluation of probiotic and functional properties. </w:t>
      </w:r>
      <w:r>
        <w:rPr>
          <w:rStyle w:val="Emphasis"/>
        </w:rPr>
        <w:t>Foods, 9</w:t>
      </w:r>
      <w:r>
        <w:t xml:space="preserve">(11), Article 1535. </w:t>
      </w:r>
      <w:hyperlink r:id="rId36" w:history="1">
        <w:r>
          <w:rPr>
            <w:rStyle w:val="Hyperlink"/>
          </w:rPr>
          <w:t>https://doi.org/10.3390/foods9111535</w:t>
        </w:r>
      </w:hyperlink>
    </w:p>
    <w:p w14:paraId="7D5F5E6B" w14:textId="77777777" w:rsidR="00964D6F" w:rsidRDefault="00964D6F" w:rsidP="00964D6F">
      <w:pPr>
        <w:pStyle w:val="isselectedend"/>
        <w:ind w:left="540" w:hanging="540"/>
        <w:jc w:val="both"/>
      </w:pPr>
      <w:r>
        <w:t xml:space="preserve">Yun, B.-R., Truong, A.-T., Choi, Y. S., Lee, M. Y., Kim, B. Y., Seo, M., Yoon, S.-S., Yoo, M.-S., Quyen, D. V., &amp; Cho, Y. S. (2022). Comparison of the gut microbiome of </w:t>
      </w:r>
      <w:proofErr w:type="spellStart"/>
      <w:r>
        <w:t>sacbrood</w:t>
      </w:r>
      <w:proofErr w:type="spellEnd"/>
      <w:r>
        <w:t xml:space="preserve"> virus-resistant and -susceptible </w:t>
      </w:r>
      <w:r>
        <w:rPr>
          <w:rStyle w:val="Emphasis"/>
        </w:rPr>
        <w:t>Apis cerana</w:t>
      </w:r>
      <w:r>
        <w:t xml:space="preserve"> from South Korea. </w:t>
      </w:r>
      <w:r>
        <w:rPr>
          <w:rStyle w:val="Emphasis"/>
        </w:rPr>
        <w:t>Scientific Reports, 12</w:t>
      </w:r>
      <w:r>
        <w:t xml:space="preserve">, Article 10010. </w:t>
      </w:r>
      <w:hyperlink r:id="rId37" w:history="1">
        <w:r>
          <w:rPr>
            <w:rStyle w:val="Hyperlink"/>
          </w:rPr>
          <w:t>https://doi.org/10.1038/s41598-022-13535-0</w:t>
        </w:r>
      </w:hyperlink>
    </w:p>
    <w:p w14:paraId="4EB628EE" w14:textId="77777777" w:rsidR="00964D6F" w:rsidRDefault="00964D6F" w:rsidP="00964D6F">
      <w:pPr>
        <w:pStyle w:val="NormalWeb"/>
        <w:ind w:left="540" w:hanging="540"/>
        <w:jc w:val="both"/>
      </w:pPr>
      <w:r>
        <w:t xml:space="preserve">Zheng, H., Nishida, A., Kwong, W. K., Koch, H., Engel, P., Steele, M. I., &amp; Moran, N. A. (2016). Metabolism of toxic sugars by strains of the bee gut symbiont </w:t>
      </w:r>
      <w:proofErr w:type="spellStart"/>
      <w:r>
        <w:rPr>
          <w:rStyle w:val="Emphasis"/>
        </w:rPr>
        <w:t>Gilliamella</w:t>
      </w:r>
      <w:proofErr w:type="spellEnd"/>
      <w:r>
        <w:rPr>
          <w:rStyle w:val="Emphasis"/>
        </w:rPr>
        <w:t xml:space="preserve"> </w:t>
      </w:r>
      <w:proofErr w:type="spellStart"/>
      <w:r>
        <w:rPr>
          <w:rStyle w:val="Emphasis"/>
        </w:rPr>
        <w:t>apicola</w:t>
      </w:r>
      <w:proofErr w:type="spellEnd"/>
      <w:r>
        <w:t xml:space="preserve">. </w:t>
      </w:r>
      <w:r>
        <w:rPr>
          <w:rStyle w:val="Emphasis"/>
        </w:rPr>
        <w:t>mBio, 7</w:t>
      </w:r>
      <w:r>
        <w:t xml:space="preserve">(6), Article e01326-16. </w:t>
      </w:r>
      <w:hyperlink r:id="rId38" w:history="1">
        <w:r>
          <w:rPr>
            <w:rStyle w:val="Hyperlink"/>
          </w:rPr>
          <w:t>https://doi.org/10.1128/mBio.01326-16</w:t>
        </w:r>
      </w:hyperlink>
    </w:p>
    <w:p w14:paraId="14093E72" w14:textId="77777777" w:rsidR="004841B3" w:rsidRDefault="004841B3" w:rsidP="00E36C2A">
      <w:pPr>
        <w:jc w:val="both"/>
      </w:pPr>
    </w:p>
    <w:sectPr w:rsidR="004841B3" w:rsidSect="004841B3">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5C21" w14:textId="77777777" w:rsidR="005935EF" w:rsidRDefault="005935EF" w:rsidP="00F918A1">
      <w:pPr>
        <w:spacing w:after="0" w:line="240" w:lineRule="auto"/>
      </w:pPr>
      <w:r>
        <w:separator/>
      </w:r>
    </w:p>
  </w:endnote>
  <w:endnote w:type="continuationSeparator" w:id="0">
    <w:p w14:paraId="19A63DA9" w14:textId="77777777" w:rsidR="005935EF" w:rsidRDefault="005935EF" w:rsidP="00F9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857F" w14:textId="77777777" w:rsidR="00F918A1" w:rsidRDefault="00F91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B6D5" w14:textId="77777777" w:rsidR="00F918A1" w:rsidRDefault="00F91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9DF0" w14:textId="77777777" w:rsidR="00F918A1" w:rsidRDefault="00F91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5D51" w14:textId="77777777" w:rsidR="005935EF" w:rsidRDefault="005935EF" w:rsidP="00F918A1">
      <w:pPr>
        <w:spacing w:after="0" w:line="240" w:lineRule="auto"/>
      </w:pPr>
      <w:r>
        <w:separator/>
      </w:r>
    </w:p>
  </w:footnote>
  <w:footnote w:type="continuationSeparator" w:id="0">
    <w:p w14:paraId="432819D1" w14:textId="77777777" w:rsidR="005935EF" w:rsidRDefault="005935EF" w:rsidP="00F91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78E3" w14:textId="77777777" w:rsidR="00F918A1" w:rsidRDefault="00000000">
    <w:pPr>
      <w:pStyle w:val="Header"/>
    </w:pPr>
    <w:r>
      <w:rPr>
        <w:noProof/>
      </w:rPr>
      <w:pict w14:anchorId="4D2F1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76F5" w14:textId="77777777" w:rsidR="00F918A1" w:rsidRDefault="00000000">
    <w:pPr>
      <w:pStyle w:val="Header"/>
    </w:pPr>
    <w:r>
      <w:rPr>
        <w:noProof/>
      </w:rPr>
      <w:pict w14:anchorId="448B4B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6160" w14:textId="77777777" w:rsidR="00F918A1" w:rsidRDefault="00000000">
    <w:pPr>
      <w:pStyle w:val="Header"/>
    </w:pPr>
    <w:r>
      <w:rPr>
        <w:noProof/>
      </w:rPr>
      <w:pict w14:anchorId="2E238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FF1"/>
    <w:rsid w:val="000A7BD5"/>
    <w:rsid w:val="000B3936"/>
    <w:rsid w:val="00180CD5"/>
    <w:rsid w:val="001F7D1A"/>
    <w:rsid w:val="00345F3B"/>
    <w:rsid w:val="003668C2"/>
    <w:rsid w:val="004841B3"/>
    <w:rsid w:val="004C7E4F"/>
    <w:rsid w:val="005935EF"/>
    <w:rsid w:val="00632FF1"/>
    <w:rsid w:val="0074443B"/>
    <w:rsid w:val="00804DA0"/>
    <w:rsid w:val="00824882"/>
    <w:rsid w:val="00964D6F"/>
    <w:rsid w:val="009D41FA"/>
    <w:rsid w:val="00BB1673"/>
    <w:rsid w:val="00C13D80"/>
    <w:rsid w:val="00C41A9F"/>
    <w:rsid w:val="00CC64AE"/>
    <w:rsid w:val="00D455DB"/>
    <w:rsid w:val="00E36C2A"/>
    <w:rsid w:val="00E604D0"/>
    <w:rsid w:val="00F91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72DD7"/>
  <w15:chartTrackingRefBased/>
  <w15:docId w15:val="{76BFC909-42EF-4BB0-ADA6-0643FC4C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632F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32F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32FF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32FF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32FF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32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632FF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32F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32FF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32FF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32FF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32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FF1"/>
    <w:rPr>
      <w:rFonts w:eastAsiaTheme="majorEastAsia" w:cstheme="majorBidi"/>
      <w:color w:val="272727" w:themeColor="text1" w:themeTint="D8"/>
    </w:rPr>
  </w:style>
  <w:style w:type="paragraph" w:styleId="Title">
    <w:name w:val="Title"/>
    <w:basedOn w:val="Normal"/>
    <w:next w:val="Normal"/>
    <w:link w:val="TitleChar"/>
    <w:uiPriority w:val="10"/>
    <w:qFormat/>
    <w:rsid w:val="00632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F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F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2FF1"/>
    <w:rPr>
      <w:i/>
      <w:iCs/>
      <w:color w:val="404040" w:themeColor="text1" w:themeTint="BF"/>
    </w:rPr>
  </w:style>
  <w:style w:type="paragraph" w:styleId="ListParagraph">
    <w:name w:val="List Paragraph"/>
    <w:basedOn w:val="Normal"/>
    <w:uiPriority w:val="34"/>
    <w:qFormat/>
    <w:rsid w:val="00632FF1"/>
    <w:pPr>
      <w:ind w:left="720"/>
      <w:contextualSpacing/>
    </w:pPr>
  </w:style>
  <w:style w:type="character" w:styleId="IntenseEmphasis">
    <w:name w:val="Intense Emphasis"/>
    <w:basedOn w:val="DefaultParagraphFont"/>
    <w:uiPriority w:val="21"/>
    <w:qFormat/>
    <w:rsid w:val="00632FF1"/>
    <w:rPr>
      <w:i/>
      <w:iCs/>
      <w:color w:val="365F91" w:themeColor="accent1" w:themeShade="BF"/>
    </w:rPr>
  </w:style>
  <w:style w:type="paragraph" w:styleId="IntenseQuote">
    <w:name w:val="Intense Quote"/>
    <w:basedOn w:val="Normal"/>
    <w:next w:val="Normal"/>
    <w:link w:val="IntenseQuoteChar"/>
    <w:uiPriority w:val="30"/>
    <w:qFormat/>
    <w:rsid w:val="00632F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32FF1"/>
    <w:rPr>
      <w:i/>
      <w:iCs/>
      <w:color w:val="365F91" w:themeColor="accent1" w:themeShade="BF"/>
    </w:rPr>
  </w:style>
  <w:style w:type="character" w:styleId="IntenseReference">
    <w:name w:val="Intense Reference"/>
    <w:basedOn w:val="DefaultParagraphFont"/>
    <w:uiPriority w:val="32"/>
    <w:qFormat/>
    <w:rsid w:val="00632FF1"/>
    <w:rPr>
      <w:b/>
      <w:bCs/>
      <w:smallCaps/>
      <w:color w:val="365F91" w:themeColor="accent1" w:themeShade="BF"/>
      <w:spacing w:val="5"/>
    </w:rPr>
  </w:style>
  <w:style w:type="table" w:styleId="TableGridLight">
    <w:name w:val="Grid Table Light"/>
    <w:basedOn w:val="TableNormal"/>
    <w:uiPriority w:val="40"/>
    <w:rsid w:val="00BB1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91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8A1"/>
  </w:style>
  <w:style w:type="paragraph" w:styleId="Footer">
    <w:name w:val="footer"/>
    <w:basedOn w:val="Normal"/>
    <w:link w:val="FooterChar"/>
    <w:uiPriority w:val="99"/>
    <w:unhideWhenUsed/>
    <w:rsid w:val="00F91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8A1"/>
  </w:style>
  <w:style w:type="paragraph" w:customStyle="1" w:styleId="isselectedend">
    <w:name w:val="isselectedend"/>
    <w:basedOn w:val="Normal"/>
    <w:rsid w:val="00964D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64D6F"/>
    <w:rPr>
      <w:i/>
      <w:iCs/>
    </w:rPr>
  </w:style>
  <w:style w:type="character" w:styleId="Hyperlink">
    <w:name w:val="Hyperlink"/>
    <w:basedOn w:val="DefaultParagraphFont"/>
    <w:uiPriority w:val="99"/>
    <w:semiHidden/>
    <w:unhideWhenUsed/>
    <w:rsid w:val="00964D6F"/>
    <w:rPr>
      <w:color w:val="0000FF"/>
      <w:u w:val="single"/>
    </w:rPr>
  </w:style>
  <w:style w:type="paragraph" w:styleId="NormalWeb">
    <w:name w:val="Normal (Web)"/>
    <w:basedOn w:val="Normal"/>
    <w:uiPriority w:val="99"/>
    <w:semiHidden/>
    <w:unhideWhenUsed/>
    <w:rsid w:val="00964D6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2003-020-01259-8" TargetMode="External"/><Relationship Id="rId18" Type="http://schemas.openxmlformats.org/officeDocument/2006/relationships/hyperlink" Target="https://doi.org/10.1016/S0899-3467(07)60142-6" TargetMode="External"/><Relationship Id="rId26" Type="http://schemas.openxmlformats.org/officeDocument/2006/relationships/hyperlink" Target="https://doi.org/10.1371/journal.pone.0036393" TargetMode="External"/><Relationship Id="rId39" Type="http://schemas.openxmlformats.org/officeDocument/2006/relationships/header" Target="header1.xml"/><Relationship Id="rId21" Type="http://schemas.openxmlformats.org/officeDocument/2006/relationships/hyperlink" Target="https://doi.org/10.1098/rsos.170003" TargetMode="External"/><Relationship Id="rId34" Type="http://schemas.openxmlformats.org/officeDocument/2006/relationships/hyperlink" Target="https://doi.org/10.1038/s41598-024-77338-1" TargetMode="External"/><Relationship Id="rId42" Type="http://schemas.openxmlformats.org/officeDocument/2006/relationships/footer" Target="footer2.xml"/><Relationship Id="rId7" Type="http://schemas.openxmlformats.org/officeDocument/2006/relationships/hyperlink" Target="https://doi.org/10.1038/s41598-024-52118-z" TargetMode="External"/><Relationship Id="rId2" Type="http://schemas.openxmlformats.org/officeDocument/2006/relationships/settings" Target="settings.xml"/><Relationship Id="rId16" Type="http://schemas.openxmlformats.org/officeDocument/2006/relationships/hyperlink" Target="https://doi.org/10.1073/pnas.1202970109" TargetMode="External"/><Relationship Id="rId29" Type="http://schemas.openxmlformats.org/officeDocument/2006/relationships/hyperlink" Target="https://doi.org/10.3389/fsufs.2022.931363" TargetMode="External"/><Relationship Id="rId1" Type="http://schemas.openxmlformats.org/officeDocument/2006/relationships/styles" Target="styles.xml"/><Relationship Id="rId6" Type="http://schemas.openxmlformats.org/officeDocument/2006/relationships/hyperlink" Target="https://doi.org/10.1016/j.sjbs.2020.09.016" TargetMode="External"/><Relationship Id="rId11" Type="http://schemas.openxmlformats.org/officeDocument/2006/relationships/hyperlink" Target="https://doi.org/10.1371/journal.pbio.3002523" TargetMode="External"/><Relationship Id="rId24" Type="http://schemas.openxmlformats.org/officeDocument/2006/relationships/hyperlink" Target="https://doi.org/10.1038/s41598-024-67796-y" TargetMode="External"/><Relationship Id="rId32" Type="http://schemas.openxmlformats.org/officeDocument/2006/relationships/hyperlink" Target="https://doi.org/10.3390/cells10030701" TargetMode="External"/><Relationship Id="rId37" Type="http://schemas.openxmlformats.org/officeDocument/2006/relationships/hyperlink" Target="https://doi.org/10.1038/s41598-022-13535-0"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1128/spectrum.00578-24" TargetMode="External"/><Relationship Id="rId23" Type="http://schemas.openxmlformats.org/officeDocument/2006/relationships/hyperlink" Target="https://doi.org/10.3390/microorganisms10101938" TargetMode="External"/><Relationship Id="rId28" Type="http://schemas.openxmlformats.org/officeDocument/2006/relationships/hyperlink" Target="https://doi.org/10.1098/rstb.2021.0156" TargetMode="External"/><Relationship Id="rId36" Type="http://schemas.openxmlformats.org/officeDocument/2006/relationships/hyperlink" Target="https://doi.org/10.3390/foods9111535" TargetMode="External"/><Relationship Id="rId10" Type="http://schemas.openxmlformats.org/officeDocument/2006/relationships/hyperlink" Target="https://doi.org/10.1111/iwj.12360" TargetMode="External"/><Relationship Id="rId19" Type="http://schemas.openxmlformats.org/officeDocument/2006/relationships/hyperlink" Target="https://doi.org/10.1038/nrgastro.2014.66" TargetMode="External"/><Relationship Id="rId31" Type="http://schemas.openxmlformats.org/officeDocument/2006/relationships/hyperlink" Target="https://doi.org/10.3389/fevo.2020.538520" TargetMode="External"/><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i.org/10.3390/molecules27020574" TargetMode="External"/><Relationship Id="rId14" Type="http://schemas.openxmlformats.org/officeDocument/2006/relationships/hyperlink" Target="https://doi.org/10.1016/j.micres.2019.126370" TargetMode="External"/><Relationship Id="rId22" Type="http://schemas.openxmlformats.org/officeDocument/2006/relationships/hyperlink" Target="https://doi.org/10.1038/nrmicro.2016.43" TargetMode="External"/><Relationship Id="rId27" Type="http://schemas.openxmlformats.org/officeDocument/2006/relationships/hyperlink" Target="https://doi.org/10.1038/s41579-023-00990-3" TargetMode="External"/><Relationship Id="rId30" Type="http://schemas.openxmlformats.org/officeDocument/2006/relationships/hyperlink" Target="https://doi.org/10.3390/foods11142102" TargetMode="External"/><Relationship Id="rId35" Type="http://schemas.openxmlformats.org/officeDocument/2006/relationships/hyperlink" Target="https://doi.org/10.1371/journal.pone.0033188" TargetMode="External"/><Relationship Id="rId43" Type="http://schemas.openxmlformats.org/officeDocument/2006/relationships/header" Target="header3.xml"/><Relationship Id="rId8" Type="http://schemas.openxmlformats.org/officeDocument/2006/relationships/hyperlink" Target="https://doi.org/10.1016/S0140-6736(21)02724-0" TargetMode="External"/><Relationship Id="rId3" Type="http://schemas.openxmlformats.org/officeDocument/2006/relationships/webSettings" Target="webSettings.xml"/><Relationship Id="rId12" Type="http://schemas.openxmlformats.org/officeDocument/2006/relationships/hyperlink" Target="https://doi.org/10.1371/journal.pone.0095056" TargetMode="External"/><Relationship Id="rId17" Type="http://schemas.openxmlformats.org/officeDocument/2006/relationships/hyperlink" Target="https://doi.org/10.1016/S0140-6736(24)01867-1" TargetMode="External"/><Relationship Id="rId25" Type="http://schemas.openxmlformats.org/officeDocument/2006/relationships/hyperlink" Target="https://doi.org/10.1126/science.aax9039" TargetMode="External"/><Relationship Id="rId33" Type="http://schemas.openxmlformats.org/officeDocument/2006/relationships/hyperlink" Target="https://doi.org/10.1111/iwj.12345" TargetMode="External"/><Relationship Id="rId38" Type="http://schemas.openxmlformats.org/officeDocument/2006/relationships/hyperlink" Target="https://doi.org/10.1128/mBio.01326-16" TargetMode="External"/><Relationship Id="rId46" Type="http://schemas.openxmlformats.org/officeDocument/2006/relationships/theme" Target="theme/theme1.xml"/><Relationship Id="rId20" Type="http://schemas.openxmlformats.org/officeDocument/2006/relationships/hyperlink" Target="https://doi.org/10.1073/pnas.1405838111"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8841</Words>
  <Characters>50400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Editor-90</cp:lastModifiedBy>
  <cp:revision>5</cp:revision>
  <dcterms:created xsi:type="dcterms:W3CDTF">2026-07-18T12:52:00Z</dcterms:created>
  <dcterms:modified xsi:type="dcterms:W3CDTF">2026-07-21T10:15:00Z</dcterms:modified>
</cp:coreProperties>
</file>