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E9C9" w14:textId="77777777" w:rsidR="00187285" w:rsidRPr="00187285" w:rsidRDefault="00187285" w:rsidP="00364C0E">
      <w:pPr>
        <w:spacing w:before="100" w:beforeAutospacing="1" w:after="100" w:afterAutospacing="1" w:line="240" w:lineRule="auto"/>
        <w:jc w:val="both"/>
        <w:outlineLvl w:val="1"/>
        <w:rPr>
          <w:rFonts w:ascii="Times New Roman" w:eastAsia="Times New Roman" w:hAnsi="Times New Roman" w:cs="Times New Roman"/>
          <w:b/>
          <w:bCs/>
          <w:sz w:val="36"/>
          <w:szCs w:val="36"/>
          <w:u w:val="single"/>
          <w:lang w:eastAsia="en-GB"/>
        </w:rPr>
      </w:pPr>
      <w:r w:rsidRPr="00187285">
        <w:rPr>
          <w:rFonts w:ascii="Times New Roman" w:eastAsia="Times New Roman" w:hAnsi="Times New Roman" w:cs="Times New Roman"/>
          <w:b/>
          <w:bCs/>
          <w:sz w:val="36"/>
          <w:szCs w:val="36"/>
          <w:u w:val="single"/>
          <w:lang w:eastAsia="en-GB"/>
        </w:rPr>
        <w:t>Review Article</w:t>
      </w:r>
    </w:p>
    <w:p w14:paraId="3371988A" w14:textId="77777777" w:rsidR="007A71DF" w:rsidRPr="007A71DF" w:rsidRDefault="007A71DF" w:rsidP="00364C0E">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7A71DF">
        <w:rPr>
          <w:rFonts w:ascii="Times New Roman" w:eastAsia="Times New Roman" w:hAnsi="Times New Roman" w:cs="Times New Roman"/>
          <w:b/>
          <w:bCs/>
          <w:sz w:val="36"/>
          <w:szCs w:val="36"/>
          <w:lang w:eastAsia="en-GB"/>
        </w:rPr>
        <w:t>Application of Machine Learning and Artificial Intelligence for Disease Detection in Dairy Animals: A Critical Review</w:t>
      </w:r>
    </w:p>
    <w:p w14:paraId="27F5BBC7"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19318C60"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Abstract</w:t>
      </w:r>
    </w:p>
    <w:p w14:paraId="1CE2F281" w14:textId="0BC90593"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global dairy industry suffers persistent productivity losses from poorly detected infectious, metabolic, and locomotion-related diseases in cattle. Early, accurate diagnosis matters enormously—for animal welfare, farm economics, and antimicrobial stewardship alike. Machine learning (ML) and artificial intelligence (AI) have, over the past two decades, become central tools within precision livestock farming, promising automated, continuous, and non-invasive health surveillance at herd scale. This review synthesises peer-reviewed literature from 2006 to </w:t>
      </w:r>
      <w:r w:rsidR="00AA16D9">
        <w:rPr>
          <w:rFonts w:ascii="Times New Roman" w:eastAsia="Times New Roman" w:hAnsi="Times New Roman" w:cs="Times New Roman"/>
          <w:sz w:val="24"/>
          <w:szCs w:val="24"/>
          <w:lang w:eastAsia="en-GB"/>
        </w:rPr>
        <w:t>February</w:t>
      </w:r>
      <w:r w:rsidRPr="007A71DF">
        <w:rPr>
          <w:rFonts w:ascii="Times New Roman" w:eastAsia="Times New Roman" w:hAnsi="Times New Roman" w:cs="Times New Roman"/>
          <w:sz w:val="24"/>
          <w:szCs w:val="24"/>
          <w:lang w:eastAsia="en-GB"/>
        </w:rPr>
        <w:t xml:space="preserve"> 2026, covering the principal ML algorithms—artificial neural networks, support vector machines, random forests, gradient boosting, and deep learning architectures—as applied to the most economically important dairy cattle diseases: mastitis, lameness, metabolic disorders, bovine respiratory disease, and deteriorating body condition. It evaluates the sensor modalities used, including accelerometers, pressure mats, infrared thermography, acoustic sensors, computer vision systems, and milk composition analysers, and assesses data integration strategies that have been proposed. Despite encouraging accuracy metrics under controlled conditions, inconsistent validation standards, limited dataset sizes, poor generalisation across farm environments, and a thin body of real-world implementation evidence remain major obstacles to clinical adoption. Ethical questions around data ownership, farmer digital literacy, and algorithmic accountability are also addressed. Progress towards genuine clinical utility will require standardised benchmarking, larger multi-farm prospective datasets, and transparent, explainable models aligned with emerging regulatory requirements and farmer needs.</w:t>
      </w:r>
    </w:p>
    <w:p w14:paraId="497DF81C"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Keywords:</w:t>
      </w:r>
      <w:r w:rsidRPr="007A71DF">
        <w:rPr>
          <w:rFonts w:ascii="Times New Roman" w:eastAsia="Times New Roman" w:hAnsi="Times New Roman" w:cs="Times New Roman"/>
          <w:sz w:val="24"/>
          <w:szCs w:val="24"/>
          <w:lang w:eastAsia="en-GB"/>
        </w:rPr>
        <w:t xml:space="preserve"> machine learning; artificial intelligence; dairy cattle; disease detection; precision livestock farming; mastitis; lameness; metabolic disorders; deep learning; sensor technology</w:t>
      </w:r>
    </w:p>
    <w:p w14:paraId="00A41B53"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32B8E7C4"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 Introduction</w:t>
      </w:r>
    </w:p>
    <w:p w14:paraId="7AA00EE9"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1.1 Background and Significance</w:t>
      </w:r>
    </w:p>
    <w:p w14:paraId="6968FBA3"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dairy sector is one of the most economically significant branches of global food production, sustaining the livelihoods of hundreds of millions of people and supporting rural economies on every inhabited continent. According to the Food and Agriculture Organisation of the United Nations, world milk production from all species reached approximately 906 million tonnes in 2020, with demand continuing to grow in emerging economies (FAO, 2021). Against this backdrop, the industry faces serious pressure from disease-related productivity losses, elevated involuntary culling rates, reduced reproductive efficiency, and mounting scrutiny of antimicrobial use. Disease caught early—when treatment works best, </w:t>
      </w:r>
      <w:r w:rsidRPr="007A71DF">
        <w:rPr>
          <w:rFonts w:ascii="Times New Roman" w:eastAsia="Times New Roman" w:hAnsi="Times New Roman" w:cs="Times New Roman"/>
          <w:sz w:val="24"/>
          <w:szCs w:val="24"/>
          <w:lang w:eastAsia="en-GB"/>
        </w:rPr>
        <w:lastRenderedPageBreak/>
        <w:t>welfare damage is lowest, and spread is most easily contained—is thus a priority for producers, veterinarians, and public health authorities alike.</w:t>
      </w:r>
    </w:p>
    <w:p w14:paraId="7B8A8F87"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Conventional disease detection in dairy cattle relies primarily on clinical observation by stockpersons and veterinarians, supplemented by periodic sampling of milk, blood, and faeces. These approaches have been refined over decades and remain the reference standard in most contexts, but they carry inherent limitations: they are episodic rather than continuous, depend on the availability and skills of trained personnel, and frequently reveal disease only after physiological changes have already moved beyond the earliest treatable stage (LeBlanc et al., 2006). These constraints have sharpened as dairy operations have grown in scale, with individual herds routinely numbering several thousand animals. At that scale, attentive individual monitoring becomes structurally difficult.</w:t>
      </w:r>
    </w:p>
    <w:p w14:paraId="0DB11CC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Precision livestock farming (PLF) has opened new possibilities for addressing this challenge. Defined by Berckmans (2017) as the real-time, continuous monitoring of individual animals to support better management decisions, PLF draws on affordable sensors, wireless communications, and cloud computing to generate data at a resolution and frequency unattainable through manual inspection. Machine learning and AI have attracted particular attention within this framework because they can extract clinically meaningful signals from the complex, high-dimensional data streams that sensors produce—something conventional statistical tools often cannot do.</w:t>
      </w:r>
    </w:p>
    <w:p w14:paraId="5EAA36D7"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1.2 Overview of Disease Burden in Dairy Cattle</w:t>
      </w:r>
    </w:p>
    <w:p w14:paraId="4306BE8E"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Disease costs the dairy industry heavily. Mastitis—mammary gland inflammation driven primarily by bacterial infection—is consistently the most expensive single condition, with global annual losses running to many billions of US dollars once milk yield reductions, veterinary costs, discarded milk, and premature culling are combined (Hogeveen et al., 2011). Lameness from hoof and limb disorders suppresses voluntary feed intake, reduces reproductive performance, and substantially raises the risk of involuntary culling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Metabolic disorders—subclinical ketosis, milk fever, and displaced abomasum in particular—add further productivity penalties, especially in the periparturient period, when they also predispose cows to secondary disease and death (Xu et al., 2019). Bovine respiratory disease (BRD), while more prominent in beef and calf-rearing settings, affects dairy herds too and is one of the biggest drivers of antimicrobial use in the species (Vandermeulen et al., 2016).</w:t>
      </w:r>
    </w:p>
    <w:p w14:paraId="652B048F" w14:textId="1599C845" w:rsidR="007A71DF" w:rsidRPr="00B53D4C" w:rsidRDefault="007A71DF" w:rsidP="00B53D4C">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7A71DF">
        <w:rPr>
          <w:rFonts w:ascii="Times New Roman" w:eastAsia="Times New Roman" w:hAnsi="Times New Roman" w:cs="Times New Roman"/>
          <w:sz w:val="24"/>
          <w:szCs w:val="24"/>
          <w:lang w:eastAsia="en-GB"/>
        </w:rPr>
        <w:t>The shortcomings of routine detection are well documented. LeBlanc et al. (2006) showed that actual disease prevalence—based on laboratory and post-mortem findings—consistently exceeds the clinical disease recorded on farm, and that subclinical infections and early metabolic imbalances in particular are routinely missed. That detection gap is both an economic and a welfare problem, and it motivates the case for technologies capable of monitoring continuously and flagging deviations from individual baselines without relying on human presence.</w:t>
      </w:r>
      <w:r w:rsidR="00B53D4C">
        <w:rPr>
          <w:rFonts w:ascii="Times New Roman" w:eastAsia="Times New Roman" w:hAnsi="Times New Roman" w:cs="Times New Roman"/>
          <w:sz w:val="24"/>
          <w:szCs w:val="24"/>
          <w:lang w:eastAsia="en-GB"/>
        </w:rPr>
        <w:t xml:space="preserve"> </w:t>
      </w:r>
      <w:r w:rsidRPr="00B53D4C">
        <w:rPr>
          <w:bCs/>
          <w:highlight w:val="yellow"/>
        </w:rPr>
        <w:t>Recent peer-reviewed studies have further extended this evidence base by evaluating multilabel classification of bovine health events and fully automated image-based lameness detection, supporting the relevance of AI for continuous monitoring while reinforcing the need for validation under farm conditions (Nadeem et al., 2025; Siachos et al., 2025).</w:t>
      </w:r>
    </w:p>
    <w:p w14:paraId="53637639" w14:textId="77777777" w:rsidR="0031311D" w:rsidRPr="0031311D" w:rsidRDefault="007A71DF" w:rsidP="00364C0E">
      <w:pPr>
        <w:jc w:val="both"/>
        <w:rPr>
          <w:b/>
          <w:highlight w:val="yellow"/>
        </w:rPr>
      </w:pPr>
      <w:r w:rsidRPr="0031311D">
        <w:rPr>
          <w:b/>
          <w:highlight w:val="yellow"/>
        </w:rPr>
        <w:t>Research gap</w:t>
      </w:r>
    </w:p>
    <w:p w14:paraId="3E5AD2DE" w14:textId="5F296DBB" w:rsidR="007A71DF" w:rsidRPr="00B53D4C" w:rsidRDefault="007A71DF" w:rsidP="00364C0E">
      <w:pPr>
        <w:jc w:val="both"/>
        <w:rPr>
          <w:bCs/>
        </w:rPr>
      </w:pPr>
      <w:r w:rsidRPr="00B53D4C">
        <w:rPr>
          <w:bCs/>
          <w:highlight w:val="yellow"/>
        </w:rPr>
        <w:lastRenderedPageBreak/>
        <w:t>Although individual AI applications for mastitis, lameness, metabolic disorders, and related conditions have expanded, the literature remains fragmented across diseases, sensor modalities, algorithms, and validation designs. This fragmentation limits direct comparison across studies and creates a need for a critical review that evaluates both technical performance and practical adoption barriers in dairy cattle disease detection.</w:t>
      </w:r>
    </w:p>
    <w:p w14:paraId="3D585E39"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1.3 Scope and Objectives of the Review</w:t>
      </w:r>
    </w:p>
    <w:p w14:paraId="022386CE"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This review provides a comprehensive and critical appraisal of ML and AI methods applied to disease detection in dairy cattle. It covers the principal algorithmic approaches, the sensor modalities that supply input data, and the major disease categories that have attracted the most sustained research attention. The evidence for effectiveness is evaluated alongside the methodological quality of the underlying studies, and the main barriers to real-world adoption are identified. Future directions are addressed, including multi-modal data integration, advances in deep learning architectures, and the regulatory and ethical dimensions of deploying AI in livestock farming. The scope is confined to dairy cattle; work in other livestock species is cited only where directly relevant.</w:t>
      </w:r>
    </w:p>
    <w:p w14:paraId="27F73500"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51B90244"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2. Methods for Literature Selection</w:t>
      </w:r>
    </w:p>
    <w:p w14:paraId="4198BD33"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literature search drew on the following electronic databases: Web of Science (Science Citation Index Expanded), Scopus, PubMed, Google Scholar, CAB Abstracts, AGRIS, AGRICOLA, Biosis Previews, Food Science and Technology Abstracts, and the Veterinary Science Database. This broad selection reflects the interdisciplinary nature of the topic, which spans veterinary medicine, animal science, computer science, and agricultural engineering. Specialist agricultural and veterinary services—CAB Abstracts, AGRIS, AGRICOLA, and the Veterinary Science Database—were included to capture practitioner-oriented and region-specific work that generalist databases sometimes miss.</w:t>
      </w:r>
    </w:p>
    <w:p w14:paraId="1B9F26D8" w14:textId="361855E6"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The search was restricted to publications from 2006 onwards. This start date marks the period when PLF began to mature as a distinct research field, when accelerometers and electronic identification systems started entering commercial dairy practice, and when rigorous comparative studies of automated disease detection systems first appeared in the peer-reviewed literature with reasonable frequency. The end date was </w:t>
      </w:r>
      <w:r w:rsidR="00042438">
        <w:rPr>
          <w:rFonts w:ascii="Times New Roman" w:eastAsia="Times New Roman" w:hAnsi="Times New Roman" w:cs="Times New Roman"/>
          <w:sz w:val="24"/>
          <w:szCs w:val="24"/>
          <w:lang w:eastAsia="en-GB"/>
        </w:rPr>
        <w:t>February</w:t>
      </w:r>
      <w:r w:rsidRPr="007A71DF">
        <w:rPr>
          <w:rFonts w:ascii="Times New Roman" w:eastAsia="Times New Roman" w:hAnsi="Times New Roman" w:cs="Times New Roman"/>
          <w:sz w:val="24"/>
          <w:szCs w:val="24"/>
          <w:lang w:eastAsia="en-GB"/>
        </w:rPr>
        <w:t xml:space="preserve"> 2026. Boolean search strings, adapted to each database's syntax, included: ("machine learning" OR "artificial intelligence" OR "deep learning" OR "neural network" OR "support vector machine" OR "random forest" OR "convolutional neural network" OR "computer vision") AND ("dairy cattle" OR "dairy cow" OR "bovine" OR "dairy herd") AND ("disease detection" OR "health monitoring" OR "mastitis" OR "lameness" OR "ketosis" OR "metabolic disease" OR "bovine respiratory disease" OR "body condition score"). Sub-topic strings—for example, ("precision livestock farming" AND "sensor" AND "dairy")—were applied iteratively as the search extended into specific disease domains.</w:t>
      </w:r>
    </w:p>
    <w:p w14:paraId="43A1F3B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Articles were included if they were published in peer-reviewed journals, written in English, and presented either original empirical data or a critical or systematic review of the existing literature. Authoritative reports from international organisations such as the FAO were included where they supplied essential contextual data unavailable in the primary literature. </w:t>
      </w:r>
      <w:r w:rsidRPr="007A71DF">
        <w:rPr>
          <w:rFonts w:ascii="Times New Roman" w:eastAsia="Times New Roman" w:hAnsi="Times New Roman" w:cs="Times New Roman"/>
          <w:sz w:val="24"/>
          <w:szCs w:val="24"/>
          <w:lang w:eastAsia="en-GB"/>
        </w:rPr>
        <w:lastRenderedPageBreak/>
        <w:t>Conference papers, book chapters, grey literature, preprints, patents, and trade publications were excluded on grounds of variable methodological transparency. Duplicate records across databases were removed by matching on title, author, and journal. Screening proceeded first by title and abstract, then by full-text review against the predefined criteria.</w:t>
      </w:r>
    </w:p>
    <w:p w14:paraId="370FF672"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 narrative rather than systematic review approach was adopted, deliberately. The literature on AI for dairy disease detection spans multiple disciplines, uses heterogeneous outcome measures, and covers a spectrum of study designs that cannot be meaningfully pooled through meta-analysis. As Snyder (2019) has argued, narrative reviews are well-suited to synthesising and critically evaluating diverse forms of evidence across a rapidly developing interdisciplinary field where identifying research themes and gaps matters more than generating a single pooled effect estimate. Priority in study selection was given to the largest and most heterogeneous datasets, the most rigorous validation procedures, and journals with the highest impact in the relevant fields. Influential earlier studies that established foundational concepts or widely cited methodological baselines were retained for context even when they pre-dated the primary search window.</w:t>
      </w:r>
    </w:p>
    <w:p w14:paraId="7A6E3F03"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727460DB"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3. Precision Livestock Farming and the Emergence of AI-Based Monitoring</w:t>
      </w:r>
    </w:p>
    <w:p w14:paraId="75B49AAE"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3.1 Evolution of Precision Livestock Farming</w:t>
      </w:r>
    </w:p>
    <w:p w14:paraId="2C9EFF6C"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Berckmans (2014) articulated PLF's core logic clearly: rather than managing cattle as a herd against static reference ranges, PLF technology monitors each animal in real time and enables responses tailored to individual need. This was a meaningful departure from earlier, predominantly reactive approaches to herd health. Through the following decade, PLF matured considerably, propelled in parallel by advances in sensor miniaturisation, wireless networking, cloud computing, and analytical methods capable of making sense of the resulting data volumes. Berckmans (2017) subsequently extended this framing, positioning PLF as a tool not just for disease detection but for the broader optimisation of production, welfare, and environmental footprint, and stressing that individual baselines—rather than population norms—should ground health alert systems.</w:t>
      </w:r>
    </w:p>
    <w:p w14:paraId="6AB98F9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Rutten et al. (2013) traced this trajectory in an influential invited review, from single-purpose sensors such as activity meters for oestrus detection to more complex multi-parameter systems. Their key observation was that sensor technology had outpaced the analytical tools needed to convert sensor signals into actionable alerts. That observation proved prescient: reliable, specific alert generation has since become the central challenge in the field, and the move toward individual-baseline models that learn each cow's normal pattern before flagging deviations is now standard in the ML literature (Dominiak &amp; Kristensen, 2017).</w:t>
      </w:r>
    </w:p>
    <w:p w14:paraId="6BC6D7B7"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Early automated monitoring relied on rule-based or threshold-based alerts, and their limitations—especially persistent high false-positive rates and inability to accommodate natural variation across animals, seasons, and management systems—motivated the shift to statistical learning (Steeneveld et al., 2010). ML promised alert systems that improve with data, that handle the non-linear relationships typical of biological sensor streams, and that adapt in ways static rules cannot. Monteiro et al. (2021), surveying precision agriculture across livestock and crop sectors, confirmed that AI-based monitoring had become a core distinguishing feature of modern PLF.</w:t>
      </w:r>
    </w:p>
    <w:p w14:paraId="464E8057"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lastRenderedPageBreak/>
        <w:t>3.2 Data Sources and Sensor Modalities</w:t>
      </w:r>
    </w:p>
    <w:p w14:paraId="4C9E62F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Contemporary dairy farms generate rich, varied data streams. The main sources exploited in AI-based disease detection include automated milking system (AMS) outputs—milking frequency, yield, electrical conductivity, and flow rate—activity data from pedometers and accelerometers, body temperature from rumination collars and bolus sensors, acoustic data from microphones on collars or ear tags, and images from fixed or mobile cameras (Rutten et al., 2013; Neethirajan, 2017). Electronic identification linking sensor outputs to individual cow records has been fundamental in generating the longitudinal, individual-level datasets that supervised ML requires.</w:t>
      </w:r>
    </w:p>
    <w:p w14:paraId="73489EDC"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Neethirajan (2017) catalogued wearable sensor technologies for animal health management comprehensively, covering physiological parameters—core temperature, rumination time, heart rate variability, and step frequency—that can be measured non-invasively and that carry prognostic significance for a range of diseases. The survey illustrated both the extraordinary potential and the practical difficulty: sensor durability, data transmission reliability, and battery longevity all present real challenges in intensive dairy environments.</w:t>
      </w:r>
    </w:p>
    <w:p w14:paraId="4403500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sheer volume of data these systems produce has changed the analytical landscape. Morota et al. (2018) argued directly that the rise of high-throughput phenotyping and sensor-based monitoring had outstripped conventional statistics, calling explicitly for ML and data-mining approaches as a necessary response to the dimensionality and complexity of modern agricultural datasets. That argument has since become a repeated refrain in the literature—and rightly so, given the data volumes involved.</w:t>
      </w:r>
    </w:p>
    <w:p w14:paraId="4E225BA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1</w:t>
      </w:r>
      <w:r w:rsidRPr="007A71DF">
        <w:rPr>
          <w:rFonts w:ascii="Times New Roman" w:eastAsia="Times New Roman" w:hAnsi="Times New Roman" w:cs="Times New Roman"/>
          <w:sz w:val="24"/>
          <w:szCs w:val="24"/>
          <w:lang w:eastAsia="en-GB"/>
        </w:rPr>
        <w:t xml:space="preserve"> summarises the major dairy cattle disease categories covered in this review, their principal clinical features, conventional detection methods, and the sensor modalities most commonly used in AI-based detection systems, providing a quick reference for the specific applications discussed in subsequent sections.</w:t>
      </w:r>
    </w:p>
    <w:p w14:paraId="1724306D"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626295FE"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1.</w:t>
      </w:r>
      <w:r w:rsidRPr="007A71DF">
        <w:rPr>
          <w:rFonts w:ascii="Times New Roman" w:eastAsia="Times New Roman" w:hAnsi="Times New Roman" w:cs="Times New Roman"/>
          <w:sz w:val="24"/>
          <w:szCs w:val="24"/>
          <w:lang w:eastAsia="en-GB"/>
        </w:rPr>
        <w:t xml:space="preserve"> Overview of major dairy cattle disease categories, conventional detection approaches, and principal sensor modalities employed in AI-based detection systems.</w:t>
      </w:r>
    </w:p>
    <w:tbl>
      <w:tblPr>
        <w:tblStyle w:val="TableGrid"/>
        <w:tblW w:w="0" w:type="auto"/>
        <w:tblLook w:val="04A0" w:firstRow="1" w:lastRow="0" w:firstColumn="1" w:lastColumn="0" w:noHBand="0" w:noVBand="1"/>
      </w:tblPr>
      <w:tblGrid>
        <w:gridCol w:w="2023"/>
        <w:gridCol w:w="2534"/>
        <w:gridCol w:w="2039"/>
        <w:gridCol w:w="2646"/>
      </w:tblGrid>
      <w:tr w:rsidR="007A71DF" w:rsidRPr="007A71DF" w14:paraId="79D14B5E" w14:textId="77777777" w:rsidTr="005C7535">
        <w:tc>
          <w:tcPr>
            <w:tcW w:w="0" w:type="auto"/>
            <w:hideMark/>
          </w:tcPr>
          <w:p w14:paraId="7B212DA7"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w:t>
            </w:r>
          </w:p>
        </w:tc>
        <w:tc>
          <w:tcPr>
            <w:tcW w:w="0" w:type="auto"/>
            <w:hideMark/>
          </w:tcPr>
          <w:p w14:paraId="42E14D97"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Principal Aetiology</w:t>
            </w:r>
          </w:p>
        </w:tc>
        <w:tc>
          <w:tcPr>
            <w:tcW w:w="0" w:type="auto"/>
            <w:hideMark/>
          </w:tcPr>
          <w:p w14:paraId="586A5F50"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Conventional Detection</w:t>
            </w:r>
          </w:p>
        </w:tc>
        <w:tc>
          <w:tcPr>
            <w:tcW w:w="0" w:type="auto"/>
            <w:hideMark/>
          </w:tcPr>
          <w:p w14:paraId="03D76884"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Sensor Modalities in AI Systems</w:t>
            </w:r>
          </w:p>
        </w:tc>
      </w:tr>
      <w:tr w:rsidR="007A71DF" w:rsidRPr="007A71DF" w14:paraId="7CFE47D0" w14:textId="77777777" w:rsidTr="005C7535">
        <w:tc>
          <w:tcPr>
            <w:tcW w:w="0" w:type="auto"/>
            <w:hideMark/>
          </w:tcPr>
          <w:p w14:paraId="6D4556E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18248CA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Bacterial (</w:t>
            </w:r>
            <w:r w:rsidRPr="007A71DF">
              <w:rPr>
                <w:rFonts w:ascii="Times New Roman" w:eastAsia="Times New Roman" w:hAnsi="Times New Roman" w:cs="Times New Roman"/>
                <w:i/>
                <w:iCs/>
                <w:sz w:val="24"/>
                <w:szCs w:val="24"/>
                <w:lang w:eastAsia="en-GB"/>
              </w:rPr>
              <w:t>E. coli</w:t>
            </w:r>
            <w:r w:rsidRPr="007A71DF">
              <w:rPr>
                <w:rFonts w:ascii="Times New Roman" w:eastAsia="Times New Roman" w:hAnsi="Times New Roman" w:cs="Times New Roman"/>
                <w:sz w:val="24"/>
                <w:szCs w:val="24"/>
                <w:lang w:eastAsia="en-GB"/>
              </w:rPr>
              <w:t xml:space="preserve">, </w:t>
            </w:r>
            <w:r w:rsidRPr="007A71DF">
              <w:rPr>
                <w:rFonts w:ascii="Times New Roman" w:eastAsia="Times New Roman" w:hAnsi="Times New Roman" w:cs="Times New Roman"/>
                <w:i/>
                <w:iCs/>
                <w:sz w:val="24"/>
                <w:szCs w:val="24"/>
                <w:lang w:eastAsia="en-GB"/>
              </w:rPr>
              <w:t>Staphylococcus</w:t>
            </w:r>
            <w:r w:rsidRPr="007A71DF">
              <w:rPr>
                <w:rFonts w:ascii="Times New Roman" w:eastAsia="Times New Roman" w:hAnsi="Times New Roman" w:cs="Times New Roman"/>
                <w:sz w:val="24"/>
                <w:szCs w:val="24"/>
                <w:lang w:eastAsia="en-GB"/>
              </w:rPr>
              <w:t xml:space="preserve"> spp., </w:t>
            </w:r>
            <w:r w:rsidRPr="007A71DF">
              <w:rPr>
                <w:rFonts w:ascii="Times New Roman" w:eastAsia="Times New Roman" w:hAnsi="Times New Roman" w:cs="Times New Roman"/>
                <w:i/>
                <w:iCs/>
                <w:sz w:val="24"/>
                <w:szCs w:val="24"/>
                <w:lang w:eastAsia="en-GB"/>
              </w:rPr>
              <w:t>Streptococcus</w:t>
            </w:r>
            <w:r w:rsidRPr="007A71DF">
              <w:rPr>
                <w:rFonts w:ascii="Times New Roman" w:eastAsia="Times New Roman" w:hAnsi="Times New Roman" w:cs="Times New Roman"/>
                <w:sz w:val="24"/>
                <w:szCs w:val="24"/>
                <w:lang w:eastAsia="en-GB"/>
              </w:rPr>
              <w:t xml:space="preserve"> spp.)</w:t>
            </w:r>
          </w:p>
        </w:tc>
        <w:tc>
          <w:tcPr>
            <w:tcW w:w="0" w:type="auto"/>
            <w:hideMark/>
          </w:tcPr>
          <w:p w14:paraId="4D34B25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Clinical examination; SCC; bacteriology</w:t>
            </w:r>
          </w:p>
        </w:tc>
        <w:tc>
          <w:tcPr>
            <w:tcW w:w="0" w:type="auto"/>
            <w:hideMark/>
          </w:tcPr>
          <w:p w14:paraId="79A9AA7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conductivity; in-line SCC; AMS data; infrared thermography</w:t>
            </w:r>
          </w:p>
        </w:tc>
      </w:tr>
      <w:tr w:rsidR="007A71DF" w:rsidRPr="007A71DF" w14:paraId="32090C1A" w14:textId="77777777" w:rsidTr="005C7535">
        <w:tc>
          <w:tcPr>
            <w:tcW w:w="0" w:type="auto"/>
            <w:hideMark/>
          </w:tcPr>
          <w:p w14:paraId="4215DEA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5C0AF89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Hoof disorders (digital dermatitis, sole ulcer, white line disease)</w:t>
            </w:r>
          </w:p>
        </w:tc>
        <w:tc>
          <w:tcPr>
            <w:tcW w:w="0" w:type="auto"/>
            <w:hideMark/>
          </w:tcPr>
          <w:p w14:paraId="2BEFAFD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Visual locomotion scoring</w:t>
            </w:r>
          </w:p>
        </w:tc>
        <w:tc>
          <w:tcPr>
            <w:tcW w:w="0" w:type="auto"/>
            <w:hideMark/>
          </w:tcPr>
          <w:p w14:paraId="2539B60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Accelerometers; pressure plates; 3D depth cameras; pedometers</w:t>
            </w:r>
          </w:p>
        </w:tc>
      </w:tr>
      <w:tr w:rsidR="007A71DF" w:rsidRPr="007A71DF" w14:paraId="4CADE718" w14:textId="77777777" w:rsidTr="005C7535">
        <w:tc>
          <w:tcPr>
            <w:tcW w:w="0" w:type="auto"/>
            <w:hideMark/>
          </w:tcPr>
          <w:p w14:paraId="202207F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ketosis</w:t>
            </w:r>
          </w:p>
        </w:tc>
        <w:tc>
          <w:tcPr>
            <w:tcW w:w="0" w:type="auto"/>
            <w:hideMark/>
          </w:tcPr>
          <w:p w14:paraId="5497F28E"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Negative energy balance; periparturient</w:t>
            </w:r>
          </w:p>
        </w:tc>
        <w:tc>
          <w:tcPr>
            <w:tcW w:w="0" w:type="auto"/>
            <w:hideMark/>
          </w:tcPr>
          <w:p w14:paraId="6441266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Blood/milk BHB measurement</w:t>
            </w:r>
          </w:p>
        </w:tc>
        <w:tc>
          <w:tcPr>
            <w:tcW w:w="0" w:type="auto"/>
            <w:hideMark/>
          </w:tcPr>
          <w:p w14:paraId="326AF7B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production data; rumination sensors; milk MIR spectrometry</w:t>
            </w:r>
          </w:p>
        </w:tc>
      </w:tr>
      <w:tr w:rsidR="007A71DF" w:rsidRPr="007A71DF" w14:paraId="5F57ECAA" w14:textId="77777777" w:rsidTr="005C7535">
        <w:tc>
          <w:tcPr>
            <w:tcW w:w="0" w:type="auto"/>
            <w:hideMark/>
          </w:tcPr>
          <w:p w14:paraId="468765B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Bovine respiratory disease</w:t>
            </w:r>
          </w:p>
        </w:tc>
        <w:tc>
          <w:tcPr>
            <w:tcW w:w="0" w:type="auto"/>
            <w:hideMark/>
          </w:tcPr>
          <w:p w14:paraId="53565A8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Viral/bacterial co-infection</w:t>
            </w:r>
          </w:p>
        </w:tc>
        <w:tc>
          <w:tcPr>
            <w:tcW w:w="0" w:type="auto"/>
            <w:hideMark/>
          </w:tcPr>
          <w:p w14:paraId="32DBAB3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Clinical observation; lung auscultation</w:t>
            </w:r>
          </w:p>
        </w:tc>
        <w:tc>
          <w:tcPr>
            <w:tcW w:w="0" w:type="auto"/>
            <w:hideMark/>
          </w:tcPr>
          <w:p w14:paraId="3044ED7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sensors; activity monitoring; thermography</w:t>
            </w:r>
          </w:p>
        </w:tc>
      </w:tr>
      <w:tr w:rsidR="007A71DF" w:rsidRPr="007A71DF" w14:paraId="49BF1250" w14:textId="77777777" w:rsidTr="005C7535">
        <w:tc>
          <w:tcPr>
            <w:tcW w:w="0" w:type="auto"/>
            <w:hideMark/>
          </w:tcPr>
          <w:p w14:paraId="4B1F133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Milk fever (hypocalcaemia)</w:t>
            </w:r>
          </w:p>
        </w:tc>
        <w:tc>
          <w:tcPr>
            <w:tcW w:w="0" w:type="auto"/>
            <w:hideMark/>
          </w:tcPr>
          <w:p w14:paraId="02302C0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Periparturient calcium deficiency</w:t>
            </w:r>
          </w:p>
        </w:tc>
        <w:tc>
          <w:tcPr>
            <w:tcW w:w="0" w:type="auto"/>
            <w:hideMark/>
          </w:tcPr>
          <w:p w14:paraId="0D169BC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Blood calcium; clinical signs</w:t>
            </w:r>
          </w:p>
        </w:tc>
        <w:tc>
          <w:tcPr>
            <w:tcW w:w="0" w:type="auto"/>
            <w:hideMark/>
          </w:tcPr>
          <w:p w14:paraId="37621B5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Rumen bolus sensors; AMS data; BCS cameras</w:t>
            </w:r>
          </w:p>
        </w:tc>
      </w:tr>
      <w:tr w:rsidR="007A71DF" w:rsidRPr="007A71DF" w14:paraId="7D2E4480" w14:textId="77777777" w:rsidTr="005C7535">
        <w:tc>
          <w:tcPr>
            <w:tcW w:w="0" w:type="auto"/>
            <w:hideMark/>
          </w:tcPr>
          <w:p w14:paraId="422E697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condition deterioration</w:t>
            </w:r>
          </w:p>
        </w:tc>
        <w:tc>
          <w:tcPr>
            <w:tcW w:w="0" w:type="auto"/>
            <w:hideMark/>
          </w:tcPr>
          <w:p w14:paraId="099000D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Multi-factorial (nutrition, disease, genetics)</w:t>
            </w:r>
          </w:p>
        </w:tc>
        <w:tc>
          <w:tcPr>
            <w:tcW w:w="0" w:type="auto"/>
            <w:hideMark/>
          </w:tcPr>
          <w:p w14:paraId="747D54C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Manual BCS assessment</w:t>
            </w:r>
          </w:p>
        </w:tc>
        <w:tc>
          <w:tcPr>
            <w:tcW w:w="0" w:type="auto"/>
            <w:hideMark/>
          </w:tcPr>
          <w:p w14:paraId="072A4F3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cameras; thermal imaging; RGB digital cameras</w:t>
            </w:r>
          </w:p>
        </w:tc>
      </w:tr>
    </w:tbl>
    <w:p w14:paraId="7306D9E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2506F">
        <w:rPr>
          <w:rFonts w:ascii="Times New Roman" w:eastAsia="Times New Roman" w:hAnsi="Times New Roman" w:cs="Times New Roman"/>
          <w:i/>
          <w:iCs/>
          <w:sz w:val="24"/>
          <w:szCs w:val="24"/>
          <w:lang w:val="nl-BE" w:eastAsia="en-GB"/>
        </w:rPr>
        <w:t>Sources: Rutten et al. (2013); Hogeveen et al. (2011); Schlageter-Tello et al. (</w:t>
      </w:r>
      <w:r w:rsidRPr="00B2506F">
        <w:rPr>
          <w:rFonts w:ascii="Times New Roman" w:eastAsia="Times New Roman" w:hAnsi="Times New Roman" w:cs="Times New Roman"/>
          <w:sz w:val="24"/>
          <w:szCs w:val="24"/>
          <w:lang w:val="nl-BE" w:eastAsia="en-GB"/>
        </w:rPr>
        <w:t>2014</w:t>
      </w:r>
      <w:r w:rsidRPr="00B2506F">
        <w:rPr>
          <w:rFonts w:ascii="Times New Roman" w:eastAsia="Times New Roman" w:hAnsi="Times New Roman" w:cs="Times New Roman"/>
          <w:i/>
          <w:iCs/>
          <w:sz w:val="24"/>
          <w:szCs w:val="24"/>
          <w:lang w:val="nl-BE" w:eastAsia="en-GB"/>
        </w:rPr>
        <w:t xml:space="preserve">); Xu et al. </w:t>
      </w:r>
      <w:r w:rsidRPr="007A71DF">
        <w:rPr>
          <w:rFonts w:ascii="Times New Roman" w:eastAsia="Times New Roman" w:hAnsi="Times New Roman" w:cs="Times New Roman"/>
          <w:i/>
          <w:iCs/>
          <w:sz w:val="24"/>
          <w:szCs w:val="24"/>
          <w:lang w:eastAsia="en-GB"/>
        </w:rPr>
        <w:t>(2019); Vandermeulen et al. (2016); Song et al. (2019).</w:t>
      </w:r>
    </w:p>
    <w:p w14:paraId="68E39457"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7DBECACF"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4. Machine Learning Approaches for Disease Detection</w:t>
      </w:r>
    </w:p>
    <w:p w14:paraId="1B77550C"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4.1 Conventional Machine Learning Algorithms</w:t>
      </w:r>
    </w:p>
    <w:p w14:paraId="4C066BED"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was being applied to dairy disease detection well before the current deep learning era. De Mol et al. (</w:t>
      </w:r>
      <w:r w:rsidR="005C7535">
        <w:rPr>
          <w:rFonts w:ascii="Times New Roman" w:eastAsia="Times New Roman" w:hAnsi="Times New Roman" w:cs="Times New Roman"/>
          <w:sz w:val="24"/>
          <w:szCs w:val="24"/>
          <w:lang w:eastAsia="en-GB"/>
        </w:rPr>
        <w:t>1997</w:t>
      </w:r>
      <w:r w:rsidRPr="007A71DF">
        <w:rPr>
          <w:rFonts w:ascii="Times New Roman" w:eastAsia="Times New Roman" w:hAnsi="Times New Roman" w:cs="Times New Roman"/>
          <w:sz w:val="24"/>
          <w:szCs w:val="24"/>
          <w:lang w:eastAsia="en-GB"/>
        </w:rPr>
        <w:t>) used a multivariate approach to automated oestrus and mastitis detection, establishing the foundational idea that longitudinal sensor data could detect departures from individual baselines—a principle that still underpins most modern systems. Cavero et al. (</w:t>
      </w:r>
      <w:r>
        <w:rPr>
          <w:rFonts w:ascii="Times New Roman" w:eastAsia="Times New Roman" w:hAnsi="Times New Roman" w:cs="Times New Roman"/>
          <w:sz w:val="24"/>
          <w:szCs w:val="24"/>
          <w:lang w:eastAsia="en-GB"/>
        </w:rPr>
        <w:t>2008</w:t>
      </w:r>
      <w:r w:rsidRPr="007A71DF">
        <w:rPr>
          <w:rFonts w:ascii="Times New Roman" w:eastAsia="Times New Roman" w:hAnsi="Times New Roman" w:cs="Times New Roman"/>
          <w:sz w:val="24"/>
          <w:szCs w:val="24"/>
          <w:lang w:eastAsia="en-GB"/>
        </w:rPr>
        <w:t>) followed with a three-layer backpropagation neural network applied to AMS parameters—conductivity, milk yield, and milking frequency—showing that clinical mastitis events were detectable at reasonable sensitivity, though with specificity constraints that limited practical value.</w:t>
      </w:r>
    </w:p>
    <w:p w14:paraId="2D673046"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ANNs have since been used across a wide range of dairy health management tasks. Adamczyk et al. (2021) showed that ANN models substantially outperformed general discriminant analysis in predicting culling reasons in Holstein-Friesian cows from first-lactation performance records, capturing non-linear interactions among variables such as production performance, parity, and reproductive outcome that linear models miss entirely—an advantage that becomes especially important for outcomes with complex, multifactorial determinants. Support vector machines (SVMs) have attracted sustained interest because of their strong theoretical foundations, capacity to handle high-dimensional feature spaces, and relatively modest data requirements. Martiskainen et al. (2009) used an SVM with a radial basis function kernel to classify cattle behaviour—lying, standing, walking, and eating—from three-dimensional accelerometer data, achieving classification accuracy above 90% for several behavioural states and demonstrating that behaviour-based health inference from wearable sensors was feasible.</w:t>
      </w:r>
    </w:p>
    <w:p w14:paraId="6AB3CAB7"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Decision-tree models applied as post-hoc filters to AMS alert lists proved capable of substantially reducing false-positive clinical mastitis alerts while preserving diagnostic sensitivity, as Steeneveld et al. (2010) demonstrated—a methodologically important finding that much of the actionable improvement in deployed systems lies in the analytical layer, not in sensor hardware. Random forests and gradient-boosted trees have become prominent more recently as ensemble methods that handle mixed data types, tolerate missing values, and return variable importance rankings. Ebrahimi et al. (2019) benchmarked multiple ML models for subclinical mastitis prediction, finding that gradient-boosted trees and deep learning outperformed logistic regression, decision trees, and naïve Bayes across all metrics, with AUC values exceeding 0.85 in the best configurations.</w:t>
      </w:r>
    </w:p>
    <w:p w14:paraId="0E74ADCB"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Xu et al. (2019) compared random forests, partial least squares, linear regression, and neural networks for predicting metabolic status in early-lactation cows using AMS and milk mid-infrared (MIR) data. Random forests and neural networks performed best, with milk MIR spectral features among the most informative predictors. Shahinfar et al. (2014) found that gradient-boosted trees consistently outperformed logistic regression and decision trees when predicting insemination outcomes in Holstein cows—early evidence, now widely replicated, that ensemble methods tend to outperform single-algorithm approaches for complex bovine health management problems.</w:t>
      </w:r>
    </w:p>
    <w:p w14:paraId="2D3BFA06"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4.2 Deep Learning Approaches</w:t>
      </w:r>
    </w:p>
    <w:p w14:paraId="70F37146"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Deep learning—particularly CNNs and RNNs—has accelerated into dairy disease detection since around 2018, driven by larger labelled datasets, falling computation costs, and pre-trained models that can be fine-tuned with relatively little domain-specific data.</w:t>
      </w:r>
    </w:p>
    <w:p w14:paraId="464D7401"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CNNs have been applied to image-based tasks including automated BCS estimation, lameness detection from gait video, and individual animal identification. Tassinari et al. (2021) built a CNN-based computer vision system for real-time dairy cow detection and tracking in commercial freestall barns under real-world conditions. The study showed that transfer learning—fine-tuning models pre-trained on large general-purpose image datasets—substantially reduced the training data needed to achieve adequate performance under the occlusions and variable lighting of commercial dairy housing, a practically important result given the limited size of available labelled livestock image datasets.</w:t>
      </w:r>
    </w:p>
    <w:p w14:paraId="246821A8"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RNNs, specifically long short-term memory (LSTM) networks, suit sequential sensor data where temporal patterns carry health-relevant information. Peng et al. (2019) applied LSTM to cattle behaviour classification from accelerometer and inertial measurement unit data, showing a clear advantage over static classifiers applied to windowed feature summaries, particularly for inherently sequential activities such as posture transitions. Many pathological behavioural changes—prolonged lying associated with lameness, altered rumination in ketosis—manifest as shifts in temporal structure rather than simple deviations in instantaneous values, so this temporal modelling capacity has direct diagnostic relevance.</w:t>
      </w:r>
    </w:p>
    <w:p w14:paraId="49DFF4F6"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Van Hertem et al. (2018) implemented and evaluated an automatic 3D vision monitor for locomotion scoring in a commercial Belgian dairy farm, recording data across 633 milking sessions. The system assessed the full herd automatically during routine milking, without additional handling, and automated locomotion scores were broadly comparable with expert visual assessments at the population level. The authors nonetheless noted that camera placement, floor surface, and environmental lighting all materially affected performance—practical constraints that require standardised installation protocols before the system can be deployed reliably at scale.</w:t>
      </w:r>
    </w:p>
    <w:p w14:paraId="2FC54D6C"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4.3 Hybrid and Ensemble Methods</w:t>
      </w:r>
    </w:p>
    <w:p w14:paraId="3F37E9B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Hybrid methods—combining multiple ML algorithms or integrating ML with domain knowledge—offer one route to reducing the false-positive rates that constrain uptake of single-model alert systems. Dominiak and Kristensen (2017) examined alarm management in sensor-based livestock production, documenting persistently high false-positive rates and proposing an alarm-prioritisation framework based on ML filtering; combining probabilistic models with rule-based filters substantially reduced the clinical burden of spurious alerts </w:t>
      </w:r>
      <w:r w:rsidRPr="007A71DF">
        <w:rPr>
          <w:rFonts w:ascii="Times New Roman" w:eastAsia="Times New Roman" w:hAnsi="Times New Roman" w:cs="Times New Roman"/>
          <w:sz w:val="24"/>
          <w:szCs w:val="24"/>
          <w:lang w:eastAsia="en-GB"/>
        </w:rPr>
        <w:lastRenderedPageBreak/>
        <w:t>without meaningfully compromising sensitivity. Dutta et al. (2015) showed that ensemble classifiers combining decision trees and SVMs could reliably classify multiple cattle behavioural states from real-time accelerometer recordings, illustrating the practical value of combining algorithms when sensor signals are variable and overlapping.</w:t>
      </w:r>
    </w:p>
    <w:p w14:paraId="5F0E2E9B"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Data fusion—integrating inputs from multiple modalities—follows similar logic. González et al. (2008) provided early evidence that systematic changes in feeding behaviour were associated with subsequent disease events in dairy cows, and argued that multi-parameter monitoring combining feeding behaviour with other health indicators would outperform single-sensor approaches. This principle has since been consistently validated: multi-modal integration reliably outperforms individual sensor streams, particularly for diseases with non-specific prodromal signs.</w:t>
      </w:r>
    </w:p>
    <w:p w14:paraId="3E1EC654"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2</w:t>
      </w:r>
      <w:r w:rsidRPr="007A71DF">
        <w:rPr>
          <w:rFonts w:ascii="Times New Roman" w:eastAsia="Times New Roman" w:hAnsi="Times New Roman" w:cs="Times New Roman"/>
          <w:sz w:val="24"/>
          <w:szCs w:val="24"/>
          <w:lang w:eastAsia="en-GB"/>
        </w:rPr>
        <w:t xml:space="preserve"> summarises the principal ML algorithms applied to dairy disease detection, their data requirements, key advantages, main limitations, and illustrative applications.</w:t>
      </w:r>
    </w:p>
    <w:p w14:paraId="3DAB4C13"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6F923A4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2.</w:t>
      </w:r>
      <w:r w:rsidRPr="007A71DF">
        <w:rPr>
          <w:rFonts w:ascii="Times New Roman" w:eastAsia="Times New Roman" w:hAnsi="Times New Roman" w:cs="Times New Roman"/>
          <w:sz w:val="24"/>
          <w:szCs w:val="24"/>
          <w:lang w:eastAsia="en-GB"/>
        </w:rPr>
        <w:t xml:space="preserve"> Summary of principal machine learning algorithms applied to dairy cattle disease detection.</w:t>
      </w:r>
    </w:p>
    <w:tbl>
      <w:tblPr>
        <w:tblStyle w:val="TableGrid"/>
        <w:tblW w:w="0" w:type="auto"/>
        <w:tblLook w:val="04A0" w:firstRow="1" w:lastRow="0" w:firstColumn="1" w:lastColumn="0" w:noHBand="0" w:noVBand="1"/>
      </w:tblPr>
      <w:tblGrid>
        <w:gridCol w:w="1961"/>
        <w:gridCol w:w="1627"/>
        <w:gridCol w:w="1843"/>
        <w:gridCol w:w="1954"/>
        <w:gridCol w:w="1857"/>
      </w:tblGrid>
      <w:tr w:rsidR="007A71DF" w:rsidRPr="007A71DF" w14:paraId="074D0628" w14:textId="77777777" w:rsidTr="005C7535">
        <w:tc>
          <w:tcPr>
            <w:tcW w:w="0" w:type="auto"/>
            <w:hideMark/>
          </w:tcPr>
          <w:p w14:paraId="57D2E400"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Algorithm</w:t>
            </w:r>
          </w:p>
        </w:tc>
        <w:tc>
          <w:tcPr>
            <w:tcW w:w="0" w:type="auto"/>
            <w:hideMark/>
          </w:tcPr>
          <w:p w14:paraId="5081B9FA"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Data Type</w:t>
            </w:r>
          </w:p>
        </w:tc>
        <w:tc>
          <w:tcPr>
            <w:tcW w:w="0" w:type="auto"/>
            <w:hideMark/>
          </w:tcPr>
          <w:p w14:paraId="1BC88DD4"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Advantages</w:t>
            </w:r>
          </w:p>
        </w:tc>
        <w:tc>
          <w:tcPr>
            <w:tcW w:w="0" w:type="auto"/>
            <w:hideMark/>
          </w:tcPr>
          <w:p w14:paraId="77F5C7F7"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Limitations</w:t>
            </w:r>
          </w:p>
        </w:tc>
        <w:tc>
          <w:tcPr>
            <w:tcW w:w="0" w:type="auto"/>
            <w:hideMark/>
          </w:tcPr>
          <w:p w14:paraId="2B0559A6"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Example Applications</w:t>
            </w:r>
          </w:p>
        </w:tc>
      </w:tr>
      <w:tr w:rsidR="007A71DF" w:rsidRPr="007A71DF" w14:paraId="2726807A" w14:textId="77777777" w:rsidTr="005C7535">
        <w:tc>
          <w:tcPr>
            <w:tcW w:w="0" w:type="auto"/>
            <w:hideMark/>
          </w:tcPr>
          <w:p w14:paraId="30F1DFA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Artificial neural network (ANN)</w:t>
            </w:r>
          </w:p>
        </w:tc>
        <w:tc>
          <w:tcPr>
            <w:tcW w:w="0" w:type="auto"/>
            <w:hideMark/>
          </w:tcPr>
          <w:p w14:paraId="4A1D1F0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sensor time series</w:t>
            </w:r>
          </w:p>
        </w:tc>
        <w:tc>
          <w:tcPr>
            <w:tcW w:w="0" w:type="auto"/>
            <w:hideMark/>
          </w:tcPr>
          <w:p w14:paraId="5A3CD6F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Captures non-linear patterns; flexible architecture</w:t>
            </w:r>
          </w:p>
        </w:tc>
        <w:tc>
          <w:tcPr>
            <w:tcW w:w="0" w:type="auto"/>
            <w:hideMark/>
          </w:tcPr>
          <w:p w14:paraId="6B109AA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Requires substantial training data; limited interpretability</w:t>
            </w:r>
          </w:p>
        </w:tc>
        <w:tc>
          <w:tcPr>
            <w:tcW w:w="0" w:type="auto"/>
            <w:hideMark/>
          </w:tcPr>
          <w:p w14:paraId="7708C97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Culling reason prediction; mastitis detection; force-plate lameness scoring</w:t>
            </w:r>
          </w:p>
        </w:tc>
      </w:tr>
      <w:tr w:rsidR="007A71DF" w:rsidRPr="007A71DF" w14:paraId="63B02644" w14:textId="77777777" w:rsidTr="005C7535">
        <w:tc>
          <w:tcPr>
            <w:tcW w:w="0" w:type="auto"/>
            <w:hideMark/>
          </w:tcPr>
          <w:p w14:paraId="0B1B877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Support vector machine (SVM)</w:t>
            </w:r>
          </w:p>
        </w:tc>
        <w:tc>
          <w:tcPr>
            <w:tcW w:w="0" w:type="auto"/>
            <w:hideMark/>
          </w:tcPr>
          <w:p w14:paraId="3A297E9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accelerometer</w:t>
            </w:r>
          </w:p>
        </w:tc>
        <w:tc>
          <w:tcPr>
            <w:tcW w:w="0" w:type="auto"/>
            <w:hideMark/>
          </w:tcPr>
          <w:p w14:paraId="64EAE2F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Effective in high dimensions; robust with small samples</w:t>
            </w:r>
          </w:p>
        </w:tc>
        <w:tc>
          <w:tcPr>
            <w:tcW w:w="0" w:type="auto"/>
            <w:hideMark/>
          </w:tcPr>
          <w:p w14:paraId="2212E63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Kernel selection sensitivity; computational cost at scale</w:t>
            </w:r>
          </w:p>
        </w:tc>
        <w:tc>
          <w:tcPr>
            <w:tcW w:w="0" w:type="auto"/>
            <w:hideMark/>
          </w:tcPr>
          <w:p w14:paraId="4A16B1C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Behaviour classification; BRD cough detection</w:t>
            </w:r>
          </w:p>
        </w:tc>
      </w:tr>
      <w:tr w:rsidR="007A71DF" w:rsidRPr="007A71DF" w14:paraId="5FC3A954" w14:textId="77777777" w:rsidTr="005C7535">
        <w:tc>
          <w:tcPr>
            <w:tcW w:w="0" w:type="auto"/>
            <w:hideMark/>
          </w:tcPr>
          <w:p w14:paraId="77B8F74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Random forest</w:t>
            </w:r>
          </w:p>
        </w:tc>
        <w:tc>
          <w:tcPr>
            <w:tcW w:w="0" w:type="auto"/>
            <w:hideMark/>
          </w:tcPr>
          <w:p w14:paraId="0DF2A92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 mixed</w:t>
            </w:r>
          </w:p>
        </w:tc>
        <w:tc>
          <w:tcPr>
            <w:tcW w:w="0" w:type="auto"/>
            <w:hideMark/>
          </w:tcPr>
          <w:p w14:paraId="314FC82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Handles missing data; variable importance ranking; robust</w:t>
            </w:r>
          </w:p>
        </w:tc>
        <w:tc>
          <w:tcPr>
            <w:tcW w:w="0" w:type="auto"/>
            <w:hideMark/>
          </w:tcPr>
          <w:p w14:paraId="5CBF817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Less effective for sequential or image data</w:t>
            </w:r>
          </w:p>
        </w:tc>
        <w:tc>
          <w:tcPr>
            <w:tcW w:w="0" w:type="auto"/>
            <w:hideMark/>
          </w:tcPr>
          <w:p w14:paraId="39D5F27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risk scoring; ketosis prediction</w:t>
            </w:r>
          </w:p>
        </w:tc>
      </w:tr>
      <w:tr w:rsidR="007A71DF" w:rsidRPr="007A71DF" w14:paraId="1A1B86F8" w14:textId="77777777" w:rsidTr="005C7535">
        <w:tc>
          <w:tcPr>
            <w:tcW w:w="0" w:type="auto"/>
            <w:hideMark/>
          </w:tcPr>
          <w:p w14:paraId="7043DD2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Gradient boosting (e.g., XGBoost)</w:t>
            </w:r>
          </w:p>
        </w:tc>
        <w:tc>
          <w:tcPr>
            <w:tcW w:w="0" w:type="auto"/>
            <w:hideMark/>
          </w:tcPr>
          <w:p w14:paraId="7687C84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Tabular</w:t>
            </w:r>
          </w:p>
        </w:tc>
        <w:tc>
          <w:tcPr>
            <w:tcW w:w="0" w:type="auto"/>
            <w:hideMark/>
          </w:tcPr>
          <w:p w14:paraId="521B451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High predictive accuracy; handles class imbalance well</w:t>
            </w:r>
          </w:p>
        </w:tc>
        <w:tc>
          <w:tcPr>
            <w:tcW w:w="0" w:type="auto"/>
            <w:hideMark/>
          </w:tcPr>
          <w:p w14:paraId="7B36D34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Prone to overfitting; requires careful hyperparameter tuning</w:t>
            </w:r>
          </w:p>
        </w:tc>
        <w:tc>
          <w:tcPr>
            <w:tcW w:w="0" w:type="auto"/>
            <w:hideMark/>
          </w:tcPr>
          <w:p w14:paraId="01544D0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mastitis; insemination outcome prediction</w:t>
            </w:r>
          </w:p>
        </w:tc>
      </w:tr>
      <w:tr w:rsidR="007A71DF" w:rsidRPr="007A71DF" w14:paraId="29C0E5B3" w14:textId="77777777" w:rsidTr="005C7535">
        <w:tc>
          <w:tcPr>
            <w:tcW w:w="0" w:type="auto"/>
            <w:hideMark/>
          </w:tcPr>
          <w:p w14:paraId="2D159CE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Convolutional neural network (CNN)</w:t>
            </w:r>
          </w:p>
        </w:tc>
        <w:tc>
          <w:tcPr>
            <w:tcW w:w="0" w:type="auto"/>
            <w:hideMark/>
          </w:tcPr>
          <w:p w14:paraId="31303F5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Image, video</w:t>
            </w:r>
          </w:p>
        </w:tc>
        <w:tc>
          <w:tcPr>
            <w:tcW w:w="0" w:type="auto"/>
            <w:hideMark/>
          </w:tcPr>
          <w:p w14:paraId="22FAB56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State-of-the-art for visual tasks; transfer learning</w:t>
            </w:r>
          </w:p>
        </w:tc>
        <w:tc>
          <w:tcPr>
            <w:tcW w:w="0" w:type="auto"/>
            <w:hideMark/>
          </w:tcPr>
          <w:p w14:paraId="070DE28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Large labelled datasets required; high computational demand</w:t>
            </w:r>
          </w:p>
        </w:tc>
        <w:tc>
          <w:tcPr>
            <w:tcW w:w="0" w:type="auto"/>
            <w:hideMark/>
          </w:tcPr>
          <w:p w14:paraId="3AB76C4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Individual cow detection; BCS estimation; gait analysis</w:t>
            </w:r>
          </w:p>
        </w:tc>
      </w:tr>
      <w:tr w:rsidR="007A71DF" w:rsidRPr="007A71DF" w14:paraId="6D29D5A3" w14:textId="77777777" w:rsidTr="005C7535">
        <w:tc>
          <w:tcPr>
            <w:tcW w:w="0" w:type="auto"/>
            <w:hideMark/>
          </w:tcPr>
          <w:p w14:paraId="6838CB5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Long short-term memory (LSTM)</w:t>
            </w:r>
          </w:p>
        </w:tc>
        <w:tc>
          <w:tcPr>
            <w:tcW w:w="0" w:type="auto"/>
            <w:hideMark/>
          </w:tcPr>
          <w:p w14:paraId="65DE5F4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Time series</w:t>
            </w:r>
          </w:p>
        </w:tc>
        <w:tc>
          <w:tcPr>
            <w:tcW w:w="0" w:type="auto"/>
            <w:hideMark/>
          </w:tcPr>
          <w:p w14:paraId="1EF97B3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Models temporal dependencies; </w:t>
            </w:r>
            <w:r w:rsidRPr="007A71DF">
              <w:rPr>
                <w:rFonts w:ascii="Times New Roman" w:eastAsia="Times New Roman" w:hAnsi="Times New Roman" w:cs="Times New Roman"/>
                <w:sz w:val="24"/>
                <w:szCs w:val="24"/>
                <w:lang w:eastAsia="en-GB"/>
              </w:rPr>
              <w:lastRenderedPageBreak/>
              <w:t>sequential pattern learning</w:t>
            </w:r>
          </w:p>
        </w:tc>
        <w:tc>
          <w:tcPr>
            <w:tcW w:w="0" w:type="auto"/>
            <w:hideMark/>
          </w:tcPr>
          <w:p w14:paraId="63F79ED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Training complexity; substantial data </w:t>
            </w:r>
            <w:r w:rsidRPr="007A71DF">
              <w:rPr>
                <w:rFonts w:ascii="Times New Roman" w:eastAsia="Times New Roman" w:hAnsi="Times New Roman" w:cs="Times New Roman"/>
                <w:sz w:val="24"/>
                <w:szCs w:val="24"/>
                <w:lang w:eastAsia="en-GB"/>
              </w:rPr>
              <w:lastRenderedPageBreak/>
              <w:t>volume requirements</w:t>
            </w:r>
          </w:p>
        </w:tc>
        <w:tc>
          <w:tcPr>
            <w:tcW w:w="0" w:type="auto"/>
            <w:hideMark/>
          </w:tcPr>
          <w:p w14:paraId="2D95F6C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Behaviour classification; rumination </w:t>
            </w:r>
            <w:r w:rsidRPr="007A71DF">
              <w:rPr>
                <w:rFonts w:ascii="Times New Roman" w:eastAsia="Times New Roman" w:hAnsi="Times New Roman" w:cs="Times New Roman"/>
                <w:sz w:val="24"/>
                <w:szCs w:val="24"/>
                <w:lang w:eastAsia="en-GB"/>
              </w:rPr>
              <w:lastRenderedPageBreak/>
              <w:t>monitoring</w:t>
            </w:r>
          </w:p>
        </w:tc>
      </w:tr>
      <w:tr w:rsidR="007A71DF" w:rsidRPr="007A71DF" w14:paraId="697507D3" w14:textId="77777777" w:rsidTr="005C7535">
        <w:tc>
          <w:tcPr>
            <w:tcW w:w="0" w:type="auto"/>
            <w:hideMark/>
          </w:tcPr>
          <w:p w14:paraId="78F5ACC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Bayesian network</w:t>
            </w:r>
          </w:p>
        </w:tc>
        <w:tc>
          <w:tcPr>
            <w:tcW w:w="0" w:type="auto"/>
            <w:hideMark/>
          </w:tcPr>
          <w:p w14:paraId="03F20AC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Mixed</w:t>
            </w:r>
          </w:p>
        </w:tc>
        <w:tc>
          <w:tcPr>
            <w:tcW w:w="0" w:type="auto"/>
            <w:hideMark/>
          </w:tcPr>
          <w:p w14:paraId="7793A4C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Uncertainty quantification; domain knowledge integration</w:t>
            </w:r>
          </w:p>
        </w:tc>
        <w:tc>
          <w:tcPr>
            <w:tcW w:w="0" w:type="auto"/>
            <w:hideMark/>
          </w:tcPr>
          <w:p w14:paraId="7625E44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Assumptions about variable independence</w:t>
            </w:r>
          </w:p>
        </w:tc>
        <w:tc>
          <w:tcPr>
            <w:tcW w:w="0" w:type="auto"/>
            <w:hideMark/>
          </w:tcPr>
          <w:p w14:paraId="26B42ED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alert post-processing</w:t>
            </w:r>
          </w:p>
        </w:tc>
      </w:tr>
      <w:tr w:rsidR="007A71DF" w:rsidRPr="007A71DF" w14:paraId="27ADA2DA" w14:textId="77777777" w:rsidTr="005C7535">
        <w:tc>
          <w:tcPr>
            <w:tcW w:w="0" w:type="auto"/>
            <w:hideMark/>
          </w:tcPr>
          <w:p w14:paraId="49BA2C2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Ensemble/hybrid</w:t>
            </w:r>
          </w:p>
        </w:tc>
        <w:tc>
          <w:tcPr>
            <w:tcW w:w="0" w:type="auto"/>
            <w:hideMark/>
          </w:tcPr>
          <w:p w14:paraId="063DA43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Mixed</w:t>
            </w:r>
          </w:p>
        </w:tc>
        <w:tc>
          <w:tcPr>
            <w:tcW w:w="0" w:type="auto"/>
            <w:hideMark/>
          </w:tcPr>
          <w:p w14:paraId="05D1EB7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Reduced variance; improved generalisation</w:t>
            </w:r>
          </w:p>
        </w:tc>
        <w:tc>
          <w:tcPr>
            <w:tcW w:w="0" w:type="auto"/>
            <w:hideMark/>
          </w:tcPr>
          <w:p w14:paraId="6141DB2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Increased model complexity; harder to interpret</w:t>
            </w:r>
          </w:p>
        </w:tc>
        <w:tc>
          <w:tcPr>
            <w:tcW w:w="0" w:type="auto"/>
            <w:hideMark/>
          </w:tcPr>
          <w:p w14:paraId="3681ABEE"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Multi-disease alert prioritisation systems</w:t>
            </w:r>
          </w:p>
        </w:tc>
      </w:tr>
    </w:tbl>
    <w:p w14:paraId="4B4D536C"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2506F">
        <w:rPr>
          <w:rFonts w:ascii="Times New Roman" w:eastAsia="Times New Roman" w:hAnsi="Times New Roman" w:cs="Times New Roman"/>
          <w:i/>
          <w:iCs/>
          <w:sz w:val="24"/>
          <w:szCs w:val="24"/>
          <w:lang w:val="nl-BE" w:eastAsia="en-GB"/>
        </w:rPr>
        <w:t xml:space="preserve">Sources: Ebrahimi et al. (2019); Xu et al. (2019); Peng et al. (2019); Van Hertem et al. (2018); Tassinari et al. (2021); Steeneveld et al. (2010); Martiskainen et al. (2009); Shahinfar et al. </w:t>
      </w:r>
      <w:r w:rsidRPr="007A71DF">
        <w:rPr>
          <w:rFonts w:ascii="Times New Roman" w:eastAsia="Times New Roman" w:hAnsi="Times New Roman" w:cs="Times New Roman"/>
          <w:i/>
          <w:iCs/>
          <w:sz w:val="24"/>
          <w:szCs w:val="24"/>
          <w:lang w:eastAsia="en-GB"/>
        </w:rPr>
        <w:t>(2014); Cockburn (2020); Ghotoorlar et al. (2012).</w:t>
      </w:r>
    </w:p>
    <w:p w14:paraId="708621FC"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64D2B2E3"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5. AI Applications for Specific Disease Categories</w:t>
      </w:r>
    </w:p>
    <w:p w14:paraId="02258F80"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5.1 Mastitis Detection</w:t>
      </w:r>
    </w:p>
    <w:p w14:paraId="75FEDD97"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is the most studied disease in the AI-based dairy detection literature, a reflection of its economic weight and of the particularly dense data streams that AMS milking systems generate. The primary signal most systems exploit is milk electrical conductivity, which rises during infection as increased sodium and chloride ions—released by the disrupted blood–milk barrier—alter the ionic composition of milk (Hogeveen et al., 2011). Combined with changes in yield, milking frequency, and duration, conductivity offers a multivariate signal well-suited to ML classification.</w:t>
      </w:r>
    </w:p>
    <w:p w14:paraId="4D87DD9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Kamphuis et al. (2010) prospectively validated a decision-tree model applied to AMS milking data against veterinary-confirmed clinical mastitis cases—a more rigorous design than the retrospective approaches common in later work. Farm-to-farm variation emerged as a major determinant of system performance, suggesting that models requiring farm-specific calibration will likely outperform those applying universal thresholds across the heterogeneous environments of commercial dairy production. Ebrahimi et al. (2019) extended this work, showing that deep learning and gradient-boosted tree models outperformed more traditional classifiers in subclinical mastitis prediction, and that temporal feature engineering—capturing trends and variability over rolling time windows—mattered as much as algorithm choice. Steeneveld et al. (2010) demonstrated that decision-tree filters applied post-hoc to AMS alert lists could cut the false-positive load substantially while preserving sensitivity, a finding with direct practical value for any farm using automated milking.</w:t>
      </w:r>
    </w:p>
    <w:p w14:paraId="704DFF97"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5.2 Lameness and Locomotion Disorders</w:t>
      </w:r>
    </w:p>
    <w:p w14:paraId="7B533418"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Lameness affects an estimated 20–55% of cows in housed systems, and its early detection is a priority on both welfare and economic grounds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xml:space="preserve">). The characteristic asymmetric or stilted gait is, in principle, amenable to automated detection by multiple sensing modalities. Alsaaod et al. (2015) reviewed infrared thermography for lameness detection, confirming that skin surface temperature differences between affected </w:t>
      </w:r>
      <w:r w:rsidRPr="007A71DF">
        <w:rPr>
          <w:rFonts w:ascii="Times New Roman" w:eastAsia="Times New Roman" w:hAnsi="Times New Roman" w:cs="Times New Roman"/>
          <w:sz w:val="24"/>
          <w:szCs w:val="24"/>
          <w:lang w:eastAsia="en-GB"/>
        </w:rPr>
        <w:lastRenderedPageBreak/>
        <w:t>and healthy limbs are thermographically measurable and could underpin automated screening at milking or sorting points. Practical confounders—ambient temperature and coat moisture—require active correction in any deployed system.</w:t>
      </w:r>
    </w:p>
    <w:p w14:paraId="420280D1"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Van Hertem et al. (2018) showed that 3D depth-camera-based locomotion monitoring was feasible at commercial scale, automatically scoring the full herd during routine milking across 633 sessions. Population-level agreement with expert visual scores was broadly acceptable, but the study also made clear that camera placement, floor surface, and lighting are significant practical variables that need standardised installation protocols before consistent autonomous scoring is achievable. Ghotoorlar et al. (2012), using ANN classifiers applied to force-plate walkway data, achieved a lameness scoring system with sensitivity and specificity above 72% across most locomotion score groups and repeatability superior to conventional subjective assessment—though the cost and logistics of instrumented walkways limit their commercial translation.</w:t>
      </w:r>
    </w:p>
    <w:p w14:paraId="7514B4C1"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Behaviour-based detection—inferring lameness from changes in lying duration, lying bout frequency, and walking speed—is particularly attractive because it can detect early-stage lameness when gait abnormalities are too subtle for visual scoring. Peng et al. (2019) confirmed that LSTM models outperformed static classifiers for behaviour recognition from accelerometer data, and there is growing evidence that reductions in activity detectable by commercial activity monitors can precede clinical lameness recognition by several days—potentially enabling earlier intervention. González et al. (2008) had shown earlier that feeding behaviour changes accompany disease events in dairy cows, reinforcing the case for multi-parameter approaches.</w:t>
      </w:r>
    </w:p>
    <w:p w14:paraId="3667405B"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5.3 Metabolic Disorders</w:t>
      </w:r>
    </w:p>
    <w:p w14:paraId="321CC0CC"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periparturient period imposes severe physiological demands on dairy cows: the shift from late pregnancy to peak lactation strains metabolic reserves and can precipitate ketosis, hypocalcaemia, hepatic lipidosis, and related conditions. Subclinical ketosis—defined by elevated blood beta-hydroxybutyrate (BHB) concentrations in the absence of overt clinical signs—affects a material proportion of cows each lactation and is associated with reduced milk yield, impaired reproduction, and heightened susceptibility to secondary periparturient disease (Xu et al., 2019).</w:t>
      </w:r>
    </w:p>
    <w:p w14:paraId="141D0E81"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scientific rationale for ML-based metabolic monitoring rests on the observation that subclinical imbalances alter behavioural and production parameters days before they produce recognisable clinical signs. Xu et al. (2019) showed that random forest and neural network models applied to AMS production data and milk MIR spectral features could predict individual cows' metabolic status in early lactation with competitive accuracy, identifying ketosis risk before BHB concentrations would typically prompt veterinary concern. Crucially, this study used an external validation design on commercial farms—placing it among the methodologically strongest contributions in the field. The combination of routine AMS records and MIR spectral data is notable for its accessibility: both data types are routinely generated on farms with AMS and routine milk analysis, requiring no additional hardware investment.</w:t>
      </w:r>
    </w:p>
    <w:p w14:paraId="39C22DC6"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5.4 Bovine Respiratory Disease</w:t>
      </w:r>
    </w:p>
    <w:p w14:paraId="6962E6A2"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BRD is the leading infectious condition in pre-weaned dairy calves and a major driver of antibiotic use on dairy farms. Its complex, multi-agent aetiology—viral and bacterial pathogens acting in concert with immunosuppressive management factors—makes early individual detection difficult without specific point-of-care tools.</w:t>
      </w:r>
    </w:p>
    <w:p w14:paraId="1236CFA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monitoring has attracted research interest on the premise that respiratory infections produce characteristic changes in cough sounds detectable by microphone sensors. Vandermeulen et al. (2016) developed an automated BRD detection system for calves using continuous cough sound monitoring with spectral feature extraction and SVM classification, demonstrating promising experimental sensitivity. The authors were frank about the key barrier: translating this to commercial barn environments, where background noise is substantially higher and more variable, would require robust noise-cancellation and signal-separation approaches that the field has not yet fully solved.</w:t>
      </w:r>
    </w:p>
    <w:p w14:paraId="5BC95511"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Activity monitoring has also been applied to BRD detection, on the premise that the febrile response and musculoskeletal malaise associated with respiratory infection reduce activity levels detectable by accelerometers. Achieving adequate sensitivity for early detection while maintaining specificity is challenging, given the wide natural variability in calf activity with age, feeding schedule, and ambient temperature.</w:t>
      </w:r>
    </w:p>
    <w:p w14:paraId="55D162BD"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5.5 Body Condition Scoring and Nutritional Monitoring</w:t>
      </w:r>
    </w:p>
    <w:p w14:paraId="5CC5C646"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condition score (BCS) is a routine surrogate measure of energy reserves in dairy cattle, closely tied to disease risk, reproductive performance, and welfare. Traditional BCS assessment demands trained personnel and is known to be inconsistent across observers, particularly between herds and production systems.</w:t>
      </w:r>
    </w:p>
    <w:p w14:paraId="2A544E90"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Azzaro et al. (2011) demonstrated that digital image analysis of standardised hindquarter photographs could yield objective BCS estimates that correlated well with experienced observer scores, suggesting that image-based assessment could serve as a consistent, scalable alternative to manual scoring. Bewley et al. (2008) confirmed the generalisability of this image-based approach across a diverse herd population. Song et al. (2019) extended these methods to 3D depth cameras, extracting features from multiple body regions—the rump, tailhead, and spine—and achieving agreement with expert manual scores comparable to inter-observer agreement among trained scorers. Halachmi et al. (2013) showed that thermal imaging could complement visible-light approaches, with the thermal signature of subcutaneous fat adding predictive information that improved BCS estimation accuracy relative to either modality alone.</w:t>
      </w:r>
    </w:p>
    <w:p w14:paraId="7F56A9B3"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Qiao et al. (2021) reviewed intelligent perception approaches for cattle monitoring more broadly, documenting that the best-performing depth-camera ML models for body weight prediction had achieved mean absolute errors approaching or below 20 kg under near-farm conditions—a precision broadly sufficient for practical nutritional management. Jorquera-Chavez et al. (2019) went further, validating computer vision methods for non-invasive monitoring of multiple physiological parameters simultaneously—body surface temperature, ear posture, and respiration rate—illustrating the potential for machine vision to support comprehensive physiological surveillance in commercial settings.</w:t>
      </w:r>
    </w:p>
    <w:p w14:paraId="3AB92B7E"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3</w:t>
      </w:r>
      <w:r w:rsidRPr="007A71DF">
        <w:rPr>
          <w:rFonts w:ascii="Times New Roman" w:eastAsia="Times New Roman" w:hAnsi="Times New Roman" w:cs="Times New Roman"/>
          <w:sz w:val="24"/>
          <w:szCs w:val="24"/>
          <w:lang w:eastAsia="en-GB"/>
        </w:rPr>
        <w:t xml:space="preserve"> provides a selective summary of AI and ML applications for the major disease categories reviewed in this section.</w:t>
      </w:r>
    </w:p>
    <w:p w14:paraId="6CC6572A"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100AD0A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3.</w:t>
      </w:r>
      <w:r w:rsidRPr="007A71DF">
        <w:rPr>
          <w:rFonts w:ascii="Times New Roman" w:eastAsia="Times New Roman" w:hAnsi="Times New Roman" w:cs="Times New Roman"/>
          <w:sz w:val="24"/>
          <w:szCs w:val="24"/>
          <w:lang w:eastAsia="en-GB"/>
        </w:rPr>
        <w:t xml:space="preserve"> Selected AI and ML applications for major dairy cattle disease categories, with algorithms, data sources, and reported performance.</w:t>
      </w:r>
    </w:p>
    <w:tbl>
      <w:tblPr>
        <w:tblStyle w:val="TableGrid"/>
        <w:tblW w:w="0" w:type="auto"/>
        <w:tblLook w:val="04A0" w:firstRow="1" w:lastRow="0" w:firstColumn="1" w:lastColumn="0" w:noHBand="0" w:noVBand="1"/>
      </w:tblPr>
      <w:tblGrid>
        <w:gridCol w:w="1550"/>
        <w:gridCol w:w="1728"/>
        <w:gridCol w:w="1893"/>
        <w:gridCol w:w="1711"/>
        <w:gridCol w:w="2360"/>
      </w:tblGrid>
      <w:tr w:rsidR="007A71DF" w:rsidRPr="007A71DF" w14:paraId="72DAFCD2" w14:textId="77777777" w:rsidTr="005C7535">
        <w:tc>
          <w:tcPr>
            <w:tcW w:w="0" w:type="auto"/>
            <w:hideMark/>
          </w:tcPr>
          <w:p w14:paraId="09F3942D"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 / Outcome</w:t>
            </w:r>
          </w:p>
        </w:tc>
        <w:tc>
          <w:tcPr>
            <w:tcW w:w="0" w:type="auto"/>
            <w:hideMark/>
          </w:tcPr>
          <w:p w14:paraId="60883F56"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Study</w:t>
            </w:r>
          </w:p>
        </w:tc>
        <w:tc>
          <w:tcPr>
            <w:tcW w:w="0" w:type="auto"/>
            <w:hideMark/>
          </w:tcPr>
          <w:p w14:paraId="65F2C0E6"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Algorithm</w:t>
            </w:r>
          </w:p>
        </w:tc>
        <w:tc>
          <w:tcPr>
            <w:tcW w:w="0" w:type="auto"/>
            <w:hideMark/>
          </w:tcPr>
          <w:p w14:paraId="2CDF1EA8"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Data / Sensor</w:t>
            </w:r>
          </w:p>
        </w:tc>
        <w:tc>
          <w:tcPr>
            <w:tcW w:w="0" w:type="auto"/>
            <w:hideMark/>
          </w:tcPr>
          <w:p w14:paraId="06A7EA7A"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Reported Performance</w:t>
            </w:r>
          </w:p>
        </w:tc>
      </w:tr>
      <w:tr w:rsidR="007A71DF" w:rsidRPr="007A71DF" w14:paraId="02FAA688" w14:textId="77777777" w:rsidTr="005C7535">
        <w:tc>
          <w:tcPr>
            <w:tcW w:w="0" w:type="auto"/>
            <w:hideMark/>
          </w:tcPr>
          <w:p w14:paraId="5621EE7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(subclinical)</w:t>
            </w:r>
          </w:p>
        </w:tc>
        <w:tc>
          <w:tcPr>
            <w:tcW w:w="0" w:type="auto"/>
            <w:hideMark/>
          </w:tcPr>
          <w:p w14:paraId="6EC60D8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Ebrahimi et al. (2019)</w:t>
            </w:r>
          </w:p>
        </w:tc>
        <w:tc>
          <w:tcPr>
            <w:tcW w:w="0" w:type="auto"/>
            <w:hideMark/>
          </w:tcPr>
          <w:p w14:paraId="3F025DD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Deep learning; gradient boosting</w:t>
            </w:r>
          </w:p>
        </w:tc>
        <w:tc>
          <w:tcPr>
            <w:tcW w:w="0" w:type="auto"/>
            <w:hideMark/>
          </w:tcPr>
          <w:p w14:paraId="58D6105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data; SCC</w:t>
            </w:r>
          </w:p>
        </w:tc>
        <w:tc>
          <w:tcPr>
            <w:tcW w:w="0" w:type="auto"/>
            <w:hideMark/>
          </w:tcPr>
          <w:p w14:paraId="273DA54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AUC &gt; 0.85</w:t>
            </w:r>
          </w:p>
        </w:tc>
      </w:tr>
      <w:tr w:rsidR="007A71DF" w:rsidRPr="007A71DF" w14:paraId="2151979E" w14:textId="77777777" w:rsidTr="005C7535">
        <w:tc>
          <w:tcPr>
            <w:tcW w:w="0" w:type="auto"/>
            <w:hideMark/>
          </w:tcPr>
          <w:p w14:paraId="64D36E0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(clinical)</w:t>
            </w:r>
          </w:p>
        </w:tc>
        <w:tc>
          <w:tcPr>
            <w:tcW w:w="0" w:type="auto"/>
            <w:hideMark/>
          </w:tcPr>
          <w:p w14:paraId="1E31968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Kamphuis et al. (2010)</w:t>
            </w:r>
          </w:p>
        </w:tc>
        <w:tc>
          <w:tcPr>
            <w:tcW w:w="0" w:type="auto"/>
            <w:hideMark/>
          </w:tcPr>
          <w:p w14:paraId="6F67C30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Decision-tree model</w:t>
            </w:r>
          </w:p>
        </w:tc>
        <w:tc>
          <w:tcPr>
            <w:tcW w:w="0" w:type="auto"/>
            <w:hideMark/>
          </w:tcPr>
          <w:p w14:paraId="7AB1E08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milking parameters</w:t>
            </w:r>
          </w:p>
        </w:tc>
        <w:tc>
          <w:tcPr>
            <w:tcW w:w="0" w:type="auto"/>
            <w:hideMark/>
          </w:tcPr>
          <w:p w14:paraId="14FF4D9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Prospectively validated; farm-level performance variation noted</w:t>
            </w:r>
          </w:p>
        </w:tc>
      </w:tr>
      <w:tr w:rsidR="007A71DF" w:rsidRPr="007A71DF" w14:paraId="61F54E64" w14:textId="77777777" w:rsidTr="005C7535">
        <w:tc>
          <w:tcPr>
            <w:tcW w:w="0" w:type="auto"/>
            <w:hideMark/>
          </w:tcPr>
          <w:p w14:paraId="52324D7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 alert filtering</w:t>
            </w:r>
          </w:p>
        </w:tc>
        <w:tc>
          <w:tcPr>
            <w:tcW w:w="0" w:type="auto"/>
            <w:hideMark/>
          </w:tcPr>
          <w:p w14:paraId="6ED353A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Steeneveld et al. (2010)</w:t>
            </w:r>
          </w:p>
        </w:tc>
        <w:tc>
          <w:tcPr>
            <w:tcW w:w="0" w:type="auto"/>
            <w:hideMark/>
          </w:tcPr>
          <w:p w14:paraId="3C3D240E"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Decision-tree filtering model</w:t>
            </w:r>
          </w:p>
        </w:tc>
        <w:tc>
          <w:tcPr>
            <w:tcW w:w="0" w:type="auto"/>
            <w:hideMark/>
          </w:tcPr>
          <w:p w14:paraId="109D06A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alert data and cow-level information</w:t>
            </w:r>
          </w:p>
        </w:tc>
        <w:tc>
          <w:tcPr>
            <w:tcW w:w="0" w:type="auto"/>
            <w:hideMark/>
          </w:tcPr>
          <w:p w14:paraId="7314044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Significant false-positive reduction</w:t>
            </w:r>
          </w:p>
        </w:tc>
      </w:tr>
      <w:tr w:rsidR="007A71DF" w:rsidRPr="007A71DF" w14:paraId="60FBC343" w14:textId="77777777" w:rsidTr="005C7535">
        <w:tc>
          <w:tcPr>
            <w:tcW w:w="0" w:type="auto"/>
            <w:hideMark/>
          </w:tcPr>
          <w:p w14:paraId="1ACD457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4FEFD39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Van Hertem et al. (2018)</w:t>
            </w:r>
          </w:p>
        </w:tc>
        <w:tc>
          <w:tcPr>
            <w:tcW w:w="0" w:type="auto"/>
            <w:hideMark/>
          </w:tcPr>
          <w:p w14:paraId="3E94C8AE"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vision + image feature extraction</w:t>
            </w:r>
          </w:p>
        </w:tc>
        <w:tc>
          <w:tcPr>
            <w:tcW w:w="0" w:type="auto"/>
            <w:hideMark/>
          </w:tcPr>
          <w:p w14:paraId="6CE394F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 (commercial farm)</w:t>
            </w:r>
          </w:p>
        </w:tc>
        <w:tc>
          <w:tcPr>
            <w:tcW w:w="0" w:type="auto"/>
            <w:hideMark/>
          </w:tcPr>
          <w:p w14:paraId="71D7058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Automated locomotion assessment feasible at herd scale; environmental sensitivity noted</w:t>
            </w:r>
          </w:p>
        </w:tc>
      </w:tr>
      <w:tr w:rsidR="007A71DF" w:rsidRPr="007A71DF" w14:paraId="7E9196DC" w14:textId="77777777" w:rsidTr="005C7535">
        <w:tc>
          <w:tcPr>
            <w:tcW w:w="0" w:type="auto"/>
            <w:hideMark/>
          </w:tcPr>
          <w:p w14:paraId="357EDC9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w:t>
            </w:r>
          </w:p>
        </w:tc>
        <w:tc>
          <w:tcPr>
            <w:tcW w:w="0" w:type="auto"/>
            <w:hideMark/>
          </w:tcPr>
          <w:p w14:paraId="5EE1ABB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Alsaaod et al. (2015)</w:t>
            </w:r>
          </w:p>
        </w:tc>
        <w:tc>
          <w:tcPr>
            <w:tcW w:w="0" w:type="auto"/>
            <w:hideMark/>
          </w:tcPr>
          <w:p w14:paraId="1284F53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Thermographic feature analysis (review)</w:t>
            </w:r>
          </w:p>
        </w:tc>
        <w:tc>
          <w:tcPr>
            <w:tcW w:w="0" w:type="auto"/>
            <w:hideMark/>
          </w:tcPr>
          <w:p w14:paraId="11C08DE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Infrared camera</w:t>
            </w:r>
          </w:p>
        </w:tc>
        <w:tc>
          <w:tcPr>
            <w:tcW w:w="0" w:type="auto"/>
            <w:hideMark/>
          </w:tcPr>
          <w:p w14:paraId="2311D7D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Skin temperature differences between lame and non-lame limbs detectable</w:t>
            </w:r>
          </w:p>
        </w:tc>
      </w:tr>
      <w:tr w:rsidR="007A71DF" w:rsidRPr="007A71DF" w14:paraId="019D6DE0" w14:textId="77777777" w:rsidTr="005C7535">
        <w:tc>
          <w:tcPr>
            <w:tcW w:w="0" w:type="auto"/>
            <w:hideMark/>
          </w:tcPr>
          <w:p w14:paraId="325574A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(force plate)</w:t>
            </w:r>
          </w:p>
        </w:tc>
        <w:tc>
          <w:tcPr>
            <w:tcW w:w="0" w:type="auto"/>
            <w:hideMark/>
          </w:tcPr>
          <w:p w14:paraId="1367FDF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Ghotoorlar et al. (2012)</w:t>
            </w:r>
          </w:p>
        </w:tc>
        <w:tc>
          <w:tcPr>
            <w:tcW w:w="0" w:type="auto"/>
            <w:hideMark/>
          </w:tcPr>
          <w:p w14:paraId="1786860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 force plates</w:t>
            </w:r>
          </w:p>
        </w:tc>
        <w:tc>
          <w:tcPr>
            <w:tcW w:w="0" w:type="auto"/>
            <w:hideMark/>
          </w:tcPr>
          <w:p w14:paraId="1ED1B01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Instrumented walkway</w:t>
            </w:r>
          </w:p>
        </w:tc>
        <w:tc>
          <w:tcPr>
            <w:tcW w:w="0" w:type="auto"/>
            <w:hideMark/>
          </w:tcPr>
          <w:p w14:paraId="6D5C1BA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Sensitivity and specificity &gt;72% in most locomotion groups; high repeatability vs subjective scoring</w:t>
            </w:r>
          </w:p>
        </w:tc>
      </w:tr>
      <w:tr w:rsidR="007A71DF" w:rsidRPr="007A71DF" w14:paraId="11050E9B" w14:textId="77777777" w:rsidTr="005C7535">
        <w:tc>
          <w:tcPr>
            <w:tcW w:w="0" w:type="auto"/>
            <w:hideMark/>
          </w:tcPr>
          <w:p w14:paraId="0F8CD14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Subclinical ketosis</w:t>
            </w:r>
          </w:p>
        </w:tc>
        <w:tc>
          <w:tcPr>
            <w:tcW w:w="0" w:type="auto"/>
            <w:hideMark/>
          </w:tcPr>
          <w:p w14:paraId="2844DB9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Xu et al. (2019)</w:t>
            </w:r>
          </w:p>
        </w:tc>
        <w:tc>
          <w:tcPr>
            <w:tcW w:w="0" w:type="auto"/>
            <w:hideMark/>
          </w:tcPr>
          <w:p w14:paraId="74A93CE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Random forest; ANN</w:t>
            </w:r>
          </w:p>
        </w:tc>
        <w:tc>
          <w:tcPr>
            <w:tcW w:w="0" w:type="auto"/>
            <w:hideMark/>
          </w:tcPr>
          <w:p w14:paraId="1B927AF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AMS data; milk MIR</w:t>
            </w:r>
          </w:p>
        </w:tc>
        <w:tc>
          <w:tcPr>
            <w:tcW w:w="0" w:type="auto"/>
            <w:hideMark/>
          </w:tcPr>
          <w:p w14:paraId="5D834BF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Competitive AUC; validated on commercial farms</w:t>
            </w:r>
          </w:p>
        </w:tc>
      </w:tr>
      <w:tr w:rsidR="007A71DF" w:rsidRPr="007A71DF" w14:paraId="377005FF" w14:textId="77777777" w:rsidTr="005C7535">
        <w:tc>
          <w:tcPr>
            <w:tcW w:w="0" w:type="auto"/>
            <w:hideMark/>
          </w:tcPr>
          <w:p w14:paraId="0A0E10A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Culling / longevity prediction</w:t>
            </w:r>
          </w:p>
        </w:tc>
        <w:tc>
          <w:tcPr>
            <w:tcW w:w="0" w:type="auto"/>
            <w:hideMark/>
          </w:tcPr>
          <w:p w14:paraId="58A2717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Adamczyk et al. (2021)</w:t>
            </w:r>
          </w:p>
        </w:tc>
        <w:tc>
          <w:tcPr>
            <w:tcW w:w="0" w:type="auto"/>
            <w:hideMark/>
          </w:tcPr>
          <w:p w14:paraId="6AE70FE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 discriminant analysis</w:t>
            </w:r>
          </w:p>
        </w:tc>
        <w:tc>
          <w:tcPr>
            <w:tcW w:w="0" w:type="auto"/>
            <w:hideMark/>
          </w:tcPr>
          <w:p w14:paraId="3D59396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First-lactation performance records</w:t>
            </w:r>
          </w:p>
        </w:tc>
        <w:tc>
          <w:tcPr>
            <w:tcW w:w="0" w:type="auto"/>
            <w:hideMark/>
          </w:tcPr>
          <w:p w14:paraId="22FBF84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ANN superior to linear discriminant analysis; high correct classification for culling due to age and reproduction</w:t>
            </w:r>
          </w:p>
        </w:tc>
      </w:tr>
      <w:tr w:rsidR="007A71DF" w:rsidRPr="007A71DF" w14:paraId="3A2C5CF9" w14:textId="77777777" w:rsidTr="005C7535">
        <w:tc>
          <w:tcPr>
            <w:tcW w:w="0" w:type="auto"/>
            <w:hideMark/>
          </w:tcPr>
          <w:p w14:paraId="5FA2D17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Bovine respiratory disease</w:t>
            </w:r>
          </w:p>
        </w:tc>
        <w:tc>
          <w:tcPr>
            <w:tcW w:w="0" w:type="auto"/>
            <w:hideMark/>
          </w:tcPr>
          <w:p w14:paraId="0449B2A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Vandermeulen et al. (2016)</w:t>
            </w:r>
          </w:p>
        </w:tc>
        <w:tc>
          <w:tcPr>
            <w:tcW w:w="0" w:type="auto"/>
            <w:hideMark/>
          </w:tcPr>
          <w:p w14:paraId="1A58231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SVM</w:t>
            </w:r>
          </w:p>
        </w:tc>
        <w:tc>
          <w:tcPr>
            <w:tcW w:w="0" w:type="auto"/>
            <w:hideMark/>
          </w:tcPr>
          <w:p w14:paraId="4245E79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(cough) sensors</w:t>
            </w:r>
          </w:p>
        </w:tc>
        <w:tc>
          <w:tcPr>
            <w:tcW w:w="0" w:type="auto"/>
            <w:hideMark/>
          </w:tcPr>
          <w:p w14:paraId="0ED2705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Promising sensitivity in experimental setting; barn noise sensitivity noted</w:t>
            </w:r>
          </w:p>
        </w:tc>
      </w:tr>
      <w:tr w:rsidR="007A71DF" w:rsidRPr="007A71DF" w14:paraId="6A8CC7FA" w14:textId="77777777" w:rsidTr="005C7535">
        <w:tc>
          <w:tcPr>
            <w:tcW w:w="0" w:type="auto"/>
            <w:hideMark/>
          </w:tcPr>
          <w:p w14:paraId="52F78C1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BCS estimation (3D)</w:t>
            </w:r>
          </w:p>
        </w:tc>
        <w:tc>
          <w:tcPr>
            <w:tcW w:w="0" w:type="auto"/>
            <w:hideMark/>
          </w:tcPr>
          <w:p w14:paraId="7DC6C4DE"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Song et al. (2019)</w:t>
            </w:r>
          </w:p>
        </w:tc>
        <w:tc>
          <w:tcPr>
            <w:tcW w:w="0" w:type="auto"/>
            <w:hideMark/>
          </w:tcPr>
          <w:p w14:paraId="4D7B696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 + 3D depth camera</w:t>
            </w:r>
          </w:p>
        </w:tc>
        <w:tc>
          <w:tcPr>
            <w:tcW w:w="0" w:type="auto"/>
            <w:hideMark/>
          </w:tcPr>
          <w:p w14:paraId="1287EF9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Depth camera; multiple body regions</w:t>
            </w:r>
          </w:p>
        </w:tc>
        <w:tc>
          <w:tcPr>
            <w:tcW w:w="0" w:type="auto"/>
            <w:hideMark/>
          </w:tcPr>
          <w:p w14:paraId="03FF0C7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Agreement with expert scores comparable to inter-observer agreement</w:t>
            </w:r>
          </w:p>
        </w:tc>
      </w:tr>
      <w:tr w:rsidR="007A71DF" w:rsidRPr="007A71DF" w14:paraId="6F8622FB" w14:textId="77777777" w:rsidTr="005C7535">
        <w:tc>
          <w:tcPr>
            <w:tcW w:w="0" w:type="auto"/>
            <w:hideMark/>
          </w:tcPr>
          <w:p w14:paraId="35E0B0D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Body weight </w:t>
            </w:r>
            <w:r w:rsidRPr="007A71DF">
              <w:rPr>
                <w:rFonts w:ascii="Times New Roman" w:eastAsia="Times New Roman" w:hAnsi="Times New Roman" w:cs="Times New Roman"/>
                <w:sz w:val="24"/>
                <w:szCs w:val="24"/>
                <w:lang w:eastAsia="en-GB"/>
              </w:rPr>
              <w:lastRenderedPageBreak/>
              <w:t>/ BCS (review)</w:t>
            </w:r>
          </w:p>
        </w:tc>
        <w:tc>
          <w:tcPr>
            <w:tcW w:w="0" w:type="auto"/>
            <w:hideMark/>
          </w:tcPr>
          <w:p w14:paraId="07EDEF7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Qiao et al. </w:t>
            </w:r>
            <w:r w:rsidRPr="007A71DF">
              <w:rPr>
                <w:rFonts w:ascii="Times New Roman" w:eastAsia="Times New Roman" w:hAnsi="Times New Roman" w:cs="Times New Roman"/>
                <w:sz w:val="24"/>
                <w:szCs w:val="24"/>
                <w:lang w:eastAsia="en-GB"/>
              </w:rPr>
              <w:lastRenderedPageBreak/>
              <w:t>(2021)</w:t>
            </w:r>
          </w:p>
        </w:tc>
        <w:tc>
          <w:tcPr>
            <w:tcW w:w="0" w:type="auto"/>
            <w:hideMark/>
          </w:tcPr>
          <w:p w14:paraId="4E08989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 xml:space="preserve">ML + 3D vision </w:t>
            </w:r>
            <w:r w:rsidRPr="007A71DF">
              <w:rPr>
                <w:rFonts w:ascii="Times New Roman" w:eastAsia="Times New Roman" w:hAnsi="Times New Roman" w:cs="Times New Roman"/>
                <w:sz w:val="24"/>
                <w:szCs w:val="24"/>
                <w:lang w:eastAsia="en-GB"/>
              </w:rPr>
              <w:lastRenderedPageBreak/>
              <w:t>(review)</w:t>
            </w:r>
          </w:p>
        </w:tc>
        <w:tc>
          <w:tcPr>
            <w:tcW w:w="0" w:type="auto"/>
            <w:hideMark/>
          </w:tcPr>
          <w:p w14:paraId="3AD3F74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Depth camera</w:t>
            </w:r>
          </w:p>
        </w:tc>
        <w:tc>
          <w:tcPr>
            <w:tcW w:w="0" w:type="auto"/>
            <w:hideMark/>
          </w:tcPr>
          <w:p w14:paraId="70C2781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Body weight MAE </w:t>
            </w:r>
            <w:r w:rsidRPr="007A71DF">
              <w:rPr>
                <w:rFonts w:ascii="Times New Roman" w:eastAsia="Times New Roman" w:hAnsi="Times New Roman" w:cs="Times New Roman"/>
                <w:sz w:val="24"/>
                <w:szCs w:val="24"/>
                <w:lang w:eastAsia="en-GB"/>
              </w:rPr>
              <w:lastRenderedPageBreak/>
              <w:t>approximately ≤20 kg in best-performing systems</w:t>
            </w:r>
          </w:p>
        </w:tc>
      </w:tr>
      <w:tr w:rsidR="007A71DF" w:rsidRPr="007A71DF" w14:paraId="743D0CFC" w14:textId="77777777" w:rsidTr="005C7535">
        <w:tc>
          <w:tcPr>
            <w:tcW w:w="0" w:type="auto"/>
            <w:hideMark/>
          </w:tcPr>
          <w:p w14:paraId="07F8F78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Individual cow detection</w:t>
            </w:r>
          </w:p>
        </w:tc>
        <w:tc>
          <w:tcPr>
            <w:tcW w:w="0" w:type="auto"/>
            <w:hideMark/>
          </w:tcPr>
          <w:p w14:paraId="753D227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Tassinari et al. (2021)</w:t>
            </w:r>
          </w:p>
        </w:tc>
        <w:tc>
          <w:tcPr>
            <w:tcW w:w="0" w:type="auto"/>
            <w:hideMark/>
          </w:tcPr>
          <w:p w14:paraId="455F944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CNN (deep learning)</w:t>
            </w:r>
          </w:p>
        </w:tc>
        <w:tc>
          <w:tcPr>
            <w:tcW w:w="0" w:type="auto"/>
            <w:hideMark/>
          </w:tcPr>
          <w:p w14:paraId="7EC772D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Standard camera; freestall barn</w:t>
            </w:r>
          </w:p>
        </w:tc>
        <w:tc>
          <w:tcPr>
            <w:tcW w:w="0" w:type="auto"/>
            <w:hideMark/>
          </w:tcPr>
          <w:p w14:paraId="448D1A7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Reliable individual cow detection and tracking under commercial conditions</w:t>
            </w:r>
          </w:p>
        </w:tc>
      </w:tr>
    </w:tbl>
    <w:p w14:paraId="652823DE"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2506F">
        <w:rPr>
          <w:rFonts w:ascii="Times New Roman" w:eastAsia="Times New Roman" w:hAnsi="Times New Roman" w:cs="Times New Roman"/>
          <w:i/>
          <w:iCs/>
          <w:sz w:val="24"/>
          <w:szCs w:val="24"/>
          <w:lang w:val="nl-BE" w:eastAsia="en-GB"/>
        </w:rPr>
        <w:t xml:space="preserve">Sources: Ebrahimi et al. (2019); Kamphuis et al. (2010); Steeneveld et al. (2010); Van Hertem et al. (2018); Alsaaod et al. (2015); Ghotoorlar et al. (2012); Xu et al. (2019); Adamczyk et al. (2021); Vandermeulen et al. (2016); Song et al. (2019); Qiao et al. (2021); Tassinari et al. </w:t>
      </w:r>
      <w:r w:rsidRPr="007A71DF">
        <w:rPr>
          <w:rFonts w:ascii="Times New Roman" w:eastAsia="Times New Roman" w:hAnsi="Times New Roman" w:cs="Times New Roman"/>
          <w:i/>
          <w:iCs/>
          <w:sz w:val="24"/>
          <w:szCs w:val="24"/>
          <w:lang w:eastAsia="en-GB"/>
        </w:rPr>
        <w:t>(2021).</w:t>
      </w:r>
    </w:p>
    <w:p w14:paraId="4FF4F375"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032CBA5B"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6. Sensor Technologies and Data Acquisition</w:t>
      </w:r>
    </w:p>
    <w:p w14:paraId="65F5E948"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6.1 Wearable and Implantable Sensors</w:t>
      </w:r>
    </w:p>
    <w:p w14:paraId="26036027"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commercial wearable sensor market for dairy cattle has expanded rapidly over the past decade, now offering systems for activity monitoring, rumination recording, oestrus detection, and body temperature measurement, among others. Neethirajan (2017) surveyed the landscape in detail, emphasising that data quality and clinical value depend critically on sensor placement, attachment security, and calibration protocols suited to the rigours of intensive farm environments. The trend toward integrating multiple modalities in a single device—combining accelerometry, temperature, and rumination detection in one collar or ear tag—promises richer data, though it adds complexity to downstream analysis.</w:t>
      </w:r>
    </w:p>
    <w:p w14:paraId="6A8C7F5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Rumen boluses that continuously transmit temperature and pH data have attracted growing interest as early disease detectors, given that ruminal temperature reflects systemic inflammation and acidotic episodes accompanying both metabolic and infectious disease. Neethirajan and Kemp (2021) reviewed the digital livestock farming landscape, identifying IoT-integrated boluses and smart ear tags as among the most promising near-term developments, and highlighting edge computing—processing data close to the source rather than in the cloud—as a way to reduce communication bandwidth needs and improve alert latency. </w:t>
      </w:r>
      <w:r>
        <w:rPr>
          <w:rFonts w:ascii="Times New Roman" w:eastAsia="Times New Roman" w:hAnsi="Times New Roman" w:cs="Times New Roman"/>
          <w:sz w:val="24"/>
          <w:szCs w:val="24"/>
          <w:lang w:eastAsia="en-GB"/>
        </w:rPr>
        <w:t>Werner et al. (2018)</w:t>
      </w:r>
      <w:r w:rsidRPr="007A71DF">
        <w:rPr>
          <w:rFonts w:ascii="Times New Roman" w:eastAsia="Times New Roman" w:hAnsi="Times New Roman" w:cs="Times New Roman"/>
          <w:sz w:val="24"/>
          <w:szCs w:val="24"/>
          <w:lang w:eastAsia="en-GB"/>
        </w:rPr>
        <w:t xml:space="preserve"> showed that commercially available automatic monitoring systems can detect changes in lying behaviour and feeding patterns consistent with health-relevant stress, extending wearable sensor utility beyond direct disease detection to broader environmental health monitoring.</w:t>
      </w:r>
    </w:p>
    <w:p w14:paraId="2AFE689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Leg-mounted accelerometers and pedometers have the deepest commercial evidence base among wearable sensors. Riaboff et al. (2022) systematically reviewed data processing techniques for ruminant behaviour prediction from raw accelerometer data, cataloguing time-domain, frequency-domain, and wavelet-based feature extraction strategies alongside the classification algorithms that have been paired with them. A central finding was that the lack of standardisation in feature engineering remains a substantial obstacle to cross-study comparison—a methodological gap the field has yet to adequately address.</w:t>
      </w:r>
    </w:p>
    <w:p w14:paraId="7CFFABAA"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6.2 Image-Based Approaches</w:t>
      </w:r>
    </w:p>
    <w:p w14:paraId="7769A326"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Computer vision and thermal imaging have matured rapidly as dairy disease detection modalities. Pre-trained deep learning models, combined with falling camera costs, have lowered the barrier to image-based health monitoring systems. Bewley et al. (2008) established early evidence for BCS estimation from digital photographs, and subsequent 3D depth-camera work—providing both RGB images and point-cloud representations of animal morphology—has substantially improved automated BCS and body weight estimation accuracy.</w:t>
      </w:r>
    </w:p>
    <w:p w14:paraId="2AA4D587"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Infrared thermography has attracted particular attention as a non-contact tool for detecting local tissue temperature elevations associated with infection, inflammation, and vascular change. Halachmi et al. (2013) showed automated BCS estimation from thermal images was feasible, while Alsaaod et al. (2015) reviewed evidence that thermographic detection of temperature asymmetries in the lower limbs could serve as a non-invasive lameness screening tool. Fuentes et al. (2020) integrated milking robot data with ambient environmental sensor inputs using AI models, demonstrating that multi-modal machine learning captured production and health-relevant variation attributable to both animal and environmental factors—confirming the importance of contextual data in improving model accuracy.</w:t>
      </w:r>
    </w:p>
    <w:p w14:paraId="10A0651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Tassinari et al. (2021) showed that deep learning applied to standard camera footage could achieve reliable individual cow detection and position tracking in commercial freestall barns, including under the occlusions and variable lighting typical of real dairy housing. The transfer learning approach used in that study significantly reduced annotation requirements—practically important given how expensive it is to generate large labelled livestock image datasets. This detection capability provides the fundamental infrastructure for individual-level health monitoring at commercial scale.</w:t>
      </w:r>
    </w:p>
    <w:p w14:paraId="74534DBD"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6.3 Acoustic and Milk Composition Sensors</w:t>
      </w:r>
    </w:p>
    <w:p w14:paraId="3ADA4DD0"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monitoring for BRD cough detection, oestrus vocalisation, and rumination sounds has been an active research area. Vandermeulen et al. (2016) established technical feasibility for automated cough detection in calves using microphone arrays and SVM classifiers, but background barn noise—spectrally overlapping with target signals—is a persistent barrier that still limits field deployment. Developing robust noise-cancellation and signal-separation algorithms specifically for agricultural environments remains an open research need.</w:t>
      </w:r>
    </w:p>
    <w:p w14:paraId="63E7EBAB"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MIR spectroscopy generates a high-dimensional compositional fingerprint at each milking, with information content far exceeding the standard fat, protein, and lactose values that laboratories routinely report. Xu et al. (2019) demonstrated that MIR-derived spectral features are effective metabolic status predictors, complementing AMS production parameters. Because MIR spectra can be transmitted electronically to centralised platforms, they offer a practical route to building large national or international training datasets—one of the most accessible near-term pathways to validating AI-based health prediction in dairy herds at scale.</w:t>
      </w:r>
    </w:p>
    <w:p w14:paraId="5348E76C"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6.4 Data Integration and Fusion</w:t>
      </w:r>
    </w:p>
    <w:p w14:paraId="2EE2EE15"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That multi-modal data integration outperforms single-sensor approaches is now well-established. González et al. (2008) showed early that combining feeding behaviour data with other health indicators improved disease detection, and data fusion architectures—from simple feature concatenation to attention-based deep learning that learns to weight different </w:t>
      </w:r>
      <w:r w:rsidRPr="007A71DF">
        <w:rPr>
          <w:rFonts w:ascii="Times New Roman" w:eastAsia="Times New Roman" w:hAnsi="Times New Roman" w:cs="Times New Roman"/>
          <w:sz w:val="24"/>
          <w:szCs w:val="24"/>
          <w:lang w:eastAsia="en-GB"/>
        </w:rPr>
        <w:lastRenderedPageBreak/>
        <w:t>input streams—have since become an active research area. Guarino et al. (2008) showed that electronic ear tags integrating temperature, activity, and acoustic data in a single device, linked automatically to farm management software, already foreshadowed where commercial product development was heading.</w:t>
      </w:r>
    </w:p>
    <w:p w14:paraId="52D458EB"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Monteiro et al. (2021), in a review spanning livestock and crop precision agriculture, identified multi-sensor data integration as a core enabler of next-generation farm management platforms, noting that individual sensor streams gain value when contextualised within a broader environmental and management data framework. This observation aligns closely with what the dairy disease detection literature shows: the whole is reliably greater than the sum of its sensor parts.</w:t>
      </w:r>
    </w:p>
    <w:p w14:paraId="37641F8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4</w:t>
      </w:r>
      <w:r w:rsidRPr="007A71DF">
        <w:rPr>
          <w:rFonts w:ascii="Times New Roman" w:eastAsia="Times New Roman" w:hAnsi="Times New Roman" w:cs="Times New Roman"/>
          <w:sz w:val="24"/>
          <w:szCs w:val="24"/>
          <w:lang w:eastAsia="en-GB"/>
        </w:rPr>
        <w:t xml:space="preserve"> summarises the principal sensor modalities in AI-based dairy disease detection, their physiological targets, disease relevance, and the practical limitations relevant to commercial deployment.</w:t>
      </w:r>
    </w:p>
    <w:p w14:paraId="171AC7C1"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796DE9B0"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4.</w:t>
      </w:r>
      <w:r w:rsidRPr="007A71DF">
        <w:rPr>
          <w:rFonts w:ascii="Times New Roman" w:eastAsia="Times New Roman" w:hAnsi="Times New Roman" w:cs="Times New Roman"/>
          <w:sz w:val="24"/>
          <w:szCs w:val="24"/>
          <w:lang w:eastAsia="en-GB"/>
        </w:rPr>
        <w:t xml:space="preserve"> Principal sensor technologies employed in AI-based dairy cattle disease detection systems.</w:t>
      </w:r>
    </w:p>
    <w:tbl>
      <w:tblPr>
        <w:tblStyle w:val="TableGrid"/>
        <w:tblW w:w="0" w:type="auto"/>
        <w:tblLook w:val="04A0" w:firstRow="1" w:lastRow="0" w:firstColumn="1" w:lastColumn="0" w:noHBand="0" w:noVBand="1"/>
      </w:tblPr>
      <w:tblGrid>
        <w:gridCol w:w="1938"/>
        <w:gridCol w:w="2212"/>
        <w:gridCol w:w="2170"/>
        <w:gridCol w:w="2922"/>
      </w:tblGrid>
      <w:tr w:rsidR="007A71DF" w:rsidRPr="007A71DF" w14:paraId="6BD48453" w14:textId="77777777" w:rsidTr="005C7535">
        <w:tc>
          <w:tcPr>
            <w:tcW w:w="0" w:type="auto"/>
            <w:hideMark/>
          </w:tcPr>
          <w:p w14:paraId="08AAF615"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Sensor Modality</w:t>
            </w:r>
          </w:p>
        </w:tc>
        <w:tc>
          <w:tcPr>
            <w:tcW w:w="0" w:type="auto"/>
            <w:hideMark/>
          </w:tcPr>
          <w:p w14:paraId="21AF41E6"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Physiological Target</w:t>
            </w:r>
          </w:p>
        </w:tc>
        <w:tc>
          <w:tcPr>
            <w:tcW w:w="0" w:type="auto"/>
            <w:hideMark/>
          </w:tcPr>
          <w:p w14:paraId="5B7FC5DB"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Disease Relevance</w:t>
            </w:r>
          </w:p>
        </w:tc>
        <w:tc>
          <w:tcPr>
            <w:tcW w:w="0" w:type="auto"/>
            <w:hideMark/>
          </w:tcPr>
          <w:p w14:paraId="4FD65054"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Key Practical Limitations</w:t>
            </w:r>
          </w:p>
        </w:tc>
      </w:tr>
      <w:tr w:rsidR="007A71DF" w:rsidRPr="007A71DF" w14:paraId="18ABC77F" w14:textId="77777777" w:rsidTr="005C7535">
        <w:tc>
          <w:tcPr>
            <w:tcW w:w="0" w:type="auto"/>
            <w:hideMark/>
          </w:tcPr>
          <w:p w14:paraId="52E54DE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Accelerometer / pedometer</w:t>
            </w:r>
          </w:p>
        </w:tc>
        <w:tc>
          <w:tcPr>
            <w:tcW w:w="0" w:type="auto"/>
            <w:hideMark/>
          </w:tcPr>
          <w:p w14:paraId="41E96F9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Activity level; gait kinematics; posture</w:t>
            </w:r>
          </w:p>
        </w:tc>
        <w:tc>
          <w:tcPr>
            <w:tcW w:w="0" w:type="auto"/>
            <w:hideMark/>
          </w:tcPr>
          <w:p w14:paraId="336B4FF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oestrus; general illness</w:t>
            </w:r>
          </w:p>
        </w:tc>
        <w:tc>
          <w:tcPr>
            <w:tcW w:w="0" w:type="auto"/>
            <w:hideMark/>
          </w:tcPr>
          <w:p w14:paraId="36E8B670"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Battery longevity; attachment consistency; motion artefacts</w:t>
            </w:r>
          </w:p>
        </w:tc>
      </w:tr>
      <w:tr w:rsidR="007A71DF" w:rsidRPr="007A71DF" w14:paraId="45A8A449" w14:textId="77777777" w:rsidTr="005C7535">
        <w:tc>
          <w:tcPr>
            <w:tcW w:w="0" w:type="auto"/>
            <w:hideMark/>
          </w:tcPr>
          <w:p w14:paraId="111120B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conductivity sensor</w:t>
            </w:r>
          </w:p>
        </w:tc>
        <w:tc>
          <w:tcPr>
            <w:tcW w:w="0" w:type="auto"/>
            <w:hideMark/>
          </w:tcPr>
          <w:p w14:paraId="591FD9B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Electrical conductivity of milk</w:t>
            </w:r>
          </w:p>
        </w:tc>
        <w:tc>
          <w:tcPr>
            <w:tcW w:w="0" w:type="auto"/>
            <w:hideMark/>
          </w:tcPr>
          <w:p w14:paraId="35EF991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43D10B3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Teat condition; milking technique; cross-quarter comparison needed</w:t>
            </w:r>
          </w:p>
        </w:tc>
      </w:tr>
      <w:tr w:rsidR="007A71DF" w:rsidRPr="007A71DF" w14:paraId="7FEB26AA" w14:textId="77777777" w:rsidTr="005C7535">
        <w:tc>
          <w:tcPr>
            <w:tcW w:w="0" w:type="auto"/>
            <w:hideMark/>
          </w:tcPr>
          <w:p w14:paraId="71B353C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In-line SCC sensor</w:t>
            </w:r>
          </w:p>
        </w:tc>
        <w:tc>
          <w:tcPr>
            <w:tcW w:w="0" w:type="auto"/>
            <w:hideMark/>
          </w:tcPr>
          <w:p w14:paraId="07A2735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Somatic cell count</w:t>
            </w:r>
          </w:p>
        </w:tc>
        <w:tc>
          <w:tcPr>
            <w:tcW w:w="0" w:type="auto"/>
            <w:hideMark/>
          </w:tcPr>
          <w:p w14:paraId="7E2F3C9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Mastitis</w:t>
            </w:r>
          </w:p>
        </w:tc>
        <w:tc>
          <w:tcPr>
            <w:tcW w:w="0" w:type="auto"/>
            <w:hideMark/>
          </w:tcPr>
          <w:p w14:paraId="7534A6AD"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High capital cost; calibration requirements</w:t>
            </w:r>
          </w:p>
        </w:tc>
      </w:tr>
      <w:tr w:rsidR="007A71DF" w:rsidRPr="007A71DF" w14:paraId="04E1A6F4" w14:textId="77777777" w:rsidTr="005C7535">
        <w:tc>
          <w:tcPr>
            <w:tcW w:w="0" w:type="auto"/>
            <w:hideMark/>
          </w:tcPr>
          <w:p w14:paraId="7B3756A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Infrared thermography</w:t>
            </w:r>
          </w:p>
        </w:tc>
        <w:tc>
          <w:tcPr>
            <w:tcW w:w="0" w:type="auto"/>
            <w:hideMark/>
          </w:tcPr>
          <w:p w14:paraId="1503E0C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Surface and body temperature</w:t>
            </w:r>
          </w:p>
        </w:tc>
        <w:tc>
          <w:tcPr>
            <w:tcW w:w="0" w:type="auto"/>
            <w:hideMark/>
          </w:tcPr>
          <w:p w14:paraId="50D29D8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Lameness (hoof); mastitis; BRD</w:t>
            </w:r>
          </w:p>
        </w:tc>
        <w:tc>
          <w:tcPr>
            <w:tcW w:w="0" w:type="auto"/>
            <w:hideMark/>
          </w:tcPr>
          <w:p w14:paraId="3AF284E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Ambient temperature; coat condition; moisture effects</w:t>
            </w:r>
          </w:p>
        </w:tc>
      </w:tr>
      <w:tr w:rsidR="007A71DF" w:rsidRPr="007A71DF" w14:paraId="589DA7B1" w14:textId="77777777" w:rsidTr="005C7535">
        <w:tc>
          <w:tcPr>
            <w:tcW w:w="0" w:type="auto"/>
            <w:hideMark/>
          </w:tcPr>
          <w:p w14:paraId="5FCE9CFB"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3D depth camera</w:t>
            </w:r>
          </w:p>
        </w:tc>
        <w:tc>
          <w:tcPr>
            <w:tcW w:w="0" w:type="auto"/>
            <w:hideMark/>
          </w:tcPr>
          <w:p w14:paraId="146927D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Body morphology; gait kinematics</w:t>
            </w:r>
          </w:p>
        </w:tc>
        <w:tc>
          <w:tcPr>
            <w:tcW w:w="0" w:type="auto"/>
            <w:hideMark/>
          </w:tcPr>
          <w:p w14:paraId="2129669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BCS; lameness; body weight; cow detection</w:t>
            </w:r>
          </w:p>
        </w:tc>
        <w:tc>
          <w:tcPr>
            <w:tcW w:w="0" w:type="auto"/>
            <w:hideMark/>
          </w:tcPr>
          <w:p w14:paraId="4C50F396"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Camera placement; lighting; computational demands</w:t>
            </w:r>
          </w:p>
        </w:tc>
      </w:tr>
      <w:tr w:rsidR="007A71DF" w:rsidRPr="007A71DF" w14:paraId="78064E41" w14:textId="77777777" w:rsidTr="005C7535">
        <w:tc>
          <w:tcPr>
            <w:tcW w:w="0" w:type="auto"/>
            <w:hideMark/>
          </w:tcPr>
          <w:p w14:paraId="3337283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Acoustic microphone</w:t>
            </w:r>
          </w:p>
        </w:tc>
        <w:tc>
          <w:tcPr>
            <w:tcW w:w="0" w:type="auto"/>
            <w:hideMark/>
          </w:tcPr>
          <w:p w14:paraId="660E8392"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Cough sounds; vocalisation; rumination</w:t>
            </w:r>
          </w:p>
        </w:tc>
        <w:tc>
          <w:tcPr>
            <w:tcW w:w="0" w:type="auto"/>
            <w:hideMark/>
          </w:tcPr>
          <w:p w14:paraId="55DA5DB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BRD; oestrus; digestive health</w:t>
            </w:r>
          </w:p>
        </w:tc>
        <w:tc>
          <w:tcPr>
            <w:tcW w:w="0" w:type="auto"/>
            <w:hideMark/>
          </w:tcPr>
          <w:p w14:paraId="354A21F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Background barn noise; signal-to-noise ratio</w:t>
            </w:r>
          </w:p>
        </w:tc>
      </w:tr>
      <w:tr w:rsidR="007A71DF" w:rsidRPr="007A71DF" w14:paraId="17E2AE1F" w14:textId="77777777" w:rsidTr="005C7535">
        <w:tc>
          <w:tcPr>
            <w:tcW w:w="0" w:type="auto"/>
            <w:hideMark/>
          </w:tcPr>
          <w:p w14:paraId="24F51D0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Rumen bolus sensor</w:t>
            </w:r>
          </w:p>
        </w:tc>
        <w:tc>
          <w:tcPr>
            <w:tcW w:w="0" w:type="auto"/>
            <w:hideMark/>
          </w:tcPr>
          <w:p w14:paraId="6A679AD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Ruminal pH and temperature</w:t>
            </w:r>
          </w:p>
        </w:tc>
        <w:tc>
          <w:tcPr>
            <w:tcW w:w="0" w:type="auto"/>
            <w:hideMark/>
          </w:tcPr>
          <w:p w14:paraId="23AC094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Acidosis; metabolic disease; fever</w:t>
            </w:r>
          </w:p>
        </w:tc>
        <w:tc>
          <w:tcPr>
            <w:tcW w:w="0" w:type="auto"/>
            <w:hideMark/>
          </w:tcPr>
          <w:p w14:paraId="19EC436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Cost; longevity; post-slaughter recovery requirements</w:t>
            </w:r>
          </w:p>
        </w:tc>
      </w:tr>
      <w:tr w:rsidR="007A71DF" w:rsidRPr="007A71DF" w14:paraId="452CD786" w14:textId="77777777" w:rsidTr="005C7535">
        <w:tc>
          <w:tcPr>
            <w:tcW w:w="0" w:type="auto"/>
            <w:hideMark/>
          </w:tcPr>
          <w:p w14:paraId="6E3E9DB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MIR spectrometer</w:t>
            </w:r>
          </w:p>
        </w:tc>
        <w:tc>
          <w:tcPr>
            <w:tcW w:w="0" w:type="auto"/>
            <w:hideMark/>
          </w:tcPr>
          <w:p w14:paraId="7335A07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Milk compositional spectrum</w:t>
            </w:r>
          </w:p>
        </w:tc>
        <w:tc>
          <w:tcPr>
            <w:tcW w:w="0" w:type="auto"/>
            <w:hideMark/>
          </w:tcPr>
          <w:p w14:paraId="6B59E28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Ketosis; energy balance; liver function</w:t>
            </w:r>
          </w:p>
        </w:tc>
        <w:tc>
          <w:tcPr>
            <w:tcW w:w="0" w:type="auto"/>
            <w:hideMark/>
          </w:tcPr>
          <w:p w14:paraId="725515A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Primarily available at herd-level in AMS systems</w:t>
            </w:r>
          </w:p>
        </w:tc>
      </w:tr>
      <w:tr w:rsidR="007A71DF" w:rsidRPr="007A71DF" w14:paraId="503C3252" w14:textId="77777777" w:rsidTr="005C7535">
        <w:tc>
          <w:tcPr>
            <w:tcW w:w="0" w:type="auto"/>
            <w:hideMark/>
          </w:tcPr>
          <w:p w14:paraId="6455158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Electronic ear / neck tag</w:t>
            </w:r>
          </w:p>
        </w:tc>
        <w:tc>
          <w:tcPr>
            <w:tcW w:w="0" w:type="auto"/>
            <w:hideMark/>
          </w:tcPr>
          <w:p w14:paraId="2F26F04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Multi-parameter telemetry</w:t>
            </w:r>
          </w:p>
        </w:tc>
        <w:tc>
          <w:tcPr>
            <w:tcW w:w="0" w:type="auto"/>
            <w:hideMark/>
          </w:tcPr>
          <w:p w14:paraId="03DD65C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Broad health surveillance</w:t>
            </w:r>
          </w:p>
        </w:tc>
        <w:tc>
          <w:tcPr>
            <w:tcW w:w="0" w:type="auto"/>
            <w:hideMark/>
          </w:tcPr>
          <w:p w14:paraId="5F9773A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Durability; attachment security; data transmission reliability</w:t>
            </w:r>
          </w:p>
        </w:tc>
      </w:tr>
    </w:tbl>
    <w:p w14:paraId="3063422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B2506F">
        <w:rPr>
          <w:rFonts w:ascii="Times New Roman" w:eastAsia="Times New Roman" w:hAnsi="Times New Roman" w:cs="Times New Roman"/>
          <w:i/>
          <w:iCs/>
          <w:sz w:val="24"/>
          <w:szCs w:val="24"/>
          <w:lang w:val="nl-BE" w:eastAsia="en-GB"/>
        </w:rPr>
        <w:lastRenderedPageBreak/>
        <w:t xml:space="preserve">Sources: Neethirajan (2017); Rutten et al. (2013); Hogeveen et al. (2011); Alsaaod et al. (2015); Van Hertem et al. (2018); Vandermeulen et al. (2016); Xu et al. (2019); Guarino et al. (2008); Neethirajan &amp; Kemp (2021); Tassinari et al. </w:t>
      </w:r>
      <w:r w:rsidRPr="007A71DF">
        <w:rPr>
          <w:rFonts w:ascii="Times New Roman" w:eastAsia="Times New Roman" w:hAnsi="Times New Roman" w:cs="Times New Roman"/>
          <w:i/>
          <w:iCs/>
          <w:sz w:val="24"/>
          <w:szCs w:val="24"/>
          <w:lang w:eastAsia="en-GB"/>
        </w:rPr>
        <w:t>(2021).</w:t>
      </w:r>
    </w:p>
    <w:p w14:paraId="6AEE1EF2"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4C261403"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7. Performance Evaluation and Validation Challenges</w:t>
      </w:r>
    </w:p>
    <w:p w14:paraId="6BDA98B8"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7.1 Performance Metrics and Reporting Standards</w:t>
      </w:r>
    </w:p>
    <w:p w14:paraId="3C21BEA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ML-based disease detection systems are most commonly evaluated using sensitivity, specificity, positive and negative predictive value, AUC, and—where class imbalance is severe—the F1 score or Matthews correlation coefficient. The choice matters practically: systems tuned for high sensitivity will catch more true disease events but generate more false-positive alerts, burdening staff; those tuned for high specificity generate fewer false alarms but miss more genuine cases. Dominiak and Kristensen (2017) identified a systematic tendency in the literature to report results at optimal threshold settings rather than at the operating points where systems would realistically be deployed. Without consistent frameworks for specifying thresholds and the prevalence assumptions underlying predictive values, cross-study comparison has limited validity.</w:t>
      </w:r>
    </w:p>
    <w:p w14:paraId="759D1284"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Reference standards—the criteria against which model predictions are evaluated—introduce additional heterogeneity. For mastitis, veterinary-confirmed clinical diagnosis, laboratory culture, and SCC threshold definitions have all been used, and they do not identify the same cases. For lameness, manual locomotion scoring is standard but inter-observer agreement is only moderate even among experienced raters, imposing a ceiling on what automated systems can realistically be expected to match. Schlageter-Tello et al. (</w:t>
      </w:r>
      <w:r>
        <w:rPr>
          <w:rFonts w:ascii="Times New Roman" w:eastAsia="Times New Roman" w:hAnsi="Times New Roman" w:cs="Times New Roman"/>
          <w:sz w:val="24"/>
          <w:szCs w:val="24"/>
          <w:lang w:eastAsia="en-GB"/>
        </w:rPr>
        <w:t>2014</w:t>
      </w:r>
      <w:r w:rsidRPr="007A71DF">
        <w:rPr>
          <w:rFonts w:ascii="Times New Roman" w:eastAsia="Times New Roman" w:hAnsi="Times New Roman" w:cs="Times New Roman"/>
          <w:sz w:val="24"/>
          <w:szCs w:val="24"/>
          <w:lang w:eastAsia="en-GB"/>
        </w:rPr>
        <w:t>) argued that developing validated, reproducible reference standards is as urgent a research priority as developing new algorithms—a point that the field has acknowledged without yet fully resolving.</w:t>
      </w:r>
    </w:p>
    <w:p w14:paraId="25DC5514"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7.2 Validation, Generalisation, and Real-World Performance</w:t>
      </w:r>
    </w:p>
    <w:p w14:paraId="10B8B550"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There is a persistent, consequential gap between performance metrics reported in experimental studies and what actually happens in commercial deployment. Most published studies use within-study cross-validation, drawing training and test data from the same farm or set of farms, which tends to produce optimistic estimates. External validation—testing models trained on one population against independently collected data from different farms—is more demanding and more realistic; studies using this design consistently report lower performance metrics (Cockburn, 2020). Part of this degradation reflects genuine farm-to-farm variation in sensor data quality, housing type, floor surface, equipment maintenance, and cow genetics—variation that models trained on a handful of farms cannot fully anticipate.</w:t>
      </w:r>
    </w:p>
    <w:p w14:paraId="191077C3"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Liakos et al. (2018), in a wide-ranging review of ML in agriculture, identified the absence of standardised data collection protocols and the heterogeneity of farm management systems as two of the biggest barriers to broadly applicable ML models—an assessment that applies with particular force to disease detection, where the clinical stakes of false negatives and false positives are direct. Class imbalance compounds this: disease events are rare at the individual observation level, so datasets built from continuous monitoring will almost always contain far more normal than pathological records. Without countermeasures such as minority-class oversampling, cost-sensitive learning, or threshold adjustment, models will tend to optimise </w:t>
      </w:r>
      <w:r w:rsidRPr="007A71DF">
        <w:rPr>
          <w:rFonts w:ascii="Times New Roman" w:eastAsia="Times New Roman" w:hAnsi="Times New Roman" w:cs="Times New Roman"/>
          <w:sz w:val="24"/>
          <w:szCs w:val="24"/>
          <w:lang w:eastAsia="en-GB"/>
        </w:rPr>
        <w:lastRenderedPageBreak/>
        <w:t>aggregate accuracy by predicting the majority class, yielding unacceptably low sensitivity for the disease events that matter.</w:t>
      </w:r>
    </w:p>
    <w:p w14:paraId="27CF2213"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Cockburn (2020), reviewing ML in the dairy sector, concluded that although ML methods had been applied to a wide range of dairy management problems, most published algorithms had not yet achieved performance levels sufficient for reliable practical deployment. The shortfall was attributed principally to poor data quality in training sets, insufficient dataset sizes, and the near-total absence of prospective validation studies on independent farm populations. That assessment remains largely accurate.</w:t>
      </w:r>
    </w:p>
    <w:p w14:paraId="505AE926"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7.3 Explainability and Trustworthiness</w:t>
      </w:r>
    </w:p>
    <w:p w14:paraId="4AAF4420"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Deep learning models' opacity—the inability to explain, in human-interpretable terms, why a particular prediction was made—is a recognised concern in any clinical decision support application. In dairy disease detection, where the economic and welfare consequences of misclassification are real, farmers and veterinarians need to be able to exercise informed judgement in response to an alert rather than accepting it uncritically. A model that cannot explain its reasoning is difficult to trust, difficult to audit, and difficult to improve.</w:t>
      </w:r>
    </w:p>
    <w:p w14:paraId="40D559FD"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explainable AI (XAI) field has produced methods such as SHAP (SHapley Additive exPlanations), LIME (Local Interpretable Model-agnostic Explanations), and Grad-CAM for image-based models that can provide post-hoc explanations of individual predictions. Liakos et al. (2018) highlighted the importance of interpretability in agricultural settings, where practitioners often bring deep domain knowledge and legitimately want to evaluate AI-generated recommendations against their own experience. Developing and validating XAI approaches specifically adapted to veterinary decision contexts is an important gap, made more pressing by the EU AI Act—which came into force in August 2024—and its transparency requirements for high-risk AI systems in professional settings.</w:t>
      </w:r>
    </w:p>
    <w:p w14:paraId="53EA1AFF"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571A8B8A"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8. Integration, Implementation, and Practical Considerations</w:t>
      </w:r>
    </w:p>
    <w:p w14:paraId="30682458"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8.1 Farm-Level Integration</w:t>
      </w:r>
    </w:p>
    <w:p w14:paraId="26471D6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Moving AI-based disease detection from research demonstration to working component of commercial farm management involves a set of practical and organisational challenges that scientific papers often understate. Data management infrastructure—network connectivity, storage, and cloud computing capacity—must handle continuous high-frequency sensor streams; reliable high-speed internet connectivity remains limited in many rural dairy farming regions globally, where digital infrastructure investment has lagged urban areas (Neethirajan &amp; Kemp, 2021). Sensor outputs must integrate with existing farm management software without duplicating data entry or creating isolated data silos. Alert interfaces must be designed with cognitive load and decision fatigue in mind, or the alarm fatigue problem that Dominiak and Kristensen (2017) documented will simply be reproduced in a digital form.</w:t>
      </w:r>
    </w:p>
    <w:p w14:paraId="11410085"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Interoperability between sensor systems from different manufacturers is a further structural problem. Commercial dairy sensors come from multiple vendors with proprietary data formats and communication protocols. Without common data standards, combining streams from different sources in a unified analytical framework is difficult, slowing the </w:t>
      </w:r>
      <w:r w:rsidRPr="007A71DF">
        <w:rPr>
          <w:rFonts w:ascii="Times New Roman" w:eastAsia="Times New Roman" w:hAnsi="Times New Roman" w:cs="Times New Roman"/>
          <w:sz w:val="24"/>
          <w:szCs w:val="24"/>
          <w:lang w:eastAsia="en-GB"/>
        </w:rPr>
        <w:lastRenderedPageBreak/>
        <w:t>accumulation of the large, multi-vendor datasets needed to train robust generalised models. This fragmentation is a structural inefficiency the industry has been slow to address.</w:t>
      </w:r>
    </w:p>
    <w:p w14:paraId="05BDB5F4"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8.2 Farmer Adoption and Digital Literacy</w:t>
      </w:r>
    </w:p>
    <w:p w14:paraId="59F9F7A1"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Technical performance of the algorithm is necessary but not sufficient for successful implementation. Farmers and farm managers must be willing and able to engage with AI-generated health alerts and act on them appropriately. Cockburn (2020), in reviewing ML for dairy farm management, emphasised that a key challenge is the gap between the controlled conditions under which algorithms are developed and validated and the variable, resource-constrained reality of working dairy farms, noting that inadequate integration of farm data into unified decision-support frameworks has so far limited the practical benefits of ML in the sector. Broader evidence on agricultural technology adoption consistently identifies user interface design, workflow integration, and post-installation technical support as decisive factors in uptake.</w:t>
      </w:r>
    </w:p>
    <w:p w14:paraId="659DB8D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Digital literacy among dairy farmers varies considerably by region and farm size, and AI disease detection system design must account for this. Neethirajan and Kemp (2021) made the point that the benefits of digital livestock farming are not universally accessible: without targeted investment in training, extension support, and affordable hardware, AI health monitoring risks being confined to large, capital-intensive operations, deepening structural inequalities in the sector. Active engagement with smaller-scale producers and with farming communities in lower-income countries is needed to ensure these tools deliver their potential welfare and productivity benefits more broadly.</w:t>
      </w:r>
    </w:p>
    <w:p w14:paraId="6EC9431B"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8.3 Ethical and Governance Considerations</w:t>
      </w:r>
    </w:p>
    <w:p w14:paraId="3A2060B0"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Deploying AI in food production raises ethical questions beyond technical performance. Who owns the health data generated by sensors on a commercial dairy farm—the farmer, the sensor vendor, or the software platform provider—is not a trivial question, particularly given the commercial value of longitudinal production and health records for model training, benchmarking, and industry analysis. Morota et al. (2018) flagged data governance in digital agriculture as a significant constraint on collaborative dataset development, and argued that the absence of clear legal frameworks around agricultural data ownership and sharing was holding back the field.</w:t>
      </w:r>
    </w:p>
    <w:p w14:paraId="072A1FC6"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Algorithmic accountability—who bears responsibility when an AI-generated alert misses a disease event causing significant economic or welfare harm—has received little systematic attention in the dairy PLF literature. As AI systems become more embedded in professional agricultural practice, this question will need explicit engagement from regulators, technology developers, and veterinary professional bodies. The EU AI Act provides a starting framework in adjacent domains, and specific provisions for AI in animal production seem likely to follow as the technology matures and adoption widens.</w:t>
      </w:r>
    </w:p>
    <w:p w14:paraId="7611AE9E"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1F64CC60"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9. Critical Appraisal of Limitations and Future Directions</w:t>
      </w:r>
    </w:p>
    <w:p w14:paraId="790144C8"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9.1 Gaps in the Current Evidence Base</w:t>
      </w:r>
    </w:p>
    <w:p w14:paraId="40B8988E"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Three structural weaknesses in the evidence base deserve honest acknowledgement. First, prospective external validation—training on one set of farms and testing independently on a geographically or temporally separated population—remains a small fraction of the total published literature. Internal cross-validation inflates apparent generalisation capacity, and the aggregate performance metrics in the field almost certainly overestimate how well these systems would work in commercial deployment. Both Cockburn (2020) and Liakos et al. (2018) identified this as a priority, and it has not improved substantially.</w:t>
      </w:r>
    </w:p>
    <w:p w14:paraId="04C148A5"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Second, the research base is heavily concentrated in high-income countries—principally Europe, North America, and Australia. The generalisability of models built in these settings to the diverse breeds, climates, management systems, and production environments of global dairy farming is largely untested. FAO (2021) has emphasised that the need for productivity growth is most acute in lower-middle-income countries, where disease-related losses are typically highest and veterinary infrastructure thinnest—yet these are precisely the settings where AI disease detection research is least represented.</w:t>
      </w:r>
    </w:p>
    <w:p w14:paraId="060C993E"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Third, most published studies address one disease at a time. In practice, a cow with lameness may also have subclinical ketosis, or mastitis may occur against a background of early metabolic disease. Single-condition classifiers are not equipped to handle co-morbid presentations, and multi-label classification architectures capable of detecting multiple concurrent conditions simultaneously remain relatively rare in the literature.</w:t>
      </w:r>
    </w:p>
    <w:p w14:paraId="2C5F94F3" w14:textId="77777777" w:rsidR="007A71DF" w:rsidRPr="007A71DF" w:rsidRDefault="007A71DF" w:rsidP="00364C0E">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9.2 Emerging Technologies and Future Research Directions</w:t>
      </w:r>
    </w:p>
    <w:p w14:paraId="69E1F54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Several directions hold genuine promise. Transformer-based architectures—using self-attention mechanisms to model long-range dependencies across sequential and multi-modal data—have achieved state-of-the-art results across a range of domains, from natural language processing to medical imaging, and their application to livestock sensor streams is beginning to appear in the primary literature. The ability of transformer models to process heterogeneous inputs—tabular records, time-series sensor streams, and image features—within a single unified architecture is a natural fit for the multi-modal data integration challenge in PLF.</w:t>
      </w:r>
    </w:p>
    <w:p w14:paraId="1C8CB90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Federated learning, in which models are trained collaboratively across farms without raw data ever leaving the farm, addresses the data sharing and privacy concerns that currently limit large, diverse training dataset construction. Each participating farm computes local model updates that are aggregated centrally to improve a global model, iteratively, without transmitting individual animal health records (Neethirajan &amp; Kemp, 2021). This approach directly tackles the data governance problem and could substantially accelerate the development of geographically diverse, robustly validated datasets.</w:t>
      </w:r>
    </w:p>
    <w:p w14:paraId="5DA33FDF"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integration of genomic data with sensor-derived health information is a further frontier. Morota et al. (2018) argued that the convergence of high-throughput genotyping and PLF sensor streams creates conditions for fundamentally new approaches to genomic prediction, with ML models integrating both data types potentially improving both disease prediction and estimated breeding values for disease resistance traits. This is technically feasible now but remains largely unexplored in the empirical literature.</w:t>
      </w:r>
    </w:p>
    <w:p w14:paraId="5AD6314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 xml:space="preserve">Perhaps the most immediately tractable priority is the development of standardised benchmarking frameworks—common datasets, defined evaluation protocols, and agreed </w:t>
      </w:r>
      <w:r w:rsidRPr="007A71DF">
        <w:rPr>
          <w:rFonts w:ascii="Times New Roman" w:eastAsia="Times New Roman" w:hAnsi="Times New Roman" w:cs="Times New Roman"/>
          <w:sz w:val="24"/>
          <w:szCs w:val="24"/>
          <w:lang w:eastAsia="en-GB"/>
        </w:rPr>
        <w:lastRenderedPageBreak/>
        <w:t>reference standards. Dominiak and Kristensen (2017) and Riaboff et al. (2022) have both called for this explicitly. Publicly accessible, annotated benchmark datasets for common dairy disease detection tasks would enable transparent, reproducible comparison across algorithms and research groups, and accelerate identification of approaches that genuinely generalise.</w:t>
      </w:r>
    </w:p>
    <w:p w14:paraId="662DD792"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5</w:t>
      </w:r>
      <w:r w:rsidRPr="007A71DF">
        <w:rPr>
          <w:rFonts w:ascii="Times New Roman" w:eastAsia="Times New Roman" w:hAnsi="Times New Roman" w:cs="Times New Roman"/>
          <w:sz w:val="24"/>
          <w:szCs w:val="24"/>
          <w:lang w:eastAsia="en-GB"/>
        </w:rPr>
        <w:t xml:space="preserve"> summarises the key research gaps and the corresponding priorities that follow from the analysis in this review.</w:t>
      </w:r>
    </w:p>
    <w:p w14:paraId="07B3E744"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1BBBCC69"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b/>
          <w:bCs/>
          <w:sz w:val="24"/>
          <w:szCs w:val="24"/>
          <w:lang w:eastAsia="en-GB"/>
        </w:rPr>
        <w:t>Table 5.</w:t>
      </w:r>
      <w:r w:rsidRPr="007A71DF">
        <w:rPr>
          <w:rFonts w:ascii="Times New Roman" w:eastAsia="Times New Roman" w:hAnsi="Times New Roman" w:cs="Times New Roman"/>
          <w:sz w:val="24"/>
          <w:szCs w:val="24"/>
          <w:lang w:eastAsia="en-GB"/>
        </w:rPr>
        <w:t xml:space="preserve"> Key research gaps in AI-based dairy cattle disease detection and corresponding future research priorities.</w:t>
      </w:r>
    </w:p>
    <w:tbl>
      <w:tblPr>
        <w:tblStyle w:val="TableGrid"/>
        <w:tblW w:w="0" w:type="auto"/>
        <w:tblLook w:val="04A0" w:firstRow="1" w:lastRow="0" w:firstColumn="1" w:lastColumn="0" w:noHBand="0" w:noVBand="1"/>
      </w:tblPr>
      <w:tblGrid>
        <w:gridCol w:w="2392"/>
        <w:gridCol w:w="3181"/>
        <w:gridCol w:w="3669"/>
      </w:tblGrid>
      <w:tr w:rsidR="007A71DF" w:rsidRPr="007A71DF" w14:paraId="2C84D49A" w14:textId="77777777" w:rsidTr="005C7535">
        <w:tc>
          <w:tcPr>
            <w:tcW w:w="0" w:type="auto"/>
            <w:hideMark/>
          </w:tcPr>
          <w:p w14:paraId="0E9D8E2C"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Research Gap</w:t>
            </w:r>
          </w:p>
        </w:tc>
        <w:tc>
          <w:tcPr>
            <w:tcW w:w="0" w:type="auto"/>
            <w:hideMark/>
          </w:tcPr>
          <w:p w14:paraId="4D63E009"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Current State</w:t>
            </w:r>
          </w:p>
        </w:tc>
        <w:tc>
          <w:tcPr>
            <w:tcW w:w="0" w:type="auto"/>
            <w:hideMark/>
          </w:tcPr>
          <w:p w14:paraId="0B96A000" w14:textId="77777777" w:rsidR="007A71DF" w:rsidRPr="007A71DF" w:rsidRDefault="007A71DF" w:rsidP="00364C0E">
            <w:pPr>
              <w:jc w:val="both"/>
              <w:rPr>
                <w:rFonts w:ascii="Times New Roman" w:eastAsia="Times New Roman" w:hAnsi="Times New Roman" w:cs="Times New Roman"/>
                <w:b/>
                <w:bCs/>
                <w:sz w:val="24"/>
                <w:szCs w:val="24"/>
                <w:lang w:eastAsia="en-GB"/>
              </w:rPr>
            </w:pPr>
            <w:r w:rsidRPr="007A71DF">
              <w:rPr>
                <w:rFonts w:ascii="Times New Roman" w:eastAsia="Times New Roman" w:hAnsi="Times New Roman" w:cs="Times New Roman"/>
                <w:b/>
                <w:bCs/>
                <w:sz w:val="24"/>
                <w:szCs w:val="24"/>
                <w:lang w:eastAsia="en-GB"/>
              </w:rPr>
              <w:t>Future Research Priority</w:t>
            </w:r>
          </w:p>
        </w:tc>
      </w:tr>
      <w:tr w:rsidR="007A71DF" w:rsidRPr="007A71DF" w14:paraId="6987A9E8" w14:textId="77777777" w:rsidTr="005C7535">
        <w:tc>
          <w:tcPr>
            <w:tcW w:w="0" w:type="auto"/>
            <w:hideMark/>
          </w:tcPr>
          <w:p w14:paraId="7EDCDF0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External validation deficit</w:t>
            </w:r>
          </w:p>
        </w:tc>
        <w:tc>
          <w:tcPr>
            <w:tcW w:w="0" w:type="auto"/>
            <w:hideMark/>
          </w:tcPr>
          <w:p w14:paraId="7A65DE0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Most studies use internal cross-validation; few prospective external validations</w:t>
            </w:r>
          </w:p>
        </w:tc>
        <w:tc>
          <w:tcPr>
            <w:tcW w:w="0" w:type="auto"/>
            <w:hideMark/>
          </w:tcPr>
          <w:p w14:paraId="3103600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Multi-farm, multi-national prospective validation studies</w:t>
            </w:r>
          </w:p>
        </w:tc>
      </w:tr>
      <w:tr w:rsidR="007A71DF" w:rsidRPr="007A71DF" w14:paraId="3F7F027D" w14:textId="77777777" w:rsidTr="005C7535">
        <w:tc>
          <w:tcPr>
            <w:tcW w:w="0" w:type="auto"/>
            <w:hideMark/>
          </w:tcPr>
          <w:p w14:paraId="148E206C"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Geographical representativeness</w:t>
            </w:r>
          </w:p>
        </w:tc>
        <w:tc>
          <w:tcPr>
            <w:tcW w:w="0" w:type="auto"/>
            <w:hideMark/>
          </w:tcPr>
          <w:p w14:paraId="2B7E7B5E"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Studies concentrated in Europe, North America, Australia</w:t>
            </w:r>
          </w:p>
        </w:tc>
        <w:tc>
          <w:tcPr>
            <w:tcW w:w="0" w:type="auto"/>
            <w:hideMark/>
          </w:tcPr>
          <w:p w14:paraId="2E4F9E7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Research in tropical, Asian, African, and South American dairy systems</w:t>
            </w:r>
          </w:p>
        </w:tc>
      </w:tr>
      <w:tr w:rsidR="007A71DF" w:rsidRPr="007A71DF" w14:paraId="07FE1CE3" w14:textId="77777777" w:rsidTr="005C7535">
        <w:tc>
          <w:tcPr>
            <w:tcW w:w="0" w:type="auto"/>
            <w:hideMark/>
          </w:tcPr>
          <w:p w14:paraId="068F454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Single-disease focus</w:t>
            </w:r>
          </w:p>
        </w:tc>
        <w:tc>
          <w:tcPr>
            <w:tcW w:w="0" w:type="auto"/>
            <w:hideMark/>
          </w:tcPr>
          <w:p w14:paraId="4161CD1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Most algorithms address one disease at a time</w:t>
            </w:r>
          </w:p>
        </w:tc>
        <w:tc>
          <w:tcPr>
            <w:tcW w:w="0" w:type="auto"/>
            <w:hideMark/>
          </w:tcPr>
          <w:p w14:paraId="600702A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Multi-label disease detection architectures</w:t>
            </w:r>
          </w:p>
        </w:tc>
      </w:tr>
      <w:tr w:rsidR="007A71DF" w:rsidRPr="007A71DF" w14:paraId="7E0196E1" w14:textId="77777777" w:rsidTr="005C7535">
        <w:tc>
          <w:tcPr>
            <w:tcW w:w="0" w:type="auto"/>
            <w:hideMark/>
          </w:tcPr>
          <w:p w14:paraId="3AA6DDD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Data governance and sharing</w:t>
            </w:r>
          </w:p>
        </w:tc>
        <w:tc>
          <w:tcPr>
            <w:tcW w:w="0" w:type="auto"/>
            <w:hideMark/>
          </w:tcPr>
          <w:p w14:paraId="2E9A90B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Proprietary data silos; absence of common standards</w:t>
            </w:r>
          </w:p>
        </w:tc>
        <w:tc>
          <w:tcPr>
            <w:tcW w:w="0" w:type="auto"/>
            <w:hideMark/>
          </w:tcPr>
          <w:p w14:paraId="7AADF0F3"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Federated learning; open benchmark datasets; data sharing agreements</w:t>
            </w:r>
          </w:p>
        </w:tc>
      </w:tr>
      <w:tr w:rsidR="007A71DF" w:rsidRPr="007A71DF" w14:paraId="6D1542A5" w14:textId="77777777" w:rsidTr="005C7535">
        <w:tc>
          <w:tcPr>
            <w:tcW w:w="0" w:type="auto"/>
            <w:hideMark/>
          </w:tcPr>
          <w:p w14:paraId="1E0638A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Explainability</w:t>
            </w:r>
          </w:p>
        </w:tc>
        <w:tc>
          <w:tcPr>
            <w:tcW w:w="0" w:type="auto"/>
            <w:hideMark/>
          </w:tcPr>
          <w:p w14:paraId="6FB7ABA4"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Black-box deep learning models predominate</w:t>
            </w:r>
          </w:p>
        </w:tc>
        <w:tc>
          <w:tcPr>
            <w:tcW w:w="0" w:type="auto"/>
            <w:hideMark/>
          </w:tcPr>
          <w:p w14:paraId="74409807"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Integration of XAI methods (SHAP, LIME, Grad-CAM) adapted for livestock decision support</w:t>
            </w:r>
          </w:p>
        </w:tc>
      </w:tr>
      <w:tr w:rsidR="007A71DF" w:rsidRPr="007A71DF" w14:paraId="54B57364" w14:textId="77777777" w:rsidTr="005C7535">
        <w:tc>
          <w:tcPr>
            <w:tcW w:w="0" w:type="auto"/>
            <w:hideMark/>
          </w:tcPr>
          <w:p w14:paraId="63AAA8C1"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Farm-level implementation</w:t>
            </w:r>
          </w:p>
        </w:tc>
        <w:tc>
          <w:tcPr>
            <w:tcW w:w="0" w:type="auto"/>
            <w:hideMark/>
          </w:tcPr>
          <w:p w14:paraId="2518D4D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Laboratory-to-farm translation largely unaddressed</w:t>
            </w:r>
          </w:p>
        </w:tc>
        <w:tc>
          <w:tcPr>
            <w:tcW w:w="0" w:type="auto"/>
            <w:hideMark/>
          </w:tcPr>
          <w:p w14:paraId="44AA4F6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Co-design studies integrating farmer workflows and economic impact assessments</w:t>
            </w:r>
          </w:p>
        </w:tc>
      </w:tr>
      <w:tr w:rsidR="007A71DF" w:rsidRPr="007A71DF" w14:paraId="1DCE7349" w14:textId="77777777" w:rsidTr="005C7535">
        <w:tc>
          <w:tcPr>
            <w:tcW w:w="0" w:type="auto"/>
            <w:hideMark/>
          </w:tcPr>
          <w:p w14:paraId="5018B405"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Reference standard heterogeneity</w:t>
            </w:r>
          </w:p>
        </w:tc>
        <w:tc>
          <w:tcPr>
            <w:tcW w:w="0" w:type="auto"/>
            <w:hideMark/>
          </w:tcPr>
          <w:p w14:paraId="5EBF04D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Inconsistent disease definitions across studies</w:t>
            </w:r>
          </w:p>
        </w:tc>
        <w:tc>
          <w:tcPr>
            <w:tcW w:w="0" w:type="auto"/>
            <w:hideMark/>
          </w:tcPr>
          <w:p w14:paraId="6129DB49"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Consensus reference standard protocols for all major disease categories</w:t>
            </w:r>
          </w:p>
        </w:tc>
      </w:tr>
      <w:tr w:rsidR="007A71DF" w:rsidRPr="007A71DF" w14:paraId="6AA25C7A" w14:textId="77777777" w:rsidTr="005C7535">
        <w:tc>
          <w:tcPr>
            <w:tcW w:w="0" w:type="auto"/>
            <w:hideMark/>
          </w:tcPr>
          <w:p w14:paraId="1429835A"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Low-income country applicability</w:t>
            </w:r>
          </w:p>
        </w:tc>
        <w:tc>
          <w:tcPr>
            <w:tcW w:w="0" w:type="auto"/>
            <w:hideMark/>
          </w:tcPr>
          <w:p w14:paraId="17A0C048"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Almost no published evidence from resource-limited settings</w:t>
            </w:r>
          </w:p>
        </w:tc>
        <w:tc>
          <w:tcPr>
            <w:tcW w:w="0" w:type="auto"/>
            <w:hideMark/>
          </w:tcPr>
          <w:p w14:paraId="0CFD408F" w14:textId="77777777" w:rsidR="007A71DF" w:rsidRPr="007A71DF" w:rsidRDefault="007A71DF" w:rsidP="00364C0E">
            <w:pPr>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Affordable sensor development; low-bandwidth AI solutions; capacity-building programmes</w:t>
            </w:r>
          </w:p>
        </w:tc>
      </w:tr>
    </w:tbl>
    <w:p w14:paraId="71C2ACCD"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i/>
          <w:iCs/>
          <w:sz w:val="24"/>
          <w:szCs w:val="24"/>
          <w:lang w:eastAsia="en-GB"/>
        </w:rPr>
        <w:t xml:space="preserve">Sources: Cockburn (2020); Liakos et al. </w:t>
      </w:r>
      <w:r w:rsidRPr="00B2506F">
        <w:rPr>
          <w:rFonts w:ascii="Times New Roman" w:eastAsia="Times New Roman" w:hAnsi="Times New Roman" w:cs="Times New Roman"/>
          <w:i/>
          <w:iCs/>
          <w:sz w:val="24"/>
          <w:szCs w:val="24"/>
          <w:lang w:val="nl-BE" w:eastAsia="en-GB"/>
        </w:rPr>
        <w:t xml:space="preserve">(2018); Dominiak &amp; Kristensen (2017); Riaboff et al. </w:t>
      </w:r>
      <w:r w:rsidRPr="007A71DF">
        <w:rPr>
          <w:rFonts w:ascii="Times New Roman" w:eastAsia="Times New Roman" w:hAnsi="Times New Roman" w:cs="Times New Roman"/>
          <w:i/>
          <w:iCs/>
          <w:sz w:val="24"/>
          <w:szCs w:val="24"/>
          <w:lang w:eastAsia="en-GB"/>
        </w:rPr>
        <w:t>(2022); Neethirajan &amp; Kemp (2021); FAO (2021).</w:t>
      </w:r>
    </w:p>
    <w:p w14:paraId="546C37AC"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56A09D6C"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10. Conclusions</w:t>
      </w:r>
    </w:p>
    <w:p w14:paraId="6AC40D33"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AI and ML methods have been applied to the full range of economically important dairy cattle diseases—mastitis, lameness, metabolic disorders, BRD, and deteriorating body condition—and the accumulated evidence shows that earlier, more consistent, and more scalable disease detection than manual clinical surveillance is technically achievable. That much is established. What is also clear, however, is the distance between what has been demonstrated in controlled or semi-controlled research settings and what has been validated for real-world clinical use.</w:t>
      </w:r>
    </w:p>
    <w:p w14:paraId="7E3B5CFA"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Performance metrics derived from within-study validation inflate apparent capability. The evidence base is disproportionately drawn from research farms and a handful of commercial farms in wealthy countries. The diversity of sensor modalities, reference standards, performance metrics, and validation designs makes synthesis difficult and argues for the standardised benchmarking frameworks that the field has long discussed but not yet built.</w:t>
      </w:r>
    </w:p>
    <w:p w14:paraId="466AE1E6"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Progress from promising algorithm to validated clinical tool will require investment in several areas simultaneously: large, geographically diverse, prospectively collected labelled datasets; rigorous external validation frameworks; transparent and explainable model designs that support rather than replace informed professional judgement by farmers and veterinarians; and implementation research that is genuinely co-designed with farmers around the practical realities of farm workflow and varying levels of digital capacity. The EU AI Act's transparency requirements for high-risk AI add a regulatory dimension the research community and industry will need to engage constructively, not treat as a compliance burden.</w:t>
      </w:r>
    </w:p>
    <w:p w14:paraId="0D6910CB"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field has earned credit for technical ambition and genuine scientific insights. The next phase requires something harder: the discipline of rigorous prospective validation, multi-disease integration, and honest engagement with the global diversity of dairy production systems in which these tools are ultimately supposed to work.</w:t>
      </w:r>
    </w:p>
    <w:p w14:paraId="12B6063A" w14:textId="77777777" w:rsidR="007A71DF" w:rsidRPr="007A71DF" w:rsidRDefault="007A71DF" w:rsidP="00364C0E">
      <w:pPr>
        <w:spacing w:after="0" w:line="240" w:lineRule="auto"/>
        <w:jc w:val="both"/>
        <w:rPr>
          <w:rFonts w:ascii="Times New Roman" w:eastAsia="Times New Roman" w:hAnsi="Times New Roman" w:cs="Times New Roman"/>
          <w:sz w:val="24"/>
          <w:szCs w:val="24"/>
          <w:lang w:eastAsia="en-GB"/>
        </w:rPr>
      </w:pPr>
    </w:p>
    <w:p w14:paraId="6C19A7AC" w14:textId="77777777" w:rsidR="007A71DF" w:rsidRPr="007A71DF" w:rsidRDefault="007A71DF" w:rsidP="00364C0E">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7A71DF">
        <w:rPr>
          <w:rFonts w:ascii="Times New Roman" w:eastAsia="Times New Roman" w:hAnsi="Times New Roman" w:cs="Times New Roman"/>
          <w:b/>
          <w:bCs/>
          <w:sz w:val="27"/>
          <w:szCs w:val="27"/>
          <w:lang w:eastAsia="en-GB"/>
        </w:rPr>
        <w:t>11. Limitations</w:t>
      </w:r>
    </w:p>
    <w:p w14:paraId="2F427210"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Several limitations of this review warrant acknowledgement. As a narrative rather than systematic review, study selection involved judgement, and bias toward highly cited or methodologically familiar work is possible. An extensive database search was conducted with explicit inclusion and exclusion criteria, but no PRISMA-compliant record of record counts and stage-by-stage screening decisions was maintained, limiting reproducibility relative to a formal systematic review.</w:t>
      </w:r>
    </w:p>
    <w:p w14:paraId="231E9DF7"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restriction to English-language publications excluded a considerable body of research published in German, French, Mandarin, and other languages. Given the significance of dairy research in continental Europe and East Asia, some geographical and institutional bias in the studies reviewed is likely.</w:t>
      </w:r>
    </w:p>
    <w:p w14:paraId="689ED183" w14:textId="77777777" w:rsidR="007A71DF" w:rsidRP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t>The pace of development in AI and ML means the literature as of the search end date of May 2026 may have been overtaken in some respects by the time of publication. Some of the most recently published studies reviewed here have had limited time to accumulate independent citation or replication; their findings should be treated as preliminary until confirmed.</w:t>
      </w:r>
    </w:p>
    <w:p w14:paraId="2FD8850E" w14:textId="77777777" w:rsidR="007A71DF" w:rsidRDefault="007A71DF"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r w:rsidRPr="007A71DF">
        <w:rPr>
          <w:rFonts w:ascii="Times New Roman" w:eastAsia="Times New Roman" w:hAnsi="Times New Roman" w:cs="Times New Roman"/>
          <w:sz w:val="24"/>
          <w:szCs w:val="24"/>
          <w:lang w:eastAsia="en-GB"/>
        </w:rPr>
        <w:lastRenderedPageBreak/>
        <w:t>Finally, the review does not include formal economic analysis of AI-based disease detection systems from a farm business perspective. Translating clinical performance metrics—sensitivity, specificity, alert timing—into farm-level economic outcomes requires assumptions about disease prevalence, treatment costs, and management responses that vary substantially across farm types and regions, and a thorough economic appraisal would constitute a valuable but distinct complementary review.</w:t>
      </w:r>
    </w:p>
    <w:p w14:paraId="2075243C" w14:textId="77777777" w:rsidR="001340B8" w:rsidRDefault="001340B8"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48FBC379" w14:textId="77777777" w:rsidR="001340B8" w:rsidRDefault="001340B8" w:rsidP="00364C0E">
      <w:pPr>
        <w:spacing w:after="0" w:line="240" w:lineRule="auto"/>
        <w:jc w:val="both"/>
        <w:rPr>
          <w:rFonts w:ascii="Times New Roman" w:eastAsia="Calibri" w:hAnsi="Times New Roman" w:cs="Times New Roman"/>
          <w:b/>
        </w:rPr>
      </w:pPr>
    </w:p>
    <w:p w14:paraId="7D86E334" w14:textId="77777777" w:rsidR="001340B8" w:rsidRDefault="001340B8" w:rsidP="00364C0E">
      <w:pPr>
        <w:spacing w:after="0" w:line="240" w:lineRule="auto"/>
        <w:jc w:val="both"/>
        <w:rPr>
          <w:rFonts w:ascii="Times New Roman" w:eastAsia="Calibri" w:hAnsi="Times New Roman" w:cs="Times New Roman"/>
          <w:b/>
        </w:rPr>
      </w:pPr>
    </w:p>
    <w:p w14:paraId="3AC73176" w14:textId="77777777" w:rsidR="001340B8" w:rsidRPr="00C04DA0" w:rsidRDefault="001340B8" w:rsidP="00364C0E">
      <w:pPr>
        <w:spacing w:after="0" w:line="240" w:lineRule="auto"/>
        <w:jc w:val="both"/>
        <w:rPr>
          <w:rFonts w:ascii="Times New Roman" w:eastAsia="Calibri" w:hAnsi="Times New Roman" w:cs="Times New Roman"/>
          <w:b/>
        </w:rPr>
      </w:pPr>
      <w:r w:rsidRPr="00C04DA0">
        <w:rPr>
          <w:rFonts w:ascii="Times New Roman" w:eastAsia="Calibri" w:hAnsi="Times New Roman" w:cs="Times New Roman"/>
          <w:b/>
        </w:rPr>
        <w:t>Declaration of AI Use</w:t>
      </w:r>
    </w:p>
    <w:p w14:paraId="06C1412E" w14:textId="77777777" w:rsidR="001340B8" w:rsidRPr="00C04DA0" w:rsidRDefault="001340B8" w:rsidP="00364C0E">
      <w:pPr>
        <w:spacing w:after="0" w:line="240" w:lineRule="auto"/>
        <w:jc w:val="both"/>
        <w:rPr>
          <w:rFonts w:ascii="Times New Roman" w:eastAsia="Calibri" w:hAnsi="Times New Roman" w:cs="Times New Roman"/>
        </w:rPr>
      </w:pPr>
    </w:p>
    <w:p w14:paraId="3EEE35DD" w14:textId="77777777" w:rsidR="001340B8" w:rsidRDefault="001340B8" w:rsidP="00364C0E">
      <w:pPr>
        <w:spacing w:after="0" w:line="240" w:lineRule="auto"/>
        <w:jc w:val="both"/>
        <w:rPr>
          <w:rFonts w:ascii="Times New Roman" w:eastAsia="Calibri" w:hAnsi="Times New Roman" w:cs="Times New Roman"/>
        </w:rPr>
      </w:pPr>
      <w:r w:rsidRPr="00C04DA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39522F2" w14:textId="77777777" w:rsidR="008C257E" w:rsidRDefault="008C257E" w:rsidP="00364C0E">
      <w:pPr>
        <w:spacing w:after="0" w:line="240" w:lineRule="auto"/>
        <w:jc w:val="both"/>
        <w:rPr>
          <w:rFonts w:ascii="Times New Roman" w:eastAsia="Calibri" w:hAnsi="Times New Roman" w:cs="Times New Roman"/>
        </w:rPr>
      </w:pPr>
    </w:p>
    <w:p w14:paraId="1B6A7894" w14:textId="77777777" w:rsidR="008C257E" w:rsidRPr="00C04DA0" w:rsidRDefault="008C257E" w:rsidP="00364C0E">
      <w:pPr>
        <w:spacing w:after="0" w:line="240" w:lineRule="auto"/>
        <w:jc w:val="both"/>
        <w:rPr>
          <w:rFonts w:ascii="Times New Roman" w:eastAsia="Calibri" w:hAnsi="Times New Roman" w:cs="Times New Roman"/>
        </w:rPr>
      </w:pPr>
    </w:p>
    <w:p w14:paraId="5EA0975C" w14:textId="17697B98" w:rsidR="008C257E" w:rsidRPr="008C257E" w:rsidRDefault="008C257E" w:rsidP="00364C0E">
      <w:pPr>
        <w:jc w:val="both"/>
        <w:rPr>
          <w:rFonts w:ascii="Arial" w:eastAsiaTheme="minorEastAsia" w:hAnsi="Arial" w:cs="Arial"/>
          <w:b/>
          <w:bCs/>
          <w:lang w:eastAsia="en-GB"/>
        </w:rPr>
      </w:pPr>
      <w:r w:rsidRPr="008C257E">
        <w:rPr>
          <w:rFonts w:ascii="Arial" w:eastAsiaTheme="minorEastAsia" w:hAnsi="Arial" w:cs="Arial"/>
          <w:b/>
          <w:bCs/>
          <w:lang w:eastAsia="en-GB"/>
        </w:rPr>
        <w:t>COMPETING INTERESTS:</w:t>
      </w:r>
    </w:p>
    <w:p w14:paraId="51DB9D35" w14:textId="77777777" w:rsidR="008C257E" w:rsidRPr="008C257E" w:rsidRDefault="008C257E" w:rsidP="00364C0E">
      <w:pPr>
        <w:jc w:val="both"/>
        <w:rPr>
          <w:rFonts w:eastAsiaTheme="minorEastAsia"/>
          <w:lang w:eastAsia="en-GB"/>
        </w:rPr>
      </w:pPr>
      <w:r w:rsidRPr="008C257E">
        <w:rPr>
          <w:rFonts w:ascii="Arial" w:eastAsiaTheme="minorEastAsia" w:hAnsi="Arial" w:cs="Arial"/>
          <w:b/>
          <w:bCs/>
          <w:lang w:eastAsia="en-GB"/>
        </w:rPr>
        <w:t>Authors have declared that they have no known competing financial interests OR non-financial interests OR personal relationships that could have appeared to influence the work reported in this paper.</w:t>
      </w:r>
    </w:p>
    <w:p w14:paraId="712ACC99" w14:textId="77777777" w:rsidR="001340B8" w:rsidRPr="007A71DF" w:rsidRDefault="001340B8" w:rsidP="00364C0E">
      <w:pPr>
        <w:spacing w:before="100" w:beforeAutospacing="1" w:after="100" w:afterAutospacing="1" w:line="240" w:lineRule="auto"/>
        <w:jc w:val="both"/>
        <w:rPr>
          <w:rFonts w:ascii="Times New Roman" w:eastAsia="Times New Roman" w:hAnsi="Times New Roman" w:cs="Times New Roman"/>
          <w:sz w:val="24"/>
          <w:szCs w:val="24"/>
          <w:lang w:eastAsia="en-GB"/>
        </w:rPr>
      </w:pPr>
    </w:p>
    <w:p w14:paraId="11F7FB54" w14:textId="77777777" w:rsidR="00012974" w:rsidRDefault="00012974" w:rsidP="00364C0E">
      <w:pPr>
        <w:jc w:val="both"/>
      </w:pPr>
    </w:p>
    <w:p w14:paraId="71716ECC" w14:textId="77777777" w:rsidR="00012974" w:rsidRDefault="00012974" w:rsidP="00364C0E">
      <w:pPr>
        <w:pStyle w:val="Heading3"/>
        <w:jc w:val="both"/>
      </w:pPr>
      <w:r>
        <w:t>References</w:t>
      </w:r>
    </w:p>
    <w:p w14:paraId="360ADE61" w14:textId="7B5D3405"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Adamczyk, K., Grzesiak, W., &amp; Zaborski, D. (2021). The use of artificial neural networks and a general discriminant analysis for predicting culling reasons in Holstein-Friesian cows based on first-lactation performance records. </w:t>
      </w:r>
      <w:r w:rsidRPr="00B2506F">
        <w:rPr>
          <w:rFonts w:ascii="Times New Roman" w:eastAsia="Times New Roman" w:hAnsi="Times New Roman" w:cs="Times New Roman"/>
          <w:i/>
          <w:iCs/>
          <w:sz w:val="24"/>
          <w:szCs w:val="24"/>
          <w:lang w:val="en-US"/>
        </w:rPr>
        <w:t>Animals, 11</w:t>
      </w:r>
      <w:r w:rsidRPr="00B2506F">
        <w:rPr>
          <w:rFonts w:ascii="Times New Roman" w:eastAsia="Times New Roman" w:hAnsi="Times New Roman" w:cs="Times New Roman"/>
          <w:sz w:val="24"/>
          <w:szCs w:val="24"/>
          <w:lang w:val="en-US"/>
        </w:rPr>
        <w:t xml:space="preserve">(3), Article 721. </w:t>
      </w:r>
      <w:hyperlink r:id="rId7" w:tgtFrame="_new" w:history="1">
        <w:r w:rsidRPr="00B2506F">
          <w:rPr>
            <w:rFonts w:ascii="Times New Roman" w:eastAsia="Times New Roman" w:hAnsi="Times New Roman" w:cs="Times New Roman"/>
            <w:color w:val="0000FF"/>
            <w:sz w:val="24"/>
            <w:szCs w:val="24"/>
            <w:u w:val="single"/>
            <w:lang w:val="en-US"/>
          </w:rPr>
          <w:t>https://doi.org/10.3390/ani11030721</w:t>
        </w:r>
      </w:hyperlink>
      <w:r w:rsidRPr="00B2506F">
        <w:rPr>
          <w:rFonts w:ascii="Times New Roman" w:eastAsia="Times New Roman" w:hAnsi="Times New Roman" w:cs="Times New Roman"/>
          <w:sz w:val="24"/>
          <w:szCs w:val="24"/>
          <w:lang w:val="en-US"/>
        </w:rPr>
        <w:t xml:space="preserve"> </w:t>
      </w:r>
    </w:p>
    <w:p w14:paraId="5A0209E6" w14:textId="0AF0ADB4"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Alsaaod, M., Schaefer, A. L., Büscher, W., &amp; Steiner, A. (2015). The role of infrared thermography as a non-invasive tool for the detection of lameness in cattle. </w:t>
      </w:r>
      <w:r w:rsidRPr="00B2506F">
        <w:rPr>
          <w:rFonts w:ascii="Times New Roman" w:eastAsia="Times New Roman" w:hAnsi="Times New Roman" w:cs="Times New Roman"/>
          <w:i/>
          <w:iCs/>
          <w:sz w:val="24"/>
          <w:szCs w:val="24"/>
          <w:lang w:val="en-US"/>
        </w:rPr>
        <w:t>Sensors, 15</w:t>
      </w:r>
      <w:r w:rsidRPr="00B2506F">
        <w:rPr>
          <w:rFonts w:ascii="Times New Roman" w:eastAsia="Times New Roman" w:hAnsi="Times New Roman" w:cs="Times New Roman"/>
          <w:sz w:val="24"/>
          <w:szCs w:val="24"/>
          <w:lang w:val="en-US"/>
        </w:rPr>
        <w:t xml:space="preserve">(6), 14513–14525. </w:t>
      </w:r>
      <w:hyperlink r:id="rId8" w:tgtFrame="_new" w:history="1">
        <w:r w:rsidRPr="00B2506F">
          <w:rPr>
            <w:rFonts w:ascii="Times New Roman" w:eastAsia="Times New Roman" w:hAnsi="Times New Roman" w:cs="Times New Roman"/>
            <w:color w:val="0000FF"/>
            <w:sz w:val="24"/>
            <w:szCs w:val="24"/>
            <w:u w:val="single"/>
            <w:lang w:val="en-US"/>
          </w:rPr>
          <w:t>https://doi.org/10.3390/s150614513</w:t>
        </w:r>
      </w:hyperlink>
      <w:r w:rsidRPr="00B2506F">
        <w:rPr>
          <w:rFonts w:ascii="Times New Roman" w:eastAsia="Times New Roman" w:hAnsi="Times New Roman" w:cs="Times New Roman"/>
          <w:sz w:val="24"/>
          <w:szCs w:val="24"/>
          <w:lang w:val="en-US"/>
        </w:rPr>
        <w:t xml:space="preserve"> </w:t>
      </w:r>
    </w:p>
    <w:p w14:paraId="1B42B484" w14:textId="54483D89"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Azzaro, G., Caccamo, M., Ferguson, J. D., Battiato, S., Farinella, G. M., Guarnera, G. C., Puglisi, G., Petriglieri, R., &amp; Licitra, G. (2011). Objective estimation of body condition score by modeling cow body shape from digital images. </w:t>
      </w:r>
      <w:r w:rsidRPr="00B2506F">
        <w:rPr>
          <w:rFonts w:ascii="Times New Roman" w:eastAsia="Times New Roman" w:hAnsi="Times New Roman" w:cs="Times New Roman"/>
          <w:i/>
          <w:iCs/>
          <w:sz w:val="24"/>
          <w:szCs w:val="24"/>
          <w:lang w:val="en-US"/>
        </w:rPr>
        <w:t>Journal of Dairy Science, 94</w:t>
      </w:r>
      <w:r w:rsidRPr="00B2506F">
        <w:rPr>
          <w:rFonts w:ascii="Times New Roman" w:eastAsia="Times New Roman" w:hAnsi="Times New Roman" w:cs="Times New Roman"/>
          <w:sz w:val="24"/>
          <w:szCs w:val="24"/>
          <w:lang w:val="en-US"/>
        </w:rPr>
        <w:t xml:space="preserve">(4), 2126–2137. </w:t>
      </w:r>
      <w:hyperlink r:id="rId9" w:tgtFrame="_new" w:history="1">
        <w:r w:rsidRPr="00B2506F">
          <w:rPr>
            <w:rFonts w:ascii="Times New Roman" w:eastAsia="Times New Roman" w:hAnsi="Times New Roman" w:cs="Times New Roman"/>
            <w:color w:val="0000FF"/>
            <w:sz w:val="24"/>
            <w:szCs w:val="24"/>
            <w:u w:val="single"/>
            <w:lang w:val="en-US"/>
          </w:rPr>
          <w:t>https://doi.org/10.3168/jds.2010-3467</w:t>
        </w:r>
      </w:hyperlink>
      <w:r w:rsidRPr="00B2506F">
        <w:rPr>
          <w:rFonts w:ascii="Times New Roman" w:eastAsia="Times New Roman" w:hAnsi="Times New Roman" w:cs="Times New Roman"/>
          <w:sz w:val="24"/>
          <w:szCs w:val="24"/>
          <w:lang w:val="en-US"/>
        </w:rPr>
        <w:t xml:space="preserve"> </w:t>
      </w:r>
    </w:p>
    <w:p w14:paraId="6913FE5F" w14:textId="44904D3B"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Berckmans, D. (2014). Precision livestock farming technologies for welfare management in intensive livestock systems. </w:t>
      </w:r>
      <w:r w:rsidRPr="00B2506F">
        <w:rPr>
          <w:rFonts w:ascii="Times New Roman" w:eastAsia="Times New Roman" w:hAnsi="Times New Roman" w:cs="Times New Roman"/>
          <w:i/>
          <w:iCs/>
          <w:sz w:val="24"/>
          <w:szCs w:val="24"/>
          <w:lang w:val="en-US"/>
        </w:rPr>
        <w:t>Revue Scientifique et Technique, 33</w:t>
      </w:r>
      <w:r w:rsidRPr="00B2506F">
        <w:rPr>
          <w:rFonts w:ascii="Times New Roman" w:eastAsia="Times New Roman" w:hAnsi="Times New Roman" w:cs="Times New Roman"/>
          <w:sz w:val="24"/>
          <w:szCs w:val="24"/>
          <w:lang w:val="en-US"/>
        </w:rPr>
        <w:t xml:space="preserve">(1), 189–196. </w:t>
      </w:r>
      <w:hyperlink r:id="rId10" w:tgtFrame="_new" w:history="1">
        <w:r w:rsidRPr="00B2506F">
          <w:rPr>
            <w:rFonts w:ascii="Times New Roman" w:eastAsia="Times New Roman" w:hAnsi="Times New Roman" w:cs="Times New Roman"/>
            <w:color w:val="0000FF"/>
            <w:sz w:val="24"/>
            <w:szCs w:val="24"/>
            <w:u w:val="single"/>
            <w:lang w:val="en-US"/>
          </w:rPr>
          <w:t>https://doi.org/10.20506/rst.33.1.2273</w:t>
        </w:r>
      </w:hyperlink>
      <w:r w:rsidRPr="00B2506F">
        <w:rPr>
          <w:rFonts w:ascii="Times New Roman" w:eastAsia="Times New Roman" w:hAnsi="Times New Roman" w:cs="Times New Roman"/>
          <w:sz w:val="24"/>
          <w:szCs w:val="24"/>
          <w:lang w:val="en-US"/>
        </w:rPr>
        <w:t xml:space="preserve"> </w:t>
      </w:r>
    </w:p>
    <w:p w14:paraId="3F127B39" w14:textId="71451D84"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Berckmans, D. (2017). General introduction to precision livestock farming. </w:t>
      </w:r>
      <w:r w:rsidRPr="00B2506F">
        <w:rPr>
          <w:rFonts w:ascii="Times New Roman" w:eastAsia="Times New Roman" w:hAnsi="Times New Roman" w:cs="Times New Roman"/>
          <w:i/>
          <w:iCs/>
          <w:sz w:val="24"/>
          <w:szCs w:val="24"/>
          <w:lang w:val="en-US"/>
        </w:rPr>
        <w:t>Animal Frontiers, 7</w:t>
      </w:r>
      <w:r w:rsidRPr="00B2506F">
        <w:rPr>
          <w:rFonts w:ascii="Times New Roman" w:eastAsia="Times New Roman" w:hAnsi="Times New Roman" w:cs="Times New Roman"/>
          <w:sz w:val="24"/>
          <w:szCs w:val="24"/>
          <w:lang w:val="en-US"/>
        </w:rPr>
        <w:t xml:space="preserve">(1), 6–11. </w:t>
      </w:r>
      <w:hyperlink r:id="rId11" w:tgtFrame="_new" w:history="1">
        <w:r w:rsidRPr="00B2506F">
          <w:rPr>
            <w:rFonts w:ascii="Times New Roman" w:eastAsia="Times New Roman" w:hAnsi="Times New Roman" w:cs="Times New Roman"/>
            <w:color w:val="0000FF"/>
            <w:sz w:val="24"/>
            <w:szCs w:val="24"/>
            <w:u w:val="single"/>
            <w:lang w:val="en-US"/>
          </w:rPr>
          <w:t>https://doi.org/10.2527/af.2017.0102</w:t>
        </w:r>
      </w:hyperlink>
      <w:r w:rsidRPr="00B2506F">
        <w:rPr>
          <w:rFonts w:ascii="Times New Roman" w:eastAsia="Times New Roman" w:hAnsi="Times New Roman" w:cs="Times New Roman"/>
          <w:sz w:val="24"/>
          <w:szCs w:val="24"/>
          <w:lang w:val="en-US"/>
        </w:rPr>
        <w:t xml:space="preserve"> </w:t>
      </w:r>
    </w:p>
    <w:p w14:paraId="430E0516" w14:textId="06ACFAC0"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lastRenderedPageBreak/>
        <w:t xml:space="preserve">Bewley, J. M., Peacock, A. M., Lewis, O., Boyce, R. E., Roberts, D. J., Coffey, M. P., Kenyon, S. J., &amp; Schutz, M. M. (2008). Potential for estimation of body condition scores in dairy cattle from digital images. </w:t>
      </w:r>
      <w:r w:rsidRPr="00B2506F">
        <w:rPr>
          <w:rFonts w:ascii="Times New Roman" w:eastAsia="Times New Roman" w:hAnsi="Times New Roman" w:cs="Times New Roman"/>
          <w:i/>
          <w:iCs/>
          <w:sz w:val="24"/>
          <w:szCs w:val="24"/>
          <w:lang w:val="en-US"/>
        </w:rPr>
        <w:t>Journal of Dairy Science, 91</w:t>
      </w:r>
      <w:r w:rsidRPr="00B2506F">
        <w:rPr>
          <w:rFonts w:ascii="Times New Roman" w:eastAsia="Times New Roman" w:hAnsi="Times New Roman" w:cs="Times New Roman"/>
          <w:sz w:val="24"/>
          <w:szCs w:val="24"/>
          <w:lang w:val="en-US"/>
        </w:rPr>
        <w:t xml:space="preserve">(9), 3439–3453. </w:t>
      </w:r>
      <w:hyperlink r:id="rId12" w:tgtFrame="_new" w:history="1">
        <w:r w:rsidRPr="00B2506F">
          <w:rPr>
            <w:rFonts w:ascii="Times New Roman" w:eastAsia="Times New Roman" w:hAnsi="Times New Roman" w:cs="Times New Roman"/>
            <w:color w:val="0000FF"/>
            <w:sz w:val="24"/>
            <w:szCs w:val="24"/>
            <w:u w:val="single"/>
            <w:lang w:val="en-US"/>
          </w:rPr>
          <w:t>https://doi.org/10.3168/jds.2007-0836</w:t>
        </w:r>
      </w:hyperlink>
      <w:r w:rsidRPr="00B2506F">
        <w:rPr>
          <w:rFonts w:ascii="Times New Roman" w:eastAsia="Times New Roman" w:hAnsi="Times New Roman" w:cs="Times New Roman"/>
          <w:sz w:val="24"/>
          <w:szCs w:val="24"/>
          <w:lang w:val="en-US"/>
        </w:rPr>
        <w:t xml:space="preserve"> </w:t>
      </w:r>
    </w:p>
    <w:p w14:paraId="0BE5EC7F" w14:textId="116490EE"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Cavero, D., Tölle, K.-H., Henze, C., Buxadé, C., &amp; Krieter, J. (2008). </w:t>
      </w:r>
      <w:r w:rsidRPr="00B2506F">
        <w:rPr>
          <w:rFonts w:ascii="Times New Roman" w:eastAsia="Times New Roman" w:hAnsi="Times New Roman" w:cs="Times New Roman"/>
          <w:sz w:val="24"/>
          <w:szCs w:val="24"/>
          <w:lang w:val="en-US"/>
        </w:rPr>
        <w:t xml:space="preserve">Mastitis detection in dairy cows by application of neural networks. </w:t>
      </w:r>
      <w:r w:rsidRPr="00B2506F">
        <w:rPr>
          <w:rFonts w:ascii="Times New Roman" w:eastAsia="Times New Roman" w:hAnsi="Times New Roman" w:cs="Times New Roman"/>
          <w:i/>
          <w:iCs/>
          <w:sz w:val="24"/>
          <w:szCs w:val="24"/>
          <w:lang w:val="en-US"/>
        </w:rPr>
        <w:t>Livestock Science, 114</w:t>
      </w:r>
      <w:r w:rsidRPr="00B2506F">
        <w:rPr>
          <w:rFonts w:ascii="Times New Roman" w:eastAsia="Times New Roman" w:hAnsi="Times New Roman" w:cs="Times New Roman"/>
          <w:sz w:val="24"/>
          <w:szCs w:val="24"/>
          <w:lang w:val="en-US"/>
        </w:rPr>
        <w:t xml:space="preserve">(2–3), 280–286. </w:t>
      </w:r>
      <w:hyperlink r:id="rId13" w:tgtFrame="_new" w:history="1">
        <w:r w:rsidRPr="00B2506F">
          <w:rPr>
            <w:rFonts w:ascii="Times New Roman" w:eastAsia="Times New Roman" w:hAnsi="Times New Roman" w:cs="Times New Roman"/>
            <w:color w:val="0000FF"/>
            <w:sz w:val="24"/>
            <w:szCs w:val="24"/>
            <w:u w:val="single"/>
            <w:lang w:val="en-US"/>
          </w:rPr>
          <w:t>https://doi.org/10.1016/j.livsci.2007.05.012</w:t>
        </w:r>
      </w:hyperlink>
      <w:r w:rsidRPr="00B2506F">
        <w:rPr>
          <w:rFonts w:ascii="Times New Roman" w:eastAsia="Times New Roman" w:hAnsi="Times New Roman" w:cs="Times New Roman"/>
          <w:sz w:val="24"/>
          <w:szCs w:val="24"/>
          <w:lang w:val="en-US"/>
        </w:rPr>
        <w:t xml:space="preserve"> </w:t>
      </w:r>
    </w:p>
    <w:p w14:paraId="0EAE6CE7" w14:textId="3E469EBB"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nl-BE"/>
        </w:rPr>
      </w:pPr>
      <w:r w:rsidRPr="00B2506F">
        <w:rPr>
          <w:rFonts w:ascii="Times New Roman" w:eastAsia="Times New Roman" w:hAnsi="Times New Roman" w:cs="Times New Roman"/>
          <w:sz w:val="24"/>
          <w:szCs w:val="24"/>
          <w:lang w:val="en-US"/>
        </w:rPr>
        <w:t xml:space="preserve">Cockburn, M. (2020). Review: Application and prospective discussion of machine learning for the management of dairy farms. </w:t>
      </w:r>
      <w:r w:rsidRPr="00B2506F">
        <w:rPr>
          <w:rFonts w:ascii="Times New Roman" w:eastAsia="Times New Roman" w:hAnsi="Times New Roman" w:cs="Times New Roman"/>
          <w:i/>
          <w:iCs/>
          <w:sz w:val="24"/>
          <w:szCs w:val="24"/>
          <w:lang w:val="nl-BE"/>
        </w:rPr>
        <w:t>Animals, 10</w:t>
      </w:r>
      <w:r w:rsidRPr="00B2506F">
        <w:rPr>
          <w:rFonts w:ascii="Times New Roman" w:eastAsia="Times New Roman" w:hAnsi="Times New Roman" w:cs="Times New Roman"/>
          <w:sz w:val="24"/>
          <w:szCs w:val="24"/>
          <w:lang w:val="nl-BE"/>
        </w:rPr>
        <w:t xml:space="preserve">(9), Article 1690. </w:t>
      </w:r>
      <w:hyperlink r:id="rId14" w:tgtFrame="_new" w:history="1">
        <w:r w:rsidRPr="00B2506F">
          <w:rPr>
            <w:rFonts w:ascii="Times New Roman" w:eastAsia="Times New Roman" w:hAnsi="Times New Roman" w:cs="Times New Roman"/>
            <w:color w:val="0000FF"/>
            <w:sz w:val="24"/>
            <w:szCs w:val="24"/>
            <w:u w:val="single"/>
            <w:lang w:val="nl-BE"/>
          </w:rPr>
          <w:t>https://doi.org/10.3390/ani10091690</w:t>
        </w:r>
      </w:hyperlink>
      <w:r w:rsidRPr="00B2506F">
        <w:rPr>
          <w:rFonts w:ascii="Times New Roman" w:eastAsia="Times New Roman" w:hAnsi="Times New Roman" w:cs="Times New Roman"/>
          <w:sz w:val="24"/>
          <w:szCs w:val="24"/>
          <w:lang w:val="nl-BE"/>
        </w:rPr>
        <w:t xml:space="preserve"> </w:t>
      </w:r>
    </w:p>
    <w:p w14:paraId="54948633" w14:textId="5999D8BA"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De Mol, R. M., Kroeze, G. H., Achten, J. M. F. H., Maatje, K., &amp; Rossing, W. (1997). </w:t>
      </w:r>
      <w:r w:rsidRPr="00B2506F">
        <w:rPr>
          <w:rFonts w:ascii="Times New Roman" w:eastAsia="Times New Roman" w:hAnsi="Times New Roman" w:cs="Times New Roman"/>
          <w:sz w:val="24"/>
          <w:szCs w:val="24"/>
          <w:lang w:val="en-US"/>
        </w:rPr>
        <w:t xml:space="preserve">Results of a multivariate approach to automated oestrus and mastitis detection. </w:t>
      </w:r>
      <w:r w:rsidRPr="00B2506F">
        <w:rPr>
          <w:rFonts w:ascii="Times New Roman" w:eastAsia="Times New Roman" w:hAnsi="Times New Roman" w:cs="Times New Roman"/>
          <w:i/>
          <w:iCs/>
          <w:sz w:val="24"/>
          <w:szCs w:val="24"/>
          <w:lang w:val="en-US"/>
        </w:rPr>
        <w:t>Livestock Production Science, 48</w:t>
      </w:r>
      <w:r w:rsidRPr="00B2506F">
        <w:rPr>
          <w:rFonts w:ascii="Times New Roman" w:eastAsia="Times New Roman" w:hAnsi="Times New Roman" w:cs="Times New Roman"/>
          <w:sz w:val="24"/>
          <w:szCs w:val="24"/>
          <w:lang w:val="en-US"/>
        </w:rPr>
        <w:t xml:space="preserve">(3), 219–227. </w:t>
      </w:r>
      <w:hyperlink r:id="rId15" w:tgtFrame="_new" w:history="1">
        <w:r w:rsidRPr="00B2506F">
          <w:rPr>
            <w:rFonts w:ascii="Times New Roman" w:eastAsia="Times New Roman" w:hAnsi="Times New Roman" w:cs="Times New Roman"/>
            <w:color w:val="0000FF"/>
            <w:sz w:val="24"/>
            <w:szCs w:val="24"/>
            <w:u w:val="single"/>
            <w:lang w:val="en-US"/>
          </w:rPr>
          <w:t>https://doi.org/10.1016/S0301-6226(97)00028-6</w:t>
        </w:r>
      </w:hyperlink>
      <w:r w:rsidRPr="00B2506F">
        <w:rPr>
          <w:rFonts w:ascii="Times New Roman" w:eastAsia="Times New Roman" w:hAnsi="Times New Roman" w:cs="Times New Roman"/>
          <w:sz w:val="24"/>
          <w:szCs w:val="24"/>
          <w:lang w:val="en-US"/>
        </w:rPr>
        <w:t xml:space="preserve"> </w:t>
      </w:r>
    </w:p>
    <w:p w14:paraId="60ED39C7" w14:textId="7F8F7A20"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Dominiak, K. N., &amp; Kristensen, A. R. (2017). </w:t>
      </w:r>
      <w:r w:rsidRPr="00B2506F">
        <w:rPr>
          <w:rFonts w:ascii="Times New Roman" w:eastAsia="Times New Roman" w:hAnsi="Times New Roman" w:cs="Times New Roman"/>
          <w:sz w:val="24"/>
          <w:szCs w:val="24"/>
          <w:lang w:val="en-US"/>
        </w:rPr>
        <w:t xml:space="preserve">Prioritizing alarms from sensor-based detection models in livestock production: A review on model performance and alarm reducing methods. </w:t>
      </w:r>
      <w:r w:rsidRPr="00B2506F">
        <w:rPr>
          <w:rFonts w:ascii="Times New Roman" w:eastAsia="Times New Roman" w:hAnsi="Times New Roman" w:cs="Times New Roman"/>
          <w:i/>
          <w:iCs/>
          <w:sz w:val="24"/>
          <w:szCs w:val="24"/>
          <w:lang w:val="en-US"/>
        </w:rPr>
        <w:t>Computers and Electronics in Agriculture, 133</w:t>
      </w:r>
      <w:r w:rsidRPr="00B2506F">
        <w:rPr>
          <w:rFonts w:ascii="Times New Roman" w:eastAsia="Times New Roman" w:hAnsi="Times New Roman" w:cs="Times New Roman"/>
          <w:sz w:val="24"/>
          <w:szCs w:val="24"/>
          <w:lang w:val="en-US"/>
        </w:rPr>
        <w:t xml:space="preserve">, 46–67. </w:t>
      </w:r>
      <w:hyperlink r:id="rId16" w:tgtFrame="_new" w:history="1">
        <w:r w:rsidRPr="00B2506F">
          <w:rPr>
            <w:rFonts w:ascii="Times New Roman" w:eastAsia="Times New Roman" w:hAnsi="Times New Roman" w:cs="Times New Roman"/>
            <w:color w:val="0000FF"/>
            <w:sz w:val="24"/>
            <w:szCs w:val="24"/>
            <w:u w:val="single"/>
            <w:lang w:val="en-US"/>
          </w:rPr>
          <w:t>https://doi.org/10.1016/j.compag.2016.12.008</w:t>
        </w:r>
      </w:hyperlink>
      <w:r w:rsidRPr="00B2506F">
        <w:rPr>
          <w:rFonts w:ascii="Times New Roman" w:eastAsia="Times New Roman" w:hAnsi="Times New Roman" w:cs="Times New Roman"/>
          <w:sz w:val="24"/>
          <w:szCs w:val="24"/>
          <w:lang w:val="en-US"/>
        </w:rPr>
        <w:t xml:space="preserve"> </w:t>
      </w:r>
    </w:p>
    <w:p w14:paraId="07CE6CAD" w14:textId="37D7DD42"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Dutta, R., Smith, D., Rawnsley, R., Bishop-Hurley, G., Hills, J., Timms, G., &amp; Henry, D. (2015). Dynamic cattle behavioural classification using supervised ensemble classifiers. </w:t>
      </w:r>
      <w:r w:rsidRPr="00B2506F">
        <w:rPr>
          <w:rFonts w:ascii="Times New Roman" w:eastAsia="Times New Roman" w:hAnsi="Times New Roman" w:cs="Times New Roman"/>
          <w:i/>
          <w:iCs/>
          <w:sz w:val="24"/>
          <w:szCs w:val="24"/>
          <w:lang w:val="en-US"/>
        </w:rPr>
        <w:t>Computers and Electronics in Agriculture, 111</w:t>
      </w:r>
      <w:r w:rsidRPr="00B2506F">
        <w:rPr>
          <w:rFonts w:ascii="Times New Roman" w:eastAsia="Times New Roman" w:hAnsi="Times New Roman" w:cs="Times New Roman"/>
          <w:sz w:val="24"/>
          <w:szCs w:val="24"/>
          <w:lang w:val="en-US"/>
        </w:rPr>
        <w:t xml:space="preserve">, 18–28. </w:t>
      </w:r>
      <w:hyperlink r:id="rId17" w:tgtFrame="_new" w:history="1">
        <w:r w:rsidRPr="00B2506F">
          <w:rPr>
            <w:rFonts w:ascii="Times New Roman" w:eastAsia="Times New Roman" w:hAnsi="Times New Roman" w:cs="Times New Roman"/>
            <w:color w:val="0000FF"/>
            <w:sz w:val="24"/>
            <w:szCs w:val="24"/>
            <w:u w:val="single"/>
            <w:lang w:val="en-US"/>
          </w:rPr>
          <w:t>https://doi.org/10.1016/j.compag.2014.12.002</w:t>
        </w:r>
      </w:hyperlink>
      <w:r w:rsidRPr="00B2506F">
        <w:rPr>
          <w:rFonts w:ascii="Times New Roman" w:eastAsia="Times New Roman" w:hAnsi="Times New Roman" w:cs="Times New Roman"/>
          <w:sz w:val="24"/>
          <w:szCs w:val="24"/>
          <w:lang w:val="en-US"/>
        </w:rPr>
        <w:t xml:space="preserve"> </w:t>
      </w:r>
    </w:p>
    <w:p w14:paraId="152BD31C" w14:textId="71E954EE"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Ebrahimi, M., Mohammadi-Dehcheshmeh, M., Ebrahimie, E., &amp; Petrovski, K. R. (2019). Comprehensive analysis of machine learning models for prediction of sub-clinical mastitis: Deep learning and gradient-boosted trees outperform other models. </w:t>
      </w:r>
      <w:r w:rsidRPr="00B2506F">
        <w:rPr>
          <w:rFonts w:ascii="Times New Roman" w:eastAsia="Times New Roman" w:hAnsi="Times New Roman" w:cs="Times New Roman"/>
          <w:i/>
          <w:iCs/>
          <w:sz w:val="24"/>
          <w:szCs w:val="24"/>
          <w:lang w:val="en-US"/>
        </w:rPr>
        <w:t>Computers in Biology and Medicine, 114</w:t>
      </w:r>
      <w:r w:rsidRPr="00B2506F">
        <w:rPr>
          <w:rFonts w:ascii="Times New Roman" w:eastAsia="Times New Roman" w:hAnsi="Times New Roman" w:cs="Times New Roman"/>
          <w:sz w:val="24"/>
          <w:szCs w:val="24"/>
          <w:lang w:val="en-US"/>
        </w:rPr>
        <w:t xml:space="preserve">, Article 103456. </w:t>
      </w:r>
      <w:hyperlink r:id="rId18" w:tgtFrame="_new" w:history="1">
        <w:r w:rsidRPr="00B2506F">
          <w:rPr>
            <w:rFonts w:ascii="Times New Roman" w:eastAsia="Times New Roman" w:hAnsi="Times New Roman" w:cs="Times New Roman"/>
            <w:color w:val="0000FF"/>
            <w:sz w:val="24"/>
            <w:szCs w:val="24"/>
            <w:u w:val="single"/>
            <w:lang w:val="en-US"/>
          </w:rPr>
          <w:t>https://doi.org/10.1016/j.compbiomed.2019.103456</w:t>
        </w:r>
      </w:hyperlink>
      <w:r w:rsidRPr="00B2506F">
        <w:rPr>
          <w:rFonts w:ascii="Times New Roman" w:eastAsia="Times New Roman" w:hAnsi="Times New Roman" w:cs="Times New Roman"/>
          <w:sz w:val="24"/>
          <w:szCs w:val="24"/>
          <w:lang w:val="en-US"/>
        </w:rPr>
        <w:t xml:space="preserve"> </w:t>
      </w:r>
    </w:p>
    <w:p w14:paraId="4D4E9DBB" w14:textId="34057726"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Food and Agriculture Organization of the United Nations. (2021). </w:t>
      </w:r>
      <w:r w:rsidRPr="00B2506F">
        <w:rPr>
          <w:rFonts w:ascii="Times New Roman" w:eastAsia="Times New Roman" w:hAnsi="Times New Roman" w:cs="Times New Roman"/>
          <w:i/>
          <w:iCs/>
          <w:sz w:val="24"/>
          <w:szCs w:val="24"/>
          <w:lang w:val="en-US"/>
        </w:rPr>
        <w:t>World food and agriculture: Statistical yearbook 2021</w:t>
      </w:r>
      <w:r w:rsidRPr="00B2506F">
        <w:rPr>
          <w:rFonts w:ascii="Times New Roman" w:eastAsia="Times New Roman" w:hAnsi="Times New Roman" w:cs="Times New Roman"/>
          <w:sz w:val="24"/>
          <w:szCs w:val="24"/>
          <w:lang w:val="en-US"/>
        </w:rPr>
        <w:t xml:space="preserve">. FAO. </w:t>
      </w:r>
      <w:hyperlink r:id="rId19" w:tgtFrame="_new" w:history="1">
        <w:r w:rsidRPr="00B2506F">
          <w:rPr>
            <w:rFonts w:ascii="Times New Roman" w:eastAsia="Times New Roman" w:hAnsi="Times New Roman" w:cs="Times New Roman"/>
            <w:color w:val="0000FF"/>
            <w:sz w:val="24"/>
            <w:szCs w:val="24"/>
            <w:u w:val="single"/>
            <w:lang w:val="en-US"/>
          </w:rPr>
          <w:t>https://doi.org/10.4060/cb4477en</w:t>
        </w:r>
      </w:hyperlink>
      <w:r w:rsidRPr="00B2506F">
        <w:rPr>
          <w:rFonts w:ascii="Times New Roman" w:eastAsia="Times New Roman" w:hAnsi="Times New Roman" w:cs="Times New Roman"/>
          <w:sz w:val="24"/>
          <w:szCs w:val="24"/>
          <w:lang w:val="en-US"/>
        </w:rPr>
        <w:t xml:space="preserve"> </w:t>
      </w:r>
    </w:p>
    <w:p w14:paraId="5C05F07D" w14:textId="2E5AFDE9"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Fuentes, S., Gonzalez Viejo, C., Cullen, B., Tongson, E., Chauhan, S. S., &amp; Dunshea, F. R. (2020). Artificial intelligence applied to a robotic dairy farm to model milk productivity and quality based on cow data and daily environmental parameters. </w:t>
      </w:r>
      <w:r w:rsidRPr="00B2506F">
        <w:rPr>
          <w:rFonts w:ascii="Times New Roman" w:eastAsia="Times New Roman" w:hAnsi="Times New Roman" w:cs="Times New Roman"/>
          <w:i/>
          <w:iCs/>
          <w:sz w:val="24"/>
          <w:szCs w:val="24"/>
          <w:lang w:val="en-US"/>
        </w:rPr>
        <w:t>Sensors, 20</w:t>
      </w:r>
      <w:r w:rsidRPr="00B2506F">
        <w:rPr>
          <w:rFonts w:ascii="Times New Roman" w:eastAsia="Times New Roman" w:hAnsi="Times New Roman" w:cs="Times New Roman"/>
          <w:sz w:val="24"/>
          <w:szCs w:val="24"/>
          <w:lang w:val="en-US"/>
        </w:rPr>
        <w:t xml:space="preserve">(10), Article 2975. </w:t>
      </w:r>
      <w:hyperlink r:id="rId20" w:tgtFrame="_new" w:history="1">
        <w:r w:rsidRPr="00B2506F">
          <w:rPr>
            <w:rFonts w:ascii="Times New Roman" w:eastAsia="Times New Roman" w:hAnsi="Times New Roman" w:cs="Times New Roman"/>
            <w:color w:val="0000FF"/>
            <w:sz w:val="24"/>
            <w:szCs w:val="24"/>
            <w:u w:val="single"/>
            <w:lang w:val="en-US"/>
          </w:rPr>
          <w:t>https://doi.org/10.3390/s20102975</w:t>
        </w:r>
      </w:hyperlink>
      <w:r w:rsidRPr="00B2506F">
        <w:rPr>
          <w:rFonts w:ascii="Times New Roman" w:eastAsia="Times New Roman" w:hAnsi="Times New Roman" w:cs="Times New Roman"/>
          <w:sz w:val="24"/>
          <w:szCs w:val="24"/>
          <w:lang w:val="en-US"/>
        </w:rPr>
        <w:t xml:space="preserve"> </w:t>
      </w:r>
    </w:p>
    <w:p w14:paraId="6AE7D847" w14:textId="2EBF91FC"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Ghotoorlar, S. M., Ghamsari, S. M., Nowrouzian, I., Ghotoorlar, S. M., &amp; Ghidary, S. S. (2012). Lameness scoring system for dairy cows using force plates and artificial intelligence. </w:t>
      </w:r>
      <w:r w:rsidRPr="00B2506F">
        <w:rPr>
          <w:rFonts w:ascii="Times New Roman" w:eastAsia="Times New Roman" w:hAnsi="Times New Roman" w:cs="Times New Roman"/>
          <w:i/>
          <w:iCs/>
          <w:sz w:val="24"/>
          <w:szCs w:val="24"/>
          <w:lang w:val="en-US"/>
        </w:rPr>
        <w:t>Veterinary Record, 170</w:t>
      </w:r>
      <w:r w:rsidRPr="00B2506F">
        <w:rPr>
          <w:rFonts w:ascii="Times New Roman" w:eastAsia="Times New Roman" w:hAnsi="Times New Roman" w:cs="Times New Roman"/>
          <w:sz w:val="24"/>
          <w:szCs w:val="24"/>
          <w:lang w:val="en-US"/>
        </w:rPr>
        <w:t xml:space="preserve">(5), Article 126. </w:t>
      </w:r>
      <w:hyperlink r:id="rId21" w:tgtFrame="_new" w:history="1">
        <w:r w:rsidRPr="00B2506F">
          <w:rPr>
            <w:rFonts w:ascii="Times New Roman" w:eastAsia="Times New Roman" w:hAnsi="Times New Roman" w:cs="Times New Roman"/>
            <w:color w:val="0000FF"/>
            <w:sz w:val="24"/>
            <w:szCs w:val="24"/>
            <w:u w:val="single"/>
            <w:lang w:val="en-US"/>
          </w:rPr>
          <w:t>https://doi.org/10.1136/vr.100429</w:t>
        </w:r>
      </w:hyperlink>
      <w:r w:rsidRPr="00B2506F">
        <w:rPr>
          <w:rFonts w:ascii="Times New Roman" w:eastAsia="Times New Roman" w:hAnsi="Times New Roman" w:cs="Times New Roman"/>
          <w:sz w:val="24"/>
          <w:szCs w:val="24"/>
          <w:lang w:val="en-US"/>
        </w:rPr>
        <w:t xml:space="preserve"> </w:t>
      </w:r>
    </w:p>
    <w:p w14:paraId="5B611912" w14:textId="2A3D8C43"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González, L. A., Tolkamp, B. J., Coffey, M. P., Ferret, A., &amp; Kyriazakis, I. (2008). Changes in feeding behavior as possible indicators for the automatic monitoring of health disorders in dairy cows. </w:t>
      </w:r>
      <w:r w:rsidRPr="00B2506F">
        <w:rPr>
          <w:rFonts w:ascii="Times New Roman" w:eastAsia="Times New Roman" w:hAnsi="Times New Roman" w:cs="Times New Roman"/>
          <w:i/>
          <w:iCs/>
          <w:sz w:val="24"/>
          <w:szCs w:val="24"/>
          <w:lang w:val="en-US"/>
        </w:rPr>
        <w:t>Journal of Dairy Science, 91</w:t>
      </w:r>
      <w:r w:rsidRPr="00B2506F">
        <w:rPr>
          <w:rFonts w:ascii="Times New Roman" w:eastAsia="Times New Roman" w:hAnsi="Times New Roman" w:cs="Times New Roman"/>
          <w:sz w:val="24"/>
          <w:szCs w:val="24"/>
          <w:lang w:val="en-US"/>
        </w:rPr>
        <w:t xml:space="preserve">(3), 1017–1028. </w:t>
      </w:r>
      <w:hyperlink r:id="rId22" w:tgtFrame="_new" w:history="1">
        <w:r w:rsidRPr="00B2506F">
          <w:rPr>
            <w:rFonts w:ascii="Times New Roman" w:eastAsia="Times New Roman" w:hAnsi="Times New Roman" w:cs="Times New Roman"/>
            <w:color w:val="0000FF"/>
            <w:sz w:val="24"/>
            <w:szCs w:val="24"/>
            <w:u w:val="single"/>
            <w:lang w:val="en-US"/>
          </w:rPr>
          <w:t>https://doi.org/10.3168/jds.2007-0530</w:t>
        </w:r>
      </w:hyperlink>
      <w:r w:rsidRPr="00B2506F">
        <w:rPr>
          <w:rFonts w:ascii="Times New Roman" w:eastAsia="Times New Roman" w:hAnsi="Times New Roman" w:cs="Times New Roman"/>
          <w:sz w:val="24"/>
          <w:szCs w:val="24"/>
          <w:lang w:val="en-US"/>
        </w:rPr>
        <w:t xml:space="preserve"> </w:t>
      </w:r>
    </w:p>
    <w:p w14:paraId="370BBC5A" w14:textId="2EBB884F"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Guarino, M., Jans, P., Costa, A., Aerts, J.-M., &amp; Berckmans, D. (2008). Field test of algorithm for automatic cough detection in pig houses. </w:t>
      </w:r>
      <w:r w:rsidRPr="00B2506F">
        <w:rPr>
          <w:rFonts w:ascii="Times New Roman" w:eastAsia="Times New Roman" w:hAnsi="Times New Roman" w:cs="Times New Roman"/>
          <w:i/>
          <w:iCs/>
          <w:sz w:val="24"/>
          <w:szCs w:val="24"/>
          <w:lang w:val="en-US"/>
        </w:rPr>
        <w:t>Computers and Electronics in Agriculture, 62</w:t>
      </w:r>
      <w:r w:rsidRPr="00B2506F">
        <w:rPr>
          <w:rFonts w:ascii="Times New Roman" w:eastAsia="Times New Roman" w:hAnsi="Times New Roman" w:cs="Times New Roman"/>
          <w:sz w:val="24"/>
          <w:szCs w:val="24"/>
          <w:lang w:val="en-US"/>
        </w:rPr>
        <w:t xml:space="preserve">(1), 22–28. </w:t>
      </w:r>
      <w:hyperlink r:id="rId23" w:tgtFrame="_new" w:history="1">
        <w:r w:rsidRPr="00B2506F">
          <w:rPr>
            <w:rFonts w:ascii="Times New Roman" w:eastAsia="Times New Roman" w:hAnsi="Times New Roman" w:cs="Times New Roman"/>
            <w:color w:val="0000FF"/>
            <w:sz w:val="24"/>
            <w:szCs w:val="24"/>
            <w:u w:val="single"/>
            <w:lang w:val="en-US"/>
          </w:rPr>
          <w:t>https://doi.org/10.1016/j.compag.2007.08.016</w:t>
        </w:r>
      </w:hyperlink>
      <w:r w:rsidRPr="00B2506F">
        <w:rPr>
          <w:rFonts w:ascii="Times New Roman" w:eastAsia="Times New Roman" w:hAnsi="Times New Roman" w:cs="Times New Roman"/>
          <w:sz w:val="24"/>
          <w:szCs w:val="24"/>
          <w:lang w:val="en-US"/>
        </w:rPr>
        <w:t xml:space="preserve"> </w:t>
      </w:r>
    </w:p>
    <w:p w14:paraId="5845A95A" w14:textId="0BA048D0"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Halachmi, I., Klopčič, M., Polak, P., Roberts, D. J., &amp; Bewley, J. M. (2013). Automatic assessment of dairy cattle body condition score using thermal imaging. </w:t>
      </w:r>
      <w:r w:rsidRPr="00B2506F">
        <w:rPr>
          <w:rFonts w:ascii="Times New Roman" w:eastAsia="Times New Roman" w:hAnsi="Times New Roman" w:cs="Times New Roman"/>
          <w:i/>
          <w:iCs/>
          <w:sz w:val="24"/>
          <w:szCs w:val="24"/>
          <w:lang w:val="en-US"/>
        </w:rPr>
        <w:t>Computers and Electronics in Agriculture, 99</w:t>
      </w:r>
      <w:r w:rsidRPr="00B2506F">
        <w:rPr>
          <w:rFonts w:ascii="Times New Roman" w:eastAsia="Times New Roman" w:hAnsi="Times New Roman" w:cs="Times New Roman"/>
          <w:sz w:val="24"/>
          <w:szCs w:val="24"/>
          <w:lang w:val="en-US"/>
        </w:rPr>
        <w:t xml:space="preserve">, 35–40. </w:t>
      </w:r>
      <w:hyperlink r:id="rId24" w:tgtFrame="_new" w:history="1">
        <w:r w:rsidRPr="00B2506F">
          <w:rPr>
            <w:rFonts w:ascii="Times New Roman" w:eastAsia="Times New Roman" w:hAnsi="Times New Roman" w:cs="Times New Roman"/>
            <w:color w:val="0000FF"/>
            <w:sz w:val="24"/>
            <w:szCs w:val="24"/>
            <w:u w:val="single"/>
            <w:lang w:val="en-US"/>
          </w:rPr>
          <w:t>https://doi.org/10.1016/j.compag.2013.08.012</w:t>
        </w:r>
      </w:hyperlink>
      <w:r w:rsidRPr="00B2506F">
        <w:rPr>
          <w:rFonts w:ascii="Times New Roman" w:eastAsia="Times New Roman" w:hAnsi="Times New Roman" w:cs="Times New Roman"/>
          <w:sz w:val="24"/>
          <w:szCs w:val="24"/>
          <w:lang w:val="en-US"/>
        </w:rPr>
        <w:t xml:space="preserve"> </w:t>
      </w:r>
    </w:p>
    <w:p w14:paraId="037EC7AD" w14:textId="7F5264DE"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Hogeveen, H., Huijps, K., &amp; Lam, T. J. G. M. (2011). </w:t>
      </w:r>
      <w:r w:rsidRPr="00B2506F">
        <w:rPr>
          <w:rFonts w:ascii="Times New Roman" w:eastAsia="Times New Roman" w:hAnsi="Times New Roman" w:cs="Times New Roman"/>
          <w:sz w:val="24"/>
          <w:szCs w:val="24"/>
          <w:lang w:val="en-US"/>
        </w:rPr>
        <w:t xml:space="preserve">Economic aspects of mastitis: New developments. </w:t>
      </w:r>
      <w:r w:rsidRPr="00B2506F">
        <w:rPr>
          <w:rFonts w:ascii="Times New Roman" w:eastAsia="Times New Roman" w:hAnsi="Times New Roman" w:cs="Times New Roman"/>
          <w:i/>
          <w:iCs/>
          <w:sz w:val="24"/>
          <w:szCs w:val="24"/>
          <w:lang w:val="en-US"/>
        </w:rPr>
        <w:t>New Zealand Veterinary Journal, 59</w:t>
      </w:r>
      <w:r w:rsidRPr="00B2506F">
        <w:rPr>
          <w:rFonts w:ascii="Times New Roman" w:eastAsia="Times New Roman" w:hAnsi="Times New Roman" w:cs="Times New Roman"/>
          <w:sz w:val="24"/>
          <w:szCs w:val="24"/>
          <w:lang w:val="en-US"/>
        </w:rPr>
        <w:t xml:space="preserve">(1), 16–23. </w:t>
      </w:r>
      <w:hyperlink r:id="rId25" w:tgtFrame="_new" w:history="1">
        <w:r w:rsidRPr="00B2506F">
          <w:rPr>
            <w:rFonts w:ascii="Times New Roman" w:eastAsia="Times New Roman" w:hAnsi="Times New Roman" w:cs="Times New Roman"/>
            <w:color w:val="0000FF"/>
            <w:sz w:val="24"/>
            <w:szCs w:val="24"/>
            <w:u w:val="single"/>
            <w:lang w:val="en-US"/>
          </w:rPr>
          <w:t>https://doi.org/10.1080/00480169.2011.547165</w:t>
        </w:r>
      </w:hyperlink>
      <w:r w:rsidRPr="00B2506F">
        <w:rPr>
          <w:rFonts w:ascii="Times New Roman" w:eastAsia="Times New Roman" w:hAnsi="Times New Roman" w:cs="Times New Roman"/>
          <w:sz w:val="24"/>
          <w:szCs w:val="24"/>
          <w:lang w:val="en-US"/>
        </w:rPr>
        <w:t xml:space="preserve"> </w:t>
      </w:r>
    </w:p>
    <w:p w14:paraId="31BEF37E" w14:textId="32EC8BB6"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lastRenderedPageBreak/>
        <w:t xml:space="preserve">Jorquera-Chavez, M., Fuentes, S., Dunshea, F. R., Warner, R. D., Poblete, T., &amp; Jongman, E. C. (2019). Modelling and validation of computer vision techniques to assess heart rate, eye temperature, ear-base temperature and respiration rate in cattle. </w:t>
      </w:r>
      <w:r w:rsidRPr="00B2506F">
        <w:rPr>
          <w:rFonts w:ascii="Times New Roman" w:eastAsia="Times New Roman" w:hAnsi="Times New Roman" w:cs="Times New Roman"/>
          <w:i/>
          <w:iCs/>
          <w:sz w:val="24"/>
          <w:szCs w:val="24"/>
          <w:lang w:val="en-US"/>
        </w:rPr>
        <w:t>Animals, 9</w:t>
      </w:r>
      <w:r w:rsidRPr="00B2506F">
        <w:rPr>
          <w:rFonts w:ascii="Times New Roman" w:eastAsia="Times New Roman" w:hAnsi="Times New Roman" w:cs="Times New Roman"/>
          <w:sz w:val="24"/>
          <w:szCs w:val="24"/>
          <w:lang w:val="en-US"/>
        </w:rPr>
        <w:t xml:space="preserve">(12), Article 1089. </w:t>
      </w:r>
      <w:hyperlink r:id="rId26" w:tgtFrame="_new" w:history="1">
        <w:r w:rsidRPr="00B2506F">
          <w:rPr>
            <w:rFonts w:ascii="Times New Roman" w:eastAsia="Times New Roman" w:hAnsi="Times New Roman" w:cs="Times New Roman"/>
            <w:color w:val="0000FF"/>
            <w:sz w:val="24"/>
            <w:szCs w:val="24"/>
            <w:u w:val="single"/>
            <w:lang w:val="en-US"/>
          </w:rPr>
          <w:t>https://doi.org/10.3390/ani9121089</w:t>
        </w:r>
      </w:hyperlink>
      <w:r w:rsidRPr="00B2506F">
        <w:rPr>
          <w:rFonts w:ascii="Times New Roman" w:eastAsia="Times New Roman" w:hAnsi="Times New Roman" w:cs="Times New Roman"/>
          <w:sz w:val="24"/>
          <w:szCs w:val="24"/>
          <w:lang w:val="en-US"/>
        </w:rPr>
        <w:t xml:space="preserve"> </w:t>
      </w:r>
    </w:p>
    <w:p w14:paraId="058FF2BB" w14:textId="1A11516B"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Kamphuis, C., Mollenhorst, H., Feelders, A. J., Pietersma, D., &amp; Hogeveen, H. (2010). </w:t>
      </w:r>
      <w:r w:rsidRPr="00B2506F">
        <w:rPr>
          <w:rFonts w:ascii="Times New Roman" w:eastAsia="Times New Roman" w:hAnsi="Times New Roman" w:cs="Times New Roman"/>
          <w:sz w:val="24"/>
          <w:szCs w:val="24"/>
          <w:lang w:val="en-US"/>
        </w:rPr>
        <w:t xml:space="preserve">Decision-tree induction to detect clinical mastitis with automatic milking. </w:t>
      </w:r>
      <w:r w:rsidRPr="00B2506F">
        <w:rPr>
          <w:rFonts w:ascii="Times New Roman" w:eastAsia="Times New Roman" w:hAnsi="Times New Roman" w:cs="Times New Roman"/>
          <w:i/>
          <w:iCs/>
          <w:sz w:val="24"/>
          <w:szCs w:val="24"/>
          <w:lang w:val="en-US"/>
        </w:rPr>
        <w:t>Computers and Electronics in Agriculture, 70</w:t>
      </w:r>
      <w:r w:rsidRPr="00B2506F">
        <w:rPr>
          <w:rFonts w:ascii="Times New Roman" w:eastAsia="Times New Roman" w:hAnsi="Times New Roman" w:cs="Times New Roman"/>
          <w:sz w:val="24"/>
          <w:szCs w:val="24"/>
          <w:lang w:val="en-US"/>
        </w:rPr>
        <w:t xml:space="preserve">(1), 60–68. </w:t>
      </w:r>
      <w:hyperlink r:id="rId27" w:tgtFrame="_new" w:history="1">
        <w:r w:rsidRPr="00B2506F">
          <w:rPr>
            <w:rFonts w:ascii="Times New Roman" w:eastAsia="Times New Roman" w:hAnsi="Times New Roman" w:cs="Times New Roman"/>
            <w:color w:val="0000FF"/>
            <w:sz w:val="24"/>
            <w:szCs w:val="24"/>
            <w:u w:val="single"/>
            <w:lang w:val="en-US"/>
          </w:rPr>
          <w:t>https://doi.org/10.1016/j.compag.2009.08.012</w:t>
        </w:r>
      </w:hyperlink>
      <w:r w:rsidRPr="00B2506F">
        <w:rPr>
          <w:rFonts w:ascii="Times New Roman" w:eastAsia="Times New Roman" w:hAnsi="Times New Roman" w:cs="Times New Roman"/>
          <w:sz w:val="24"/>
          <w:szCs w:val="24"/>
          <w:lang w:val="en-US"/>
        </w:rPr>
        <w:t xml:space="preserve"> </w:t>
      </w:r>
    </w:p>
    <w:p w14:paraId="7E5FAE1F" w14:textId="2D36B97C"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LeBlanc, S. J., Lissemore, K. D., Kelton, D. F., Duffield, T. F., &amp; Leslie, K. E. (2006). Major advances in disease prevention in dairy cattle. </w:t>
      </w:r>
      <w:r w:rsidRPr="00B2506F">
        <w:rPr>
          <w:rFonts w:ascii="Times New Roman" w:eastAsia="Times New Roman" w:hAnsi="Times New Roman" w:cs="Times New Roman"/>
          <w:i/>
          <w:iCs/>
          <w:sz w:val="24"/>
          <w:szCs w:val="24"/>
          <w:lang w:val="en-US"/>
        </w:rPr>
        <w:t>Journal of Dairy Science, 89</w:t>
      </w:r>
      <w:r w:rsidRPr="00B2506F">
        <w:rPr>
          <w:rFonts w:ascii="Times New Roman" w:eastAsia="Times New Roman" w:hAnsi="Times New Roman" w:cs="Times New Roman"/>
          <w:sz w:val="24"/>
          <w:szCs w:val="24"/>
          <w:lang w:val="en-US"/>
        </w:rPr>
        <w:t xml:space="preserve">(4), 1267–1279. </w:t>
      </w:r>
      <w:hyperlink r:id="rId28" w:tgtFrame="_new" w:history="1">
        <w:r w:rsidRPr="00B2506F">
          <w:rPr>
            <w:rFonts w:ascii="Times New Roman" w:eastAsia="Times New Roman" w:hAnsi="Times New Roman" w:cs="Times New Roman"/>
            <w:color w:val="0000FF"/>
            <w:sz w:val="24"/>
            <w:szCs w:val="24"/>
            <w:u w:val="single"/>
            <w:lang w:val="en-US"/>
          </w:rPr>
          <w:t>https://doi.org/10.3168/jds.S0022-0302(06)72195-6</w:t>
        </w:r>
      </w:hyperlink>
      <w:r w:rsidRPr="00B2506F">
        <w:rPr>
          <w:rFonts w:ascii="Times New Roman" w:eastAsia="Times New Roman" w:hAnsi="Times New Roman" w:cs="Times New Roman"/>
          <w:sz w:val="24"/>
          <w:szCs w:val="24"/>
          <w:lang w:val="en-US"/>
        </w:rPr>
        <w:t xml:space="preserve"> </w:t>
      </w:r>
    </w:p>
    <w:p w14:paraId="37A7D253" w14:textId="6B9B080B"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Liakos, K. G., Busato, P., Moshou, D., Pearson, S., &amp; Bochtis, D. (2018). Machine learning in agriculture: A review. </w:t>
      </w:r>
      <w:r w:rsidRPr="00B2506F">
        <w:rPr>
          <w:rFonts w:ascii="Times New Roman" w:eastAsia="Times New Roman" w:hAnsi="Times New Roman" w:cs="Times New Roman"/>
          <w:i/>
          <w:iCs/>
          <w:sz w:val="24"/>
          <w:szCs w:val="24"/>
          <w:lang w:val="en-US"/>
        </w:rPr>
        <w:t>Sensors, 18</w:t>
      </w:r>
      <w:r w:rsidRPr="00B2506F">
        <w:rPr>
          <w:rFonts w:ascii="Times New Roman" w:eastAsia="Times New Roman" w:hAnsi="Times New Roman" w:cs="Times New Roman"/>
          <w:sz w:val="24"/>
          <w:szCs w:val="24"/>
          <w:lang w:val="en-US"/>
        </w:rPr>
        <w:t xml:space="preserve">(8), Article 2674. </w:t>
      </w:r>
      <w:hyperlink r:id="rId29" w:tgtFrame="_new" w:history="1">
        <w:r w:rsidRPr="00B2506F">
          <w:rPr>
            <w:rFonts w:ascii="Times New Roman" w:eastAsia="Times New Roman" w:hAnsi="Times New Roman" w:cs="Times New Roman"/>
            <w:color w:val="0000FF"/>
            <w:sz w:val="24"/>
            <w:szCs w:val="24"/>
            <w:u w:val="single"/>
            <w:lang w:val="en-US"/>
          </w:rPr>
          <w:t>https://doi.org/10.3390/s18082674</w:t>
        </w:r>
      </w:hyperlink>
      <w:r w:rsidRPr="00B2506F">
        <w:rPr>
          <w:rFonts w:ascii="Times New Roman" w:eastAsia="Times New Roman" w:hAnsi="Times New Roman" w:cs="Times New Roman"/>
          <w:sz w:val="24"/>
          <w:szCs w:val="24"/>
          <w:lang w:val="en-US"/>
        </w:rPr>
        <w:t xml:space="preserve"> </w:t>
      </w:r>
    </w:p>
    <w:p w14:paraId="3C3C85C1" w14:textId="47B63299"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Martiskainen, P., Järvinen, M., Skön, J.-P., Tiirikainen, J., Kolehmainen, M., &amp; Mononen, J. (2009). </w:t>
      </w:r>
      <w:r w:rsidRPr="00B2506F">
        <w:rPr>
          <w:rFonts w:ascii="Times New Roman" w:eastAsia="Times New Roman" w:hAnsi="Times New Roman" w:cs="Times New Roman"/>
          <w:sz w:val="24"/>
          <w:szCs w:val="24"/>
          <w:lang w:val="en-US"/>
        </w:rPr>
        <w:t xml:space="preserve">Cow behaviour pattern recognition using a three-dimensional accelerometer and support vector machines. </w:t>
      </w:r>
      <w:r w:rsidRPr="00B2506F">
        <w:rPr>
          <w:rFonts w:ascii="Times New Roman" w:eastAsia="Times New Roman" w:hAnsi="Times New Roman" w:cs="Times New Roman"/>
          <w:i/>
          <w:iCs/>
          <w:sz w:val="24"/>
          <w:szCs w:val="24"/>
          <w:lang w:val="en-US"/>
        </w:rPr>
        <w:t>Applied Animal Behaviour Science, 119</w:t>
      </w:r>
      <w:r w:rsidRPr="00B2506F">
        <w:rPr>
          <w:rFonts w:ascii="Times New Roman" w:eastAsia="Times New Roman" w:hAnsi="Times New Roman" w:cs="Times New Roman"/>
          <w:sz w:val="24"/>
          <w:szCs w:val="24"/>
          <w:lang w:val="en-US"/>
        </w:rPr>
        <w:t xml:space="preserve">(1–2), 32–38. </w:t>
      </w:r>
      <w:hyperlink r:id="rId30" w:tgtFrame="_new" w:history="1">
        <w:r w:rsidRPr="00B2506F">
          <w:rPr>
            <w:rFonts w:ascii="Times New Roman" w:eastAsia="Times New Roman" w:hAnsi="Times New Roman" w:cs="Times New Roman"/>
            <w:color w:val="0000FF"/>
            <w:sz w:val="24"/>
            <w:szCs w:val="24"/>
            <w:u w:val="single"/>
            <w:lang w:val="en-US"/>
          </w:rPr>
          <w:t>https://doi.org/10.1016/j.applanim.2009.03.005</w:t>
        </w:r>
      </w:hyperlink>
      <w:r w:rsidRPr="00B2506F">
        <w:rPr>
          <w:rFonts w:ascii="Times New Roman" w:eastAsia="Times New Roman" w:hAnsi="Times New Roman" w:cs="Times New Roman"/>
          <w:sz w:val="24"/>
          <w:szCs w:val="24"/>
          <w:lang w:val="en-US"/>
        </w:rPr>
        <w:t xml:space="preserve"> </w:t>
      </w:r>
    </w:p>
    <w:p w14:paraId="78E42184" w14:textId="71F056AA"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Monteiro, A., Santos, S., &amp; Gonçalves, P. (2021). Precision agriculture for crop and livestock farming—Brief review. </w:t>
      </w:r>
      <w:r w:rsidRPr="00B2506F">
        <w:rPr>
          <w:rFonts w:ascii="Times New Roman" w:eastAsia="Times New Roman" w:hAnsi="Times New Roman" w:cs="Times New Roman"/>
          <w:i/>
          <w:iCs/>
          <w:sz w:val="24"/>
          <w:szCs w:val="24"/>
          <w:lang w:val="en-US"/>
        </w:rPr>
        <w:t>Animals, 11</w:t>
      </w:r>
      <w:r w:rsidRPr="00B2506F">
        <w:rPr>
          <w:rFonts w:ascii="Times New Roman" w:eastAsia="Times New Roman" w:hAnsi="Times New Roman" w:cs="Times New Roman"/>
          <w:sz w:val="24"/>
          <w:szCs w:val="24"/>
          <w:lang w:val="en-US"/>
        </w:rPr>
        <w:t xml:space="preserve">(8), Article 2345. </w:t>
      </w:r>
      <w:hyperlink r:id="rId31" w:tgtFrame="_new" w:history="1">
        <w:r w:rsidRPr="00B2506F">
          <w:rPr>
            <w:rFonts w:ascii="Times New Roman" w:eastAsia="Times New Roman" w:hAnsi="Times New Roman" w:cs="Times New Roman"/>
            <w:color w:val="0000FF"/>
            <w:sz w:val="24"/>
            <w:szCs w:val="24"/>
            <w:u w:val="single"/>
            <w:lang w:val="en-US"/>
          </w:rPr>
          <w:t>https://doi.org/10.3390/ani11082345</w:t>
        </w:r>
      </w:hyperlink>
      <w:r w:rsidRPr="00B2506F">
        <w:rPr>
          <w:rFonts w:ascii="Times New Roman" w:eastAsia="Times New Roman" w:hAnsi="Times New Roman" w:cs="Times New Roman"/>
          <w:sz w:val="24"/>
          <w:szCs w:val="24"/>
          <w:lang w:val="en-US"/>
        </w:rPr>
        <w:t xml:space="preserve"> </w:t>
      </w:r>
    </w:p>
    <w:p w14:paraId="62E6AE13" w14:textId="300943A6"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Morota, G., Ventura, R. V., Silva, F. F., Koyama, M., &amp; Fernando, S. C. (2018). Big data analytics and precision animal agriculture symposium: Machine learning and data mining advance predictive big data analysis in precision animal agriculture. </w:t>
      </w:r>
      <w:r w:rsidRPr="00B2506F">
        <w:rPr>
          <w:rFonts w:ascii="Times New Roman" w:eastAsia="Times New Roman" w:hAnsi="Times New Roman" w:cs="Times New Roman"/>
          <w:i/>
          <w:iCs/>
          <w:sz w:val="24"/>
          <w:szCs w:val="24"/>
          <w:lang w:val="en-US"/>
        </w:rPr>
        <w:t>Journal of Animal Science, 96</w:t>
      </w:r>
      <w:r w:rsidRPr="00B2506F">
        <w:rPr>
          <w:rFonts w:ascii="Times New Roman" w:eastAsia="Times New Roman" w:hAnsi="Times New Roman" w:cs="Times New Roman"/>
          <w:sz w:val="24"/>
          <w:szCs w:val="24"/>
          <w:lang w:val="en-US"/>
        </w:rPr>
        <w:t xml:space="preserve">(4), 1540–1550. </w:t>
      </w:r>
      <w:hyperlink r:id="rId32" w:tgtFrame="_new" w:history="1">
        <w:r w:rsidRPr="00B2506F">
          <w:rPr>
            <w:rFonts w:ascii="Times New Roman" w:eastAsia="Times New Roman" w:hAnsi="Times New Roman" w:cs="Times New Roman"/>
            <w:color w:val="0000FF"/>
            <w:sz w:val="24"/>
            <w:szCs w:val="24"/>
            <w:u w:val="single"/>
            <w:lang w:val="en-US"/>
          </w:rPr>
          <w:t>https://doi.org/10.1093/jas/sky014</w:t>
        </w:r>
      </w:hyperlink>
      <w:r w:rsidRPr="00B2506F">
        <w:rPr>
          <w:rFonts w:ascii="Times New Roman" w:eastAsia="Times New Roman" w:hAnsi="Times New Roman" w:cs="Times New Roman"/>
          <w:sz w:val="24"/>
          <w:szCs w:val="24"/>
          <w:lang w:val="en-US"/>
        </w:rPr>
        <w:t xml:space="preserve"> </w:t>
      </w:r>
    </w:p>
    <w:p w14:paraId="46B1091C" w14:textId="2F45A98B"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Nadeem, G., Ul Haque, M. F., Ahmed, H., Ebrahim, M., Ahmad, S., de la Torre Díez, I., Abdallah, H. A., &amp; Ateya, A. A. (2025). Improving bovine disease detection through multilabel classification. </w:t>
      </w:r>
      <w:r w:rsidRPr="00B2506F">
        <w:rPr>
          <w:rFonts w:ascii="Times New Roman" w:eastAsia="Times New Roman" w:hAnsi="Times New Roman" w:cs="Times New Roman"/>
          <w:i/>
          <w:iCs/>
          <w:sz w:val="24"/>
          <w:szCs w:val="24"/>
          <w:lang w:val="en-US"/>
        </w:rPr>
        <w:t>Scientific Reports, 15</w:t>
      </w:r>
      <w:r w:rsidRPr="00B2506F">
        <w:rPr>
          <w:rFonts w:ascii="Times New Roman" w:eastAsia="Times New Roman" w:hAnsi="Times New Roman" w:cs="Times New Roman"/>
          <w:sz w:val="24"/>
          <w:szCs w:val="24"/>
          <w:lang w:val="en-US"/>
        </w:rPr>
        <w:t xml:space="preserve">, Article 34766. </w:t>
      </w:r>
      <w:hyperlink r:id="rId33" w:tgtFrame="_new" w:history="1">
        <w:r w:rsidRPr="00B2506F">
          <w:rPr>
            <w:rFonts w:ascii="Times New Roman" w:eastAsia="Times New Roman" w:hAnsi="Times New Roman" w:cs="Times New Roman"/>
            <w:color w:val="0000FF"/>
            <w:sz w:val="24"/>
            <w:szCs w:val="24"/>
            <w:u w:val="single"/>
            <w:lang w:val="en-US"/>
          </w:rPr>
          <w:t>https://doi.org/10.1038/s41598-025-18491-z</w:t>
        </w:r>
      </w:hyperlink>
      <w:r w:rsidRPr="00B2506F">
        <w:rPr>
          <w:rFonts w:ascii="Times New Roman" w:eastAsia="Times New Roman" w:hAnsi="Times New Roman" w:cs="Times New Roman"/>
          <w:sz w:val="24"/>
          <w:szCs w:val="24"/>
          <w:lang w:val="en-US"/>
        </w:rPr>
        <w:t xml:space="preserve"> </w:t>
      </w:r>
    </w:p>
    <w:p w14:paraId="10B75AD4" w14:textId="07CE08D1"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Neethirajan, S. (2017). Recent advances in wearable sensors for animal health management. </w:t>
      </w:r>
      <w:r w:rsidRPr="00B2506F">
        <w:rPr>
          <w:rFonts w:ascii="Times New Roman" w:eastAsia="Times New Roman" w:hAnsi="Times New Roman" w:cs="Times New Roman"/>
          <w:i/>
          <w:iCs/>
          <w:sz w:val="24"/>
          <w:szCs w:val="24"/>
          <w:lang w:val="en-US"/>
        </w:rPr>
        <w:t>Sensing and Bio-Sensing Research, 12</w:t>
      </w:r>
      <w:r w:rsidRPr="00B2506F">
        <w:rPr>
          <w:rFonts w:ascii="Times New Roman" w:eastAsia="Times New Roman" w:hAnsi="Times New Roman" w:cs="Times New Roman"/>
          <w:sz w:val="24"/>
          <w:szCs w:val="24"/>
          <w:lang w:val="en-US"/>
        </w:rPr>
        <w:t xml:space="preserve">, 15–29. </w:t>
      </w:r>
      <w:hyperlink r:id="rId34" w:tgtFrame="_new" w:history="1">
        <w:r w:rsidRPr="00B2506F">
          <w:rPr>
            <w:rFonts w:ascii="Times New Roman" w:eastAsia="Times New Roman" w:hAnsi="Times New Roman" w:cs="Times New Roman"/>
            <w:color w:val="0000FF"/>
            <w:sz w:val="24"/>
            <w:szCs w:val="24"/>
            <w:u w:val="single"/>
            <w:lang w:val="en-US"/>
          </w:rPr>
          <w:t>https://doi.org/10.1016/j.sbsr.2016.11.004</w:t>
        </w:r>
      </w:hyperlink>
      <w:r w:rsidRPr="00B2506F">
        <w:rPr>
          <w:rFonts w:ascii="Times New Roman" w:eastAsia="Times New Roman" w:hAnsi="Times New Roman" w:cs="Times New Roman"/>
          <w:sz w:val="24"/>
          <w:szCs w:val="24"/>
          <w:lang w:val="en-US"/>
        </w:rPr>
        <w:t xml:space="preserve"> </w:t>
      </w:r>
    </w:p>
    <w:p w14:paraId="652440D1" w14:textId="3B398264"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Neethirajan, S., &amp; Kemp, B. (2021). Digital livestock farming. </w:t>
      </w:r>
      <w:r w:rsidRPr="00B2506F">
        <w:rPr>
          <w:rFonts w:ascii="Times New Roman" w:eastAsia="Times New Roman" w:hAnsi="Times New Roman" w:cs="Times New Roman"/>
          <w:i/>
          <w:iCs/>
          <w:sz w:val="24"/>
          <w:szCs w:val="24"/>
          <w:lang w:val="en-US"/>
        </w:rPr>
        <w:t>Sensing and Bio-Sensing Research, 32</w:t>
      </w:r>
      <w:r w:rsidRPr="00B2506F">
        <w:rPr>
          <w:rFonts w:ascii="Times New Roman" w:eastAsia="Times New Roman" w:hAnsi="Times New Roman" w:cs="Times New Roman"/>
          <w:sz w:val="24"/>
          <w:szCs w:val="24"/>
          <w:lang w:val="en-US"/>
        </w:rPr>
        <w:t xml:space="preserve">, Article 100408. </w:t>
      </w:r>
      <w:hyperlink r:id="rId35" w:tgtFrame="_new" w:history="1">
        <w:r w:rsidRPr="00B2506F">
          <w:rPr>
            <w:rFonts w:ascii="Times New Roman" w:eastAsia="Times New Roman" w:hAnsi="Times New Roman" w:cs="Times New Roman"/>
            <w:color w:val="0000FF"/>
            <w:sz w:val="24"/>
            <w:szCs w:val="24"/>
            <w:u w:val="single"/>
            <w:lang w:val="en-US"/>
          </w:rPr>
          <w:t>https://doi.org/10.1016/j.sbsr.2021.100408</w:t>
        </w:r>
      </w:hyperlink>
      <w:r w:rsidRPr="00B2506F">
        <w:rPr>
          <w:rFonts w:ascii="Times New Roman" w:eastAsia="Times New Roman" w:hAnsi="Times New Roman" w:cs="Times New Roman"/>
          <w:sz w:val="24"/>
          <w:szCs w:val="24"/>
          <w:lang w:val="en-US"/>
        </w:rPr>
        <w:t xml:space="preserve"> </w:t>
      </w:r>
    </w:p>
    <w:p w14:paraId="3AD78EE8" w14:textId="0C2265CF"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Peng, Y., Kondo, N., Fujiura, T., Suzuki, T., Wulandari, Yoshioka, H., &amp; Itoyama, E. (2019). Classification of multiple cattle behavior patterns using a recurrent neural network with long short-term memory and inertial measurement units. </w:t>
      </w:r>
      <w:r w:rsidRPr="00B2506F">
        <w:rPr>
          <w:rFonts w:ascii="Times New Roman" w:eastAsia="Times New Roman" w:hAnsi="Times New Roman" w:cs="Times New Roman"/>
          <w:i/>
          <w:iCs/>
          <w:sz w:val="24"/>
          <w:szCs w:val="24"/>
          <w:lang w:val="en-US"/>
        </w:rPr>
        <w:t>Computers and Electronics in Agriculture, 157</w:t>
      </w:r>
      <w:r w:rsidRPr="00B2506F">
        <w:rPr>
          <w:rFonts w:ascii="Times New Roman" w:eastAsia="Times New Roman" w:hAnsi="Times New Roman" w:cs="Times New Roman"/>
          <w:sz w:val="24"/>
          <w:szCs w:val="24"/>
          <w:lang w:val="en-US"/>
        </w:rPr>
        <w:t xml:space="preserve">, 247–253. </w:t>
      </w:r>
      <w:hyperlink r:id="rId36" w:tgtFrame="_new" w:history="1">
        <w:r w:rsidRPr="00B2506F">
          <w:rPr>
            <w:rFonts w:ascii="Times New Roman" w:eastAsia="Times New Roman" w:hAnsi="Times New Roman" w:cs="Times New Roman"/>
            <w:color w:val="0000FF"/>
            <w:sz w:val="24"/>
            <w:szCs w:val="24"/>
            <w:u w:val="single"/>
            <w:lang w:val="en-US"/>
          </w:rPr>
          <w:t>https://doi.org/10.1016/j.compag.2018.12.023</w:t>
        </w:r>
      </w:hyperlink>
      <w:r w:rsidRPr="00B2506F">
        <w:rPr>
          <w:rFonts w:ascii="Times New Roman" w:eastAsia="Times New Roman" w:hAnsi="Times New Roman" w:cs="Times New Roman"/>
          <w:sz w:val="24"/>
          <w:szCs w:val="24"/>
          <w:lang w:val="en-US"/>
        </w:rPr>
        <w:t xml:space="preserve"> </w:t>
      </w:r>
    </w:p>
    <w:p w14:paraId="7A923338" w14:textId="6FEF57FE"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Qiao, Y., Kong, H., Clark, C. E. F., Lomax, S., Su, D., Eiffert, S., &amp; Sukkarieh, S. (2021). Intelligent perception for cattle monitoring: A review for cattle identification, body condition score evaluation, and weight estimation. </w:t>
      </w:r>
      <w:r w:rsidRPr="00B2506F">
        <w:rPr>
          <w:rFonts w:ascii="Times New Roman" w:eastAsia="Times New Roman" w:hAnsi="Times New Roman" w:cs="Times New Roman"/>
          <w:i/>
          <w:iCs/>
          <w:sz w:val="24"/>
          <w:szCs w:val="24"/>
          <w:lang w:val="en-US"/>
        </w:rPr>
        <w:t>Computers and Electronics in Agriculture, 185</w:t>
      </w:r>
      <w:r w:rsidRPr="00B2506F">
        <w:rPr>
          <w:rFonts w:ascii="Times New Roman" w:eastAsia="Times New Roman" w:hAnsi="Times New Roman" w:cs="Times New Roman"/>
          <w:sz w:val="24"/>
          <w:szCs w:val="24"/>
          <w:lang w:val="en-US"/>
        </w:rPr>
        <w:t xml:space="preserve">, Article 106143. </w:t>
      </w:r>
      <w:hyperlink r:id="rId37" w:tgtFrame="_new" w:history="1">
        <w:r w:rsidRPr="00B2506F">
          <w:rPr>
            <w:rFonts w:ascii="Times New Roman" w:eastAsia="Times New Roman" w:hAnsi="Times New Roman" w:cs="Times New Roman"/>
            <w:color w:val="0000FF"/>
            <w:sz w:val="24"/>
            <w:szCs w:val="24"/>
            <w:u w:val="single"/>
            <w:lang w:val="en-US"/>
          </w:rPr>
          <w:t>https://doi.org/10.1016/j.compag.2021.106143</w:t>
        </w:r>
      </w:hyperlink>
      <w:r w:rsidRPr="00B2506F">
        <w:rPr>
          <w:rFonts w:ascii="Times New Roman" w:eastAsia="Times New Roman" w:hAnsi="Times New Roman" w:cs="Times New Roman"/>
          <w:sz w:val="24"/>
          <w:szCs w:val="24"/>
          <w:lang w:val="en-US"/>
        </w:rPr>
        <w:t xml:space="preserve"> </w:t>
      </w:r>
    </w:p>
    <w:p w14:paraId="55C3DC7C" w14:textId="011818B1"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Riaboff, L., Shalloo, L., Smeaton, A. F., Couvreur, S., Madouasse, A., &amp; Keane, M. T. (2022). Predicting livestock behaviour using accelerometers: A systematic review of processing techniques for ruminant behaviour prediction from raw accelerometer data. </w:t>
      </w:r>
      <w:r w:rsidRPr="00B2506F">
        <w:rPr>
          <w:rFonts w:ascii="Times New Roman" w:eastAsia="Times New Roman" w:hAnsi="Times New Roman" w:cs="Times New Roman"/>
          <w:i/>
          <w:iCs/>
          <w:sz w:val="24"/>
          <w:szCs w:val="24"/>
          <w:lang w:val="en-US"/>
        </w:rPr>
        <w:t>Computers and Electronics in Agriculture, 192</w:t>
      </w:r>
      <w:r w:rsidRPr="00B2506F">
        <w:rPr>
          <w:rFonts w:ascii="Times New Roman" w:eastAsia="Times New Roman" w:hAnsi="Times New Roman" w:cs="Times New Roman"/>
          <w:sz w:val="24"/>
          <w:szCs w:val="24"/>
          <w:lang w:val="en-US"/>
        </w:rPr>
        <w:t xml:space="preserve">, Article 106610. </w:t>
      </w:r>
      <w:hyperlink r:id="rId38" w:tgtFrame="_new" w:history="1">
        <w:r w:rsidRPr="00B2506F">
          <w:rPr>
            <w:rFonts w:ascii="Times New Roman" w:eastAsia="Times New Roman" w:hAnsi="Times New Roman" w:cs="Times New Roman"/>
            <w:color w:val="0000FF"/>
            <w:sz w:val="24"/>
            <w:szCs w:val="24"/>
            <w:u w:val="single"/>
            <w:lang w:val="en-US"/>
          </w:rPr>
          <w:t>https://doi.org/10.1016/j.compag.2021.106610</w:t>
        </w:r>
      </w:hyperlink>
      <w:r w:rsidRPr="00B2506F">
        <w:rPr>
          <w:rFonts w:ascii="Times New Roman" w:eastAsia="Times New Roman" w:hAnsi="Times New Roman" w:cs="Times New Roman"/>
          <w:sz w:val="24"/>
          <w:szCs w:val="24"/>
          <w:lang w:val="en-US"/>
        </w:rPr>
        <w:t xml:space="preserve"> </w:t>
      </w:r>
    </w:p>
    <w:p w14:paraId="55EE65AD" w14:textId="1B09337E"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Rutten, C. J., Velthuis, A. G. J., Steeneveld, W., &amp; Hogeveen, H. (2013). </w:t>
      </w:r>
      <w:r w:rsidRPr="00B2506F">
        <w:rPr>
          <w:rFonts w:ascii="Times New Roman" w:eastAsia="Times New Roman" w:hAnsi="Times New Roman" w:cs="Times New Roman"/>
          <w:sz w:val="24"/>
          <w:szCs w:val="24"/>
          <w:lang w:val="en-US"/>
        </w:rPr>
        <w:t xml:space="preserve">Invited review: Sensors to support health management on dairy farms. </w:t>
      </w:r>
      <w:r w:rsidRPr="00B2506F">
        <w:rPr>
          <w:rFonts w:ascii="Times New Roman" w:eastAsia="Times New Roman" w:hAnsi="Times New Roman" w:cs="Times New Roman"/>
          <w:i/>
          <w:iCs/>
          <w:sz w:val="24"/>
          <w:szCs w:val="24"/>
          <w:lang w:val="en-US"/>
        </w:rPr>
        <w:t>Journal of Dairy Science, 96</w:t>
      </w:r>
      <w:r w:rsidRPr="00B2506F">
        <w:rPr>
          <w:rFonts w:ascii="Times New Roman" w:eastAsia="Times New Roman" w:hAnsi="Times New Roman" w:cs="Times New Roman"/>
          <w:sz w:val="24"/>
          <w:szCs w:val="24"/>
          <w:lang w:val="en-US"/>
        </w:rPr>
        <w:t xml:space="preserve">(4), 1928–1952. </w:t>
      </w:r>
      <w:hyperlink r:id="rId39" w:tgtFrame="_new" w:history="1">
        <w:r w:rsidRPr="00B2506F">
          <w:rPr>
            <w:rFonts w:ascii="Times New Roman" w:eastAsia="Times New Roman" w:hAnsi="Times New Roman" w:cs="Times New Roman"/>
            <w:color w:val="0000FF"/>
            <w:sz w:val="24"/>
            <w:szCs w:val="24"/>
            <w:u w:val="single"/>
            <w:lang w:val="en-US"/>
          </w:rPr>
          <w:t>https://doi.org/10.3168/jds.2012-6107</w:t>
        </w:r>
      </w:hyperlink>
      <w:r w:rsidRPr="00B2506F">
        <w:rPr>
          <w:rFonts w:ascii="Times New Roman" w:eastAsia="Times New Roman" w:hAnsi="Times New Roman" w:cs="Times New Roman"/>
          <w:sz w:val="24"/>
          <w:szCs w:val="24"/>
          <w:lang w:val="en-US"/>
        </w:rPr>
        <w:t xml:space="preserve"> </w:t>
      </w:r>
    </w:p>
    <w:p w14:paraId="35BF7584" w14:textId="7C1379AA"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lastRenderedPageBreak/>
        <w:t xml:space="preserve">Schlageter-Tello, A., Bokkers, E. A. M., Groot Koerkamp, P. W. G., van Hertem, T., Viazzi, S., Romanini, C. E. B., Halachmi, I., Bahr, C., Berckmans, D., &amp; Lokhorst, K. (2014). </w:t>
      </w:r>
      <w:r w:rsidRPr="00B2506F">
        <w:rPr>
          <w:rFonts w:ascii="Times New Roman" w:eastAsia="Times New Roman" w:hAnsi="Times New Roman" w:cs="Times New Roman"/>
          <w:sz w:val="24"/>
          <w:szCs w:val="24"/>
          <w:lang w:val="en-US"/>
        </w:rPr>
        <w:t xml:space="preserve">Manual and automatic locomotion scoring systems in dairy cows: A review. </w:t>
      </w:r>
      <w:r w:rsidRPr="00B2506F">
        <w:rPr>
          <w:rFonts w:ascii="Times New Roman" w:eastAsia="Times New Roman" w:hAnsi="Times New Roman" w:cs="Times New Roman"/>
          <w:i/>
          <w:iCs/>
          <w:sz w:val="24"/>
          <w:szCs w:val="24"/>
          <w:lang w:val="en-US"/>
        </w:rPr>
        <w:t>Preventive Veterinary Medicine, 116</w:t>
      </w:r>
      <w:r w:rsidRPr="00B2506F">
        <w:rPr>
          <w:rFonts w:ascii="Times New Roman" w:eastAsia="Times New Roman" w:hAnsi="Times New Roman" w:cs="Times New Roman"/>
          <w:sz w:val="24"/>
          <w:szCs w:val="24"/>
          <w:lang w:val="en-US"/>
        </w:rPr>
        <w:t xml:space="preserve">(1–2), 12–25. </w:t>
      </w:r>
      <w:hyperlink r:id="rId40" w:tgtFrame="_new" w:history="1">
        <w:r w:rsidRPr="00B2506F">
          <w:rPr>
            <w:rFonts w:ascii="Times New Roman" w:eastAsia="Times New Roman" w:hAnsi="Times New Roman" w:cs="Times New Roman"/>
            <w:color w:val="0000FF"/>
            <w:sz w:val="24"/>
            <w:szCs w:val="24"/>
            <w:u w:val="single"/>
            <w:lang w:val="en-US"/>
          </w:rPr>
          <w:t>https://doi.org/10.1016/j.prevetmed.2014.06.006</w:t>
        </w:r>
      </w:hyperlink>
      <w:r w:rsidRPr="00B2506F">
        <w:rPr>
          <w:rFonts w:ascii="Times New Roman" w:eastAsia="Times New Roman" w:hAnsi="Times New Roman" w:cs="Times New Roman"/>
          <w:sz w:val="24"/>
          <w:szCs w:val="24"/>
          <w:lang w:val="en-US"/>
        </w:rPr>
        <w:t xml:space="preserve"> </w:t>
      </w:r>
    </w:p>
    <w:p w14:paraId="0D0C105D" w14:textId="695355A7"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Shahinfar, S., Page, D., Guenther, J., Cabrera, V., Fricke, P., &amp; Weigel, K. (2014). Prediction of insemination outcomes in Holstein dairy cattle using alternative machine learning algorithms. </w:t>
      </w:r>
      <w:r w:rsidRPr="00B2506F">
        <w:rPr>
          <w:rFonts w:ascii="Times New Roman" w:eastAsia="Times New Roman" w:hAnsi="Times New Roman" w:cs="Times New Roman"/>
          <w:i/>
          <w:iCs/>
          <w:sz w:val="24"/>
          <w:szCs w:val="24"/>
          <w:lang w:val="en-US"/>
        </w:rPr>
        <w:t>Journal of Dairy Science, 97</w:t>
      </w:r>
      <w:r w:rsidRPr="00B2506F">
        <w:rPr>
          <w:rFonts w:ascii="Times New Roman" w:eastAsia="Times New Roman" w:hAnsi="Times New Roman" w:cs="Times New Roman"/>
          <w:sz w:val="24"/>
          <w:szCs w:val="24"/>
          <w:lang w:val="en-US"/>
        </w:rPr>
        <w:t xml:space="preserve">(2), 731–742. </w:t>
      </w:r>
      <w:hyperlink r:id="rId41" w:tgtFrame="_new" w:history="1">
        <w:r w:rsidRPr="00B2506F">
          <w:rPr>
            <w:rFonts w:ascii="Times New Roman" w:eastAsia="Times New Roman" w:hAnsi="Times New Roman" w:cs="Times New Roman"/>
            <w:color w:val="0000FF"/>
            <w:sz w:val="24"/>
            <w:szCs w:val="24"/>
            <w:u w:val="single"/>
            <w:lang w:val="en-US"/>
          </w:rPr>
          <w:t>https://doi.org/10.3168/jds.2013-6693</w:t>
        </w:r>
      </w:hyperlink>
      <w:r w:rsidRPr="00B2506F">
        <w:rPr>
          <w:rFonts w:ascii="Times New Roman" w:eastAsia="Times New Roman" w:hAnsi="Times New Roman" w:cs="Times New Roman"/>
          <w:sz w:val="24"/>
          <w:szCs w:val="24"/>
          <w:lang w:val="en-US"/>
        </w:rPr>
        <w:t xml:space="preserve"> </w:t>
      </w:r>
    </w:p>
    <w:p w14:paraId="22DC773C" w14:textId="4117B2E0"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Siachos, N., Griffiths, B. E., Wilson, J. P., Bedford, C., Anagnostopoulos, A., Neary, J. M., Smith, R. F., &amp; Oikonomou, G. (2025). Evaluation of a fully automated 2-dimensional imaging system for real-time cattle lameness detection using machine learning. </w:t>
      </w:r>
      <w:r w:rsidRPr="00B2506F">
        <w:rPr>
          <w:rFonts w:ascii="Times New Roman" w:eastAsia="Times New Roman" w:hAnsi="Times New Roman" w:cs="Times New Roman"/>
          <w:i/>
          <w:iCs/>
          <w:sz w:val="24"/>
          <w:szCs w:val="24"/>
          <w:lang w:val="en-US"/>
        </w:rPr>
        <w:t>Journal of Dairy Science, 108</w:t>
      </w:r>
      <w:r w:rsidRPr="00B2506F">
        <w:rPr>
          <w:rFonts w:ascii="Times New Roman" w:eastAsia="Times New Roman" w:hAnsi="Times New Roman" w:cs="Times New Roman"/>
          <w:sz w:val="24"/>
          <w:szCs w:val="24"/>
          <w:lang w:val="en-US"/>
        </w:rPr>
        <w:t xml:space="preserve">(4), 4206–4224. </w:t>
      </w:r>
      <w:hyperlink r:id="rId42" w:tgtFrame="_new" w:history="1">
        <w:r w:rsidRPr="00B2506F">
          <w:rPr>
            <w:rFonts w:ascii="Times New Roman" w:eastAsia="Times New Roman" w:hAnsi="Times New Roman" w:cs="Times New Roman"/>
            <w:color w:val="0000FF"/>
            <w:sz w:val="24"/>
            <w:szCs w:val="24"/>
            <w:u w:val="single"/>
            <w:lang w:val="en-US"/>
          </w:rPr>
          <w:t>https://doi.org/10.3168/jds.2024-25940</w:t>
        </w:r>
      </w:hyperlink>
      <w:r w:rsidRPr="00B2506F">
        <w:rPr>
          <w:rFonts w:ascii="Times New Roman" w:eastAsia="Times New Roman" w:hAnsi="Times New Roman" w:cs="Times New Roman"/>
          <w:sz w:val="24"/>
          <w:szCs w:val="24"/>
          <w:lang w:val="en-US"/>
        </w:rPr>
        <w:t xml:space="preserve"> </w:t>
      </w:r>
    </w:p>
    <w:p w14:paraId="7ED6FC27" w14:textId="7C5C02B4"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nl-BE"/>
        </w:rPr>
      </w:pPr>
      <w:r w:rsidRPr="00B2506F">
        <w:rPr>
          <w:rFonts w:ascii="Times New Roman" w:eastAsia="Times New Roman" w:hAnsi="Times New Roman" w:cs="Times New Roman"/>
          <w:sz w:val="24"/>
          <w:szCs w:val="24"/>
          <w:lang w:val="en-US"/>
        </w:rPr>
        <w:t xml:space="preserve">Snyder, H. (2019). Literature review as a research methodology: An overview and guidelines. </w:t>
      </w:r>
      <w:r w:rsidRPr="00B2506F">
        <w:rPr>
          <w:rFonts w:ascii="Times New Roman" w:eastAsia="Times New Roman" w:hAnsi="Times New Roman" w:cs="Times New Roman"/>
          <w:i/>
          <w:iCs/>
          <w:sz w:val="24"/>
          <w:szCs w:val="24"/>
          <w:lang w:val="nl-BE"/>
        </w:rPr>
        <w:t>Journal of Business Research, 104</w:t>
      </w:r>
      <w:r w:rsidRPr="00B2506F">
        <w:rPr>
          <w:rFonts w:ascii="Times New Roman" w:eastAsia="Times New Roman" w:hAnsi="Times New Roman" w:cs="Times New Roman"/>
          <w:sz w:val="24"/>
          <w:szCs w:val="24"/>
          <w:lang w:val="nl-BE"/>
        </w:rPr>
        <w:t xml:space="preserve">, 333–339. </w:t>
      </w:r>
      <w:hyperlink r:id="rId43" w:tgtFrame="_new" w:history="1">
        <w:r w:rsidRPr="00B2506F">
          <w:rPr>
            <w:rFonts w:ascii="Times New Roman" w:eastAsia="Times New Roman" w:hAnsi="Times New Roman" w:cs="Times New Roman"/>
            <w:color w:val="0000FF"/>
            <w:sz w:val="24"/>
            <w:szCs w:val="24"/>
            <w:u w:val="single"/>
            <w:lang w:val="nl-BE"/>
          </w:rPr>
          <w:t>https://doi.org/10.1016/j.jbusres.2019.07.039</w:t>
        </w:r>
      </w:hyperlink>
      <w:r w:rsidRPr="00B2506F">
        <w:rPr>
          <w:rFonts w:ascii="Times New Roman" w:eastAsia="Times New Roman" w:hAnsi="Times New Roman" w:cs="Times New Roman"/>
          <w:sz w:val="24"/>
          <w:szCs w:val="24"/>
          <w:lang w:val="nl-BE"/>
        </w:rPr>
        <w:t xml:space="preserve"> </w:t>
      </w:r>
    </w:p>
    <w:p w14:paraId="18946FB0" w14:textId="3B8CE1EF"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nl-BE"/>
        </w:rPr>
      </w:pPr>
      <w:r w:rsidRPr="00B2506F">
        <w:rPr>
          <w:rFonts w:ascii="Times New Roman" w:eastAsia="Times New Roman" w:hAnsi="Times New Roman" w:cs="Times New Roman"/>
          <w:sz w:val="24"/>
          <w:szCs w:val="24"/>
          <w:lang w:val="nl-BE"/>
        </w:rPr>
        <w:t xml:space="preserve">Song, X., Bokkers, E. A. M., van Mourik, S., Groot Koerkamp, P. W. G., &amp; van der Tol, P. P. J. (2019). </w:t>
      </w:r>
      <w:r w:rsidRPr="00B2506F">
        <w:rPr>
          <w:rFonts w:ascii="Times New Roman" w:eastAsia="Times New Roman" w:hAnsi="Times New Roman" w:cs="Times New Roman"/>
          <w:sz w:val="24"/>
          <w:szCs w:val="24"/>
          <w:lang w:val="en-US"/>
        </w:rPr>
        <w:t xml:space="preserve">Automated body condition scoring of dairy cows using 3-dimensional feature extraction from multiple body regions. </w:t>
      </w:r>
      <w:r w:rsidRPr="00B2506F">
        <w:rPr>
          <w:rFonts w:ascii="Times New Roman" w:eastAsia="Times New Roman" w:hAnsi="Times New Roman" w:cs="Times New Roman"/>
          <w:i/>
          <w:iCs/>
          <w:sz w:val="24"/>
          <w:szCs w:val="24"/>
          <w:lang w:val="nl-BE"/>
        </w:rPr>
        <w:t>Journal of Dairy Science, 102</w:t>
      </w:r>
      <w:r w:rsidRPr="00B2506F">
        <w:rPr>
          <w:rFonts w:ascii="Times New Roman" w:eastAsia="Times New Roman" w:hAnsi="Times New Roman" w:cs="Times New Roman"/>
          <w:sz w:val="24"/>
          <w:szCs w:val="24"/>
          <w:lang w:val="nl-BE"/>
        </w:rPr>
        <w:t xml:space="preserve">(5), 4294–4308. </w:t>
      </w:r>
      <w:hyperlink r:id="rId44" w:tgtFrame="_new" w:history="1">
        <w:r w:rsidRPr="00B2506F">
          <w:rPr>
            <w:rFonts w:ascii="Times New Roman" w:eastAsia="Times New Roman" w:hAnsi="Times New Roman" w:cs="Times New Roman"/>
            <w:color w:val="0000FF"/>
            <w:sz w:val="24"/>
            <w:szCs w:val="24"/>
            <w:u w:val="single"/>
            <w:lang w:val="nl-BE"/>
          </w:rPr>
          <w:t>https://doi.org/10.3168/jds.2018-15238</w:t>
        </w:r>
      </w:hyperlink>
      <w:r w:rsidRPr="00B2506F">
        <w:rPr>
          <w:rFonts w:ascii="Times New Roman" w:eastAsia="Times New Roman" w:hAnsi="Times New Roman" w:cs="Times New Roman"/>
          <w:sz w:val="24"/>
          <w:szCs w:val="24"/>
          <w:lang w:val="nl-BE"/>
        </w:rPr>
        <w:t xml:space="preserve"> </w:t>
      </w:r>
    </w:p>
    <w:p w14:paraId="118D6ECF" w14:textId="2C466A94"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Steeneveld, W., van der Gaag, L. C., Ouweltjes, W., Mollenhorst, H., &amp; Hogeveen, H. (2010). </w:t>
      </w:r>
      <w:r w:rsidRPr="00B2506F">
        <w:rPr>
          <w:rFonts w:ascii="Times New Roman" w:eastAsia="Times New Roman" w:hAnsi="Times New Roman" w:cs="Times New Roman"/>
          <w:sz w:val="24"/>
          <w:szCs w:val="24"/>
          <w:lang w:val="en-US"/>
        </w:rPr>
        <w:t xml:space="preserve">Discriminating between true-positive and false-positive clinical mastitis alerts from automatic milking systems. </w:t>
      </w:r>
      <w:r w:rsidRPr="00B2506F">
        <w:rPr>
          <w:rFonts w:ascii="Times New Roman" w:eastAsia="Times New Roman" w:hAnsi="Times New Roman" w:cs="Times New Roman"/>
          <w:i/>
          <w:iCs/>
          <w:sz w:val="24"/>
          <w:szCs w:val="24"/>
          <w:lang w:val="en-US"/>
        </w:rPr>
        <w:t>Journal of Dairy Science, 93</w:t>
      </w:r>
      <w:r w:rsidRPr="00B2506F">
        <w:rPr>
          <w:rFonts w:ascii="Times New Roman" w:eastAsia="Times New Roman" w:hAnsi="Times New Roman" w:cs="Times New Roman"/>
          <w:sz w:val="24"/>
          <w:szCs w:val="24"/>
          <w:lang w:val="en-US"/>
        </w:rPr>
        <w:t xml:space="preserve">(6), 2559–2568. </w:t>
      </w:r>
      <w:hyperlink r:id="rId45" w:tgtFrame="_new" w:history="1">
        <w:r w:rsidRPr="00B2506F">
          <w:rPr>
            <w:rFonts w:ascii="Times New Roman" w:eastAsia="Times New Roman" w:hAnsi="Times New Roman" w:cs="Times New Roman"/>
            <w:color w:val="0000FF"/>
            <w:sz w:val="24"/>
            <w:szCs w:val="24"/>
            <w:u w:val="single"/>
            <w:lang w:val="en-US"/>
          </w:rPr>
          <w:t>https://doi.org/10.3168/jds.2009-3020</w:t>
        </w:r>
      </w:hyperlink>
      <w:r w:rsidRPr="00B2506F">
        <w:rPr>
          <w:rFonts w:ascii="Times New Roman" w:eastAsia="Times New Roman" w:hAnsi="Times New Roman" w:cs="Times New Roman"/>
          <w:sz w:val="24"/>
          <w:szCs w:val="24"/>
          <w:lang w:val="en-US"/>
        </w:rPr>
        <w:t xml:space="preserve"> </w:t>
      </w:r>
    </w:p>
    <w:p w14:paraId="79E0B3B1" w14:textId="68ABF782"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Tassinari, P., Bovo, M., Benni, S., Franzoni, S., Poggi, M., Mammi, L. M. E., Mattoccia, S., Di Stefano, L., Bonora, F., Barbaresi, A., Santolini, E., &amp; Torreggiani, D. (2021). A computer vision approach based on deep learning for the detection of dairy cows in free stall barn. </w:t>
      </w:r>
      <w:r w:rsidRPr="00B2506F">
        <w:rPr>
          <w:rFonts w:ascii="Times New Roman" w:eastAsia="Times New Roman" w:hAnsi="Times New Roman" w:cs="Times New Roman"/>
          <w:i/>
          <w:iCs/>
          <w:sz w:val="24"/>
          <w:szCs w:val="24"/>
          <w:lang w:val="en-US"/>
        </w:rPr>
        <w:t>Computers and Electronics in Agriculture, 182</w:t>
      </w:r>
      <w:r w:rsidRPr="00B2506F">
        <w:rPr>
          <w:rFonts w:ascii="Times New Roman" w:eastAsia="Times New Roman" w:hAnsi="Times New Roman" w:cs="Times New Roman"/>
          <w:sz w:val="24"/>
          <w:szCs w:val="24"/>
          <w:lang w:val="en-US"/>
        </w:rPr>
        <w:t xml:space="preserve">, Article 106030. </w:t>
      </w:r>
      <w:hyperlink r:id="rId46" w:tgtFrame="_new" w:history="1">
        <w:r w:rsidRPr="00B2506F">
          <w:rPr>
            <w:rFonts w:ascii="Times New Roman" w:eastAsia="Times New Roman" w:hAnsi="Times New Roman" w:cs="Times New Roman"/>
            <w:color w:val="0000FF"/>
            <w:sz w:val="24"/>
            <w:szCs w:val="24"/>
            <w:u w:val="single"/>
            <w:lang w:val="en-US"/>
          </w:rPr>
          <w:t>https://doi.org/10.1016/j.compag.2021.106030</w:t>
        </w:r>
      </w:hyperlink>
      <w:r w:rsidRPr="00B2506F">
        <w:rPr>
          <w:rFonts w:ascii="Times New Roman" w:eastAsia="Times New Roman" w:hAnsi="Times New Roman" w:cs="Times New Roman"/>
          <w:sz w:val="24"/>
          <w:szCs w:val="24"/>
          <w:lang w:val="en-US"/>
        </w:rPr>
        <w:t xml:space="preserve"> </w:t>
      </w:r>
    </w:p>
    <w:p w14:paraId="3C5A8BDB" w14:textId="749B1214"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nl-BE"/>
        </w:rPr>
        <w:t xml:space="preserve">Van Hertem, T., Schlageter Tello, A., Viazzi, S., Steensels, M., Bahr, C., Romanini, C. E. B., Lokhorst, K., Maltz, E., Halachmi, I., &amp; Berckmans, D. (2018). </w:t>
      </w:r>
      <w:r w:rsidRPr="00B2506F">
        <w:rPr>
          <w:rFonts w:ascii="Times New Roman" w:eastAsia="Times New Roman" w:hAnsi="Times New Roman" w:cs="Times New Roman"/>
          <w:sz w:val="24"/>
          <w:szCs w:val="24"/>
          <w:lang w:val="en-US"/>
        </w:rPr>
        <w:t xml:space="preserve">Implementation of an automatic 3D vision monitor for dairy cow locomotion in a commercial farm. </w:t>
      </w:r>
      <w:r w:rsidRPr="00B2506F">
        <w:rPr>
          <w:rFonts w:ascii="Times New Roman" w:eastAsia="Times New Roman" w:hAnsi="Times New Roman" w:cs="Times New Roman"/>
          <w:i/>
          <w:iCs/>
          <w:sz w:val="24"/>
          <w:szCs w:val="24"/>
          <w:lang w:val="en-US"/>
        </w:rPr>
        <w:t>Biosystems Engineering, 173</w:t>
      </w:r>
      <w:r w:rsidRPr="00B2506F">
        <w:rPr>
          <w:rFonts w:ascii="Times New Roman" w:eastAsia="Times New Roman" w:hAnsi="Times New Roman" w:cs="Times New Roman"/>
          <w:sz w:val="24"/>
          <w:szCs w:val="24"/>
          <w:lang w:val="en-US"/>
        </w:rPr>
        <w:t xml:space="preserve">, 166–175. </w:t>
      </w:r>
      <w:hyperlink r:id="rId47" w:tgtFrame="_new" w:history="1">
        <w:r w:rsidRPr="00B2506F">
          <w:rPr>
            <w:rFonts w:ascii="Times New Roman" w:eastAsia="Times New Roman" w:hAnsi="Times New Roman" w:cs="Times New Roman"/>
            <w:color w:val="0000FF"/>
            <w:sz w:val="24"/>
            <w:szCs w:val="24"/>
            <w:u w:val="single"/>
            <w:lang w:val="en-US"/>
          </w:rPr>
          <w:t>https://doi.org/10.1016/j.biosystemseng.2017.08.011</w:t>
        </w:r>
      </w:hyperlink>
      <w:r w:rsidRPr="00B2506F">
        <w:rPr>
          <w:rFonts w:ascii="Times New Roman" w:eastAsia="Times New Roman" w:hAnsi="Times New Roman" w:cs="Times New Roman"/>
          <w:sz w:val="24"/>
          <w:szCs w:val="24"/>
          <w:lang w:val="en-US"/>
        </w:rPr>
        <w:t xml:space="preserve"> </w:t>
      </w:r>
    </w:p>
    <w:p w14:paraId="78B42274" w14:textId="676BE995"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en-US"/>
        </w:rPr>
      </w:pPr>
      <w:r w:rsidRPr="00B2506F">
        <w:rPr>
          <w:rFonts w:ascii="Times New Roman" w:eastAsia="Times New Roman" w:hAnsi="Times New Roman" w:cs="Times New Roman"/>
          <w:sz w:val="24"/>
          <w:szCs w:val="24"/>
          <w:lang w:val="en-US"/>
        </w:rPr>
        <w:t xml:space="preserve">Vandermeulen, J., Bahr, C., Johnston, D., Earley, B., Tullo, E., Fontana, I., Guarino, M., Exadaktylos, V., &amp; Berckmans, D. (2016). Early recognition of bovine respiratory disease in calves using automated continuous monitoring of cough sounds. </w:t>
      </w:r>
      <w:r w:rsidRPr="00B2506F">
        <w:rPr>
          <w:rFonts w:ascii="Times New Roman" w:eastAsia="Times New Roman" w:hAnsi="Times New Roman" w:cs="Times New Roman"/>
          <w:i/>
          <w:iCs/>
          <w:sz w:val="24"/>
          <w:szCs w:val="24"/>
          <w:lang w:val="en-US"/>
        </w:rPr>
        <w:t>Computers and Electronics in Agriculture, 129</w:t>
      </w:r>
      <w:r w:rsidRPr="00B2506F">
        <w:rPr>
          <w:rFonts w:ascii="Times New Roman" w:eastAsia="Times New Roman" w:hAnsi="Times New Roman" w:cs="Times New Roman"/>
          <w:sz w:val="24"/>
          <w:szCs w:val="24"/>
          <w:lang w:val="en-US"/>
        </w:rPr>
        <w:t xml:space="preserve">, 15–26. </w:t>
      </w:r>
      <w:hyperlink r:id="rId48" w:tgtFrame="_new" w:history="1">
        <w:r w:rsidRPr="00B2506F">
          <w:rPr>
            <w:rFonts w:ascii="Times New Roman" w:eastAsia="Times New Roman" w:hAnsi="Times New Roman" w:cs="Times New Roman"/>
            <w:color w:val="0000FF"/>
            <w:sz w:val="24"/>
            <w:szCs w:val="24"/>
            <w:u w:val="single"/>
            <w:lang w:val="en-US"/>
          </w:rPr>
          <w:t>https://doi.org/10.1016/j.compag.2016.07.014</w:t>
        </w:r>
      </w:hyperlink>
      <w:r w:rsidRPr="00B2506F">
        <w:rPr>
          <w:rFonts w:ascii="Times New Roman" w:eastAsia="Times New Roman" w:hAnsi="Times New Roman" w:cs="Times New Roman"/>
          <w:sz w:val="24"/>
          <w:szCs w:val="24"/>
          <w:lang w:val="en-US"/>
        </w:rPr>
        <w:t xml:space="preserve"> </w:t>
      </w:r>
    </w:p>
    <w:p w14:paraId="319AAA70" w14:textId="3F7D6043" w:rsidR="00B2506F" w:rsidRPr="00B2506F" w:rsidRDefault="00B2506F" w:rsidP="00B2506F">
      <w:pPr>
        <w:spacing w:after="0" w:line="240" w:lineRule="auto"/>
        <w:ind w:left="540" w:hanging="540"/>
        <w:jc w:val="both"/>
        <w:rPr>
          <w:rFonts w:ascii="Times New Roman" w:eastAsia="Times New Roman" w:hAnsi="Times New Roman" w:cs="Times New Roman"/>
          <w:sz w:val="24"/>
          <w:szCs w:val="24"/>
          <w:lang w:val="nl-BE"/>
        </w:rPr>
      </w:pPr>
      <w:r w:rsidRPr="00B2506F">
        <w:rPr>
          <w:rFonts w:ascii="Times New Roman" w:eastAsia="Times New Roman" w:hAnsi="Times New Roman" w:cs="Times New Roman"/>
          <w:sz w:val="24"/>
          <w:szCs w:val="24"/>
          <w:lang w:val="en-US"/>
        </w:rPr>
        <w:t xml:space="preserve">Werner, J., Leso, L., Umstätter, C., Niederhauser, J., Kennedy, E., Geoghegan, A., Shalloo, L., Schick, M., &amp; O’Brien, B. (2018). Evaluation of the RumiWatchSystem for measuring grazing behaviour of cows. </w:t>
      </w:r>
      <w:r w:rsidRPr="00B2506F">
        <w:rPr>
          <w:rFonts w:ascii="Times New Roman" w:eastAsia="Times New Roman" w:hAnsi="Times New Roman" w:cs="Times New Roman"/>
          <w:i/>
          <w:iCs/>
          <w:sz w:val="24"/>
          <w:szCs w:val="24"/>
          <w:lang w:val="nl-BE"/>
        </w:rPr>
        <w:t>Journal of Neuroscience Methods, 300</w:t>
      </w:r>
      <w:r w:rsidRPr="00B2506F">
        <w:rPr>
          <w:rFonts w:ascii="Times New Roman" w:eastAsia="Times New Roman" w:hAnsi="Times New Roman" w:cs="Times New Roman"/>
          <w:sz w:val="24"/>
          <w:szCs w:val="24"/>
          <w:lang w:val="nl-BE"/>
        </w:rPr>
        <w:t xml:space="preserve">, 138–146. </w:t>
      </w:r>
      <w:hyperlink r:id="rId49" w:tgtFrame="_new" w:history="1">
        <w:r w:rsidRPr="00B2506F">
          <w:rPr>
            <w:rFonts w:ascii="Times New Roman" w:eastAsia="Times New Roman" w:hAnsi="Times New Roman" w:cs="Times New Roman"/>
            <w:color w:val="0000FF"/>
            <w:sz w:val="24"/>
            <w:szCs w:val="24"/>
            <w:u w:val="single"/>
            <w:lang w:val="nl-BE"/>
          </w:rPr>
          <w:t>https://doi.org/10.1016/j.jneumeth.2017.08.022</w:t>
        </w:r>
      </w:hyperlink>
      <w:r w:rsidRPr="00B2506F">
        <w:rPr>
          <w:rFonts w:ascii="Times New Roman" w:eastAsia="Times New Roman" w:hAnsi="Times New Roman" w:cs="Times New Roman"/>
          <w:sz w:val="24"/>
          <w:szCs w:val="24"/>
          <w:lang w:val="nl-BE"/>
        </w:rPr>
        <w:t xml:space="preserve"> </w:t>
      </w:r>
    </w:p>
    <w:p w14:paraId="6DB34C93" w14:textId="6CD384B7" w:rsidR="00B9736D" w:rsidRDefault="00B2506F" w:rsidP="00B2506F">
      <w:pPr>
        <w:ind w:left="540" w:hanging="540"/>
        <w:jc w:val="both"/>
      </w:pPr>
      <w:r w:rsidRPr="00B2506F">
        <w:rPr>
          <w:rFonts w:ascii="Times New Roman" w:eastAsia="Times New Roman" w:hAnsi="Times New Roman" w:cs="Times New Roman"/>
          <w:sz w:val="24"/>
          <w:szCs w:val="24"/>
          <w:lang w:val="nl-BE"/>
        </w:rPr>
        <w:t xml:space="preserve">Xu, W., van Knegsel, A. T. M., Vervoort, J. J. M., Bruckmaier, R. M., van Hoeij, R. J., Kemp, B., &amp; Saccenti, E. (2019). </w:t>
      </w:r>
      <w:r w:rsidRPr="00B2506F">
        <w:rPr>
          <w:rFonts w:ascii="Times New Roman" w:eastAsia="Times New Roman" w:hAnsi="Times New Roman" w:cs="Times New Roman"/>
          <w:sz w:val="24"/>
          <w:szCs w:val="24"/>
          <w:lang w:val="en-US"/>
        </w:rPr>
        <w:t xml:space="preserve">Prediction of metabolic status of dairy cows in early lactation with on-farm cow data and machine learning algorithms. </w:t>
      </w:r>
      <w:r w:rsidRPr="00B2506F">
        <w:rPr>
          <w:rFonts w:ascii="Times New Roman" w:eastAsia="Times New Roman" w:hAnsi="Times New Roman" w:cs="Times New Roman"/>
          <w:i/>
          <w:iCs/>
          <w:sz w:val="24"/>
          <w:szCs w:val="24"/>
          <w:lang w:val="en-US"/>
        </w:rPr>
        <w:t>Journal of Dairy Science, 102</w:t>
      </w:r>
      <w:r w:rsidRPr="00B2506F">
        <w:rPr>
          <w:rFonts w:ascii="Times New Roman" w:eastAsia="Times New Roman" w:hAnsi="Times New Roman" w:cs="Times New Roman"/>
          <w:sz w:val="24"/>
          <w:szCs w:val="24"/>
          <w:lang w:val="en-US"/>
        </w:rPr>
        <w:t xml:space="preserve">(11), 10186–10201. </w:t>
      </w:r>
      <w:hyperlink r:id="rId50" w:tgtFrame="_new" w:history="1">
        <w:r w:rsidRPr="00B2506F">
          <w:rPr>
            <w:rFonts w:ascii="Times New Roman" w:eastAsia="Times New Roman" w:hAnsi="Times New Roman" w:cs="Times New Roman"/>
            <w:color w:val="0000FF"/>
            <w:sz w:val="24"/>
            <w:szCs w:val="24"/>
            <w:u w:val="single"/>
            <w:lang w:val="en-US"/>
          </w:rPr>
          <w:t>https://doi.org/10.3168/jds.2018-15791</w:t>
        </w:r>
      </w:hyperlink>
    </w:p>
    <w:sectPr w:rsidR="00B9736D" w:rsidSect="004841B3">
      <w:headerReference w:type="even" r:id="rId51"/>
      <w:headerReference w:type="default" r:id="rId52"/>
      <w:footerReference w:type="even" r:id="rId53"/>
      <w:footerReference w:type="default" r:id="rId54"/>
      <w:headerReference w:type="first" r:id="rId55"/>
      <w:footerReference w:type="first" r:id="rId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9D086" w14:textId="77777777" w:rsidR="006D698F" w:rsidRDefault="006D698F" w:rsidP="00F37288">
      <w:pPr>
        <w:spacing w:after="0" w:line="240" w:lineRule="auto"/>
      </w:pPr>
      <w:r>
        <w:separator/>
      </w:r>
    </w:p>
  </w:endnote>
  <w:endnote w:type="continuationSeparator" w:id="0">
    <w:p w14:paraId="1C7A937F" w14:textId="77777777" w:rsidR="006D698F" w:rsidRDefault="006D698F" w:rsidP="00F37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36D26" w14:textId="77777777" w:rsidR="00F37288" w:rsidRDefault="00F37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1B29" w14:textId="77777777" w:rsidR="00F37288" w:rsidRDefault="00F372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A0338" w14:textId="77777777" w:rsidR="00F37288" w:rsidRDefault="00F37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0BC66" w14:textId="77777777" w:rsidR="006D698F" w:rsidRDefault="006D698F" w:rsidP="00F37288">
      <w:pPr>
        <w:spacing w:after="0" w:line="240" w:lineRule="auto"/>
      </w:pPr>
      <w:r>
        <w:separator/>
      </w:r>
    </w:p>
  </w:footnote>
  <w:footnote w:type="continuationSeparator" w:id="0">
    <w:p w14:paraId="6E78AD18" w14:textId="77777777" w:rsidR="006D698F" w:rsidRDefault="006D698F" w:rsidP="00F37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7071B" w14:textId="77777777" w:rsidR="00F37288" w:rsidRDefault="00000000">
    <w:pPr>
      <w:pStyle w:val="Header"/>
    </w:pPr>
    <w:r>
      <w:rPr>
        <w:noProof/>
      </w:rPr>
      <w:pict w14:anchorId="34F40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1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6CAA7" w14:textId="77777777" w:rsidR="00F37288" w:rsidRDefault="00000000">
    <w:pPr>
      <w:pStyle w:val="Header"/>
    </w:pPr>
    <w:r>
      <w:rPr>
        <w:noProof/>
      </w:rPr>
      <w:pict w14:anchorId="646B8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1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537DC" w14:textId="77777777" w:rsidR="00F37288" w:rsidRDefault="00000000">
    <w:pPr>
      <w:pStyle w:val="Header"/>
    </w:pPr>
    <w:r>
      <w:rPr>
        <w:noProof/>
      </w:rPr>
      <w:pict w14:anchorId="38A86C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558560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92278"/>
    <w:multiLevelType w:val="hybridMultilevel"/>
    <w:tmpl w:val="3D962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451B9C"/>
    <w:multiLevelType w:val="hybridMultilevel"/>
    <w:tmpl w:val="C94A8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C872D0"/>
    <w:multiLevelType w:val="hybridMultilevel"/>
    <w:tmpl w:val="49F2216E"/>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F61ABE"/>
    <w:multiLevelType w:val="hybridMultilevel"/>
    <w:tmpl w:val="EB1C3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631443"/>
    <w:multiLevelType w:val="multilevel"/>
    <w:tmpl w:val="2B1C2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2A6BF6"/>
    <w:multiLevelType w:val="hybridMultilevel"/>
    <w:tmpl w:val="0CBA8394"/>
    <w:lvl w:ilvl="0" w:tplc="AD24D0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FE67C7"/>
    <w:multiLevelType w:val="hybridMultilevel"/>
    <w:tmpl w:val="1EB0C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BB77D9"/>
    <w:multiLevelType w:val="hybridMultilevel"/>
    <w:tmpl w:val="18085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5574768">
    <w:abstractNumId w:val="7"/>
  </w:num>
  <w:num w:numId="2" w16cid:durableId="1711105829">
    <w:abstractNumId w:val="4"/>
  </w:num>
  <w:num w:numId="3" w16cid:durableId="249775326">
    <w:abstractNumId w:val="3"/>
  </w:num>
  <w:num w:numId="4" w16cid:durableId="1627153478">
    <w:abstractNumId w:val="1"/>
  </w:num>
  <w:num w:numId="5" w16cid:durableId="841705630">
    <w:abstractNumId w:val="6"/>
  </w:num>
  <w:num w:numId="6" w16cid:durableId="1349255741">
    <w:abstractNumId w:val="5"/>
  </w:num>
  <w:num w:numId="7" w16cid:durableId="296379022">
    <w:abstractNumId w:val="0"/>
  </w:num>
  <w:num w:numId="8" w16cid:durableId="445852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M0MjM3MzGxNDCxMDFU0lEKTi0uzszPAykwrAUAvY4D2ywAAAA="/>
  </w:docVars>
  <w:rsids>
    <w:rsidRoot w:val="00426723"/>
    <w:rsid w:val="00012974"/>
    <w:rsid w:val="00042438"/>
    <w:rsid w:val="00063513"/>
    <w:rsid w:val="001340B8"/>
    <w:rsid w:val="00187285"/>
    <w:rsid w:val="00194DA0"/>
    <w:rsid w:val="0031311D"/>
    <w:rsid w:val="00364C0E"/>
    <w:rsid w:val="00426723"/>
    <w:rsid w:val="00466CE1"/>
    <w:rsid w:val="004841B3"/>
    <w:rsid w:val="005356CE"/>
    <w:rsid w:val="0057147E"/>
    <w:rsid w:val="0059013D"/>
    <w:rsid w:val="005C7535"/>
    <w:rsid w:val="00685962"/>
    <w:rsid w:val="006D698F"/>
    <w:rsid w:val="00760295"/>
    <w:rsid w:val="007A71DF"/>
    <w:rsid w:val="008669DD"/>
    <w:rsid w:val="008C257E"/>
    <w:rsid w:val="00970F5B"/>
    <w:rsid w:val="00A141CE"/>
    <w:rsid w:val="00A610EE"/>
    <w:rsid w:val="00AA16D9"/>
    <w:rsid w:val="00B01A05"/>
    <w:rsid w:val="00B2506F"/>
    <w:rsid w:val="00B53D4C"/>
    <w:rsid w:val="00B54B4B"/>
    <w:rsid w:val="00B83531"/>
    <w:rsid w:val="00B9736D"/>
    <w:rsid w:val="00C70A8A"/>
    <w:rsid w:val="00CB34BD"/>
    <w:rsid w:val="00CC1FF8"/>
    <w:rsid w:val="00DC7B30"/>
    <w:rsid w:val="00E07923"/>
    <w:rsid w:val="00E41351"/>
    <w:rsid w:val="00F1060D"/>
    <w:rsid w:val="00F37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0B44D"/>
  <w15:docId w15:val="{757065A1-ADCE-4BF7-B70F-6254CEB7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42672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2672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42672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2672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2672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426723"/>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42672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26723"/>
    <w:rPr>
      <w:b/>
      <w:bCs/>
    </w:rPr>
  </w:style>
  <w:style w:type="character" w:styleId="Emphasis">
    <w:name w:val="Emphasis"/>
    <w:basedOn w:val="DefaultParagraphFont"/>
    <w:uiPriority w:val="20"/>
    <w:qFormat/>
    <w:rsid w:val="00426723"/>
    <w:rPr>
      <w:i/>
      <w:iCs/>
    </w:rPr>
  </w:style>
  <w:style w:type="character" w:styleId="Hyperlink">
    <w:name w:val="Hyperlink"/>
    <w:basedOn w:val="DefaultParagraphFont"/>
    <w:uiPriority w:val="99"/>
    <w:unhideWhenUsed/>
    <w:rsid w:val="00426723"/>
    <w:rPr>
      <w:color w:val="0000FF"/>
      <w:u w:val="single"/>
    </w:rPr>
  </w:style>
  <w:style w:type="paragraph" w:styleId="ListParagraph">
    <w:name w:val="List Paragraph"/>
    <w:basedOn w:val="Normal"/>
    <w:uiPriority w:val="34"/>
    <w:qFormat/>
    <w:rsid w:val="00B01A05"/>
    <w:pPr>
      <w:ind w:left="720"/>
      <w:contextualSpacing/>
    </w:pPr>
  </w:style>
  <w:style w:type="paragraph" w:styleId="NormalWeb">
    <w:name w:val="Normal (Web)"/>
    <w:basedOn w:val="Normal"/>
    <w:uiPriority w:val="99"/>
    <w:unhideWhenUsed/>
    <w:rsid w:val="0068596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5C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7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88"/>
  </w:style>
  <w:style w:type="paragraph" w:styleId="Footer">
    <w:name w:val="footer"/>
    <w:basedOn w:val="Normal"/>
    <w:link w:val="FooterChar"/>
    <w:uiPriority w:val="99"/>
    <w:unhideWhenUsed/>
    <w:rsid w:val="00F37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79209">
      <w:bodyDiv w:val="1"/>
      <w:marLeft w:val="0"/>
      <w:marRight w:val="0"/>
      <w:marTop w:val="0"/>
      <w:marBottom w:val="0"/>
      <w:divBdr>
        <w:top w:val="none" w:sz="0" w:space="0" w:color="auto"/>
        <w:left w:val="none" w:sz="0" w:space="0" w:color="auto"/>
        <w:bottom w:val="none" w:sz="0" w:space="0" w:color="auto"/>
        <w:right w:val="none" w:sz="0" w:space="0" w:color="auto"/>
      </w:divBdr>
    </w:div>
    <w:div w:id="420027101">
      <w:bodyDiv w:val="1"/>
      <w:marLeft w:val="0"/>
      <w:marRight w:val="0"/>
      <w:marTop w:val="0"/>
      <w:marBottom w:val="0"/>
      <w:divBdr>
        <w:top w:val="none" w:sz="0" w:space="0" w:color="auto"/>
        <w:left w:val="none" w:sz="0" w:space="0" w:color="auto"/>
        <w:bottom w:val="none" w:sz="0" w:space="0" w:color="auto"/>
        <w:right w:val="none" w:sz="0" w:space="0" w:color="auto"/>
      </w:divBdr>
      <w:divsChild>
        <w:div w:id="421145744">
          <w:marLeft w:val="0"/>
          <w:marRight w:val="0"/>
          <w:marTop w:val="0"/>
          <w:marBottom w:val="0"/>
          <w:divBdr>
            <w:top w:val="none" w:sz="0" w:space="0" w:color="auto"/>
            <w:left w:val="none" w:sz="0" w:space="0" w:color="auto"/>
            <w:bottom w:val="none" w:sz="0" w:space="0" w:color="auto"/>
            <w:right w:val="none" w:sz="0" w:space="0" w:color="auto"/>
          </w:divBdr>
        </w:div>
        <w:div w:id="860780766">
          <w:marLeft w:val="0"/>
          <w:marRight w:val="0"/>
          <w:marTop w:val="0"/>
          <w:marBottom w:val="0"/>
          <w:divBdr>
            <w:top w:val="none" w:sz="0" w:space="0" w:color="auto"/>
            <w:left w:val="none" w:sz="0" w:space="0" w:color="auto"/>
            <w:bottom w:val="none" w:sz="0" w:space="0" w:color="auto"/>
            <w:right w:val="none" w:sz="0" w:space="0" w:color="auto"/>
          </w:divBdr>
        </w:div>
        <w:div w:id="58988735">
          <w:marLeft w:val="0"/>
          <w:marRight w:val="0"/>
          <w:marTop w:val="0"/>
          <w:marBottom w:val="0"/>
          <w:divBdr>
            <w:top w:val="none" w:sz="0" w:space="0" w:color="auto"/>
            <w:left w:val="none" w:sz="0" w:space="0" w:color="auto"/>
            <w:bottom w:val="none" w:sz="0" w:space="0" w:color="auto"/>
            <w:right w:val="none" w:sz="0" w:space="0" w:color="auto"/>
          </w:divBdr>
        </w:div>
        <w:div w:id="1417632767">
          <w:marLeft w:val="0"/>
          <w:marRight w:val="0"/>
          <w:marTop w:val="0"/>
          <w:marBottom w:val="0"/>
          <w:divBdr>
            <w:top w:val="none" w:sz="0" w:space="0" w:color="auto"/>
            <w:left w:val="none" w:sz="0" w:space="0" w:color="auto"/>
            <w:bottom w:val="none" w:sz="0" w:space="0" w:color="auto"/>
            <w:right w:val="none" w:sz="0" w:space="0" w:color="auto"/>
          </w:divBdr>
        </w:div>
        <w:div w:id="2018536526">
          <w:marLeft w:val="0"/>
          <w:marRight w:val="0"/>
          <w:marTop w:val="0"/>
          <w:marBottom w:val="0"/>
          <w:divBdr>
            <w:top w:val="none" w:sz="0" w:space="0" w:color="auto"/>
            <w:left w:val="none" w:sz="0" w:space="0" w:color="auto"/>
            <w:bottom w:val="none" w:sz="0" w:space="0" w:color="auto"/>
            <w:right w:val="none" w:sz="0" w:space="0" w:color="auto"/>
          </w:divBdr>
        </w:div>
      </w:divsChild>
    </w:div>
    <w:div w:id="488523029">
      <w:bodyDiv w:val="1"/>
      <w:marLeft w:val="0"/>
      <w:marRight w:val="0"/>
      <w:marTop w:val="0"/>
      <w:marBottom w:val="0"/>
      <w:divBdr>
        <w:top w:val="none" w:sz="0" w:space="0" w:color="auto"/>
        <w:left w:val="none" w:sz="0" w:space="0" w:color="auto"/>
        <w:bottom w:val="none" w:sz="0" w:space="0" w:color="auto"/>
        <w:right w:val="none" w:sz="0" w:space="0" w:color="auto"/>
      </w:divBdr>
      <w:divsChild>
        <w:div w:id="411436907">
          <w:marLeft w:val="0"/>
          <w:marRight w:val="0"/>
          <w:marTop w:val="0"/>
          <w:marBottom w:val="0"/>
          <w:divBdr>
            <w:top w:val="none" w:sz="0" w:space="0" w:color="auto"/>
            <w:left w:val="none" w:sz="0" w:space="0" w:color="auto"/>
            <w:bottom w:val="none" w:sz="0" w:space="0" w:color="auto"/>
            <w:right w:val="none" w:sz="0" w:space="0" w:color="auto"/>
          </w:divBdr>
          <w:divsChild>
            <w:div w:id="543060897">
              <w:marLeft w:val="0"/>
              <w:marRight w:val="0"/>
              <w:marTop w:val="0"/>
              <w:marBottom w:val="0"/>
              <w:divBdr>
                <w:top w:val="none" w:sz="0" w:space="0" w:color="auto"/>
                <w:left w:val="none" w:sz="0" w:space="0" w:color="auto"/>
                <w:bottom w:val="none" w:sz="0" w:space="0" w:color="auto"/>
                <w:right w:val="none" w:sz="0" w:space="0" w:color="auto"/>
              </w:divBdr>
              <w:divsChild>
                <w:div w:id="132992240">
                  <w:marLeft w:val="0"/>
                  <w:marRight w:val="0"/>
                  <w:marTop w:val="0"/>
                  <w:marBottom w:val="0"/>
                  <w:divBdr>
                    <w:top w:val="none" w:sz="0" w:space="0" w:color="auto"/>
                    <w:left w:val="none" w:sz="0" w:space="0" w:color="auto"/>
                    <w:bottom w:val="none" w:sz="0" w:space="0" w:color="auto"/>
                    <w:right w:val="none" w:sz="0" w:space="0" w:color="auto"/>
                  </w:divBdr>
                  <w:divsChild>
                    <w:div w:id="1064719279">
                      <w:marLeft w:val="0"/>
                      <w:marRight w:val="0"/>
                      <w:marTop w:val="0"/>
                      <w:marBottom w:val="0"/>
                      <w:divBdr>
                        <w:top w:val="none" w:sz="0" w:space="0" w:color="auto"/>
                        <w:left w:val="none" w:sz="0" w:space="0" w:color="auto"/>
                        <w:bottom w:val="none" w:sz="0" w:space="0" w:color="auto"/>
                        <w:right w:val="none" w:sz="0" w:space="0" w:color="auto"/>
                      </w:divBdr>
                      <w:divsChild>
                        <w:div w:id="258222261">
                          <w:marLeft w:val="0"/>
                          <w:marRight w:val="0"/>
                          <w:marTop w:val="0"/>
                          <w:marBottom w:val="0"/>
                          <w:divBdr>
                            <w:top w:val="none" w:sz="0" w:space="0" w:color="auto"/>
                            <w:left w:val="none" w:sz="0" w:space="0" w:color="auto"/>
                            <w:bottom w:val="none" w:sz="0" w:space="0" w:color="auto"/>
                            <w:right w:val="none" w:sz="0" w:space="0" w:color="auto"/>
                          </w:divBdr>
                          <w:divsChild>
                            <w:div w:id="1799294484">
                              <w:marLeft w:val="0"/>
                              <w:marRight w:val="0"/>
                              <w:marTop w:val="0"/>
                              <w:marBottom w:val="0"/>
                              <w:divBdr>
                                <w:top w:val="none" w:sz="0" w:space="0" w:color="auto"/>
                                <w:left w:val="none" w:sz="0" w:space="0" w:color="auto"/>
                                <w:bottom w:val="none" w:sz="0" w:space="0" w:color="auto"/>
                                <w:right w:val="none" w:sz="0" w:space="0" w:color="auto"/>
                              </w:divBdr>
                              <w:divsChild>
                                <w:div w:id="1186598318">
                                  <w:marLeft w:val="0"/>
                                  <w:marRight w:val="0"/>
                                  <w:marTop w:val="0"/>
                                  <w:marBottom w:val="0"/>
                                  <w:divBdr>
                                    <w:top w:val="none" w:sz="0" w:space="0" w:color="auto"/>
                                    <w:left w:val="none" w:sz="0" w:space="0" w:color="auto"/>
                                    <w:bottom w:val="none" w:sz="0" w:space="0" w:color="auto"/>
                                    <w:right w:val="none" w:sz="0" w:space="0" w:color="auto"/>
                                  </w:divBdr>
                                  <w:divsChild>
                                    <w:div w:id="106673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738139">
      <w:bodyDiv w:val="1"/>
      <w:marLeft w:val="0"/>
      <w:marRight w:val="0"/>
      <w:marTop w:val="0"/>
      <w:marBottom w:val="0"/>
      <w:divBdr>
        <w:top w:val="none" w:sz="0" w:space="0" w:color="auto"/>
        <w:left w:val="none" w:sz="0" w:space="0" w:color="auto"/>
        <w:bottom w:val="none" w:sz="0" w:space="0" w:color="auto"/>
        <w:right w:val="none" w:sz="0" w:space="0" w:color="auto"/>
      </w:divBdr>
      <w:divsChild>
        <w:div w:id="1663116573">
          <w:marLeft w:val="0"/>
          <w:marRight w:val="0"/>
          <w:marTop w:val="0"/>
          <w:marBottom w:val="0"/>
          <w:divBdr>
            <w:top w:val="none" w:sz="0" w:space="0" w:color="auto"/>
            <w:left w:val="none" w:sz="0" w:space="0" w:color="auto"/>
            <w:bottom w:val="none" w:sz="0" w:space="0" w:color="auto"/>
            <w:right w:val="none" w:sz="0" w:space="0" w:color="auto"/>
          </w:divBdr>
        </w:div>
        <w:div w:id="1729062665">
          <w:marLeft w:val="0"/>
          <w:marRight w:val="0"/>
          <w:marTop w:val="0"/>
          <w:marBottom w:val="0"/>
          <w:divBdr>
            <w:top w:val="none" w:sz="0" w:space="0" w:color="auto"/>
            <w:left w:val="none" w:sz="0" w:space="0" w:color="auto"/>
            <w:bottom w:val="none" w:sz="0" w:space="0" w:color="auto"/>
            <w:right w:val="none" w:sz="0" w:space="0" w:color="auto"/>
          </w:divBdr>
        </w:div>
        <w:div w:id="1630741070">
          <w:marLeft w:val="0"/>
          <w:marRight w:val="0"/>
          <w:marTop w:val="0"/>
          <w:marBottom w:val="0"/>
          <w:divBdr>
            <w:top w:val="none" w:sz="0" w:space="0" w:color="auto"/>
            <w:left w:val="none" w:sz="0" w:space="0" w:color="auto"/>
            <w:bottom w:val="none" w:sz="0" w:space="0" w:color="auto"/>
            <w:right w:val="none" w:sz="0" w:space="0" w:color="auto"/>
          </w:divBdr>
        </w:div>
        <w:div w:id="602614683">
          <w:marLeft w:val="0"/>
          <w:marRight w:val="0"/>
          <w:marTop w:val="0"/>
          <w:marBottom w:val="0"/>
          <w:divBdr>
            <w:top w:val="none" w:sz="0" w:space="0" w:color="auto"/>
            <w:left w:val="none" w:sz="0" w:space="0" w:color="auto"/>
            <w:bottom w:val="none" w:sz="0" w:space="0" w:color="auto"/>
            <w:right w:val="none" w:sz="0" w:space="0" w:color="auto"/>
          </w:divBdr>
        </w:div>
        <w:div w:id="1983801525">
          <w:marLeft w:val="0"/>
          <w:marRight w:val="0"/>
          <w:marTop w:val="0"/>
          <w:marBottom w:val="0"/>
          <w:divBdr>
            <w:top w:val="none" w:sz="0" w:space="0" w:color="auto"/>
            <w:left w:val="none" w:sz="0" w:space="0" w:color="auto"/>
            <w:bottom w:val="none" w:sz="0" w:space="0" w:color="auto"/>
            <w:right w:val="none" w:sz="0" w:space="0" w:color="auto"/>
          </w:divBdr>
        </w:div>
      </w:divsChild>
    </w:div>
    <w:div w:id="550920268">
      <w:bodyDiv w:val="1"/>
      <w:marLeft w:val="0"/>
      <w:marRight w:val="0"/>
      <w:marTop w:val="0"/>
      <w:marBottom w:val="0"/>
      <w:divBdr>
        <w:top w:val="none" w:sz="0" w:space="0" w:color="auto"/>
        <w:left w:val="none" w:sz="0" w:space="0" w:color="auto"/>
        <w:bottom w:val="none" w:sz="0" w:space="0" w:color="auto"/>
        <w:right w:val="none" w:sz="0" w:space="0" w:color="auto"/>
      </w:divBdr>
    </w:div>
    <w:div w:id="1357466327">
      <w:bodyDiv w:val="1"/>
      <w:marLeft w:val="0"/>
      <w:marRight w:val="0"/>
      <w:marTop w:val="0"/>
      <w:marBottom w:val="0"/>
      <w:divBdr>
        <w:top w:val="none" w:sz="0" w:space="0" w:color="auto"/>
        <w:left w:val="none" w:sz="0" w:space="0" w:color="auto"/>
        <w:bottom w:val="none" w:sz="0" w:space="0" w:color="auto"/>
        <w:right w:val="none" w:sz="0" w:space="0" w:color="auto"/>
      </w:divBdr>
      <w:divsChild>
        <w:div w:id="1798453516">
          <w:marLeft w:val="0"/>
          <w:marRight w:val="0"/>
          <w:marTop w:val="0"/>
          <w:marBottom w:val="0"/>
          <w:divBdr>
            <w:top w:val="none" w:sz="0" w:space="0" w:color="auto"/>
            <w:left w:val="none" w:sz="0" w:space="0" w:color="auto"/>
            <w:bottom w:val="none" w:sz="0" w:space="0" w:color="auto"/>
            <w:right w:val="none" w:sz="0" w:space="0" w:color="auto"/>
          </w:divBdr>
        </w:div>
        <w:div w:id="145173643">
          <w:marLeft w:val="0"/>
          <w:marRight w:val="0"/>
          <w:marTop w:val="0"/>
          <w:marBottom w:val="0"/>
          <w:divBdr>
            <w:top w:val="none" w:sz="0" w:space="0" w:color="auto"/>
            <w:left w:val="none" w:sz="0" w:space="0" w:color="auto"/>
            <w:bottom w:val="none" w:sz="0" w:space="0" w:color="auto"/>
            <w:right w:val="none" w:sz="0" w:space="0" w:color="auto"/>
          </w:divBdr>
        </w:div>
        <w:div w:id="1405568654">
          <w:marLeft w:val="0"/>
          <w:marRight w:val="0"/>
          <w:marTop w:val="0"/>
          <w:marBottom w:val="0"/>
          <w:divBdr>
            <w:top w:val="none" w:sz="0" w:space="0" w:color="auto"/>
            <w:left w:val="none" w:sz="0" w:space="0" w:color="auto"/>
            <w:bottom w:val="none" w:sz="0" w:space="0" w:color="auto"/>
            <w:right w:val="none" w:sz="0" w:space="0" w:color="auto"/>
          </w:divBdr>
        </w:div>
        <w:div w:id="1375543620">
          <w:marLeft w:val="0"/>
          <w:marRight w:val="0"/>
          <w:marTop w:val="0"/>
          <w:marBottom w:val="0"/>
          <w:divBdr>
            <w:top w:val="none" w:sz="0" w:space="0" w:color="auto"/>
            <w:left w:val="none" w:sz="0" w:space="0" w:color="auto"/>
            <w:bottom w:val="none" w:sz="0" w:space="0" w:color="auto"/>
            <w:right w:val="none" w:sz="0" w:space="0" w:color="auto"/>
          </w:divBdr>
        </w:div>
        <w:div w:id="1246455060">
          <w:marLeft w:val="0"/>
          <w:marRight w:val="0"/>
          <w:marTop w:val="0"/>
          <w:marBottom w:val="0"/>
          <w:divBdr>
            <w:top w:val="none" w:sz="0" w:space="0" w:color="auto"/>
            <w:left w:val="none" w:sz="0" w:space="0" w:color="auto"/>
            <w:bottom w:val="none" w:sz="0" w:space="0" w:color="auto"/>
            <w:right w:val="none" w:sz="0" w:space="0" w:color="auto"/>
          </w:divBdr>
        </w:div>
      </w:divsChild>
    </w:div>
    <w:div w:id="1829516027">
      <w:bodyDiv w:val="1"/>
      <w:marLeft w:val="0"/>
      <w:marRight w:val="0"/>
      <w:marTop w:val="0"/>
      <w:marBottom w:val="0"/>
      <w:divBdr>
        <w:top w:val="none" w:sz="0" w:space="0" w:color="auto"/>
        <w:left w:val="none" w:sz="0" w:space="0" w:color="auto"/>
        <w:bottom w:val="none" w:sz="0" w:space="0" w:color="auto"/>
        <w:right w:val="none" w:sz="0" w:space="0" w:color="auto"/>
      </w:divBdr>
    </w:div>
    <w:div w:id="1844664603">
      <w:bodyDiv w:val="1"/>
      <w:marLeft w:val="0"/>
      <w:marRight w:val="0"/>
      <w:marTop w:val="0"/>
      <w:marBottom w:val="0"/>
      <w:divBdr>
        <w:top w:val="none" w:sz="0" w:space="0" w:color="auto"/>
        <w:left w:val="none" w:sz="0" w:space="0" w:color="auto"/>
        <w:bottom w:val="none" w:sz="0" w:space="0" w:color="auto"/>
        <w:right w:val="none" w:sz="0" w:space="0" w:color="auto"/>
      </w:divBdr>
      <w:divsChild>
        <w:div w:id="730036873">
          <w:marLeft w:val="0"/>
          <w:marRight w:val="0"/>
          <w:marTop w:val="0"/>
          <w:marBottom w:val="0"/>
          <w:divBdr>
            <w:top w:val="none" w:sz="0" w:space="0" w:color="auto"/>
            <w:left w:val="none" w:sz="0" w:space="0" w:color="auto"/>
            <w:bottom w:val="none" w:sz="0" w:space="0" w:color="auto"/>
            <w:right w:val="none" w:sz="0" w:space="0" w:color="auto"/>
          </w:divBdr>
        </w:div>
        <w:div w:id="327750103">
          <w:marLeft w:val="0"/>
          <w:marRight w:val="0"/>
          <w:marTop w:val="0"/>
          <w:marBottom w:val="0"/>
          <w:divBdr>
            <w:top w:val="none" w:sz="0" w:space="0" w:color="auto"/>
            <w:left w:val="none" w:sz="0" w:space="0" w:color="auto"/>
            <w:bottom w:val="none" w:sz="0" w:space="0" w:color="auto"/>
            <w:right w:val="none" w:sz="0" w:space="0" w:color="auto"/>
          </w:divBdr>
        </w:div>
        <w:div w:id="1989935852">
          <w:marLeft w:val="0"/>
          <w:marRight w:val="0"/>
          <w:marTop w:val="0"/>
          <w:marBottom w:val="0"/>
          <w:divBdr>
            <w:top w:val="none" w:sz="0" w:space="0" w:color="auto"/>
            <w:left w:val="none" w:sz="0" w:space="0" w:color="auto"/>
            <w:bottom w:val="none" w:sz="0" w:space="0" w:color="auto"/>
            <w:right w:val="none" w:sz="0" w:space="0" w:color="auto"/>
          </w:divBdr>
        </w:div>
        <w:div w:id="347997155">
          <w:marLeft w:val="0"/>
          <w:marRight w:val="0"/>
          <w:marTop w:val="0"/>
          <w:marBottom w:val="0"/>
          <w:divBdr>
            <w:top w:val="none" w:sz="0" w:space="0" w:color="auto"/>
            <w:left w:val="none" w:sz="0" w:space="0" w:color="auto"/>
            <w:bottom w:val="none" w:sz="0" w:space="0" w:color="auto"/>
            <w:right w:val="none" w:sz="0" w:space="0" w:color="auto"/>
          </w:divBdr>
        </w:div>
        <w:div w:id="928544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livsci.2007.05.012" TargetMode="External"/><Relationship Id="rId18" Type="http://schemas.openxmlformats.org/officeDocument/2006/relationships/hyperlink" Target="https://doi.org/10.1016/j.compbiomed.2019.103456" TargetMode="External"/><Relationship Id="rId26" Type="http://schemas.openxmlformats.org/officeDocument/2006/relationships/hyperlink" Target="https://doi.org/10.3390/ani9121089" TargetMode="External"/><Relationship Id="rId39" Type="http://schemas.openxmlformats.org/officeDocument/2006/relationships/hyperlink" Target="https://doi.org/10.3168/jds.2012-6107" TargetMode="External"/><Relationship Id="rId21" Type="http://schemas.openxmlformats.org/officeDocument/2006/relationships/hyperlink" Target="https://doi.org/10.1136/vr.100429" TargetMode="External"/><Relationship Id="rId34" Type="http://schemas.openxmlformats.org/officeDocument/2006/relationships/hyperlink" Target="https://doi.org/10.1016/j.sbsr.2016.11.004" TargetMode="External"/><Relationship Id="rId42" Type="http://schemas.openxmlformats.org/officeDocument/2006/relationships/hyperlink" Target="https://doi.org/10.3168/jds.2024-25940" TargetMode="External"/><Relationship Id="rId47" Type="http://schemas.openxmlformats.org/officeDocument/2006/relationships/hyperlink" Target="https://doi.org/10.1016/j.biosystemseng.2017.08.011" TargetMode="External"/><Relationship Id="rId50" Type="http://schemas.openxmlformats.org/officeDocument/2006/relationships/hyperlink" Target="https://doi.org/10.3168/jds.2018-15791" TargetMode="External"/><Relationship Id="rId55" Type="http://schemas.openxmlformats.org/officeDocument/2006/relationships/header" Target="header3.xml"/><Relationship Id="rId7" Type="http://schemas.openxmlformats.org/officeDocument/2006/relationships/hyperlink" Target="https://doi.org/10.3390/ani11030721" TargetMode="External"/><Relationship Id="rId2" Type="http://schemas.openxmlformats.org/officeDocument/2006/relationships/styles" Target="styles.xml"/><Relationship Id="rId16" Type="http://schemas.openxmlformats.org/officeDocument/2006/relationships/hyperlink" Target="https://doi.org/10.1016/j.compag.2016.12.008" TargetMode="External"/><Relationship Id="rId29" Type="http://schemas.openxmlformats.org/officeDocument/2006/relationships/hyperlink" Target="https://doi.org/10.3390/s18082674" TargetMode="External"/><Relationship Id="rId11" Type="http://schemas.openxmlformats.org/officeDocument/2006/relationships/hyperlink" Target="https://doi.org/10.2527/af.2017.0102" TargetMode="External"/><Relationship Id="rId24" Type="http://schemas.openxmlformats.org/officeDocument/2006/relationships/hyperlink" Target="https://doi.org/10.1016/j.compag.2013.08.012" TargetMode="External"/><Relationship Id="rId32" Type="http://schemas.openxmlformats.org/officeDocument/2006/relationships/hyperlink" Target="https://doi.org/10.1093/jas/sky014" TargetMode="External"/><Relationship Id="rId37" Type="http://schemas.openxmlformats.org/officeDocument/2006/relationships/hyperlink" Target="https://doi.org/10.1016/j.compag.2021.106143" TargetMode="External"/><Relationship Id="rId40" Type="http://schemas.openxmlformats.org/officeDocument/2006/relationships/hyperlink" Target="https://doi.org/10.1016/j.prevetmed.2014.06.006" TargetMode="External"/><Relationship Id="rId45" Type="http://schemas.openxmlformats.org/officeDocument/2006/relationships/hyperlink" Target="https://doi.org/10.3168/jds.2009-3020"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doi.org/10.4060/cb4477en" TargetMode="External"/><Relationship Id="rId4" Type="http://schemas.openxmlformats.org/officeDocument/2006/relationships/webSettings" Target="webSettings.xml"/><Relationship Id="rId9" Type="http://schemas.openxmlformats.org/officeDocument/2006/relationships/hyperlink" Target="https://doi.org/10.3168/jds.2010-3467" TargetMode="External"/><Relationship Id="rId14" Type="http://schemas.openxmlformats.org/officeDocument/2006/relationships/hyperlink" Target="https://doi.org/10.3390/ani10091690" TargetMode="External"/><Relationship Id="rId22" Type="http://schemas.openxmlformats.org/officeDocument/2006/relationships/hyperlink" Target="https://doi.org/10.3168/jds.2007-0530" TargetMode="External"/><Relationship Id="rId27" Type="http://schemas.openxmlformats.org/officeDocument/2006/relationships/hyperlink" Target="https://doi.org/10.1016/j.compag.2009.08.012" TargetMode="External"/><Relationship Id="rId30" Type="http://schemas.openxmlformats.org/officeDocument/2006/relationships/hyperlink" Target="https://doi.org/10.1016/j.applanim.2009.03.005" TargetMode="External"/><Relationship Id="rId35" Type="http://schemas.openxmlformats.org/officeDocument/2006/relationships/hyperlink" Target="https://doi.org/10.1016/j.sbsr.2021.100408" TargetMode="External"/><Relationship Id="rId43" Type="http://schemas.openxmlformats.org/officeDocument/2006/relationships/hyperlink" Target="https://doi.org/10.1016/j.jbusres.2019.07.039" TargetMode="External"/><Relationship Id="rId48" Type="http://schemas.openxmlformats.org/officeDocument/2006/relationships/hyperlink" Target="https://doi.org/10.1016/j.compag.2016.07.014" TargetMode="External"/><Relationship Id="rId56" Type="http://schemas.openxmlformats.org/officeDocument/2006/relationships/footer" Target="footer3.xml"/><Relationship Id="rId8" Type="http://schemas.openxmlformats.org/officeDocument/2006/relationships/hyperlink" Target="https://doi.org/10.3390/s150614513" TargetMode="Externa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doi.org/10.3168/jds.2007-0836" TargetMode="External"/><Relationship Id="rId17" Type="http://schemas.openxmlformats.org/officeDocument/2006/relationships/hyperlink" Target="https://doi.org/10.1016/j.compag.2014.12.002" TargetMode="External"/><Relationship Id="rId25" Type="http://schemas.openxmlformats.org/officeDocument/2006/relationships/hyperlink" Target="https://doi.org/10.1080/00480169.2011.547165" TargetMode="External"/><Relationship Id="rId33" Type="http://schemas.openxmlformats.org/officeDocument/2006/relationships/hyperlink" Target="https://doi.org/10.1038/s41598-025-18491-z" TargetMode="External"/><Relationship Id="rId38" Type="http://schemas.openxmlformats.org/officeDocument/2006/relationships/hyperlink" Target="https://doi.org/10.1016/j.compag.2021.106610" TargetMode="External"/><Relationship Id="rId46" Type="http://schemas.openxmlformats.org/officeDocument/2006/relationships/hyperlink" Target="https://doi.org/10.1016/j.compag.2021.106030" TargetMode="External"/><Relationship Id="rId20" Type="http://schemas.openxmlformats.org/officeDocument/2006/relationships/hyperlink" Target="https://doi.org/10.3390/s20102975" TargetMode="External"/><Relationship Id="rId41" Type="http://schemas.openxmlformats.org/officeDocument/2006/relationships/hyperlink" Target="https://doi.org/10.3168/jds.2013-6693" TargetMode="External"/><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S0301-6226(97)00028-6" TargetMode="External"/><Relationship Id="rId23" Type="http://schemas.openxmlformats.org/officeDocument/2006/relationships/hyperlink" Target="https://doi.org/10.1016/j.compag.2007.08.016" TargetMode="External"/><Relationship Id="rId28" Type="http://schemas.openxmlformats.org/officeDocument/2006/relationships/hyperlink" Target="https://doi.org/10.3168/jds.S0022-0302(06)72195-6" TargetMode="External"/><Relationship Id="rId36" Type="http://schemas.openxmlformats.org/officeDocument/2006/relationships/hyperlink" Target="https://doi.org/10.1016/j.compag.2018.12.023" TargetMode="External"/><Relationship Id="rId49" Type="http://schemas.openxmlformats.org/officeDocument/2006/relationships/hyperlink" Target="https://doi.org/10.1016/j.jneumeth.2017.08.022" TargetMode="External"/><Relationship Id="rId57" Type="http://schemas.openxmlformats.org/officeDocument/2006/relationships/fontTable" Target="fontTable.xml"/><Relationship Id="rId10" Type="http://schemas.openxmlformats.org/officeDocument/2006/relationships/hyperlink" Target="https://doi.org/10.20506/rst.33.1.2273" TargetMode="External"/><Relationship Id="rId31" Type="http://schemas.openxmlformats.org/officeDocument/2006/relationships/hyperlink" Target="https://doi.org/10.3390/ani11082345" TargetMode="External"/><Relationship Id="rId44" Type="http://schemas.openxmlformats.org/officeDocument/2006/relationships/hyperlink" Target="https://doi.org/10.3168/jds.2018-15238" TargetMode="External"/><Relationship Id="rId5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25</Pages>
  <Words>12109</Words>
  <Characters>69026</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CPU 1117</cp:lastModifiedBy>
  <cp:revision>24</cp:revision>
  <dcterms:created xsi:type="dcterms:W3CDTF">2026-06-16T11:19:00Z</dcterms:created>
  <dcterms:modified xsi:type="dcterms:W3CDTF">2026-06-27T12:42:00Z</dcterms:modified>
</cp:coreProperties>
</file>