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E7241" w14:textId="77777777" w:rsidR="00F80FFE" w:rsidRPr="00F80FFE" w:rsidRDefault="00F80FFE" w:rsidP="005B3A29">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F80FFE">
        <w:rPr>
          <w:rFonts w:ascii="Times New Roman" w:eastAsia="Times New Roman" w:hAnsi="Times New Roman" w:cs="Times New Roman"/>
          <w:b/>
          <w:bCs/>
          <w:sz w:val="36"/>
          <w:szCs w:val="36"/>
          <w:lang w:eastAsia="en-GB"/>
        </w:rPr>
        <w:t>The Impact of Artificial Intelligence on the Food Industry: A Critical Review</w:t>
      </w:r>
    </w:p>
    <w:p w14:paraId="4D11DC23"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Abstract</w:t>
      </w:r>
    </w:p>
    <w:p w14:paraId="41371138"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Artificial intelligence (AI) is reshaping the global food industry across every stage of the value chain, from primary production to consumption. This review critically synthesises recent peer-reviewed evidence on the deployment of machine learning, deep learning, computer vision, robotics and generative AI in food safety and quality assurance, processing and manufacturing, supply chain management, primary production, and consumer-facing innovation such as personalised nutrition and flavour design. Across these domains, AI has produced measurable gains in hazard detection, process optimisation, traceability, waste reduction and product development efficiency, while also exposing persistent limitations related to data quality, model interpretability, infrastructural inequality and consumer trust. The review further examines the economic, workforce and ethical dimensions of AI adoption, highlighting tensions between productivity gains and concerns over labour displacement, data governance and algorithmic accountability. Methodologically, the review adopts a narrative rather than systematic approach, given the breadth, heterogeneity and rapid evolution of the literature, and draws on a structured multi-database search of peer-reviewed sources published between 2018 and early 2026. The synthesis suggests that AI is best understood not as a single transformative technology but as a heterogeneous family of tools whose value depends heavily on data infrastructure, regulatory clarity and organisational readiness. The review concludes that realising the full potential of AI in the food sector will require coordinated investment in interoperable data systems, harmonised governance frameworks and closer collaboration between food scientists, engineers, ethicists and policymakers.</w:t>
      </w:r>
    </w:p>
    <w:p w14:paraId="789C576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t>Keywords:</w:t>
      </w:r>
      <w:r w:rsidRPr="00F80FFE">
        <w:rPr>
          <w:rFonts w:ascii="Times New Roman" w:eastAsia="Times New Roman" w:hAnsi="Times New Roman" w:cs="Times New Roman"/>
          <w:sz w:val="24"/>
          <w:szCs w:val="24"/>
          <w:lang w:eastAsia="en-GB"/>
        </w:rPr>
        <w:t xml:space="preserve"> artificial intelligence; food industry; machine learning; food safety; food supply chain; precision agriculture; personalised nutrition; food technology</w:t>
      </w:r>
    </w:p>
    <w:p w14:paraId="20D1DDE4"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2E3A34CB"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1. Introduction</w:t>
      </w:r>
    </w:p>
    <w:p w14:paraId="0A0815BC"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1.1 The Convergence of Artificial Intelligence and the Global Food System</w:t>
      </w:r>
    </w:p>
    <w:p w14:paraId="0AF754A0" w14:textId="6039317E" w:rsidR="00F80FFE" w:rsidRPr="005B3A29"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global food system is under an unusual combination of pressures at present: a growing population, climate volatility, resource scarcity, shifting dietary patterns and a more demanding consumer appetite for transparency and safety. Against this backdrop, artificial intelligence has become one of the most widely discussed enabling technologies for addressing structural inefficiencies across food production, processing, distribution and consumption (Nath et al., 2024). Earlier waves of automation in this sector were largely confined to discrete mechanical tasks; contemporary AI systems, particularly those built on deep learning architectures, can instead learn complex, non-linear relationships from large and heterogeneous datasets. This has opened the door to applications ranging from microbial contamination prediction to the generation of entirely novel flavour profiles (Mavani et al., 2022). The pace of this diffusion is visible in the academic record itself: bibliometric analyses of the food safety literature have documented a marked acceleration in AI-related publications over the past decade, with contamination detection, quality control and traceability among the dominant thematic clusters (Liu et al., 2023).</w:t>
      </w:r>
      <w:r w:rsidR="005B3A29">
        <w:rPr>
          <w:rFonts w:ascii="Times New Roman" w:eastAsia="Times New Roman" w:hAnsi="Times New Roman" w:cs="Times New Roman"/>
          <w:sz w:val="24"/>
          <w:szCs w:val="24"/>
          <w:lang w:eastAsia="en-GB"/>
        </w:rPr>
        <w:t xml:space="preserve"> </w:t>
      </w:r>
      <w:r w:rsidRPr="005B3A29">
        <w:rPr>
          <w:bCs/>
          <w:highlight w:val="yellow"/>
        </w:rPr>
        <w:t xml:space="preserve">Recent reviews of AI in the </w:t>
      </w:r>
      <w:r w:rsidRPr="005B3A29">
        <w:rPr>
          <w:bCs/>
          <w:highlight w:val="yellow"/>
        </w:rPr>
        <w:lastRenderedPageBreak/>
        <w:t>food industry and advanced food processing similarly indicate that these tools are being applied across precision farming, quality monitoring, processing, supply-chain optimisation and consumer-facing functions, while implementation remains conditional on data quality, technical skills and organisational readiness (Dhal &amp; Kar, 2025; Prakash et al., 2023).</w:t>
      </w:r>
    </w:p>
    <w:p w14:paraId="4AFAAB60" w14:textId="03A69C80" w:rsidR="00F80FFE" w:rsidRPr="005B3A29"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This is not a purely speculative or laboratory-bound phenomenon. Industrial-scale deployments already span computer vision systems for defect detection on production lines, machine learning models for demand forecasting in retail logistics, and natural language processing tools embedded in consumer-facing nutrition applications (Ding et al., 2023). At the same time, the food sector is far from monolithic—it spans smallholder agriculture, multinational processing conglomerates and tightly regulated retail environments—and the pace and character of AI adoption vary considerably across geographies and sub-sectors as a result. This unevenness recurs throughout the literature, with several authors cautioning that the benefits of AI are not automatically or equitably distributed across the food system (Ryan, 2023).</w:t>
      </w:r>
      <w:r w:rsidR="005B3A29">
        <w:rPr>
          <w:rFonts w:ascii="Times New Roman" w:eastAsia="Times New Roman" w:hAnsi="Times New Roman" w:cs="Times New Roman"/>
          <w:sz w:val="24"/>
          <w:szCs w:val="24"/>
          <w:lang w:eastAsia="en-GB"/>
        </w:rPr>
        <w:t xml:space="preserve"> </w:t>
      </w:r>
      <w:r w:rsidRPr="005B3A29">
        <w:rPr>
          <w:bCs/>
          <w:highlight w:val="yellow"/>
        </w:rPr>
        <w:t>In the food supply chain context, emerging work on AI-enabled smart packaging and supply-chain decision support suggests that algorithmic forecasting, sensor data and human oversight need to be considered together when evaluating practical adoption (Sagar &amp; Rani, 2026; Sheikh, 2025).</w:t>
      </w:r>
    </w:p>
    <w:p w14:paraId="0D8D5AAB"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1.2 From Rule-Based Systems to Deep Learning: A Brief Technological Trajectory</w:t>
      </w:r>
    </w:p>
    <w:p w14:paraId="02DC0EF8"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Early applications of computational intelligence in the food sector relied heavily on expert systems and statistical process control: tools that encoded human expertise into deterministic rules for tasks such as quality grading or shelf-life estimation. The subsequent shift towards machine learning, and later deep learning, marked a more fundamental change. Rather than encoding rules explicitly, these systems learn patterns directly from sensor, image, spectral or transactional data (Liu et al., 2021). Convolutional neural networks, in particular, have become a mainstay of food quality inspection because of their ability to extract subtle visual and textural features from images of food matrices that would be difficult to specify by hand (Liu et al., 2021). More recently, generative architectures have begun to be applied not merely to classify or predict, but to design new food products, simulate processing outcomes and synthesise consumer insight from unstructured text and social media data (Al-</w:t>
      </w:r>
      <w:proofErr w:type="spellStart"/>
      <w:r w:rsidRPr="00F80FFE">
        <w:rPr>
          <w:rFonts w:ascii="Times New Roman" w:eastAsia="Times New Roman" w:hAnsi="Times New Roman" w:cs="Times New Roman"/>
          <w:sz w:val="24"/>
          <w:szCs w:val="24"/>
          <w:lang w:eastAsia="en-GB"/>
        </w:rPr>
        <w:t>Sarayreh</w:t>
      </w:r>
      <w:proofErr w:type="spellEnd"/>
      <w:r w:rsidRPr="00F80FFE">
        <w:rPr>
          <w:rFonts w:ascii="Times New Roman" w:eastAsia="Times New Roman" w:hAnsi="Times New Roman" w:cs="Times New Roman"/>
          <w:sz w:val="24"/>
          <w:szCs w:val="24"/>
          <w:lang w:eastAsia="en-GB"/>
        </w:rPr>
        <w:t xml:space="preserve"> et al., 2023).</w:t>
      </w:r>
    </w:p>
    <w:p w14:paraId="073F9B57" w14:textId="73A54770" w:rsidR="00484904" w:rsidRPr="005B3A29"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This trajectory has been accompanied by parallel advances in sensing hardware, including hyperspectral imaging, electronic noses and tongues, and low-cost biosensors. Combined with cloud computing and the Internet of Things, these developments have substantially expanded both the volume and the granularity of data available for AI applications in food systems (Zhou et al., 2024). The resulting ecosystem is often described under the broader umbrella of Industry 4.0, in which AI functions as the principal analytical engine that converts sensor-generated data into actionable decisions across production, processing and distribution (Hassoun et al., 2024).</w:t>
      </w:r>
      <w:r w:rsidR="005B3A29">
        <w:rPr>
          <w:rFonts w:ascii="Times New Roman" w:eastAsia="Times New Roman" w:hAnsi="Times New Roman" w:cs="Times New Roman"/>
          <w:sz w:val="24"/>
          <w:szCs w:val="24"/>
          <w:lang w:eastAsia="en-GB"/>
        </w:rPr>
        <w:t xml:space="preserve"> </w:t>
      </w:r>
      <w:r w:rsidR="00000000" w:rsidRPr="005B3A29">
        <w:rPr>
          <w:bCs/>
          <w:highlight w:val="yellow"/>
        </w:rPr>
        <w:t>Although the recent literature documents multiple technical applications of AI across food systems, the evidence remains dispersed across safety, processing, supply-chain management, primary production and consumer-facing innovation. A critical synthesis is therefore needed to connect these domains, distinguish demonstrated benefits from implementation constraints, and identify the organisational, governance and trust-related issues that shape practical adoption.</w:t>
      </w:r>
    </w:p>
    <w:p w14:paraId="2E371FF0" w14:textId="26B29132"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 xml:space="preserve">1.3 Scope and Objectives </w:t>
      </w:r>
    </w:p>
    <w:p w14:paraId="13D11108"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lastRenderedPageBreak/>
        <w:t>This review critically examines the documented impact of artificial intelligence on the food industry, drawing on peer-reviewed literature published over the past several years. It is organised around five principal domains of application: food safety, quality control and authentication; food processing, engineering and automation; supply chain management and waste reduction; primary production, food security and sustainability; and nutrition, sensory science and consumer-facing innovation. Within each domain, the review considers not only the demonstrated benefits of AI deployment but also the technical, organisational and ethical constraints that shape its real-world implementation. A further section addresses the cross-cutting economic, workforce and governance implications of AI adoption, before a concluding discussion of barriers and future research priorities. The aim here is not to provide a technical tutorial on specific algorithms, nor an exhaustive inventory of every reported AI application in the food sector, but rather a critical, integrative synthesis that highlights recurring patterns, tensions and evidence gaps across the literature—one intended to inform academic research agendas and practical decision-making alike, for food industry stakeholders, regulators and policymakers.</w:t>
      </w:r>
    </w:p>
    <w:p w14:paraId="56872763"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19FEE5BF"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2. Methods for Literature Selection</w:t>
      </w:r>
    </w:p>
    <w:p w14:paraId="62C08FA0"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This review adopts a narrative rather than a systematic review methodology. A systematic approach is well suited to answering narrowly defined questions across a set of directly comparable studies, but it is a poorer fit for a topic as broad, fast-moving and methodologically heterogeneous as the application of artificial intelligence across the entire food industry, where relevant evidence spans food science, computer science, engineering, agricultural economics and consumer behaviour. The objective here is integrative synthesis across a rapidly evolving, multidisciplinary field rather than the quantification of effect sizes across a narrow set of comparable studies, and a narrative approach is better suited to that purpose: it allows the review to draw connections across sub-literatures that would rarely be combined within a single systematic protocol, while still requiring transparency about how sources were identified, screened and prioritised.</w:t>
      </w:r>
    </w:p>
    <w:p w14:paraId="1052D2A8" w14:textId="35AC5FE4"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Literature was identified through structured searches of Web of Science, Scopus, Google Scholar and PubMed, supplemented by six field-specific indexing resources commonly used in food science, agricultural and engineering research, chosen to capture material that might not be fully indexed in the general-purpose databases. Search strings combined the core term "artificial intelligence" with Boolean operators and a range of food-system-specific qualifiers, including "food safety", "food processing", "food supply chain", "precision agriculture", "food security", "personalised nutrition", "food authentication", "food fraud", "computer vision" and "deep learning", alongside related terms such as "machine learning" and "robotics" where appropriate. Searches were restricted to literature published between January 2018 and early </w:t>
      </w:r>
      <w:r w:rsidR="005B3A29">
        <w:rPr>
          <w:rFonts w:ascii="Times New Roman" w:eastAsia="Times New Roman" w:hAnsi="Times New Roman" w:cs="Times New Roman"/>
          <w:sz w:val="24"/>
          <w:szCs w:val="24"/>
          <w:lang w:eastAsia="en-GB"/>
        </w:rPr>
        <w:t>February</w:t>
      </w:r>
      <w:r w:rsidRPr="00F80FFE">
        <w:rPr>
          <w:rFonts w:ascii="Times New Roman" w:eastAsia="Times New Roman" w:hAnsi="Times New Roman" w:cs="Times New Roman"/>
          <w:sz w:val="24"/>
          <w:szCs w:val="24"/>
          <w:lang w:eastAsia="en-GB"/>
        </w:rPr>
        <w:t xml:space="preserve"> 2026—a window chosen to capture the period during which deep learning and computer vision methods became widely and routinely applied within food science and engineering research, while keeping the review current up to the point of submission.</w:t>
      </w:r>
    </w:p>
    <w:p w14:paraId="54682F3A"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Eligible sources comprised peer-reviewed journal articles published in English that reported original research, reviews or critical analyses directly addressing the application, implication or evaluation of AI technologies within the food industry, broadly defined to include primary production, processing, distribution, retail and consumption. Authoritative reports issued by </w:t>
      </w:r>
      <w:r w:rsidRPr="00F80FFE">
        <w:rPr>
          <w:rFonts w:ascii="Times New Roman" w:eastAsia="Times New Roman" w:hAnsi="Times New Roman" w:cs="Times New Roman"/>
          <w:sz w:val="24"/>
          <w:szCs w:val="24"/>
          <w:lang w:eastAsia="en-GB"/>
        </w:rPr>
        <w:lastRenderedPageBreak/>
        <w:t>recognised institutional bodies with a relevant remit in food safety or food systems were also considered eligible where they offered verifiable, citable content. Conference proceedings, books and book chapters, theses, non-peer-reviewed pre-prints, patents and trade or industry publications lacking peer review were excluded, consistent with the aim of grounding the review exclusively in verifiable, peer-reviewed academic literature.</w:t>
      </w:r>
    </w:p>
    <w:p w14:paraId="3BE8A6C0"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Screening proceeded in two stages. Titles and abstracts retrieved from each database were first screened for thematic relevance to AI applications in the food industry; full texts of apparently relevant records were then examined to confirm eligibility against the criteria above. Duplicate records arising from overlapping database coverage were identified by matching digital object identifiers and bibliographic metadata and retained only once. Given the sheer volume of literature on this topic, priority was given to studies that are highly cited, methodologically robust, published in well-established peer-reviewed journals, or that offer a comprehensive synthesis of a particular sub-domain, on the grounds that such studies are more likely to reflect consolidated rather than preliminary findings. This purposive emphasis on influential and synthesising work, rather than an attempt at exhaustive enumeration of every primary study, is a defining feature of the narrative review approach taken here. No restriction was placed on study design, allowing the inclusion of empirical, methodological and review articles where each contributed a distinct strand of insight to the overall synthesis.</w:t>
      </w:r>
    </w:p>
    <w:p w14:paraId="6751F60E"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4E595CEA"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3. Artificial Intelligence in Food Safety, Quality Control and Authentication</w:t>
      </w:r>
    </w:p>
    <w:p w14:paraId="554E5114"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3.1 Machine Learning and Deep Learning for Hazard Detection and Risk Prediction</w:t>
      </w:r>
    </w:p>
    <w:p w14:paraId="38893E7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safety is one of the most extensively studied applications of AI in the food sector—understandably so, given both the severity of the consequences of failure and the relative availability of structured data, such as microbiological testing records and recall histories, suitable for model training. Machine learning models have been used to predict the likelihood of pathogen contamination, forecast outbreak risk from surveillance data, and identify leading indicators that allow food safety managers to intervene before contamination events occur (Qian et al., 2023). These predictive capabilities push beyond conventional food safety management systems, which have traditionally relied on retrospective testing and rule-based hazard analysis, towards a more anticipatory posture in which behavioural and environmental data are continuously scanned for early warning signals (</w:t>
      </w:r>
      <w:proofErr w:type="spellStart"/>
      <w:r w:rsidRPr="00F80FFE">
        <w:rPr>
          <w:rFonts w:ascii="Times New Roman" w:eastAsia="Times New Roman" w:hAnsi="Times New Roman" w:cs="Times New Roman"/>
          <w:sz w:val="24"/>
          <w:szCs w:val="24"/>
          <w:lang w:eastAsia="en-GB"/>
        </w:rPr>
        <w:t>Kudashkina</w:t>
      </w:r>
      <w:proofErr w:type="spellEnd"/>
      <w:r w:rsidRPr="00F80FFE">
        <w:rPr>
          <w:rFonts w:ascii="Times New Roman" w:eastAsia="Times New Roman" w:hAnsi="Times New Roman" w:cs="Times New Roman"/>
          <w:sz w:val="24"/>
          <w:szCs w:val="24"/>
          <w:lang w:eastAsia="en-GB"/>
        </w:rPr>
        <w:t xml:space="preserve"> et al., 2022). Bibliometric analysis of the food safety literature shows substantial growth in AI-related publications over the past decade, with contamination detection, sensor-based monitoring and decision support among the most frequently studied themes, and with China and the United States as the leading national contributors to this body of work (Liu et al., 2023).</w:t>
      </w:r>
    </w:p>
    <w:p w14:paraId="042E18AD"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 second, fast-growing strand of work concerns the pairing of machine learning with biosensing technologies. Coupling biosensors with machine learning algorithms has been shown to improve the sensitivity, speed and interpretability of food safety assessments, particularly for detecting pathogens, toxins and chemical contaminants that are difficult to identify through conventional culture-based methods (Zhou et al., 2024). In a related vein, AI-enabled spoilage detection systems—which combine sensor data with classification algorithms—have demonstrated the capacity to extend effective monitoring of perishable commodities and to flag quality deterioration more promptly than visual inspection alone (</w:t>
      </w:r>
      <w:proofErr w:type="spellStart"/>
      <w:r w:rsidRPr="00F80FFE">
        <w:rPr>
          <w:rFonts w:ascii="Times New Roman" w:eastAsia="Times New Roman" w:hAnsi="Times New Roman" w:cs="Times New Roman"/>
          <w:sz w:val="24"/>
          <w:szCs w:val="24"/>
          <w:lang w:eastAsia="en-GB"/>
        </w:rPr>
        <w:t>Sonwani</w:t>
      </w:r>
      <w:proofErr w:type="spellEnd"/>
      <w:r w:rsidRPr="00F80FFE">
        <w:rPr>
          <w:rFonts w:ascii="Times New Roman" w:eastAsia="Times New Roman" w:hAnsi="Times New Roman" w:cs="Times New Roman"/>
          <w:sz w:val="24"/>
          <w:szCs w:val="24"/>
          <w:lang w:eastAsia="en-GB"/>
        </w:rPr>
        <w:t xml:space="preserve"> et al., 2022).</w:t>
      </w:r>
    </w:p>
    <w:p w14:paraId="77755639"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lastRenderedPageBreak/>
        <w:t>3.2 Computer Vision, Spectroscopy and Biosensing for Quality Assessment</w:t>
      </w:r>
    </w:p>
    <w:p w14:paraId="6B79BD71"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Computer vision, built predominantly on convolutional neural networks, is among the most mature and widely deployed AI applications in food quality assessment. These systems can automatically extract visual features—colour, shape, texture, surface defects—that correlate strongly with quality attributes such as ripeness, freshness or structural integrity, often matching or exceeding the accuracy of manual inspection while operating at line speeds no human inspector could sustain (Liu et al., 2021). Machine vision has been applied to an unusually wide range of food matrices, from fresh produce sorting through to the inspection of processed and packaged products, and the field shows a consistent move towards integrating machine vision with complementary AI methods, including hyperspectral imaging and edge computing, to enable real-time, in-line quality monitoring (Xiao et al., 2022).</w:t>
      </w:r>
    </w:p>
    <w:p w14:paraId="38659841"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Pairing AI with non-destructive analytical techniques—particularly near-infrared and Raman spectroscopy—has further widened the range of quality and safety attributes that can be assessed quickly and without destroying the sample. This combination is especially valuable where the attribute of interest, such as moisture content, fat distribution or chemical composition, is not readily visible in an image, and where AI-based pattern recognition can extract meaningful signals from complex, high-dimensional spectral data (Zhou et al., 2024).</w:t>
      </w:r>
    </w:p>
    <w:p w14:paraId="2C8EC75D"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3.3 Combating Food Fraud through AI-Enabled Authentication</w:t>
      </w:r>
    </w:p>
    <w:p w14:paraId="7C82F4C7"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fraud and adulteration present a related but distinct challenge, shifting the task from detecting unintentional contamination to identifying deliberate misrepresentation of a product's identity, origin or composition. Machine vision combined with deep learning has been increasingly applied to food authentication, with reported model architectures—including residual networks and efficient convolutional designs—frequently achieving high classification accuracy across diverse authenticity tasks, from species identification in meat products to the detection of adulterated oils (Shen et al., 2024). Even so, reviews of the authentication literature consistently flag interpretability, dataset imbalance and the difficulty of scaling laboratory-validated models to industrial deployment as significant barriers, notwithstanding strong reported accuracy under controlled experimental conditions (Shen et al., 2024).</w:t>
      </w:r>
    </w:p>
    <w:p w14:paraId="46F566C3"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There is also a human and organisational dimension to this body of work that is easy to overlook amid the technical detail. Behavioural perspectives on AI adoption in food safety management make the point that the value of predictive analytics depends not only on technical accuracy but on whether food safety professionals trust, understand and actually act on model outputs—a consideration that receives less attention than algorithmic performance metrics tend to (</w:t>
      </w:r>
      <w:proofErr w:type="spellStart"/>
      <w:r w:rsidRPr="00F80FFE">
        <w:rPr>
          <w:rFonts w:ascii="Times New Roman" w:eastAsia="Times New Roman" w:hAnsi="Times New Roman" w:cs="Times New Roman"/>
          <w:sz w:val="24"/>
          <w:szCs w:val="24"/>
          <w:lang w:eastAsia="en-GB"/>
        </w:rPr>
        <w:t>Kudashkina</w:t>
      </w:r>
      <w:proofErr w:type="spellEnd"/>
      <w:r w:rsidRPr="00F80FFE">
        <w:rPr>
          <w:rFonts w:ascii="Times New Roman" w:eastAsia="Times New Roman" w:hAnsi="Times New Roman" w:cs="Times New Roman"/>
          <w:sz w:val="24"/>
          <w:szCs w:val="24"/>
          <w:lang w:eastAsia="en-GB"/>
        </w:rPr>
        <w:t xml:space="preserve"> et al., 2022). Broader critical reviews of AI's role in food safety, agriculture and food security reinforce this point, arguing that the technology's potential to enhance the safety of emerging food categories—alternative proteins derived from microalgae or edible insects, for example—depends on parallel investment in regulatory science, validated reference datasets and cross-sectoral collaboration, rather than on algorithmic capability alone (</w:t>
      </w:r>
      <w:proofErr w:type="spellStart"/>
      <w:r w:rsidRPr="00F80FFE">
        <w:rPr>
          <w:rFonts w:ascii="Times New Roman" w:eastAsia="Times New Roman" w:hAnsi="Times New Roman" w:cs="Times New Roman"/>
          <w:sz w:val="24"/>
          <w:szCs w:val="24"/>
          <w:lang w:eastAsia="en-GB"/>
        </w:rPr>
        <w:t>Rugji</w:t>
      </w:r>
      <w:proofErr w:type="spellEnd"/>
      <w:r w:rsidRPr="00F80FFE">
        <w:rPr>
          <w:rFonts w:ascii="Times New Roman" w:eastAsia="Times New Roman" w:hAnsi="Times New Roman" w:cs="Times New Roman"/>
          <w:sz w:val="24"/>
          <w:szCs w:val="24"/>
          <w:lang w:eastAsia="en-GB"/>
        </w:rPr>
        <w:t xml:space="preserve"> et al., 2025).</w:t>
      </w:r>
    </w:p>
    <w:p w14:paraId="4F74130B"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Table 1 summarises representative AI techniques and their principal applications within food safety, quality control and authentication, illustrating the diversity of approaches documented across the reviewed literature.</w:t>
      </w:r>
    </w:p>
    <w:p w14:paraId="330B5C6C"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lastRenderedPageBreak/>
        <w:t>Table 1. Representative artificial intelligence techniques applied to food safety, quality control and authentication</w:t>
      </w:r>
    </w:p>
    <w:tbl>
      <w:tblPr>
        <w:tblStyle w:val="TableGrid"/>
        <w:tblW w:w="0" w:type="auto"/>
        <w:tblLook w:val="04A0" w:firstRow="1" w:lastRow="0" w:firstColumn="1" w:lastColumn="0" w:noHBand="0" w:noVBand="1"/>
      </w:tblPr>
      <w:tblGrid>
        <w:gridCol w:w="3794"/>
        <w:gridCol w:w="2366"/>
        <w:gridCol w:w="3082"/>
      </w:tblGrid>
      <w:tr w:rsidR="00F80FFE" w:rsidRPr="00F80FFE" w14:paraId="1F6E6D1F" w14:textId="77777777" w:rsidTr="00420D5B">
        <w:tc>
          <w:tcPr>
            <w:tcW w:w="0" w:type="auto"/>
            <w:hideMark/>
          </w:tcPr>
          <w:p w14:paraId="55E56364"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AI Technique</w:t>
            </w:r>
          </w:p>
        </w:tc>
        <w:tc>
          <w:tcPr>
            <w:tcW w:w="0" w:type="auto"/>
            <w:hideMark/>
          </w:tcPr>
          <w:p w14:paraId="5C22CA18"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Primary Application</w:t>
            </w:r>
          </w:p>
        </w:tc>
        <w:tc>
          <w:tcPr>
            <w:tcW w:w="0" w:type="auto"/>
            <w:hideMark/>
          </w:tcPr>
          <w:p w14:paraId="3DAFE199"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Representative Reported Outcome</w:t>
            </w:r>
          </w:p>
        </w:tc>
      </w:tr>
      <w:tr w:rsidR="00F80FFE" w:rsidRPr="00F80FFE" w14:paraId="16F03B1D" w14:textId="77777777" w:rsidTr="00420D5B">
        <w:tc>
          <w:tcPr>
            <w:tcW w:w="0" w:type="auto"/>
            <w:hideMark/>
          </w:tcPr>
          <w:p w14:paraId="6A5CFD20"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Machine learning on surveillance/process data</w:t>
            </w:r>
          </w:p>
        </w:tc>
        <w:tc>
          <w:tcPr>
            <w:tcW w:w="0" w:type="auto"/>
            <w:hideMark/>
          </w:tcPr>
          <w:p w14:paraId="0C679DAE"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Pathogen risk prediction and outbreak forecasting</w:t>
            </w:r>
          </w:p>
        </w:tc>
        <w:tc>
          <w:tcPr>
            <w:tcW w:w="0" w:type="auto"/>
            <w:hideMark/>
          </w:tcPr>
          <w:p w14:paraId="7E18C2A5"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Earlier identification of leading indicators of contamination risk</w:t>
            </w:r>
          </w:p>
        </w:tc>
      </w:tr>
      <w:tr w:rsidR="00F80FFE" w:rsidRPr="00F80FFE" w14:paraId="76F80138" w14:textId="77777777" w:rsidTr="00420D5B">
        <w:tc>
          <w:tcPr>
            <w:tcW w:w="0" w:type="auto"/>
            <w:hideMark/>
          </w:tcPr>
          <w:p w14:paraId="1918951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Convolutional neural networks (computer vision)</w:t>
            </w:r>
          </w:p>
        </w:tc>
        <w:tc>
          <w:tcPr>
            <w:tcW w:w="0" w:type="auto"/>
            <w:hideMark/>
          </w:tcPr>
          <w:p w14:paraId="5F1C46C1"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Visual defect and freshness assessment</w:t>
            </w:r>
          </w:p>
        </w:tc>
        <w:tc>
          <w:tcPr>
            <w:tcW w:w="0" w:type="auto"/>
            <w:hideMark/>
          </w:tcPr>
          <w:p w14:paraId="5AD34B2E"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High-accuracy, real-time classification of quality attributes</w:t>
            </w:r>
          </w:p>
        </w:tc>
      </w:tr>
      <w:tr w:rsidR="00F80FFE" w:rsidRPr="00F80FFE" w14:paraId="6AFDACC8" w14:textId="77777777" w:rsidTr="00420D5B">
        <w:tc>
          <w:tcPr>
            <w:tcW w:w="0" w:type="auto"/>
            <w:hideMark/>
          </w:tcPr>
          <w:p w14:paraId="2353B58F"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Machine learning–biosensor integration</w:t>
            </w:r>
          </w:p>
        </w:tc>
        <w:tc>
          <w:tcPr>
            <w:tcW w:w="0" w:type="auto"/>
            <w:hideMark/>
          </w:tcPr>
          <w:p w14:paraId="5D68FE4C"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Rapid pathogen and toxin detection</w:t>
            </w:r>
          </w:p>
        </w:tc>
        <w:tc>
          <w:tcPr>
            <w:tcW w:w="0" w:type="auto"/>
            <w:hideMark/>
          </w:tcPr>
          <w:p w14:paraId="1FF0912A"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sensitivity and speed relative to culture-based methods</w:t>
            </w:r>
          </w:p>
        </w:tc>
      </w:tr>
      <w:tr w:rsidR="00F80FFE" w:rsidRPr="00F80FFE" w14:paraId="5BD1EE7F" w14:textId="77777777" w:rsidTr="00420D5B">
        <w:tc>
          <w:tcPr>
            <w:tcW w:w="0" w:type="auto"/>
            <w:hideMark/>
          </w:tcPr>
          <w:p w14:paraId="20DA5B2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Deep learning combined with spectroscopy/hyperspectral imaging</w:t>
            </w:r>
          </w:p>
        </w:tc>
        <w:tc>
          <w:tcPr>
            <w:tcW w:w="0" w:type="auto"/>
            <w:hideMark/>
          </w:tcPr>
          <w:p w14:paraId="73E7F9F3"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Composition and adulteration analysis</w:t>
            </w:r>
          </w:p>
        </w:tc>
        <w:tc>
          <w:tcPr>
            <w:tcW w:w="0" w:type="auto"/>
            <w:hideMark/>
          </w:tcPr>
          <w:p w14:paraId="256CD91D"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Non-destructive detection of adulterants and compositional anomalies</w:t>
            </w:r>
          </w:p>
        </w:tc>
      </w:tr>
      <w:tr w:rsidR="00F80FFE" w:rsidRPr="00F80FFE" w14:paraId="1B2CA592" w14:textId="77777777" w:rsidTr="00420D5B">
        <w:tc>
          <w:tcPr>
            <w:tcW w:w="0" w:type="auto"/>
            <w:hideMark/>
          </w:tcPr>
          <w:p w14:paraId="1FB76A7C"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Sensor-based classification systems</w:t>
            </w:r>
          </w:p>
        </w:tc>
        <w:tc>
          <w:tcPr>
            <w:tcW w:w="0" w:type="auto"/>
            <w:hideMark/>
          </w:tcPr>
          <w:p w14:paraId="5A7CE38C"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Spoilage and shelf-life monitoring</w:t>
            </w:r>
          </w:p>
        </w:tc>
        <w:tc>
          <w:tcPr>
            <w:tcW w:w="0" w:type="auto"/>
            <w:hideMark/>
          </w:tcPr>
          <w:p w14:paraId="04325D2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Extended effective monitoring window for perishable commodities</w:t>
            </w:r>
          </w:p>
        </w:tc>
      </w:tr>
    </w:tbl>
    <w:p w14:paraId="1AD883F2"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i/>
          <w:iCs/>
          <w:sz w:val="24"/>
          <w:szCs w:val="24"/>
          <w:lang w:eastAsia="en-GB"/>
        </w:rPr>
        <w:t xml:space="preserve">Sources: Qian et al. (2023); </w:t>
      </w:r>
      <w:proofErr w:type="spellStart"/>
      <w:r w:rsidRPr="00F80FFE">
        <w:rPr>
          <w:rFonts w:ascii="Times New Roman" w:eastAsia="Times New Roman" w:hAnsi="Times New Roman" w:cs="Times New Roman"/>
          <w:i/>
          <w:iCs/>
          <w:sz w:val="24"/>
          <w:szCs w:val="24"/>
          <w:lang w:eastAsia="en-GB"/>
        </w:rPr>
        <w:t>Kudashkina</w:t>
      </w:r>
      <w:proofErr w:type="spellEnd"/>
      <w:r w:rsidRPr="00F80FFE">
        <w:rPr>
          <w:rFonts w:ascii="Times New Roman" w:eastAsia="Times New Roman" w:hAnsi="Times New Roman" w:cs="Times New Roman"/>
          <w:i/>
          <w:iCs/>
          <w:sz w:val="24"/>
          <w:szCs w:val="24"/>
          <w:lang w:eastAsia="en-GB"/>
        </w:rPr>
        <w:t xml:space="preserve"> et al. (2022); Liu et al. (2021); Liu et al. (2023); Shen et al. (2024); Zhou et al. (2024); </w:t>
      </w:r>
      <w:proofErr w:type="spellStart"/>
      <w:r w:rsidRPr="00F80FFE">
        <w:rPr>
          <w:rFonts w:ascii="Times New Roman" w:eastAsia="Times New Roman" w:hAnsi="Times New Roman" w:cs="Times New Roman"/>
          <w:i/>
          <w:iCs/>
          <w:sz w:val="24"/>
          <w:szCs w:val="24"/>
          <w:lang w:eastAsia="en-GB"/>
        </w:rPr>
        <w:t>Sonwani</w:t>
      </w:r>
      <w:proofErr w:type="spellEnd"/>
      <w:r w:rsidRPr="00F80FFE">
        <w:rPr>
          <w:rFonts w:ascii="Times New Roman" w:eastAsia="Times New Roman" w:hAnsi="Times New Roman" w:cs="Times New Roman"/>
          <w:i/>
          <w:iCs/>
          <w:sz w:val="24"/>
          <w:szCs w:val="24"/>
          <w:lang w:eastAsia="en-GB"/>
        </w:rPr>
        <w:t xml:space="preserve"> et al. (2022); Xiao et al. (2022); </w:t>
      </w:r>
      <w:proofErr w:type="spellStart"/>
      <w:r w:rsidRPr="00F80FFE">
        <w:rPr>
          <w:rFonts w:ascii="Times New Roman" w:eastAsia="Times New Roman" w:hAnsi="Times New Roman" w:cs="Times New Roman"/>
          <w:i/>
          <w:iCs/>
          <w:sz w:val="24"/>
          <w:szCs w:val="24"/>
          <w:lang w:eastAsia="en-GB"/>
        </w:rPr>
        <w:t>Rugji</w:t>
      </w:r>
      <w:proofErr w:type="spellEnd"/>
      <w:r w:rsidRPr="00F80FFE">
        <w:rPr>
          <w:rFonts w:ascii="Times New Roman" w:eastAsia="Times New Roman" w:hAnsi="Times New Roman" w:cs="Times New Roman"/>
          <w:i/>
          <w:iCs/>
          <w:sz w:val="24"/>
          <w:szCs w:val="24"/>
          <w:lang w:eastAsia="en-GB"/>
        </w:rPr>
        <w:t xml:space="preserve"> et al. (2025).</w:t>
      </w:r>
    </w:p>
    <w:p w14:paraId="7F4A8D5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As Table 1 makes clear, the dominant technical paradigms in this domain are convolutional neural networks applied to visual inspection and a broader family of machine learning methods applied to surveillance, sensor and spectral data. Read together, the studies in this section suggest that AI has meaningfully strengthened the food industry's technical capacity to detect hazards and verify authenticity—but that turning these capabilities into routine operational practice is shaped as much by organisational trust, regulatory clarity and data infrastructure as by raw algorithmic performance.</w:t>
      </w:r>
    </w:p>
    <w:p w14:paraId="6A1D25CF"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7B4062EB"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4. Artificial Intelligence in Food Processing, Engineering and Automation</w:t>
      </w:r>
    </w:p>
    <w:p w14:paraId="701FC0B6"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4.1 Computer-Aided Food Engineering and Process Modelling</w:t>
      </w:r>
    </w:p>
    <w:p w14:paraId="0D310353"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processing poses a distinctive engineering problem because foods are structurally and compositionally complex, multiscale materials whose behaviour during heating, drying, freezing or extrusion resists capture by simple analytical models. The emerging field of computer-aided food engineering addresses this by combining mechanistic process models with data-driven methods, including machine learning, to predict how food properties evolve during processing and to support the design of safer, higher-quality and more resource-efficient processes (Datta et al., 2022). This hybrid modelling approach is presented in the literature as a way of moving food manufacturing away from a historically trial-and-error mode of process development, towards a more predictive, simulation-supported design process of the kind long established in other manufacturing sectors (Datta et al., 2022).</w:t>
      </w:r>
    </w:p>
    <w:p w14:paraId="2C594EB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lastRenderedPageBreak/>
        <w:t>A related strand of work applies machine learning to characterise food composition and processing degree directly from compositional and ingredient data. One notable example is the development of algorithms able to predict the degree of food processing—distinguishing minimally processed from ultra-processed products—at a scale and consistency that manual classification simply could not match, with implications reaching beyond manufacturing into public health surveillance of dietary patterns (Menichetti et al., 2023). Tools of this kind illustrate how AI-enabled characterisation methods can serve dual purposes, supporting both industrial quality assurance and wider food policy and nutrition research.</w:t>
      </w:r>
    </w:p>
    <w:p w14:paraId="792D617F"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Reviews of AI applications across agri-food systems more broadly emphasise that machine learning, neural networks and deep learning are increasingly embedded throughout food processing operations, including beverage manufacturing, dairy processing and intelligent packaging design, with the aim of improving efficiency, consistency and sustainability across production (Nath et al., 2024). The concept of "Food Quality 4.0" captures this shift towards digitalised, automated, AI-supported quality analysis, in contrast to the largely manual approaches to quality assurance that have historically characterised much of food manufacturing (Hassoun et al., 2023).</w:t>
      </w:r>
    </w:p>
    <w:p w14:paraId="5D024CFB"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4.2 Robotics and Intelligent Automation in Manufacturing</w:t>
      </w:r>
    </w:p>
    <w:p w14:paraId="3C501F29"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Robotics is the second major pillar of AI-enabled change in food processing, particularly in sub-sectors marked by physically demanding, repetitive or hazardous tasks. Red meat processing is a useful illustration: reviews of robotics and sensing technologies in this sector point to persistent challenges arising from the variability of biological materials, the harshness of abattoir environments and the high financial and safety costs tied to skilled manual labour—all of which create strong incentives for automation while simultaneously complicating its technical implementation (Aly et al., 2023). Combining optical and spectroscopic sensing—near-infrared probes capable of measuring fat depth or composition in real time, for instance—with robotic cutting and handling systems has been identified as a particularly promising route for marrying the precision of automated systems with the adaptive perception that, until now, only experienced human operators have provided (Aly et al., 2023).</w:t>
      </w:r>
    </w:p>
    <w:p w14:paraId="68C849E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Beyond meat processing, AI-enabled robotic and automated systems have been documented across a wide range of food manufacturing contexts, including material handling, sorting, packaging and quality control inspection stations built directly into production lines (Mavani et al., 2022). The convergence of robotics with computer vision and machine learning is often framed as enabling not just the substitution of manual labour, but a qualitative shift towards adaptive, sensor-informed automation capable of responding to the natural variability of food materials—in contrast to the rigid, pre-programmed automation that characterised earlier generations of food processing machinery (Mavani et al., 2022). Even so, the persistent barriers to wider adoption of robotics in this sector appear to have less to do with the maturity of the underlying AI algorithms than with the practical difficulty of designing end-effectors, grippers and sensing systems that can reliably handle soft, irregular, highly variable biological materials at industrial throughput (Aly et al., 2023).</w:t>
      </w:r>
    </w:p>
    <w:p w14:paraId="66C7ECDF"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Taken as a whole, the evidence in this section points to AI-enabled computer-aided engineering and robotics converging along two complementary lines: a predictive, simulation-driven approach to process and product design, and a perceptive, sensor-informed approach to physical automation. Both depend, in practice, on access to high-quality, </w:t>
      </w:r>
      <w:r w:rsidRPr="00F80FFE">
        <w:rPr>
          <w:rFonts w:ascii="Times New Roman" w:eastAsia="Times New Roman" w:hAnsi="Times New Roman" w:cs="Times New Roman"/>
          <w:sz w:val="24"/>
          <w:szCs w:val="24"/>
          <w:lang w:eastAsia="en-GB"/>
        </w:rPr>
        <w:lastRenderedPageBreak/>
        <w:t>representative training data, and both remain constrained by the structural and compositional heterogeneity that is simply inherent to food materials.</w:t>
      </w:r>
    </w:p>
    <w:p w14:paraId="1ED70B91"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3AE38A60"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5. Artificial Intelligence Across the Food Supply Chain</w:t>
      </w:r>
    </w:p>
    <w:p w14:paraId="46405067"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5.1 Demand Forecasting, Logistics and Traceability</w:t>
      </w:r>
    </w:p>
    <w:p w14:paraId="2C595CDB"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food supply chain—spanning primary production, processing, distribution and retail—is shaped by perishability constraints, demand volatility and multi-tier supplier networks, all of which make inventory management, logistics planning and financial coordination genuinely difficult problems. AI-enabled analytics have been applied to several of these challenges at once, including demand forecasting, route optimisation for temperature-sensitive products, and the structuring of supply chain finance arrangements that can accommodate the cash-flow pressures typical of multi-supplier food and drink networks (Olan et al., 2022). Research on AI-driven supply chain finance in the food and drink sector has proposed conceptual frameworks linking AI-enabled risk assessment to alternative financing mechanisms, reflecting a recognition that technological and financial innovation in this sector are closely intertwined, particularly for small and medium-sized suppliers operating with limited working capital (Olan et al., 2022).</w:t>
      </w:r>
    </w:p>
    <w:p w14:paraId="7B4C0470"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Traceability is a further significant application area, where AI is typically combined with complementary digital technologies—most notably blockchain and Internet of Things sensors—to enable real-time product tracking and rapid identification of contamination sources during a recall. Reviews of digital innovation in food systems monitoring stress that the proliferation of remote sensing, machine learning and blockchain-based monitoring creates a real opportunity to improve transparency and accountability across food supply chains, while also raising concerns about data governance, equitable access to monitoring infrastructure, and the risk that monitoring systems themselves could be turned towards surveillance or market control rather than genuine sustainability gains (Meemken et al., 2024).</w:t>
      </w:r>
    </w:p>
    <w:p w14:paraId="2E533673"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5.2 Reducing Food Loss and Waste through Predictive Analytics</w:t>
      </w:r>
    </w:p>
    <w:p w14:paraId="495C93B2"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loss and waste represent both an economic inefficiency and an environmental burden, and AI-enabled analytics have been put forward as a promising tool for tackling the problem at multiple points in the supply chain. Reviews focused specifically on AI applications for food waste reduction and the circular economy point to the potential of predictive demand modelling, dynamic pricing and AI-supported redistribution platforms to cut surplus food generation at the retail and food service level, while cautioning that the scale of the underlying problem—global food loss and waste is estimated in the literature at close to one billion tonnes annually—means technological interventions alone are unlikely to resolve it without complementary policy and behavioural measures (</w:t>
      </w:r>
      <w:proofErr w:type="spellStart"/>
      <w:r w:rsidR="00420D5B">
        <w:rPr>
          <w:rFonts w:ascii="Times New Roman" w:eastAsia="Times New Roman" w:hAnsi="Times New Roman" w:cs="Times New Roman"/>
          <w:sz w:val="24"/>
          <w:szCs w:val="24"/>
          <w:lang w:eastAsia="en-GB"/>
        </w:rPr>
        <w:t>Onyeaka</w:t>
      </w:r>
      <w:proofErr w:type="spellEnd"/>
      <w:r w:rsidRPr="00F80FFE">
        <w:rPr>
          <w:rFonts w:ascii="Times New Roman" w:eastAsia="Times New Roman" w:hAnsi="Times New Roman" w:cs="Times New Roman"/>
          <w:sz w:val="24"/>
          <w:szCs w:val="24"/>
          <w:lang w:eastAsia="en-GB"/>
        </w:rPr>
        <w:t xml:space="preserve"> &amp; </w:t>
      </w:r>
      <w:proofErr w:type="spellStart"/>
      <w:r w:rsidRPr="00F80FFE">
        <w:rPr>
          <w:rFonts w:ascii="Times New Roman" w:eastAsia="Times New Roman" w:hAnsi="Times New Roman" w:cs="Times New Roman"/>
          <w:sz w:val="24"/>
          <w:szCs w:val="24"/>
          <w:lang w:eastAsia="en-GB"/>
        </w:rPr>
        <w:t>Akinsemolu</w:t>
      </w:r>
      <w:proofErr w:type="spellEnd"/>
      <w:r w:rsidRPr="00F80FFE">
        <w:rPr>
          <w:rFonts w:ascii="Times New Roman" w:eastAsia="Times New Roman" w:hAnsi="Times New Roman" w:cs="Times New Roman"/>
          <w:sz w:val="24"/>
          <w:szCs w:val="24"/>
          <w:lang w:eastAsia="en-GB"/>
        </w:rPr>
        <w:t>, 2023).</w:t>
      </w:r>
    </w:p>
    <w:p w14:paraId="7F9AFD29"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Bibliometric and </w:t>
      </w:r>
      <w:proofErr w:type="spellStart"/>
      <w:r w:rsidRPr="00F80FFE">
        <w:rPr>
          <w:rFonts w:ascii="Times New Roman" w:eastAsia="Times New Roman" w:hAnsi="Times New Roman" w:cs="Times New Roman"/>
          <w:sz w:val="24"/>
          <w:szCs w:val="24"/>
          <w:lang w:eastAsia="en-GB"/>
        </w:rPr>
        <w:t>scientometric</w:t>
      </w:r>
      <w:proofErr w:type="spellEnd"/>
      <w:r w:rsidRPr="00F80FFE">
        <w:rPr>
          <w:rFonts w:ascii="Times New Roman" w:eastAsia="Times New Roman" w:hAnsi="Times New Roman" w:cs="Times New Roman"/>
          <w:sz w:val="24"/>
          <w:szCs w:val="24"/>
          <w:lang w:eastAsia="en-GB"/>
        </w:rPr>
        <w:t xml:space="preserve"> analysis of the literature on AI and big data applications for forecasting disruptions in global food value chains similarly points to rapidly growing research interest in using predictive analytics to anticipate supply shocks and mitigate their downstream effects on food insecurity, particularly in the context of climate-related and geopolitical disruptions to international trade (</w:t>
      </w:r>
      <w:proofErr w:type="spellStart"/>
      <w:r w:rsidRPr="00F80FFE">
        <w:rPr>
          <w:rFonts w:ascii="Times New Roman" w:eastAsia="Times New Roman" w:hAnsi="Times New Roman" w:cs="Times New Roman"/>
          <w:sz w:val="24"/>
          <w:szCs w:val="24"/>
          <w:lang w:eastAsia="en-GB"/>
        </w:rPr>
        <w:t>Tamasiga</w:t>
      </w:r>
      <w:proofErr w:type="spellEnd"/>
      <w:r w:rsidRPr="00F80FFE">
        <w:rPr>
          <w:rFonts w:ascii="Times New Roman" w:eastAsia="Times New Roman" w:hAnsi="Times New Roman" w:cs="Times New Roman"/>
          <w:sz w:val="24"/>
          <w:szCs w:val="24"/>
          <w:lang w:eastAsia="en-GB"/>
        </w:rPr>
        <w:t xml:space="preserve"> et al., 2023). More broadly, reviews </w:t>
      </w:r>
      <w:r w:rsidRPr="00F80FFE">
        <w:rPr>
          <w:rFonts w:ascii="Times New Roman" w:eastAsia="Times New Roman" w:hAnsi="Times New Roman" w:cs="Times New Roman"/>
          <w:sz w:val="24"/>
          <w:szCs w:val="24"/>
          <w:lang w:eastAsia="en-GB"/>
        </w:rPr>
        <w:lastRenderedPageBreak/>
        <w:t>of AI and big data integration across the food industry note that the value of these technologies for supply chain resilience is closely tied to the availability of interoperable, real-time data streams spanning multiple supply chain tiers—a condition that remains only partially met in many parts of the global food system (Ding et al., 2023).</w:t>
      </w:r>
    </w:p>
    <w:p w14:paraId="77EF0481"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Table 2 summarises representative AI applications mapped against key stages of the food supply chain, illustrating both the breadth of documented use cases and a recurring theme: that realising the anticipated benefits depends on data integration across the chain.</w:t>
      </w:r>
    </w:p>
    <w:p w14:paraId="278CB762"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t>Table 2. Representative artificial intelligence applications across stages of the food supply chain</w:t>
      </w:r>
    </w:p>
    <w:tbl>
      <w:tblPr>
        <w:tblStyle w:val="TableGrid"/>
        <w:tblW w:w="0" w:type="auto"/>
        <w:tblLook w:val="04A0" w:firstRow="1" w:lastRow="0" w:firstColumn="1" w:lastColumn="0" w:noHBand="0" w:noVBand="1"/>
      </w:tblPr>
      <w:tblGrid>
        <w:gridCol w:w="2110"/>
        <w:gridCol w:w="3216"/>
        <w:gridCol w:w="3916"/>
      </w:tblGrid>
      <w:tr w:rsidR="00F80FFE" w:rsidRPr="00F80FFE" w14:paraId="38D011B3" w14:textId="77777777" w:rsidTr="00420D5B">
        <w:tc>
          <w:tcPr>
            <w:tcW w:w="0" w:type="auto"/>
            <w:hideMark/>
          </w:tcPr>
          <w:p w14:paraId="5C640171"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Supply Chain Stage</w:t>
            </w:r>
          </w:p>
        </w:tc>
        <w:tc>
          <w:tcPr>
            <w:tcW w:w="0" w:type="auto"/>
            <w:hideMark/>
          </w:tcPr>
          <w:p w14:paraId="039839E6"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AI Application</w:t>
            </w:r>
          </w:p>
        </w:tc>
        <w:tc>
          <w:tcPr>
            <w:tcW w:w="0" w:type="auto"/>
            <w:hideMark/>
          </w:tcPr>
          <w:p w14:paraId="01F1EAF9"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Reported Benefit / Consideration</w:t>
            </w:r>
          </w:p>
        </w:tc>
      </w:tr>
      <w:tr w:rsidR="00F80FFE" w:rsidRPr="00F80FFE" w14:paraId="21016130" w14:textId="77777777" w:rsidTr="00420D5B">
        <w:tc>
          <w:tcPr>
            <w:tcW w:w="0" w:type="auto"/>
            <w:hideMark/>
          </w:tcPr>
          <w:p w14:paraId="2143BF32"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Demand planning and finance</w:t>
            </w:r>
          </w:p>
        </w:tc>
        <w:tc>
          <w:tcPr>
            <w:tcW w:w="0" w:type="auto"/>
            <w:hideMark/>
          </w:tcPr>
          <w:p w14:paraId="3F0AB05D"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Predictive demand modelling; AI-supported supply chain finance frameworks</w:t>
            </w:r>
          </w:p>
        </w:tc>
        <w:tc>
          <w:tcPr>
            <w:tcW w:w="0" w:type="auto"/>
            <w:hideMark/>
          </w:tcPr>
          <w:p w14:paraId="181CB96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alignment of inventory with demand; novel financing mechanisms for multi-tier suppliers</w:t>
            </w:r>
          </w:p>
        </w:tc>
      </w:tr>
      <w:tr w:rsidR="00F80FFE" w:rsidRPr="00F80FFE" w14:paraId="39D28569" w14:textId="77777777" w:rsidTr="00420D5B">
        <w:tc>
          <w:tcPr>
            <w:tcW w:w="0" w:type="auto"/>
            <w:hideMark/>
          </w:tcPr>
          <w:p w14:paraId="4CFA2DD4"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Logistics and cold-chain management</w:t>
            </w:r>
          </w:p>
        </w:tc>
        <w:tc>
          <w:tcPr>
            <w:tcW w:w="0" w:type="auto"/>
            <w:hideMark/>
          </w:tcPr>
          <w:p w14:paraId="34BCEB1E"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Route and storage optimisation for perishable goods</w:t>
            </w:r>
          </w:p>
        </w:tc>
        <w:tc>
          <w:tcPr>
            <w:tcW w:w="0" w:type="auto"/>
            <w:hideMark/>
          </w:tcPr>
          <w:p w14:paraId="4E94B43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Reduced spoilage during transport and storage</w:t>
            </w:r>
          </w:p>
        </w:tc>
      </w:tr>
      <w:tr w:rsidR="00F80FFE" w:rsidRPr="00F80FFE" w14:paraId="68A8925F" w14:textId="77777777" w:rsidTr="00420D5B">
        <w:tc>
          <w:tcPr>
            <w:tcW w:w="0" w:type="auto"/>
            <w:hideMark/>
          </w:tcPr>
          <w:p w14:paraId="5C54E868"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Traceability and recall management</w:t>
            </w:r>
          </w:p>
        </w:tc>
        <w:tc>
          <w:tcPr>
            <w:tcW w:w="0" w:type="auto"/>
            <w:hideMark/>
          </w:tcPr>
          <w:p w14:paraId="4064C0C3"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Integration of AI with blockchain and IoT sensors</w:t>
            </w:r>
          </w:p>
        </w:tc>
        <w:tc>
          <w:tcPr>
            <w:tcW w:w="0" w:type="auto"/>
            <w:hideMark/>
          </w:tcPr>
          <w:p w14:paraId="7443D0A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Faster source identification and recall response; associated data governance concerns</w:t>
            </w:r>
          </w:p>
        </w:tc>
      </w:tr>
      <w:tr w:rsidR="00F80FFE" w:rsidRPr="00F80FFE" w14:paraId="0FA509D3" w14:textId="77777777" w:rsidTr="00420D5B">
        <w:tc>
          <w:tcPr>
            <w:tcW w:w="0" w:type="auto"/>
            <w:hideMark/>
          </w:tcPr>
          <w:p w14:paraId="26044285"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loss and waste reduction</w:t>
            </w:r>
          </w:p>
        </w:tc>
        <w:tc>
          <w:tcPr>
            <w:tcW w:w="0" w:type="auto"/>
            <w:hideMark/>
          </w:tcPr>
          <w:p w14:paraId="0C78B366"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Predictive analytics for surplus forecasting and redistribution</w:t>
            </w:r>
          </w:p>
        </w:tc>
        <w:tc>
          <w:tcPr>
            <w:tcW w:w="0" w:type="auto"/>
            <w:hideMark/>
          </w:tcPr>
          <w:p w14:paraId="0D8703AF"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Reduced volumes of avoidable food waste; limited by the sheer scale of global food loss</w:t>
            </w:r>
          </w:p>
        </w:tc>
      </w:tr>
      <w:tr w:rsidR="00F80FFE" w:rsidRPr="00F80FFE" w14:paraId="092E9FBA" w14:textId="77777777" w:rsidTr="00420D5B">
        <w:tc>
          <w:tcPr>
            <w:tcW w:w="0" w:type="auto"/>
            <w:hideMark/>
          </w:tcPr>
          <w:p w14:paraId="49768E70"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Resilience to global disruption</w:t>
            </w:r>
          </w:p>
        </w:tc>
        <w:tc>
          <w:tcPr>
            <w:tcW w:w="0" w:type="auto"/>
            <w:hideMark/>
          </w:tcPr>
          <w:p w14:paraId="64432DA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Big data/AI-based scenario forecasting</w:t>
            </w:r>
          </w:p>
        </w:tc>
        <w:tc>
          <w:tcPr>
            <w:tcW w:w="0" w:type="auto"/>
            <w:hideMark/>
          </w:tcPr>
          <w:p w14:paraId="003B977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Earlier anticipation of value-chain disruptions affecting food security</w:t>
            </w:r>
          </w:p>
        </w:tc>
      </w:tr>
    </w:tbl>
    <w:p w14:paraId="5CB260D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i/>
          <w:iCs/>
          <w:sz w:val="24"/>
          <w:szCs w:val="24"/>
          <w:lang w:eastAsia="en-GB"/>
        </w:rPr>
        <w:t xml:space="preserve">Sources: Olan et al. (2022); Meemken et al. (2024); </w:t>
      </w:r>
      <w:proofErr w:type="spellStart"/>
      <w:r w:rsidR="00420D5B">
        <w:rPr>
          <w:rFonts w:ascii="Times New Roman" w:eastAsia="Times New Roman" w:hAnsi="Times New Roman" w:cs="Times New Roman"/>
          <w:i/>
          <w:iCs/>
          <w:sz w:val="24"/>
          <w:szCs w:val="24"/>
          <w:lang w:eastAsia="en-GB"/>
        </w:rPr>
        <w:t>Onyeaka</w:t>
      </w:r>
      <w:proofErr w:type="spellEnd"/>
      <w:r w:rsidRPr="00F80FFE">
        <w:rPr>
          <w:rFonts w:ascii="Times New Roman" w:eastAsia="Times New Roman" w:hAnsi="Times New Roman" w:cs="Times New Roman"/>
          <w:i/>
          <w:iCs/>
          <w:sz w:val="24"/>
          <w:szCs w:val="24"/>
          <w:lang w:eastAsia="en-GB"/>
        </w:rPr>
        <w:t xml:space="preserve"> and </w:t>
      </w:r>
      <w:proofErr w:type="spellStart"/>
      <w:r w:rsidRPr="00F80FFE">
        <w:rPr>
          <w:rFonts w:ascii="Times New Roman" w:eastAsia="Times New Roman" w:hAnsi="Times New Roman" w:cs="Times New Roman"/>
          <w:i/>
          <w:iCs/>
          <w:sz w:val="24"/>
          <w:szCs w:val="24"/>
          <w:lang w:eastAsia="en-GB"/>
        </w:rPr>
        <w:t>Akinsemolu</w:t>
      </w:r>
      <w:proofErr w:type="spellEnd"/>
      <w:r w:rsidRPr="00F80FFE">
        <w:rPr>
          <w:rFonts w:ascii="Times New Roman" w:eastAsia="Times New Roman" w:hAnsi="Times New Roman" w:cs="Times New Roman"/>
          <w:i/>
          <w:iCs/>
          <w:sz w:val="24"/>
          <w:szCs w:val="24"/>
          <w:lang w:eastAsia="en-GB"/>
        </w:rPr>
        <w:t xml:space="preserve"> (2023); </w:t>
      </w:r>
      <w:proofErr w:type="spellStart"/>
      <w:r w:rsidRPr="00F80FFE">
        <w:rPr>
          <w:rFonts w:ascii="Times New Roman" w:eastAsia="Times New Roman" w:hAnsi="Times New Roman" w:cs="Times New Roman"/>
          <w:i/>
          <w:iCs/>
          <w:sz w:val="24"/>
          <w:szCs w:val="24"/>
          <w:lang w:eastAsia="en-GB"/>
        </w:rPr>
        <w:t>Tamasiga</w:t>
      </w:r>
      <w:proofErr w:type="spellEnd"/>
      <w:r w:rsidRPr="00F80FFE">
        <w:rPr>
          <w:rFonts w:ascii="Times New Roman" w:eastAsia="Times New Roman" w:hAnsi="Times New Roman" w:cs="Times New Roman"/>
          <w:i/>
          <w:iCs/>
          <w:sz w:val="24"/>
          <w:szCs w:val="24"/>
          <w:lang w:eastAsia="en-GB"/>
        </w:rPr>
        <w:t xml:space="preserve"> et al. (2023); Ding et al. (2023).</w:t>
      </w:r>
    </w:p>
    <w:p w14:paraId="4239D7C9"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pattern evident in Table 2 is that AI applications across the supply chain are predominantly predictive and coordinative—aimed at anticipating disruption or inefficiency rather than replacing human decision-making outright. This sets supply chain applications apart from the more perceptual, task-substituting uses of AI characteristic of processing and quality control, discussed above in Sections 3 and 4.</w:t>
      </w:r>
    </w:p>
    <w:p w14:paraId="401813B6"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76B8F0D9"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6. Artificial Intelligence in Primary Production, Food Security and Sustainability</w:t>
      </w:r>
    </w:p>
    <w:p w14:paraId="2FFCBCD4"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6.1 Precision Agriculture and Smart Farming</w:t>
      </w:r>
    </w:p>
    <w:p w14:paraId="0DE4DE92"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Applying AI to primary food production—commonly framed as precision or smart agriculture—is a critical upstream complement to the processing and supply chain applications discussed so far, given that the quality, consistency and sustainability of raw agricultural inputs shape downstream food system performance in fairly fundamental ways. Comprehensive reviews of smart farming document the use of machine learning and deep </w:t>
      </w:r>
      <w:r w:rsidRPr="00F80FFE">
        <w:rPr>
          <w:rFonts w:ascii="Times New Roman" w:eastAsia="Times New Roman" w:hAnsi="Times New Roman" w:cs="Times New Roman"/>
          <w:sz w:val="24"/>
          <w:szCs w:val="24"/>
          <w:lang w:eastAsia="en-GB"/>
        </w:rPr>
        <w:lastRenderedPageBreak/>
        <w:t>learning across tasks including crop monitoring, irrigation scheduling, pest and disease detection and yield prediction, generally framed within the broader context of climate-related and resource constraints on agricultural productivity (</w:t>
      </w:r>
      <w:proofErr w:type="spellStart"/>
      <w:r w:rsidRPr="00F80FFE">
        <w:rPr>
          <w:rFonts w:ascii="Times New Roman" w:eastAsia="Times New Roman" w:hAnsi="Times New Roman" w:cs="Times New Roman"/>
          <w:sz w:val="24"/>
          <w:szCs w:val="24"/>
          <w:lang w:eastAsia="en-GB"/>
        </w:rPr>
        <w:t>Akkem</w:t>
      </w:r>
      <w:proofErr w:type="spellEnd"/>
      <w:r w:rsidRPr="00F80FFE">
        <w:rPr>
          <w:rFonts w:ascii="Times New Roman" w:eastAsia="Times New Roman" w:hAnsi="Times New Roman" w:cs="Times New Roman"/>
          <w:sz w:val="24"/>
          <w:szCs w:val="24"/>
          <w:lang w:eastAsia="en-GB"/>
        </w:rPr>
        <w:t xml:space="preserve"> et al., 2023). One persistent technical challenge in this literature is the scarcity and imbalance of high-quality training data in many agricultural settings—a limitation that has fuelled growing interest in synthetic data generation methods, including variational autoencoders and generative adversarial networks, as a way of augmenting limited real-world datasets for training smart farming models (</w:t>
      </w:r>
      <w:proofErr w:type="spellStart"/>
      <w:r w:rsidRPr="00F80FFE">
        <w:rPr>
          <w:rFonts w:ascii="Times New Roman" w:eastAsia="Times New Roman" w:hAnsi="Times New Roman" w:cs="Times New Roman"/>
          <w:sz w:val="24"/>
          <w:szCs w:val="24"/>
          <w:lang w:eastAsia="en-GB"/>
        </w:rPr>
        <w:t>Akkem</w:t>
      </w:r>
      <w:proofErr w:type="spellEnd"/>
      <w:r w:rsidRPr="00F80FFE">
        <w:rPr>
          <w:rFonts w:ascii="Times New Roman" w:eastAsia="Times New Roman" w:hAnsi="Times New Roman" w:cs="Times New Roman"/>
          <w:sz w:val="24"/>
          <w:szCs w:val="24"/>
          <w:lang w:eastAsia="en-GB"/>
        </w:rPr>
        <w:t xml:space="preserve"> et al., 2024).</w:t>
      </w:r>
    </w:p>
    <w:p w14:paraId="203B3A71"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Open-source and modular AI architectures have also been proposed as a way of lowering the barriers to adopting precision agriculture tools, particularly where proprietary, vertically integrated AI platforms may be financially or technically out of reach. Architectures built on machine learning operations principles have been put forward as a means of fostering more equitable and adaptable agricultural transformation, allowing smallholder and resource-limited producers to benefit from AI-enabled decision support without becoming dependent on costly proprietary infrastructure (Cob-Parro et al., 2024).</w:t>
      </w:r>
    </w:p>
    <w:p w14:paraId="1B3DCBC2"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6.2 Monitoring Food Security and Sustainability at Scale</w:t>
      </w:r>
    </w:p>
    <w:p w14:paraId="2CBE88A0"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Beyond farm-level optimisation, AI and associated digital technologies are increasingly used to assess food security and monitor sustainability standards at regional and global scales. Reviews of AI applications for food security describe the use of predictive modelling to identify populations and regions at heightened risk of food insecurity, drawing on diverse data sources ranging from satellite-derived agricultural indicators to socioeconomic and market data (</w:t>
      </w:r>
      <w:proofErr w:type="spellStart"/>
      <w:r w:rsidRPr="00F80FFE">
        <w:rPr>
          <w:rFonts w:ascii="Times New Roman" w:eastAsia="Times New Roman" w:hAnsi="Times New Roman" w:cs="Times New Roman"/>
          <w:sz w:val="24"/>
          <w:szCs w:val="24"/>
          <w:lang w:eastAsia="en-GB"/>
        </w:rPr>
        <w:t>Sarku</w:t>
      </w:r>
      <w:proofErr w:type="spellEnd"/>
      <w:r w:rsidRPr="00F80FFE">
        <w:rPr>
          <w:rFonts w:ascii="Times New Roman" w:eastAsia="Times New Roman" w:hAnsi="Times New Roman" w:cs="Times New Roman"/>
          <w:sz w:val="24"/>
          <w:szCs w:val="24"/>
          <w:lang w:eastAsia="en-GB"/>
        </w:rPr>
        <w:t xml:space="preserve"> et al., 2023). Related methodological work has proposed multi-dimensional spatial indices for quantifying food insecurity, showing how AI-supported analytical frameworks can integrate heterogeneous indicators into more actionable, geographically resolved assessments than traditional single-indicator approaches allow (Dawood &amp; van Vuuren, 2023).</w:t>
      </w:r>
    </w:p>
    <w:p w14:paraId="248C2FFA"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At a systems level, digital monitoring approaches—combining remote sensing, machine learning, large-scale administrative data and blockchain-based verification—are increasingly used to track compliance with social and environmental sustainability standards across global agri-food supply chains. These approaches offer the prospect of substantially better transparency and accountability, but critical analyses are equally clear that the same monitoring infrastructure risks deepening rather than reducing power asymmetries between large agribusiness actors and smallholder producers, and could enable forms of algorithmic surveillance that undermine rather than support equitable participation in global food markets (Meemken et al., 2024). This tension between the transparency-enhancing and potentially disempowering effects of AI-based monitoring runs through the broader literature on AI ethics in agriculture, which similarly identifies privacy, fairness and the distribution of decision-making power as central, unresolved concerns (Ryan, 2023).</w:t>
      </w:r>
    </w:p>
    <w:p w14:paraId="31195918"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Table 3 summarises representative applications of AI within primary production, food security monitoring and sustainability assessment, bringing together the farm-level and systems-level perspectives discussed above.</w:t>
      </w:r>
    </w:p>
    <w:p w14:paraId="347BCE4D"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t>Table 3. Representative artificial intelligence applications in primary production, food security and sustainability monitoring</w:t>
      </w:r>
    </w:p>
    <w:tbl>
      <w:tblPr>
        <w:tblStyle w:val="TableGrid"/>
        <w:tblW w:w="0" w:type="auto"/>
        <w:tblLook w:val="04A0" w:firstRow="1" w:lastRow="0" w:firstColumn="1" w:lastColumn="0" w:noHBand="0" w:noVBand="1"/>
      </w:tblPr>
      <w:tblGrid>
        <w:gridCol w:w="2207"/>
        <w:gridCol w:w="3650"/>
        <w:gridCol w:w="3385"/>
      </w:tblGrid>
      <w:tr w:rsidR="00F80FFE" w:rsidRPr="00F80FFE" w14:paraId="3C987AA7" w14:textId="77777777" w:rsidTr="00420D5B">
        <w:tc>
          <w:tcPr>
            <w:tcW w:w="0" w:type="auto"/>
            <w:hideMark/>
          </w:tcPr>
          <w:p w14:paraId="0CA63EFC"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lastRenderedPageBreak/>
              <w:t>Application Domain</w:t>
            </w:r>
          </w:p>
        </w:tc>
        <w:tc>
          <w:tcPr>
            <w:tcW w:w="0" w:type="auto"/>
            <w:hideMark/>
          </w:tcPr>
          <w:p w14:paraId="60CB094F"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AI Application</w:t>
            </w:r>
          </w:p>
        </w:tc>
        <w:tc>
          <w:tcPr>
            <w:tcW w:w="0" w:type="auto"/>
            <w:hideMark/>
          </w:tcPr>
          <w:p w14:paraId="68310BA4"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Reported Benefit / Constraint</w:t>
            </w:r>
          </w:p>
        </w:tc>
      </w:tr>
      <w:tr w:rsidR="00F80FFE" w:rsidRPr="00F80FFE" w14:paraId="22A3B72A" w14:textId="77777777" w:rsidTr="00420D5B">
        <w:tc>
          <w:tcPr>
            <w:tcW w:w="0" w:type="auto"/>
            <w:hideMark/>
          </w:tcPr>
          <w:p w14:paraId="40A63DF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Crop and farm management</w:t>
            </w:r>
          </w:p>
        </w:tc>
        <w:tc>
          <w:tcPr>
            <w:tcW w:w="0" w:type="auto"/>
            <w:hideMark/>
          </w:tcPr>
          <w:p w14:paraId="44A4431D"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Machine learning/deep learning for monitoring, irrigation and pest detection</w:t>
            </w:r>
          </w:p>
        </w:tc>
        <w:tc>
          <w:tcPr>
            <w:tcW w:w="0" w:type="auto"/>
            <w:hideMark/>
          </w:tcPr>
          <w:p w14:paraId="6CAF783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resource-use efficiency; constrained by data scarcity in many regions</w:t>
            </w:r>
          </w:p>
        </w:tc>
      </w:tr>
      <w:tr w:rsidR="00F80FFE" w:rsidRPr="00F80FFE" w14:paraId="63D31981" w14:textId="77777777" w:rsidTr="00420D5B">
        <w:tc>
          <w:tcPr>
            <w:tcW w:w="0" w:type="auto"/>
            <w:hideMark/>
          </w:tcPr>
          <w:p w14:paraId="7DB6905C"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Data augmentation for agriculture</w:t>
            </w:r>
          </w:p>
        </w:tc>
        <w:tc>
          <w:tcPr>
            <w:tcW w:w="0" w:type="auto"/>
            <w:hideMark/>
          </w:tcPr>
          <w:p w14:paraId="5FCD0BE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Generative models (e.g., GANs, variational autoencoders) for synthetic agricultural data</w:t>
            </w:r>
          </w:p>
        </w:tc>
        <w:tc>
          <w:tcPr>
            <w:tcW w:w="0" w:type="auto"/>
            <w:hideMark/>
          </w:tcPr>
          <w:p w14:paraId="584ED876"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Mitigation of limited or imbalanced training datasets</w:t>
            </w:r>
          </w:p>
        </w:tc>
      </w:tr>
      <w:tr w:rsidR="00F80FFE" w:rsidRPr="00F80FFE" w14:paraId="7FF72C9A" w14:textId="77777777" w:rsidTr="00420D5B">
        <w:tc>
          <w:tcPr>
            <w:tcW w:w="0" w:type="auto"/>
            <w:hideMark/>
          </w:tcPr>
          <w:p w14:paraId="3486669F"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Equitable technology access</w:t>
            </w:r>
          </w:p>
        </w:tc>
        <w:tc>
          <w:tcPr>
            <w:tcW w:w="0" w:type="auto"/>
            <w:hideMark/>
          </w:tcPr>
          <w:p w14:paraId="231BA5CC"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Open-source, modular AI architectures for smallholder producers</w:t>
            </w:r>
          </w:p>
        </w:tc>
        <w:tc>
          <w:tcPr>
            <w:tcW w:w="0" w:type="auto"/>
            <w:hideMark/>
          </w:tcPr>
          <w:p w14:paraId="76B45A3F"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Reduced dependence on costly proprietary platforms</w:t>
            </w:r>
          </w:p>
        </w:tc>
      </w:tr>
      <w:tr w:rsidR="00F80FFE" w:rsidRPr="00F80FFE" w14:paraId="5D4017A2" w14:textId="77777777" w:rsidTr="00420D5B">
        <w:tc>
          <w:tcPr>
            <w:tcW w:w="0" w:type="auto"/>
            <w:hideMark/>
          </w:tcPr>
          <w:p w14:paraId="48770AC1"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insecurity assessment</w:t>
            </w:r>
          </w:p>
        </w:tc>
        <w:tc>
          <w:tcPr>
            <w:tcW w:w="0" w:type="auto"/>
            <w:hideMark/>
          </w:tcPr>
          <w:p w14:paraId="19E45CDE"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Predictive and spatial-index modelling of food insecurity risk</w:t>
            </w:r>
          </w:p>
        </w:tc>
        <w:tc>
          <w:tcPr>
            <w:tcW w:w="0" w:type="auto"/>
            <w:hideMark/>
          </w:tcPr>
          <w:p w14:paraId="68CB6073"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targeting of interventions; data and indicator integration challenges</w:t>
            </w:r>
          </w:p>
        </w:tc>
      </w:tr>
      <w:tr w:rsidR="00F80FFE" w:rsidRPr="00F80FFE" w14:paraId="115F3816" w14:textId="77777777" w:rsidTr="00420D5B">
        <w:tc>
          <w:tcPr>
            <w:tcW w:w="0" w:type="auto"/>
            <w:hideMark/>
          </w:tcPr>
          <w:p w14:paraId="7ED7855A"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Sustainability compliance monitoring</w:t>
            </w:r>
          </w:p>
        </w:tc>
        <w:tc>
          <w:tcPr>
            <w:tcW w:w="0" w:type="auto"/>
            <w:hideMark/>
          </w:tcPr>
          <w:p w14:paraId="2D23D64B"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Remote sensing, machine learning and blockchain-based verification</w:t>
            </w:r>
          </w:p>
        </w:tc>
        <w:tc>
          <w:tcPr>
            <w:tcW w:w="0" w:type="auto"/>
            <w:hideMark/>
          </w:tcPr>
          <w:p w14:paraId="52E0B3D1"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Enhanced transparency; risk of surveillance and power asymmetry</w:t>
            </w:r>
          </w:p>
        </w:tc>
      </w:tr>
    </w:tbl>
    <w:p w14:paraId="0CF771B2"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i/>
          <w:iCs/>
          <w:sz w:val="24"/>
          <w:szCs w:val="24"/>
          <w:lang w:eastAsia="en-GB"/>
        </w:rPr>
        <w:t xml:space="preserve">Sources: </w:t>
      </w:r>
      <w:proofErr w:type="spellStart"/>
      <w:r w:rsidRPr="00F80FFE">
        <w:rPr>
          <w:rFonts w:ascii="Times New Roman" w:eastAsia="Times New Roman" w:hAnsi="Times New Roman" w:cs="Times New Roman"/>
          <w:i/>
          <w:iCs/>
          <w:sz w:val="24"/>
          <w:szCs w:val="24"/>
          <w:lang w:eastAsia="en-GB"/>
        </w:rPr>
        <w:t>Akkem</w:t>
      </w:r>
      <w:proofErr w:type="spellEnd"/>
      <w:r w:rsidRPr="00F80FFE">
        <w:rPr>
          <w:rFonts w:ascii="Times New Roman" w:eastAsia="Times New Roman" w:hAnsi="Times New Roman" w:cs="Times New Roman"/>
          <w:i/>
          <w:iCs/>
          <w:sz w:val="24"/>
          <w:szCs w:val="24"/>
          <w:lang w:eastAsia="en-GB"/>
        </w:rPr>
        <w:t xml:space="preserve"> et al. (2023); </w:t>
      </w:r>
      <w:proofErr w:type="spellStart"/>
      <w:r w:rsidRPr="00F80FFE">
        <w:rPr>
          <w:rFonts w:ascii="Times New Roman" w:eastAsia="Times New Roman" w:hAnsi="Times New Roman" w:cs="Times New Roman"/>
          <w:i/>
          <w:iCs/>
          <w:sz w:val="24"/>
          <w:szCs w:val="24"/>
          <w:lang w:eastAsia="en-GB"/>
        </w:rPr>
        <w:t>Akkem</w:t>
      </w:r>
      <w:proofErr w:type="spellEnd"/>
      <w:r w:rsidRPr="00F80FFE">
        <w:rPr>
          <w:rFonts w:ascii="Times New Roman" w:eastAsia="Times New Roman" w:hAnsi="Times New Roman" w:cs="Times New Roman"/>
          <w:i/>
          <w:iCs/>
          <w:sz w:val="24"/>
          <w:szCs w:val="24"/>
          <w:lang w:eastAsia="en-GB"/>
        </w:rPr>
        <w:t xml:space="preserve"> et al. (2024); Cob-Parro et al. (2024); </w:t>
      </w:r>
      <w:proofErr w:type="spellStart"/>
      <w:r w:rsidRPr="00F80FFE">
        <w:rPr>
          <w:rFonts w:ascii="Times New Roman" w:eastAsia="Times New Roman" w:hAnsi="Times New Roman" w:cs="Times New Roman"/>
          <w:i/>
          <w:iCs/>
          <w:sz w:val="24"/>
          <w:szCs w:val="24"/>
          <w:lang w:eastAsia="en-GB"/>
        </w:rPr>
        <w:t>Sarku</w:t>
      </w:r>
      <w:proofErr w:type="spellEnd"/>
      <w:r w:rsidRPr="00F80FFE">
        <w:rPr>
          <w:rFonts w:ascii="Times New Roman" w:eastAsia="Times New Roman" w:hAnsi="Times New Roman" w:cs="Times New Roman"/>
          <w:i/>
          <w:iCs/>
          <w:sz w:val="24"/>
          <w:szCs w:val="24"/>
          <w:lang w:eastAsia="en-GB"/>
        </w:rPr>
        <w:t xml:space="preserve"> et al. (2023); Dawood and van Vuuren (2023); Meemken et al. (2024); Ryan (2023).</w:t>
      </w:r>
    </w:p>
    <w:p w14:paraId="0BD17B01"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evidence summarised in Table 3 suggests that AI applications in primary production and food security are increasingly converging on questions of equity and governance, alongside the more conventional concerns about technical performance that dominated earlier work in this area.</w:t>
      </w:r>
    </w:p>
    <w:p w14:paraId="7E6897D2"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0D9557EA"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7. Artificial Intelligence in Nutrition, Sensory Science and Product Innovation</w:t>
      </w:r>
    </w:p>
    <w:p w14:paraId="355A72F7"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7.1 Personalised Nutrition and Dietary Assessment</w:t>
      </w:r>
    </w:p>
    <w:p w14:paraId="69F94817"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AI applications in nutrition and dietary assessment have expanded quickly, driven both by consumer interest in individualised health guidance and by a genuine analytical problem: accurately quantifying dietary intake, a task that has historically relied on self-report methods prone to substantial recall bias and underreporting. Comprehensive reviews of AI in personalised nutrition and food manufacturing document the use of computer vision, natural language processing and recommendation system algorithms to estimate food intake from images, generate individualised dietary recommendations, and fold behavioural and physiological data into more responsive nutritional guidance systems (Agrawal et al., 2025). Scoping review evidence on AI applications for measuring food and nutrient intake reaches a similar conclusion: AI-based methods offer real improvements in accuracy, labour reduction and the feasibility of real-time dietary monitoring, while continuing to face challenges related to the diversity of food types represented in training data, algorithmic fairness across population groups, and data privacy in health-related applications (Zheng et al., 2024).</w:t>
      </w:r>
    </w:p>
    <w:p w14:paraId="1B4F9CCF"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broader sustainability implications of AI-enabled nutrition tools have also drawn attention, with reviews highlighting the potential for AI to support not only individual dietary optimisation but also population-level nutrition surveillance and the identification of dietary patterns linked to chronic disease risk (</w:t>
      </w:r>
      <w:proofErr w:type="spellStart"/>
      <w:r w:rsidRPr="00F80FFE">
        <w:rPr>
          <w:rFonts w:ascii="Times New Roman" w:eastAsia="Times New Roman" w:hAnsi="Times New Roman" w:cs="Times New Roman"/>
          <w:sz w:val="24"/>
          <w:szCs w:val="24"/>
          <w:lang w:eastAsia="en-GB"/>
        </w:rPr>
        <w:t>Namkhah</w:t>
      </w:r>
      <w:proofErr w:type="spellEnd"/>
      <w:r w:rsidRPr="00F80FFE">
        <w:rPr>
          <w:rFonts w:ascii="Times New Roman" w:eastAsia="Times New Roman" w:hAnsi="Times New Roman" w:cs="Times New Roman"/>
          <w:sz w:val="24"/>
          <w:szCs w:val="24"/>
          <w:lang w:eastAsia="en-GB"/>
        </w:rPr>
        <w:t xml:space="preserve"> et al., 2023). The ability of machine </w:t>
      </w:r>
      <w:r w:rsidRPr="00F80FFE">
        <w:rPr>
          <w:rFonts w:ascii="Times New Roman" w:eastAsia="Times New Roman" w:hAnsi="Times New Roman" w:cs="Times New Roman"/>
          <w:sz w:val="24"/>
          <w:szCs w:val="24"/>
          <w:lang w:eastAsia="en-GB"/>
        </w:rPr>
        <w:lastRenderedPageBreak/>
        <w:t>learning algorithms to characterise the degree of food processing directly from ingredient and compositional data illustrates a further point of convergence between nutrition-focused and manufacturing-focused AI work, since classification tools of this kind matter both for public health monitoring of ultra-processed food consumption and for manufacturers seeking to reformulate products in line with evolving nutritional guidance (Menichetti et al., 2023).</w:t>
      </w:r>
    </w:p>
    <w:p w14:paraId="583F6DBD"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7.2 Flavour Science, Generative Design and New Product Development</w:t>
      </w:r>
    </w:p>
    <w:p w14:paraId="1461E2E0"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 distinct and fast-growing application of AI concerns the design of food products themselves—moving beyond quality assessment of existing products towards the generative creation of novel formulations, flavours and recipes. Reviews of AI-enabled flavour science describe how combining food flavour and ingredient databases with machine learning models is allowing researchers to explore and develop new flavour substances in a digital environment, cutting the time and resource intensity that sensory experimentation has traditionally required, and pointing towards AI-assisted innovation pipelines that incorporate predicted consumer preference data earlier in the design process (Cui et al., 2025). Closely related work on inverse design and deep generative networks in food formulation makes a parallel argument: that AI could shift food product development from a largely forward, trial-based process towards an inverse design paradigm, in which the desired sensory or nutritional outcome is specified first and AI models then propose candidate formulations likely to achieve it (Al-</w:t>
      </w:r>
      <w:proofErr w:type="spellStart"/>
      <w:r w:rsidRPr="00F80FFE">
        <w:rPr>
          <w:rFonts w:ascii="Times New Roman" w:eastAsia="Times New Roman" w:hAnsi="Times New Roman" w:cs="Times New Roman"/>
          <w:sz w:val="24"/>
          <w:szCs w:val="24"/>
          <w:lang w:eastAsia="en-GB"/>
        </w:rPr>
        <w:t>Sarayreh</w:t>
      </w:r>
      <w:proofErr w:type="spellEnd"/>
      <w:r w:rsidRPr="00F80FFE">
        <w:rPr>
          <w:rFonts w:ascii="Times New Roman" w:eastAsia="Times New Roman" w:hAnsi="Times New Roman" w:cs="Times New Roman"/>
          <w:sz w:val="24"/>
          <w:szCs w:val="24"/>
          <w:lang w:eastAsia="en-GB"/>
        </w:rPr>
        <w:t xml:space="preserve"> et al., 2023).</w:t>
      </w:r>
    </w:p>
    <w:p w14:paraId="0A495E7B"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AI's role in new product development extends beyond flavour and formulation into strategic decision-making around market positioning. Earlier work in this area showed that AI-based predictive systems could forecast the likely commercial success of new food products and inform market-product strategy selection, drawing consumer, market and product attribute data into a single decision-support framework (Soltani-</w:t>
      </w:r>
      <w:proofErr w:type="spellStart"/>
      <w:r w:rsidRPr="00F80FFE">
        <w:rPr>
          <w:rFonts w:ascii="Times New Roman" w:eastAsia="Times New Roman" w:hAnsi="Times New Roman" w:cs="Times New Roman"/>
          <w:sz w:val="24"/>
          <w:szCs w:val="24"/>
          <w:lang w:eastAsia="en-GB"/>
        </w:rPr>
        <w:t>Fesaghandis</w:t>
      </w:r>
      <w:proofErr w:type="spellEnd"/>
      <w:r w:rsidRPr="00F80FFE">
        <w:rPr>
          <w:rFonts w:ascii="Times New Roman" w:eastAsia="Times New Roman" w:hAnsi="Times New Roman" w:cs="Times New Roman"/>
          <w:sz w:val="24"/>
          <w:szCs w:val="24"/>
          <w:lang w:eastAsia="en-GB"/>
        </w:rPr>
        <w:t xml:space="preserve"> &amp; Pooya, 2018). This strand of the literature is a useful reminder that AI's contribution to product innovation is not confined to the technical design of formulations; it extends into the commercial strategy surrounding product launch and positioning as well.</w:t>
      </w:r>
    </w:p>
    <w:p w14:paraId="3BBA4384"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7.3 Consumer Trust and Acceptance of AI-Enabled Foods</w:t>
      </w:r>
    </w:p>
    <w:p w14:paraId="73BCE695"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Whether AI-enabled product innovation translates into commercial success ultimately comes down to consumer acceptance—a theme that has attracted growing empirical attention as AI-generated or AI-assisted food products have begun reaching retail markets. Structural equation modelling research on consumer willingness to purchase foods made from AI-generated recipes finds that both cognitive trust, reflecting perceived competence and reliability of the technology, and affective trust, reflecting emotional comfort with AI-derived products, exert a significant positive effect on purchase intention, alongside food quality orientation and subjective social norms (Xia et al., 2024). This work makes a point worth dwelling on: AI's impact on the food industry cannot be judged in purely technical or operational terms, since consumer psychology and trust dynamics fundamentally determine whether technically successful innovations ever reach the market in any meaningful volume.</w:t>
      </w:r>
    </w:p>
    <w:p w14:paraId="30E6D4D8"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Broader survey-based research on consumer acceptance of sustainable food technologies—covering AI alongside complementary innovations such as upcycling technologies and agricultural </w:t>
      </w:r>
      <w:proofErr w:type="spellStart"/>
      <w:r w:rsidRPr="00F80FFE">
        <w:rPr>
          <w:rFonts w:ascii="Times New Roman" w:eastAsia="Times New Roman" w:hAnsi="Times New Roman" w:cs="Times New Roman"/>
          <w:sz w:val="24"/>
          <w:szCs w:val="24"/>
          <w:lang w:eastAsia="en-GB"/>
        </w:rPr>
        <w:t>biostimulants</w:t>
      </w:r>
      <w:proofErr w:type="spellEnd"/>
      <w:r w:rsidRPr="00F80FFE">
        <w:rPr>
          <w:rFonts w:ascii="Times New Roman" w:eastAsia="Times New Roman" w:hAnsi="Times New Roman" w:cs="Times New Roman"/>
          <w:sz w:val="24"/>
          <w:szCs w:val="24"/>
          <w:lang w:eastAsia="en-GB"/>
        </w:rPr>
        <w:t xml:space="preserve">—similarly finds that psychological and attitudinal factors, including food technology neophobia, variety-seeking tendencies and trust in regulatory and agribusiness actors, are more strongly associated with purchase intention than </w:t>
      </w:r>
      <w:r w:rsidRPr="00F80FFE">
        <w:rPr>
          <w:rFonts w:ascii="Times New Roman" w:eastAsia="Times New Roman" w:hAnsi="Times New Roman" w:cs="Times New Roman"/>
          <w:sz w:val="24"/>
          <w:szCs w:val="24"/>
          <w:lang w:eastAsia="en-GB"/>
        </w:rPr>
        <w:lastRenderedPageBreak/>
        <w:t>sociodemographic characteristics are, and that AI-associated food products tend to be perceived as more artificial and risky, and less reassuring, than the other sustainable food technologies examined (Castellini &amp; Graffigna, 2026). This has practical implications for how the food industry communicates such innovations to consumers; it suggests that the successful diffusion of AI-enabled food products depends substantially on framing and messaging, and not on technical performance alone.</w:t>
      </w:r>
    </w:p>
    <w:p w14:paraId="22803FE8"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Table 4 summarises representative applications of AI in nutrition, sensory science and consumer-facing innovation, together with key considerations identified across the reviewed studies.</w:t>
      </w:r>
    </w:p>
    <w:p w14:paraId="2D206E2A"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t>Table 4. Representative artificial intelligence applications in nutrition, sensory science and product innovation</w:t>
      </w:r>
    </w:p>
    <w:tbl>
      <w:tblPr>
        <w:tblStyle w:val="TableGrid"/>
        <w:tblW w:w="0" w:type="auto"/>
        <w:tblLook w:val="04A0" w:firstRow="1" w:lastRow="0" w:firstColumn="1" w:lastColumn="0" w:noHBand="0" w:noVBand="1"/>
      </w:tblPr>
      <w:tblGrid>
        <w:gridCol w:w="1889"/>
        <w:gridCol w:w="3751"/>
        <w:gridCol w:w="3602"/>
      </w:tblGrid>
      <w:tr w:rsidR="00F80FFE" w:rsidRPr="00F80FFE" w14:paraId="1A3C59A7" w14:textId="77777777" w:rsidTr="00420D5B">
        <w:tc>
          <w:tcPr>
            <w:tcW w:w="0" w:type="auto"/>
            <w:hideMark/>
          </w:tcPr>
          <w:p w14:paraId="502F14A7"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Application Domain</w:t>
            </w:r>
          </w:p>
        </w:tc>
        <w:tc>
          <w:tcPr>
            <w:tcW w:w="0" w:type="auto"/>
            <w:hideMark/>
          </w:tcPr>
          <w:p w14:paraId="39382AE0"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AI Application</w:t>
            </w:r>
          </w:p>
        </w:tc>
        <w:tc>
          <w:tcPr>
            <w:tcW w:w="0" w:type="auto"/>
            <w:hideMark/>
          </w:tcPr>
          <w:p w14:paraId="3AD1B5E8"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Key Consideration</w:t>
            </w:r>
          </w:p>
        </w:tc>
      </w:tr>
      <w:tr w:rsidR="00F80FFE" w:rsidRPr="00F80FFE" w14:paraId="4D660612" w14:textId="77777777" w:rsidTr="00420D5B">
        <w:tc>
          <w:tcPr>
            <w:tcW w:w="0" w:type="auto"/>
            <w:hideMark/>
          </w:tcPr>
          <w:p w14:paraId="18482361"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Dietary assessment</w:t>
            </w:r>
          </w:p>
        </w:tc>
        <w:tc>
          <w:tcPr>
            <w:tcW w:w="0" w:type="auto"/>
            <w:hideMark/>
          </w:tcPr>
          <w:p w14:paraId="2281ED33"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Computer vision and NLP-based food/nutrient intake estimation</w:t>
            </w:r>
          </w:p>
        </w:tc>
        <w:tc>
          <w:tcPr>
            <w:tcW w:w="0" w:type="auto"/>
            <w:hideMark/>
          </w:tcPr>
          <w:p w14:paraId="6D75706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accuracy and reduced labour; fairness across food types and populations</w:t>
            </w:r>
          </w:p>
        </w:tc>
      </w:tr>
      <w:tr w:rsidR="00F80FFE" w:rsidRPr="00F80FFE" w14:paraId="4526D816" w14:textId="77777777" w:rsidTr="00420D5B">
        <w:tc>
          <w:tcPr>
            <w:tcW w:w="0" w:type="auto"/>
            <w:hideMark/>
          </w:tcPr>
          <w:p w14:paraId="5E03B4AF"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Personalised nutrition</w:t>
            </w:r>
          </w:p>
        </w:tc>
        <w:tc>
          <w:tcPr>
            <w:tcW w:w="0" w:type="auto"/>
            <w:hideMark/>
          </w:tcPr>
          <w:p w14:paraId="4F3776BD"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Recommendation systems integrating behavioural/physiological data</w:t>
            </w:r>
          </w:p>
        </w:tc>
        <w:tc>
          <w:tcPr>
            <w:tcW w:w="0" w:type="auto"/>
            <w:hideMark/>
          </w:tcPr>
          <w:p w14:paraId="1DD3105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Potential for individualised guidance; data privacy concerns</w:t>
            </w:r>
          </w:p>
        </w:tc>
      </w:tr>
      <w:tr w:rsidR="00F80FFE" w:rsidRPr="00F80FFE" w14:paraId="27A0D006" w14:textId="77777777" w:rsidTr="00420D5B">
        <w:tc>
          <w:tcPr>
            <w:tcW w:w="0" w:type="auto"/>
            <w:hideMark/>
          </w:tcPr>
          <w:p w14:paraId="7E3C8ED8"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Flavour and formulation design</w:t>
            </w:r>
          </w:p>
        </w:tc>
        <w:tc>
          <w:tcPr>
            <w:tcW w:w="0" w:type="auto"/>
            <w:hideMark/>
          </w:tcPr>
          <w:p w14:paraId="7440DFEA"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Generative and inverse-design AI models</w:t>
            </w:r>
          </w:p>
        </w:tc>
        <w:tc>
          <w:tcPr>
            <w:tcW w:w="0" w:type="auto"/>
            <w:hideMark/>
          </w:tcPr>
          <w:p w14:paraId="77DB0020"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Faster, data-driven product development; reliance on database quality</w:t>
            </w:r>
          </w:p>
        </w:tc>
      </w:tr>
      <w:tr w:rsidR="00F80FFE" w:rsidRPr="00F80FFE" w14:paraId="67986FA4" w14:textId="77777777" w:rsidTr="00420D5B">
        <w:tc>
          <w:tcPr>
            <w:tcW w:w="0" w:type="auto"/>
            <w:hideMark/>
          </w:tcPr>
          <w:p w14:paraId="5F594E85"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New product strategy</w:t>
            </w:r>
          </w:p>
        </w:tc>
        <w:tc>
          <w:tcPr>
            <w:tcW w:w="0" w:type="auto"/>
            <w:hideMark/>
          </w:tcPr>
          <w:p w14:paraId="00262414"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Predictive models of product success and market positioning</w:t>
            </w:r>
          </w:p>
        </w:tc>
        <w:tc>
          <w:tcPr>
            <w:tcW w:w="0" w:type="auto"/>
            <w:hideMark/>
          </w:tcPr>
          <w:p w14:paraId="5242CBFC"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Integration of consumer and market data into launch decisions</w:t>
            </w:r>
          </w:p>
        </w:tc>
      </w:tr>
      <w:tr w:rsidR="00F80FFE" w:rsidRPr="00F80FFE" w14:paraId="2777ED49" w14:textId="77777777" w:rsidTr="00420D5B">
        <w:tc>
          <w:tcPr>
            <w:tcW w:w="0" w:type="auto"/>
            <w:hideMark/>
          </w:tcPr>
          <w:p w14:paraId="5DFFE0C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Consumer acceptance</w:t>
            </w:r>
          </w:p>
        </w:tc>
        <w:tc>
          <w:tcPr>
            <w:tcW w:w="0" w:type="auto"/>
            <w:hideMark/>
          </w:tcPr>
          <w:p w14:paraId="3C5F62AD"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Trust- and attitude-based behavioural modelling</w:t>
            </w:r>
          </w:p>
        </w:tc>
        <w:tc>
          <w:tcPr>
            <w:tcW w:w="0" w:type="auto"/>
            <w:hideMark/>
          </w:tcPr>
          <w:p w14:paraId="325950A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Cognitive/affective trust and neophobia shape adoption of AI-enabled foods</w:t>
            </w:r>
          </w:p>
        </w:tc>
      </w:tr>
    </w:tbl>
    <w:p w14:paraId="3ED6E27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i/>
          <w:iCs/>
          <w:sz w:val="24"/>
          <w:szCs w:val="24"/>
          <w:lang w:eastAsia="en-GB"/>
        </w:rPr>
        <w:t xml:space="preserve">Sources: Agrawal et al. (2025); Zheng et al. (2024); </w:t>
      </w:r>
      <w:proofErr w:type="spellStart"/>
      <w:r w:rsidRPr="00F80FFE">
        <w:rPr>
          <w:rFonts w:ascii="Times New Roman" w:eastAsia="Times New Roman" w:hAnsi="Times New Roman" w:cs="Times New Roman"/>
          <w:i/>
          <w:iCs/>
          <w:sz w:val="24"/>
          <w:szCs w:val="24"/>
          <w:lang w:eastAsia="en-GB"/>
        </w:rPr>
        <w:t>Namkhah</w:t>
      </w:r>
      <w:proofErr w:type="spellEnd"/>
      <w:r w:rsidRPr="00F80FFE">
        <w:rPr>
          <w:rFonts w:ascii="Times New Roman" w:eastAsia="Times New Roman" w:hAnsi="Times New Roman" w:cs="Times New Roman"/>
          <w:i/>
          <w:iCs/>
          <w:sz w:val="24"/>
          <w:szCs w:val="24"/>
          <w:lang w:eastAsia="en-GB"/>
        </w:rPr>
        <w:t xml:space="preserve"> et al. (2023); Menichetti et al. (2023); Cui et al. (2025); Al-</w:t>
      </w:r>
      <w:proofErr w:type="spellStart"/>
      <w:r w:rsidRPr="00F80FFE">
        <w:rPr>
          <w:rFonts w:ascii="Times New Roman" w:eastAsia="Times New Roman" w:hAnsi="Times New Roman" w:cs="Times New Roman"/>
          <w:i/>
          <w:iCs/>
          <w:sz w:val="24"/>
          <w:szCs w:val="24"/>
          <w:lang w:eastAsia="en-GB"/>
        </w:rPr>
        <w:t>Sarayreh</w:t>
      </w:r>
      <w:proofErr w:type="spellEnd"/>
      <w:r w:rsidRPr="00F80FFE">
        <w:rPr>
          <w:rFonts w:ascii="Times New Roman" w:eastAsia="Times New Roman" w:hAnsi="Times New Roman" w:cs="Times New Roman"/>
          <w:i/>
          <w:iCs/>
          <w:sz w:val="24"/>
          <w:szCs w:val="24"/>
          <w:lang w:eastAsia="en-GB"/>
        </w:rPr>
        <w:t xml:space="preserve"> et al. (2023); Soltani-</w:t>
      </w:r>
      <w:proofErr w:type="spellStart"/>
      <w:r w:rsidRPr="00F80FFE">
        <w:rPr>
          <w:rFonts w:ascii="Times New Roman" w:eastAsia="Times New Roman" w:hAnsi="Times New Roman" w:cs="Times New Roman"/>
          <w:i/>
          <w:iCs/>
          <w:sz w:val="24"/>
          <w:szCs w:val="24"/>
          <w:lang w:eastAsia="en-GB"/>
        </w:rPr>
        <w:t>Fesaghandis</w:t>
      </w:r>
      <w:proofErr w:type="spellEnd"/>
      <w:r w:rsidRPr="00F80FFE">
        <w:rPr>
          <w:rFonts w:ascii="Times New Roman" w:eastAsia="Times New Roman" w:hAnsi="Times New Roman" w:cs="Times New Roman"/>
          <w:i/>
          <w:iCs/>
          <w:sz w:val="24"/>
          <w:szCs w:val="24"/>
          <w:lang w:eastAsia="en-GB"/>
        </w:rPr>
        <w:t xml:space="preserve"> and Pooya (2018); Xia et al. (2024); Castellini and Graffigna (2026).</w:t>
      </w:r>
    </w:p>
    <w:p w14:paraId="54BA93A5"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Taken together, the studies in Table 4 suggest that AI's contribution to nutrition and product innovation runs along two interdependent tracks: a technical track concerned with improving the accuracy and efficiency of dietary assessment and product design, and a behavioural track concerned with understanding and shaping consumer trust in what that technical work produces. Neither track, on this evidence, is sufficient on its own to determine AI's ultimate impact on this part of the food industry.</w:t>
      </w:r>
    </w:p>
    <w:p w14:paraId="14BF056C"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7F3FC9F6"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8. Economic, Workforce and Ethical Implications</w:t>
      </w:r>
    </w:p>
    <w:p w14:paraId="4D33D861"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8.1 Economic and Competitive Implications for the Food Sector</w:t>
      </w:r>
    </w:p>
    <w:p w14:paraId="5900DE5F"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The economic implications of AI adoption in the food industry are substantial, but they are not evenly distributed across firm size, sub-sector or geography. Reviews of AI applications </w:t>
      </w:r>
      <w:r w:rsidRPr="00F80FFE">
        <w:rPr>
          <w:rFonts w:ascii="Times New Roman" w:eastAsia="Times New Roman" w:hAnsi="Times New Roman" w:cs="Times New Roman"/>
          <w:sz w:val="24"/>
          <w:szCs w:val="24"/>
          <w:lang w:eastAsia="en-GB"/>
        </w:rPr>
        <w:lastRenderedPageBreak/>
        <w:t>in supply chain finance suggest that AI-enabled risk assessment and forecasting tools can meaningfully improve the competitiveness of food and drink enterprises by lowering financing costs and improving operational efficiency, but that these gains accrue disproportionately to firms with the scale and technical capacity to implement and maintain such systems in the first place (Olan et al., 2022). The same pattern shows up in the smart farming literature, where the cost and technical sophistication of AI-enabled precision agriculture tools have been identified as a real barrier to adoption among smallholder producers, even as larger, capital-intensive agricultural enterprises fold such tools into routine operations (</w:t>
      </w:r>
      <w:proofErr w:type="spellStart"/>
      <w:r w:rsidRPr="00F80FFE">
        <w:rPr>
          <w:rFonts w:ascii="Times New Roman" w:eastAsia="Times New Roman" w:hAnsi="Times New Roman" w:cs="Times New Roman"/>
          <w:sz w:val="24"/>
          <w:szCs w:val="24"/>
          <w:lang w:eastAsia="en-GB"/>
        </w:rPr>
        <w:t>Akkem</w:t>
      </w:r>
      <w:proofErr w:type="spellEnd"/>
      <w:r w:rsidRPr="00F80FFE">
        <w:rPr>
          <w:rFonts w:ascii="Times New Roman" w:eastAsia="Times New Roman" w:hAnsi="Times New Roman" w:cs="Times New Roman"/>
          <w:sz w:val="24"/>
          <w:szCs w:val="24"/>
          <w:lang w:eastAsia="en-GB"/>
        </w:rPr>
        <w:t xml:space="preserve"> et al., 2023). The development of open-source and modular AI architectures has been explicitly motivated by a desire to mitigate this divergence, reflecting a broader concern in the literature that AI could exacerbate, rather than reduce, structural inequality within global food systems if left unaddressed (Cob-Parro et al., 2024).</w:t>
      </w:r>
    </w:p>
    <w:p w14:paraId="115FDA40"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8.2 Workforce Transformation and Labour Market Effects</w:t>
      </w:r>
    </w:p>
    <w:p w14:paraId="254486C5"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Deploying robotics and AI-enabled automation in food processing has direct implications for the workforce, particularly in sub-sectors historically defined by physically demanding, repetitive manual labour, such as meat processing. The literature on robotics in red meat processing frames automation explicitly as a response to persistent difficulties in recruiting and retaining skilled labour for hazardous abattoir work, which suggests that in this particular context, AI-enabled automation is perhaps better understood as a response to existing labour market pressures rather than as a direct substitute for an otherwise stable workforce (Aly et al., 2023). That said, the broader implications of AI-enabled automation for employment composition, skill requirements and wage structures across the food industry remain comparatively underexplored relative to the extensive technical documentation of AI capabilities themselves—an area where dedicated labour economics research specific to the food sector would meaningfully strengthen the evidence base.</w:t>
      </w:r>
    </w:p>
    <w:p w14:paraId="50F2EBE9"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8.3 Ethical, Regulatory and Governance Considerations</w:t>
      </w:r>
    </w:p>
    <w:p w14:paraId="12513A44"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Ethical and governance considerations run through nearly every domain examined in this review, but they are addressed most systematically in the literature on AI applications in agriculture and food security. A widely cited mapping of the agricultural AI ethics literature identifies a convergence around several core principles—transparency, justice and fairness, non-maleficence, responsibility and privacy—alongside considerable divergence in how these principles are interpreted, prioritised and put into practice across different stakeholder groups and technical contexts (Ryan, 2023). This analysis also notes that ethical concerns specific to agricultural and food-system AI—including the distribution of power that arises from asymmetric access to farm and consumer data between technology providers and primary producers—are not always well captured by generic AI ethics frameworks developed for other sectors, pointing to a need for governance approaches tailored to the particular structural features of food systems (Ryan, 2023).</w:t>
      </w:r>
    </w:p>
    <w:p w14:paraId="5134F667"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Critical reviews of AI's broader use in food safety, agriculture and food security make a similar argument: realising the technology's potential, particularly for emerging and alternative food categories, requires regulatory science and validated standards to develop alongside it, since technically promising AI applications may otherwise struggle to gain the institutional trust needed for adoption in a highly regulated food safety environment (</w:t>
      </w:r>
      <w:proofErr w:type="spellStart"/>
      <w:r w:rsidRPr="00F80FFE">
        <w:rPr>
          <w:rFonts w:ascii="Times New Roman" w:eastAsia="Times New Roman" w:hAnsi="Times New Roman" w:cs="Times New Roman"/>
          <w:sz w:val="24"/>
          <w:szCs w:val="24"/>
          <w:lang w:eastAsia="en-GB"/>
        </w:rPr>
        <w:t>Rugji</w:t>
      </w:r>
      <w:proofErr w:type="spellEnd"/>
      <w:r w:rsidRPr="00F80FFE">
        <w:rPr>
          <w:rFonts w:ascii="Times New Roman" w:eastAsia="Times New Roman" w:hAnsi="Times New Roman" w:cs="Times New Roman"/>
          <w:sz w:val="24"/>
          <w:szCs w:val="24"/>
          <w:lang w:eastAsia="en-GB"/>
        </w:rPr>
        <w:t xml:space="preserve"> et al., 2025). This concern is borne out in a recent institutional assessment by the United Kingdom's Food Standards Agency Science Council, which examined likely near-term </w:t>
      </w:r>
      <w:r w:rsidRPr="00F80FFE">
        <w:rPr>
          <w:rFonts w:ascii="Times New Roman" w:eastAsia="Times New Roman" w:hAnsi="Times New Roman" w:cs="Times New Roman"/>
          <w:sz w:val="24"/>
          <w:szCs w:val="24"/>
          <w:lang w:eastAsia="en-GB"/>
        </w:rPr>
        <w:lastRenderedPageBreak/>
        <w:t>applications of AI in food safety and authenticity and concluded that AI holds genuine promise for enabling earlier hazard detection, more scalable inspection and stronger regulatory oversight through continuous data monitoring—while cautioning that adoption across the food system remains at an early, largely pilot stage, with significant implications for how regulators themselves will need to adapt their oversight functions to a more AI-mediated food safety landscape (Food Standards Agency Science Council, 2025).</w:t>
      </w:r>
    </w:p>
    <w:p w14:paraId="77DDB3FE"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threads running through this section point to something fairly consistent: the economic, workforce and ethical dimensions of AI adoption in the food industry are tightly bound together. The same data infrastructures and computational capabilities that drive competitiveness gains also raise governance questions about equitable access, labour market disruption and the appropriate distribution of decision-making authority between technology providers, food businesses, regulators and primary producers.</w:t>
      </w:r>
    </w:p>
    <w:p w14:paraId="0F4F0AAB"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6658EB1B"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9. Challenges, Barriers and Future Research Directions</w:t>
      </w:r>
    </w:p>
    <w:p w14:paraId="7C40525B"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Despite the breadth of AI applications surveyed in this review, several recurring challenges stand in the way of turning technical capability into widespread, equitable industrial impact. The first, and perhaps most pervasive, is data: many of the most sophisticated AI applications documented here depend on large, high-quality, representative training datasets that remain unevenly available across food sub-sectors, geographies and commodity types—a gap that has driven growing interest in synthetic data generation as a partial remedy, particularly in precision agriculture (</w:t>
      </w:r>
      <w:proofErr w:type="spellStart"/>
      <w:r w:rsidRPr="00F80FFE">
        <w:rPr>
          <w:rFonts w:ascii="Times New Roman" w:eastAsia="Times New Roman" w:hAnsi="Times New Roman" w:cs="Times New Roman"/>
          <w:sz w:val="24"/>
          <w:szCs w:val="24"/>
          <w:lang w:eastAsia="en-GB"/>
        </w:rPr>
        <w:t>Akkem</w:t>
      </w:r>
      <w:proofErr w:type="spellEnd"/>
      <w:r w:rsidRPr="00F80FFE">
        <w:rPr>
          <w:rFonts w:ascii="Times New Roman" w:eastAsia="Times New Roman" w:hAnsi="Times New Roman" w:cs="Times New Roman"/>
          <w:sz w:val="24"/>
          <w:szCs w:val="24"/>
          <w:lang w:eastAsia="en-GB"/>
        </w:rPr>
        <w:t xml:space="preserve"> et al., 2024). A closely related second challenge concerns model interpretability and validation. Reviews of food authentication and quality assessment applications consistently flag the difficulty of moving laboratory-validated deep learning models into robust, interpretable and regulator-acceptable industrial systems as a persistent barrier to deployment, notwithstanding strong reported accuracy under controlled conditions (Shen et al., 2024).</w:t>
      </w:r>
    </w:p>
    <w:p w14:paraId="4AA46E4F"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 third challenge concerns the uneven distributional consequences of AI adoption, which surface across nearly every domain covered in this review: in primary production, where smaller producers face disproportionate barriers to accessing capital-intensive AI tools (</w:t>
      </w:r>
      <w:proofErr w:type="spellStart"/>
      <w:r w:rsidRPr="00F80FFE">
        <w:rPr>
          <w:rFonts w:ascii="Times New Roman" w:eastAsia="Times New Roman" w:hAnsi="Times New Roman" w:cs="Times New Roman"/>
          <w:sz w:val="24"/>
          <w:szCs w:val="24"/>
          <w:lang w:eastAsia="en-GB"/>
        </w:rPr>
        <w:t>Akkem</w:t>
      </w:r>
      <w:proofErr w:type="spellEnd"/>
      <w:r w:rsidRPr="00F80FFE">
        <w:rPr>
          <w:rFonts w:ascii="Times New Roman" w:eastAsia="Times New Roman" w:hAnsi="Times New Roman" w:cs="Times New Roman"/>
          <w:sz w:val="24"/>
          <w:szCs w:val="24"/>
          <w:lang w:eastAsia="en-GB"/>
        </w:rPr>
        <w:t xml:space="preserve"> et al., 2023); in supply chain finance, where larger and more technically sophisticated enterprises capture a disproportionate share of the efficiency gains (Olan et al., 2022); and in global sustainability monitoring, where AI-enabled transparency tools carry an inherent risk of reinforcing, rather than redressing, existing power asymmetries between dominant agribusiness actors and smallholder participants in global supply chains (Meemken et al., 2024). A fourth challenge concerns consumer trust, which the evidence in Section 7 suggests is not a peripheral consideration but a central determinant of whether technically successful AI-enabled food innovations ever achieve commercial viability (Xia et al., 2024; Castellini &amp; Graffigna, 2026).</w:t>
      </w:r>
    </w:p>
    <w:p w14:paraId="2128B347"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Future research would benefit from closer attention to several areas that remain comparatively underdeveloped in the current literature. These include rigorous, sector-specific empirical work on the labour market consequences of AI-enabled automation in food processing; longitudinal evaluation of AI-enabled food safety and traceability systems under real-world, rather than laboratory or pilot, operating conditions; and interdisciplinary research that explicitly bridges the technical AI literature with the regulatory, governance and </w:t>
      </w:r>
      <w:r w:rsidRPr="00F80FFE">
        <w:rPr>
          <w:rFonts w:ascii="Times New Roman" w:eastAsia="Times New Roman" w:hAnsi="Times New Roman" w:cs="Times New Roman"/>
          <w:sz w:val="24"/>
          <w:szCs w:val="24"/>
          <w:lang w:eastAsia="en-GB"/>
        </w:rPr>
        <w:lastRenderedPageBreak/>
        <w:t>consumer behaviour literatures. The evidence reviewed here consistently suggests that AI's ultimate impact on the food industry is jointly determined by technical performance, organisational readiness, regulatory clarity and consumer acceptance—not by algorithmic sophistication alone, and future research agendas would do well to reflect that.</w:t>
      </w:r>
    </w:p>
    <w:p w14:paraId="317277D2"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0F6B82A4"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10. Conclusions</w:t>
      </w:r>
    </w:p>
    <w:p w14:paraId="2A7F8EC4"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This review has examined the documented impact of artificial intelligence across the principal domains of the food industry, from food safety and processing through to primary production, supply chain management and consumer-facing innovation. The accumulated evidence points to genuine and measurable gains in several respects: stronger capacity for early hazard detection and food fraud identification, more efficient and adaptive process automation, better demand forecasting and traceability across supply chains, more sophisticated monitoring of food security and sustainability at scale, and new capabilities for personalised nutrition guidance and generative product innovation. At the same time, this review has shown that these technical gains are consistently mediated by non-technical factors: the availability and quality of training data, the interpretability and regulatory acceptability of AI models, how economic benefits are distributed across firms of differing scale and resource, the workforce implications of automation, and the degree of trust consumers are willing to extend to AI-enabled products and processes. The picture that emerges is one in which artificial intelligence functions less as a single, uniformly transformative force and more as a heterogeneous family of tools whose realised impact depends heavily on the institutional, economic and social context into which it is introduced. For the food industry to capture the full benefits identified throughout this review, continued technical advancement will need to be matched by investment in data infrastructure, interpretable and validated modelling practices, equitable access mechanisms for smaller producers and enterprises, and governance frameworks capable of addressing the ethical and distributional questions that AI adoption inevitably raises.</w:t>
      </w:r>
    </w:p>
    <w:p w14:paraId="7A94D017"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39FFE8DC"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11. Limitations</w:t>
      </w:r>
    </w:p>
    <w:p w14:paraId="299505FB" w14:textId="77777777" w:rsid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This review is subject to several limitations worth bearing in mind when interpreting its conclusions. First, the narrative review methodology, while well suited to synthesising a broad and rapidly evolving multidisciplinary literature, does not involve the systematic, protocol-driven screening and quality appraisal characteristic of formal systematic reviews, and so carries an inherent risk of selection bias in the studies it chooses to emphasise. Second, restricting eligible sources to peer-reviewed journal articles and a small number of authoritative institutional reports, while intended to keep the cited evidence reliable and verifiable, necessarily excludes potentially relevant grey literature, industry data and pre-print research that may capture more recent or proprietary developments not yet reflected in the peer-reviewed record. Third, given how quickly this field moves, some of the specific technical claims and reported performance figures drawn from the reviewed literature may date relatively quickly, even though the broader thematic patterns identified here are likely to hold for longer. Fourth, the food industry is simply too broad a subject—spanning primary production, processing, distribution, retail and consumption across highly diverse global contexts—for this review to claim exhaustiveness in any single sub-domain; readers wanting </w:t>
      </w:r>
      <w:r w:rsidRPr="00F80FFE">
        <w:rPr>
          <w:rFonts w:ascii="Times New Roman" w:eastAsia="Times New Roman" w:hAnsi="Times New Roman" w:cs="Times New Roman"/>
          <w:sz w:val="24"/>
          <w:szCs w:val="24"/>
          <w:lang w:eastAsia="en-GB"/>
        </w:rPr>
        <w:lastRenderedPageBreak/>
        <w:t>depth on a particular application area, precision agriculture or food authentication, say, would do better consulting a more narrowly focused, domain-specific review. Finally, the evidence base underpinning some sections of this review, particularly those on workforce and labour market effects, remains comparatively thin relative to the extensive technical literature on AI capabilities, and conclusions in these areas should be treated as provisional pending further dedicated empirical research.</w:t>
      </w:r>
    </w:p>
    <w:p w14:paraId="551341A7" w14:textId="77777777" w:rsidR="008A3604" w:rsidRDefault="008A3604"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5ECA8AD8" w14:textId="77777777" w:rsidR="008A3604" w:rsidRPr="00C04DA0" w:rsidRDefault="008A3604" w:rsidP="005B3A29">
      <w:pPr>
        <w:spacing w:after="0" w:line="240" w:lineRule="auto"/>
        <w:jc w:val="both"/>
        <w:rPr>
          <w:rFonts w:ascii="Times New Roman" w:eastAsia="Calibri" w:hAnsi="Times New Roman" w:cs="Times New Roman"/>
          <w:b/>
        </w:rPr>
      </w:pPr>
      <w:r w:rsidRPr="00C04DA0">
        <w:rPr>
          <w:rFonts w:ascii="Times New Roman" w:eastAsia="Calibri" w:hAnsi="Times New Roman" w:cs="Times New Roman"/>
          <w:b/>
        </w:rPr>
        <w:t>Declaration of AI Use</w:t>
      </w:r>
    </w:p>
    <w:p w14:paraId="1B3D5EE2" w14:textId="77777777" w:rsidR="008A3604" w:rsidRPr="00C04DA0" w:rsidRDefault="008A3604" w:rsidP="005B3A29">
      <w:pPr>
        <w:spacing w:after="0" w:line="240" w:lineRule="auto"/>
        <w:jc w:val="both"/>
        <w:rPr>
          <w:rFonts w:ascii="Times New Roman" w:eastAsia="Calibri" w:hAnsi="Times New Roman" w:cs="Times New Roman"/>
        </w:rPr>
      </w:pPr>
    </w:p>
    <w:p w14:paraId="1C6DB27C" w14:textId="77777777" w:rsidR="008A3604" w:rsidRPr="00C04DA0" w:rsidRDefault="008A3604" w:rsidP="005B3A29">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765033C" w14:textId="77777777" w:rsidR="008A3604" w:rsidRDefault="008A3604" w:rsidP="005B3A29">
      <w:pPr>
        <w:jc w:val="both"/>
        <w:rPr>
          <w:sz w:val="32"/>
          <w:szCs w:val="32"/>
          <w:vertAlign w:val="subscript"/>
        </w:rPr>
      </w:pPr>
    </w:p>
    <w:p w14:paraId="3939D383" w14:textId="77777777" w:rsidR="008A3604" w:rsidRPr="008A3604" w:rsidRDefault="008A3604"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A3604">
        <w:rPr>
          <w:rFonts w:ascii="Times New Roman" w:eastAsia="Times New Roman" w:hAnsi="Times New Roman" w:cs="Times New Roman"/>
          <w:sz w:val="24"/>
          <w:szCs w:val="24"/>
          <w:lang w:eastAsia="en-GB"/>
        </w:rPr>
        <w:t>COMPETING INTERESTS DISCLAIMER:</w:t>
      </w:r>
    </w:p>
    <w:p w14:paraId="7A7423B3" w14:textId="77777777" w:rsidR="008A3604" w:rsidRPr="00F80FFE" w:rsidRDefault="008A3604"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A3604">
        <w:rPr>
          <w:rFonts w:ascii="Times New Roman" w:eastAsia="Times New Roman" w:hAnsi="Times New Roman" w:cs="Times New Roman"/>
          <w:sz w:val="24"/>
          <w:szCs w:val="24"/>
          <w:lang w:eastAsia="en-GB"/>
        </w:rPr>
        <w:t>Authors have declared that they have no known competing financial interests OR non-financial interests OR personal relationships that could have appeared to influence the work reported in this paper.</w:t>
      </w:r>
    </w:p>
    <w:p w14:paraId="548A856F"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612DD375" w14:textId="77777777" w:rsid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References</w:t>
      </w:r>
    </w:p>
    <w:p w14:paraId="36160B11"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Agrawal, K., </w:t>
      </w:r>
      <w:proofErr w:type="spellStart"/>
      <w:r w:rsidRPr="00420D5B">
        <w:rPr>
          <w:rFonts w:ascii="Times New Roman" w:eastAsia="Times New Roman" w:hAnsi="Times New Roman" w:cs="Times New Roman"/>
          <w:bCs/>
          <w:sz w:val="24"/>
          <w:szCs w:val="27"/>
          <w:lang w:eastAsia="en-GB"/>
        </w:rPr>
        <w:t>Goktas</w:t>
      </w:r>
      <w:proofErr w:type="spellEnd"/>
      <w:r w:rsidRPr="00420D5B">
        <w:rPr>
          <w:rFonts w:ascii="Times New Roman" w:eastAsia="Times New Roman" w:hAnsi="Times New Roman" w:cs="Times New Roman"/>
          <w:bCs/>
          <w:sz w:val="24"/>
          <w:szCs w:val="27"/>
          <w:lang w:eastAsia="en-GB"/>
        </w:rPr>
        <w:t xml:space="preserve">, P., Kumar, N., &amp; Leung, M.-F. (2025). Artificial intelligence in personalized nutrition and food manufacturing: A comprehensive review of methods, applications, and future directions. Frontiers in Nutrition, 12, Article 1636980. https://doi.org/10.3389/fnut.2025.1636980 </w:t>
      </w:r>
    </w:p>
    <w:p w14:paraId="06B363AB"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t>Akkem</w:t>
      </w:r>
      <w:proofErr w:type="spellEnd"/>
      <w:r w:rsidRPr="00420D5B">
        <w:rPr>
          <w:rFonts w:ascii="Times New Roman" w:eastAsia="Times New Roman" w:hAnsi="Times New Roman" w:cs="Times New Roman"/>
          <w:bCs/>
          <w:sz w:val="24"/>
          <w:szCs w:val="27"/>
          <w:lang w:eastAsia="en-GB"/>
        </w:rPr>
        <w:t xml:space="preserve">, Y., Biswas, S. K., &amp; Varanasi, A. (2023). Smart farming using artificial intelligence: A review. Engineering Applications of Artificial Intelligence, 120, Article 105899. https://doi.org/10.1016/j.engappai.2023.105899 </w:t>
      </w:r>
    </w:p>
    <w:p w14:paraId="2B035E74"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t>Akkem</w:t>
      </w:r>
      <w:proofErr w:type="spellEnd"/>
      <w:r w:rsidRPr="00420D5B">
        <w:rPr>
          <w:rFonts w:ascii="Times New Roman" w:eastAsia="Times New Roman" w:hAnsi="Times New Roman" w:cs="Times New Roman"/>
          <w:bCs/>
          <w:sz w:val="24"/>
          <w:szCs w:val="27"/>
          <w:lang w:eastAsia="en-GB"/>
        </w:rPr>
        <w:t xml:space="preserve">, Y., Biswas, S. K., &amp; Varanasi, A. (2024). A comprehensive review of synthetic data generation in smart farming by using variational autoencoder and generative adversarial network. Engineering Applications of Artificial Intelligence, 131, Article 107881. https://doi.org/10.1016/j.engappai.2024.107881 </w:t>
      </w:r>
    </w:p>
    <w:p w14:paraId="3B4B5EFC"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Al-</w:t>
      </w:r>
      <w:proofErr w:type="spellStart"/>
      <w:r w:rsidRPr="00420D5B">
        <w:rPr>
          <w:rFonts w:ascii="Times New Roman" w:eastAsia="Times New Roman" w:hAnsi="Times New Roman" w:cs="Times New Roman"/>
          <w:bCs/>
          <w:sz w:val="24"/>
          <w:szCs w:val="27"/>
          <w:lang w:eastAsia="en-GB"/>
        </w:rPr>
        <w:t>Sarayreh</w:t>
      </w:r>
      <w:proofErr w:type="spellEnd"/>
      <w:r w:rsidRPr="00420D5B">
        <w:rPr>
          <w:rFonts w:ascii="Times New Roman" w:eastAsia="Times New Roman" w:hAnsi="Times New Roman" w:cs="Times New Roman"/>
          <w:bCs/>
          <w:sz w:val="24"/>
          <w:szCs w:val="27"/>
          <w:lang w:eastAsia="en-GB"/>
        </w:rPr>
        <w:t xml:space="preserve">, M., Gomes Reis, M., Carr, A., &amp; dos Reis, M. M. (2023). Inverse design and AI/deep generative networks in food design: A comprehensive review. Trends in Food Science &amp; Technology, 138, 215–228. https://doi.org/10.1016/j.tifs.2023.06.005 </w:t>
      </w:r>
    </w:p>
    <w:p w14:paraId="5587B107"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lastRenderedPageBreak/>
        <w:t xml:space="preserve">Aly, B. A., Low, T., Long, D., Baillie, C., &amp; Brett, P. (2023). Robotics and sensing technologies in red meat processing: A review. Trends in Food Science &amp; Technology, 137, 142–155. https://doi.org/10.1016/j.tifs.2023.05.015 </w:t>
      </w:r>
    </w:p>
    <w:p w14:paraId="519F3E52"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Castellini, G., &amp; Graffigna, G. (2026). Consumer acceptance of new sustainable food technologies: Upcycling technology, </w:t>
      </w:r>
      <w:proofErr w:type="spellStart"/>
      <w:r w:rsidRPr="00420D5B">
        <w:rPr>
          <w:rFonts w:ascii="Times New Roman" w:eastAsia="Times New Roman" w:hAnsi="Times New Roman" w:cs="Times New Roman"/>
          <w:bCs/>
          <w:sz w:val="24"/>
          <w:szCs w:val="27"/>
          <w:lang w:eastAsia="en-GB"/>
        </w:rPr>
        <w:t>biostimulants</w:t>
      </w:r>
      <w:proofErr w:type="spellEnd"/>
      <w:r w:rsidRPr="00420D5B">
        <w:rPr>
          <w:rFonts w:ascii="Times New Roman" w:eastAsia="Times New Roman" w:hAnsi="Times New Roman" w:cs="Times New Roman"/>
          <w:bCs/>
          <w:sz w:val="24"/>
          <w:szCs w:val="27"/>
          <w:lang w:eastAsia="en-GB"/>
        </w:rPr>
        <w:t xml:space="preserve">, and artificial intelligence. Agribusiness, Article e70082. https://doi.org/10.1002/agr.70082 </w:t>
      </w:r>
    </w:p>
    <w:p w14:paraId="6526B564"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Cob-Parro, A. C., Lalangui, Y., &amp; Lazcano, R. (2024). Fostering agricultural transformation through AI: An open-source AI architecture exploiting the </w:t>
      </w:r>
      <w:proofErr w:type="spellStart"/>
      <w:r w:rsidRPr="00420D5B">
        <w:rPr>
          <w:rFonts w:ascii="Times New Roman" w:eastAsia="Times New Roman" w:hAnsi="Times New Roman" w:cs="Times New Roman"/>
          <w:bCs/>
          <w:sz w:val="24"/>
          <w:szCs w:val="27"/>
          <w:lang w:eastAsia="en-GB"/>
        </w:rPr>
        <w:t>MLOps</w:t>
      </w:r>
      <w:proofErr w:type="spellEnd"/>
      <w:r w:rsidRPr="00420D5B">
        <w:rPr>
          <w:rFonts w:ascii="Times New Roman" w:eastAsia="Times New Roman" w:hAnsi="Times New Roman" w:cs="Times New Roman"/>
          <w:bCs/>
          <w:sz w:val="24"/>
          <w:szCs w:val="27"/>
          <w:lang w:eastAsia="en-GB"/>
        </w:rPr>
        <w:t xml:space="preserve"> paradigm. Agronomy, 14(2), Article 259. https://doi.org/10.3390/agronomy14020259 </w:t>
      </w:r>
    </w:p>
    <w:p w14:paraId="1909A2DC"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Cui, Z., Qi, C., Zhou, T., Yu, Y., Wang, Y., Zhang, Z., Zhang, Y., Wang, W., &amp; Liu, Y. (2025). Artificial intelligence and food </w:t>
      </w:r>
      <w:proofErr w:type="spellStart"/>
      <w:r w:rsidRPr="00420D5B">
        <w:rPr>
          <w:rFonts w:ascii="Times New Roman" w:eastAsia="Times New Roman" w:hAnsi="Times New Roman" w:cs="Times New Roman"/>
          <w:bCs/>
          <w:sz w:val="24"/>
          <w:szCs w:val="27"/>
          <w:lang w:eastAsia="en-GB"/>
        </w:rPr>
        <w:t>flavor</w:t>
      </w:r>
      <w:proofErr w:type="spellEnd"/>
      <w:r w:rsidRPr="00420D5B">
        <w:rPr>
          <w:rFonts w:ascii="Times New Roman" w:eastAsia="Times New Roman" w:hAnsi="Times New Roman" w:cs="Times New Roman"/>
          <w:bCs/>
          <w:sz w:val="24"/>
          <w:szCs w:val="27"/>
          <w:lang w:eastAsia="en-GB"/>
        </w:rPr>
        <w:t xml:space="preserve">: How AI models are shaping the future and revolutionary technologies for </w:t>
      </w:r>
      <w:proofErr w:type="spellStart"/>
      <w:r w:rsidRPr="00420D5B">
        <w:rPr>
          <w:rFonts w:ascii="Times New Roman" w:eastAsia="Times New Roman" w:hAnsi="Times New Roman" w:cs="Times New Roman"/>
          <w:bCs/>
          <w:sz w:val="24"/>
          <w:szCs w:val="27"/>
          <w:lang w:eastAsia="en-GB"/>
        </w:rPr>
        <w:t>flavor</w:t>
      </w:r>
      <w:proofErr w:type="spellEnd"/>
      <w:r w:rsidRPr="00420D5B">
        <w:rPr>
          <w:rFonts w:ascii="Times New Roman" w:eastAsia="Times New Roman" w:hAnsi="Times New Roman" w:cs="Times New Roman"/>
          <w:bCs/>
          <w:sz w:val="24"/>
          <w:szCs w:val="27"/>
          <w:lang w:eastAsia="en-GB"/>
        </w:rPr>
        <w:t xml:space="preserve"> food development. Comprehensive Reviews in Food Science and Food Safety, 24, Article e70068. https://doi.org/10.1111/1541-4337.70068 </w:t>
      </w:r>
    </w:p>
    <w:p w14:paraId="21B98A1F"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Datta, A., </w:t>
      </w:r>
      <w:proofErr w:type="spellStart"/>
      <w:r w:rsidRPr="00420D5B">
        <w:rPr>
          <w:rFonts w:ascii="Times New Roman" w:eastAsia="Times New Roman" w:hAnsi="Times New Roman" w:cs="Times New Roman"/>
          <w:bCs/>
          <w:sz w:val="24"/>
          <w:szCs w:val="27"/>
          <w:lang w:eastAsia="en-GB"/>
        </w:rPr>
        <w:t>Nicolaï</w:t>
      </w:r>
      <w:proofErr w:type="spellEnd"/>
      <w:r w:rsidRPr="00420D5B">
        <w:rPr>
          <w:rFonts w:ascii="Times New Roman" w:eastAsia="Times New Roman" w:hAnsi="Times New Roman" w:cs="Times New Roman"/>
          <w:bCs/>
          <w:sz w:val="24"/>
          <w:szCs w:val="27"/>
          <w:lang w:eastAsia="en-GB"/>
        </w:rPr>
        <w:t xml:space="preserve">, B., </w:t>
      </w:r>
      <w:proofErr w:type="spellStart"/>
      <w:r w:rsidRPr="00420D5B">
        <w:rPr>
          <w:rFonts w:ascii="Times New Roman" w:eastAsia="Times New Roman" w:hAnsi="Times New Roman" w:cs="Times New Roman"/>
          <w:bCs/>
          <w:sz w:val="24"/>
          <w:szCs w:val="27"/>
          <w:lang w:eastAsia="en-GB"/>
        </w:rPr>
        <w:t>Vitrac</w:t>
      </w:r>
      <w:proofErr w:type="spellEnd"/>
      <w:r w:rsidRPr="00420D5B">
        <w:rPr>
          <w:rFonts w:ascii="Times New Roman" w:eastAsia="Times New Roman" w:hAnsi="Times New Roman" w:cs="Times New Roman"/>
          <w:bCs/>
          <w:sz w:val="24"/>
          <w:szCs w:val="27"/>
          <w:lang w:eastAsia="en-GB"/>
        </w:rPr>
        <w:t xml:space="preserve">, O., </w:t>
      </w:r>
      <w:proofErr w:type="spellStart"/>
      <w:r w:rsidRPr="00420D5B">
        <w:rPr>
          <w:rFonts w:ascii="Times New Roman" w:eastAsia="Times New Roman" w:hAnsi="Times New Roman" w:cs="Times New Roman"/>
          <w:bCs/>
          <w:sz w:val="24"/>
          <w:szCs w:val="27"/>
          <w:lang w:eastAsia="en-GB"/>
        </w:rPr>
        <w:t>Verboven</w:t>
      </w:r>
      <w:proofErr w:type="spellEnd"/>
      <w:r w:rsidRPr="00420D5B">
        <w:rPr>
          <w:rFonts w:ascii="Times New Roman" w:eastAsia="Times New Roman" w:hAnsi="Times New Roman" w:cs="Times New Roman"/>
          <w:bCs/>
          <w:sz w:val="24"/>
          <w:szCs w:val="27"/>
          <w:lang w:eastAsia="en-GB"/>
        </w:rPr>
        <w:t xml:space="preserve">, P., </w:t>
      </w:r>
      <w:proofErr w:type="spellStart"/>
      <w:r w:rsidRPr="00420D5B">
        <w:rPr>
          <w:rFonts w:ascii="Times New Roman" w:eastAsia="Times New Roman" w:hAnsi="Times New Roman" w:cs="Times New Roman"/>
          <w:bCs/>
          <w:sz w:val="24"/>
          <w:szCs w:val="27"/>
          <w:lang w:eastAsia="en-GB"/>
        </w:rPr>
        <w:t>Erdogdu</w:t>
      </w:r>
      <w:proofErr w:type="spellEnd"/>
      <w:r w:rsidRPr="00420D5B">
        <w:rPr>
          <w:rFonts w:ascii="Times New Roman" w:eastAsia="Times New Roman" w:hAnsi="Times New Roman" w:cs="Times New Roman"/>
          <w:bCs/>
          <w:sz w:val="24"/>
          <w:szCs w:val="27"/>
          <w:lang w:eastAsia="en-GB"/>
        </w:rPr>
        <w:t xml:space="preserve">, F., Marra, F., Sarghini, F., &amp; Koh, C. (2022). Computer-aided food engineering. Nature Food, 3, 894–904. https://doi.org/10.1038/s43016-022-00617-5 </w:t>
      </w:r>
    </w:p>
    <w:p w14:paraId="65F48394"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Dawood, F., &amp; van Vuuren, J. H. (2023). A multi-dimensional spatial index for the quantification of food insecurity. Journal of Agriculture and Food Research, 14, Article 100768. https://doi.org/10.1016/j.jafr.2023.100768 </w:t>
      </w:r>
    </w:p>
    <w:p w14:paraId="7068A712" w14:textId="77777777" w:rsidR="00484904" w:rsidRPr="00F46DD6" w:rsidRDefault="00000000" w:rsidP="005B3A29">
      <w:pPr>
        <w:jc w:val="both"/>
        <w:rPr>
          <w:bCs/>
        </w:rPr>
      </w:pPr>
      <w:r w:rsidRPr="00F46DD6">
        <w:rPr>
          <w:bCs/>
          <w:highlight w:val="yellow"/>
        </w:rPr>
        <w:t>Dhal, S. B., &amp; Kar, D. (2025). Leveraging artificial intelligence and advanced food processing techniques for enhanced food safety, quality, and security: A comprehensive review. Discover Applied Sciences, 7, Article 75. https://doi.org/10.1007/s42452-025-06472-w</w:t>
      </w:r>
    </w:p>
    <w:p w14:paraId="79DE435D"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Ding, H., Tian, J., Yu, W., Wilson, D. I., Young, B. R., Cui, X., Xin, X., Wang, Z., &amp; Li, W. (2023). The application of artificial intelligence and big data in the food industry. Foods, 12(24), Article 4511. https://doi.org/10.3390/foods12244511 </w:t>
      </w:r>
    </w:p>
    <w:p w14:paraId="5ECB414B"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Food Standards Agency Science Council. (2025). Artificial intelligence applications in food safety and authenticity. https://doi.org/10.46756/sci.fsa.yne470 </w:t>
      </w:r>
    </w:p>
    <w:p w14:paraId="3694B37D"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Hassoun, A., Bekhit, A. E.-D., </w:t>
      </w:r>
      <w:proofErr w:type="spellStart"/>
      <w:r w:rsidRPr="00420D5B">
        <w:rPr>
          <w:rFonts w:ascii="Times New Roman" w:eastAsia="Times New Roman" w:hAnsi="Times New Roman" w:cs="Times New Roman"/>
          <w:bCs/>
          <w:sz w:val="24"/>
          <w:szCs w:val="27"/>
          <w:lang w:eastAsia="en-GB"/>
        </w:rPr>
        <w:t>Jambrak</w:t>
      </w:r>
      <w:proofErr w:type="spellEnd"/>
      <w:r w:rsidRPr="00420D5B">
        <w:rPr>
          <w:rFonts w:ascii="Times New Roman" w:eastAsia="Times New Roman" w:hAnsi="Times New Roman" w:cs="Times New Roman"/>
          <w:bCs/>
          <w:sz w:val="24"/>
          <w:szCs w:val="27"/>
          <w:lang w:eastAsia="en-GB"/>
        </w:rPr>
        <w:t xml:space="preserve">, A. R., Regenstein, J. M., </w:t>
      </w:r>
      <w:proofErr w:type="spellStart"/>
      <w:r w:rsidRPr="00420D5B">
        <w:rPr>
          <w:rFonts w:ascii="Times New Roman" w:eastAsia="Times New Roman" w:hAnsi="Times New Roman" w:cs="Times New Roman"/>
          <w:bCs/>
          <w:sz w:val="24"/>
          <w:szCs w:val="27"/>
          <w:lang w:eastAsia="en-GB"/>
        </w:rPr>
        <w:t>Chemat</w:t>
      </w:r>
      <w:proofErr w:type="spellEnd"/>
      <w:r w:rsidRPr="00420D5B">
        <w:rPr>
          <w:rFonts w:ascii="Times New Roman" w:eastAsia="Times New Roman" w:hAnsi="Times New Roman" w:cs="Times New Roman"/>
          <w:bCs/>
          <w:sz w:val="24"/>
          <w:szCs w:val="27"/>
          <w:lang w:eastAsia="en-GB"/>
        </w:rPr>
        <w:t xml:space="preserve">, F., Morton, J. D., </w:t>
      </w:r>
      <w:proofErr w:type="spellStart"/>
      <w:r w:rsidRPr="00420D5B">
        <w:rPr>
          <w:rFonts w:ascii="Times New Roman" w:eastAsia="Times New Roman" w:hAnsi="Times New Roman" w:cs="Times New Roman"/>
          <w:bCs/>
          <w:sz w:val="24"/>
          <w:szCs w:val="27"/>
          <w:lang w:eastAsia="en-GB"/>
        </w:rPr>
        <w:t>Gudjónsdóttir</w:t>
      </w:r>
      <w:proofErr w:type="spellEnd"/>
      <w:r w:rsidRPr="00420D5B">
        <w:rPr>
          <w:rFonts w:ascii="Times New Roman" w:eastAsia="Times New Roman" w:hAnsi="Times New Roman" w:cs="Times New Roman"/>
          <w:bCs/>
          <w:sz w:val="24"/>
          <w:szCs w:val="27"/>
          <w:lang w:eastAsia="en-GB"/>
        </w:rPr>
        <w:t xml:space="preserve">, M., Carpena, M., Prieto, M. A., Varela, P., Arshad, R. N., Aadil, R. M., Bhat, Z., &amp; Ueland, Ø. (2024). The fourth industrial revolution in the food industry—Part II: Emerging food trends. Critical Reviews in Food Science and Nutrition, 64(2), 407–437. https://doi.org/10.1080/10408398.2022.2106472 </w:t>
      </w:r>
    </w:p>
    <w:p w14:paraId="01B682B4"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Hassoun, A., Jagtap, S., Garcia-Garcia, G., </w:t>
      </w:r>
      <w:proofErr w:type="spellStart"/>
      <w:r w:rsidRPr="00420D5B">
        <w:rPr>
          <w:rFonts w:ascii="Times New Roman" w:eastAsia="Times New Roman" w:hAnsi="Times New Roman" w:cs="Times New Roman"/>
          <w:bCs/>
          <w:sz w:val="24"/>
          <w:szCs w:val="27"/>
          <w:lang w:eastAsia="en-GB"/>
        </w:rPr>
        <w:t>Trollman</w:t>
      </w:r>
      <w:proofErr w:type="spellEnd"/>
      <w:r w:rsidRPr="00420D5B">
        <w:rPr>
          <w:rFonts w:ascii="Times New Roman" w:eastAsia="Times New Roman" w:hAnsi="Times New Roman" w:cs="Times New Roman"/>
          <w:bCs/>
          <w:sz w:val="24"/>
          <w:szCs w:val="27"/>
          <w:lang w:eastAsia="en-GB"/>
        </w:rPr>
        <w:t xml:space="preserve">, H., </w:t>
      </w:r>
      <w:proofErr w:type="spellStart"/>
      <w:r w:rsidRPr="00420D5B">
        <w:rPr>
          <w:rFonts w:ascii="Times New Roman" w:eastAsia="Times New Roman" w:hAnsi="Times New Roman" w:cs="Times New Roman"/>
          <w:bCs/>
          <w:sz w:val="24"/>
          <w:szCs w:val="27"/>
          <w:lang w:eastAsia="en-GB"/>
        </w:rPr>
        <w:t>Pateiro</w:t>
      </w:r>
      <w:proofErr w:type="spellEnd"/>
      <w:r w:rsidRPr="00420D5B">
        <w:rPr>
          <w:rFonts w:ascii="Times New Roman" w:eastAsia="Times New Roman" w:hAnsi="Times New Roman" w:cs="Times New Roman"/>
          <w:bCs/>
          <w:sz w:val="24"/>
          <w:szCs w:val="27"/>
          <w:lang w:eastAsia="en-GB"/>
        </w:rPr>
        <w:t xml:space="preserve">, M., Lorenzo, J. M., Trif, M., Rusu, A. V., Aadil, R. M., </w:t>
      </w:r>
      <w:proofErr w:type="spellStart"/>
      <w:r w:rsidRPr="00420D5B">
        <w:rPr>
          <w:rFonts w:ascii="Times New Roman" w:eastAsia="Times New Roman" w:hAnsi="Times New Roman" w:cs="Times New Roman"/>
          <w:bCs/>
          <w:sz w:val="24"/>
          <w:szCs w:val="27"/>
          <w:lang w:eastAsia="en-GB"/>
        </w:rPr>
        <w:t>Šimat</w:t>
      </w:r>
      <w:proofErr w:type="spellEnd"/>
      <w:r w:rsidRPr="00420D5B">
        <w:rPr>
          <w:rFonts w:ascii="Times New Roman" w:eastAsia="Times New Roman" w:hAnsi="Times New Roman" w:cs="Times New Roman"/>
          <w:bCs/>
          <w:sz w:val="24"/>
          <w:szCs w:val="27"/>
          <w:lang w:eastAsia="en-GB"/>
        </w:rPr>
        <w:t xml:space="preserve">, V., Cropotova, J., &amp; Câmara, J. S. (2023). Food quality 4.0: From traditional approaches to digitalized automated analysis. Journal of Food Engineering, 337, Article 111216. https://doi.org/10.1016/j.jfoodeng.2022.111216 </w:t>
      </w:r>
    </w:p>
    <w:p w14:paraId="51C0E105"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t>Kudashkina</w:t>
      </w:r>
      <w:proofErr w:type="spellEnd"/>
      <w:r w:rsidRPr="00420D5B">
        <w:rPr>
          <w:rFonts w:ascii="Times New Roman" w:eastAsia="Times New Roman" w:hAnsi="Times New Roman" w:cs="Times New Roman"/>
          <w:bCs/>
          <w:sz w:val="24"/>
          <w:szCs w:val="27"/>
          <w:lang w:eastAsia="en-GB"/>
        </w:rPr>
        <w:t xml:space="preserve">, K., Corradini, M. G., </w:t>
      </w:r>
      <w:proofErr w:type="spellStart"/>
      <w:r w:rsidRPr="00420D5B">
        <w:rPr>
          <w:rFonts w:ascii="Times New Roman" w:eastAsia="Times New Roman" w:hAnsi="Times New Roman" w:cs="Times New Roman"/>
          <w:bCs/>
          <w:sz w:val="24"/>
          <w:szCs w:val="27"/>
          <w:lang w:eastAsia="en-GB"/>
        </w:rPr>
        <w:t>Thirunathan</w:t>
      </w:r>
      <w:proofErr w:type="spellEnd"/>
      <w:r w:rsidRPr="00420D5B">
        <w:rPr>
          <w:rFonts w:ascii="Times New Roman" w:eastAsia="Times New Roman" w:hAnsi="Times New Roman" w:cs="Times New Roman"/>
          <w:bCs/>
          <w:sz w:val="24"/>
          <w:szCs w:val="27"/>
          <w:lang w:eastAsia="en-GB"/>
        </w:rPr>
        <w:t xml:space="preserve">, P., Yada, R. Y., &amp; Fraser, E. D. G. (2022). Artificial intelligence technology in food safety: A </w:t>
      </w:r>
      <w:proofErr w:type="spellStart"/>
      <w:r w:rsidRPr="00420D5B">
        <w:rPr>
          <w:rFonts w:ascii="Times New Roman" w:eastAsia="Times New Roman" w:hAnsi="Times New Roman" w:cs="Times New Roman"/>
          <w:bCs/>
          <w:sz w:val="24"/>
          <w:szCs w:val="27"/>
          <w:lang w:eastAsia="en-GB"/>
        </w:rPr>
        <w:t>behavioral</w:t>
      </w:r>
      <w:proofErr w:type="spellEnd"/>
      <w:r w:rsidRPr="00420D5B">
        <w:rPr>
          <w:rFonts w:ascii="Times New Roman" w:eastAsia="Times New Roman" w:hAnsi="Times New Roman" w:cs="Times New Roman"/>
          <w:bCs/>
          <w:sz w:val="24"/>
          <w:szCs w:val="27"/>
          <w:lang w:eastAsia="en-GB"/>
        </w:rPr>
        <w:t xml:space="preserve"> approach. Trends in Food Science &amp; Technology, 123, 376–381. https://doi.org/10.1016/j.tifs.2022.03.021 </w:t>
      </w:r>
    </w:p>
    <w:p w14:paraId="6F856E68"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lastRenderedPageBreak/>
        <w:t xml:space="preserve">Liu, Y., Pu, H., &amp; Sun, D.-W. (2021). Efficient extraction of deep image features using convolutional neural network (CNN) for applications in detecting and analysing complex food matrices. Trends in Food Science &amp; Technology, 113, 193–204. https://doi.org/10.1016/j.tifs.2021.04.042 </w:t>
      </w:r>
    </w:p>
    <w:p w14:paraId="6CE98AB5"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Liu, Z., Wang, S., Zhang, Y., Feng, Y., Liu, J., &amp; Zhu, H. (2023). Artificial intelligence in food safety: A decade review and bibliometric analysis. Foods, 12(6), Article 1242. https://doi.org/10.3390/foods12061242 </w:t>
      </w:r>
    </w:p>
    <w:p w14:paraId="567B3691"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Mavani, N. R., Ali, J. M., Othman, S., Hussain, M. A., Hashim, H., &amp; Rahman, N. A. (2022). Application of artificial intelligence in food industry—A guideline. Food Engineering Reviews, 14(1), 134–175. https://doi.org/10.1007/s12393-021-09290-z </w:t>
      </w:r>
    </w:p>
    <w:p w14:paraId="4FE93968"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Meemken, E.-M., Becker-Reshef, I., Klerkx, L., Kloppenburg, S., Wegner, J. D., &amp; Finger, R. (2024). Digital innovations for monitoring sustainability in food systems. Nature Food, 5(8), 656–660. https://doi.org/10.1038/s43016-024-01018-6</w:t>
      </w:r>
    </w:p>
    <w:p w14:paraId="414C37BA"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Menichetti, G., Ravandi, B., </w:t>
      </w:r>
      <w:proofErr w:type="spellStart"/>
      <w:r w:rsidRPr="00420D5B">
        <w:rPr>
          <w:rFonts w:ascii="Times New Roman" w:eastAsia="Times New Roman" w:hAnsi="Times New Roman" w:cs="Times New Roman"/>
          <w:bCs/>
          <w:sz w:val="24"/>
          <w:szCs w:val="27"/>
          <w:lang w:eastAsia="en-GB"/>
        </w:rPr>
        <w:t>Mozaffarian</w:t>
      </w:r>
      <w:proofErr w:type="spellEnd"/>
      <w:r w:rsidRPr="00420D5B">
        <w:rPr>
          <w:rFonts w:ascii="Times New Roman" w:eastAsia="Times New Roman" w:hAnsi="Times New Roman" w:cs="Times New Roman"/>
          <w:bCs/>
          <w:sz w:val="24"/>
          <w:szCs w:val="27"/>
          <w:lang w:eastAsia="en-GB"/>
        </w:rPr>
        <w:t xml:space="preserve">, D., &amp; </w:t>
      </w:r>
      <w:proofErr w:type="spellStart"/>
      <w:r w:rsidRPr="00420D5B">
        <w:rPr>
          <w:rFonts w:ascii="Times New Roman" w:eastAsia="Times New Roman" w:hAnsi="Times New Roman" w:cs="Times New Roman"/>
          <w:bCs/>
          <w:sz w:val="24"/>
          <w:szCs w:val="27"/>
          <w:lang w:eastAsia="en-GB"/>
        </w:rPr>
        <w:t>Barabási</w:t>
      </w:r>
      <w:proofErr w:type="spellEnd"/>
      <w:r w:rsidRPr="00420D5B">
        <w:rPr>
          <w:rFonts w:ascii="Times New Roman" w:eastAsia="Times New Roman" w:hAnsi="Times New Roman" w:cs="Times New Roman"/>
          <w:bCs/>
          <w:sz w:val="24"/>
          <w:szCs w:val="27"/>
          <w:lang w:eastAsia="en-GB"/>
        </w:rPr>
        <w:t>, A.-L. (2023). Machine learning prediction of the degree of food processing. Nature Communications, 14, 2312. https://doi.org/10.1038/s41467-023-37457-1</w:t>
      </w:r>
    </w:p>
    <w:p w14:paraId="2402B875"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t>Namkhah</w:t>
      </w:r>
      <w:proofErr w:type="spellEnd"/>
      <w:r w:rsidRPr="00420D5B">
        <w:rPr>
          <w:rFonts w:ascii="Times New Roman" w:eastAsia="Times New Roman" w:hAnsi="Times New Roman" w:cs="Times New Roman"/>
          <w:bCs/>
          <w:sz w:val="24"/>
          <w:szCs w:val="27"/>
          <w:lang w:eastAsia="en-GB"/>
        </w:rPr>
        <w:t xml:space="preserve">, Z. N., Fatemi, S. F., Mansoori, A., </w:t>
      </w:r>
      <w:proofErr w:type="spellStart"/>
      <w:r w:rsidRPr="00420D5B">
        <w:rPr>
          <w:rFonts w:ascii="Times New Roman" w:eastAsia="Times New Roman" w:hAnsi="Times New Roman" w:cs="Times New Roman"/>
          <w:bCs/>
          <w:sz w:val="24"/>
          <w:szCs w:val="27"/>
          <w:lang w:eastAsia="en-GB"/>
        </w:rPr>
        <w:t>Nosratabadi</w:t>
      </w:r>
      <w:proofErr w:type="spellEnd"/>
      <w:r w:rsidRPr="00420D5B">
        <w:rPr>
          <w:rFonts w:ascii="Times New Roman" w:eastAsia="Times New Roman" w:hAnsi="Times New Roman" w:cs="Times New Roman"/>
          <w:bCs/>
          <w:sz w:val="24"/>
          <w:szCs w:val="27"/>
          <w:lang w:eastAsia="en-GB"/>
        </w:rPr>
        <w:t>, S., Ghayour-</w:t>
      </w:r>
      <w:proofErr w:type="spellStart"/>
      <w:r w:rsidRPr="00420D5B">
        <w:rPr>
          <w:rFonts w:ascii="Times New Roman" w:eastAsia="Times New Roman" w:hAnsi="Times New Roman" w:cs="Times New Roman"/>
          <w:bCs/>
          <w:sz w:val="24"/>
          <w:szCs w:val="27"/>
          <w:lang w:eastAsia="en-GB"/>
        </w:rPr>
        <w:t>Mobarhan</w:t>
      </w:r>
      <w:proofErr w:type="spellEnd"/>
      <w:r w:rsidRPr="00420D5B">
        <w:rPr>
          <w:rFonts w:ascii="Times New Roman" w:eastAsia="Times New Roman" w:hAnsi="Times New Roman" w:cs="Times New Roman"/>
          <w:bCs/>
          <w:sz w:val="24"/>
          <w:szCs w:val="27"/>
          <w:lang w:eastAsia="en-GB"/>
        </w:rPr>
        <w:t>, M., &amp; Sobhani, S. R. (2023). Advancing sustainability in the food and nutrition system: A review of artificial intelligence applications. Frontiers in Nutrition, 10, 1295241. https://doi.org/10.3389/fnut.2023.1295241</w:t>
      </w:r>
    </w:p>
    <w:p w14:paraId="176B2AD6"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Nath, P. C., Mishra, A. K., Sharma, R., Bhunia, B., Mishra, B., Tiwari, A., Nayak, P. K., Sharma, M., Bhuyan, T., Kaushal, S., Mohanta, Y. K., &amp; Sridhar, K. (2024). Recent advances in artificial intelligence towards the sustainable future of agri-food industry. Food Chemistry, 447, 138945. https://doi.org/10.1016/j.foodchem.2024.138945</w:t>
      </w:r>
    </w:p>
    <w:p w14:paraId="05570E6A"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t>Onyeaka</w:t>
      </w:r>
      <w:proofErr w:type="spellEnd"/>
      <w:r w:rsidRPr="00420D5B">
        <w:rPr>
          <w:rFonts w:ascii="Times New Roman" w:eastAsia="Times New Roman" w:hAnsi="Times New Roman" w:cs="Times New Roman"/>
          <w:bCs/>
          <w:sz w:val="24"/>
          <w:szCs w:val="27"/>
          <w:lang w:eastAsia="en-GB"/>
        </w:rPr>
        <w:t xml:space="preserve">, H., </w:t>
      </w:r>
      <w:proofErr w:type="spellStart"/>
      <w:r w:rsidRPr="00420D5B">
        <w:rPr>
          <w:rFonts w:ascii="Times New Roman" w:eastAsia="Times New Roman" w:hAnsi="Times New Roman" w:cs="Times New Roman"/>
          <w:bCs/>
          <w:sz w:val="24"/>
          <w:szCs w:val="27"/>
          <w:lang w:eastAsia="en-GB"/>
        </w:rPr>
        <w:t>Tamasiga</w:t>
      </w:r>
      <w:proofErr w:type="spellEnd"/>
      <w:r w:rsidRPr="00420D5B">
        <w:rPr>
          <w:rFonts w:ascii="Times New Roman" w:eastAsia="Times New Roman" w:hAnsi="Times New Roman" w:cs="Times New Roman"/>
          <w:bCs/>
          <w:sz w:val="24"/>
          <w:szCs w:val="27"/>
          <w:lang w:eastAsia="en-GB"/>
        </w:rPr>
        <w:t xml:space="preserve">, P., </w:t>
      </w:r>
      <w:proofErr w:type="spellStart"/>
      <w:r w:rsidRPr="00420D5B">
        <w:rPr>
          <w:rFonts w:ascii="Times New Roman" w:eastAsia="Times New Roman" w:hAnsi="Times New Roman" w:cs="Times New Roman"/>
          <w:bCs/>
          <w:sz w:val="24"/>
          <w:szCs w:val="27"/>
          <w:lang w:eastAsia="en-GB"/>
        </w:rPr>
        <w:t>Nwauzoma</w:t>
      </w:r>
      <w:proofErr w:type="spellEnd"/>
      <w:r w:rsidRPr="00420D5B">
        <w:rPr>
          <w:rFonts w:ascii="Times New Roman" w:eastAsia="Times New Roman" w:hAnsi="Times New Roman" w:cs="Times New Roman"/>
          <w:bCs/>
          <w:sz w:val="24"/>
          <w:szCs w:val="27"/>
          <w:lang w:eastAsia="en-GB"/>
        </w:rPr>
        <w:t xml:space="preserve">, U. M., Miri, T., Juliet, U. C., </w:t>
      </w:r>
      <w:proofErr w:type="spellStart"/>
      <w:r w:rsidRPr="00420D5B">
        <w:rPr>
          <w:rFonts w:ascii="Times New Roman" w:eastAsia="Times New Roman" w:hAnsi="Times New Roman" w:cs="Times New Roman"/>
          <w:bCs/>
          <w:sz w:val="24"/>
          <w:szCs w:val="27"/>
          <w:lang w:eastAsia="en-GB"/>
        </w:rPr>
        <w:t>Nwaiwu</w:t>
      </w:r>
      <w:proofErr w:type="spellEnd"/>
      <w:r w:rsidRPr="00420D5B">
        <w:rPr>
          <w:rFonts w:ascii="Times New Roman" w:eastAsia="Times New Roman" w:hAnsi="Times New Roman" w:cs="Times New Roman"/>
          <w:bCs/>
          <w:sz w:val="24"/>
          <w:szCs w:val="27"/>
          <w:lang w:eastAsia="en-GB"/>
        </w:rPr>
        <w:t xml:space="preserve">, O., &amp; </w:t>
      </w:r>
      <w:proofErr w:type="spellStart"/>
      <w:r w:rsidRPr="00420D5B">
        <w:rPr>
          <w:rFonts w:ascii="Times New Roman" w:eastAsia="Times New Roman" w:hAnsi="Times New Roman" w:cs="Times New Roman"/>
          <w:bCs/>
          <w:sz w:val="24"/>
          <w:szCs w:val="27"/>
          <w:lang w:eastAsia="en-GB"/>
        </w:rPr>
        <w:t>Akinsemolu</w:t>
      </w:r>
      <w:proofErr w:type="spellEnd"/>
      <w:r w:rsidRPr="00420D5B">
        <w:rPr>
          <w:rFonts w:ascii="Times New Roman" w:eastAsia="Times New Roman" w:hAnsi="Times New Roman" w:cs="Times New Roman"/>
          <w:bCs/>
          <w:sz w:val="24"/>
          <w:szCs w:val="27"/>
          <w:lang w:eastAsia="en-GB"/>
        </w:rPr>
        <w:t xml:space="preserve">, A. A. (2023). Using artificial intelligence to tackle food waste and enhance the circular economy: Maximising resource efficiency and minimising environmental impact: A review. Sustainability, 15(13), 10482. https://doi.org/10.3390/su151310482 </w:t>
      </w:r>
    </w:p>
    <w:p w14:paraId="77D0B499"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Olan, F., Liu, S., </w:t>
      </w:r>
      <w:proofErr w:type="spellStart"/>
      <w:r w:rsidRPr="00420D5B">
        <w:rPr>
          <w:rFonts w:ascii="Times New Roman" w:eastAsia="Times New Roman" w:hAnsi="Times New Roman" w:cs="Times New Roman"/>
          <w:bCs/>
          <w:sz w:val="24"/>
          <w:szCs w:val="27"/>
          <w:lang w:eastAsia="en-GB"/>
        </w:rPr>
        <w:t>Suklan</w:t>
      </w:r>
      <w:proofErr w:type="spellEnd"/>
      <w:r w:rsidRPr="00420D5B">
        <w:rPr>
          <w:rFonts w:ascii="Times New Roman" w:eastAsia="Times New Roman" w:hAnsi="Times New Roman" w:cs="Times New Roman"/>
          <w:bCs/>
          <w:sz w:val="24"/>
          <w:szCs w:val="27"/>
          <w:lang w:eastAsia="en-GB"/>
        </w:rPr>
        <w:t xml:space="preserve">, J., Jayawickrama, U., &amp; </w:t>
      </w:r>
      <w:proofErr w:type="spellStart"/>
      <w:r w:rsidRPr="00420D5B">
        <w:rPr>
          <w:rFonts w:ascii="Times New Roman" w:eastAsia="Times New Roman" w:hAnsi="Times New Roman" w:cs="Times New Roman"/>
          <w:bCs/>
          <w:sz w:val="24"/>
          <w:szCs w:val="27"/>
          <w:lang w:eastAsia="en-GB"/>
        </w:rPr>
        <w:t>Arakpogun</w:t>
      </w:r>
      <w:proofErr w:type="spellEnd"/>
      <w:r w:rsidRPr="00420D5B">
        <w:rPr>
          <w:rFonts w:ascii="Times New Roman" w:eastAsia="Times New Roman" w:hAnsi="Times New Roman" w:cs="Times New Roman"/>
          <w:bCs/>
          <w:sz w:val="24"/>
          <w:szCs w:val="27"/>
          <w:lang w:eastAsia="en-GB"/>
        </w:rPr>
        <w:t>, E. O. (2022). The role of artificial intelligence networks in sustainable supply chain finance for food and drink industry. International Journal of Production Research, 60(14), 4418–4433. https://doi.org/10.1080/00207543.2021.1915510</w:t>
      </w:r>
    </w:p>
    <w:p w14:paraId="1CAD4559" w14:textId="77777777" w:rsidR="00484904" w:rsidRPr="00F46DD6" w:rsidRDefault="00000000" w:rsidP="005B3A29">
      <w:pPr>
        <w:jc w:val="both"/>
        <w:rPr>
          <w:bCs/>
        </w:rPr>
      </w:pPr>
      <w:r w:rsidRPr="00F46DD6">
        <w:rPr>
          <w:bCs/>
          <w:highlight w:val="yellow"/>
        </w:rPr>
        <w:t>Prakash, G., Mishra, R. K., Meena, P., Pandey, D., &amp; Pandey, V. K. (2023). Application of computer-aided artificial intelligence techniques in food industry. Current Journal of Applied Science and Technology, 42(34), 23–31. https://doi.org/10.9734/cjast/2023/v42i344230</w:t>
      </w:r>
    </w:p>
    <w:p w14:paraId="3E4A333C"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Qian, C., Murphy, S. I., Orsi, R. H., &amp; Wiedmann, M. (2023). How can AI help improve food safety? Annual Review of Food Science and Technology, 14, 517–538. https://doi.org/10.1146/annurev-food-060721-013815</w:t>
      </w:r>
    </w:p>
    <w:p w14:paraId="3F9C5EB6"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lastRenderedPageBreak/>
        <w:t>Rugji</w:t>
      </w:r>
      <w:proofErr w:type="spellEnd"/>
      <w:r w:rsidRPr="00420D5B">
        <w:rPr>
          <w:rFonts w:ascii="Times New Roman" w:eastAsia="Times New Roman" w:hAnsi="Times New Roman" w:cs="Times New Roman"/>
          <w:bCs/>
          <w:sz w:val="24"/>
          <w:szCs w:val="27"/>
          <w:lang w:eastAsia="en-GB"/>
        </w:rPr>
        <w:t xml:space="preserve">, J., Erol, Z., Taşçı, F., Musa, L., Hamadani, A., </w:t>
      </w:r>
      <w:proofErr w:type="spellStart"/>
      <w:r w:rsidRPr="00420D5B">
        <w:rPr>
          <w:rFonts w:ascii="Times New Roman" w:eastAsia="Times New Roman" w:hAnsi="Times New Roman" w:cs="Times New Roman"/>
          <w:bCs/>
          <w:sz w:val="24"/>
          <w:szCs w:val="27"/>
          <w:lang w:eastAsia="en-GB"/>
        </w:rPr>
        <w:t>Gündemir</w:t>
      </w:r>
      <w:proofErr w:type="spellEnd"/>
      <w:r w:rsidRPr="00420D5B">
        <w:rPr>
          <w:rFonts w:ascii="Times New Roman" w:eastAsia="Times New Roman" w:hAnsi="Times New Roman" w:cs="Times New Roman"/>
          <w:bCs/>
          <w:sz w:val="24"/>
          <w:szCs w:val="27"/>
          <w:lang w:eastAsia="en-GB"/>
        </w:rPr>
        <w:t xml:space="preserve">, M. G., </w:t>
      </w:r>
      <w:proofErr w:type="spellStart"/>
      <w:r w:rsidRPr="00420D5B">
        <w:rPr>
          <w:rFonts w:ascii="Times New Roman" w:eastAsia="Times New Roman" w:hAnsi="Times New Roman" w:cs="Times New Roman"/>
          <w:bCs/>
          <w:sz w:val="24"/>
          <w:szCs w:val="27"/>
          <w:lang w:eastAsia="en-GB"/>
        </w:rPr>
        <w:t>Karalliu</w:t>
      </w:r>
      <w:proofErr w:type="spellEnd"/>
      <w:r w:rsidRPr="00420D5B">
        <w:rPr>
          <w:rFonts w:ascii="Times New Roman" w:eastAsia="Times New Roman" w:hAnsi="Times New Roman" w:cs="Times New Roman"/>
          <w:bCs/>
          <w:sz w:val="24"/>
          <w:szCs w:val="27"/>
          <w:lang w:eastAsia="en-GB"/>
        </w:rPr>
        <w:t>, E., &amp; Siddiqui, S. A. (2025). Utilization of AI—reshaping the future of food safety, agriculture and food security—a critical review. Critical Reviews in Food Science and Nutrition, 65(26), 5136–5180. https://doi.org/10.1080/10408398.2024.2430749</w:t>
      </w:r>
    </w:p>
    <w:p w14:paraId="6CEA44C1"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Ryan, M. (2023). The social and ethical impacts of artificial intelligence in agriculture: Mapping the agricultural AI literature. AI &amp; Society, 38(6), 2473–2485. https://doi.org/10.1007/s00146-021-01377-9</w:t>
      </w:r>
    </w:p>
    <w:p w14:paraId="725C9BBE" w14:textId="77777777" w:rsidR="00484904" w:rsidRPr="00F46DD6" w:rsidRDefault="00000000" w:rsidP="005B3A29">
      <w:pPr>
        <w:jc w:val="both"/>
        <w:rPr>
          <w:bCs/>
        </w:rPr>
      </w:pPr>
      <w:r w:rsidRPr="00F46DD6">
        <w:rPr>
          <w:bCs/>
          <w:highlight w:val="yellow"/>
        </w:rPr>
        <w:t>Sagar, N. A., &amp; Rani, N. (2026). Recent trends and innovations in smart and AI-based food packaging: A review. Frontiers in Food Science and Technology, 5, Article 1665055. https://doi.org/10.3389/frfst.2025.1665055</w:t>
      </w:r>
    </w:p>
    <w:p w14:paraId="65CFBD22"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Sarku, R., Clemen, U. A., &amp; Clemen, T. (2023). The application of artificial intelligence models for food security: A review. Agriculture, 13(10), 2037. https://doi.org/10.3390/agriculture13102037</w:t>
      </w:r>
    </w:p>
    <w:p w14:paraId="6D97BDF4"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 xml:space="preserve">Shen, C., Wang, R., </w:t>
      </w:r>
      <w:proofErr w:type="spellStart"/>
      <w:r w:rsidRPr="00420D5B">
        <w:rPr>
          <w:rFonts w:ascii="Times New Roman" w:eastAsia="Times New Roman" w:hAnsi="Times New Roman" w:cs="Times New Roman"/>
          <w:bCs/>
          <w:sz w:val="24"/>
          <w:szCs w:val="27"/>
          <w:lang w:eastAsia="en-GB"/>
        </w:rPr>
        <w:t>Nawazish</w:t>
      </w:r>
      <w:proofErr w:type="spellEnd"/>
      <w:r w:rsidRPr="00420D5B">
        <w:rPr>
          <w:rFonts w:ascii="Times New Roman" w:eastAsia="Times New Roman" w:hAnsi="Times New Roman" w:cs="Times New Roman"/>
          <w:bCs/>
          <w:sz w:val="24"/>
          <w:szCs w:val="27"/>
          <w:lang w:eastAsia="en-GB"/>
        </w:rPr>
        <w:t>, H., Wang, B., Cai, K., &amp; Xu, B. (2024). Machine vision combined with deep learning–based approaches for food authentication: An integrative review and new insights. Comprehensive Reviews in Food Science and Food Safety, 23(6), e70054. https://doi.org/10.1111/1541-4337.70054</w:t>
      </w:r>
    </w:p>
    <w:p w14:paraId="715F3C76" w14:textId="77777777" w:rsidR="00484904" w:rsidRPr="00F46DD6" w:rsidRDefault="00000000" w:rsidP="005B3A29">
      <w:pPr>
        <w:jc w:val="both"/>
        <w:rPr>
          <w:bCs/>
        </w:rPr>
      </w:pPr>
      <w:r w:rsidRPr="00F46DD6">
        <w:rPr>
          <w:bCs/>
          <w:highlight w:val="yellow"/>
        </w:rPr>
        <w:t>Sheikh, A. (2025). AI-powered leadership in supply chain management: Balancing efficiency and human decision-making. Journal of Global Economics, Management and Business Research, 17(3), 476–485. https://doi.org/10.56557/jgembr/2025/v17i39998</w:t>
      </w:r>
    </w:p>
    <w:p w14:paraId="6D9F80C3"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Soltani-</w:t>
      </w:r>
      <w:proofErr w:type="spellStart"/>
      <w:r w:rsidRPr="00420D5B">
        <w:rPr>
          <w:rFonts w:ascii="Times New Roman" w:eastAsia="Times New Roman" w:hAnsi="Times New Roman" w:cs="Times New Roman"/>
          <w:bCs/>
          <w:sz w:val="24"/>
          <w:szCs w:val="27"/>
          <w:lang w:eastAsia="en-GB"/>
        </w:rPr>
        <w:t>Fesaghandis</w:t>
      </w:r>
      <w:proofErr w:type="spellEnd"/>
      <w:r w:rsidRPr="00420D5B">
        <w:rPr>
          <w:rFonts w:ascii="Times New Roman" w:eastAsia="Times New Roman" w:hAnsi="Times New Roman" w:cs="Times New Roman"/>
          <w:bCs/>
          <w:sz w:val="24"/>
          <w:szCs w:val="27"/>
          <w:lang w:eastAsia="en-GB"/>
        </w:rPr>
        <w:t>, G., &amp; Pooya, A. (2018). Design of an artificial intelligence system for predicting success of new product development and selecting proper market-product strategy in the food industry. International Food and Agribusiness Management Review, 21(7), 847–864. https://doi.org/10.22434/IFAMR2017.0033</w:t>
      </w:r>
    </w:p>
    <w:p w14:paraId="1B1BA976"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t>Sonwani</w:t>
      </w:r>
      <w:proofErr w:type="spellEnd"/>
      <w:r w:rsidRPr="00420D5B">
        <w:rPr>
          <w:rFonts w:ascii="Times New Roman" w:eastAsia="Times New Roman" w:hAnsi="Times New Roman" w:cs="Times New Roman"/>
          <w:bCs/>
          <w:sz w:val="24"/>
          <w:szCs w:val="27"/>
          <w:lang w:eastAsia="en-GB"/>
        </w:rPr>
        <w:t xml:space="preserve">, E., Bansal, U., </w:t>
      </w:r>
      <w:proofErr w:type="spellStart"/>
      <w:r w:rsidRPr="00420D5B">
        <w:rPr>
          <w:rFonts w:ascii="Times New Roman" w:eastAsia="Times New Roman" w:hAnsi="Times New Roman" w:cs="Times New Roman"/>
          <w:bCs/>
          <w:sz w:val="24"/>
          <w:szCs w:val="27"/>
          <w:lang w:eastAsia="en-GB"/>
        </w:rPr>
        <w:t>Alroobaea</w:t>
      </w:r>
      <w:proofErr w:type="spellEnd"/>
      <w:r w:rsidRPr="00420D5B">
        <w:rPr>
          <w:rFonts w:ascii="Times New Roman" w:eastAsia="Times New Roman" w:hAnsi="Times New Roman" w:cs="Times New Roman"/>
          <w:bCs/>
          <w:sz w:val="24"/>
          <w:szCs w:val="27"/>
          <w:lang w:eastAsia="en-GB"/>
        </w:rPr>
        <w:t xml:space="preserve">, R., </w:t>
      </w:r>
      <w:proofErr w:type="spellStart"/>
      <w:r w:rsidRPr="00420D5B">
        <w:rPr>
          <w:rFonts w:ascii="Times New Roman" w:eastAsia="Times New Roman" w:hAnsi="Times New Roman" w:cs="Times New Roman"/>
          <w:bCs/>
          <w:sz w:val="24"/>
          <w:szCs w:val="27"/>
          <w:lang w:eastAsia="en-GB"/>
        </w:rPr>
        <w:t>Baqasah</w:t>
      </w:r>
      <w:proofErr w:type="spellEnd"/>
      <w:r w:rsidRPr="00420D5B">
        <w:rPr>
          <w:rFonts w:ascii="Times New Roman" w:eastAsia="Times New Roman" w:hAnsi="Times New Roman" w:cs="Times New Roman"/>
          <w:bCs/>
          <w:sz w:val="24"/>
          <w:szCs w:val="27"/>
          <w:lang w:eastAsia="en-GB"/>
        </w:rPr>
        <w:t xml:space="preserve">, A. M., &amp; </w:t>
      </w:r>
      <w:proofErr w:type="spellStart"/>
      <w:r w:rsidRPr="00420D5B">
        <w:rPr>
          <w:rFonts w:ascii="Times New Roman" w:eastAsia="Times New Roman" w:hAnsi="Times New Roman" w:cs="Times New Roman"/>
          <w:bCs/>
          <w:sz w:val="24"/>
          <w:szCs w:val="27"/>
          <w:lang w:eastAsia="en-GB"/>
        </w:rPr>
        <w:t>Hedabou</w:t>
      </w:r>
      <w:proofErr w:type="spellEnd"/>
      <w:r w:rsidRPr="00420D5B">
        <w:rPr>
          <w:rFonts w:ascii="Times New Roman" w:eastAsia="Times New Roman" w:hAnsi="Times New Roman" w:cs="Times New Roman"/>
          <w:bCs/>
          <w:sz w:val="24"/>
          <w:szCs w:val="27"/>
          <w:lang w:eastAsia="en-GB"/>
        </w:rPr>
        <w:t>, M. (2022). An artificial intelligence approach toward food spoilage detection and analysis. Frontiers in Public Health, 9, 816226. https://doi.org/10.3389/fpubh.2021.816226</w:t>
      </w:r>
    </w:p>
    <w:p w14:paraId="0F40C7A5"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proofErr w:type="spellStart"/>
      <w:r w:rsidRPr="00420D5B">
        <w:rPr>
          <w:rFonts w:ascii="Times New Roman" w:eastAsia="Times New Roman" w:hAnsi="Times New Roman" w:cs="Times New Roman"/>
          <w:bCs/>
          <w:sz w:val="24"/>
          <w:szCs w:val="27"/>
          <w:lang w:eastAsia="en-GB"/>
        </w:rPr>
        <w:t>Tamasiga</w:t>
      </w:r>
      <w:proofErr w:type="spellEnd"/>
      <w:r w:rsidRPr="00420D5B">
        <w:rPr>
          <w:rFonts w:ascii="Times New Roman" w:eastAsia="Times New Roman" w:hAnsi="Times New Roman" w:cs="Times New Roman"/>
          <w:bCs/>
          <w:sz w:val="24"/>
          <w:szCs w:val="27"/>
          <w:lang w:eastAsia="en-GB"/>
        </w:rPr>
        <w:t xml:space="preserve">, P., </w:t>
      </w:r>
      <w:proofErr w:type="spellStart"/>
      <w:r w:rsidRPr="00420D5B">
        <w:rPr>
          <w:rFonts w:ascii="Times New Roman" w:eastAsia="Times New Roman" w:hAnsi="Times New Roman" w:cs="Times New Roman"/>
          <w:bCs/>
          <w:sz w:val="24"/>
          <w:szCs w:val="27"/>
          <w:lang w:eastAsia="en-GB"/>
        </w:rPr>
        <w:t>Ouassou</w:t>
      </w:r>
      <w:proofErr w:type="spellEnd"/>
      <w:r w:rsidRPr="00420D5B">
        <w:rPr>
          <w:rFonts w:ascii="Times New Roman" w:eastAsia="Times New Roman" w:hAnsi="Times New Roman" w:cs="Times New Roman"/>
          <w:bCs/>
          <w:sz w:val="24"/>
          <w:szCs w:val="27"/>
          <w:lang w:eastAsia="en-GB"/>
        </w:rPr>
        <w:t xml:space="preserve">, E. H., </w:t>
      </w:r>
      <w:proofErr w:type="spellStart"/>
      <w:r w:rsidRPr="00420D5B">
        <w:rPr>
          <w:rFonts w:ascii="Times New Roman" w:eastAsia="Times New Roman" w:hAnsi="Times New Roman" w:cs="Times New Roman"/>
          <w:bCs/>
          <w:sz w:val="24"/>
          <w:szCs w:val="27"/>
          <w:lang w:eastAsia="en-GB"/>
        </w:rPr>
        <w:t>Onyeaka</w:t>
      </w:r>
      <w:proofErr w:type="spellEnd"/>
      <w:r w:rsidRPr="00420D5B">
        <w:rPr>
          <w:rFonts w:ascii="Times New Roman" w:eastAsia="Times New Roman" w:hAnsi="Times New Roman" w:cs="Times New Roman"/>
          <w:bCs/>
          <w:sz w:val="24"/>
          <w:szCs w:val="27"/>
          <w:lang w:eastAsia="en-GB"/>
        </w:rPr>
        <w:t xml:space="preserve">, H., </w:t>
      </w:r>
      <w:proofErr w:type="spellStart"/>
      <w:r w:rsidRPr="00420D5B">
        <w:rPr>
          <w:rFonts w:ascii="Times New Roman" w:eastAsia="Times New Roman" w:hAnsi="Times New Roman" w:cs="Times New Roman"/>
          <w:bCs/>
          <w:sz w:val="24"/>
          <w:szCs w:val="27"/>
          <w:lang w:eastAsia="en-GB"/>
        </w:rPr>
        <w:t>Bakwena</w:t>
      </w:r>
      <w:proofErr w:type="spellEnd"/>
      <w:r w:rsidRPr="00420D5B">
        <w:rPr>
          <w:rFonts w:ascii="Times New Roman" w:eastAsia="Times New Roman" w:hAnsi="Times New Roman" w:cs="Times New Roman"/>
          <w:bCs/>
          <w:sz w:val="24"/>
          <w:szCs w:val="27"/>
          <w:lang w:eastAsia="en-GB"/>
        </w:rPr>
        <w:t xml:space="preserve">, M., Happonen, A., &amp; Molala, M. (2023). Forecasting disruptions in global food value chains to tackle food insecurity: The role of AI and big data analytics—A bibliometric and </w:t>
      </w:r>
      <w:proofErr w:type="spellStart"/>
      <w:r w:rsidRPr="00420D5B">
        <w:rPr>
          <w:rFonts w:ascii="Times New Roman" w:eastAsia="Times New Roman" w:hAnsi="Times New Roman" w:cs="Times New Roman"/>
          <w:bCs/>
          <w:sz w:val="24"/>
          <w:szCs w:val="27"/>
          <w:lang w:eastAsia="en-GB"/>
        </w:rPr>
        <w:t>scientometric</w:t>
      </w:r>
      <w:proofErr w:type="spellEnd"/>
      <w:r w:rsidRPr="00420D5B">
        <w:rPr>
          <w:rFonts w:ascii="Times New Roman" w:eastAsia="Times New Roman" w:hAnsi="Times New Roman" w:cs="Times New Roman"/>
          <w:bCs/>
          <w:sz w:val="24"/>
          <w:szCs w:val="27"/>
          <w:lang w:eastAsia="en-GB"/>
        </w:rPr>
        <w:t xml:space="preserve"> analysis. Journal of Agriculture and Food Research, 14, 100819. https://doi.org/10.1016/j.jafr.2023.100819</w:t>
      </w:r>
    </w:p>
    <w:p w14:paraId="4337CC20"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Xia, T., Shen, X., &amp; Li, L. (2024). Is AI food a gimmick or the future direction of food production?—Predicting consumers’ willingness to buy AI food based on cognitive trust and affective trust. Foods, 13(18), 2983. https://doi.org/10.3390/foods13182983</w:t>
      </w:r>
    </w:p>
    <w:p w14:paraId="4E9EB088"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Xiao, Z., Wang, J., Han, L., Guo, S., &amp; Cui, Q. (2022). Application of machine vision system in food detection. Frontiers in Nutrition, 9, 888245. https://doi.org/10.3389/fnut.2022.888245</w:t>
      </w:r>
    </w:p>
    <w:p w14:paraId="38E72121"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lastRenderedPageBreak/>
        <w:t>Zheng, J., Wang, J., Shen, J., &amp; An, R. (2024). Artificial intelligence applications to measure food and nutrient intakes: Scoping review. Journal of Medical Internet Research, 26, e54557. https://doi.org/10.2196/54557</w:t>
      </w:r>
    </w:p>
    <w:p w14:paraId="15EED305"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r w:rsidRPr="00420D5B">
        <w:rPr>
          <w:rFonts w:ascii="Times New Roman" w:eastAsia="Times New Roman" w:hAnsi="Times New Roman" w:cs="Times New Roman"/>
          <w:bCs/>
          <w:sz w:val="24"/>
          <w:szCs w:val="27"/>
          <w:lang w:eastAsia="en-GB"/>
        </w:rPr>
        <w:t>Zhou, Z., Tian, D., Yang, Y., Cui, H., Li, Y., Ren, S., Han, T., &amp; Gao, Z. (2024). Machine learning assisted biosensing technology: An emerging powerful tool for improving the intelligence of food safety detection. Current Research in Food Science, 8, 100679. https://doi.org/10.1016/j.crfs.2024.100679</w:t>
      </w:r>
    </w:p>
    <w:p w14:paraId="06222D1A" w14:textId="77777777" w:rsidR="00420D5B" w:rsidRPr="00420D5B" w:rsidRDefault="00420D5B" w:rsidP="005B3A29">
      <w:pPr>
        <w:spacing w:before="100" w:beforeAutospacing="1" w:after="100" w:afterAutospacing="1" w:line="240" w:lineRule="auto"/>
        <w:jc w:val="both"/>
        <w:outlineLvl w:val="2"/>
        <w:rPr>
          <w:rFonts w:ascii="Times New Roman" w:eastAsia="Times New Roman" w:hAnsi="Times New Roman" w:cs="Times New Roman"/>
          <w:bCs/>
          <w:sz w:val="24"/>
          <w:szCs w:val="27"/>
          <w:lang w:eastAsia="en-GB"/>
        </w:rPr>
      </w:pPr>
    </w:p>
    <w:p w14:paraId="68290074" w14:textId="77777777" w:rsidR="00484904" w:rsidRDefault="00484904" w:rsidP="005B3A29">
      <w:pPr>
        <w:jc w:val="both"/>
      </w:pPr>
    </w:p>
    <w:p w14:paraId="08036352" w14:textId="77777777" w:rsidR="00484904" w:rsidRDefault="00484904" w:rsidP="005B3A29">
      <w:pPr>
        <w:jc w:val="both"/>
      </w:pPr>
    </w:p>
    <w:sectPr w:rsidR="00484904"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E75DC" w14:textId="77777777" w:rsidR="0076058F" w:rsidRDefault="0076058F" w:rsidP="00151FFB">
      <w:pPr>
        <w:spacing w:after="0" w:line="240" w:lineRule="auto"/>
      </w:pPr>
      <w:r>
        <w:separator/>
      </w:r>
    </w:p>
  </w:endnote>
  <w:endnote w:type="continuationSeparator" w:id="0">
    <w:p w14:paraId="17496CE2" w14:textId="77777777" w:rsidR="0076058F" w:rsidRDefault="0076058F" w:rsidP="00151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5AAD" w14:textId="77777777" w:rsidR="00151FFB" w:rsidRDefault="00151F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97D7" w14:textId="77777777" w:rsidR="00151FFB" w:rsidRDefault="00151F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303C" w14:textId="77777777" w:rsidR="00151FFB" w:rsidRDefault="00151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BC6E3" w14:textId="77777777" w:rsidR="0076058F" w:rsidRDefault="0076058F" w:rsidP="00151FFB">
      <w:pPr>
        <w:spacing w:after="0" w:line="240" w:lineRule="auto"/>
      </w:pPr>
      <w:r>
        <w:separator/>
      </w:r>
    </w:p>
  </w:footnote>
  <w:footnote w:type="continuationSeparator" w:id="0">
    <w:p w14:paraId="6807AFF2" w14:textId="77777777" w:rsidR="0076058F" w:rsidRDefault="0076058F" w:rsidP="00151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BAE03" w14:textId="77777777" w:rsidR="00151FFB" w:rsidRDefault="00000000">
    <w:pPr>
      <w:pStyle w:val="Header"/>
    </w:pPr>
    <w:r>
      <w:rPr>
        <w:noProof/>
      </w:rPr>
      <w:pict w14:anchorId="6C74E7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83373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1FAD" w14:textId="77777777" w:rsidR="00151FFB" w:rsidRDefault="00000000">
    <w:pPr>
      <w:pStyle w:val="Header"/>
    </w:pPr>
    <w:r>
      <w:rPr>
        <w:noProof/>
      </w:rPr>
      <w:pict w14:anchorId="76E165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83373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A0BB" w14:textId="77777777" w:rsidR="00151FFB" w:rsidRDefault="00000000">
    <w:pPr>
      <w:pStyle w:val="Header"/>
    </w:pPr>
    <w:r>
      <w:rPr>
        <w:noProof/>
      </w:rPr>
      <w:pict w14:anchorId="2D075B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83373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F5E3D"/>
    <w:multiLevelType w:val="hybridMultilevel"/>
    <w:tmpl w:val="6AD29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9B4D2A"/>
    <w:multiLevelType w:val="multilevel"/>
    <w:tmpl w:val="0082E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9169862">
    <w:abstractNumId w:val="0"/>
  </w:num>
  <w:num w:numId="2" w16cid:durableId="575478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M0MjQ3MTAyNzA2NDJX0lEKTi0uzszPAykwrAUAAE6BQCwAAAA="/>
  </w:docVars>
  <w:rsids>
    <w:rsidRoot w:val="00F80FFE"/>
    <w:rsid w:val="000B61FE"/>
    <w:rsid w:val="00151FFB"/>
    <w:rsid w:val="00185A48"/>
    <w:rsid w:val="00420D5B"/>
    <w:rsid w:val="004841B3"/>
    <w:rsid w:val="00484904"/>
    <w:rsid w:val="005B3A29"/>
    <w:rsid w:val="00634618"/>
    <w:rsid w:val="0076058F"/>
    <w:rsid w:val="00795E5E"/>
    <w:rsid w:val="007961B4"/>
    <w:rsid w:val="007B3159"/>
    <w:rsid w:val="008A3604"/>
    <w:rsid w:val="00A226FA"/>
    <w:rsid w:val="00B02323"/>
    <w:rsid w:val="00B54B4B"/>
    <w:rsid w:val="00C04DBC"/>
    <w:rsid w:val="00F46DD6"/>
    <w:rsid w:val="00F80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AE651"/>
  <w15:docId w15:val="{A48C3A79-0BE2-40A0-A1EE-7090AECAF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F80FF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80FF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F80FF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0FF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80FFE"/>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F80FFE"/>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F80F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80FFE"/>
    <w:rPr>
      <w:b/>
      <w:bCs/>
    </w:rPr>
  </w:style>
  <w:style w:type="character" w:styleId="Emphasis">
    <w:name w:val="Emphasis"/>
    <w:basedOn w:val="DefaultParagraphFont"/>
    <w:uiPriority w:val="20"/>
    <w:qFormat/>
    <w:rsid w:val="00F80FFE"/>
    <w:rPr>
      <w:i/>
      <w:iCs/>
    </w:rPr>
  </w:style>
  <w:style w:type="character" w:styleId="Hyperlink">
    <w:name w:val="Hyperlink"/>
    <w:basedOn w:val="DefaultParagraphFont"/>
    <w:uiPriority w:val="99"/>
    <w:semiHidden/>
    <w:unhideWhenUsed/>
    <w:rsid w:val="00F80FFE"/>
    <w:rPr>
      <w:color w:val="0000FF"/>
      <w:u w:val="single"/>
    </w:rPr>
  </w:style>
  <w:style w:type="paragraph" w:styleId="ListParagraph">
    <w:name w:val="List Paragraph"/>
    <w:basedOn w:val="Normal"/>
    <w:uiPriority w:val="34"/>
    <w:qFormat/>
    <w:rsid w:val="00185A48"/>
    <w:pPr>
      <w:ind w:left="720"/>
      <w:contextualSpacing/>
    </w:pPr>
  </w:style>
  <w:style w:type="paragraph" w:styleId="NormalWeb">
    <w:name w:val="Normal (Web)"/>
    <w:basedOn w:val="Normal"/>
    <w:uiPriority w:val="99"/>
    <w:unhideWhenUsed/>
    <w:rsid w:val="00185A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185A48"/>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85A48"/>
    <w:rPr>
      <w:rFonts w:ascii="Arial" w:eastAsia="Times New Roman" w:hAnsi="Arial" w:cs="Arial"/>
      <w:vanish/>
      <w:sz w:val="16"/>
      <w:szCs w:val="16"/>
      <w:lang w:eastAsia="en-GB"/>
    </w:rPr>
  </w:style>
  <w:style w:type="paragraph" w:customStyle="1" w:styleId="placeholder">
    <w:name w:val="placeholder"/>
    <w:basedOn w:val="Normal"/>
    <w:rsid w:val="00185A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BottomofForm">
    <w:name w:val="HTML Bottom of Form"/>
    <w:basedOn w:val="Normal"/>
    <w:next w:val="Normal"/>
    <w:link w:val="z-BottomofFormChar"/>
    <w:hidden/>
    <w:uiPriority w:val="99"/>
    <w:semiHidden/>
    <w:unhideWhenUsed/>
    <w:rsid w:val="00185A48"/>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85A48"/>
    <w:rPr>
      <w:rFonts w:ascii="Arial" w:eastAsia="Times New Roman" w:hAnsi="Arial" w:cs="Arial"/>
      <w:vanish/>
      <w:sz w:val="16"/>
      <w:szCs w:val="16"/>
      <w:lang w:eastAsia="en-GB"/>
    </w:rPr>
  </w:style>
  <w:style w:type="table" w:styleId="TableGrid">
    <w:name w:val="Table Grid"/>
    <w:basedOn w:val="TableNormal"/>
    <w:uiPriority w:val="59"/>
    <w:rsid w:val="00420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1F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FFB"/>
  </w:style>
  <w:style w:type="paragraph" w:styleId="Footer">
    <w:name w:val="footer"/>
    <w:basedOn w:val="Normal"/>
    <w:link w:val="FooterChar"/>
    <w:uiPriority w:val="99"/>
    <w:unhideWhenUsed/>
    <w:rsid w:val="00151F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080321">
      <w:bodyDiv w:val="1"/>
      <w:marLeft w:val="0"/>
      <w:marRight w:val="0"/>
      <w:marTop w:val="0"/>
      <w:marBottom w:val="0"/>
      <w:divBdr>
        <w:top w:val="none" w:sz="0" w:space="0" w:color="auto"/>
        <w:left w:val="none" w:sz="0" w:space="0" w:color="auto"/>
        <w:bottom w:val="none" w:sz="0" w:space="0" w:color="auto"/>
        <w:right w:val="none" w:sz="0" w:space="0" w:color="auto"/>
      </w:divBdr>
      <w:divsChild>
        <w:div w:id="933710180">
          <w:marLeft w:val="0"/>
          <w:marRight w:val="0"/>
          <w:marTop w:val="0"/>
          <w:marBottom w:val="0"/>
          <w:divBdr>
            <w:top w:val="none" w:sz="0" w:space="0" w:color="auto"/>
            <w:left w:val="none" w:sz="0" w:space="0" w:color="auto"/>
            <w:bottom w:val="none" w:sz="0" w:space="0" w:color="auto"/>
            <w:right w:val="none" w:sz="0" w:space="0" w:color="auto"/>
          </w:divBdr>
          <w:divsChild>
            <w:div w:id="1524977628">
              <w:marLeft w:val="0"/>
              <w:marRight w:val="0"/>
              <w:marTop w:val="0"/>
              <w:marBottom w:val="0"/>
              <w:divBdr>
                <w:top w:val="none" w:sz="0" w:space="0" w:color="auto"/>
                <w:left w:val="none" w:sz="0" w:space="0" w:color="auto"/>
                <w:bottom w:val="none" w:sz="0" w:space="0" w:color="auto"/>
                <w:right w:val="none" w:sz="0" w:space="0" w:color="auto"/>
              </w:divBdr>
              <w:divsChild>
                <w:div w:id="229077846">
                  <w:marLeft w:val="0"/>
                  <w:marRight w:val="0"/>
                  <w:marTop w:val="0"/>
                  <w:marBottom w:val="0"/>
                  <w:divBdr>
                    <w:top w:val="none" w:sz="0" w:space="0" w:color="auto"/>
                    <w:left w:val="none" w:sz="0" w:space="0" w:color="auto"/>
                    <w:bottom w:val="none" w:sz="0" w:space="0" w:color="auto"/>
                    <w:right w:val="none" w:sz="0" w:space="0" w:color="auto"/>
                  </w:divBdr>
                  <w:divsChild>
                    <w:div w:id="2008744937">
                      <w:marLeft w:val="0"/>
                      <w:marRight w:val="0"/>
                      <w:marTop w:val="0"/>
                      <w:marBottom w:val="0"/>
                      <w:divBdr>
                        <w:top w:val="none" w:sz="0" w:space="0" w:color="auto"/>
                        <w:left w:val="none" w:sz="0" w:space="0" w:color="auto"/>
                        <w:bottom w:val="none" w:sz="0" w:space="0" w:color="auto"/>
                        <w:right w:val="none" w:sz="0" w:space="0" w:color="auto"/>
                      </w:divBdr>
                      <w:divsChild>
                        <w:div w:id="237403264">
                          <w:marLeft w:val="0"/>
                          <w:marRight w:val="0"/>
                          <w:marTop w:val="0"/>
                          <w:marBottom w:val="0"/>
                          <w:divBdr>
                            <w:top w:val="none" w:sz="0" w:space="0" w:color="auto"/>
                            <w:left w:val="none" w:sz="0" w:space="0" w:color="auto"/>
                            <w:bottom w:val="none" w:sz="0" w:space="0" w:color="auto"/>
                            <w:right w:val="none" w:sz="0" w:space="0" w:color="auto"/>
                          </w:divBdr>
                          <w:divsChild>
                            <w:div w:id="643848282">
                              <w:marLeft w:val="0"/>
                              <w:marRight w:val="0"/>
                              <w:marTop w:val="0"/>
                              <w:marBottom w:val="0"/>
                              <w:divBdr>
                                <w:top w:val="none" w:sz="0" w:space="0" w:color="auto"/>
                                <w:left w:val="none" w:sz="0" w:space="0" w:color="auto"/>
                                <w:bottom w:val="none" w:sz="0" w:space="0" w:color="auto"/>
                                <w:right w:val="none" w:sz="0" w:space="0" w:color="auto"/>
                              </w:divBdr>
                              <w:divsChild>
                                <w:div w:id="448738822">
                                  <w:marLeft w:val="0"/>
                                  <w:marRight w:val="0"/>
                                  <w:marTop w:val="0"/>
                                  <w:marBottom w:val="0"/>
                                  <w:divBdr>
                                    <w:top w:val="none" w:sz="0" w:space="0" w:color="auto"/>
                                    <w:left w:val="none" w:sz="0" w:space="0" w:color="auto"/>
                                    <w:bottom w:val="none" w:sz="0" w:space="0" w:color="auto"/>
                                    <w:right w:val="none" w:sz="0" w:space="0" w:color="auto"/>
                                  </w:divBdr>
                                  <w:divsChild>
                                    <w:div w:id="1798178520">
                                      <w:marLeft w:val="0"/>
                                      <w:marRight w:val="0"/>
                                      <w:marTop w:val="0"/>
                                      <w:marBottom w:val="0"/>
                                      <w:divBdr>
                                        <w:top w:val="none" w:sz="0" w:space="0" w:color="auto"/>
                                        <w:left w:val="none" w:sz="0" w:space="0" w:color="auto"/>
                                        <w:bottom w:val="none" w:sz="0" w:space="0" w:color="auto"/>
                                        <w:right w:val="none" w:sz="0" w:space="0" w:color="auto"/>
                                      </w:divBdr>
                                      <w:divsChild>
                                        <w:div w:id="1408770263">
                                          <w:marLeft w:val="0"/>
                                          <w:marRight w:val="0"/>
                                          <w:marTop w:val="0"/>
                                          <w:marBottom w:val="0"/>
                                          <w:divBdr>
                                            <w:top w:val="none" w:sz="0" w:space="0" w:color="auto"/>
                                            <w:left w:val="none" w:sz="0" w:space="0" w:color="auto"/>
                                            <w:bottom w:val="none" w:sz="0" w:space="0" w:color="auto"/>
                                            <w:right w:val="none" w:sz="0" w:space="0" w:color="auto"/>
                                          </w:divBdr>
                                          <w:divsChild>
                                            <w:div w:id="1649432305">
                                              <w:marLeft w:val="0"/>
                                              <w:marRight w:val="0"/>
                                              <w:marTop w:val="0"/>
                                              <w:marBottom w:val="0"/>
                                              <w:divBdr>
                                                <w:top w:val="none" w:sz="0" w:space="0" w:color="auto"/>
                                                <w:left w:val="none" w:sz="0" w:space="0" w:color="auto"/>
                                                <w:bottom w:val="none" w:sz="0" w:space="0" w:color="auto"/>
                                                <w:right w:val="none" w:sz="0" w:space="0" w:color="auto"/>
                                              </w:divBdr>
                                              <w:divsChild>
                                                <w:div w:id="421069927">
                                                  <w:marLeft w:val="0"/>
                                                  <w:marRight w:val="0"/>
                                                  <w:marTop w:val="0"/>
                                                  <w:marBottom w:val="0"/>
                                                  <w:divBdr>
                                                    <w:top w:val="none" w:sz="0" w:space="0" w:color="auto"/>
                                                    <w:left w:val="none" w:sz="0" w:space="0" w:color="auto"/>
                                                    <w:bottom w:val="none" w:sz="0" w:space="0" w:color="auto"/>
                                                    <w:right w:val="none" w:sz="0" w:space="0" w:color="auto"/>
                                                  </w:divBdr>
                                                  <w:divsChild>
                                                    <w:div w:id="494416840">
                                                      <w:marLeft w:val="0"/>
                                                      <w:marRight w:val="0"/>
                                                      <w:marTop w:val="0"/>
                                                      <w:marBottom w:val="0"/>
                                                      <w:divBdr>
                                                        <w:top w:val="none" w:sz="0" w:space="0" w:color="auto"/>
                                                        <w:left w:val="none" w:sz="0" w:space="0" w:color="auto"/>
                                                        <w:bottom w:val="none" w:sz="0" w:space="0" w:color="auto"/>
                                                        <w:right w:val="none" w:sz="0" w:space="0" w:color="auto"/>
                                                      </w:divBdr>
                                                      <w:divsChild>
                                                        <w:div w:id="1836264285">
                                                          <w:marLeft w:val="0"/>
                                                          <w:marRight w:val="0"/>
                                                          <w:marTop w:val="0"/>
                                                          <w:marBottom w:val="0"/>
                                                          <w:divBdr>
                                                            <w:top w:val="none" w:sz="0" w:space="0" w:color="auto"/>
                                                            <w:left w:val="none" w:sz="0" w:space="0" w:color="auto"/>
                                                            <w:bottom w:val="none" w:sz="0" w:space="0" w:color="auto"/>
                                                            <w:right w:val="none" w:sz="0" w:space="0" w:color="auto"/>
                                                          </w:divBdr>
                                                          <w:divsChild>
                                                            <w:div w:id="1390836811">
                                                              <w:marLeft w:val="0"/>
                                                              <w:marRight w:val="0"/>
                                                              <w:marTop w:val="0"/>
                                                              <w:marBottom w:val="0"/>
                                                              <w:divBdr>
                                                                <w:top w:val="none" w:sz="0" w:space="0" w:color="auto"/>
                                                                <w:left w:val="none" w:sz="0" w:space="0" w:color="auto"/>
                                                                <w:bottom w:val="none" w:sz="0" w:space="0" w:color="auto"/>
                                                                <w:right w:val="none" w:sz="0" w:space="0" w:color="auto"/>
                                                              </w:divBdr>
                                                              <w:divsChild>
                                                                <w:div w:id="232005896">
                                                                  <w:marLeft w:val="0"/>
                                                                  <w:marRight w:val="0"/>
                                                                  <w:marTop w:val="0"/>
                                                                  <w:marBottom w:val="0"/>
                                                                  <w:divBdr>
                                                                    <w:top w:val="none" w:sz="0" w:space="0" w:color="auto"/>
                                                                    <w:left w:val="none" w:sz="0" w:space="0" w:color="auto"/>
                                                                    <w:bottom w:val="none" w:sz="0" w:space="0" w:color="auto"/>
                                                                    <w:right w:val="none" w:sz="0" w:space="0" w:color="auto"/>
                                                                  </w:divBdr>
                                                                  <w:divsChild>
                                                                    <w:div w:id="2128814112">
                                                                      <w:marLeft w:val="0"/>
                                                                      <w:marRight w:val="0"/>
                                                                      <w:marTop w:val="0"/>
                                                                      <w:marBottom w:val="0"/>
                                                                      <w:divBdr>
                                                                        <w:top w:val="none" w:sz="0" w:space="0" w:color="auto"/>
                                                                        <w:left w:val="none" w:sz="0" w:space="0" w:color="auto"/>
                                                                        <w:bottom w:val="none" w:sz="0" w:space="0" w:color="auto"/>
                                                                        <w:right w:val="none" w:sz="0" w:space="0" w:color="auto"/>
                                                                      </w:divBdr>
                                                                      <w:divsChild>
                                                                        <w:div w:id="1710109583">
                                                                          <w:marLeft w:val="0"/>
                                                                          <w:marRight w:val="0"/>
                                                                          <w:marTop w:val="0"/>
                                                                          <w:marBottom w:val="0"/>
                                                                          <w:divBdr>
                                                                            <w:top w:val="none" w:sz="0" w:space="0" w:color="auto"/>
                                                                            <w:left w:val="none" w:sz="0" w:space="0" w:color="auto"/>
                                                                            <w:bottom w:val="none" w:sz="0" w:space="0" w:color="auto"/>
                                                                            <w:right w:val="none" w:sz="0" w:space="0" w:color="auto"/>
                                                                          </w:divBdr>
                                                                          <w:divsChild>
                                                                            <w:div w:id="338895984">
                                                                              <w:marLeft w:val="0"/>
                                                                              <w:marRight w:val="0"/>
                                                                              <w:marTop w:val="0"/>
                                                                              <w:marBottom w:val="0"/>
                                                                              <w:divBdr>
                                                                                <w:top w:val="none" w:sz="0" w:space="0" w:color="auto"/>
                                                                                <w:left w:val="none" w:sz="0" w:space="0" w:color="auto"/>
                                                                                <w:bottom w:val="none" w:sz="0" w:space="0" w:color="auto"/>
                                                                                <w:right w:val="none" w:sz="0" w:space="0" w:color="auto"/>
                                                                              </w:divBdr>
                                                                              <w:divsChild>
                                                                                <w:div w:id="15048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5627816">
                                              <w:marLeft w:val="0"/>
                                              <w:marRight w:val="0"/>
                                              <w:marTop w:val="0"/>
                                              <w:marBottom w:val="0"/>
                                              <w:divBdr>
                                                <w:top w:val="none" w:sz="0" w:space="0" w:color="auto"/>
                                                <w:left w:val="none" w:sz="0" w:space="0" w:color="auto"/>
                                                <w:bottom w:val="none" w:sz="0" w:space="0" w:color="auto"/>
                                                <w:right w:val="none" w:sz="0" w:space="0" w:color="auto"/>
                                              </w:divBdr>
                                              <w:divsChild>
                                                <w:div w:id="1705398406">
                                                  <w:marLeft w:val="0"/>
                                                  <w:marRight w:val="0"/>
                                                  <w:marTop w:val="0"/>
                                                  <w:marBottom w:val="0"/>
                                                  <w:divBdr>
                                                    <w:top w:val="none" w:sz="0" w:space="0" w:color="auto"/>
                                                    <w:left w:val="none" w:sz="0" w:space="0" w:color="auto"/>
                                                    <w:bottom w:val="none" w:sz="0" w:space="0" w:color="auto"/>
                                                    <w:right w:val="none" w:sz="0" w:space="0" w:color="auto"/>
                                                  </w:divBdr>
                                                  <w:divsChild>
                                                    <w:div w:id="1372921157">
                                                      <w:marLeft w:val="0"/>
                                                      <w:marRight w:val="0"/>
                                                      <w:marTop w:val="0"/>
                                                      <w:marBottom w:val="0"/>
                                                      <w:divBdr>
                                                        <w:top w:val="none" w:sz="0" w:space="0" w:color="auto"/>
                                                        <w:left w:val="none" w:sz="0" w:space="0" w:color="auto"/>
                                                        <w:bottom w:val="none" w:sz="0" w:space="0" w:color="auto"/>
                                                        <w:right w:val="none" w:sz="0" w:space="0" w:color="auto"/>
                                                      </w:divBdr>
                                                      <w:divsChild>
                                                        <w:div w:id="1185972071">
                                                          <w:marLeft w:val="0"/>
                                                          <w:marRight w:val="0"/>
                                                          <w:marTop w:val="0"/>
                                                          <w:marBottom w:val="0"/>
                                                          <w:divBdr>
                                                            <w:top w:val="none" w:sz="0" w:space="0" w:color="auto"/>
                                                            <w:left w:val="none" w:sz="0" w:space="0" w:color="auto"/>
                                                            <w:bottom w:val="none" w:sz="0" w:space="0" w:color="auto"/>
                                                            <w:right w:val="none" w:sz="0" w:space="0" w:color="auto"/>
                                                          </w:divBdr>
                                                          <w:divsChild>
                                                            <w:div w:id="862016153">
                                                              <w:marLeft w:val="0"/>
                                                              <w:marRight w:val="0"/>
                                                              <w:marTop w:val="0"/>
                                                              <w:marBottom w:val="0"/>
                                                              <w:divBdr>
                                                                <w:top w:val="none" w:sz="0" w:space="0" w:color="auto"/>
                                                                <w:left w:val="none" w:sz="0" w:space="0" w:color="auto"/>
                                                                <w:bottom w:val="none" w:sz="0" w:space="0" w:color="auto"/>
                                                                <w:right w:val="none" w:sz="0" w:space="0" w:color="auto"/>
                                                              </w:divBdr>
                                                              <w:divsChild>
                                                                <w:div w:id="2014840613">
                                                                  <w:marLeft w:val="0"/>
                                                                  <w:marRight w:val="0"/>
                                                                  <w:marTop w:val="0"/>
                                                                  <w:marBottom w:val="0"/>
                                                                  <w:divBdr>
                                                                    <w:top w:val="none" w:sz="0" w:space="0" w:color="auto"/>
                                                                    <w:left w:val="none" w:sz="0" w:space="0" w:color="auto"/>
                                                                    <w:bottom w:val="none" w:sz="0" w:space="0" w:color="auto"/>
                                                                    <w:right w:val="none" w:sz="0" w:space="0" w:color="auto"/>
                                                                  </w:divBdr>
                                                                  <w:divsChild>
                                                                    <w:div w:id="718625177">
                                                                      <w:marLeft w:val="0"/>
                                                                      <w:marRight w:val="0"/>
                                                                      <w:marTop w:val="0"/>
                                                                      <w:marBottom w:val="0"/>
                                                                      <w:divBdr>
                                                                        <w:top w:val="none" w:sz="0" w:space="0" w:color="auto"/>
                                                                        <w:left w:val="none" w:sz="0" w:space="0" w:color="auto"/>
                                                                        <w:bottom w:val="none" w:sz="0" w:space="0" w:color="auto"/>
                                                                        <w:right w:val="none" w:sz="0" w:space="0" w:color="auto"/>
                                                                      </w:divBdr>
                                                                      <w:divsChild>
                                                                        <w:div w:id="617105814">
                                                                          <w:marLeft w:val="0"/>
                                                                          <w:marRight w:val="0"/>
                                                                          <w:marTop w:val="0"/>
                                                                          <w:marBottom w:val="0"/>
                                                                          <w:divBdr>
                                                                            <w:top w:val="none" w:sz="0" w:space="0" w:color="auto"/>
                                                                            <w:left w:val="none" w:sz="0" w:space="0" w:color="auto"/>
                                                                            <w:bottom w:val="none" w:sz="0" w:space="0" w:color="auto"/>
                                                                            <w:right w:val="none" w:sz="0" w:space="0" w:color="auto"/>
                                                                          </w:divBdr>
                                                                          <w:divsChild>
                                                                            <w:div w:id="112988272">
                                                                              <w:marLeft w:val="0"/>
                                                                              <w:marRight w:val="0"/>
                                                                              <w:marTop w:val="0"/>
                                                                              <w:marBottom w:val="0"/>
                                                                              <w:divBdr>
                                                                                <w:top w:val="none" w:sz="0" w:space="0" w:color="auto"/>
                                                                                <w:left w:val="none" w:sz="0" w:space="0" w:color="auto"/>
                                                                                <w:bottom w:val="none" w:sz="0" w:space="0" w:color="auto"/>
                                                                                <w:right w:val="none" w:sz="0" w:space="0" w:color="auto"/>
                                                                              </w:divBdr>
                                                                              <w:divsChild>
                                                                                <w:div w:id="598218407">
                                                                                  <w:marLeft w:val="0"/>
                                                                                  <w:marRight w:val="0"/>
                                                                                  <w:marTop w:val="0"/>
                                                                                  <w:marBottom w:val="0"/>
                                                                                  <w:divBdr>
                                                                                    <w:top w:val="none" w:sz="0" w:space="0" w:color="auto"/>
                                                                                    <w:left w:val="none" w:sz="0" w:space="0" w:color="auto"/>
                                                                                    <w:bottom w:val="none" w:sz="0" w:space="0" w:color="auto"/>
                                                                                    <w:right w:val="none" w:sz="0" w:space="0" w:color="auto"/>
                                                                                  </w:divBdr>
                                                                                  <w:divsChild>
                                                                                    <w:div w:id="617687287">
                                                                                      <w:marLeft w:val="0"/>
                                                                                      <w:marRight w:val="0"/>
                                                                                      <w:marTop w:val="0"/>
                                                                                      <w:marBottom w:val="0"/>
                                                                                      <w:divBdr>
                                                                                        <w:top w:val="none" w:sz="0" w:space="0" w:color="auto"/>
                                                                                        <w:left w:val="none" w:sz="0" w:space="0" w:color="auto"/>
                                                                                        <w:bottom w:val="none" w:sz="0" w:space="0" w:color="auto"/>
                                                                                        <w:right w:val="none" w:sz="0" w:space="0" w:color="auto"/>
                                                                                      </w:divBdr>
                                                                                      <w:divsChild>
                                                                                        <w:div w:id="1290164895">
                                                                                          <w:marLeft w:val="0"/>
                                                                                          <w:marRight w:val="0"/>
                                                                                          <w:marTop w:val="0"/>
                                                                                          <w:marBottom w:val="0"/>
                                                                                          <w:divBdr>
                                                                                            <w:top w:val="none" w:sz="0" w:space="0" w:color="auto"/>
                                                                                            <w:left w:val="none" w:sz="0" w:space="0" w:color="auto"/>
                                                                                            <w:bottom w:val="none" w:sz="0" w:space="0" w:color="auto"/>
                                                                                            <w:right w:val="none" w:sz="0" w:space="0" w:color="auto"/>
                                                                                          </w:divBdr>
                                                                                          <w:divsChild>
                                                                                            <w:div w:id="210568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182675">
      <w:bodyDiv w:val="1"/>
      <w:marLeft w:val="0"/>
      <w:marRight w:val="0"/>
      <w:marTop w:val="0"/>
      <w:marBottom w:val="0"/>
      <w:divBdr>
        <w:top w:val="none" w:sz="0" w:space="0" w:color="auto"/>
        <w:left w:val="none" w:sz="0" w:space="0" w:color="auto"/>
        <w:bottom w:val="none" w:sz="0" w:space="0" w:color="auto"/>
        <w:right w:val="none" w:sz="0" w:space="0" w:color="auto"/>
      </w:divBdr>
      <w:divsChild>
        <w:div w:id="1324772744">
          <w:marLeft w:val="0"/>
          <w:marRight w:val="0"/>
          <w:marTop w:val="0"/>
          <w:marBottom w:val="0"/>
          <w:divBdr>
            <w:top w:val="none" w:sz="0" w:space="0" w:color="auto"/>
            <w:left w:val="none" w:sz="0" w:space="0" w:color="auto"/>
            <w:bottom w:val="none" w:sz="0" w:space="0" w:color="auto"/>
            <w:right w:val="none" w:sz="0" w:space="0" w:color="auto"/>
          </w:divBdr>
          <w:divsChild>
            <w:div w:id="1334256484">
              <w:marLeft w:val="0"/>
              <w:marRight w:val="0"/>
              <w:marTop w:val="0"/>
              <w:marBottom w:val="0"/>
              <w:divBdr>
                <w:top w:val="none" w:sz="0" w:space="0" w:color="auto"/>
                <w:left w:val="none" w:sz="0" w:space="0" w:color="auto"/>
                <w:bottom w:val="none" w:sz="0" w:space="0" w:color="auto"/>
                <w:right w:val="none" w:sz="0" w:space="0" w:color="auto"/>
              </w:divBdr>
              <w:divsChild>
                <w:div w:id="1211184971">
                  <w:marLeft w:val="0"/>
                  <w:marRight w:val="0"/>
                  <w:marTop w:val="0"/>
                  <w:marBottom w:val="0"/>
                  <w:divBdr>
                    <w:top w:val="none" w:sz="0" w:space="0" w:color="auto"/>
                    <w:left w:val="none" w:sz="0" w:space="0" w:color="auto"/>
                    <w:bottom w:val="none" w:sz="0" w:space="0" w:color="auto"/>
                    <w:right w:val="none" w:sz="0" w:space="0" w:color="auto"/>
                  </w:divBdr>
                  <w:divsChild>
                    <w:div w:id="1829787015">
                      <w:marLeft w:val="0"/>
                      <w:marRight w:val="0"/>
                      <w:marTop w:val="0"/>
                      <w:marBottom w:val="0"/>
                      <w:divBdr>
                        <w:top w:val="none" w:sz="0" w:space="0" w:color="auto"/>
                        <w:left w:val="none" w:sz="0" w:space="0" w:color="auto"/>
                        <w:bottom w:val="none" w:sz="0" w:space="0" w:color="auto"/>
                        <w:right w:val="none" w:sz="0" w:space="0" w:color="auto"/>
                      </w:divBdr>
                      <w:divsChild>
                        <w:div w:id="1510679400">
                          <w:marLeft w:val="0"/>
                          <w:marRight w:val="0"/>
                          <w:marTop w:val="0"/>
                          <w:marBottom w:val="0"/>
                          <w:divBdr>
                            <w:top w:val="none" w:sz="0" w:space="0" w:color="auto"/>
                            <w:left w:val="none" w:sz="0" w:space="0" w:color="auto"/>
                            <w:bottom w:val="none" w:sz="0" w:space="0" w:color="auto"/>
                            <w:right w:val="none" w:sz="0" w:space="0" w:color="auto"/>
                          </w:divBdr>
                          <w:divsChild>
                            <w:div w:id="1587688827">
                              <w:marLeft w:val="0"/>
                              <w:marRight w:val="0"/>
                              <w:marTop w:val="0"/>
                              <w:marBottom w:val="0"/>
                              <w:divBdr>
                                <w:top w:val="none" w:sz="0" w:space="0" w:color="auto"/>
                                <w:left w:val="none" w:sz="0" w:space="0" w:color="auto"/>
                                <w:bottom w:val="none" w:sz="0" w:space="0" w:color="auto"/>
                                <w:right w:val="none" w:sz="0" w:space="0" w:color="auto"/>
                              </w:divBdr>
                              <w:divsChild>
                                <w:div w:id="1686977446">
                                  <w:marLeft w:val="0"/>
                                  <w:marRight w:val="0"/>
                                  <w:marTop w:val="0"/>
                                  <w:marBottom w:val="0"/>
                                  <w:divBdr>
                                    <w:top w:val="none" w:sz="0" w:space="0" w:color="auto"/>
                                    <w:left w:val="none" w:sz="0" w:space="0" w:color="auto"/>
                                    <w:bottom w:val="none" w:sz="0" w:space="0" w:color="auto"/>
                                    <w:right w:val="none" w:sz="0" w:space="0" w:color="auto"/>
                                  </w:divBdr>
                                  <w:divsChild>
                                    <w:div w:id="3432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4927538">
      <w:bodyDiv w:val="1"/>
      <w:marLeft w:val="0"/>
      <w:marRight w:val="0"/>
      <w:marTop w:val="0"/>
      <w:marBottom w:val="0"/>
      <w:divBdr>
        <w:top w:val="none" w:sz="0" w:space="0" w:color="auto"/>
        <w:left w:val="none" w:sz="0" w:space="0" w:color="auto"/>
        <w:bottom w:val="none" w:sz="0" w:space="0" w:color="auto"/>
        <w:right w:val="none" w:sz="0" w:space="0" w:color="auto"/>
      </w:divBdr>
      <w:divsChild>
        <w:div w:id="1118986929">
          <w:marLeft w:val="0"/>
          <w:marRight w:val="0"/>
          <w:marTop w:val="0"/>
          <w:marBottom w:val="0"/>
          <w:divBdr>
            <w:top w:val="none" w:sz="0" w:space="0" w:color="auto"/>
            <w:left w:val="none" w:sz="0" w:space="0" w:color="auto"/>
            <w:bottom w:val="none" w:sz="0" w:space="0" w:color="auto"/>
            <w:right w:val="none" w:sz="0" w:space="0" w:color="auto"/>
          </w:divBdr>
        </w:div>
        <w:div w:id="1123503915">
          <w:marLeft w:val="0"/>
          <w:marRight w:val="0"/>
          <w:marTop w:val="0"/>
          <w:marBottom w:val="0"/>
          <w:divBdr>
            <w:top w:val="none" w:sz="0" w:space="0" w:color="auto"/>
            <w:left w:val="none" w:sz="0" w:space="0" w:color="auto"/>
            <w:bottom w:val="none" w:sz="0" w:space="0" w:color="auto"/>
            <w:right w:val="none" w:sz="0" w:space="0" w:color="auto"/>
          </w:divBdr>
        </w:div>
        <w:div w:id="956327994">
          <w:marLeft w:val="0"/>
          <w:marRight w:val="0"/>
          <w:marTop w:val="0"/>
          <w:marBottom w:val="0"/>
          <w:divBdr>
            <w:top w:val="none" w:sz="0" w:space="0" w:color="auto"/>
            <w:left w:val="none" w:sz="0" w:space="0" w:color="auto"/>
            <w:bottom w:val="none" w:sz="0" w:space="0" w:color="auto"/>
            <w:right w:val="none" w:sz="0" w:space="0" w:color="auto"/>
          </w:divBdr>
        </w:div>
        <w:div w:id="273296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21</Pages>
  <Words>10048</Words>
  <Characters>57280</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PC New 16</cp:lastModifiedBy>
  <cp:revision>14</cp:revision>
  <dcterms:created xsi:type="dcterms:W3CDTF">2026-06-20T17:24:00Z</dcterms:created>
  <dcterms:modified xsi:type="dcterms:W3CDTF">2026-06-26T04:35:00Z</dcterms:modified>
</cp:coreProperties>
</file>