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1CFF" w14:textId="77777777" w:rsidR="00BB1673" w:rsidRPr="00BB1673" w:rsidRDefault="00BB1673" w:rsidP="00BB167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0" w:name="_GoBack"/>
      <w:bookmarkEnd w:id="0"/>
      <w:r w:rsidRPr="00BB1673">
        <w:rPr>
          <w:rFonts w:ascii="Times New Roman" w:eastAsia="Times New Roman" w:hAnsi="Times New Roman" w:cs="Times New Roman"/>
          <w:b/>
          <w:bCs/>
          <w:sz w:val="36"/>
          <w:szCs w:val="36"/>
          <w:lang w:eastAsia="en-GB"/>
        </w:rPr>
        <w:t xml:space="preserve">Exploring the Role of Probiotics Inhabiting the </w:t>
      </w:r>
      <w:r w:rsidRPr="00BB1673">
        <w:rPr>
          <w:rFonts w:ascii="Times New Roman" w:eastAsia="Times New Roman" w:hAnsi="Times New Roman" w:cs="Times New Roman"/>
          <w:b/>
          <w:bCs/>
          <w:i/>
          <w:iCs/>
          <w:sz w:val="36"/>
          <w:szCs w:val="36"/>
          <w:lang w:eastAsia="en-GB"/>
        </w:rPr>
        <w:t>Apis mellifera</w:t>
      </w:r>
      <w:r w:rsidRPr="00BB1673">
        <w:rPr>
          <w:rFonts w:ascii="Times New Roman" w:eastAsia="Times New Roman" w:hAnsi="Times New Roman" w:cs="Times New Roman"/>
          <w:b/>
          <w:bCs/>
          <w:sz w:val="36"/>
          <w:szCs w:val="36"/>
          <w:lang w:eastAsia="en-GB"/>
        </w:rPr>
        <w:t xml:space="preserve"> Gut as Inherent Antibiotics and a Boon for Human Welfare</w:t>
      </w:r>
    </w:p>
    <w:p w14:paraId="6EA12253"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Abstract</w:t>
      </w:r>
    </w:p>
    <w:p w14:paraId="36AEB321"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of 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harbours a compact and highly conserved bacterial community that performs functions extending well beyond digestion. Core symbionts such as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clusters, and </w:t>
      </w:r>
      <w:proofErr w:type="spellStart"/>
      <w:r w:rsidRPr="00BB1673">
        <w:rPr>
          <w:rFonts w:ascii="Times New Roman" w:eastAsia="Times New Roman" w:hAnsi="Times New Roman" w:cs="Times New Roman"/>
          <w:i/>
          <w:iCs/>
          <w:sz w:val="24"/>
          <w:szCs w:val="24"/>
          <w:lang w:eastAsia="en-GB"/>
        </w:rPr>
        <w:t>Bifidobacterium</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produce organic acids, bacteriocins, exopolysaccharides and other metabolites that suppress bee pathogens and stimulate host antimicrobial peptide expression. These properties place the bee gut microbiota within a broader category of naturally occurring antimicrobial systems, and they have prompted growing interest in whether such organisms, or the hive products they help create, might offer practical value for human health in an era of accelerating antimicrobial resistance. This review draws together evidence on the composition and antimicrobial functioning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the mechanisms by which resident lactic acid bacteria and associated taxa restrict honeybee pathogens, and the translational evidence linking honeybee-derived bacteria, honey, propolis and bee bread to inhibition of clinically relevant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Particular attention is given to candidate probiotic strains such as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honey-associated lactic acid bacteria that have shown gastrointestinal stress tolerance and antagonism toward wound pathogens in preliminary human-relevant assays. Environmental stressors, notably agrochemical exposure and veterinary antibiotic use in apiculture, are examined as drivers of gut dysbiosis that compromise these protective functions and that may themselves contribute to the spread of resistance determinants. The review closes by outlining research priorities, including standardised strain characterisation, controlled human and preclinical trials, and regulatory pathways, that would be required before honeybee gut-derived probiotics could be considered a genuine adjunct or alternative to conventional antimicrobials.</w:t>
      </w:r>
    </w:p>
    <w:p w14:paraId="671ABEE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Keywords: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gut microbiota; probiotics; lactic acid bacteria; antimicrobial resistance; apitherapy</w:t>
      </w:r>
    </w:p>
    <w:p w14:paraId="081A4318"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 Introduction</w:t>
      </w:r>
    </w:p>
    <w:p w14:paraId="728C9268"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1.1 The Honeybee as an Ecological and Economic Keystone</w:t>
      </w:r>
    </w:p>
    <w:p w14:paraId="15D9A3C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occupies a position in global agriculture and natural ecosystems that is disproportionate to its individual size. As a generalist pollinator, it supports the reproduction of a substantial share of flowering plant species and contributes materially to the yield of numerous food crops (Nowak et al., 2021). Beyond pollination, honeybee colonies generate a suite of hive products, including honey, propolis, bee bread and royal jelly, that have been used across cultures for centuries in both nutrition and traditional medicine. The sustained health of managed and wild colonies is therefore a matter of agricultural, economic and public-health relevance, and this has directed sustained scientific attention toward the biological systems that keep individual bees and their colonies functioning, chief among them the gut microbiota.</w:t>
      </w:r>
    </w:p>
    <w:p w14:paraId="596DF1C6"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lastRenderedPageBreak/>
        <w:t>1.2 A Simple but Functionally Rich Gut Microbiota</w:t>
      </w:r>
    </w:p>
    <w:p w14:paraId="69E10DE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Unlike the compositionally complex gut communities of mammals, the adult worker honeybee gut is colonised by a comparatively small and highly conserved set of bacterial lineages, generally described as nine core phylotypes that together occupy more than ninety per cent of the bacterial biomass in a healthy gut (Kwong &amp; Moran, 2016). This simplicity, combined with the </w:t>
      </w:r>
      <w:proofErr w:type="spellStart"/>
      <w:r w:rsidRPr="00BB1673">
        <w:rPr>
          <w:rFonts w:ascii="Times New Roman" w:eastAsia="Times New Roman" w:hAnsi="Times New Roman" w:cs="Times New Roman"/>
          <w:sz w:val="24"/>
          <w:szCs w:val="24"/>
          <w:lang w:eastAsia="en-GB"/>
        </w:rPr>
        <w:t>culturability</w:t>
      </w:r>
      <w:proofErr w:type="spellEnd"/>
      <w:r w:rsidRPr="00BB1673">
        <w:rPr>
          <w:rFonts w:ascii="Times New Roman" w:eastAsia="Times New Roman" w:hAnsi="Times New Roman" w:cs="Times New Roman"/>
          <w:sz w:val="24"/>
          <w:szCs w:val="24"/>
          <w:lang w:eastAsia="en-GB"/>
        </w:rPr>
        <w:t xml:space="preserve"> of nearly all core members and the availability of gnotobiotic bee models, has made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an increasingly used comparative system for studying host–microbiota interactions more generally (Motta &amp; Moran, 2024). Despite their taxonomic austerity, these bacteria perform an outsized functional role: they assist in carbohydrate and pollen-wall digestion, contribute to detoxification of dietary xenobiotics, and, most relevant to the present review, produce a range of antimicrobial metabolites and stimulate the bee's own innate immune defences (Engel et al., 2012; Kwong et al., 2017).</w:t>
      </w:r>
    </w:p>
    <w:p w14:paraId="79DF09A4"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1.3 Antimicrobial Potential and the Wider Public-Health Context</w:t>
      </w:r>
    </w:p>
    <w:p w14:paraId="7C81D7A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recognition that lactic acid bacteria (LAB) and associated symbionts within the bee gut can inhibit economically damaging bee pathogens such as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has, over roughly the past decade, been extended by a smaller but growing body of work testing whether the same organisms, or the fermented hive products they help generate, retain antagonistic activity against pathogens of direct concern to human medicine (Olofsson et al., 2016; Butler et al., 2016). This question arrives at a moment of considerable urgency. Bacterial antimicrobial resistance was associated with close to five million deaths globally in 2019, and current forecasts place it among the leading contributors to global mortality through the middle of the century (Antimicrobial Resistance Collaborators, 2022; GBD 2021 Antimicrobial Resistance Collaborators, 2024). Against this backdrop, naturally derived antimicrobial systems, including those associated with social insects, have attracted renewed scientific interest as potential sources of novel bioactive compounds or as candidate probiotic organisms in their own right.</w:t>
      </w:r>
    </w:p>
    <w:p w14:paraId="1C3B244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1.4 Scope, Research Gap and Objectives</w:t>
      </w:r>
    </w:p>
    <w:p w14:paraId="23EB359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review addresses the honeybee gut microbiota specifically as a source of inherent antimicrobial activity, and it evaluates the evidence connecting that activity to potential human welfare applications. Several existing reviews have described the taxonomic composition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in detail, and others have separately reviewed the apitherapeutic properties of honey and propolis; comparatively few have brought these two literatures together to ask, in a single synthesis, how the mechanistic antimicrobial biology of bee gut symbionts relates to the translational evidence for human-relevant probiotic or antimicrobial use. This represents a discernible gap, particularly because the strongest mechanistic data on antimicrobial peptide induction and pathogen exclusion come from the bee-health literature, whereas the strongest translational signals for human application come from a comparatively small and geographically concentrated set of wound-pathogen and food-science studies. The objectives of this review are threefold: first, to characterise the composition and antimicrobial mechanisms of the core and accessory members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second, to evaluate the evidence linking honeybee-derived bacteria and hive products to inhibition of pathogens relevant to human health, including the specific strains and products for which translational data exist; and third, to identify the environmental stressors and methodological gaps that currently limit confident </w:t>
      </w:r>
      <w:r w:rsidRPr="00BB1673">
        <w:rPr>
          <w:rFonts w:ascii="Times New Roman" w:eastAsia="Times New Roman" w:hAnsi="Times New Roman" w:cs="Times New Roman"/>
          <w:sz w:val="24"/>
          <w:szCs w:val="24"/>
          <w:lang w:eastAsia="en-GB"/>
        </w:rPr>
        <w:lastRenderedPageBreak/>
        <w:t>extrapolation from bee-health findings to human applications, thereby framing priorities for future research.</w:t>
      </w:r>
    </w:p>
    <w:p w14:paraId="1174E457"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2. Methods for Literature Selection</w:t>
      </w:r>
    </w:p>
    <w:p w14:paraId="4C688D56"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2.1 Databases and Search Strategy</w:t>
      </w:r>
    </w:p>
    <w:p w14:paraId="6202EAC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Literature was identified through structured searches of four general bibliographic databases, Web of Science, Scopus, Google Scholar and PubMed, supplemented by six field-specific indexing databases selected for their coverage of apicultural science, microbiology and agricultural literature: CAB Abstracts, BIOSIS Previews, Apicultural Abstracts (International Bee Research Association), AGRICOLA (United States National Agricultural Library), AGRIS (Food and Agriculture Organization of the United Nations International System for Agricultural Science and Technology), and Entomology Abstracts. These databases were selected jointly to capture both the microbiological and the entomological dimensions of the topic, since neither general biomedical databases nor general life-science databases alone provide adequate coverage of the apicultural literature.</w:t>
      </w:r>
    </w:p>
    <w:p w14:paraId="24F548D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2.2 Search Strings and Date Range</w:t>
      </w:r>
    </w:p>
    <w:p w14:paraId="70F7CED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Search strings combined controlled vocabulary and free-text terms across three conceptual blocks connected with the Boolean operator AND, with terms within each block connected by OR: (</w:t>
      </w:r>
      <w:proofErr w:type="spellStart"/>
      <w:r w:rsidRPr="00BB1673">
        <w:rPr>
          <w:rFonts w:ascii="Times New Roman" w:eastAsia="Times New Roman" w:hAnsi="Times New Roman" w:cs="Times New Roman"/>
          <w:sz w:val="24"/>
          <w:szCs w:val="24"/>
          <w:lang w:eastAsia="en-GB"/>
        </w:rPr>
        <w:t>i</w:t>
      </w:r>
      <w:proofErr w:type="spellEnd"/>
      <w:r w:rsidRPr="00BB1673">
        <w:rPr>
          <w:rFonts w:ascii="Times New Roman" w:eastAsia="Times New Roman" w:hAnsi="Times New Roman" w:cs="Times New Roman"/>
          <w:sz w:val="24"/>
          <w:szCs w:val="24"/>
          <w:lang w:eastAsia="en-GB"/>
        </w:rPr>
        <w:t>) organism terms ("</w:t>
      </w:r>
      <w:proofErr w:type="spellStart"/>
      <w:r w:rsidRPr="00BB1673">
        <w:rPr>
          <w:rFonts w:ascii="Times New Roman" w:eastAsia="Times New Roman" w:hAnsi="Times New Roman" w:cs="Times New Roman"/>
          <w:i/>
          <w:iCs/>
          <w:sz w:val="24"/>
          <w:szCs w:val="24"/>
          <w:lang w:eastAsia="en-GB"/>
        </w:rPr>
        <w:t>Apis</w:t>
      </w:r>
      <w:proofErr w:type="spellEnd"/>
      <w:r w:rsidRPr="00BB1673">
        <w:rPr>
          <w:rFonts w:ascii="Times New Roman" w:eastAsia="Times New Roman" w:hAnsi="Times New Roman" w:cs="Times New Roman"/>
          <w:i/>
          <w:iCs/>
          <w:sz w:val="24"/>
          <w:szCs w:val="24"/>
          <w:lang w:eastAsia="en-GB"/>
        </w:rPr>
        <w:t xml:space="preserve"> mellifera</w:t>
      </w:r>
      <w:r w:rsidRPr="00BB1673">
        <w:rPr>
          <w:rFonts w:ascii="Times New Roman" w:eastAsia="Times New Roman" w:hAnsi="Times New Roman" w:cs="Times New Roman"/>
          <w:sz w:val="24"/>
          <w:szCs w:val="24"/>
          <w:lang w:eastAsia="en-GB"/>
        </w:rPr>
        <w:t>" OR "honey bee" OR "honeybee"); (ii) microbiota terms ("gut microbiota" OR "gut microbiome" OR "gut symbiont*" OR "lactic acid bacteria" OR probiotic*); and (iii) function terms (antimicrobial OR antibacterial OR "antimicrobial peptide*" OR bacteriocin* OR "antimicrobial resistance" OR apitherapy). A parallel search combined block (ii) with human-health terms ("human health" OR "wound pathogen*" OR "probiotic potential" OR "food-borne pathogen*") to capture the translational literature specifically. The principal search window covered January 2015 to 8 April 2026, chosen because this period captures the substantial expansion of culture-independent and gnotobiotic approaches to the bee gut microbiota that followed the establishment of the core-phylotype framework. A smaller set of methodologically foundational or highly cited studies published before 2015 was retained where these works remain the primary reference point for taxonomic, mechanistic or methodological claims still in active use.</w:t>
      </w:r>
    </w:p>
    <w:p w14:paraId="6DC82364"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2.3 Inclusion and Exclusion Criteria</w:t>
      </w:r>
    </w:p>
    <w:p w14:paraId="3202A033"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Studies were included if they were published in English in a peer-reviewed journal, reported primary data or synthesised evidence on the gut microbiota of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(or, for comparative purposes, closely related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and addressed at least one of the following: microbiota composition, antimicrobial mechanisms, pathogen inhibition, environmental or agrochemical disruption of the microbiota, or the antimicrobial or probiotic properties of honeybee-derived organisms or hive products in relation to human-relevant pathogens. Authoritative institutional reports from bodies such as the World Health Organization, the Food and Agriculture Organization and comparable agencies were eligible where no peer-reviewed equivalent existed and a verifiable uniform resource locator could be confirmed. Grey literature, non-peer-reviewed preprints, conference abstracts without accompanying full-text publication, patents, trade publications and studies without a traceable digital object identifier were excluded, as were non-English publications for which no validated translation was available.</w:t>
      </w:r>
    </w:p>
    <w:p w14:paraId="29C89B8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lastRenderedPageBreak/>
        <w:t>2.4 Screening Workflow and Study Selection</w:t>
      </w:r>
    </w:p>
    <w:p w14:paraId="100312B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Records retrieved from each database were consolidated and screened at the title and abstract level for topical relevance, with duplicate records identified through reference-manager deduplication and removed prior to full-text review. Full texts of apparently relevant records were then assessed against the inclusion and exclusion criteria described above. Where multiple studies addressed a closely related question, priority for inclusion and discussion was given to studies with larger sample sizes, more rigorous experimental controls (for example, gnotobiotic or germ-free bee models where mechanistic claims were made), or greater methodological influence on the subsequent literature, as judged by citation pattern and by explicit reliance on the study in later reviews. Reference lists of eligible articles and of major prior reviews were hand-searched to identify additional studies not captured by the electronic search, a supplementary strategy consistent with recommended practice for narrative synthesis (Green et al., 2006).</w:t>
      </w:r>
    </w:p>
    <w:p w14:paraId="60F292D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2.5 Rationale for a Narrative Review Approach</w:t>
      </w:r>
    </w:p>
    <w:p w14:paraId="54F7DBB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 narrative rather than a systematic review approach was adopted because the objective of this article is to integrate mechanistic microbiological evidence from the apicultural literature with translational evidence from the human-health and food-science literatures, a synthesis that spans heterogeneous study designs, outcome measures and disciplinary conventions poorly suited to the pooled quantitative synthesis that characterises systematic review and meta-analysis. Narrative review methodology remains appropriate for this purpose provided that the search strategy, source selection and screening procedure are made explicit and reproducible, a principle followed throughout the present methods section (Green et al., 2006).</w:t>
      </w:r>
    </w:p>
    <w:p w14:paraId="43B5736B"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 xml:space="preserve">3. Composition and Architecture of the </w:t>
      </w:r>
      <w:r w:rsidRPr="00BB1673">
        <w:rPr>
          <w:rFonts w:ascii="Times New Roman" w:eastAsia="Times New Roman" w:hAnsi="Times New Roman" w:cs="Times New Roman"/>
          <w:b/>
          <w:bCs/>
          <w:i/>
          <w:iCs/>
          <w:sz w:val="27"/>
          <w:szCs w:val="27"/>
          <w:lang w:eastAsia="en-GB"/>
        </w:rPr>
        <w:t>Apis mellifera</w:t>
      </w:r>
      <w:r w:rsidRPr="00BB1673">
        <w:rPr>
          <w:rFonts w:ascii="Times New Roman" w:eastAsia="Times New Roman" w:hAnsi="Times New Roman" w:cs="Times New Roman"/>
          <w:b/>
          <w:bCs/>
          <w:sz w:val="27"/>
          <w:szCs w:val="27"/>
          <w:lang w:eastAsia="en-GB"/>
        </w:rPr>
        <w:t xml:space="preserve"> Gut Microbiota</w:t>
      </w:r>
    </w:p>
    <w:p w14:paraId="2319AB9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adult worker honeybee gut is anatomically divided into the crop, midgut and hindgut, the latter comprising the ileum and rectum, and bacterial colonisation is markedly regionalised within this structure. Two Gram-negative species,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dominate the ileum, where </w:t>
      </w:r>
      <w:r w:rsidRPr="00BB1673">
        <w:rPr>
          <w:rFonts w:ascii="Times New Roman" w:eastAsia="Times New Roman" w:hAnsi="Times New Roman" w:cs="Times New Roman"/>
          <w:i/>
          <w:iCs/>
          <w:sz w:val="24"/>
          <w:szCs w:val="24"/>
          <w:lang w:eastAsia="en-GB"/>
        </w:rPr>
        <w:t xml:space="preserve">S.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biofilm directly against the gut epithelium while </w:t>
      </w:r>
      <w:r w:rsidRPr="00BB1673">
        <w:rPr>
          <w:rFonts w:ascii="Times New Roman" w:eastAsia="Times New Roman" w:hAnsi="Times New Roman" w:cs="Times New Roman"/>
          <w:i/>
          <w:iCs/>
          <w:sz w:val="24"/>
          <w:szCs w:val="24"/>
          <w:lang w:eastAsia="en-GB"/>
        </w:rPr>
        <w:t xml:space="preserve">G.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occupies the more central lumen (Kwong &amp; Moran, 2016). The rectum, by contrast, is dominated by Gram-positive Firmicutes, principally the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 together with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(formerly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Firm-4), alongside </w:t>
      </w:r>
      <w:proofErr w:type="spellStart"/>
      <w:r w:rsidRPr="00BB1673">
        <w:rPr>
          <w:rFonts w:ascii="Times New Roman" w:eastAsia="Times New Roman" w:hAnsi="Times New Roman" w:cs="Times New Roman"/>
          <w:i/>
          <w:iCs/>
          <w:sz w:val="24"/>
          <w:szCs w:val="24"/>
          <w:lang w:eastAsia="en-GB"/>
        </w:rPr>
        <w:t>Bifidobacterium</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of the phylum Actinobacteria (Engel et al., 2012). Metagenomic and deep-sequencing surveys conducted across geographically diverse bee populations have repeatedly recovered this same set of core taxa, indicating a high degree of evolutionary conservation despite substantial environmental variation (Moran et al., 2012; Corby-Harris et al., 2014).</w:t>
      </w:r>
    </w:p>
    <w:p w14:paraId="2AD8598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Colonisation of the newly emerged worker gut proceeds rapidly and in a broadly predictable sequence.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establish within the first day after emergence, while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become dominant slightly later, typically by the third day, following social contact with older nestmates and exposure to hive-stored food (Dong et al., 2020; Nowak et al., 2021). This transmission route, dependent on trophallaxis and contact with faecal material within the hive, parallels the socially mediated transmission observed in other group-living animals and is thought to underlie the strong host specificity documented for several core taxa, including divergent, host-restricted </w:t>
      </w:r>
      <w:r w:rsidRPr="00BB1673">
        <w:rPr>
          <w:rFonts w:ascii="Times New Roman" w:eastAsia="Times New Roman" w:hAnsi="Times New Roman" w:cs="Times New Roman"/>
          <w:sz w:val="24"/>
          <w:szCs w:val="24"/>
          <w:lang w:eastAsia="en-GB"/>
        </w:rPr>
        <w:lastRenderedPageBreak/>
        <w:t xml:space="preserve">lineages of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recovered from honeybees as opposed to bumblebees (Kwong et al., 2014).</w:t>
      </w:r>
    </w:p>
    <w:p w14:paraId="48F0820A"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the numerically dominant core, a set of less consistently detected but functionally significant taxa </w:t>
      </w:r>
      <w:proofErr w:type="gramStart"/>
      <w:r w:rsidRPr="00BB1673">
        <w:rPr>
          <w:rFonts w:ascii="Times New Roman" w:eastAsia="Times New Roman" w:hAnsi="Times New Roman" w:cs="Times New Roman"/>
          <w:sz w:val="24"/>
          <w:szCs w:val="24"/>
          <w:lang w:eastAsia="en-GB"/>
        </w:rPr>
        <w:t>contributes</w:t>
      </w:r>
      <w:proofErr w:type="gramEnd"/>
      <w:r w:rsidRPr="00BB1673">
        <w:rPr>
          <w:rFonts w:ascii="Times New Roman" w:eastAsia="Times New Roman" w:hAnsi="Times New Roman" w:cs="Times New Roman"/>
          <w:sz w:val="24"/>
          <w:szCs w:val="24"/>
          <w:lang w:eastAsia="en-GB"/>
        </w:rPr>
        <w:t xml:space="preserve"> further to the antimicrobial landscape of the gut.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colonises the pylorus and induces a distinctive melanised "scab" response in the gut epithelium, a phenomenon associated with localised immune activation (Kwong &amp; Moran, 2016). </w:t>
      </w: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r w:rsidRPr="00BB1673">
        <w:rPr>
          <w:rFonts w:ascii="Times New Roman" w:eastAsia="Times New Roman" w:hAnsi="Times New Roman" w:cs="Times New Roman"/>
          <w:sz w:val="24"/>
          <w:szCs w:val="24"/>
          <w:lang w:eastAsia="en-GB"/>
        </w:rPr>
        <w:t xml:space="preserve"> and related </w:t>
      </w:r>
      <w:proofErr w:type="spellStart"/>
      <w:r w:rsidRPr="00BB1673">
        <w:rPr>
          <w:rFonts w:ascii="Times New Roman" w:eastAsia="Times New Roman" w:hAnsi="Times New Roman" w:cs="Times New Roman"/>
          <w:sz w:val="24"/>
          <w:szCs w:val="24"/>
          <w:lang w:eastAsia="en-GB"/>
        </w:rPr>
        <w:t>Acetobacteraceae</w:t>
      </w:r>
      <w:proofErr w:type="spellEnd"/>
      <w:r w:rsidRPr="00BB1673">
        <w:rPr>
          <w:rFonts w:ascii="Times New Roman" w:eastAsia="Times New Roman" w:hAnsi="Times New Roman" w:cs="Times New Roman"/>
          <w:sz w:val="24"/>
          <w:szCs w:val="24"/>
          <w:lang w:eastAsia="en-GB"/>
        </w:rPr>
        <w:t xml:space="preserve">, sometimes referred to under the earlier name </w:t>
      </w:r>
      <w:proofErr w:type="spellStart"/>
      <w:r w:rsidRPr="00BB1673">
        <w:rPr>
          <w:rFonts w:ascii="Times New Roman" w:eastAsia="Times New Roman" w:hAnsi="Times New Roman" w:cs="Times New Roman"/>
          <w:i/>
          <w:iCs/>
          <w:sz w:val="24"/>
          <w:szCs w:val="24"/>
          <w:lang w:eastAsia="en-GB"/>
        </w:rPr>
        <w:t>Parasaccharibacter</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apium</w:t>
      </w:r>
      <w:proofErr w:type="spellEnd"/>
      <w:r w:rsidRPr="00BB1673">
        <w:rPr>
          <w:rFonts w:ascii="Times New Roman" w:eastAsia="Times New Roman" w:hAnsi="Times New Roman" w:cs="Times New Roman"/>
          <w:sz w:val="24"/>
          <w:szCs w:val="24"/>
          <w:lang w:eastAsia="en-GB"/>
        </w:rPr>
        <w:t xml:space="preserve">, are recovered preferentially from the hypopharyngeal glands, royal jelly and larval food, where they appear to protect developing larvae from fungal and bacterial invasion (Motta &amp; Moran, 2024).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is characteristically abundant in the crop, in fresh nectar and honey, and in bee bread, where it contributes to the low pH environment that limits spoilage organisms (Vásquez et al., 2012). The functional roles, gut localisation and principal supporting evidence for these taxa are summarised in Table 1.</w:t>
      </w:r>
    </w:p>
    <w:p w14:paraId="4DB99139"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 xml:space="preserve">Table 1. Core and Notable Non-Core Bacterial Taxa of the </w:t>
      </w:r>
      <w:r w:rsidRPr="00BB1673">
        <w:rPr>
          <w:rFonts w:ascii="Times New Roman" w:eastAsia="Times New Roman" w:hAnsi="Times New Roman" w:cs="Times New Roman"/>
          <w:b/>
          <w:bCs/>
          <w:i/>
          <w:iCs/>
          <w:sz w:val="24"/>
          <w:szCs w:val="24"/>
          <w:lang w:eastAsia="en-GB"/>
        </w:rPr>
        <w:t>Apis mellifera</w:t>
      </w:r>
      <w:r w:rsidRPr="00BB1673">
        <w:rPr>
          <w:rFonts w:ascii="Times New Roman" w:eastAsia="Times New Roman" w:hAnsi="Times New Roman" w:cs="Times New Roman"/>
          <w:b/>
          <w:bCs/>
          <w:sz w:val="24"/>
          <w:szCs w:val="24"/>
          <w:lang w:eastAsia="en-GB"/>
        </w:rPr>
        <w:t xml:space="preserve"> Gut</w:t>
      </w:r>
    </w:p>
    <w:tbl>
      <w:tblPr>
        <w:tblStyle w:val="TableGridLight"/>
        <w:tblW w:w="0" w:type="auto"/>
        <w:tblLook w:val="04A0" w:firstRow="1" w:lastRow="0" w:firstColumn="1" w:lastColumn="0" w:noHBand="0" w:noVBand="1"/>
      </w:tblPr>
      <w:tblGrid>
        <w:gridCol w:w="2084"/>
        <w:gridCol w:w="2509"/>
        <w:gridCol w:w="1816"/>
        <w:gridCol w:w="1657"/>
        <w:gridCol w:w="1176"/>
      </w:tblGrid>
      <w:tr w:rsidR="00BB1673" w:rsidRPr="00BB1673" w14:paraId="28333A6E" w14:textId="77777777" w:rsidTr="00BB1673">
        <w:tc>
          <w:tcPr>
            <w:tcW w:w="0" w:type="auto"/>
            <w:hideMark/>
          </w:tcPr>
          <w:p w14:paraId="63051E82"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Taxon</w:t>
            </w:r>
          </w:p>
        </w:tc>
        <w:tc>
          <w:tcPr>
            <w:tcW w:w="0" w:type="auto"/>
            <w:hideMark/>
          </w:tcPr>
          <w:p w14:paraId="56704328"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Phylum/Class</w:t>
            </w:r>
          </w:p>
        </w:tc>
        <w:tc>
          <w:tcPr>
            <w:tcW w:w="0" w:type="auto"/>
            <w:hideMark/>
          </w:tcPr>
          <w:p w14:paraId="2BCD3EE2"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Gut Region</w:t>
            </w:r>
          </w:p>
        </w:tc>
        <w:tc>
          <w:tcPr>
            <w:tcW w:w="0" w:type="auto"/>
            <w:hideMark/>
          </w:tcPr>
          <w:p w14:paraId="7BF2266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Antimicrobial or Protective Function</w:t>
            </w:r>
          </w:p>
        </w:tc>
        <w:tc>
          <w:tcPr>
            <w:tcW w:w="0" w:type="auto"/>
            <w:hideMark/>
          </w:tcPr>
          <w:p w14:paraId="13B880D5"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1B811459" w14:textId="77777777" w:rsidTr="00BB1673">
        <w:tc>
          <w:tcPr>
            <w:tcW w:w="0" w:type="auto"/>
            <w:hideMark/>
          </w:tcPr>
          <w:p w14:paraId="505559A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p>
        </w:tc>
        <w:tc>
          <w:tcPr>
            <w:tcW w:w="0" w:type="auto"/>
            <w:hideMark/>
          </w:tcPr>
          <w:p w14:paraId="755CAD9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(Betaproteobacteria)</w:t>
            </w:r>
          </w:p>
        </w:tc>
        <w:tc>
          <w:tcPr>
            <w:tcW w:w="0" w:type="auto"/>
            <w:hideMark/>
          </w:tcPr>
          <w:p w14:paraId="7F7C387E"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5B90344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Epithelial biofilm formation; oxidation of carboxylic acids; induces host antimicrobial peptide expression</w:t>
            </w:r>
          </w:p>
        </w:tc>
        <w:tc>
          <w:tcPr>
            <w:tcW w:w="0" w:type="auto"/>
            <w:hideMark/>
          </w:tcPr>
          <w:p w14:paraId="4632876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Kwong et al., 2017</w:t>
            </w:r>
          </w:p>
        </w:tc>
      </w:tr>
      <w:tr w:rsidR="00BB1673" w:rsidRPr="00BB1673" w14:paraId="32155EAE" w14:textId="77777777" w:rsidTr="00BB1673">
        <w:tc>
          <w:tcPr>
            <w:tcW w:w="0" w:type="auto"/>
            <w:hideMark/>
          </w:tcPr>
          <w:p w14:paraId="41F647F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203399F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76A633E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612308D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Ferments and detoxifies dietary sugars; niche exclusion of opportunists</w:t>
            </w:r>
          </w:p>
        </w:tc>
        <w:tc>
          <w:tcPr>
            <w:tcW w:w="0" w:type="auto"/>
            <w:hideMark/>
          </w:tcPr>
          <w:p w14:paraId="18167F1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Zheng et al., 2016</w:t>
            </w:r>
          </w:p>
        </w:tc>
      </w:tr>
      <w:tr w:rsidR="00BB1673" w:rsidRPr="00BB1673" w14:paraId="37D1DC21" w14:textId="77777777" w:rsidTr="00BB1673">
        <w:tc>
          <w:tcPr>
            <w:tcW w:w="0" w:type="auto"/>
            <w:hideMark/>
          </w:tcPr>
          <w:p w14:paraId="78DE193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(Firm-4)</w:t>
            </w:r>
          </w:p>
        </w:tc>
        <w:tc>
          <w:tcPr>
            <w:tcW w:w="0" w:type="auto"/>
            <w:hideMark/>
          </w:tcPr>
          <w:p w14:paraId="7B7960C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7A83061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0F8E738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and bacteriocin-like metabolite production; immune stimulation</w:t>
            </w:r>
          </w:p>
        </w:tc>
        <w:tc>
          <w:tcPr>
            <w:tcW w:w="0" w:type="auto"/>
            <w:hideMark/>
          </w:tcPr>
          <w:p w14:paraId="66F3F38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Engel et al., 2012; Kwong et al., 2017</w:t>
            </w:r>
          </w:p>
        </w:tc>
      </w:tr>
      <w:tr w:rsidR="00BB1673" w:rsidRPr="00BB1673" w14:paraId="0F8243DC" w14:textId="77777777" w:rsidTr="00BB1673">
        <w:tc>
          <w:tcPr>
            <w:tcW w:w="0" w:type="auto"/>
            <w:hideMark/>
          </w:tcPr>
          <w:p w14:paraId="08F6BB4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Bifidobacterium</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asteroides</w:t>
            </w:r>
            <w:proofErr w:type="spellEnd"/>
          </w:p>
        </w:tc>
        <w:tc>
          <w:tcPr>
            <w:tcW w:w="0" w:type="auto"/>
            <w:hideMark/>
          </w:tcPr>
          <w:p w14:paraId="7C7B4BB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Actinobacteria</w:t>
            </w:r>
          </w:p>
        </w:tc>
        <w:tc>
          <w:tcPr>
            <w:tcW w:w="0" w:type="auto"/>
            <w:hideMark/>
          </w:tcPr>
          <w:p w14:paraId="21156D4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4E0EDC2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Short-chain fatty acid production; pollen-wall polysaccharide </w:t>
            </w:r>
            <w:r w:rsidRPr="00BB1673">
              <w:rPr>
                <w:rFonts w:ascii="Times New Roman" w:eastAsia="Times New Roman" w:hAnsi="Times New Roman" w:cs="Times New Roman"/>
                <w:sz w:val="24"/>
                <w:szCs w:val="24"/>
                <w:lang w:eastAsia="en-GB"/>
              </w:rPr>
              <w:lastRenderedPageBreak/>
              <w:t>breakdown</w:t>
            </w:r>
          </w:p>
        </w:tc>
        <w:tc>
          <w:tcPr>
            <w:tcW w:w="0" w:type="auto"/>
            <w:hideMark/>
          </w:tcPr>
          <w:p w14:paraId="2B20419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Engel et al., 2012; Nowak et al., 2021</w:t>
            </w:r>
          </w:p>
        </w:tc>
      </w:tr>
      <w:tr w:rsidR="00BB1673" w:rsidRPr="00BB1673" w14:paraId="40E2C354" w14:textId="77777777" w:rsidTr="00BB1673">
        <w:tc>
          <w:tcPr>
            <w:tcW w:w="0" w:type="auto"/>
            <w:hideMark/>
          </w:tcPr>
          <w:p w14:paraId="13721342"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lastRenderedPageBreak/>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1A5997A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7A1ACE5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Pylorus</w:t>
            </w:r>
          </w:p>
        </w:tc>
        <w:tc>
          <w:tcPr>
            <w:tcW w:w="0" w:type="auto"/>
            <w:hideMark/>
          </w:tcPr>
          <w:p w14:paraId="716B753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Localised epithelial immune activation; competitive niche occupation</w:t>
            </w:r>
          </w:p>
        </w:tc>
        <w:tc>
          <w:tcPr>
            <w:tcW w:w="0" w:type="auto"/>
            <w:hideMark/>
          </w:tcPr>
          <w:p w14:paraId="427C981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w:t>
            </w:r>
          </w:p>
        </w:tc>
      </w:tr>
      <w:tr w:rsidR="00BB1673" w:rsidRPr="00BB1673" w14:paraId="58CC636D" w14:textId="77777777" w:rsidTr="00BB1673">
        <w:tc>
          <w:tcPr>
            <w:tcW w:w="0" w:type="auto"/>
            <w:hideMark/>
          </w:tcPr>
          <w:p w14:paraId="566C50B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p>
        </w:tc>
        <w:tc>
          <w:tcPr>
            <w:tcW w:w="0" w:type="auto"/>
            <w:hideMark/>
          </w:tcPr>
          <w:p w14:paraId="14618F91"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Proteobacteria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Alphaproteobacteria</w:t>
            </w:r>
            <w:proofErr w:type="spellEnd"/>
            <w:r w:rsidRPr="00BB1673">
              <w:rPr>
                <w:rFonts w:ascii="Times New Roman" w:eastAsia="Times New Roman" w:hAnsi="Times New Roman" w:cs="Times New Roman"/>
                <w:sz w:val="24"/>
                <w:szCs w:val="24"/>
                <w:lang w:eastAsia="en-GB"/>
              </w:rPr>
              <w:t>)</w:t>
            </w:r>
          </w:p>
        </w:tc>
        <w:tc>
          <w:tcPr>
            <w:tcW w:w="0" w:type="auto"/>
            <w:hideMark/>
          </w:tcPr>
          <w:p w14:paraId="7DCD76A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Hypopharyngeal glands, larval food</w:t>
            </w:r>
          </w:p>
        </w:tc>
        <w:tc>
          <w:tcPr>
            <w:tcW w:w="0" w:type="auto"/>
            <w:hideMark/>
          </w:tcPr>
          <w:p w14:paraId="4E4DE1B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Antifungal and osmotolerant protection of larvae</w:t>
            </w:r>
          </w:p>
        </w:tc>
        <w:tc>
          <w:tcPr>
            <w:tcW w:w="0" w:type="auto"/>
            <w:hideMark/>
          </w:tcPr>
          <w:p w14:paraId="1CD9563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r w:rsidR="00BB1673" w:rsidRPr="00BB1673" w14:paraId="447CD616" w14:textId="77777777" w:rsidTr="00BB1673">
        <w:tc>
          <w:tcPr>
            <w:tcW w:w="0" w:type="auto"/>
            <w:hideMark/>
          </w:tcPr>
          <w:p w14:paraId="340F2D55"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454ADC7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63F878C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Crop, honey, bee bread</w:t>
            </w:r>
          </w:p>
        </w:tc>
        <w:tc>
          <w:tcPr>
            <w:tcW w:w="0" w:type="auto"/>
            <w:hideMark/>
          </w:tcPr>
          <w:p w14:paraId="4E3D4E71"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acid production; maintenance of low pH, spoilage resistance</w:t>
            </w:r>
          </w:p>
        </w:tc>
        <w:tc>
          <w:tcPr>
            <w:tcW w:w="0" w:type="auto"/>
            <w:hideMark/>
          </w:tcPr>
          <w:p w14:paraId="20F7261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Vásquez et al., 2012; </w:t>
            </w: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w:t>
            </w:r>
          </w:p>
        </w:tc>
      </w:tr>
    </w:tbl>
    <w:p w14:paraId="042DD76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As Table 1 illustrates, the antimicrobial contribution of the bee gut microbiota does not rest on a single dominant organism but rather emerges from complementary, regionally distinct activities across several taxa, ranging from direct metabolite production to physical niche occupation and host immune priming. The following sections examine these mechanisms in greater mechanistic detail.</w:t>
      </w:r>
    </w:p>
    <w:p w14:paraId="6DAD098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4. Antimicrobial Mechanisms of Gut Symbionts: Metabolites, Bacteriocins and Niche Exclusion</w:t>
      </w:r>
    </w:p>
    <w:p w14:paraId="2253064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antimicrobial character of the honeybee gut microbiota rests on several overlapping mechanisms rather than a single unifying process. The most extensively documented is acidification through organic acid production. Lactic acid bacteria native to the bee gut generate lactic, acetic and other organic acids as principal fermentation products, lowering local pH to levels that many bee and non-bee pathogens cannot tolerate; this same acidification underlies the preservative properties long observed in fermented bee bread and in fresh honey, both of which are seeded by the same LAB community present in the honey stomach (Vásquez et al., 2012; Olofsson et al., 2016). Beyond simple acidification, several bee-associated LAB strains produce hydrogen peroxide and bacteriocin-like inhibitory substances that act directly on competitor bacteria, and cell-free supernatants prepared from these strains retain antibacterial activity even after cells are removed, indicating that the active principle is a secreted, diffusible metabolite rather than a requirement for live-cell contact (Olofsson et al., 2016).</w:t>
      </w:r>
    </w:p>
    <w:p w14:paraId="6624152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second mechanism operates through competitive exclusion rather than direct metabolite toxicity. Core symbionts such as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occupy specific spatial niches within the gut and metabolise substrates, including toxic dietary sugars, in ways that limit the resources and physical space available to invading opportunists (Zheng et al., 2016; Kwong &amp; Moran, 2016). This form of colonisation resistance is analogous to </w:t>
      </w:r>
      <w:r w:rsidRPr="00BB1673">
        <w:rPr>
          <w:rFonts w:ascii="Times New Roman" w:eastAsia="Times New Roman" w:hAnsi="Times New Roman" w:cs="Times New Roman"/>
          <w:sz w:val="24"/>
          <w:szCs w:val="24"/>
          <w:lang w:eastAsia="en-GB"/>
        </w:rPr>
        <w:lastRenderedPageBreak/>
        <w:t>mechanisms described in mammalian gut ecology, where an intact resident community limits pathogen establishment largely through resource competition rather than active antagonism.</w:t>
      </w:r>
    </w:p>
    <w:p w14:paraId="114D3B3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third and mechanistically distinct route involves modulation of surface structures and biofilm architecture.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structured biofilm against the ileal epithelium, and genomic comparisons between honeybee- and bumblebee-associated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strains have identified an enrichment of genes encoding type VI secretion systems, repeat-in-toxin proteins and adhesins, structures implicated in both interbacterial competition and host-surface attachment (Kwong et al., 2014). Related exopolysaccharide-producing taxa isolated from the bee gut have independently demonstrated antimicrobial and antibiofilm activity against non-bee pathogens in vitro, suggesting that structural and secreted antimicrobial functions can coexist within a single organism. Table 2 summarises the principal mechanistic categories, the taxa most strongly associated with each, and representative reported outcomes.</w:t>
      </w:r>
    </w:p>
    <w:p w14:paraId="5AE5549E"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2. Documented Antimicrobial Mechanisms of Honeybee Gut Symbionts</w:t>
      </w:r>
    </w:p>
    <w:tbl>
      <w:tblPr>
        <w:tblStyle w:val="TableGridLight"/>
        <w:tblW w:w="0" w:type="auto"/>
        <w:tblLook w:val="04A0" w:firstRow="1" w:lastRow="0" w:firstColumn="1" w:lastColumn="0" w:noHBand="0" w:noVBand="1"/>
      </w:tblPr>
      <w:tblGrid>
        <w:gridCol w:w="1888"/>
        <w:gridCol w:w="1961"/>
        <w:gridCol w:w="1899"/>
        <w:gridCol w:w="2116"/>
        <w:gridCol w:w="1378"/>
      </w:tblGrid>
      <w:tr w:rsidR="00BB1673" w:rsidRPr="00BB1673" w14:paraId="4C92EB44" w14:textId="77777777" w:rsidTr="00BB1673">
        <w:tc>
          <w:tcPr>
            <w:tcW w:w="0" w:type="auto"/>
            <w:hideMark/>
          </w:tcPr>
          <w:p w14:paraId="2AEC0E9C"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Mechanism</w:t>
            </w:r>
          </w:p>
        </w:tc>
        <w:tc>
          <w:tcPr>
            <w:tcW w:w="0" w:type="auto"/>
            <w:hideMark/>
          </w:tcPr>
          <w:p w14:paraId="3CF94F03"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Representative Taxa</w:t>
            </w:r>
          </w:p>
        </w:tc>
        <w:tc>
          <w:tcPr>
            <w:tcW w:w="0" w:type="auto"/>
            <w:hideMark/>
          </w:tcPr>
          <w:p w14:paraId="435905D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Target(s)</w:t>
            </w:r>
          </w:p>
        </w:tc>
        <w:tc>
          <w:tcPr>
            <w:tcW w:w="0" w:type="auto"/>
            <w:hideMark/>
          </w:tcPr>
          <w:p w14:paraId="494234EA"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Summary of Effect</w:t>
            </w:r>
          </w:p>
        </w:tc>
        <w:tc>
          <w:tcPr>
            <w:tcW w:w="0" w:type="auto"/>
            <w:hideMark/>
          </w:tcPr>
          <w:p w14:paraId="0BF4E21B"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6916B571" w14:textId="77777777" w:rsidTr="00BB1673">
        <w:tc>
          <w:tcPr>
            <w:tcW w:w="0" w:type="auto"/>
            <w:hideMark/>
          </w:tcPr>
          <w:p w14:paraId="3B58782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 pH-mediated inhibition</w:t>
            </w:r>
          </w:p>
        </w:tc>
        <w:tc>
          <w:tcPr>
            <w:tcW w:w="0" w:type="auto"/>
            <w:hideMark/>
          </w:tcPr>
          <w:p w14:paraId="4C0651F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2982B2B1"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p>
        </w:tc>
        <w:tc>
          <w:tcPr>
            <w:tcW w:w="0" w:type="auto"/>
            <w:hideMark/>
          </w:tcPr>
          <w:p w14:paraId="160DFAD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Growth suppression via acidification of local environment</w:t>
            </w:r>
          </w:p>
        </w:tc>
        <w:tc>
          <w:tcPr>
            <w:tcW w:w="0" w:type="auto"/>
            <w:hideMark/>
          </w:tcPr>
          <w:p w14:paraId="315D732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 Olofsson et al., 2016</w:t>
            </w:r>
          </w:p>
        </w:tc>
      </w:tr>
      <w:tr w:rsidR="00BB1673" w:rsidRPr="00BB1673" w14:paraId="1DED462E" w14:textId="77777777" w:rsidTr="00BB1673">
        <w:tc>
          <w:tcPr>
            <w:tcW w:w="0" w:type="auto"/>
            <w:hideMark/>
          </w:tcPr>
          <w:p w14:paraId="273BA4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Secreted bacteriocin-like metabolites</w:t>
            </w:r>
          </w:p>
        </w:tc>
        <w:tc>
          <w:tcPr>
            <w:tcW w:w="0" w:type="auto"/>
            <w:hideMark/>
          </w:tcPr>
          <w:p w14:paraId="363372D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6EC8776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and Gram-negative bee and human pathogens</w:t>
            </w:r>
          </w:p>
        </w:tc>
        <w:tc>
          <w:tcPr>
            <w:tcW w:w="0" w:type="auto"/>
            <w:hideMark/>
          </w:tcPr>
          <w:p w14:paraId="1B9A264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Direct antagonism retained in cell-free supernatants</w:t>
            </w:r>
          </w:p>
        </w:tc>
        <w:tc>
          <w:tcPr>
            <w:tcW w:w="0" w:type="auto"/>
            <w:hideMark/>
          </w:tcPr>
          <w:p w14:paraId="03BA522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 Butler et al., 2016</w:t>
            </w:r>
          </w:p>
        </w:tc>
      </w:tr>
      <w:tr w:rsidR="00BB1673" w:rsidRPr="00BB1673" w14:paraId="55BD05C3" w14:textId="77777777" w:rsidTr="00BB1673">
        <w:tc>
          <w:tcPr>
            <w:tcW w:w="0" w:type="auto"/>
            <w:hideMark/>
          </w:tcPr>
          <w:p w14:paraId="32AA212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 peptide induction in host</w:t>
            </w:r>
          </w:p>
        </w:tc>
        <w:tc>
          <w:tcPr>
            <w:tcW w:w="0" w:type="auto"/>
            <w:hideMark/>
          </w:tcPr>
          <w:p w14:paraId="43C7028D"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44B9C13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Escherichia coli</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Hafnia alvei</w:t>
            </w:r>
          </w:p>
        </w:tc>
        <w:tc>
          <w:tcPr>
            <w:tcW w:w="0" w:type="auto"/>
            <w:hideMark/>
          </w:tcPr>
          <w:p w14:paraId="2535A3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Upregulation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enhanced pathogen clearance</w:t>
            </w:r>
          </w:p>
        </w:tc>
        <w:tc>
          <w:tcPr>
            <w:tcW w:w="0" w:type="auto"/>
            <w:hideMark/>
          </w:tcPr>
          <w:p w14:paraId="15CF88B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BB1673" w14:paraId="551A623F" w14:textId="77777777" w:rsidTr="00BB1673">
        <w:tc>
          <w:tcPr>
            <w:tcW w:w="0" w:type="auto"/>
            <w:hideMark/>
          </w:tcPr>
          <w:p w14:paraId="4F92DA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Competitive nutrient/niche exclusion</w:t>
            </w:r>
          </w:p>
        </w:tc>
        <w:tc>
          <w:tcPr>
            <w:tcW w:w="0" w:type="auto"/>
            <w:hideMark/>
          </w:tcPr>
          <w:p w14:paraId="4FD6ABA9"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79844FD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Opportunistic gut colonisers</w:t>
            </w:r>
          </w:p>
        </w:tc>
        <w:tc>
          <w:tcPr>
            <w:tcW w:w="0" w:type="auto"/>
            <w:hideMark/>
          </w:tcPr>
          <w:p w14:paraId="63F7654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establishment of non-core taxa</w:t>
            </w:r>
          </w:p>
        </w:tc>
        <w:tc>
          <w:tcPr>
            <w:tcW w:w="0" w:type="auto"/>
            <w:hideMark/>
          </w:tcPr>
          <w:p w14:paraId="24F48EE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Zheng et al., 2016</w:t>
            </w:r>
          </w:p>
        </w:tc>
      </w:tr>
      <w:tr w:rsidR="00BB1673" w:rsidRPr="00BB1673" w14:paraId="2FE4DEA4" w14:textId="77777777" w:rsidTr="00BB1673">
        <w:tc>
          <w:tcPr>
            <w:tcW w:w="0" w:type="auto"/>
            <w:hideMark/>
          </w:tcPr>
          <w:p w14:paraId="7037E52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Adhesin- and secretion-system-mediated interbacterial competition</w:t>
            </w:r>
          </w:p>
        </w:tc>
        <w:tc>
          <w:tcPr>
            <w:tcW w:w="0" w:type="auto"/>
            <w:hideMark/>
          </w:tcPr>
          <w:p w14:paraId="2B5FC47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1400F04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Competing bacterial strains</w:t>
            </w:r>
          </w:p>
        </w:tc>
        <w:tc>
          <w:tcPr>
            <w:tcW w:w="0" w:type="auto"/>
            <w:hideMark/>
          </w:tcPr>
          <w:p w14:paraId="030DE47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Biofilm structuring and host-specific colonisation advantage</w:t>
            </w:r>
          </w:p>
        </w:tc>
        <w:tc>
          <w:tcPr>
            <w:tcW w:w="0" w:type="auto"/>
            <w:hideMark/>
          </w:tcPr>
          <w:p w14:paraId="4701ECC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2014</w:t>
            </w:r>
          </w:p>
        </w:tc>
      </w:tr>
    </w:tbl>
    <w:p w14:paraId="7A3E1656"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5. Antimicrobial Peptides and Host Immune Modulation</w:t>
      </w:r>
    </w:p>
    <w:p w14:paraId="3AEBDC8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defining feature of the relationship between the honeybee gut microbiota and antimicrobial defence is that the microbiota does not act solely through its own secreted products; it also actively conditions the host's innate immune system. Honeybees possess four principal families of antimicrobial peptides, </w:t>
      </w:r>
      <w:proofErr w:type="spellStart"/>
      <w:r w:rsidRPr="00BB1673">
        <w:rPr>
          <w:rFonts w:ascii="Times New Roman" w:eastAsia="Times New Roman" w:hAnsi="Times New Roman" w:cs="Times New Roman"/>
          <w:sz w:val="24"/>
          <w:szCs w:val="24"/>
          <w:lang w:eastAsia="en-GB"/>
        </w:rPr>
        <w:t>abaecin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defensin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induced </w:t>
      </w:r>
      <w:r w:rsidRPr="00BB1673">
        <w:rPr>
          <w:rFonts w:ascii="Times New Roman" w:eastAsia="Times New Roman" w:hAnsi="Times New Roman" w:cs="Times New Roman"/>
          <w:sz w:val="24"/>
          <w:szCs w:val="24"/>
          <w:lang w:eastAsia="en-GB"/>
        </w:rPr>
        <w:lastRenderedPageBreak/>
        <w:t>through the Toll and immune deficiency (</w:t>
      </w:r>
      <w:proofErr w:type="spellStart"/>
      <w:r w:rsidRPr="00BB1673">
        <w:rPr>
          <w:rFonts w:ascii="Times New Roman" w:eastAsia="Times New Roman" w:hAnsi="Times New Roman" w:cs="Times New Roman"/>
          <w:sz w:val="24"/>
          <w:szCs w:val="24"/>
          <w:lang w:eastAsia="en-GB"/>
        </w:rPr>
        <w:t>Imd</w:t>
      </w:r>
      <w:proofErr w:type="spellEnd"/>
      <w:r w:rsidRPr="00BB1673">
        <w:rPr>
          <w:rFonts w:ascii="Times New Roman" w:eastAsia="Times New Roman" w:hAnsi="Times New Roman" w:cs="Times New Roman"/>
          <w:sz w:val="24"/>
          <w:szCs w:val="24"/>
          <w:lang w:eastAsia="en-GB"/>
        </w:rPr>
        <w:t xml:space="preserve">) signalling pathways in response to bacterial challenge. Comparative studies of conventionally reared bees against microbiota-depleted or germ-free bees have shown that the presence of a normal gut microbiota is required for baseline induction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within gut tissue, with proteomic analysis confirming elevated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concentrations in both gut lumen and haemolymph of colonised bees relative to microbiota-free controls (Kwong et al., 2017).</w:t>
      </w:r>
    </w:p>
    <w:p w14:paraId="0576ECB3"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immune-priming effect appears to be strain- and species-specific rather than a generic consequence of bacterial presence. Mono-colonisation experiments using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alone were sufficient to stimulate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expression, whereas subsequent work examining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found that surface-layer proteins unique to certain isolates were associated with enhanced Toll-pathway activation and improved clearance of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 bacterium implicated as a secondary invader in colonies affected by American foulbrood (Kwong et al., 2017). Notably, core symbiont taxa themselves display differential susceptibility to the very antimicrobial peptides their presence helps induce: Gram-positive members such as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are comparatively resistant to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whereas some Gram-negative symbionts show intermediate sensitivity, a pattern consistent with a coevolved relationship in which resident bacteria tolerate the host defences they help to elicit while transient or pathogenic invaders remain more vulnerable.</w:t>
      </w:r>
    </w:p>
    <w:p w14:paraId="3E634C78"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dual mode of protection, direct microbial antagonism combined with host immune conditioning, mirrors mechanisms increasingly recognised in mammalian systems and reinforces the conceptual basis for describing the honeybee gut microbiota as functioning collectively as an inherent antimicrobial system rather than as a passive digestive community.</w:t>
      </w:r>
    </w:p>
    <w:p w14:paraId="02796F57"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6. Gut-Symbiont-Mediated Protection Against Honeybee Pathogens</w:t>
      </w:r>
    </w:p>
    <w:p w14:paraId="07B1049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practical significance of these antimicrobial mechanisms is most clearly demonstrated in studies examining protection against major honeybee diseases. American foulbrood, caused by the spore-forming bacterium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remains among the most economically damaging bacterial diseases of managed colonies, and several native LAB strains isolated from bee bread and the honeybee gut, including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various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species, have demonstrated in vitro inhibitory activity against the pathogen (Vásquez et al., 2012). Comparable antagonism has been documented against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the causative agent of European foulbrood, with cell-free supernatants from selected LAB strains suppressing pathogen growth through the combined effect of organic acids and secreted inhibitory metabolites (Olofsson et al., 2016).</w:t>
      </w:r>
    </w:p>
    <w:p w14:paraId="2D0AFB1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classical foulbrood pathogens, gut-symbiont-mediated protection has been documented against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associated with bee septicaemia, where colonisation by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cleared the pathogen through antimicrobial peptide induction described in the preceding section (Kwong et al., 2017). A structurally distinct but conceptually related line of research has applied synthetic biology to the bee gut symbiont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itself, engineering the bacterium to express double-stranded ribonucleic acid targeted against genes of the deformed wing virus and the parasitic mite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This engineered symbiont approach achieved measurable reductions in viral titre and increased mite mortality following stable gut recolonisation, representing a novel extension of the native protective role of gut bacteria into a directed antiviral and acaricidal tool, although independent commentary has cautioned that </w:t>
      </w:r>
      <w:r w:rsidRPr="00BB1673">
        <w:rPr>
          <w:rFonts w:ascii="Times New Roman" w:eastAsia="Times New Roman" w:hAnsi="Times New Roman" w:cs="Times New Roman"/>
          <w:sz w:val="24"/>
          <w:szCs w:val="24"/>
          <w:lang w:eastAsia="en-GB"/>
        </w:rPr>
        <w:lastRenderedPageBreak/>
        <w:t xml:space="preserve">its field applicability, particularly against phoretic-phase mites on adult bees, requires further evaluation before practical deployment (Leonard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p w14:paraId="194F7C1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further dimension of protection concerns resilience of the microbiota itself under antibiotic pressure, since apicultural use of antibiotics such as oxytetracycline can deplete key symbionts including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strains, with measurable downstream consequences for capped brood counts and haemolymph antimicrobial capacity; supplementation with a defined consortium of immunostimulatory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during antibiotic recovery has been shown to mitigate these deficits, restoring both microbiota composition and immune competence (Daisley et al., 2020). Table 3 summarises these pathogen-specific findings.</w:t>
      </w:r>
    </w:p>
    <w:p w14:paraId="1958215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3. Selected Evidence on Gut-Symbiont-Mediated Protection Against Honeybee Pathogens and Stressors</w:t>
      </w:r>
    </w:p>
    <w:tbl>
      <w:tblPr>
        <w:tblStyle w:val="TableGridLight"/>
        <w:tblW w:w="0" w:type="auto"/>
        <w:tblLook w:val="04A0" w:firstRow="1" w:lastRow="0" w:firstColumn="1" w:lastColumn="0" w:noHBand="0" w:noVBand="1"/>
      </w:tblPr>
      <w:tblGrid>
        <w:gridCol w:w="2358"/>
        <w:gridCol w:w="2601"/>
        <w:gridCol w:w="2694"/>
        <w:gridCol w:w="1589"/>
      </w:tblGrid>
      <w:tr w:rsidR="00BB1673" w:rsidRPr="00BB1673" w14:paraId="676F1745" w14:textId="77777777" w:rsidTr="00BB1673">
        <w:tc>
          <w:tcPr>
            <w:tcW w:w="0" w:type="auto"/>
            <w:hideMark/>
          </w:tcPr>
          <w:p w14:paraId="6502B69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Pathogen / Stressor</w:t>
            </w:r>
          </w:p>
        </w:tc>
        <w:tc>
          <w:tcPr>
            <w:tcW w:w="0" w:type="auto"/>
            <w:hideMark/>
          </w:tcPr>
          <w:p w14:paraId="3422B93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Symbiont-Based Intervention</w:t>
            </w:r>
          </w:p>
        </w:tc>
        <w:tc>
          <w:tcPr>
            <w:tcW w:w="0" w:type="auto"/>
            <w:hideMark/>
          </w:tcPr>
          <w:p w14:paraId="33288817"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Outcome</w:t>
            </w:r>
          </w:p>
        </w:tc>
        <w:tc>
          <w:tcPr>
            <w:tcW w:w="0" w:type="auto"/>
            <w:hideMark/>
          </w:tcPr>
          <w:p w14:paraId="34F99FAA"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746296CE" w14:textId="77777777" w:rsidTr="00BB1673">
        <w:tc>
          <w:tcPr>
            <w:tcW w:w="0" w:type="auto"/>
            <w:hideMark/>
          </w:tcPr>
          <w:p w14:paraId="2BDC9C1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(American foulbrood)</w:t>
            </w:r>
          </w:p>
        </w:tc>
        <w:tc>
          <w:tcPr>
            <w:tcW w:w="0" w:type="auto"/>
            <w:hideMark/>
          </w:tcPr>
          <w:p w14:paraId="495CF90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Native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strains</w:t>
            </w:r>
          </w:p>
        </w:tc>
        <w:tc>
          <w:tcPr>
            <w:tcW w:w="0" w:type="auto"/>
            <w:hideMark/>
          </w:tcPr>
          <w:p w14:paraId="0ECA066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 vitro growth inhibition; proposed biocontrol candidates</w:t>
            </w:r>
          </w:p>
        </w:tc>
        <w:tc>
          <w:tcPr>
            <w:tcW w:w="0" w:type="auto"/>
            <w:hideMark/>
          </w:tcPr>
          <w:p w14:paraId="7764E2E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w:t>
            </w:r>
          </w:p>
        </w:tc>
      </w:tr>
      <w:tr w:rsidR="00BB1673" w:rsidRPr="00BB1673" w14:paraId="703A1337" w14:textId="77777777" w:rsidTr="00BB1673">
        <w:tc>
          <w:tcPr>
            <w:tcW w:w="0" w:type="auto"/>
            <w:hideMark/>
          </w:tcPr>
          <w:p w14:paraId="05404EA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(European foulbrood)</w:t>
            </w:r>
          </w:p>
        </w:tc>
        <w:tc>
          <w:tcPr>
            <w:tcW w:w="0" w:type="auto"/>
            <w:hideMark/>
          </w:tcPr>
          <w:p w14:paraId="0F16333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cell-free supernatants</w:t>
            </w:r>
          </w:p>
        </w:tc>
        <w:tc>
          <w:tcPr>
            <w:tcW w:w="0" w:type="auto"/>
            <w:hideMark/>
          </w:tcPr>
          <w:p w14:paraId="61B7709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Antagonistic activity attributable to organic acids and secreted metabolites</w:t>
            </w:r>
          </w:p>
        </w:tc>
        <w:tc>
          <w:tcPr>
            <w:tcW w:w="0" w:type="auto"/>
            <w:hideMark/>
          </w:tcPr>
          <w:p w14:paraId="55671FC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w:t>
            </w:r>
          </w:p>
        </w:tc>
      </w:tr>
      <w:tr w:rsidR="00BB1673" w:rsidRPr="00BB1673" w14:paraId="1BCDF753" w14:textId="77777777" w:rsidTr="00BB1673">
        <w:tc>
          <w:tcPr>
            <w:tcW w:w="0" w:type="auto"/>
            <w:hideMark/>
          </w:tcPr>
          <w:p w14:paraId="7F00189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(bee septicaemia)</w:t>
            </w:r>
          </w:p>
        </w:tc>
        <w:tc>
          <w:tcPr>
            <w:tcW w:w="0" w:type="auto"/>
            <w:hideMark/>
          </w:tcPr>
          <w:p w14:paraId="41BC638C"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mono-colonisation</w:t>
            </w:r>
          </w:p>
        </w:tc>
        <w:tc>
          <w:tcPr>
            <w:tcW w:w="0" w:type="auto"/>
            <w:hideMark/>
          </w:tcPr>
          <w:p w14:paraId="7343D41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Antimicrobial-peptide-mediated pathogen clearance</w:t>
            </w:r>
          </w:p>
        </w:tc>
        <w:tc>
          <w:tcPr>
            <w:tcW w:w="0" w:type="auto"/>
            <w:hideMark/>
          </w:tcPr>
          <w:p w14:paraId="0C2C553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BB1673" w14:paraId="26844D5E" w14:textId="77777777" w:rsidTr="00BB1673">
        <w:tc>
          <w:tcPr>
            <w:tcW w:w="0" w:type="auto"/>
            <w:hideMark/>
          </w:tcPr>
          <w:p w14:paraId="4795E48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Deformed wing virus / </w:t>
            </w:r>
            <w:r w:rsidRPr="00BB1673">
              <w:rPr>
                <w:rFonts w:ascii="Times New Roman" w:eastAsia="Times New Roman" w:hAnsi="Times New Roman" w:cs="Times New Roman"/>
                <w:i/>
                <w:iCs/>
                <w:sz w:val="24"/>
                <w:szCs w:val="24"/>
                <w:lang w:eastAsia="en-GB"/>
              </w:rPr>
              <w:t>Varroa destructor</w:t>
            </w:r>
          </w:p>
        </w:tc>
        <w:tc>
          <w:tcPr>
            <w:tcW w:w="0" w:type="auto"/>
            <w:hideMark/>
          </w:tcPr>
          <w:p w14:paraId="5C6DAD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Engineered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expressing targeted dsRNA</w:t>
            </w:r>
          </w:p>
        </w:tc>
        <w:tc>
          <w:tcPr>
            <w:tcW w:w="0" w:type="auto"/>
            <w:hideMark/>
          </w:tcPr>
          <w:p w14:paraId="76B6E3A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viral load; increased mite mortality</w:t>
            </w:r>
          </w:p>
        </w:tc>
        <w:tc>
          <w:tcPr>
            <w:tcW w:w="0" w:type="auto"/>
            <w:hideMark/>
          </w:tcPr>
          <w:p w14:paraId="61481CC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tc>
      </w:tr>
      <w:tr w:rsidR="00BB1673" w:rsidRPr="00BB1673" w14:paraId="5A60FDC0" w14:textId="77777777" w:rsidTr="00BB1673">
        <w:tc>
          <w:tcPr>
            <w:tcW w:w="0" w:type="auto"/>
            <w:hideMark/>
          </w:tcPr>
          <w:p w14:paraId="3C98D1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Oxytetracycline-induced dysbiosis</w:t>
            </w:r>
          </w:p>
        </w:tc>
        <w:tc>
          <w:tcPr>
            <w:tcW w:w="0" w:type="auto"/>
            <w:hideMark/>
          </w:tcPr>
          <w:p w14:paraId="4DAB4C0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Multi-strain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supplementation during recovery</w:t>
            </w:r>
          </w:p>
        </w:tc>
        <w:tc>
          <w:tcPr>
            <w:tcW w:w="0" w:type="auto"/>
            <w:hideMark/>
          </w:tcPr>
          <w:p w14:paraId="3F91CCBE"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Restoration of microbiota composition and immune competence</w:t>
            </w:r>
          </w:p>
        </w:tc>
        <w:tc>
          <w:tcPr>
            <w:tcW w:w="0" w:type="auto"/>
            <w:hideMark/>
          </w:tcPr>
          <w:p w14:paraId="5768611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Daisley et al., 2020</w:t>
            </w:r>
          </w:p>
        </w:tc>
      </w:tr>
    </w:tbl>
    <w:p w14:paraId="55F3A583"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7. Environmental Stressors, Dysbiosis and Links to Antimicrobial Resistance</w:t>
      </w:r>
    </w:p>
    <w:p w14:paraId="7F21689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protective capacity described above is not fixed but is contingent on the integrity of the resident microbial community, and this integrity is increasingly threatened by anthropogenic stressors. Agrochemical exposure, particularly to neonicotinoid insecticides and to glyphosate-based herbicides, has been shown to reduce the abundance of core symbionts including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with consequences for detoxification capacity and susceptibility to opportunistic infection (Nowak et al., 2021; Motta &amp; Moran, 2024). Veterinary antibiotic use within apiculture compounds this problem. Longstanding use of oxytetracycline and related compounds to manage foulbrood in some countries has produced measurable enrichment of antibiotic-resistance determinants, including efflux-pump genes, within the core gut microbiota of honeybees, a pattern most pronounced in regions with the longest history of antibiotic application in beekeeping (Daisley et al., 2020).</w:t>
      </w:r>
    </w:p>
    <w:p w14:paraId="3FB6F03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It is notable, in this context, that experimental comparisons of commercially available and native probiotic strains have found that non-native commercial products generally fail to establish within the bee gut, whereas cultured strains of native gut bacteria colonise robustly, and that overall evidence for meaningful health benefit from commercial bee probiotics remains mixed. This distinction underscores the importance of strain provenance and prior characterisation in any probiotic intervention, whether directed at bees or, by extension, at humans (Motta et al., 2022).</w:t>
      </w:r>
    </w:p>
    <w:p w14:paraId="682ACCE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observation carries implications that extend beyond bee health. Where antibiotic-exposed bee microbiota harbour elevated frequencies of resistance genes, and where horizontal gene transfer among gut community members has been documented in both honeybee and mammalian systems, honeybee colonies and their products represent a potential, if currently under-characterised, reservoir and vector for resistance determinants within the broader agricultural and environmental landscape (Nowak et al., 2021). This possibility does not contradict the antimicrobial potential described earlier in this review; rather, the same selective pressure created by antibiotic exposure can deplete beneficial antagonistic taxa while simultaneously enriching resistance genes among the bacteria that persist.</w:t>
      </w:r>
    </w:p>
    <w:p w14:paraId="4D032F4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wider public-health backdrop against which these findings should be interpreted is substantial. Bacterial antimicrobial resistance was estimated to be directly responsible for over a million deaths and to be associated with close to five million deaths globally in 2019 (Antimicrobial Resistance Collaborators, 2022), and updated modelling projects that resistance-attributable mortality will continue to rise in absolute terms through 2050 even as age-standardised rates begin to decline in some regions (GBD 2021 Antimicrobial Resistance Collaborators, 2024). It is against this trajectory that interest in naturally occurring antimicrobial systems, honeybee-associated bacteria among them, has intensified, though the environmental evidence reviewed here also counsels caution regarding the unqualified assumption that all honeybee-derived material is free of resistance-relevant genetic material.</w:t>
      </w:r>
    </w:p>
    <w:p w14:paraId="0E39989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8. From Hive to Human: Apitherapeutic Products and Antimicrobial Activity Against Human Pathogens</w:t>
      </w:r>
    </w:p>
    <w:p w14:paraId="529F1AD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translational relevance of the honeybee gut microbiota to human health is most directly evidenced through the fermented products it helps generate and through the direct application of bee-associated bacteria against human pathogens. Honey itself is now understood to derive part of its long-recognised antibacterial reputation not merely from enzymatically generated hydrogen peroxide, low water activity and acidity, but also from the lactic acid bacterial community seeded into fresh honey from the honey stomach of forager bees. Work applying these honey-associated LAB directly against clinically significant wound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vancomycin-resistant enterococci, demonstrated substantial antagonistic activity, suggesting that the bacteria themselves, rather than honey's abiotic properties alone, may account for a meaningful proportion of its traditional therapeutic efficacy (Olofsson et al., 2016). A companion pilot study applying the same lactic acid bacterial symbionts to samples from human chronic wounds reported inhibitory activity against a broad panel of wound-associated pathogens, offering preliminary clinical-context evidence that these organisms retain antimicrobial function outside the hive environment (Butler et al., 2016). Seasonal sampling of the honey stomach itself indicates that antimicrobial production by this resident LAB community is not constant but fluctuates across the year, implying that the antibacterial </w:t>
      </w:r>
      <w:r w:rsidRPr="00BB1673">
        <w:rPr>
          <w:rFonts w:ascii="Times New Roman" w:eastAsia="Times New Roman" w:hAnsi="Times New Roman" w:cs="Times New Roman"/>
          <w:sz w:val="24"/>
          <w:szCs w:val="24"/>
          <w:lang w:eastAsia="en-GB"/>
        </w:rPr>
        <w:lastRenderedPageBreak/>
        <w:t>potency of fresh honey depends in part on hive and environmental conditions at the time of collection rather than being a fixed property of the product (Mundo et al., 2023).</w:t>
      </w:r>
    </w:p>
    <w:p w14:paraId="3CD48E7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Propolis, the resinous material bees collect from plant exudates and modify with salivary and enzymatic secretions, exerts antibacterial activity through a chemically distinct route dominated by flavonoids such as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chrysin</w:t>
      </w:r>
      <w:proofErr w:type="spellEnd"/>
      <w:r w:rsidRPr="00BB1673">
        <w:rPr>
          <w:rFonts w:ascii="Times New Roman" w:eastAsia="Times New Roman" w:hAnsi="Times New Roman" w:cs="Times New Roman"/>
          <w:sz w:val="24"/>
          <w:szCs w:val="24"/>
          <w:lang w:eastAsia="en-GB"/>
        </w:rPr>
        <w:t xml:space="preserve"> and quercetin together with phenolic acids. These compounds have been shown to inhibit bacterial cell-wall synthesis, disrupt membrane integrity and interfere with nucleic acid synthesis by targeting DNA gyrase and topoisomerase enzymes, with greater potency generally reported against Gram-positive organisms such as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than against Gram-negative species (</w:t>
      </w: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Region-specific propolis extracts have demonstrated activity against both methicillin-sensitive and methicillin-resistant strains of </w:t>
      </w:r>
      <w:r w:rsidRPr="00BB1673">
        <w:rPr>
          <w:rFonts w:ascii="Times New Roman" w:eastAsia="Times New Roman" w:hAnsi="Times New Roman" w:cs="Times New Roman"/>
          <w:i/>
          <w:iCs/>
          <w:sz w:val="24"/>
          <w:szCs w:val="24"/>
          <w:lang w:eastAsia="en-GB"/>
        </w:rPr>
        <w:t>S. aureus</w:t>
      </w:r>
      <w:r w:rsidRPr="00BB1673">
        <w:rPr>
          <w:rFonts w:ascii="Times New Roman" w:eastAsia="Times New Roman" w:hAnsi="Times New Roman" w:cs="Times New Roman"/>
          <w:sz w:val="24"/>
          <w:szCs w:val="24"/>
          <w:lang w:eastAsia="en-GB"/>
        </w:rPr>
        <w:t>, with total phenolic and flavonoid content shown to correlate with the strength of this effect, and evidence of synergistic enhancement when combined with conventional antibiotics has renewed interest in propolis as an adjunct rather than a standalone antimicrobial agent (</w:t>
      </w:r>
      <w:r w:rsidRPr="00BB1673">
        <w:rPr>
          <w:rFonts w:ascii="Times New Roman" w:eastAsia="Times New Roman" w:hAnsi="Times New Roman" w:cs="Times New Roman"/>
          <w:b/>
          <w:bCs/>
          <w:sz w:val="24"/>
          <w:szCs w:val="24"/>
          <w:lang w:eastAsia="en-GB"/>
        </w:rPr>
        <w:t>Bouchelaghem et al., 2022</w:t>
      </w:r>
      <w:r w:rsidRPr="00BB1673">
        <w:rPr>
          <w:rFonts w:ascii="Times New Roman" w:eastAsia="Times New Roman" w:hAnsi="Times New Roman" w:cs="Times New Roman"/>
          <w:sz w:val="24"/>
          <w:szCs w:val="24"/>
          <w:lang w:eastAsia="en-GB"/>
        </w:rPr>
        <w:t>).</w:t>
      </w:r>
    </w:p>
    <w:p w14:paraId="416AD44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formed through lactic fermentation of pollen within the comb, represents a further product in which the same LAB community responsible for gut and honey antimicrobial activity plays a preservative role, lowering pH and generating antimicrobial metabolites that protect the stored pollen from spoilage organisms while simultaneously enhancing its nutritional bioavailability for both bees and, when consumed as a functional food, for humans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4 draws together these product-level findings.</w:t>
      </w:r>
    </w:p>
    <w:p w14:paraId="3A5DBE1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4. Antimicrobial Properties of Hive-Derived Products Relevant to Human Pathogens</w:t>
      </w:r>
    </w:p>
    <w:tbl>
      <w:tblPr>
        <w:tblStyle w:val="TableGridLight"/>
        <w:tblW w:w="0" w:type="auto"/>
        <w:tblLook w:val="04A0" w:firstRow="1" w:lastRow="0" w:firstColumn="1" w:lastColumn="0" w:noHBand="0" w:noVBand="1"/>
      </w:tblPr>
      <w:tblGrid>
        <w:gridCol w:w="1629"/>
        <w:gridCol w:w="2263"/>
        <w:gridCol w:w="2910"/>
        <w:gridCol w:w="2440"/>
      </w:tblGrid>
      <w:tr w:rsidR="00BB1673" w:rsidRPr="00BB1673" w14:paraId="6992CE2B" w14:textId="77777777" w:rsidTr="00BB1673">
        <w:tc>
          <w:tcPr>
            <w:tcW w:w="0" w:type="auto"/>
            <w:hideMark/>
          </w:tcPr>
          <w:p w14:paraId="3951871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Product</w:t>
            </w:r>
          </w:p>
        </w:tc>
        <w:tc>
          <w:tcPr>
            <w:tcW w:w="0" w:type="auto"/>
            <w:hideMark/>
          </w:tcPr>
          <w:p w14:paraId="07B7587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Bioactive Basis</w:t>
            </w:r>
          </w:p>
        </w:tc>
        <w:tc>
          <w:tcPr>
            <w:tcW w:w="0" w:type="auto"/>
            <w:hideMark/>
          </w:tcPr>
          <w:p w14:paraId="1FC8A28C"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Pathogens/Targets</w:t>
            </w:r>
          </w:p>
        </w:tc>
        <w:tc>
          <w:tcPr>
            <w:tcW w:w="0" w:type="auto"/>
            <w:hideMark/>
          </w:tcPr>
          <w:p w14:paraId="6F1090E0"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1F21CA41" w14:textId="77777777" w:rsidTr="00BB1673">
        <w:tc>
          <w:tcPr>
            <w:tcW w:w="0" w:type="auto"/>
            <w:hideMark/>
          </w:tcPr>
          <w:p w14:paraId="3FFC3DE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(LAB-associated fraction)</w:t>
            </w:r>
          </w:p>
        </w:tc>
        <w:tc>
          <w:tcPr>
            <w:tcW w:w="0" w:type="auto"/>
            <w:hideMark/>
          </w:tcPr>
          <w:p w14:paraId="4AE0CC6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stomach lactic acid bacterial symbionts, organic acids</w:t>
            </w:r>
          </w:p>
        </w:tc>
        <w:tc>
          <w:tcPr>
            <w:tcW w:w="0" w:type="auto"/>
            <w:hideMark/>
          </w:tcPr>
          <w:p w14:paraId="2D0E1EF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MRSA,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vancomycin-resistant enterococci</w:t>
            </w:r>
          </w:p>
        </w:tc>
        <w:tc>
          <w:tcPr>
            <w:tcW w:w="0" w:type="auto"/>
            <w:hideMark/>
          </w:tcPr>
          <w:p w14:paraId="11C71FF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 Butler et al., 2016; Mundo et al., 2023</w:t>
            </w:r>
          </w:p>
        </w:tc>
      </w:tr>
      <w:tr w:rsidR="00BB1673" w:rsidRPr="00BB1673" w14:paraId="1734A9D8" w14:textId="77777777" w:rsidTr="00BB1673">
        <w:tc>
          <w:tcPr>
            <w:tcW w:w="0" w:type="auto"/>
            <w:hideMark/>
          </w:tcPr>
          <w:p w14:paraId="6E58E7B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Propolis</w:t>
            </w:r>
          </w:p>
        </w:tc>
        <w:tc>
          <w:tcPr>
            <w:tcW w:w="0" w:type="auto"/>
            <w:hideMark/>
          </w:tcPr>
          <w:p w14:paraId="63BD677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Flavonoids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chrysin</w:t>
            </w:r>
            <w:proofErr w:type="spellEnd"/>
            <w:r w:rsidRPr="00BB1673">
              <w:rPr>
                <w:rFonts w:ascii="Times New Roman" w:eastAsia="Times New Roman" w:hAnsi="Times New Roman" w:cs="Times New Roman"/>
                <w:sz w:val="24"/>
                <w:szCs w:val="24"/>
                <w:lang w:eastAsia="en-GB"/>
              </w:rPr>
              <w:t>, quercetin) and phenolic acids</w:t>
            </w:r>
          </w:p>
        </w:tc>
        <w:tc>
          <w:tcPr>
            <w:tcW w:w="0" w:type="auto"/>
            <w:hideMark/>
          </w:tcPr>
          <w:p w14:paraId="743704F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(including MRSA), </w:t>
            </w:r>
            <w:r w:rsidRPr="00BB1673">
              <w:rPr>
                <w:rFonts w:ascii="Times New Roman" w:eastAsia="Times New Roman" w:hAnsi="Times New Roman" w:cs="Times New Roman"/>
                <w:i/>
                <w:iCs/>
                <w:sz w:val="24"/>
                <w:szCs w:val="24"/>
                <w:lang w:eastAsia="en-GB"/>
              </w:rPr>
              <w:t>Candida albicans</w:t>
            </w:r>
          </w:p>
        </w:tc>
        <w:tc>
          <w:tcPr>
            <w:tcW w:w="0" w:type="auto"/>
            <w:hideMark/>
          </w:tcPr>
          <w:p w14:paraId="7DC55AAD"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w:t>
            </w:r>
            <w:proofErr w:type="spellStart"/>
            <w:r w:rsidRPr="00BB1673">
              <w:rPr>
                <w:rFonts w:ascii="Times New Roman" w:eastAsia="Times New Roman" w:hAnsi="Times New Roman" w:cs="Times New Roman"/>
                <w:b/>
                <w:bCs/>
                <w:sz w:val="24"/>
                <w:szCs w:val="24"/>
                <w:lang w:eastAsia="en-GB"/>
              </w:rPr>
              <w:t>Bouchelaghem</w:t>
            </w:r>
            <w:proofErr w:type="spellEnd"/>
            <w:r w:rsidRPr="00BB1673">
              <w:rPr>
                <w:rFonts w:ascii="Times New Roman" w:eastAsia="Times New Roman" w:hAnsi="Times New Roman" w:cs="Times New Roman"/>
                <w:b/>
                <w:bCs/>
                <w:sz w:val="24"/>
                <w:szCs w:val="24"/>
                <w:lang w:eastAsia="en-GB"/>
              </w:rPr>
              <w:t xml:space="preserve"> et al., 2022</w:t>
            </w:r>
          </w:p>
        </w:tc>
      </w:tr>
      <w:tr w:rsidR="00BB1673" w:rsidRPr="00BB1673" w14:paraId="25DD39F0" w14:textId="77777777" w:rsidTr="00BB1673">
        <w:tc>
          <w:tcPr>
            <w:tcW w:w="0" w:type="auto"/>
            <w:hideMark/>
          </w:tcPr>
          <w:p w14:paraId="5A6474D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(fermented pollen)</w:t>
            </w:r>
          </w:p>
        </w:tc>
        <w:tc>
          <w:tcPr>
            <w:tcW w:w="0" w:type="auto"/>
            <w:hideMark/>
          </w:tcPr>
          <w:p w14:paraId="5AE3773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fermentation metabolites, low pH environment</w:t>
            </w:r>
          </w:p>
        </w:tc>
        <w:tc>
          <w:tcPr>
            <w:tcW w:w="0" w:type="auto"/>
            <w:hideMark/>
          </w:tcPr>
          <w:p w14:paraId="636105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Food-spoilage and enteric organisms (in vitro/preservative context)</w:t>
            </w:r>
          </w:p>
        </w:tc>
        <w:tc>
          <w:tcPr>
            <w:tcW w:w="0" w:type="auto"/>
            <w:hideMark/>
          </w:tcPr>
          <w:p w14:paraId="1C2DD8A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w:t>
            </w:r>
          </w:p>
        </w:tc>
      </w:tr>
      <w:tr w:rsidR="00BB1673" w:rsidRPr="00BB1673" w14:paraId="3FA7BB87" w14:textId="77777777" w:rsidTr="00BB1673">
        <w:tc>
          <w:tcPr>
            <w:tcW w:w="0" w:type="auto"/>
            <w:hideMark/>
          </w:tcPr>
          <w:p w14:paraId="330479A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Larval food / royal jelly milieu</w:t>
            </w:r>
          </w:p>
        </w:tc>
        <w:tc>
          <w:tcPr>
            <w:tcW w:w="0" w:type="auto"/>
            <w:hideMark/>
          </w:tcPr>
          <w:p w14:paraId="4DBC418E"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sz w:val="24"/>
                <w:szCs w:val="24"/>
                <w:lang w:eastAsia="en-GB"/>
              </w:rPr>
              <w:t>-associated antimicrobial and osmotolerant activity</w:t>
            </w:r>
          </w:p>
        </w:tc>
        <w:tc>
          <w:tcPr>
            <w:tcW w:w="0" w:type="auto"/>
            <w:hideMark/>
          </w:tcPr>
          <w:p w14:paraId="4A2BB36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opportunists, fungal invaders</w:t>
            </w:r>
          </w:p>
        </w:tc>
        <w:tc>
          <w:tcPr>
            <w:tcW w:w="0" w:type="auto"/>
            <w:hideMark/>
          </w:tcPr>
          <w:p w14:paraId="098EA04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bl>
    <w:p w14:paraId="20D20DED"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9. Honeybee-Derived Probiotic Candidates for Human Health Applications</w:t>
      </w:r>
    </w:p>
    <w:p w14:paraId="356CF57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Distinct from the antimicrobial properties of hive products themselves, a smaller body of work has evaluated whether individual honeybee gut- or hive-derived bacterial strains meet recognised criteria for human probiotic use. The internationally accepted definition, developed jointly by the Food and Agriculture Organization and the World Health Organization and subsequently refined by an expert consensus panel, specifies that a </w:t>
      </w:r>
      <w:r w:rsidRPr="00BB1673">
        <w:rPr>
          <w:rFonts w:ascii="Times New Roman" w:eastAsia="Times New Roman" w:hAnsi="Times New Roman" w:cs="Times New Roman"/>
          <w:sz w:val="24"/>
          <w:szCs w:val="24"/>
          <w:lang w:eastAsia="en-GB"/>
        </w:rPr>
        <w:lastRenderedPageBreak/>
        <w:t>probiotic is a living microbial preparation which, given in sufficient dose, produces a measurable benefit for the host's health (Hill et al., 2014). Meeting this definition requires evidence of strain-level safety, tolerance of gastrointestinal transit conditions including gastric acidity and bile salts, and a documented mechanism of benefit, criteria considerably more stringent than simple demonstration of in vitro antimicrobial activity.</w:t>
      </w:r>
    </w:p>
    <w:p w14:paraId="3010E0A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recurrently isolated from bee bread and the honeybee gut, has received the most direct evaluation against these criteria. Strains isolated from hive products have demonstrated favourable enzymatic profiles, including β-glucosidase and β-galactosidase activity, low intrinsic antibiotic resistance, inhibitory activity against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in some strains, against </w:t>
      </w:r>
      <w:r w:rsidRPr="00BB1673">
        <w:rPr>
          <w:rFonts w:ascii="Times New Roman" w:eastAsia="Times New Roman" w:hAnsi="Times New Roman" w:cs="Times New Roman"/>
          <w:i/>
          <w:iCs/>
          <w:sz w:val="24"/>
          <w:szCs w:val="24"/>
          <w:lang w:eastAsia="en-GB"/>
        </w:rPr>
        <w:t>Enterococcus faecalis</w:t>
      </w:r>
      <w:r w:rsidRPr="00BB1673">
        <w:rPr>
          <w:rFonts w:ascii="Times New Roman" w:eastAsia="Times New Roman" w:hAnsi="Times New Roman" w:cs="Times New Roman"/>
          <w:sz w:val="24"/>
          <w:szCs w:val="24"/>
          <w:lang w:eastAsia="en-GB"/>
        </w:rPr>
        <w:t xml:space="preserve">, and survival through simulated gastrointestinal transit comparable to or better than that of </w:t>
      </w:r>
      <w:proofErr w:type="spellStart"/>
      <w:r w:rsidRPr="00BB1673">
        <w:rPr>
          <w:rFonts w:ascii="Times New Roman" w:eastAsia="Times New Roman" w:hAnsi="Times New Roman" w:cs="Times New Roman"/>
          <w:i/>
          <w:iCs/>
          <w:sz w:val="24"/>
          <w:szCs w:val="24"/>
          <w:lang w:eastAsia="en-GB"/>
        </w:rPr>
        <w:t>Lacticaseibacillus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rhamnosus</w:t>
      </w:r>
      <w:proofErr w:type="spellEnd"/>
      <w:r w:rsidRPr="00BB1673">
        <w:rPr>
          <w:rFonts w:ascii="Times New Roman" w:eastAsia="Times New Roman" w:hAnsi="Times New Roman" w:cs="Times New Roman"/>
          <w:sz w:val="24"/>
          <w:szCs w:val="24"/>
          <w:lang w:eastAsia="en-GB"/>
        </w:rPr>
        <w:t xml:space="preserve"> GG, a benchmark commercial probiotic strain (</w:t>
      </w: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 The recurrent natural presence of this organism in honey and other traditionally consumed hive products lends indirect support to an argument for its likely safety in human consumption, although this inference falls short of the direct safety and efficacy data that formal regulatory approval would require.</w:t>
      </w:r>
    </w:p>
    <w:p w14:paraId="1287DA3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broader honey-associated LAB consortium characterised by Olofsson, Vásquez and colleagues has similarly been positioned as a candidate source of human-relevant probiotic and antimicrobial material, with the same strains implicated in honey's antibacterial activity against wound pathogens also proposed, on the basis of their natural dietary presence, as candidates for further probiotic development (Vásquez et al., 2012; Olofsson et al., 2016). More broadly, reviews of honey and honeybee-associated bacteria as sources of probiotic and prebiotic products have catalogued a wider range of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from bee bread and honey exhibiting gastrointestinal stress tolerance and prebiotic substrate utilisation relevant to human digestive health, although the authors of these reviews consistently note that most such evidence remains preclinical, derived predominantly from in vitro gastrointestinal simulation rather than controlled human trials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5 summarises the principal candidate strains and the human-relevant probiotic traits documented for each.</w:t>
      </w:r>
    </w:p>
    <w:p w14:paraId="00CA23A8"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5. Candidate Honeybee-Derived Lactic Acid Bacteria Evaluated Against Human Probiotic Criteria</w:t>
      </w:r>
    </w:p>
    <w:tbl>
      <w:tblPr>
        <w:tblStyle w:val="TableGridLight"/>
        <w:tblW w:w="0" w:type="auto"/>
        <w:tblLook w:val="04A0" w:firstRow="1" w:lastRow="0" w:firstColumn="1" w:lastColumn="0" w:noHBand="0" w:noVBand="1"/>
      </w:tblPr>
      <w:tblGrid>
        <w:gridCol w:w="2569"/>
        <w:gridCol w:w="1719"/>
        <w:gridCol w:w="3135"/>
        <w:gridCol w:w="1819"/>
      </w:tblGrid>
      <w:tr w:rsidR="00BB1673" w:rsidRPr="00BB1673" w14:paraId="7A50BB00" w14:textId="77777777" w:rsidTr="00BB1673">
        <w:tc>
          <w:tcPr>
            <w:tcW w:w="0" w:type="auto"/>
            <w:hideMark/>
          </w:tcPr>
          <w:p w14:paraId="65C68AB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Strain / Consortium</w:t>
            </w:r>
          </w:p>
        </w:tc>
        <w:tc>
          <w:tcPr>
            <w:tcW w:w="0" w:type="auto"/>
            <w:hideMark/>
          </w:tcPr>
          <w:p w14:paraId="0CC39E05"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Isolation Source</w:t>
            </w:r>
          </w:p>
        </w:tc>
        <w:tc>
          <w:tcPr>
            <w:tcW w:w="0" w:type="auto"/>
            <w:hideMark/>
          </w:tcPr>
          <w:p w14:paraId="4791CC1B"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Probiotic Trait Demonstrated</w:t>
            </w:r>
          </w:p>
        </w:tc>
        <w:tc>
          <w:tcPr>
            <w:tcW w:w="0" w:type="auto"/>
            <w:hideMark/>
          </w:tcPr>
          <w:p w14:paraId="3F4FFAAE"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48AE4317" w14:textId="77777777" w:rsidTr="00BB1673">
        <w:tc>
          <w:tcPr>
            <w:tcW w:w="0" w:type="auto"/>
            <w:hideMark/>
          </w:tcPr>
          <w:p w14:paraId="0622EE62"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051FD0F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honeybee gut</w:t>
            </w:r>
          </w:p>
        </w:tc>
        <w:tc>
          <w:tcPr>
            <w:tcW w:w="0" w:type="auto"/>
            <w:hideMark/>
          </w:tcPr>
          <w:p w14:paraId="30A133E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Gastrointestinal transit tolerance, low antibiotic resistance, inhibition of </w:t>
            </w:r>
            <w:r w:rsidRPr="00BB1673">
              <w:rPr>
                <w:rFonts w:ascii="Times New Roman" w:eastAsia="Times New Roman" w:hAnsi="Times New Roman" w:cs="Times New Roman"/>
                <w:i/>
                <w:iCs/>
                <w:sz w:val="24"/>
                <w:szCs w:val="24"/>
                <w:lang w:eastAsia="en-GB"/>
              </w:rPr>
              <w:t>P. aeruginosa</w:t>
            </w:r>
          </w:p>
        </w:tc>
        <w:tc>
          <w:tcPr>
            <w:tcW w:w="0" w:type="auto"/>
            <w:hideMark/>
          </w:tcPr>
          <w:p w14:paraId="3351156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w:t>
            </w:r>
          </w:p>
        </w:tc>
      </w:tr>
      <w:tr w:rsidR="00BB1673" w:rsidRPr="00BB1673" w14:paraId="22FE37D7" w14:textId="77777777" w:rsidTr="00BB1673">
        <w:tc>
          <w:tcPr>
            <w:tcW w:w="0" w:type="auto"/>
            <w:hideMark/>
          </w:tcPr>
          <w:p w14:paraId="6050B82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13B662A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Fresh honey (worldwide)</w:t>
            </w:r>
          </w:p>
        </w:tc>
        <w:tc>
          <w:tcPr>
            <w:tcW w:w="0" w:type="auto"/>
            <w:hideMark/>
          </w:tcPr>
          <w:p w14:paraId="56F26A8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Broad antimicrobial spectrum against MRSA, VRE, </w:t>
            </w:r>
            <w:r w:rsidRPr="00BB1673">
              <w:rPr>
                <w:rFonts w:ascii="Times New Roman" w:eastAsia="Times New Roman" w:hAnsi="Times New Roman" w:cs="Times New Roman"/>
                <w:i/>
                <w:iCs/>
                <w:sz w:val="24"/>
                <w:szCs w:val="24"/>
                <w:lang w:eastAsia="en-GB"/>
              </w:rPr>
              <w:t>P. aeruginosa</w:t>
            </w:r>
          </w:p>
        </w:tc>
        <w:tc>
          <w:tcPr>
            <w:tcW w:w="0" w:type="auto"/>
            <w:hideMark/>
          </w:tcPr>
          <w:p w14:paraId="2CED345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 Olofsson et al., 2016</w:t>
            </w:r>
          </w:p>
        </w:tc>
      </w:tr>
      <w:tr w:rsidR="00BB1673" w:rsidRPr="00BB1673" w14:paraId="59715934" w14:textId="77777777" w:rsidTr="00BB1673">
        <w:tc>
          <w:tcPr>
            <w:tcW w:w="0" w:type="auto"/>
            <w:hideMark/>
          </w:tcPr>
          <w:p w14:paraId="0DB0F01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stomach lactic acid bacterial symbionts</w:t>
            </w:r>
          </w:p>
        </w:tc>
        <w:tc>
          <w:tcPr>
            <w:tcW w:w="0" w:type="auto"/>
            <w:hideMark/>
          </w:tcPr>
          <w:p w14:paraId="57F7C36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Honeybee honey stomach</w:t>
            </w:r>
          </w:p>
        </w:tc>
        <w:tc>
          <w:tcPr>
            <w:tcW w:w="0" w:type="auto"/>
            <w:hideMark/>
          </w:tcPr>
          <w:p w14:paraId="570F20F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Inhibition of human chronic wound pathogens (preliminary clinical-context assay)</w:t>
            </w:r>
          </w:p>
        </w:tc>
        <w:tc>
          <w:tcPr>
            <w:tcW w:w="0" w:type="auto"/>
            <w:hideMark/>
          </w:tcPr>
          <w:p w14:paraId="7A70EE4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Butler et al., 2016</w:t>
            </w:r>
          </w:p>
        </w:tc>
      </w:tr>
      <w:tr w:rsidR="00BB1673" w:rsidRPr="00BB1673" w14:paraId="1F675654" w14:textId="77777777" w:rsidTr="00BB1673">
        <w:tc>
          <w:tcPr>
            <w:tcW w:w="0" w:type="auto"/>
            <w:hideMark/>
          </w:tcPr>
          <w:p w14:paraId="6C780A3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w:t>
            </w:r>
            <w:r w:rsidRPr="00BB1673">
              <w:rPr>
                <w:rFonts w:ascii="Times New Roman" w:eastAsia="Times New Roman" w:hAnsi="Times New Roman" w:cs="Times New Roman"/>
                <w:sz w:val="24"/>
                <w:szCs w:val="24"/>
                <w:lang w:eastAsia="en-GB"/>
              </w:rPr>
              <w:lastRenderedPageBreak/>
              <w:t>from bee bread</w:t>
            </w:r>
          </w:p>
        </w:tc>
        <w:tc>
          <w:tcPr>
            <w:tcW w:w="0" w:type="auto"/>
            <w:hideMark/>
          </w:tcPr>
          <w:p w14:paraId="542CB02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Bee bread, fermented </w:t>
            </w:r>
            <w:r w:rsidRPr="00BB1673">
              <w:rPr>
                <w:rFonts w:ascii="Times New Roman" w:eastAsia="Times New Roman" w:hAnsi="Times New Roman" w:cs="Times New Roman"/>
                <w:sz w:val="24"/>
                <w:szCs w:val="24"/>
                <w:lang w:eastAsia="en-GB"/>
              </w:rPr>
              <w:lastRenderedPageBreak/>
              <w:t>pollen</w:t>
            </w:r>
          </w:p>
        </w:tc>
        <w:tc>
          <w:tcPr>
            <w:tcW w:w="0" w:type="auto"/>
            <w:hideMark/>
          </w:tcPr>
          <w:p w14:paraId="516EAFC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Simulated gastrointestinal stress tolerance, prebiotic </w:t>
            </w:r>
            <w:r w:rsidRPr="00BB1673">
              <w:rPr>
                <w:rFonts w:ascii="Times New Roman" w:eastAsia="Times New Roman" w:hAnsi="Times New Roman" w:cs="Times New Roman"/>
                <w:sz w:val="24"/>
                <w:szCs w:val="24"/>
                <w:lang w:eastAsia="en-GB"/>
              </w:rPr>
              <w:lastRenderedPageBreak/>
              <w:t>substrate utilisation</w:t>
            </w:r>
          </w:p>
        </w:tc>
        <w:tc>
          <w:tcPr>
            <w:tcW w:w="0" w:type="auto"/>
            <w:hideMark/>
          </w:tcPr>
          <w:p w14:paraId="1E5AE09B"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lastRenderedPageBreak/>
              <w:t>Mustar</w:t>
            </w:r>
            <w:proofErr w:type="spellEnd"/>
            <w:r w:rsidRPr="00BB1673">
              <w:rPr>
                <w:rFonts w:ascii="Times New Roman" w:eastAsia="Times New Roman" w:hAnsi="Times New Roman" w:cs="Times New Roman"/>
                <w:sz w:val="24"/>
                <w:szCs w:val="24"/>
                <w:lang w:eastAsia="en-GB"/>
              </w:rPr>
              <w:t xml:space="preserve"> &amp; Ibrahim, 2022</w:t>
            </w:r>
          </w:p>
        </w:tc>
      </w:tr>
    </w:tbl>
    <w:p w14:paraId="5A679AF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Taken together, the evidence assembled in this section indicates that several honeybee- and hive-derived organisms satisfy preliminary in vitro criteria for probiotic classification, but none has yet progressed to the controlled human intervention trials that formal validation under the Hill et al. (2014) framework requires. This gap is addressed further in the discussion of future research priorities below.</w:t>
      </w:r>
    </w:p>
    <w:p w14:paraId="53B02C3A"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10. Biotechnological and Engineering Frontiers</w:t>
      </w:r>
    </w:p>
    <w:p w14:paraId="289D7FA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Advances in genetic tractability have opened a further avenue by which the honeybee gut microbiota may inform applications beyond its native antimicrobial functions. The demonstration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can be stably engineered to express targeted double-stranded ribonucleic acid, thereby directing the host's own ribonucleic acid interference machinery against viral and parasitic targets, established the honeybee gut symbiont as a genuinely programmable biological platform rather than solely a passive antimicrobial reservoir (Leonard et al., 2020). Subsequent work has extended the same modular engineering toolkit to develop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-based biosensors capable of reporting on gut chemical conditions non-invasively through faecal sampling, a technical advance that, while developed primarily for fundamental host–microbiota research, illustrates the broader potential for engineered bee symbionts to serve monitoring or diagnostic functions (Chhun et al., 2024).</w:t>
      </w:r>
    </w:p>
    <w:p w14:paraId="3D3696D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These engineering approaches remain at an early, largely laboratory-based stage, and independent commentary has noted specific biological constraints, including the observation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-based interventions act primarily on adult bees rather than on the pre-imaginal life stages where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reproduces, limiting the scope of protection achievable through this particular symbiont without complementary approaches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 Nonetheless, the demonstrated feasibility of directed genetic modification within a native, stably colonising gut bacterium provides a template that could, in principle, be adapted toward engineered delivery of therapeutic peptides or antimicrobial factors, extending the concept of the bee gut microbiota as inherent antimicrobial machinery into a deliberately engineered domain.</w:t>
      </w:r>
    </w:p>
    <w:p w14:paraId="72465F6B"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11. Future Directions</w:t>
      </w:r>
    </w:p>
    <w:p w14:paraId="10C7827C"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Several research priorities emerge from the evidence synthesised in this review. First, strain-level characterisation of candidate honeybee-derived probiotics requires substantial expansion beyond the handful of well-studied organisms discussed above, with particular attention to whole-genome sequencing to confirm the absence of transferable antibiotic-resistance determinants and virulence factors before any strain is proposed for human application, a precaution made more pressing by the documented enrichment of resistance genes in antibiotic-exposed bee microbiota (Daisley et al., 2020). Second, controlled human intervention studies are essential; the existing evidence base rests almost entirely on in vitro antimicrobial assays and simulated gastrointestinal models, and formal validation against the internationally recognised probiotic definition requires demonstrated health benefit in living human subjects, not merely in vitro inhibition of isolated pathogens (Hill et al., 2014). Third, the relationship between environmental stressors, particularly agrochemical exposure and veterinary antibiotic use, and the antimicrobial competence of the bee gut microbiota merits closer integration with One Health surveillance frameworks, given the plausible role of </w:t>
      </w:r>
      <w:r w:rsidRPr="00BB1673">
        <w:rPr>
          <w:rFonts w:ascii="Times New Roman" w:eastAsia="Times New Roman" w:hAnsi="Times New Roman" w:cs="Times New Roman"/>
          <w:sz w:val="24"/>
          <w:szCs w:val="24"/>
          <w:lang w:eastAsia="en-GB"/>
        </w:rPr>
        <w:lastRenderedPageBreak/>
        <w:t xml:space="preserve">managed pollinator populations as an under-monitored node in the broader ecology of antimicrobial resistance (GBD 2021 Antimicrobial Resistance Collaborators, 2024). Fourth, the engineered-symbiont approaches described in Section 10 warrant expansion beyond antiviral and acaricidal applications to explore whether directed expression of antimicrobial peptides or bacteriocin genes within stably colonising strains could enhance native protective capacity, both for bee health and, speculatively, as a platform technology transferable to other applications (Leonard et al., 2020; Chhun et al., 2024). Finally, comparative work across additional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building on the growing body of evidence from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populations, may help distinguish antimicrobial mechanisms that are broadly conserved across the genus from those specific to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thereby clarifying which findings can be generalised with greater confidence (</w:t>
      </w:r>
      <w:proofErr w:type="spellStart"/>
      <w:r w:rsidRPr="00BB1673">
        <w:rPr>
          <w:rFonts w:ascii="Times New Roman" w:eastAsia="Times New Roman" w:hAnsi="Times New Roman" w:cs="Times New Roman"/>
          <w:sz w:val="24"/>
          <w:szCs w:val="24"/>
          <w:lang w:eastAsia="en-GB"/>
        </w:rPr>
        <w:t>Lanh</w:t>
      </w:r>
      <w:proofErr w:type="spellEnd"/>
      <w:r w:rsidRPr="00BB1673">
        <w:rPr>
          <w:rFonts w:ascii="Times New Roman" w:eastAsia="Times New Roman" w:hAnsi="Times New Roman" w:cs="Times New Roman"/>
          <w:sz w:val="24"/>
          <w:szCs w:val="24"/>
          <w:lang w:eastAsia="en-GB"/>
        </w:rPr>
        <w:t xml:space="preserve"> et al., 2022; Yun et al., 2022).</w:t>
      </w:r>
    </w:p>
    <w:p w14:paraId="50E5973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12. Conclusions</w:t>
      </w:r>
    </w:p>
    <w:p w14:paraId="12E67CA9"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microbiota of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functions as a compact but mechanistically diverse antimicrobial system, combining direct metabolite-based antagonism, competitive niche exclusion and host immune priming to protect the bee against a range of bacterial and viral pathogens. This protective capacity extends, through the same bacterial community and the hive products it helps generate, to measurable inhibitory activity against clinically significant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observed in honey, propolis and directly applied lactic acid bacterial isolates. Several individual strains, most notably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the honey-associated lactic acid bacterial consortium first characterised in Swedish honey, satisfy preliminary in vitro criteria consistent with probiotic candidacy. At the same time, the same environmental pressures that threaten honeybee colony health, agrochemical exposure and veterinary antibiotic use foremost among them, also compromise the antimicrobial integrity of the gut microbiota and may promote the accumulation of resistance determinants within it, a finding that tempers any presumption that honeybee-derived material is inherently free of resistance-associated risk. The honeybee gut microbiota therefore represents a genuinely promising, but as yet incompletely validated, source of naturally occurring antimicrobial biology, one whose translation from apicultural observation to human therapeutic application will depend on the strain-level safety characterisation and controlled clinical evaluation identified as priorities above.</w:t>
      </w:r>
    </w:p>
    <w:p w14:paraId="2F491FE9"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13. Limitations</w:t>
      </w:r>
    </w:p>
    <w:p w14:paraId="2359F02F" w14:textId="77777777" w:rsid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review is subject to several limitations that should inform interpretation of its conclusions. The evidence base for human-relevant applications remains small relative to the substantially larger literature on bee-health outcomes, and conclusions regarding human probiotic potential rest on a comparatively narrow set of studies, several of which originate from a small number of research groups, raising the possibility of limited independent replication. Most translational studies to date have relied on in vitro or simulated gastrointestinal assays rather than controlled human trials, and extrapolation from these preclinical findings to genuine clinical benefit should be regarded as provisional. The narrative review methodology adopted here, while appropriate for the interdisciplinary synthesis attempted, does not include the formal quality-appraisal or risk-of-bias scoring associated with systematic review methodology, and the selection and weighting of evidence, although conducted according to the explicit criteria described in the methods section, retains an element of author judgement. Finally, the literature search was restricted to English-language, peer-reviewed publications with verifiable digital object identifiers, a criterion that, </w:t>
      </w:r>
      <w:r w:rsidRPr="00BB1673">
        <w:rPr>
          <w:rFonts w:ascii="Times New Roman" w:eastAsia="Times New Roman" w:hAnsi="Times New Roman" w:cs="Times New Roman"/>
          <w:sz w:val="24"/>
          <w:szCs w:val="24"/>
          <w:lang w:eastAsia="en-GB"/>
        </w:rPr>
        <w:lastRenderedPageBreak/>
        <w:t>while protecting against inclusion of unreliable or fabricated sources, may have excluded relevant regional or non-English-language research, particularly work conducted in regions with substantial apicultural traditions but comparatively limited representation in the indexed international literature.</w:t>
      </w:r>
    </w:p>
    <w:p w14:paraId="39D370D3" w14:textId="77777777" w:rsidR="003668C2" w:rsidRDefault="003668C2" w:rsidP="00BB1673">
      <w:pPr>
        <w:spacing w:before="100" w:beforeAutospacing="1" w:after="100" w:afterAutospacing="1" w:line="240" w:lineRule="auto"/>
        <w:rPr>
          <w:rFonts w:ascii="Times New Roman" w:eastAsia="Times New Roman" w:hAnsi="Times New Roman" w:cs="Times New Roman"/>
          <w:sz w:val="24"/>
          <w:szCs w:val="24"/>
          <w:lang w:eastAsia="en-GB"/>
        </w:rPr>
      </w:pPr>
    </w:p>
    <w:p w14:paraId="223B88F5" w14:textId="77777777" w:rsidR="003668C2" w:rsidRPr="00C04DA0" w:rsidRDefault="003668C2" w:rsidP="003668C2">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6101D3FA" w14:textId="77777777" w:rsidR="003668C2" w:rsidRPr="00C04DA0" w:rsidRDefault="003668C2" w:rsidP="003668C2">
      <w:pPr>
        <w:spacing w:after="0" w:line="240" w:lineRule="auto"/>
        <w:rPr>
          <w:rFonts w:ascii="Times New Roman" w:eastAsia="Calibri" w:hAnsi="Times New Roman" w:cs="Times New Roman"/>
        </w:rPr>
      </w:pPr>
    </w:p>
    <w:p w14:paraId="1E2E07C5" w14:textId="77777777" w:rsidR="003668C2" w:rsidRDefault="003668C2" w:rsidP="003668C2">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6ECE442" w14:textId="77777777" w:rsidR="003668C2" w:rsidRDefault="003668C2" w:rsidP="003668C2">
      <w:pPr>
        <w:spacing w:after="0" w:line="240" w:lineRule="auto"/>
        <w:jc w:val="both"/>
        <w:rPr>
          <w:rFonts w:ascii="Times New Roman" w:eastAsia="Calibri" w:hAnsi="Times New Roman" w:cs="Times New Roman"/>
        </w:rPr>
      </w:pPr>
    </w:p>
    <w:p w14:paraId="28FDB40F" w14:textId="77777777" w:rsidR="003668C2" w:rsidRDefault="003668C2" w:rsidP="003668C2">
      <w:pPr>
        <w:spacing w:after="0" w:line="240" w:lineRule="auto"/>
        <w:jc w:val="both"/>
        <w:rPr>
          <w:rFonts w:ascii="Times New Roman" w:eastAsia="Calibri" w:hAnsi="Times New Roman" w:cs="Times New Roman"/>
        </w:rPr>
      </w:pPr>
    </w:p>
    <w:p w14:paraId="27F1757F" w14:textId="77777777" w:rsidR="003668C2" w:rsidRPr="00DA60C2" w:rsidRDefault="003668C2" w:rsidP="003668C2">
      <w:pPr>
        <w:rPr>
          <w:rFonts w:ascii="Cambria" w:eastAsia="Times New Roman" w:hAnsi="Cambria" w:cs="Arial"/>
          <w:b/>
          <w:bCs/>
          <w:lang w:eastAsia="en-GB"/>
        </w:rPr>
      </w:pPr>
      <w:r w:rsidRPr="00DA60C2">
        <w:rPr>
          <w:rFonts w:ascii="Cambria" w:eastAsia="Times New Roman" w:hAnsi="Cambria" w:cs="Arial"/>
          <w:b/>
          <w:bCs/>
          <w:lang w:eastAsia="en-GB"/>
        </w:rPr>
        <w:t>COMPETING INTERESTS DISCLAIMER:</w:t>
      </w:r>
    </w:p>
    <w:p w14:paraId="75355F00" w14:textId="77777777" w:rsidR="003668C2" w:rsidRPr="00DA60C2" w:rsidRDefault="003668C2" w:rsidP="003668C2">
      <w:pPr>
        <w:rPr>
          <w:rFonts w:ascii="Cambria" w:eastAsia="Times New Roman" w:hAnsi="Cambria" w:cs="Times New Roman"/>
          <w:lang w:eastAsia="en-GB"/>
        </w:rPr>
      </w:pPr>
      <w:r w:rsidRPr="00DA60C2">
        <w:rPr>
          <w:rFonts w:ascii="Cambria" w:eastAsia="Times New Roman" w:hAnsi="Cambria" w:cs="Arial"/>
          <w:lang w:eastAsia="en-GB"/>
        </w:rPr>
        <w:t>Authors have declared that they have no known competing financial interests OR non-financial interests OR personal relationships that could have appeared to influence the work reported in this paper.</w:t>
      </w:r>
    </w:p>
    <w:p w14:paraId="22631720" w14:textId="77777777" w:rsidR="003668C2" w:rsidRPr="00BB1673" w:rsidRDefault="003668C2" w:rsidP="00BB1673">
      <w:pPr>
        <w:spacing w:before="100" w:beforeAutospacing="1" w:after="100" w:afterAutospacing="1" w:line="240" w:lineRule="auto"/>
        <w:rPr>
          <w:rFonts w:ascii="Times New Roman" w:eastAsia="Times New Roman" w:hAnsi="Times New Roman" w:cs="Times New Roman"/>
          <w:sz w:val="24"/>
          <w:szCs w:val="24"/>
          <w:lang w:eastAsia="en-GB"/>
        </w:rPr>
      </w:pPr>
    </w:p>
    <w:p w14:paraId="4C5FF9F0" w14:textId="61739A06" w:rsidR="00BB1673" w:rsidRPr="00BB1673" w:rsidRDefault="00BB1673" w:rsidP="00BB1673">
      <w:pPr>
        <w:spacing w:after="0" w:line="240" w:lineRule="auto"/>
        <w:rPr>
          <w:rFonts w:ascii="Times New Roman" w:eastAsia="Times New Roman" w:hAnsi="Times New Roman" w:cs="Times New Roman"/>
          <w:sz w:val="24"/>
          <w:szCs w:val="24"/>
          <w:lang w:eastAsia="en-GB"/>
        </w:rPr>
      </w:pPr>
    </w:p>
    <w:p w14:paraId="1904553D"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References</w:t>
      </w:r>
    </w:p>
    <w:p w14:paraId="5646D1F6" w14:textId="740AE80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M. S. (2020). Propolis as a novel antibacterial agent. </w:t>
      </w:r>
      <w:r w:rsidRPr="00BB1673">
        <w:rPr>
          <w:rFonts w:ascii="Times New Roman" w:eastAsia="Times New Roman" w:hAnsi="Times New Roman" w:cs="Times New Roman"/>
          <w:i/>
          <w:iCs/>
          <w:sz w:val="24"/>
          <w:szCs w:val="24"/>
          <w:lang w:eastAsia="en-GB"/>
        </w:rPr>
        <w:t>Saudi Journal of Biological Sciences, 27</w:t>
      </w:r>
      <w:r w:rsidRPr="00BB1673">
        <w:rPr>
          <w:rFonts w:ascii="Times New Roman" w:eastAsia="Times New Roman" w:hAnsi="Times New Roman" w:cs="Times New Roman"/>
          <w:sz w:val="24"/>
          <w:szCs w:val="24"/>
          <w:lang w:eastAsia="en-GB"/>
        </w:rPr>
        <w:t xml:space="preserve">(11), 3079–3086. </w:t>
      </w:r>
      <w:r w:rsidRPr="00BB1673">
        <w:rPr>
          <w:rFonts w:ascii="Times New Roman" w:eastAsia="Times New Roman" w:hAnsi="Times New Roman" w:cs="Times New Roman"/>
          <w:color w:val="0000FF"/>
          <w:sz w:val="24"/>
          <w:szCs w:val="24"/>
          <w:u w:val="single"/>
          <w:lang w:eastAsia="en-GB"/>
        </w:rPr>
        <w:t>https://doi.org/10.1016/j.sjbs.2020.09.016</w:t>
      </w:r>
    </w:p>
    <w:p w14:paraId="75F1AB2C" w14:textId="18FB918A"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Antimicrobial Resistance Collaborators. (2022). Global burden of bacterial antimicrobial resistance in 2019: A systematic analysis. </w:t>
      </w:r>
      <w:r w:rsidRPr="00BB1673">
        <w:rPr>
          <w:rFonts w:ascii="Times New Roman" w:eastAsia="Times New Roman" w:hAnsi="Times New Roman" w:cs="Times New Roman"/>
          <w:i/>
          <w:iCs/>
          <w:sz w:val="24"/>
          <w:szCs w:val="24"/>
          <w:lang w:eastAsia="en-GB"/>
        </w:rPr>
        <w:t>The Lancet, 399</w:t>
      </w:r>
      <w:r w:rsidRPr="00BB1673">
        <w:rPr>
          <w:rFonts w:ascii="Times New Roman" w:eastAsia="Times New Roman" w:hAnsi="Times New Roman" w:cs="Times New Roman"/>
          <w:sz w:val="24"/>
          <w:szCs w:val="24"/>
          <w:lang w:eastAsia="en-GB"/>
        </w:rPr>
        <w:t xml:space="preserve">(10325), 629–655. </w:t>
      </w:r>
      <w:r w:rsidRPr="00BB1673">
        <w:rPr>
          <w:rFonts w:ascii="Times New Roman" w:eastAsia="Times New Roman" w:hAnsi="Times New Roman" w:cs="Times New Roman"/>
          <w:color w:val="0000FF"/>
          <w:sz w:val="24"/>
          <w:szCs w:val="24"/>
          <w:u w:val="single"/>
          <w:lang w:eastAsia="en-GB"/>
        </w:rPr>
        <w:t>https://doi.org/10.1016/S0140-6736(21)02724-0</w:t>
      </w:r>
    </w:p>
    <w:p w14:paraId="5340AAE6" w14:textId="0B023E7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Bouchelaghem, S., Das, S., </w:t>
      </w:r>
      <w:proofErr w:type="spellStart"/>
      <w:r w:rsidRPr="00BB1673">
        <w:rPr>
          <w:rFonts w:ascii="Times New Roman" w:eastAsia="Times New Roman" w:hAnsi="Times New Roman" w:cs="Times New Roman"/>
          <w:sz w:val="24"/>
          <w:szCs w:val="24"/>
          <w:lang w:eastAsia="en-GB"/>
        </w:rPr>
        <w:t>Naorem</w:t>
      </w:r>
      <w:proofErr w:type="spellEnd"/>
      <w:r w:rsidRPr="00BB1673">
        <w:rPr>
          <w:rFonts w:ascii="Times New Roman" w:eastAsia="Times New Roman" w:hAnsi="Times New Roman" w:cs="Times New Roman"/>
          <w:sz w:val="24"/>
          <w:szCs w:val="24"/>
          <w:lang w:eastAsia="en-GB"/>
        </w:rPr>
        <w:t xml:space="preserve">, R. S., </w:t>
      </w:r>
      <w:proofErr w:type="spellStart"/>
      <w:r w:rsidRPr="00BB1673">
        <w:rPr>
          <w:rFonts w:ascii="Times New Roman" w:eastAsia="Times New Roman" w:hAnsi="Times New Roman" w:cs="Times New Roman"/>
          <w:sz w:val="24"/>
          <w:szCs w:val="24"/>
          <w:lang w:eastAsia="en-GB"/>
        </w:rPr>
        <w:t>Czuni</w:t>
      </w:r>
      <w:proofErr w:type="spellEnd"/>
      <w:r w:rsidRPr="00BB1673">
        <w:rPr>
          <w:rFonts w:ascii="Times New Roman" w:eastAsia="Times New Roman" w:hAnsi="Times New Roman" w:cs="Times New Roman"/>
          <w:sz w:val="24"/>
          <w:szCs w:val="24"/>
          <w:lang w:eastAsia="en-GB"/>
        </w:rPr>
        <w:t xml:space="preserve">, L., Papp, G., &amp; Kocsis, M. (2022). Evaluation of total phenolic and flavonoid contents, antibacterial and antibiofilm activities of Hungarian propolis ethanolic extract against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Molecules, 27</w:t>
      </w:r>
      <w:r w:rsidRPr="00BB1673">
        <w:rPr>
          <w:rFonts w:ascii="Times New Roman" w:eastAsia="Times New Roman" w:hAnsi="Times New Roman" w:cs="Times New Roman"/>
          <w:sz w:val="24"/>
          <w:szCs w:val="24"/>
          <w:lang w:eastAsia="en-GB"/>
        </w:rPr>
        <w:t xml:space="preserve">(2), 574. </w:t>
      </w:r>
      <w:r w:rsidRPr="00BB1673">
        <w:rPr>
          <w:rFonts w:ascii="Times New Roman" w:eastAsia="Times New Roman" w:hAnsi="Times New Roman" w:cs="Times New Roman"/>
          <w:color w:val="0000FF"/>
          <w:sz w:val="24"/>
          <w:szCs w:val="24"/>
          <w:u w:val="single"/>
          <w:lang w:eastAsia="en-GB"/>
        </w:rPr>
        <w:t>https://doi.org/10.3390/molecules27020574</w:t>
      </w:r>
    </w:p>
    <w:p w14:paraId="72E91364" w14:textId="715D5FD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Butler, É., Oien, R. F., Lindholm, C., Olofsson, T. C., Nilson, B., &amp; Vásquez, A. (2016). A pilot study investigating lactic acid bacterial symbionts from the honeybee in inhibiting human chronic wound pathogens. </w:t>
      </w:r>
      <w:r w:rsidRPr="00BB1673">
        <w:rPr>
          <w:rFonts w:ascii="Times New Roman" w:eastAsia="Times New Roman" w:hAnsi="Times New Roman" w:cs="Times New Roman"/>
          <w:i/>
          <w:iCs/>
          <w:sz w:val="24"/>
          <w:szCs w:val="24"/>
          <w:lang w:eastAsia="en-GB"/>
        </w:rPr>
        <w:t>International Wound Journal, 13</w:t>
      </w:r>
      <w:r w:rsidRPr="00BB1673">
        <w:rPr>
          <w:rFonts w:ascii="Times New Roman" w:eastAsia="Times New Roman" w:hAnsi="Times New Roman" w:cs="Times New Roman"/>
          <w:sz w:val="24"/>
          <w:szCs w:val="24"/>
          <w:lang w:eastAsia="en-GB"/>
        </w:rPr>
        <w:t xml:space="preserve">(5), 729–737. </w:t>
      </w:r>
      <w:r w:rsidRPr="00BB1673">
        <w:rPr>
          <w:rFonts w:ascii="Times New Roman" w:eastAsia="Times New Roman" w:hAnsi="Times New Roman" w:cs="Times New Roman"/>
          <w:color w:val="0000FF"/>
          <w:sz w:val="24"/>
          <w:szCs w:val="24"/>
          <w:u w:val="single"/>
          <w:lang w:eastAsia="en-GB"/>
        </w:rPr>
        <w:t>https://doi.org/10.1111/iwj.12360</w:t>
      </w:r>
    </w:p>
    <w:p w14:paraId="7299DB5C" w14:textId="2B2B2B9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Chhun, A., </w:t>
      </w:r>
      <w:proofErr w:type="spellStart"/>
      <w:r w:rsidRPr="00BB1673">
        <w:rPr>
          <w:rFonts w:ascii="Times New Roman" w:eastAsia="Times New Roman" w:hAnsi="Times New Roman" w:cs="Times New Roman"/>
          <w:sz w:val="24"/>
          <w:szCs w:val="24"/>
          <w:lang w:eastAsia="en-GB"/>
        </w:rPr>
        <w:t>Moriano</w:t>
      </w:r>
      <w:proofErr w:type="spellEnd"/>
      <w:r w:rsidRPr="00BB1673">
        <w:rPr>
          <w:rFonts w:ascii="Times New Roman" w:eastAsia="Times New Roman" w:hAnsi="Times New Roman" w:cs="Times New Roman"/>
          <w:sz w:val="24"/>
          <w:szCs w:val="24"/>
          <w:lang w:eastAsia="en-GB"/>
        </w:rPr>
        <w:t xml:space="preserve">-Gutierrez, S., Zoppi, F., </w:t>
      </w:r>
      <w:proofErr w:type="spellStart"/>
      <w:r w:rsidRPr="00BB1673">
        <w:rPr>
          <w:rFonts w:ascii="Times New Roman" w:eastAsia="Times New Roman" w:hAnsi="Times New Roman" w:cs="Times New Roman"/>
          <w:sz w:val="24"/>
          <w:szCs w:val="24"/>
          <w:lang w:eastAsia="en-GB"/>
        </w:rPr>
        <w:t>Cabirol</w:t>
      </w:r>
      <w:proofErr w:type="spellEnd"/>
      <w:r w:rsidRPr="00BB1673">
        <w:rPr>
          <w:rFonts w:ascii="Times New Roman" w:eastAsia="Times New Roman" w:hAnsi="Times New Roman" w:cs="Times New Roman"/>
          <w:sz w:val="24"/>
          <w:szCs w:val="24"/>
          <w:lang w:eastAsia="en-GB"/>
        </w:rPr>
        <w:t xml:space="preserve">, A., Engel, P., &amp; </w:t>
      </w:r>
      <w:proofErr w:type="spellStart"/>
      <w:r w:rsidRPr="00BB1673">
        <w:rPr>
          <w:rFonts w:ascii="Times New Roman" w:eastAsia="Times New Roman" w:hAnsi="Times New Roman" w:cs="Times New Roman"/>
          <w:sz w:val="24"/>
          <w:szCs w:val="24"/>
          <w:lang w:eastAsia="en-GB"/>
        </w:rPr>
        <w:t>Schaerli</w:t>
      </w:r>
      <w:proofErr w:type="spellEnd"/>
      <w:r w:rsidRPr="00BB1673">
        <w:rPr>
          <w:rFonts w:ascii="Times New Roman" w:eastAsia="Times New Roman" w:hAnsi="Times New Roman" w:cs="Times New Roman"/>
          <w:sz w:val="24"/>
          <w:szCs w:val="24"/>
          <w:lang w:eastAsia="en-GB"/>
        </w:rPr>
        <w:t xml:space="preserve">, Y. (2024). An engineered bacterial symbiont allows </w:t>
      </w:r>
      <w:proofErr w:type="spellStart"/>
      <w:r w:rsidRPr="00BB1673">
        <w:rPr>
          <w:rFonts w:ascii="Times New Roman" w:eastAsia="Times New Roman" w:hAnsi="Times New Roman" w:cs="Times New Roman"/>
          <w:sz w:val="24"/>
          <w:szCs w:val="24"/>
          <w:lang w:eastAsia="en-GB"/>
        </w:rPr>
        <w:t>noninvasive</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biosensing</w:t>
      </w:r>
      <w:proofErr w:type="spellEnd"/>
      <w:r w:rsidRPr="00BB1673">
        <w:rPr>
          <w:rFonts w:ascii="Times New Roman" w:eastAsia="Times New Roman" w:hAnsi="Times New Roman" w:cs="Times New Roman"/>
          <w:sz w:val="24"/>
          <w:szCs w:val="24"/>
          <w:lang w:eastAsia="en-GB"/>
        </w:rPr>
        <w:t xml:space="preserve"> of the honey bee gut environment. </w:t>
      </w:r>
      <w:r w:rsidRPr="00BB1673">
        <w:rPr>
          <w:rFonts w:ascii="Times New Roman" w:eastAsia="Times New Roman" w:hAnsi="Times New Roman" w:cs="Times New Roman"/>
          <w:i/>
          <w:iCs/>
          <w:sz w:val="24"/>
          <w:szCs w:val="24"/>
          <w:lang w:eastAsia="en-GB"/>
        </w:rPr>
        <w:t>PLOS Biology, 22</w:t>
      </w:r>
      <w:r w:rsidRPr="00BB1673">
        <w:rPr>
          <w:rFonts w:ascii="Times New Roman" w:eastAsia="Times New Roman" w:hAnsi="Times New Roman" w:cs="Times New Roman"/>
          <w:sz w:val="24"/>
          <w:szCs w:val="24"/>
          <w:lang w:eastAsia="en-GB"/>
        </w:rPr>
        <w:t xml:space="preserve">(3), e3002523. </w:t>
      </w:r>
      <w:r w:rsidRPr="00BB1673">
        <w:rPr>
          <w:rFonts w:ascii="Times New Roman" w:eastAsia="Times New Roman" w:hAnsi="Times New Roman" w:cs="Times New Roman"/>
          <w:color w:val="0000FF"/>
          <w:sz w:val="24"/>
          <w:szCs w:val="24"/>
          <w:u w:val="single"/>
          <w:lang w:eastAsia="en-GB"/>
        </w:rPr>
        <w:t>https://doi.org/10.1371/journal.pbio.3002523</w:t>
      </w:r>
    </w:p>
    <w:p w14:paraId="13815854" w14:textId="3BD2250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Corby-Harris, V., Maes, P., &amp; Anderson, K. E. (2014). The bacterial communities associated with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foragers.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9</w:t>
      </w:r>
      <w:r w:rsidRPr="00BB1673">
        <w:rPr>
          <w:rFonts w:ascii="Times New Roman" w:eastAsia="Times New Roman" w:hAnsi="Times New Roman" w:cs="Times New Roman"/>
          <w:sz w:val="24"/>
          <w:szCs w:val="24"/>
          <w:lang w:eastAsia="en-GB"/>
        </w:rPr>
        <w:t xml:space="preserve">(4), e95056. </w:t>
      </w:r>
      <w:r w:rsidRPr="00BB1673">
        <w:rPr>
          <w:rFonts w:ascii="Times New Roman" w:eastAsia="Times New Roman" w:hAnsi="Times New Roman" w:cs="Times New Roman"/>
          <w:color w:val="0000FF"/>
          <w:sz w:val="24"/>
          <w:szCs w:val="24"/>
          <w:u w:val="single"/>
          <w:lang w:eastAsia="en-GB"/>
        </w:rPr>
        <w:t>https://doi.org/10.1371/journal.pone.0095056</w:t>
      </w:r>
    </w:p>
    <w:p w14:paraId="64264463" w14:textId="5F19B3D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Daisley, B. A., Pitek, A. P., Chmiel, J. A., Gibbons, S., Chernyshova, A. M., Al, K. F., Faragalla, K. M., Burton, J. P., Thompson, G. J., &amp; Reid, G. (2020).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 attenuate antibiotic-induced immune and microbiota dysregulation in honey bees. </w:t>
      </w:r>
      <w:r w:rsidRPr="00BB1673">
        <w:rPr>
          <w:rFonts w:ascii="Times New Roman" w:eastAsia="Times New Roman" w:hAnsi="Times New Roman" w:cs="Times New Roman"/>
          <w:i/>
          <w:iCs/>
          <w:sz w:val="24"/>
          <w:szCs w:val="24"/>
          <w:lang w:eastAsia="en-GB"/>
        </w:rPr>
        <w:t>Communications Biology, 3</w:t>
      </w:r>
      <w:r w:rsidRPr="00BB1673">
        <w:rPr>
          <w:rFonts w:ascii="Times New Roman" w:eastAsia="Times New Roman" w:hAnsi="Times New Roman" w:cs="Times New Roman"/>
          <w:sz w:val="24"/>
          <w:szCs w:val="24"/>
          <w:lang w:eastAsia="en-GB"/>
        </w:rPr>
        <w:t xml:space="preserve">, Article 534. </w:t>
      </w:r>
      <w:r w:rsidRPr="00BB1673">
        <w:rPr>
          <w:rFonts w:ascii="Times New Roman" w:eastAsia="Times New Roman" w:hAnsi="Times New Roman" w:cs="Times New Roman"/>
          <w:color w:val="0000FF"/>
          <w:sz w:val="24"/>
          <w:szCs w:val="24"/>
          <w:u w:val="single"/>
          <w:lang w:eastAsia="en-GB"/>
        </w:rPr>
        <w:t>https://doi.org/10.1038/s42003-020-01259-8</w:t>
      </w:r>
    </w:p>
    <w:p w14:paraId="2B1A7ACF" w14:textId="4B0E9D8D"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Dong, Z.-X., Li, H.-Y., Chen, Y.-F., Wang, F., Deng, X.-Y., Lin, L.-B., Zhang, Q.-L., Li, J.-L., &amp; Guo, J. (2020). Colonization of the gut microbiota of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workers at different developmental stages. </w:t>
      </w:r>
      <w:r w:rsidRPr="00BB1673">
        <w:rPr>
          <w:rFonts w:ascii="Times New Roman" w:eastAsia="Times New Roman" w:hAnsi="Times New Roman" w:cs="Times New Roman"/>
          <w:i/>
          <w:iCs/>
          <w:sz w:val="24"/>
          <w:szCs w:val="24"/>
          <w:lang w:eastAsia="en-GB"/>
        </w:rPr>
        <w:t>Microbiological Research, 231</w:t>
      </w:r>
      <w:r w:rsidRPr="00BB1673">
        <w:rPr>
          <w:rFonts w:ascii="Times New Roman" w:eastAsia="Times New Roman" w:hAnsi="Times New Roman" w:cs="Times New Roman"/>
          <w:sz w:val="24"/>
          <w:szCs w:val="24"/>
          <w:lang w:eastAsia="en-GB"/>
        </w:rPr>
        <w:t xml:space="preserve">, Article 126370. </w:t>
      </w:r>
      <w:r w:rsidRPr="00BB1673">
        <w:rPr>
          <w:rFonts w:ascii="Times New Roman" w:eastAsia="Times New Roman" w:hAnsi="Times New Roman" w:cs="Times New Roman"/>
          <w:color w:val="0000FF"/>
          <w:sz w:val="24"/>
          <w:szCs w:val="24"/>
          <w:u w:val="single"/>
          <w:lang w:eastAsia="en-GB"/>
        </w:rPr>
        <w:t>https://doi.org/10.1016/j.micres.2019.126370</w:t>
      </w:r>
    </w:p>
    <w:p w14:paraId="31E61FCE" w14:textId="4FD423E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Engel, P., Martinson, V. G., &amp; Moran, N. A. (2012). Functional diversity within the simple gut microbiota of the honey bee. </w:t>
      </w:r>
      <w:r w:rsidRPr="00BB1673">
        <w:rPr>
          <w:rFonts w:ascii="Times New Roman" w:eastAsia="Times New Roman" w:hAnsi="Times New Roman" w:cs="Times New Roman"/>
          <w:i/>
          <w:iCs/>
          <w:sz w:val="24"/>
          <w:szCs w:val="24"/>
          <w:lang w:eastAsia="en-GB"/>
        </w:rPr>
        <w:t>Proceedings of the National Academy of Sciences, 109</w:t>
      </w:r>
      <w:r w:rsidRPr="00BB1673">
        <w:rPr>
          <w:rFonts w:ascii="Times New Roman" w:eastAsia="Times New Roman" w:hAnsi="Times New Roman" w:cs="Times New Roman"/>
          <w:sz w:val="24"/>
          <w:szCs w:val="24"/>
          <w:lang w:eastAsia="en-GB"/>
        </w:rPr>
        <w:t xml:space="preserve">(27), 11002–11007. </w:t>
      </w:r>
      <w:r w:rsidRPr="00BB1673">
        <w:rPr>
          <w:rFonts w:ascii="Times New Roman" w:eastAsia="Times New Roman" w:hAnsi="Times New Roman" w:cs="Times New Roman"/>
          <w:color w:val="0000FF"/>
          <w:sz w:val="24"/>
          <w:szCs w:val="24"/>
          <w:u w:val="single"/>
          <w:lang w:eastAsia="en-GB"/>
        </w:rPr>
        <w:t>https://doi.org/10.1073/pnas.1202970109</w:t>
      </w:r>
    </w:p>
    <w:p w14:paraId="645EFC0C" w14:textId="5FE4741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GBD 2021 Antimicrobial Resistance Collaborators. (2024). Global burden of bacterial antimicrobial resistance 1990–2021: A systematic analysis with forecasts to 2050. </w:t>
      </w:r>
      <w:r w:rsidRPr="00BB1673">
        <w:rPr>
          <w:rFonts w:ascii="Times New Roman" w:eastAsia="Times New Roman" w:hAnsi="Times New Roman" w:cs="Times New Roman"/>
          <w:i/>
          <w:iCs/>
          <w:sz w:val="24"/>
          <w:szCs w:val="24"/>
          <w:lang w:eastAsia="en-GB"/>
        </w:rPr>
        <w:t>The Lancet, 404</w:t>
      </w:r>
      <w:r w:rsidRPr="00BB1673">
        <w:rPr>
          <w:rFonts w:ascii="Times New Roman" w:eastAsia="Times New Roman" w:hAnsi="Times New Roman" w:cs="Times New Roman"/>
          <w:sz w:val="24"/>
          <w:szCs w:val="24"/>
          <w:lang w:eastAsia="en-GB"/>
        </w:rPr>
        <w:t xml:space="preserve">(10459), 1199–1226. </w:t>
      </w:r>
      <w:r w:rsidRPr="00BB1673">
        <w:rPr>
          <w:rFonts w:ascii="Times New Roman" w:eastAsia="Times New Roman" w:hAnsi="Times New Roman" w:cs="Times New Roman"/>
          <w:color w:val="0000FF"/>
          <w:sz w:val="24"/>
          <w:szCs w:val="24"/>
          <w:u w:val="single"/>
          <w:lang w:eastAsia="en-GB"/>
        </w:rPr>
        <w:t>https://doi.org/10.1016/S0140-6736(24)01867-1</w:t>
      </w:r>
    </w:p>
    <w:p w14:paraId="2AF84CE0" w14:textId="267C730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Green, B. N., Johnson, C. D., &amp; Adams, A. (2006). Writing narrative literature reviews for peer-reviewed journals: Secrets of the trade. </w:t>
      </w:r>
      <w:r w:rsidRPr="00BB1673">
        <w:rPr>
          <w:rFonts w:ascii="Times New Roman" w:eastAsia="Times New Roman" w:hAnsi="Times New Roman" w:cs="Times New Roman"/>
          <w:i/>
          <w:iCs/>
          <w:sz w:val="24"/>
          <w:szCs w:val="24"/>
          <w:lang w:eastAsia="en-GB"/>
        </w:rPr>
        <w:t>Journal of Chiropractic Medicine, 5</w:t>
      </w:r>
      <w:r w:rsidRPr="00BB1673">
        <w:rPr>
          <w:rFonts w:ascii="Times New Roman" w:eastAsia="Times New Roman" w:hAnsi="Times New Roman" w:cs="Times New Roman"/>
          <w:sz w:val="24"/>
          <w:szCs w:val="24"/>
          <w:lang w:eastAsia="en-GB"/>
        </w:rPr>
        <w:t xml:space="preserve">(3), 101–117. </w:t>
      </w:r>
      <w:r w:rsidRPr="00BB1673">
        <w:rPr>
          <w:rFonts w:ascii="Times New Roman" w:eastAsia="Times New Roman" w:hAnsi="Times New Roman" w:cs="Times New Roman"/>
          <w:color w:val="0000FF"/>
          <w:sz w:val="24"/>
          <w:szCs w:val="24"/>
          <w:u w:val="single"/>
          <w:lang w:eastAsia="en-GB"/>
        </w:rPr>
        <w:t>https://doi.org/10.1016/S0899-3467(07)60142-6</w:t>
      </w:r>
    </w:p>
    <w:p w14:paraId="12A9F22A" w14:textId="46F0619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Hill, C., </w:t>
      </w:r>
      <w:proofErr w:type="spellStart"/>
      <w:r w:rsidRPr="00BB1673">
        <w:rPr>
          <w:rFonts w:ascii="Times New Roman" w:eastAsia="Times New Roman" w:hAnsi="Times New Roman" w:cs="Times New Roman"/>
          <w:sz w:val="24"/>
          <w:szCs w:val="24"/>
          <w:lang w:eastAsia="en-GB"/>
        </w:rPr>
        <w:t>Guarner</w:t>
      </w:r>
      <w:proofErr w:type="spellEnd"/>
      <w:r w:rsidRPr="00BB1673">
        <w:rPr>
          <w:rFonts w:ascii="Times New Roman" w:eastAsia="Times New Roman" w:hAnsi="Times New Roman" w:cs="Times New Roman"/>
          <w:sz w:val="24"/>
          <w:szCs w:val="24"/>
          <w:lang w:eastAsia="en-GB"/>
        </w:rPr>
        <w:t xml:space="preserve">, F., Reid, G., Gibson, G. R., Merenstein, D. J., Pot, B., Morelli, L., </w:t>
      </w:r>
      <w:proofErr w:type="spellStart"/>
      <w:r w:rsidRPr="00BB1673">
        <w:rPr>
          <w:rFonts w:ascii="Times New Roman" w:eastAsia="Times New Roman" w:hAnsi="Times New Roman" w:cs="Times New Roman"/>
          <w:sz w:val="24"/>
          <w:szCs w:val="24"/>
          <w:lang w:eastAsia="en-GB"/>
        </w:rPr>
        <w:t>Canani</w:t>
      </w:r>
      <w:proofErr w:type="spellEnd"/>
      <w:r w:rsidRPr="00BB1673">
        <w:rPr>
          <w:rFonts w:ascii="Times New Roman" w:eastAsia="Times New Roman" w:hAnsi="Times New Roman" w:cs="Times New Roman"/>
          <w:sz w:val="24"/>
          <w:szCs w:val="24"/>
          <w:lang w:eastAsia="en-GB"/>
        </w:rPr>
        <w:t xml:space="preserve">, R. B., Flint, H. J., Salminen, S., Calder, P. C., &amp; Sanders, M. E. (2014). Expert consensus document: The International Scientific Association for Probiotics and Prebiotics consensus statement on the scope and appropriate use of the term probiotic. </w:t>
      </w:r>
      <w:r w:rsidRPr="00BB1673">
        <w:rPr>
          <w:rFonts w:ascii="Times New Roman" w:eastAsia="Times New Roman" w:hAnsi="Times New Roman" w:cs="Times New Roman"/>
          <w:i/>
          <w:iCs/>
          <w:sz w:val="24"/>
          <w:szCs w:val="24"/>
          <w:lang w:eastAsia="en-GB"/>
        </w:rPr>
        <w:t>Nature Reviews Gastroenterology &amp; Hepatology, 11</w:t>
      </w:r>
      <w:r w:rsidRPr="00BB1673">
        <w:rPr>
          <w:rFonts w:ascii="Times New Roman" w:eastAsia="Times New Roman" w:hAnsi="Times New Roman" w:cs="Times New Roman"/>
          <w:sz w:val="24"/>
          <w:szCs w:val="24"/>
          <w:lang w:eastAsia="en-GB"/>
        </w:rPr>
        <w:t xml:space="preserve">(8), 506–514. </w:t>
      </w:r>
      <w:r w:rsidRPr="00BB1673">
        <w:rPr>
          <w:rFonts w:ascii="Times New Roman" w:eastAsia="Times New Roman" w:hAnsi="Times New Roman" w:cs="Times New Roman"/>
          <w:color w:val="0000FF"/>
          <w:sz w:val="24"/>
          <w:szCs w:val="24"/>
          <w:u w:val="single"/>
          <w:lang w:eastAsia="en-GB"/>
        </w:rPr>
        <w:t>https://doi.org/10.1038/nrgastro.2014.66</w:t>
      </w:r>
    </w:p>
    <w:p w14:paraId="1CBBDEFF" w14:textId="737AE498"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Engel, P., Koch, H., &amp; Moran, N. A. (2014). Genomics and host specialization of honey bee and bumble bee gut symbionts. </w:t>
      </w:r>
      <w:r w:rsidRPr="00BB1673">
        <w:rPr>
          <w:rFonts w:ascii="Times New Roman" w:eastAsia="Times New Roman" w:hAnsi="Times New Roman" w:cs="Times New Roman"/>
          <w:i/>
          <w:iCs/>
          <w:sz w:val="24"/>
          <w:szCs w:val="24"/>
          <w:lang w:eastAsia="en-GB"/>
        </w:rPr>
        <w:t>Proceedings of the National Academy of Sciences, 111</w:t>
      </w:r>
      <w:r w:rsidRPr="00BB1673">
        <w:rPr>
          <w:rFonts w:ascii="Times New Roman" w:eastAsia="Times New Roman" w:hAnsi="Times New Roman" w:cs="Times New Roman"/>
          <w:sz w:val="24"/>
          <w:szCs w:val="24"/>
          <w:lang w:eastAsia="en-GB"/>
        </w:rPr>
        <w:t xml:space="preserve">(31), 11509–11514. </w:t>
      </w:r>
      <w:r w:rsidRPr="00BB1673">
        <w:rPr>
          <w:rFonts w:ascii="Times New Roman" w:eastAsia="Times New Roman" w:hAnsi="Times New Roman" w:cs="Times New Roman"/>
          <w:color w:val="0000FF"/>
          <w:sz w:val="24"/>
          <w:szCs w:val="24"/>
          <w:u w:val="single"/>
          <w:lang w:eastAsia="en-GB"/>
        </w:rPr>
        <w:t>https://doi.org/10.1073/pnas.1405838111</w:t>
      </w:r>
    </w:p>
    <w:p w14:paraId="6E6696C7" w14:textId="32E4674B"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w:t>
      </w:r>
      <w:proofErr w:type="spellStart"/>
      <w:r w:rsidRPr="00BB1673">
        <w:rPr>
          <w:rFonts w:ascii="Times New Roman" w:eastAsia="Times New Roman" w:hAnsi="Times New Roman" w:cs="Times New Roman"/>
          <w:sz w:val="24"/>
          <w:szCs w:val="24"/>
          <w:lang w:eastAsia="en-GB"/>
        </w:rPr>
        <w:t>Mancenido</w:t>
      </w:r>
      <w:proofErr w:type="spellEnd"/>
      <w:r w:rsidRPr="00BB1673">
        <w:rPr>
          <w:rFonts w:ascii="Times New Roman" w:eastAsia="Times New Roman" w:hAnsi="Times New Roman" w:cs="Times New Roman"/>
          <w:sz w:val="24"/>
          <w:szCs w:val="24"/>
          <w:lang w:eastAsia="en-GB"/>
        </w:rPr>
        <w:t xml:space="preserve">, A. L., &amp; Moran, N. A. (2017). Immune system stimulation by the native gut microbiota of honey bees. </w:t>
      </w:r>
      <w:r w:rsidRPr="00BB1673">
        <w:rPr>
          <w:rFonts w:ascii="Times New Roman" w:eastAsia="Times New Roman" w:hAnsi="Times New Roman" w:cs="Times New Roman"/>
          <w:i/>
          <w:iCs/>
          <w:sz w:val="24"/>
          <w:szCs w:val="24"/>
          <w:lang w:eastAsia="en-GB"/>
        </w:rPr>
        <w:t>Royal Society Open Science, 4</w:t>
      </w:r>
      <w:r w:rsidRPr="00BB1673">
        <w:rPr>
          <w:rFonts w:ascii="Times New Roman" w:eastAsia="Times New Roman" w:hAnsi="Times New Roman" w:cs="Times New Roman"/>
          <w:sz w:val="24"/>
          <w:szCs w:val="24"/>
          <w:lang w:eastAsia="en-GB"/>
        </w:rPr>
        <w:t xml:space="preserve">(2), Article 170003. </w:t>
      </w:r>
      <w:r w:rsidRPr="00BB1673">
        <w:rPr>
          <w:rFonts w:ascii="Times New Roman" w:eastAsia="Times New Roman" w:hAnsi="Times New Roman" w:cs="Times New Roman"/>
          <w:color w:val="0000FF"/>
          <w:sz w:val="24"/>
          <w:szCs w:val="24"/>
          <w:u w:val="single"/>
          <w:lang w:eastAsia="en-GB"/>
        </w:rPr>
        <w:t>https://doi.org/10.1098/rsos.170003</w:t>
      </w:r>
    </w:p>
    <w:p w14:paraId="70B34EB2" w14:textId="778CC694"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&amp; Moran, N. A. (2016). Gut microbial communities of social bees. </w:t>
      </w:r>
      <w:r w:rsidRPr="00BB1673">
        <w:rPr>
          <w:rFonts w:ascii="Times New Roman" w:eastAsia="Times New Roman" w:hAnsi="Times New Roman" w:cs="Times New Roman"/>
          <w:i/>
          <w:iCs/>
          <w:sz w:val="24"/>
          <w:szCs w:val="24"/>
          <w:lang w:eastAsia="en-GB"/>
        </w:rPr>
        <w:t>Nature Reviews Microbiology, 14</w:t>
      </w:r>
      <w:r w:rsidRPr="00BB1673">
        <w:rPr>
          <w:rFonts w:ascii="Times New Roman" w:eastAsia="Times New Roman" w:hAnsi="Times New Roman" w:cs="Times New Roman"/>
          <w:sz w:val="24"/>
          <w:szCs w:val="24"/>
          <w:lang w:eastAsia="en-GB"/>
        </w:rPr>
        <w:t xml:space="preserve">(6), 374–384. </w:t>
      </w:r>
      <w:r w:rsidRPr="00BB1673">
        <w:rPr>
          <w:rFonts w:ascii="Times New Roman" w:eastAsia="Times New Roman" w:hAnsi="Times New Roman" w:cs="Times New Roman"/>
          <w:color w:val="0000FF"/>
          <w:sz w:val="24"/>
          <w:szCs w:val="24"/>
          <w:u w:val="single"/>
          <w:lang w:eastAsia="en-GB"/>
        </w:rPr>
        <w:t>https://doi.org/10.1038/nrmicro.2016.43</w:t>
      </w:r>
    </w:p>
    <w:p w14:paraId="29DEECFD" w14:textId="23613788"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Lanh</w:t>
      </w:r>
      <w:proofErr w:type="spellEnd"/>
      <w:r w:rsidRPr="00BB1673">
        <w:rPr>
          <w:rFonts w:ascii="Times New Roman" w:eastAsia="Times New Roman" w:hAnsi="Times New Roman" w:cs="Times New Roman"/>
          <w:sz w:val="24"/>
          <w:szCs w:val="24"/>
          <w:lang w:eastAsia="en-GB"/>
        </w:rPr>
        <w:t xml:space="preserve">, P. T., Duong, B. T. T., Thu, H. T., Hoa, N. T., Yoo, M. S., Cho, Y. S., &amp; Quyen, D. V. (2022). The gut microbiota at different developmental stages of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reveals potential probiotic bacteria for improving honeybee health. </w:t>
      </w:r>
      <w:r w:rsidRPr="00BB1673">
        <w:rPr>
          <w:rFonts w:ascii="Times New Roman" w:eastAsia="Times New Roman" w:hAnsi="Times New Roman" w:cs="Times New Roman"/>
          <w:i/>
          <w:iCs/>
          <w:sz w:val="24"/>
          <w:szCs w:val="24"/>
          <w:lang w:eastAsia="en-GB"/>
        </w:rPr>
        <w:t>Microorganisms, 10</w:t>
      </w:r>
      <w:r w:rsidRPr="00BB1673">
        <w:rPr>
          <w:rFonts w:ascii="Times New Roman" w:eastAsia="Times New Roman" w:hAnsi="Times New Roman" w:cs="Times New Roman"/>
          <w:sz w:val="24"/>
          <w:szCs w:val="24"/>
          <w:lang w:eastAsia="en-GB"/>
        </w:rPr>
        <w:t xml:space="preserve">(10), Article 1938. </w:t>
      </w:r>
      <w:r w:rsidRPr="00BB1673">
        <w:rPr>
          <w:rFonts w:ascii="Times New Roman" w:eastAsia="Times New Roman" w:hAnsi="Times New Roman" w:cs="Times New Roman"/>
          <w:color w:val="0000FF"/>
          <w:sz w:val="24"/>
          <w:szCs w:val="24"/>
          <w:u w:val="single"/>
          <w:lang w:eastAsia="en-GB"/>
        </w:rPr>
        <w:t>https://doi.org/10.3390/microorganisms10101938</w:t>
      </w:r>
    </w:p>
    <w:p w14:paraId="68367628" w14:textId="03D1BA36"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Leonard, S. P., Powell, J. E., </w:t>
      </w:r>
      <w:proofErr w:type="spellStart"/>
      <w:r w:rsidRPr="00BB1673">
        <w:rPr>
          <w:rFonts w:ascii="Times New Roman" w:eastAsia="Times New Roman" w:hAnsi="Times New Roman" w:cs="Times New Roman"/>
          <w:sz w:val="24"/>
          <w:szCs w:val="24"/>
          <w:lang w:eastAsia="en-GB"/>
        </w:rPr>
        <w:t>Perutka</w:t>
      </w:r>
      <w:proofErr w:type="spellEnd"/>
      <w:r w:rsidRPr="00BB1673">
        <w:rPr>
          <w:rFonts w:ascii="Times New Roman" w:eastAsia="Times New Roman" w:hAnsi="Times New Roman" w:cs="Times New Roman"/>
          <w:sz w:val="24"/>
          <w:szCs w:val="24"/>
          <w:lang w:eastAsia="en-GB"/>
        </w:rPr>
        <w:t xml:space="preserve">, J., Geng, P., Heckmann, L. C., Horak, R. D., Davies, B. W., Ellington, A. D., Barrick, J. E., &amp; Moran, N. A. (2020). Engineered symbionts activate </w:t>
      </w:r>
      <w:r w:rsidRPr="00BB1673">
        <w:rPr>
          <w:rFonts w:ascii="Times New Roman" w:eastAsia="Times New Roman" w:hAnsi="Times New Roman" w:cs="Times New Roman"/>
          <w:sz w:val="24"/>
          <w:szCs w:val="24"/>
          <w:lang w:eastAsia="en-GB"/>
        </w:rPr>
        <w:lastRenderedPageBreak/>
        <w:t xml:space="preserve">honey bee immunity and limit pathogens. </w:t>
      </w:r>
      <w:r w:rsidRPr="00BB1673">
        <w:rPr>
          <w:rFonts w:ascii="Times New Roman" w:eastAsia="Times New Roman" w:hAnsi="Times New Roman" w:cs="Times New Roman"/>
          <w:i/>
          <w:iCs/>
          <w:sz w:val="24"/>
          <w:szCs w:val="24"/>
          <w:lang w:eastAsia="en-GB"/>
        </w:rPr>
        <w:t>Science, 367</w:t>
      </w:r>
      <w:r w:rsidRPr="00BB1673">
        <w:rPr>
          <w:rFonts w:ascii="Times New Roman" w:eastAsia="Times New Roman" w:hAnsi="Times New Roman" w:cs="Times New Roman"/>
          <w:sz w:val="24"/>
          <w:szCs w:val="24"/>
          <w:lang w:eastAsia="en-GB"/>
        </w:rPr>
        <w:t xml:space="preserve">(6477), 573–576. </w:t>
      </w:r>
      <w:r w:rsidRPr="00BB1673">
        <w:rPr>
          <w:rFonts w:ascii="Times New Roman" w:eastAsia="Times New Roman" w:hAnsi="Times New Roman" w:cs="Times New Roman"/>
          <w:color w:val="0000FF"/>
          <w:sz w:val="24"/>
          <w:szCs w:val="24"/>
          <w:u w:val="single"/>
          <w:lang w:eastAsia="en-GB"/>
        </w:rPr>
        <w:t>https://doi.org/10.1126/science.aax9039</w:t>
      </w:r>
    </w:p>
    <w:p w14:paraId="0C5FCAFB" w14:textId="07EBC0FD"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Moran, N. A., Hansen, A. K., Powell, J. E., &amp; Sabree, Z. L. (2012). Distinctive gut microbiota of honey bees assessed using deep sampling from individual worker bees.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7</w:t>
      </w:r>
      <w:r w:rsidRPr="00BB1673">
        <w:rPr>
          <w:rFonts w:ascii="Times New Roman" w:eastAsia="Times New Roman" w:hAnsi="Times New Roman" w:cs="Times New Roman"/>
          <w:sz w:val="24"/>
          <w:szCs w:val="24"/>
          <w:lang w:eastAsia="en-GB"/>
        </w:rPr>
        <w:t xml:space="preserve">(4), e36393. </w:t>
      </w:r>
      <w:r w:rsidRPr="00BB1673">
        <w:rPr>
          <w:rFonts w:ascii="Times New Roman" w:eastAsia="Times New Roman" w:hAnsi="Times New Roman" w:cs="Times New Roman"/>
          <w:color w:val="0000FF"/>
          <w:sz w:val="24"/>
          <w:szCs w:val="24"/>
          <w:u w:val="single"/>
          <w:lang w:eastAsia="en-GB"/>
        </w:rPr>
        <w:t>https://doi.org/10.1371/journal.pone.0036393</w:t>
      </w:r>
    </w:p>
    <w:p w14:paraId="51FAA89E" w14:textId="575933A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Motta, E. V. S., &amp; Moran, N. A. (2024). The honeybee microbiota and its impact on health and disease. </w:t>
      </w:r>
      <w:r w:rsidRPr="00BB1673">
        <w:rPr>
          <w:rFonts w:ascii="Times New Roman" w:eastAsia="Times New Roman" w:hAnsi="Times New Roman" w:cs="Times New Roman"/>
          <w:i/>
          <w:iCs/>
          <w:sz w:val="24"/>
          <w:szCs w:val="24"/>
          <w:lang w:eastAsia="en-GB"/>
        </w:rPr>
        <w:t>Nature Reviews Microbiology, 22</w:t>
      </w:r>
      <w:r w:rsidRPr="00BB1673">
        <w:rPr>
          <w:rFonts w:ascii="Times New Roman" w:eastAsia="Times New Roman" w:hAnsi="Times New Roman" w:cs="Times New Roman"/>
          <w:sz w:val="24"/>
          <w:szCs w:val="24"/>
          <w:lang w:eastAsia="en-GB"/>
        </w:rPr>
        <w:t xml:space="preserve">(3), 122–137. </w:t>
      </w:r>
      <w:r w:rsidRPr="00BB1673">
        <w:rPr>
          <w:rFonts w:ascii="Times New Roman" w:eastAsia="Times New Roman" w:hAnsi="Times New Roman" w:cs="Times New Roman"/>
          <w:color w:val="0000FF"/>
          <w:sz w:val="24"/>
          <w:szCs w:val="24"/>
          <w:u w:val="single"/>
          <w:lang w:eastAsia="en-GB"/>
        </w:rPr>
        <w:t>https://doi.org/10.1038/s41579-023-00990-3</w:t>
      </w:r>
    </w:p>
    <w:p w14:paraId="1823A066" w14:textId="6AB9311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Motta, E. V. S., Powell, J. E., Leonard, S. P., &amp; Moran, N. A. (2022). Prospects for probiotics in social bees. </w:t>
      </w:r>
      <w:r w:rsidRPr="00BB1673">
        <w:rPr>
          <w:rFonts w:ascii="Times New Roman" w:eastAsia="Times New Roman" w:hAnsi="Times New Roman" w:cs="Times New Roman"/>
          <w:i/>
          <w:iCs/>
          <w:sz w:val="24"/>
          <w:szCs w:val="24"/>
          <w:lang w:eastAsia="en-GB"/>
        </w:rPr>
        <w:t>Philosophical Transactions of the Royal Society B: Biological Sciences, 377</w:t>
      </w:r>
      <w:r w:rsidRPr="00BB1673">
        <w:rPr>
          <w:rFonts w:ascii="Times New Roman" w:eastAsia="Times New Roman" w:hAnsi="Times New Roman" w:cs="Times New Roman"/>
          <w:sz w:val="24"/>
          <w:szCs w:val="24"/>
          <w:lang w:eastAsia="en-GB"/>
        </w:rPr>
        <w:t xml:space="preserve">(1853), Article 20210156. </w:t>
      </w:r>
      <w:r w:rsidRPr="00BB1673">
        <w:rPr>
          <w:rFonts w:ascii="Times New Roman" w:eastAsia="Times New Roman" w:hAnsi="Times New Roman" w:cs="Times New Roman"/>
          <w:color w:val="0000FF"/>
          <w:sz w:val="24"/>
          <w:szCs w:val="24"/>
          <w:u w:val="single"/>
          <w:lang w:eastAsia="en-GB"/>
        </w:rPr>
        <w:t>https://doi.org/10.1098/rstb.2021.0156</w:t>
      </w:r>
    </w:p>
    <w:p w14:paraId="29CD2B38" w14:textId="5C01DB7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Mundo, M. A., Xiong, Z. R., </w:t>
      </w:r>
      <w:proofErr w:type="spellStart"/>
      <w:r w:rsidRPr="00BB1673">
        <w:rPr>
          <w:rFonts w:ascii="Times New Roman" w:eastAsia="Times New Roman" w:hAnsi="Times New Roman" w:cs="Times New Roman"/>
          <w:sz w:val="24"/>
          <w:szCs w:val="24"/>
          <w:lang w:eastAsia="en-GB"/>
        </w:rPr>
        <w:t>Galasong</w:t>
      </w:r>
      <w:proofErr w:type="spellEnd"/>
      <w:r w:rsidRPr="00BB1673">
        <w:rPr>
          <w:rFonts w:ascii="Times New Roman" w:eastAsia="Times New Roman" w:hAnsi="Times New Roman" w:cs="Times New Roman"/>
          <w:sz w:val="24"/>
          <w:szCs w:val="24"/>
          <w:lang w:eastAsia="en-GB"/>
        </w:rPr>
        <w:t xml:space="preserve">, Y., Manns, D. C., Seeley, T. D., </w:t>
      </w:r>
      <w:proofErr w:type="spellStart"/>
      <w:r w:rsidRPr="00BB1673">
        <w:rPr>
          <w:rFonts w:ascii="Times New Roman" w:eastAsia="Times New Roman" w:hAnsi="Times New Roman" w:cs="Times New Roman"/>
          <w:sz w:val="24"/>
          <w:szCs w:val="24"/>
          <w:lang w:eastAsia="en-GB"/>
        </w:rPr>
        <w:t>Vegdahl</w:t>
      </w:r>
      <w:proofErr w:type="spellEnd"/>
      <w:r w:rsidRPr="00BB1673">
        <w:rPr>
          <w:rFonts w:ascii="Times New Roman" w:eastAsia="Times New Roman" w:hAnsi="Times New Roman" w:cs="Times New Roman"/>
          <w:sz w:val="24"/>
          <w:szCs w:val="24"/>
          <w:lang w:eastAsia="en-GB"/>
        </w:rPr>
        <w:t xml:space="preserve">, A. C., &amp; </w:t>
      </w:r>
      <w:proofErr w:type="spellStart"/>
      <w:r w:rsidRPr="00BB1673">
        <w:rPr>
          <w:rFonts w:ascii="Times New Roman" w:eastAsia="Times New Roman" w:hAnsi="Times New Roman" w:cs="Times New Roman"/>
          <w:sz w:val="24"/>
          <w:szCs w:val="24"/>
          <w:lang w:eastAsia="en-GB"/>
        </w:rPr>
        <w:t>Worobo</w:t>
      </w:r>
      <w:proofErr w:type="spellEnd"/>
      <w:r w:rsidRPr="00BB1673">
        <w:rPr>
          <w:rFonts w:ascii="Times New Roman" w:eastAsia="Times New Roman" w:hAnsi="Times New Roman" w:cs="Times New Roman"/>
          <w:sz w:val="24"/>
          <w:szCs w:val="24"/>
          <w:lang w:eastAsia="en-GB"/>
        </w:rPr>
        <w:t xml:space="preserve">, R. W. (2023). Diversity, antimicrobial production, and seasonal variation of honey bee microbiota isolated from the honey stomachs of the domestic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Frontiers in Sustainable Food Systems, 6</w:t>
      </w:r>
      <w:r w:rsidRPr="00BB1673">
        <w:rPr>
          <w:rFonts w:ascii="Times New Roman" w:eastAsia="Times New Roman" w:hAnsi="Times New Roman" w:cs="Times New Roman"/>
          <w:sz w:val="24"/>
          <w:szCs w:val="24"/>
          <w:lang w:eastAsia="en-GB"/>
        </w:rPr>
        <w:t xml:space="preserve">, Article 931363. </w:t>
      </w:r>
      <w:r w:rsidRPr="00BB1673">
        <w:rPr>
          <w:rFonts w:ascii="Times New Roman" w:eastAsia="Times New Roman" w:hAnsi="Times New Roman" w:cs="Times New Roman"/>
          <w:color w:val="0000FF"/>
          <w:sz w:val="24"/>
          <w:szCs w:val="24"/>
          <w:u w:val="single"/>
          <w:lang w:eastAsia="en-GB"/>
        </w:rPr>
        <w:t>https://doi.org/10.3389/fsufs.2022.931363</w:t>
      </w:r>
    </w:p>
    <w:p w14:paraId="3EFFC5BB" w14:textId="19D61AEB"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S., &amp; Ibrahim, N. (2022). A sweeter pill to swallow: A review of honey bees and honey as a source of probiotic and prebiotic products. </w:t>
      </w:r>
      <w:r w:rsidRPr="00BB1673">
        <w:rPr>
          <w:rFonts w:ascii="Times New Roman" w:eastAsia="Times New Roman" w:hAnsi="Times New Roman" w:cs="Times New Roman"/>
          <w:i/>
          <w:iCs/>
          <w:sz w:val="24"/>
          <w:szCs w:val="24"/>
          <w:lang w:eastAsia="en-GB"/>
        </w:rPr>
        <w:t>Foods, 11</w:t>
      </w:r>
      <w:r w:rsidRPr="00BB1673">
        <w:rPr>
          <w:rFonts w:ascii="Times New Roman" w:eastAsia="Times New Roman" w:hAnsi="Times New Roman" w:cs="Times New Roman"/>
          <w:sz w:val="24"/>
          <w:szCs w:val="24"/>
          <w:lang w:eastAsia="en-GB"/>
        </w:rPr>
        <w:t xml:space="preserve">(14), Article 2102. </w:t>
      </w:r>
      <w:r w:rsidRPr="00BB1673">
        <w:rPr>
          <w:rFonts w:ascii="Times New Roman" w:eastAsia="Times New Roman" w:hAnsi="Times New Roman" w:cs="Times New Roman"/>
          <w:color w:val="0000FF"/>
          <w:sz w:val="24"/>
          <w:szCs w:val="24"/>
          <w:u w:val="single"/>
          <w:lang w:eastAsia="en-GB"/>
        </w:rPr>
        <w:t>https://doi.org/10.3390/foods11142102</w:t>
      </w:r>
    </w:p>
    <w:p w14:paraId="75516E39" w14:textId="5068E2CC"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Nazzi, F. (2020). Commentary: Engineered symbionts activate honey bee immunity and limit pathogens. </w:t>
      </w:r>
      <w:r w:rsidRPr="00BB1673">
        <w:rPr>
          <w:rFonts w:ascii="Times New Roman" w:eastAsia="Times New Roman" w:hAnsi="Times New Roman" w:cs="Times New Roman"/>
          <w:i/>
          <w:iCs/>
          <w:sz w:val="24"/>
          <w:szCs w:val="24"/>
          <w:lang w:eastAsia="en-GB"/>
        </w:rPr>
        <w:t>Frontiers in Ecology and Evolution, 8</w:t>
      </w:r>
      <w:r w:rsidRPr="00BB1673">
        <w:rPr>
          <w:rFonts w:ascii="Times New Roman" w:eastAsia="Times New Roman" w:hAnsi="Times New Roman" w:cs="Times New Roman"/>
          <w:sz w:val="24"/>
          <w:szCs w:val="24"/>
          <w:lang w:eastAsia="en-GB"/>
        </w:rPr>
        <w:t xml:space="preserve">, Article 538520. </w:t>
      </w:r>
      <w:r w:rsidRPr="00BB1673">
        <w:rPr>
          <w:rFonts w:ascii="Times New Roman" w:eastAsia="Times New Roman" w:hAnsi="Times New Roman" w:cs="Times New Roman"/>
          <w:color w:val="0000FF"/>
          <w:sz w:val="24"/>
          <w:szCs w:val="24"/>
          <w:u w:val="single"/>
          <w:lang w:eastAsia="en-GB"/>
        </w:rPr>
        <w:t>https://doi.org/10.3389/fevo.2020.538520</w:t>
      </w:r>
    </w:p>
    <w:p w14:paraId="4FFE71FF" w14:textId="5791254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Nowak, A., Szczuka, D., </w:t>
      </w:r>
      <w:proofErr w:type="spellStart"/>
      <w:r w:rsidRPr="00BB1673">
        <w:rPr>
          <w:rFonts w:ascii="Times New Roman" w:eastAsia="Times New Roman" w:hAnsi="Times New Roman" w:cs="Times New Roman"/>
          <w:sz w:val="24"/>
          <w:szCs w:val="24"/>
          <w:lang w:eastAsia="en-GB"/>
        </w:rPr>
        <w:t>Górczyńska</w:t>
      </w:r>
      <w:proofErr w:type="spellEnd"/>
      <w:r w:rsidRPr="00BB1673">
        <w:rPr>
          <w:rFonts w:ascii="Times New Roman" w:eastAsia="Times New Roman" w:hAnsi="Times New Roman" w:cs="Times New Roman"/>
          <w:sz w:val="24"/>
          <w:szCs w:val="24"/>
          <w:lang w:eastAsia="en-GB"/>
        </w:rPr>
        <w:t xml:space="preserve">, A., Motyl, I., &amp; </w:t>
      </w:r>
      <w:proofErr w:type="spellStart"/>
      <w:r w:rsidRPr="00BB1673">
        <w:rPr>
          <w:rFonts w:ascii="Times New Roman" w:eastAsia="Times New Roman" w:hAnsi="Times New Roman" w:cs="Times New Roman"/>
          <w:sz w:val="24"/>
          <w:szCs w:val="24"/>
          <w:lang w:eastAsia="en-GB"/>
        </w:rPr>
        <w:t>Kręgiel</w:t>
      </w:r>
      <w:proofErr w:type="spellEnd"/>
      <w:r w:rsidRPr="00BB1673">
        <w:rPr>
          <w:rFonts w:ascii="Times New Roman" w:eastAsia="Times New Roman" w:hAnsi="Times New Roman" w:cs="Times New Roman"/>
          <w:sz w:val="24"/>
          <w:szCs w:val="24"/>
          <w:lang w:eastAsia="en-GB"/>
        </w:rPr>
        <w:t xml:space="preserve">, D. (2021). Characterization of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gastrointestinal microbiota and lactic acid bacteria for honeybee protection—A review. </w:t>
      </w:r>
      <w:r w:rsidRPr="00BB1673">
        <w:rPr>
          <w:rFonts w:ascii="Times New Roman" w:eastAsia="Times New Roman" w:hAnsi="Times New Roman" w:cs="Times New Roman"/>
          <w:i/>
          <w:iCs/>
          <w:sz w:val="24"/>
          <w:szCs w:val="24"/>
          <w:lang w:eastAsia="en-GB"/>
        </w:rPr>
        <w:t>Cells, 10</w:t>
      </w:r>
      <w:r w:rsidRPr="00BB1673">
        <w:rPr>
          <w:rFonts w:ascii="Times New Roman" w:eastAsia="Times New Roman" w:hAnsi="Times New Roman" w:cs="Times New Roman"/>
          <w:sz w:val="24"/>
          <w:szCs w:val="24"/>
          <w:lang w:eastAsia="en-GB"/>
        </w:rPr>
        <w:t xml:space="preserve">(3), Article 701. </w:t>
      </w:r>
      <w:r w:rsidRPr="00BB1673">
        <w:rPr>
          <w:rFonts w:ascii="Times New Roman" w:eastAsia="Times New Roman" w:hAnsi="Times New Roman" w:cs="Times New Roman"/>
          <w:color w:val="0000FF"/>
          <w:sz w:val="24"/>
          <w:szCs w:val="24"/>
          <w:u w:val="single"/>
          <w:lang w:eastAsia="en-GB"/>
        </w:rPr>
        <w:t>https://doi.org/10.3390/cells10030701</w:t>
      </w:r>
    </w:p>
    <w:p w14:paraId="6F68360D" w14:textId="2EBE417F"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Olofsson, T. C., Butler, É., Markowicz, P., Lindholm, C., Larsson, L., &amp; Vásquez, A. (2016). Lactic acid bacterial symbionts in honeybees—An unknown key to honey's antimicrobial and therapeutic activities. </w:t>
      </w:r>
      <w:r w:rsidRPr="00BB1673">
        <w:rPr>
          <w:rFonts w:ascii="Times New Roman" w:eastAsia="Times New Roman" w:hAnsi="Times New Roman" w:cs="Times New Roman"/>
          <w:i/>
          <w:iCs/>
          <w:sz w:val="24"/>
          <w:szCs w:val="24"/>
          <w:lang w:eastAsia="en-GB"/>
        </w:rPr>
        <w:t>International Wound Journal, 13</w:t>
      </w:r>
      <w:r w:rsidRPr="00BB1673">
        <w:rPr>
          <w:rFonts w:ascii="Times New Roman" w:eastAsia="Times New Roman" w:hAnsi="Times New Roman" w:cs="Times New Roman"/>
          <w:sz w:val="24"/>
          <w:szCs w:val="24"/>
          <w:lang w:eastAsia="en-GB"/>
        </w:rPr>
        <w:t xml:space="preserve">(5), 668–679. </w:t>
      </w:r>
      <w:r w:rsidRPr="00BB1673">
        <w:rPr>
          <w:rFonts w:ascii="Times New Roman" w:eastAsia="Times New Roman" w:hAnsi="Times New Roman" w:cs="Times New Roman"/>
          <w:color w:val="0000FF"/>
          <w:sz w:val="24"/>
          <w:szCs w:val="24"/>
          <w:u w:val="single"/>
          <w:lang w:eastAsia="en-GB"/>
        </w:rPr>
        <w:t>https://doi.org/10.1111/iwj.12345</w:t>
      </w:r>
    </w:p>
    <w:p w14:paraId="0BEE7894" w14:textId="69F45873"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Vásquez, A., Forsgren, E., Fries, I., Paxton, R. J., </w:t>
      </w:r>
      <w:proofErr w:type="spellStart"/>
      <w:r w:rsidRPr="00BB1673">
        <w:rPr>
          <w:rFonts w:ascii="Times New Roman" w:eastAsia="Times New Roman" w:hAnsi="Times New Roman" w:cs="Times New Roman"/>
          <w:sz w:val="24"/>
          <w:szCs w:val="24"/>
          <w:lang w:eastAsia="en-GB"/>
        </w:rPr>
        <w:t>Flaberg</w:t>
      </w:r>
      <w:proofErr w:type="spellEnd"/>
      <w:r w:rsidRPr="00BB1673">
        <w:rPr>
          <w:rFonts w:ascii="Times New Roman" w:eastAsia="Times New Roman" w:hAnsi="Times New Roman" w:cs="Times New Roman"/>
          <w:sz w:val="24"/>
          <w:szCs w:val="24"/>
          <w:lang w:eastAsia="en-GB"/>
        </w:rPr>
        <w:t xml:space="preserve">, E., Szekely, L., &amp; Olofsson, T. C. (2012). Symbionts as major modulators of insect health: Lactic acid bacteria and honeybees.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7</w:t>
      </w:r>
      <w:r w:rsidRPr="00BB1673">
        <w:rPr>
          <w:rFonts w:ascii="Times New Roman" w:eastAsia="Times New Roman" w:hAnsi="Times New Roman" w:cs="Times New Roman"/>
          <w:sz w:val="24"/>
          <w:szCs w:val="24"/>
          <w:lang w:eastAsia="en-GB"/>
        </w:rPr>
        <w:t xml:space="preserve">(3), e33188. </w:t>
      </w:r>
      <w:r w:rsidRPr="00BB1673">
        <w:rPr>
          <w:rFonts w:ascii="Times New Roman" w:eastAsia="Times New Roman" w:hAnsi="Times New Roman" w:cs="Times New Roman"/>
          <w:color w:val="0000FF"/>
          <w:sz w:val="24"/>
          <w:szCs w:val="24"/>
          <w:u w:val="single"/>
          <w:lang w:eastAsia="en-GB"/>
        </w:rPr>
        <w:t>https://doi.org/10.1371/journal.pone.0033188</w:t>
      </w:r>
    </w:p>
    <w:p w14:paraId="56946FF3" w14:textId="3D0293F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F., Testa, B., Cozzolino, A., Letizia, F., Succi, M., Lombardi, S. J., Tremonte, P., Pannella, G., Di Marco, R., Sorrentino, E., Coppola, R., &amp; Iorizzo, M. (2020). Potential application of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for human use: Evaluation of probiotic and functional properties. </w:t>
      </w:r>
      <w:r w:rsidRPr="00BB1673">
        <w:rPr>
          <w:rFonts w:ascii="Times New Roman" w:eastAsia="Times New Roman" w:hAnsi="Times New Roman" w:cs="Times New Roman"/>
          <w:i/>
          <w:iCs/>
          <w:sz w:val="24"/>
          <w:szCs w:val="24"/>
          <w:lang w:eastAsia="en-GB"/>
        </w:rPr>
        <w:t>Foods, 9</w:t>
      </w:r>
      <w:r w:rsidRPr="00BB1673">
        <w:rPr>
          <w:rFonts w:ascii="Times New Roman" w:eastAsia="Times New Roman" w:hAnsi="Times New Roman" w:cs="Times New Roman"/>
          <w:sz w:val="24"/>
          <w:szCs w:val="24"/>
          <w:lang w:eastAsia="en-GB"/>
        </w:rPr>
        <w:t xml:space="preserve">(11), Article 1535. </w:t>
      </w:r>
      <w:r w:rsidRPr="00BB1673">
        <w:rPr>
          <w:rFonts w:ascii="Times New Roman" w:eastAsia="Times New Roman" w:hAnsi="Times New Roman" w:cs="Times New Roman"/>
          <w:color w:val="0000FF"/>
          <w:sz w:val="24"/>
          <w:szCs w:val="24"/>
          <w:u w:val="single"/>
          <w:lang w:eastAsia="en-GB"/>
        </w:rPr>
        <w:t>https://doi.org/10.3390/foods9111535</w:t>
      </w:r>
    </w:p>
    <w:p w14:paraId="1797A13C" w14:textId="5CAB0C8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Yun, B.-R., Truong, A.-T., Choi, Y. S., Lee, M. Y., Kim, B. Y., Seo, M., Yoon, S.-S., Yoo, M.-S., Van Quyen, D., &amp; Cho, Y. S. (2022). Comparison of the gut microbiome of </w:t>
      </w:r>
      <w:proofErr w:type="spellStart"/>
      <w:r w:rsidRPr="00BB1673">
        <w:rPr>
          <w:rFonts w:ascii="Times New Roman" w:eastAsia="Times New Roman" w:hAnsi="Times New Roman" w:cs="Times New Roman"/>
          <w:sz w:val="24"/>
          <w:szCs w:val="24"/>
          <w:lang w:eastAsia="en-GB"/>
        </w:rPr>
        <w:t>sacbrood</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sz w:val="24"/>
          <w:szCs w:val="24"/>
          <w:lang w:eastAsia="en-GB"/>
        </w:rPr>
        <w:lastRenderedPageBreak/>
        <w:t xml:space="preserve">virus-resistant and -susceptible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from South Korea. </w:t>
      </w:r>
      <w:r w:rsidRPr="00BB1673">
        <w:rPr>
          <w:rFonts w:ascii="Times New Roman" w:eastAsia="Times New Roman" w:hAnsi="Times New Roman" w:cs="Times New Roman"/>
          <w:i/>
          <w:iCs/>
          <w:sz w:val="24"/>
          <w:szCs w:val="24"/>
          <w:lang w:eastAsia="en-GB"/>
        </w:rPr>
        <w:t>Scientific Reports, 12</w:t>
      </w:r>
      <w:r w:rsidRPr="00BB1673">
        <w:rPr>
          <w:rFonts w:ascii="Times New Roman" w:eastAsia="Times New Roman" w:hAnsi="Times New Roman" w:cs="Times New Roman"/>
          <w:sz w:val="24"/>
          <w:szCs w:val="24"/>
          <w:lang w:eastAsia="en-GB"/>
        </w:rPr>
        <w:t xml:space="preserve">, Article 10010. </w:t>
      </w:r>
      <w:r w:rsidRPr="00BB1673">
        <w:rPr>
          <w:rFonts w:ascii="Times New Roman" w:eastAsia="Times New Roman" w:hAnsi="Times New Roman" w:cs="Times New Roman"/>
          <w:color w:val="0000FF"/>
          <w:sz w:val="24"/>
          <w:szCs w:val="24"/>
          <w:u w:val="single"/>
          <w:lang w:eastAsia="en-GB"/>
        </w:rPr>
        <w:t>https://doi.org/10.1038/s41598-022-13535-0</w:t>
      </w:r>
    </w:p>
    <w:p w14:paraId="2F113A1D" w14:textId="561C994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Zheng, H., Nishida, A., Kwong, W. K., Koch, H., Engel, P., Steele, M. I., &amp; Moran, N. A. (2016). Metabolism of toxic sugars by strains of the bee gut symbiont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mBio, 7</w:t>
      </w:r>
      <w:r w:rsidRPr="00BB1673">
        <w:rPr>
          <w:rFonts w:ascii="Times New Roman" w:eastAsia="Times New Roman" w:hAnsi="Times New Roman" w:cs="Times New Roman"/>
          <w:sz w:val="24"/>
          <w:szCs w:val="24"/>
          <w:lang w:eastAsia="en-GB"/>
        </w:rPr>
        <w:t xml:space="preserve">(6), e01326-16. </w:t>
      </w:r>
      <w:r w:rsidRPr="00BB1673">
        <w:rPr>
          <w:rFonts w:ascii="Times New Roman" w:eastAsia="Times New Roman" w:hAnsi="Times New Roman" w:cs="Times New Roman"/>
          <w:color w:val="0000FF"/>
          <w:sz w:val="24"/>
          <w:szCs w:val="24"/>
          <w:u w:val="single"/>
          <w:lang w:eastAsia="en-GB"/>
        </w:rPr>
        <w:t>https://doi.org/10.1128/mBio.01326-16</w:t>
      </w:r>
    </w:p>
    <w:p w14:paraId="30AF33D3"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D1AC0" w14:textId="77777777" w:rsidR="000B3936" w:rsidRDefault="000B3936" w:rsidP="00F918A1">
      <w:pPr>
        <w:spacing w:after="0" w:line="240" w:lineRule="auto"/>
      </w:pPr>
      <w:r>
        <w:separator/>
      </w:r>
    </w:p>
  </w:endnote>
  <w:endnote w:type="continuationSeparator" w:id="0">
    <w:p w14:paraId="702369CD" w14:textId="77777777" w:rsidR="000B3936" w:rsidRDefault="000B3936" w:rsidP="00F9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FEB6" w14:textId="77777777" w:rsidR="00F918A1" w:rsidRDefault="00F918A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B3ECB" w14:textId="77777777" w:rsidR="00F918A1" w:rsidRDefault="00F918A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42AC" w14:textId="77777777" w:rsidR="00F918A1" w:rsidRDefault="00F918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58CFB" w14:textId="77777777" w:rsidR="000B3936" w:rsidRDefault="000B3936" w:rsidP="00F918A1">
      <w:pPr>
        <w:spacing w:after="0" w:line="240" w:lineRule="auto"/>
      </w:pPr>
      <w:r>
        <w:separator/>
      </w:r>
    </w:p>
  </w:footnote>
  <w:footnote w:type="continuationSeparator" w:id="0">
    <w:p w14:paraId="23AAFAAD" w14:textId="77777777" w:rsidR="000B3936" w:rsidRDefault="000B3936" w:rsidP="00F9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BFA66" w14:textId="21DCC9E5" w:rsidR="00F918A1" w:rsidRDefault="000B3936">
    <w:pPr>
      <w:pStyle w:val="Header"/>
    </w:pPr>
    <w:r>
      <w:rPr>
        <w:noProof/>
      </w:rPr>
      <w:pict w14:anchorId="4D2F1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1"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252F" w14:textId="2EECF7C0" w:rsidR="00F918A1" w:rsidRDefault="000B3936">
    <w:pPr>
      <w:pStyle w:val="Header"/>
    </w:pPr>
    <w:r>
      <w:rPr>
        <w:noProof/>
      </w:rPr>
      <w:pict w14:anchorId="448B4B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2"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7B730" w14:textId="2425F166" w:rsidR="00F918A1" w:rsidRDefault="000B3936">
    <w:pPr>
      <w:pStyle w:val="Header"/>
    </w:pPr>
    <w:r>
      <w:rPr>
        <w:noProof/>
      </w:rPr>
      <w:pict w14:anchorId="2E238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0"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F1"/>
    <w:rsid w:val="000A7BD5"/>
    <w:rsid w:val="000B3936"/>
    <w:rsid w:val="00345F3B"/>
    <w:rsid w:val="003668C2"/>
    <w:rsid w:val="004841B3"/>
    <w:rsid w:val="00632FF1"/>
    <w:rsid w:val="0074443B"/>
    <w:rsid w:val="00804DA0"/>
    <w:rsid w:val="00824882"/>
    <w:rsid w:val="00BB1673"/>
    <w:rsid w:val="00C13D80"/>
    <w:rsid w:val="00CC64AE"/>
    <w:rsid w:val="00F91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6DACB9"/>
  <w15:chartTrackingRefBased/>
  <w15:docId w15:val="{76BFC909-42EF-4BB0-ADA6-0643FC4C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B3"/>
  </w:style>
  <w:style w:type="paragraph" w:styleId="Heading1">
    <w:name w:val="heading 1"/>
    <w:basedOn w:val="Normal"/>
    <w:next w:val="Normal"/>
    <w:link w:val="Heading1Char"/>
    <w:uiPriority w:val="9"/>
    <w:qFormat/>
    <w:rsid w:val="00632F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32F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2F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2F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32F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32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632F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32F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32F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2F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32F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32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FF1"/>
    <w:rPr>
      <w:rFonts w:eastAsiaTheme="majorEastAsia" w:cstheme="majorBidi"/>
      <w:color w:val="272727" w:themeColor="text1" w:themeTint="D8"/>
    </w:rPr>
  </w:style>
  <w:style w:type="paragraph" w:styleId="Title">
    <w:name w:val="Title"/>
    <w:basedOn w:val="Normal"/>
    <w:next w:val="Normal"/>
    <w:link w:val="TitleChar"/>
    <w:uiPriority w:val="10"/>
    <w:qFormat/>
    <w:rsid w:val="00632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F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F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FF1"/>
    <w:rPr>
      <w:i/>
      <w:iCs/>
      <w:color w:val="404040" w:themeColor="text1" w:themeTint="BF"/>
    </w:rPr>
  </w:style>
  <w:style w:type="paragraph" w:styleId="ListParagraph">
    <w:name w:val="List Paragraph"/>
    <w:basedOn w:val="Normal"/>
    <w:uiPriority w:val="34"/>
    <w:qFormat/>
    <w:rsid w:val="00632FF1"/>
    <w:pPr>
      <w:ind w:left="720"/>
      <w:contextualSpacing/>
    </w:pPr>
  </w:style>
  <w:style w:type="character" w:styleId="IntenseEmphasis">
    <w:name w:val="Intense Emphasis"/>
    <w:basedOn w:val="DefaultParagraphFont"/>
    <w:uiPriority w:val="21"/>
    <w:qFormat/>
    <w:rsid w:val="00632FF1"/>
    <w:rPr>
      <w:i/>
      <w:iCs/>
      <w:color w:val="365F91" w:themeColor="accent1" w:themeShade="BF"/>
    </w:rPr>
  </w:style>
  <w:style w:type="paragraph" w:styleId="IntenseQuote">
    <w:name w:val="Intense Quote"/>
    <w:basedOn w:val="Normal"/>
    <w:next w:val="Normal"/>
    <w:link w:val="IntenseQuoteChar"/>
    <w:uiPriority w:val="30"/>
    <w:qFormat/>
    <w:rsid w:val="00632F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32FF1"/>
    <w:rPr>
      <w:i/>
      <w:iCs/>
      <w:color w:val="365F91" w:themeColor="accent1" w:themeShade="BF"/>
    </w:rPr>
  </w:style>
  <w:style w:type="character" w:styleId="IntenseReference">
    <w:name w:val="Intense Reference"/>
    <w:basedOn w:val="DefaultParagraphFont"/>
    <w:uiPriority w:val="32"/>
    <w:qFormat/>
    <w:rsid w:val="00632FF1"/>
    <w:rPr>
      <w:b/>
      <w:bCs/>
      <w:smallCaps/>
      <w:color w:val="365F91" w:themeColor="accent1" w:themeShade="BF"/>
      <w:spacing w:val="5"/>
    </w:rPr>
  </w:style>
  <w:style w:type="table" w:styleId="TableGridLight">
    <w:name w:val="Grid Table Light"/>
    <w:basedOn w:val="TableNormal"/>
    <w:uiPriority w:val="40"/>
    <w:rsid w:val="00BB1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91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8A1"/>
  </w:style>
  <w:style w:type="paragraph" w:styleId="Footer">
    <w:name w:val="footer"/>
    <w:basedOn w:val="Normal"/>
    <w:link w:val="FooterChar"/>
    <w:uiPriority w:val="99"/>
    <w:unhideWhenUsed/>
    <w:rsid w:val="00F91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8266</Words>
  <Characters>47117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Datta</cp:lastModifiedBy>
  <cp:revision>2</cp:revision>
  <dcterms:created xsi:type="dcterms:W3CDTF">2026-07-18T12:52:00Z</dcterms:created>
  <dcterms:modified xsi:type="dcterms:W3CDTF">2026-07-18T12:52:00Z</dcterms:modified>
</cp:coreProperties>
</file>