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5B2BB" w14:textId="1593178B" w:rsidR="006C53E6" w:rsidRPr="006C53E6" w:rsidRDefault="006C53E6" w:rsidP="006C53E6">
      <w:pPr>
        <w:spacing w:line="300" w:lineRule="auto"/>
        <w:rPr>
          <w:rFonts w:ascii="Arial" w:eastAsiaTheme="minorEastAsia" w:hAnsi="Arial" w:cs="Arial"/>
          <w:b/>
          <w:kern w:val="0"/>
          <w:sz w:val="32"/>
          <w:szCs w:val="32"/>
          <w:u w:val="single"/>
          <w:lang w:val="en-IN" w:eastAsia="en-IN"/>
        </w:rPr>
      </w:pPr>
      <w:r w:rsidRPr="006C53E6">
        <w:rPr>
          <w:rFonts w:ascii="Arial" w:eastAsiaTheme="minorEastAsia" w:hAnsi="Arial" w:cs="Arial"/>
          <w:b/>
          <w:kern w:val="0"/>
          <w:sz w:val="32"/>
          <w:szCs w:val="32"/>
          <w:u w:val="single"/>
          <w:lang w:val="en-IN" w:eastAsia="en-IN"/>
        </w:rPr>
        <w:t>Original Research Article</w:t>
      </w:r>
    </w:p>
    <w:p w14:paraId="694E4AEF" w14:textId="77777777" w:rsidR="006C53E6" w:rsidRDefault="006C53E6">
      <w:pPr>
        <w:spacing w:line="300" w:lineRule="auto"/>
        <w:jc w:val="center"/>
        <w:rPr>
          <w:rFonts w:ascii="Arial" w:eastAsiaTheme="minorEastAsia" w:hAnsi="Arial" w:cs="Arial"/>
          <w:b/>
          <w:kern w:val="0"/>
          <w:sz w:val="32"/>
          <w:szCs w:val="32"/>
          <w:lang w:val="en-IN" w:eastAsia="en-IN"/>
        </w:rPr>
      </w:pPr>
    </w:p>
    <w:p w14:paraId="012EAB0C" w14:textId="40E6977C" w:rsidR="009441E7" w:rsidRDefault="00A82308">
      <w:pPr>
        <w:spacing w:line="300" w:lineRule="auto"/>
        <w:jc w:val="center"/>
        <w:rPr>
          <w:rFonts w:ascii="Arial" w:eastAsiaTheme="minorEastAsia" w:hAnsi="Arial" w:cs="Arial"/>
          <w:b/>
          <w:kern w:val="0"/>
          <w:sz w:val="32"/>
          <w:szCs w:val="32"/>
          <w:lang w:val="en-IN" w:eastAsia="en-IN"/>
        </w:rPr>
      </w:pPr>
      <w:r>
        <w:rPr>
          <w:rFonts w:ascii="Arial" w:eastAsiaTheme="minorEastAsia" w:hAnsi="Arial" w:cs="Arial"/>
          <w:b/>
          <w:kern w:val="0"/>
          <w:sz w:val="32"/>
          <w:szCs w:val="32"/>
          <w:lang w:val="en-IN" w:eastAsia="en-IN"/>
        </w:rPr>
        <w:t xml:space="preserve">Haematological and Histopathological Alterations in </w:t>
      </w:r>
      <w:r>
        <w:rPr>
          <w:rFonts w:ascii="Arial" w:eastAsiaTheme="minorEastAsia" w:hAnsi="Arial" w:cs="Arial"/>
          <w:b/>
          <w:i/>
          <w:kern w:val="0"/>
          <w:sz w:val="32"/>
          <w:szCs w:val="32"/>
          <w:lang w:val="en-IN" w:eastAsia="en-IN"/>
        </w:rPr>
        <w:t xml:space="preserve">Anabas </w:t>
      </w:r>
      <w:proofErr w:type="spellStart"/>
      <w:r>
        <w:rPr>
          <w:rFonts w:ascii="Arial" w:eastAsiaTheme="minorEastAsia" w:hAnsi="Arial" w:cs="Arial"/>
          <w:b/>
          <w:i/>
          <w:kern w:val="0"/>
          <w:sz w:val="32"/>
          <w:szCs w:val="32"/>
          <w:lang w:val="en-IN" w:eastAsia="en-IN"/>
        </w:rPr>
        <w:t>testudineus</w:t>
      </w:r>
      <w:proofErr w:type="spellEnd"/>
      <w:r>
        <w:rPr>
          <w:rFonts w:ascii="Arial" w:eastAsiaTheme="minorEastAsia" w:hAnsi="Arial" w:cs="Arial"/>
          <w:b/>
          <w:i/>
          <w:kern w:val="0"/>
          <w:sz w:val="32"/>
          <w:szCs w:val="32"/>
          <w:lang w:val="en-IN" w:eastAsia="en-IN"/>
        </w:rPr>
        <w:t xml:space="preserve"> </w:t>
      </w:r>
      <w:r>
        <w:rPr>
          <w:rFonts w:ascii="Arial" w:eastAsiaTheme="minorEastAsia" w:hAnsi="Arial" w:cs="Arial"/>
          <w:b/>
          <w:kern w:val="0"/>
          <w:sz w:val="32"/>
          <w:szCs w:val="32"/>
          <w:lang w:val="en-IN" w:eastAsia="en-IN"/>
        </w:rPr>
        <w:t>following Short-term Exposure to Lead nitrate</w:t>
      </w:r>
    </w:p>
    <w:p w14:paraId="7664A487" w14:textId="77777777" w:rsidR="009441E7" w:rsidRDefault="009441E7">
      <w:pPr>
        <w:spacing w:line="300" w:lineRule="auto"/>
        <w:jc w:val="center"/>
        <w:rPr>
          <w:rFonts w:ascii="Times New Roman" w:eastAsiaTheme="minorEastAsia" w:hAnsi="Times New Roman" w:cs="Times New Roman"/>
          <w:b/>
          <w:kern w:val="0"/>
          <w:sz w:val="32"/>
          <w:szCs w:val="32"/>
          <w:lang w:val="en-IN" w:eastAsia="en-IN"/>
        </w:rPr>
      </w:pPr>
    </w:p>
    <w:p w14:paraId="59BAA87F" w14:textId="77777777" w:rsidR="009441E7" w:rsidRDefault="009441E7">
      <w:pPr>
        <w:spacing w:before="20" w:line="480" w:lineRule="auto"/>
        <w:ind w:right="-32"/>
        <w:jc w:val="both"/>
        <w:rPr>
          <w:color w:val="000000" w:themeColor="text1"/>
        </w:rPr>
      </w:pPr>
    </w:p>
    <w:p w14:paraId="68DEEE65" w14:textId="77777777" w:rsidR="009441E7" w:rsidRDefault="009441E7">
      <w:pPr>
        <w:spacing w:before="20" w:line="480" w:lineRule="auto"/>
        <w:ind w:right="-32"/>
        <w:jc w:val="both"/>
        <w:rPr>
          <w:color w:val="000000" w:themeColor="text1"/>
        </w:rPr>
      </w:pPr>
    </w:p>
    <w:p w14:paraId="4B6C85DD" w14:textId="77777777" w:rsidR="009441E7" w:rsidRDefault="009441E7">
      <w:pPr>
        <w:spacing w:before="20" w:line="480" w:lineRule="auto"/>
        <w:ind w:right="-32"/>
        <w:jc w:val="both"/>
        <w:rPr>
          <w:color w:val="000000" w:themeColor="text1"/>
        </w:rPr>
      </w:pPr>
    </w:p>
    <w:p w14:paraId="1D583BB7" w14:textId="77777777" w:rsidR="009441E7" w:rsidRDefault="009441E7">
      <w:pPr>
        <w:spacing w:before="20" w:line="480" w:lineRule="auto"/>
        <w:ind w:right="-32"/>
        <w:jc w:val="both"/>
        <w:rPr>
          <w:color w:val="000000" w:themeColor="text1"/>
        </w:rPr>
      </w:pPr>
    </w:p>
    <w:p w14:paraId="5CF79972" w14:textId="77777777" w:rsidR="009441E7" w:rsidRDefault="009441E7">
      <w:pPr>
        <w:spacing w:before="20" w:line="480" w:lineRule="auto"/>
        <w:ind w:right="-32"/>
        <w:jc w:val="both"/>
        <w:rPr>
          <w:color w:val="000000" w:themeColor="text1"/>
        </w:rPr>
      </w:pPr>
    </w:p>
    <w:p w14:paraId="21C68C93" w14:textId="77777777" w:rsidR="009441E7" w:rsidRDefault="009441E7">
      <w:pPr>
        <w:spacing w:before="20" w:line="480" w:lineRule="auto"/>
        <w:ind w:right="-32"/>
        <w:jc w:val="both"/>
        <w:rPr>
          <w:color w:val="000000" w:themeColor="text1"/>
        </w:rPr>
      </w:pPr>
    </w:p>
    <w:p w14:paraId="590B94EE" w14:textId="77777777" w:rsidR="009441E7" w:rsidRDefault="00A82308">
      <w:pPr>
        <w:spacing w:before="20" w:line="360" w:lineRule="auto"/>
        <w:ind w:right="-32"/>
        <w:rPr>
          <w:rFonts w:ascii="Arial" w:hAnsi="Arial" w:cs="Arial"/>
          <w:b/>
        </w:rPr>
      </w:pPr>
      <w:r>
        <w:rPr>
          <w:rFonts w:ascii="Arial" w:hAnsi="Arial" w:cs="Arial"/>
          <w:b/>
        </w:rPr>
        <w:t xml:space="preserve">ABSTRACT </w:t>
      </w:r>
    </w:p>
    <w:p w14:paraId="2C5D4AC6" w14:textId="77777777" w:rsidR="009441E7" w:rsidRDefault="00A82308">
      <w:pPr>
        <w:spacing w:line="360" w:lineRule="auto"/>
        <w:jc w:val="both"/>
        <w:rPr>
          <w:rFonts w:ascii="Arial" w:eastAsiaTheme="minorEastAsia" w:hAnsi="Arial" w:cs="Arial"/>
          <w:kern w:val="0"/>
          <w:sz w:val="20"/>
          <w:szCs w:val="20"/>
          <w:lang w:val="en-IN" w:eastAsia="en-IN"/>
        </w:rPr>
      </w:pPr>
      <w:r>
        <w:rPr>
          <w:rFonts w:ascii="Arial" w:eastAsiaTheme="minorEastAsia" w:hAnsi="Arial" w:cs="Arial"/>
          <w:kern w:val="0"/>
          <w:sz w:val="20"/>
          <w:szCs w:val="20"/>
          <w:lang w:val="en-IN" w:eastAsia="en-IN"/>
        </w:rPr>
        <w:t xml:space="preserve">Lead is a persistent aquatic pollutant that poses serious risks to fish health and ecosystem balance. This study examined the short-term effects of sub lethal Lead nitrate exposure on haematological indices, tissue morphology, cell viability, and coagulation dynamics in </w:t>
      </w:r>
      <w:r>
        <w:rPr>
          <w:rFonts w:ascii="Arial" w:eastAsiaTheme="minorEastAsia" w:hAnsi="Arial" w:cs="Arial"/>
          <w:i/>
          <w:iCs/>
          <w:kern w:val="0"/>
          <w:sz w:val="20"/>
          <w:szCs w:val="20"/>
          <w:lang w:val="en-IN" w:eastAsia="en-IN"/>
        </w:rPr>
        <w:t xml:space="preserve">Anabas </w:t>
      </w:r>
      <w:proofErr w:type="spellStart"/>
      <w:r>
        <w:rPr>
          <w:rFonts w:ascii="Arial" w:eastAsiaTheme="minorEastAsia" w:hAnsi="Arial" w:cs="Arial"/>
          <w:i/>
          <w:iCs/>
          <w:kern w:val="0"/>
          <w:sz w:val="20"/>
          <w:szCs w:val="20"/>
          <w:lang w:val="en-IN" w:eastAsia="en-IN"/>
        </w:rPr>
        <w:t>testudineus</w:t>
      </w:r>
      <w:proofErr w:type="spellEnd"/>
      <w:r>
        <w:rPr>
          <w:rFonts w:ascii="Arial" w:eastAsiaTheme="minorEastAsia" w:hAnsi="Arial" w:cs="Arial"/>
          <w:kern w:val="0"/>
          <w:sz w:val="20"/>
          <w:szCs w:val="20"/>
          <w:lang w:val="en-IN" w:eastAsia="en-IN"/>
        </w:rPr>
        <w:t>. The 96h LC</w:t>
      </w:r>
      <w:r>
        <w:rPr>
          <w:rFonts w:ascii="Arial" w:eastAsiaTheme="minorEastAsia" w:hAnsi="Arial" w:cs="Arial"/>
          <w:kern w:val="0"/>
          <w:sz w:val="20"/>
          <w:szCs w:val="20"/>
          <w:vertAlign w:val="subscript"/>
          <w:lang w:val="en-IN" w:eastAsia="en-IN"/>
        </w:rPr>
        <w:t xml:space="preserve">50 </w:t>
      </w:r>
      <w:r>
        <w:rPr>
          <w:rFonts w:ascii="Arial" w:eastAsiaTheme="minorEastAsia" w:hAnsi="Arial" w:cs="Arial"/>
          <w:kern w:val="0"/>
          <w:sz w:val="20"/>
          <w:szCs w:val="20"/>
          <w:lang w:val="en-IN" w:eastAsia="en-IN"/>
        </w:rPr>
        <w:t>value was established at 60.3 mg /L, and f</w:t>
      </w:r>
      <w:proofErr w:type="spellStart"/>
      <w:r>
        <w:rPr>
          <w:rFonts w:ascii="Arial" w:hAnsi="Arial" w:cs="Arial"/>
          <w:sz w:val="20"/>
          <w:szCs w:val="20"/>
        </w:rPr>
        <w:t>ish</w:t>
      </w:r>
      <w:proofErr w:type="spellEnd"/>
      <w:r>
        <w:rPr>
          <w:rFonts w:ascii="Arial" w:hAnsi="Arial" w:cs="Arial"/>
          <w:sz w:val="20"/>
          <w:szCs w:val="20"/>
        </w:rPr>
        <w:t xml:space="preserve"> groups were exposed to two selected sublethal concentrations (15 mg/L and 30 mg/L) for durations of 3 and 7 days, respectively. </w:t>
      </w:r>
      <w:r>
        <w:rPr>
          <w:rFonts w:ascii="Arial" w:eastAsiaTheme="minorEastAsia" w:hAnsi="Arial" w:cs="Arial"/>
          <w:kern w:val="0"/>
          <w:sz w:val="20"/>
          <w:szCs w:val="20"/>
          <w:lang w:val="en-IN" w:eastAsia="en-IN"/>
        </w:rPr>
        <w:t xml:space="preserve">Lead exposure significantly reduced red blood cell count, haemoglobin, and haematocrit values, indicating anaemia and disrupted erythropoiesis. White blood cell profiles showed increased total counts and neutrophil levels but reduced lymphocytes and monocytes, suggesting concurrent inflammatory responses and immune suppression. Histopathological analysis revealed dose-dependent lesions: renal glomerular shrinkage and tubular necrosis, hepatic vacuolation and sinusoidal congestion with necrosis, and gill alterations including epithelial hyperplasia, lamellar fusion and hypertrophy. Overall, Lead nitrate exposure caused systemic toxicity in </w:t>
      </w:r>
      <w:r>
        <w:rPr>
          <w:rFonts w:ascii="Arial" w:eastAsiaTheme="minorEastAsia" w:hAnsi="Arial" w:cs="Arial"/>
          <w:i/>
          <w:iCs/>
          <w:kern w:val="0"/>
          <w:sz w:val="20"/>
          <w:szCs w:val="20"/>
          <w:lang w:val="en-IN" w:eastAsia="en-IN"/>
        </w:rPr>
        <w:t xml:space="preserve">A. </w:t>
      </w:r>
      <w:proofErr w:type="spellStart"/>
      <w:r>
        <w:rPr>
          <w:rFonts w:ascii="Arial" w:eastAsiaTheme="minorEastAsia" w:hAnsi="Arial" w:cs="Arial"/>
          <w:i/>
          <w:iCs/>
          <w:kern w:val="0"/>
          <w:sz w:val="20"/>
          <w:szCs w:val="20"/>
          <w:lang w:val="en-IN" w:eastAsia="en-IN"/>
        </w:rPr>
        <w:t>testudineus</w:t>
      </w:r>
      <w:proofErr w:type="spellEnd"/>
      <w:r>
        <w:rPr>
          <w:rFonts w:ascii="Arial" w:eastAsiaTheme="minorEastAsia" w:hAnsi="Arial" w:cs="Arial"/>
          <w:kern w:val="0"/>
          <w:sz w:val="20"/>
          <w:szCs w:val="20"/>
          <w:lang w:val="en-IN" w:eastAsia="en-IN"/>
        </w:rPr>
        <w:t>, and the altered haematological and histopathological markers identified in the present study serve as valuable indicators for ecotoxicological monitoring of heavy metal contamination.</w:t>
      </w:r>
    </w:p>
    <w:p w14:paraId="120A5F61" w14:textId="77777777" w:rsidR="009441E7" w:rsidRDefault="00A82308">
      <w:pPr>
        <w:spacing w:line="360" w:lineRule="auto"/>
        <w:jc w:val="both"/>
        <w:rPr>
          <w:rFonts w:ascii="Arial" w:eastAsiaTheme="minorEastAsia" w:hAnsi="Arial" w:cs="Arial"/>
          <w:kern w:val="0"/>
          <w:sz w:val="20"/>
          <w:szCs w:val="20"/>
          <w:lang w:eastAsia="en-IN"/>
        </w:rPr>
      </w:pPr>
      <w:r>
        <w:rPr>
          <w:rFonts w:ascii="Arial" w:eastAsiaTheme="minorEastAsia" w:hAnsi="Arial" w:cs="Arial"/>
          <w:b/>
          <w:kern w:val="0"/>
          <w:sz w:val="20"/>
          <w:szCs w:val="20"/>
          <w:lang w:val="en-IN" w:eastAsia="en-IN"/>
        </w:rPr>
        <w:lastRenderedPageBreak/>
        <w:t xml:space="preserve">Keywords: </w:t>
      </w:r>
      <w:r>
        <w:rPr>
          <w:rFonts w:ascii="Arial" w:eastAsiaTheme="minorEastAsia" w:hAnsi="Arial" w:cs="Arial"/>
          <w:i/>
          <w:iCs/>
          <w:kern w:val="0"/>
          <w:sz w:val="20"/>
          <w:szCs w:val="20"/>
          <w:lang w:eastAsia="en-IN"/>
        </w:rPr>
        <w:t xml:space="preserve">Lead nitrate, Anabas </w:t>
      </w:r>
      <w:proofErr w:type="spellStart"/>
      <w:r>
        <w:rPr>
          <w:rFonts w:ascii="Arial" w:eastAsiaTheme="minorEastAsia" w:hAnsi="Arial" w:cs="Arial"/>
          <w:i/>
          <w:iCs/>
          <w:kern w:val="0"/>
          <w:sz w:val="20"/>
          <w:szCs w:val="20"/>
          <w:lang w:eastAsia="en-IN"/>
        </w:rPr>
        <w:t>testudineus</w:t>
      </w:r>
      <w:proofErr w:type="spellEnd"/>
      <w:r>
        <w:rPr>
          <w:rFonts w:ascii="Arial" w:eastAsiaTheme="minorEastAsia" w:hAnsi="Arial" w:cs="Arial"/>
          <w:iCs/>
          <w:kern w:val="0"/>
          <w:sz w:val="20"/>
          <w:szCs w:val="20"/>
          <w:lang w:eastAsia="en-IN"/>
        </w:rPr>
        <w:t>,</w:t>
      </w:r>
      <w:r>
        <w:rPr>
          <w:rFonts w:ascii="Arial" w:eastAsiaTheme="minorEastAsia" w:hAnsi="Arial" w:cs="Arial"/>
          <w:i/>
          <w:iCs/>
          <w:kern w:val="0"/>
          <w:sz w:val="20"/>
          <w:szCs w:val="20"/>
          <w:lang w:eastAsia="en-IN"/>
        </w:rPr>
        <w:t xml:space="preserve"> Haematology, Histopathology</w:t>
      </w:r>
    </w:p>
    <w:p w14:paraId="32F9D0B9"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34C923CC"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236F13BD"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77551033"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155B6CDD"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6F6C2955"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237A93EC"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308989E5"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277BE2C5"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56B76B78"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55A2B482"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5DF3B7DD"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69E194EA" w14:textId="77777777" w:rsidR="009441E7" w:rsidRDefault="00A82308">
      <w:pPr>
        <w:spacing w:line="360" w:lineRule="auto"/>
        <w:ind w:left="360" w:hanging="360"/>
        <w:jc w:val="both"/>
        <w:rPr>
          <w:rFonts w:ascii="Arial" w:eastAsiaTheme="minorEastAsia" w:hAnsi="Arial" w:cs="Arial"/>
          <w:b/>
          <w:kern w:val="0"/>
          <w:lang w:val="en-IN" w:eastAsia="en-IN"/>
        </w:rPr>
      </w:pPr>
      <w:r>
        <w:rPr>
          <w:rFonts w:ascii="Arial" w:eastAsiaTheme="minorEastAsia" w:hAnsi="Arial" w:cs="Arial"/>
          <w:b/>
          <w:bCs/>
          <w:kern w:val="0"/>
          <w:lang w:val="en-IN" w:eastAsia="en-IN"/>
        </w:rPr>
        <w:t>1. INTRODUCTION</w:t>
      </w:r>
    </w:p>
    <w:p w14:paraId="0E1AC9F9" w14:textId="77777777" w:rsidR="009441E7" w:rsidRDefault="00A82308">
      <w:pPr>
        <w:spacing w:line="360" w:lineRule="auto"/>
        <w:jc w:val="both"/>
        <w:rPr>
          <w:rFonts w:ascii="Arial" w:eastAsiaTheme="minorEastAsia" w:hAnsi="Arial" w:cs="Arial"/>
          <w:kern w:val="0"/>
          <w:sz w:val="20"/>
          <w:szCs w:val="20"/>
          <w:highlight w:val="yellow"/>
          <w:lang w:val="en-IN" w:eastAsia="en-IN"/>
        </w:rPr>
      </w:pPr>
      <w:r>
        <w:rPr>
          <w:rFonts w:ascii="Arial" w:eastAsiaTheme="minorEastAsia" w:hAnsi="Arial" w:cs="Arial"/>
          <w:kern w:val="0"/>
          <w:sz w:val="20"/>
          <w:szCs w:val="20"/>
          <w:lang w:val="en-IN" w:eastAsia="en-IN"/>
        </w:rPr>
        <w:t xml:space="preserve">Industrial effluents contain suspended solids, pesticides, organic, inorganic and various toxic metal compounds </w:t>
      </w:r>
      <w:r>
        <w:rPr>
          <w:rFonts w:ascii="Arial" w:eastAsiaTheme="minorEastAsia" w:hAnsi="Arial" w:cs="Arial"/>
          <w:kern w:val="0"/>
          <w:sz w:val="20"/>
          <w:szCs w:val="20"/>
          <w:lang w:eastAsia="en-IN"/>
        </w:rPr>
        <w:t>(</w:t>
      </w:r>
      <w:r>
        <w:rPr>
          <w:rFonts w:ascii="Arial" w:eastAsiaTheme="minorEastAsia" w:hAnsi="Arial" w:cs="Arial"/>
          <w:kern w:val="0"/>
          <w:sz w:val="20"/>
          <w:szCs w:val="20"/>
          <w:lang w:val="en-IN" w:eastAsia="en-IN"/>
        </w:rPr>
        <w:t xml:space="preserve">Swarup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lang w:val="en-IN" w:eastAsia="en-IN"/>
        </w:rPr>
        <w:t xml:space="preserve"> 2006, Patra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lang w:val="en-IN" w:eastAsia="en-IN"/>
        </w:rPr>
        <w:t xml:space="preserve"> 2007</w:t>
      </w:r>
      <w:r>
        <w:rPr>
          <w:rFonts w:ascii="Arial" w:eastAsiaTheme="minorEastAsia" w:hAnsi="Arial" w:cs="Arial"/>
          <w:kern w:val="0"/>
          <w:sz w:val="20"/>
          <w:szCs w:val="20"/>
          <w:lang w:eastAsia="en-IN"/>
        </w:rPr>
        <w:t xml:space="preserve">) </w:t>
      </w:r>
      <w:r>
        <w:rPr>
          <w:rFonts w:ascii="Arial" w:eastAsiaTheme="minorEastAsia" w:hAnsi="Arial" w:cs="Arial"/>
          <w:kern w:val="0"/>
          <w:sz w:val="20"/>
          <w:szCs w:val="20"/>
          <w:lang w:val="en-IN" w:eastAsia="en-IN"/>
        </w:rPr>
        <w:t xml:space="preserve">which are major source of water pollution. The unregulated release of agricultural chemicals into water bodies has caused environmental problems to all classes of organisms in the aquatic </w:t>
      </w:r>
      <w:proofErr w:type="gramStart"/>
      <w:r>
        <w:rPr>
          <w:rFonts w:ascii="Arial" w:eastAsiaTheme="minorEastAsia" w:hAnsi="Arial" w:cs="Arial"/>
          <w:kern w:val="0"/>
          <w:sz w:val="20"/>
          <w:szCs w:val="20"/>
          <w:lang w:val="en-IN" w:eastAsia="en-IN"/>
        </w:rPr>
        <w:t>habitat</w:t>
      </w:r>
      <w:r>
        <w:rPr>
          <w:rFonts w:ascii="Arial" w:eastAsiaTheme="minorEastAsia" w:hAnsi="Arial" w:cs="Arial"/>
          <w:kern w:val="0"/>
          <w:sz w:val="20"/>
          <w:szCs w:val="20"/>
          <w:lang w:eastAsia="en-IN"/>
        </w:rPr>
        <w:t>(</w:t>
      </w:r>
      <w:proofErr w:type="gramEnd"/>
      <w:r>
        <w:rPr>
          <w:rFonts w:ascii="Arial" w:eastAsiaTheme="minorEastAsia" w:hAnsi="Arial" w:cs="Arial"/>
          <w:kern w:val="0"/>
          <w:sz w:val="20"/>
          <w:szCs w:val="20"/>
          <w:lang w:val="en-IN" w:eastAsia="en-IN"/>
        </w:rPr>
        <w:t xml:space="preserve">Chai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lang w:val="en-IN" w:eastAsia="en-IN"/>
        </w:rPr>
        <w:t xml:space="preserve"> 2017, Deng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lang w:val="en-IN" w:eastAsia="en-IN"/>
        </w:rPr>
        <w:t xml:space="preserve"> 2017</w:t>
      </w:r>
      <w:proofErr w:type="gramStart"/>
      <w:r>
        <w:rPr>
          <w:rFonts w:ascii="Arial" w:eastAsiaTheme="minorEastAsia" w:hAnsi="Arial" w:cs="Arial"/>
          <w:kern w:val="0"/>
          <w:sz w:val="20"/>
          <w:szCs w:val="20"/>
          <w:lang w:eastAsia="en-IN"/>
        </w:rPr>
        <w:t>).</w:t>
      </w:r>
      <w:r>
        <w:rPr>
          <w:rFonts w:ascii="Arial" w:eastAsiaTheme="minorEastAsia" w:hAnsi="Arial" w:cs="Arial"/>
          <w:kern w:val="0"/>
          <w:sz w:val="20"/>
          <w:szCs w:val="20"/>
          <w:lang w:val="en-IN" w:eastAsia="en-IN"/>
        </w:rPr>
        <w:t>Furthermore</w:t>
      </w:r>
      <w:proofErr w:type="gramEnd"/>
      <w:r>
        <w:rPr>
          <w:rFonts w:ascii="Arial" w:eastAsiaTheme="minorEastAsia" w:hAnsi="Arial" w:cs="Arial"/>
          <w:kern w:val="0"/>
          <w:sz w:val="20"/>
          <w:szCs w:val="20"/>
          <w:lang w:val="en-IN" w:eastAsia="en-IN"/>
        </w:rPr>
        <w:t xml:space="preserve">, fishes appear to be extremely sensitive bio-indicators of aquatic pollution and are being increasingly preferred as test species in toxicological screening of water systems. </w:t>
      </w:r>
      <w:r>
        <w:rPr>
          <w:rFonts w:ascii="Arial" w:eastAsiaTheme="minorEastAsia" w:hAnsi="Arial" w:cs="Arial"/>
          <w:i/>
          <w:iCs/>
          <w:kern w:val="0"/>
          <w:sz w:val="20"/>
          <w:szCs w:val="20"/>
          <w:lang w:val="en-IN" w:eastAsia="en-IN"/>
        </w:rPr>
        <w:t xml:space="preserve">Anabas </w:t>
      </w:r>
      <w:proofErr w:type="spellStart"/>
      <w:r>
        <w:rPr>
          <w:rFonts w:ascii="Arial" w:eastAsiaTheme="minorEastAsia" w:hAnsi="Arial" w:cs="Arial"/>
          <w:i/>
          <w:iCs/>
          <w:kern w:val="0"/>
          <w:sz w:val="20"/>
          <w:szCs w:val="20"/>
          <w:lang w:val="en-IN" w:eastAsia="en-IN"/>
        </w:rPr>
        <w:t>testudineus</w:t>
      </w:r>
      <w:proofErr w:type="spellEnd"/>
      <w:r>
        <w:rPr>
          <w:rFonts w:ascii="Arial" w:eastAsiaTheme="minorEastAsia" w:hAnsi="Arial" w:cs="Arial"/>
          <w:kern w:val="0"/>
          <w:sz w:val="20"/>
          <w:szCs w:val="20"/>
          <w:lang w:val="en-IN" w:eastAsia="en-IN"/>
        </w:rPr>
        <w:t xml:space="preserve">, a native freshwater teleost, was reported as having a higher capability to adapt to unfavourable environments, such as hypoxia, high salinity, low pH, environmental ammonia and </w:t>
      </w:r>
      <w:proofErr w:type="gramStart"/>
      <w:r>
        <w:rPr>
          <w:rFonts w:ascii="Arial" w:eastAsiaTheme="minorEastAsia" w:hAnsi="Arial" w:cs="Arial"/>
          <w:kern w:val="0"/>
          <w:sz w:val="20"/>
          <w:szCs w:val="20"/>
          <w:lang w:val="en-IN" w:eastAsia="en-IN"/>
        </w:rPr>
        <w:t>contaminants</w:t>
      </w:r>
      <w:r>
        <w:rPr>
          <w:rFonts w:ascii="Arial" w:eastAsiaTheme="minorEastAsia" w:hAnsi="Arial" w:cs="Arial"/>
          <w:kern w:val="0"/>
          <w:sz w:val="20"/>
          <w:szCs w:val="20"/>
          <w:lang w:eastAsia="en-IN"/>
        </w:rPr>
        <w:t>(</w:t>
      </w:r>
      <w:proofErr w:type="gramEnd"/>
      <w:r>
        <w:rPr>
          <w:rFonts w:ascii="Arial" w:eastAsiaTheme="minorEastAsia" w:hAnsi="Arial" w:cs="Arial"/>
          <w:kern w:val="0"/>
          <w:sz w:val="20"/>
          <w:szCs w:val="20"/>
          <w:lang w:val="en-IN" w:eastAsia="en-IN"/>
        </w:rPr>
        <w:t xml:space="preserve">Davenport and Matin 1990, Klepper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lang w:val="en-IN" w:eastAsia="en-IN"/>
        </w:rPr>
        <w:t xml:space="preserve"> 1992, Chew and Ip 2014</w:t>
      </w:r>
      <w:r>
        <w:rPr>
          <w:rFonts w:ascii="Arial" w:eastAsiaTheme="minorEastAsia" w:hAnsi="Arial" w:cs="Arial"/>
          <w:kern w:val="0"/>
          <w:sz w:val="20"/>
          <w:szCs w:val="20"/>
          <w:lang w:eastAsia="en-IN"/>
        </w:rPr>
        <w:t>).</w:t>
      </w:r>
      <w:r>
        <w:rPr>
          <w:rFonts w:ascii="Arial" w:eastAsiaTheme="minorEastAsia" w:hAnsi="Arial" w:cs="Arial"/>
          <w:kern w:val="0"/>
          <w:sz w:val="20"/>
          <w:szCs w:val="20"/>
          <w:lang w:val="en-IN" w:eastAsia="en-IN"/>
        </w:rPr>
        <w:t xml:space="preserve"> With this scenario, the present work is aimed to study the leucocytic profiles, blood chemistry and variations thereof in relation to pathological significance. Blood is a convenient and easily accessible liquid tissue, which can be used as a sensitive index in understanding various physiological processes in animals. Hence, clinical haematology and blood biochemistry offer the potential of a valuable tool in assessing fish health under specific circumstances like different pathological </w:t>
      </w:r>
      <w:r>
        <w:rPr>
          <w:rFonts w:ascii="Arial" w:eastAsiaTheme="minorEastAsia" w:hAnsi="Arial" w:cs="Arial"/>
          <w:kern w:val="0"/>
          <w:sz w:val="20"/>
          <w:szCs w:val="20"/>
          <w:lang w:val="en-IN" w:eastAsia="en-IN"/>
        </w:rPr>
        <w:lastRenderedPageBreak/>
        <w:t xml:space="preserve">status and physiological response to environmental stressors. Lead is a toxic heavy metal that accumulates in fish tissues and causes severe physiological damage (Reichert </w:t>
      </w:r>
      <w:r>
        <w:rPr>
          <w:rFonts w:ascii="Arial" w:eastAsiaTheme="minorEastAsia" w:hAnsi="Arial" w:cs="Arial"/>
          <w:i/>
          <w:iCs/>
          <w:kern w:val="0"/>
          <w:sz w:val="20"/>
          <w:szCs w:val="20"/>
          <w:lang w:val="en-IN" w:eastAsia="en-IN"/>
        </w:rPr>
        <w:t xml:space="preserve">et al. </w:t>
      </w:r>
      <w:r>
        <w:rPr>
          <w:rFonts w:ascii="Arial" w:eastAsiaTheme="minorEastAsia" w:hAnsi="Arial" w:cs="Arial"/>
          <w:kern w:val="0"/>
          <w:sz w:val="20"/>
          <w:szCs w:val="20"/>
          <w:lang w:val="en-IN" w:eastAsia="en-IN"/>
        </w:rPr>
        <w:t xml:space="preserve">1979). The present study investigates the haematological and histopathological effects of lead nitrate on the freshwater fish </w:t>
      </w:r>
      <w:r>
        <w:rPr>
          <w:rFonts w:ascii="Arial" w:eastAsiaTheme="minorEastAsia" w:hAnsi="Arial" w:cs="Arial"/>
          <w:i/>
          <w:kern w:val="0"/>
          <w:sz w:val="20"/>
          <w:szCs w:val="20"/>
          <w:lang w:val="en-IN" w:eastAsia="en-IN"/>
        </w:rPr>
        <w:t xml:space="preserve">Anabas </w:t>
      </w:r>
      <w:proofErr w:type="spellStart"/>
      <w:r>
        <w:rPr>
          <w:rFonts w:ascii="Arial" w:eastAsiaTheme="minorEastAsia" w:hAnsi="Arial" w:cs="Arial"/>
          <w:i/>
          <w:kern w:val="0"/>
          <w:sz w:val="20"/>
          <w:szCs w:val="20"/>
          <w:lang w:val="en-IN" w:eastAsia="en-IN"/>
        </w:rPr>
        <w:t>testudineus</w:t>
      </w:r>
      <w:proofErr w:type="spellEnd"/>
      <w:r>
        <w:rPr>
          <w:rFonts w:ascii="Arial" w:eastAsiaTheme="minorEastAsia" w:hAnsi="Arial" w:cs="Arial"/>
          <w:kern w:val="0"/>
          <w:sz w:val="20"/>
          <w:szCs w:val="20"/>
          <w:lang w:val="en-IN" w:eastAsia="en-IN"/>
        </w:rPr>
        <w:t>. Histopathology serves as an important diagnostic tool for detecting tissue damage caused by sublethal pollutants and provides early indications of toxic stress before mortality occurs (Sulekha and Mercy 2021, 2022). Haematological parameters are important for reflecting the pathophysiological status of a fish. These parameters have been widely used as indicators of disease or stress due to pollutants (</w:t>
      </w:r>
      <w:r>
        <w:rPr>
          <w:rFonts w:ascii="Arial" w:eastAsia="SimSun" w:hAnsi="Arial" w:cs="Arial"/>
          <w:color w:val="222222"/>
          <w:sz w:val="20"/>
          <w:szCs w:val="20"/>
          <w:shd w:val="clear" w:color="auto" w:fill="FFFFFF"/>
        </w:rPr>
        <w:t xml:space="preserve">Parmar and Shah 2020, Sinha </w:t>
      </w:r>
      <w:r>
        <w:rPr>
          <w:rFonts w:ascii="Arial" w:eastAsia="SimSun" w:hAnsi="Arial" w:cs="Arial"/>
          <w:i/>
          <w:iCs/>
          <w:color w:val="222222"/>
          <w:sz w:val="20"/>
          <w:szCs w:val="20"/>
          <w:shd w:val="clear" w:color="auto" w:fill="FFFFFF"/>
        </w:rPr>
        <w:t>et al.</w:t>
      </w:r>
      <w:r>
        <w:rPr>
          <w:rFonts w:ascii="Arial" w:eastAsia="SimSun" w:hAnsi="Arial" w:cs="Arial"/>
          <w:color w:val="222222"/>
          <w:sz w:val="20"/>
          <w:szCs w:val="20"/>
          <w:shd w:val="clear" w:color="auto" w:fill="FFFFFF"/>
        </w:rPr>
        <w:t xml:space="preserve"> 2022, </w:t>
      </w:r>
      <w:proofErr w:type="spellStart"/>
      <w:r>
        <w:rPr>
          <w:rFonts w:ascii="Arial" w:eastAsia="SimSun" w:hAnsi="Arial" w:cs="Arial"/>
          <w:color w:val="222222"/>
          <w:sz w:val="20"/>
          <w:szCs w:val="20"/>
          <w:shd w:val="clear" w:color="auto" w:fill="FFFFFF"/>
        </w:rPr>
        <w:t>Muthukumaravel</w:t>
      </w:r>
      <w:proofErr w:type="spellEnd"/>
      <w:r>
        <w:rPr>
          <w:rFonts w:ascii="Arial" w:eastAsia="SimSun" w:hAnsi="Arial" w:cs="Arial"/>
          <w:color w:val="222222"/>
          <w:sz w:val="20"/>
          <w:szCs w:val="20"/>
          <w:shd w:val="clear" w:color="auto" w:fill="FFFFFF"/>
        </w:rPr>
        <w:t xml:space="preserve"> </w:t>
      </w:r>
      <w:r>
        <w:rPr>
          <w:rFonts w:ascii="Arial" w:eastAsia="SimSun" w:hAnsi="Arial" w:cs="Arial"/>
          <w:i/>
          <w:iCs/>
          <w:color w:val="222222"/>
          <w:sz w:val="20"/>
          <w:szCs w:val="20"/>
          <w:shd w:val="clear" w:color="auto" w:fill="FFFFFF"/>
        </w:rPr>
        <w:t>et al.</w:t>
      </w:r>
      <w:r>
        <w:rPr>
          <w:rFonts w:ascii="Arial" w:eastAsia="SimSun" w:hAnsi="Arial" w:cs="Arial"/>
          <w:color w:val="222222"/>
          <w:sz w:val="20"/>
          <w:szCs w:val="20"/>
          <w:shd w:val="clear" w:color="auto" w:fill="FFFFFF"/>
        </w:rPr>
        <w:t xml:space="preserve"> 2023</w:t>
      </w:r>
      <w:r>
        <w:rPr>
          <w:rFonts w:ascii="Arial" w:eastAsiaTheme="minorEastAsia" w:hAnsi="Arial" w:cs="Arial"/>
          <w:kern w:val="0"/>
          <w:sz w:val="20"/>
          <w:szCs w:val="20"/>
          <w:lang w:val="en-IN" w:eastAsia="en-IN"/>
        </w:rPr>
        <w:t xml:space="preserve">). The selected fish </w:t>
      </w:r>
      <w:proofErr w:type="spellStart"/>
      <w:proofErr w:type="gramStart"/>
      <w:r>
        <w:rPr>
          <w:rFonts w:ascii="Arial" w:eastAsiaTheme="minorEastAsia" w:hAnsi="Arial" w:cs="Arial"/>
          <w:i/>
          <w:kern w:val="0"/>
          <w:sz w:val="20"/>
          <w:szCs w:val="20"/>
          <w:lang w:val="en-IN" w:eastAsia="en-IN"/>
        </w:rPr>
        <w:t>A.testudineus</w:t>
      </w:r>
      <w:proofErr w:type="spellEnd"/>
      <w:proofErr w:type="gramEnd"/>
      <w:r>
        <w:rPr>
          <w:rFonts w:ascii="Arial" w:eastAsiaTheme="minorEastAsia" w:hAnsi="Arial" w:cs="Arial"/>
          <w:kern w:val="0"/>
          <w:sz w:val="20"/>
          <w:szCs w:val="20"/>
          <w:lang w:val="en-IN" w:eastAsia="en-IN"/>
        </w:rPr>
        <w:t xml:space="preserve">, is a very hardy fish, which can tolerate extreme conditions. It is widely seen in canals, lakes, ponds, swamps and inland water bodies of India, hence selected as biological indicators of ecotoxicological studies. Several studies have been carried out on the impacts of Lead nitrate on the haematology of different fish species (Mastan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lang w:val="en-IN" w:eastAsia="en-IN"/>
        </w:rPr>
        <w:t xml:space="preserve"> 2008, Latif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lang w:val="en-IN" w:eastAsia="en-IN"/>
        </w:rPr>
        <w:t xml:space="preserve"> 2014, Dutta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lang w:val="en-IN" w:eastAsia="en-IN"/>
        </w:rPr>
        <w:t xml:space="preserve"> 2015,</w:t>
      </w:r>
      <w:r>
        <w:rPr>
          <w:rFonts w:ascii="Arial" w:eastAsiaTheme="minorEastAsia" w:hAnsi="Arial" w:cs="Arial"/>
          <w:kern w:val="0"/>
          <w:sz w:val="20"/>
          <w:szCs w:val="20"/>
          <w:lang w:eastAsia="en-IN"/>
        </w:rPr>
        <w:t xml:space="preserve"> Abdel-Warith </w:t>
      </w:r>
      <w:r>
        <w:rPr>
          <w:rFonts w:ascii="Arial" w:eastAsiaTheme="minorEastAsia" w:hAnsi="Arial" w:cs="Arial"/>
          <w:i/>
          <w:iCs/>
          <w:kern w:val="0"/>
          <w:sz w:val="20"/>
          <w:szCs w:val="20"/>
          <w:lang w:eastAsia="en-IN"/>
        </w:rPr>
        <w:t>et al.</w:t>
      </w:r>
      <w:r>
        <w:rPr>
          <w:rFonts w:ascii="Arial" w:eastAsiaTheme="minorEastAsia" w:hAnsi="Arial" w:cs="Arial"/>
          <w:kern w:val="0"/>
          <w:sz w:val="20"/>
          <w:szCs w:val="20"/>
          <w:lang w:eastAsia="en-IN"/>
        </w:rPr>
        <w:t xml:space="preserve"> 2020,</w:t>
      </w:r>
      <w:r>
        <w:rPr>
          <w:rFonts w:ascii="Arial" w:eastAsiaTheme="minorEastAsia" w:hAnsi="Arial" w:cs="Arial"/>
          <w:kern w:val="0"/>
          <w:sz w:val="20"/>
          <w:szCs w:val="20"/>
          <w:lang w:val="en-IN" w:eastAsia="en-IN"/>
        </w:rPr>
        <w:t xml:space="preserve"> </w:t>
      </w:r>
      <w:proofErr w:type="spellStart"/>
      <w:r>
        <w:rPr>
          <w:rFonts w:ascii="Arial" w:eastAsiaTheme="minorEastAsia" w:hAnsi="Arial" w:cs="Arial"/>
          <w:kern w:val="0"/>
          <w:sz w:val="20"/>
          <w:szCs w:val="20"/>
          <w:lang w:val="en-IN" w:eastAsia="en-IN"/>
        </w:rPr>
        <w:t>Zulfahmi</w:t>
      </w:r>
      <w:proofErr w:type="spellEnd"/>
      <w:r>
        <w:rPr>
          <w:rFonts w:ascii="Arial" w:eastAsiaTheme="minorEastAsia" w:hAnsi="Arial" w:cs="Arial"/>
          <w:kern w:val="0"/>
          <w:sz w:val="20"/>
          <w:szCs w:val="20"/>
          <w:lang w:val="en-IN" w:eastAsia="en-IN"/>
        </w:rPr>
        <w:t xml:space="preserve">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lang w:val="en-IN" w:eastAsia="en-IN"/>
        </w:rPr>
        <w:t xml:space="preserve"> 2021</w:t>
      </w:r>
      <w:r>
        <w:rPr>
          <w:rFonts w:ascii="Arial" w:eastAsiaTheme="minorEastAsia" w:hAnsi="Arial" w:cs="Arial"/>
          <w:kern w:val="0"/>
          <w:sz w:val="20"/>
          <w:szCs w:val="20"/>
          <w:lang w:eastAsia="en-IN"/>
        </w:rPr>
        <w:t xml:space="preserve">, Mahapatra </w:t>
      </w:r>
      <w:r>
        <w:rPr>
          <w:rFonts w:ascii="Arial" w:eastAsiaTheme="minorEastAsia" w:hAnsi="Arial" w:cs="Arial"/>
          <w:i/>
          <w:iCs/>
          <w:kern w:val="0"/>
          <w:sz w:val="20"/>
          <w:szCs w:val="20"/>
          <w:lang w:eastAsia="en-IN"/>
        </w:rPr>
        <w:t xml:space="preserve">et al. </w:t>
      </w:r>
      <w:r>
        <w:rPr>
          <w:rFonts w:ascii="Arial" w:eastAsiaTheme="minorEastAsia" w:hAnsi="Arial" w:cs="Arial"/>
          <w:kern w:val="0"/>
          <w:sz w:val="20"/>
          <w:szCs w:val="20"/>
          <w:lang w:eastAsia="en-IN"/>
        </w:rPr>
        <w:t xml:space="preserve">2022, Sherif </w:t>
      </w:r>
      <w:r>
        <w:rPr>
          <w:rFonts w:ascii="Arial" w:eastAsiaTheme="minorEastAsia" w:hAnsi="Arial" w:cs="Arial"/>
          <w:i/>
          <w:iCs/>
          <w:kern w:val="0"/>
          <w:sz w:val="20"/>
          <w:szCs w:val="20"/>
          <w:lang w:eastAsia="en-IN"/>
        </w:rPr>
        <w:t xml:space="preserve">et al. </w:t>
      </w:r>
      <w:r>
        <w:rPr>
          <w:rFonts w:ascii="Arial" w:eastAsiaTheme="minorEastAsia" w:hAnsi="Arial" w:cs="Arial"/>
          <w:kern w:val="0"/>
          <w:sz w:val="20"/>
          <w:szCs w:val="20"/>
          <w:lang w:eastAsia="en-IN"/>
        </w:rPr>
        <w:t>2024</w:t>
      </w:r>
      <w:r>
        <w:rPr>
          <w:rFonts w:ascii="Arial" w:eastAsiaTheme="minorEastAsia" w:hAnsi="Arial" w:cs="Arial"/>
          <w:kern w:val="0"/>
          <w:sz w:val="20"/>
          <w:szCs w:val="20"/>
          <w:lang w:val="en-IN" w:eastAsia="en-IN"/>
        </w:rPr>
        <w:t>).</w:t>
      </w:r>
    </w:p>
    <w:p w14:paraId="34C31DB0" w14:textId="77777777" w:rsidR="009441E7" w:rsidRDefault="00A82308">
      <w:pPr>
        <w:spacing w:line="360" w:lineRule="auto"/>
        <w:jc w:val="both"/>
        <w:rPr>
          <w:rFonts w:ascii="Times New Roman" w:eastAsiaTheme="minorEastAsia" w:hAnsi="Times New Roman" w:cs="Times New Roman"/>
          <w:kern w:val="0"/>
          <w:sz w:val="20"/>
          <w:szCs w:val="20"/>
          <w:lang w:val="en-IN" w:eastAsia="en-IN"/>
        </w:rPr>
      </w:pPr>
      <w:r>
        <w:rPr>
          <w:rFonts w:ascii="Arial" w:eastAsiaTheme="minorEastAsia" w:hAnsi="Arial" w:cs="Arial"/>
          <w:kern w:val="0"/>
          <w:sz w:val="20"/>
          <w:szCs w:val="20"/>
          <w:lang w:val="en-IN" w:eastAsia="en-IN"/>
        </w:rPr>
        <w:t xml:space="preserve">The gills, liver, and kidney are highly sensitive organs involved in respiration, osmoregulation, excretion, and detoxification (Evans et al. 2005). Alterations in these tissues reflect the toxic impact of contaminants such as lead nitrate. Due to its wide distribution, commercial value, year-round availability, and easy acclimatisation under laboratory conditions, </w:t>
      </w:r>
      <w:r>
        <w:rPr>
          <w:rFonts w:ascii="Arial" w:eastAsiaTheme="minorEastAsia" w:hAnsi="Arial" w:cs="Arial"/>
          <w:i/>
          <w:kern w:val="0"/>
          <w:sz w:val="20"/>
          <w:szCs w:val="20"/>
          <w:lang w:val="en-IN" w:eastAsia="en-IN"/>
        </w:rPr>
        <w:t xml:space="preserve">Anabas </w:t>
      </w:r>
      <w:proofErr w:type="spellStart"/>
      <w:r>
        <w:rPr>
          <w:rFonts w:ascii="Arial" w:eastAsiaTheme="minorEastAsia" w:hAnsi="Arial" w:cs="Arial"/>
          <w:i/>
          <w:kern w:val="0"/>
          <w:sz w:val="20"/>
          <w:szCs w:val="20"/>
          <w:lang w:val="en-IN" w:eastAsia="en-IN"/>
        </w:rPr>
        <w:t>testudineus</w:t>
      </w:r>
      <w:proofErr w:type="spellEnd"/>
      <w:r>
        <w:rPr>
          <w:rFonts w:ascii="Arial" w:eastAsiaTheme="minorEastAsia" w:hAnsi="Arial" w:cs="Arial"/>
          <w:kern w:val="0"/>
          <w:sz w:val="20"/>
          <w:szCs w:val="20"/>
          <w:lang w:val="en-IN" w:eastAsia="en-IN"/>
        </w:rPr>
        <w:t xml:space="preserve"> is considered a suitable model organism for toxicity studies. Therefore, our short-term study focuses on evaluating the histological changes in the gill, liver, and kidney of fish exposed to different concentrations of lead nitrate to better understand its mechanism of toxicity.</w:t>
      </w:r>
    </w:p>
    <w:p w14:paraId="3C56C6AC"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6810973D" w14:textId="77777777" w:rsidR="009441E7" w:rsidRDefault="00A82308">
      <w:pPr>
        <w:spacing w:line="360" w:lineRule="auto"/>
        <w:jc w:val="both"/>
        <w:rPr>
          <w:rFonts w:ascii="Arial" w:eastAsiaTheme="minorEastAsia" w:hAnsi="Arial" w:cs="Arial"/>
          <w:kern w:val="0"/>
          <w:lang w:val="en-IN" w:eastAsia="en-IN"/>
        </w:rPr>
      </w:pPr>
      <w:r>
        <w:rPr>
          <w:rFonts w:ascii="Arial" w:eastAsiaTheme="minorEastAsia" w:hAnsi="Arial" w:cs="Arial"/>
          <w:b/>
          <w:kern w:val="0"/>
          <w:lang w:eastAsia="en-IN"/>
        </w:rPr>
        <w:t>2</w:t>
      </w:r>
      <w:r>
        <w:rPr>
          <w:rFonts w:ascii="Arial" w:eastAsiaTheme="minorEastAsia" w:hAnsi="Arial" w:cs="Arial"/>
          <w:b/>
          <w:kern w:val="0"/>
          <w:lang w:val="en-IN" w:eastAsia="en-IN"/>
        </w:rPr>
        <w:t>. MATERIAL AND METHODS</w:t>
      </w:r>
    </w:p>
    <w:p w14:paraId="5F86E86F" w14:textId="77777777" w:rsidR="009441E7" w:rsidRDefault="00A82308">
      <w:pPr>
        <w:spacing w:line="360" w:lineRule="auto"/>
        <w:jc w:val="both"/>
        <w:rPr>
          <w:rFonts w:ascii="Arial" w:eastAsiaTheme="minorEastAsia" w:hAnsi="Arial" w:cs="Arial"/>
          <w:b/>
          <w:bCs/>
          <w:kern w:val="0"/>
          <w:lang w:val="en-IN" w:eastAsia="en-IN"/>
        </w:rPr>
      </w:pPr>
      <w:r>
        <w:rPr>
          <w:rFonts w:ascii="Arial" w:eastAsiaTheme="minorEastAsia" w:hAnsi="Arial" w:cs="Arial"/>
          <w:b/>
          <w:bCs/>
          <w:kern w:val="0"/>
          <w:lang w:eastAsia="en-IN"/>
        </w:rPr>
        <w:t>2</w:t>
      </w:r>
      <w:r>
        <w:rPr>
          <w:rFonts w:ascii="Arial" w:eastAsiaTheme="minorEastAsia" w:hAnsi="Arial" w:cs="Arial"/>
          <w:b/>
          <w:bCs/>
          <w:kern w:val="0"/>
          <w:lang w:val="en-IN" w:eastAsia="en-IN"/>
        </w:rPr>
        <w:t>.1 Specimen collection and maintenance</w:t>
      </w:r>
    </w:p>
    <w:p w14:paraId="558FCC08" w14:textId="77777777" w:rsidR="009441E7" w:rsidRDefault="00A82308">
      <w:pPr>
        <w:spacing w:line="360" w:lineRule="auto"/>
        <w:jc w:val="both"/>
        <w:rPr>
          <w:rFonts w:ascii="Arial" w:eastAsiaTheme="minorEastAsia" w:hAnsi="Arial" w:cs="Arial"/>
          <w:kern w:val="0"/>
          <w:sz w:val="20"/>
          <w:szCs w:val="20"/>
          <w:lang w:val="en-IN" w:eastAsia="en-IN"/>
        </w:rPr>
      </w:pPr>
      <w:r>
        <w:rPr>
          <w:rFonts w:ascii="Arial" w:eastAsiaTheme="minorEastAsia" w:hAnsi="Arial" w:cs="Arial"/>
          <w:bCs/>
          <w:kern w:val="0"/>
          <w:sz w:val="20"/>
          <w:szCs w:val="20"/>
          <w:lang w:eastAsia="en-IN"/>
        </w:rPr>
        <w:t xml:space="preserve">The “Climbing perch”, </w:t>
      </w:r>
      <w:r>
        <w:rPr>
          <w:rFonts w:ascii="Arial" w:eastAsiaTheme="minorEastAsia" w:hAnsi="Arial" w:cs="Arial"/>
          <w:bCs/>
          <w:i/>
          <w:kern w:val="0"/>
          <w:sz w:val="20"/>
          <w:szCs w:val="20"/>
          <w:lang w:eastAsia="en-IN"/>
        </w:rPr>
        <w:t xml:space="preserve">Anabas </w:t>
      </w:r>
      <w:proofErr w:type="spellStart"/>
      <w:r>
        <w:rPr>
          <w:rFonts w:ascii="Arial" w:eastAsiaTheme="minorEastAsia" w:hAnsi="Arial" w:cs="Arial"/>
          <w:bCs/>
          <w:i/>
          <w:kern w:val="0"/>
          <w:sz w:val="20"/>
          <w:szCs w:val="20"/>
          <w:lang w:eastAsia="en-IN"/>
        </w:rPr>
        <w:t>testudineus</w:t>
      </w:r>
      <w:proofErr w:type="spellEnd"/>
      <w:r>
        <w:rPr>
          <w:rFonts w:ascii="Arial" w:eastAsiaTheme="minorEastAsia" w:hAnsi="Arial" w:cs="Arial"/>
          <w:bCs/>
          <w:kern w:val="0"/>
          <w:sz w:val="20"/>
          <w:szCs w:val="20"/>
          <w:lang w:eastAsia="en-IN"/>
        </w:rPr>
        <w:t xml:space="preserve">, locally known as koi, is an air-breathing freshwater fish commonly found in a wide range of aquatic habitats, including stagnant muddy ponds, canals, paddy fields, lakes, rivers, and </w:t>
      </w:r>
      <w:proofErr w:type="spellStart"/>
      <w:r>
        <w:rPr>
          <w:rFonts w:ascii="Arial" w:eastAsiaTheme="minorEastAsia" w:hAnsi="Arial" w:cs="Arial"/>
          <w:bCs/>
          <w:kern w:val="0"/>
          <w:sz w:val="20"/>
          <w:szCs w:val="20"/>
          <w:lang w:eastAsia="en-IN"/>
        </w:rPr>
        <w:t>jheels</w:t>
      </w:r>
      <w:proofErr w:type="spellEnd"/>
      <w:r>
        <w:rPr>
          <w:rFonts w:ascii="Arial" w:eastAsiaTheme="minorEastAsia" w:hAnsi="Arial" w:cs="Arial"/>
          <w:bCs/>
          <w:kern w:val="0"/>
          <w:sz w:val="20"/>
          <w:szCs w:val="20"/>
          <w:lang w:eastAsia="en-IN"/>
        </w:rPr>
        <w:t xml:space="preserve">. Live and healthy specimens of </w:t>
      </w:r>
      <w:r>
        <w:rPr>
          <w:rFonts w:ascii="Arial" w:eastAsiaTheme="minorEastAsia" w:hAnsi="Arial" w:cs="Arial"/>
          <w:bCs/>
          <w:i/>
          <w:iCs/>
          <w:kern w:val="0"/>
          <w:sz w:val="20"/>
          <w:szCs w:val="20"/>
          <w:lang w:eastAsia="en-IN"/>
        </w:rPr>
        <w:t xml:space="preserve">A. </w:t>
      </w:r>
      <w:proofErr w:type="spellStart"/>
      <w:r>
        <w:rPr>
          <w:rFonts w:ascii="Arial" w:eastAsiaTheme="minorEastAsia" w:hAnsi="Arial" w:cs="Arial"/>
          <w:bCs/>
          <w:i/>
          <w:iCs/>
          <w:kern w:val="0"/>
          <w:sz w:val="20"/>
          <w:szCs w:val="20"/>
          <w:lang w:eastAsia="en-IN"/>
        </w:rPr>
        <w:t>testudineus</w:t>
      </w:r>
      <w:proofErr w:type="spellEnd"/>
      <w:r>
        <w:rPr>
          <w:rFonts w:ascii="Arial" w:eastAsiaTheme="minorEastAsia" w:hAnsi="Arial" w:cs="Arial"/>
          <w:bCs/>
          <w:kern w:val="0"/>
          <w:sz w:val="20"/>
          <w:szCs w:val="20"/>
          <w:lang w:eastAsia="en-IN"/>
        </w:rPr>
        <w:t xml:space="preserve"> were collected from a local fish farm in Kolkata for the present study. </w:t>
      </w:r>
      <w:r>
        <w:rPr>
          <w:rFonts w:ascii="Arial" w:eastAsiaTheme="minorEastAsia" w:hAnsi="Arial" w:cs="Arial"/>
          <w:kern w:val="0"/>
          <w:sz w:val="20"/>
          <w:szCs w:val="20"/>
          <w:lang w:val="en-IN" w:eastAsia="en-IN"/>
        </w:rPr>
        <w:t xml:space="preserve">After collection, </w:t>
      </w:r>
      <w:r>
        <w:rPr>
          <w:rFonts w:ascii="Arial" w:eastAsiaTheme="minorEastAsia" w:hAnsi="Arial" w:cs="Arial"/>
          <w:i/>
          <w:iCs/>
          <w:kern w:val="0"/>
          <w:sz w:val="20"/>
          <w:szCs w:val="20"/>
          <w:lang w:val="en-IN" w:eastAsia="en-IN"/>
        </w:rPr>
        <w:t xml:space="preserve">A. </w:t>
      </w:r>
      <w:proofErr w:type="spellStart"/>
      <w:r>
        <w:rPr>
          <w:rFonts w:ascii="Arial" w:eastAsiaTheme="minorEastAsia" w:hAnsi="Arial" w:cs="Arial"/>
          <w:i/>
          <w:iCs/>
          <w:kern w:val="0"/>
          <w:sz w:val="20"/>
          <w:szCs w:val="20"/>
          <w:lang w:val="en-IN" w:eastAsia="en-IN"/>
        </w:rPr>
        <w:t>testudineus</w:t>
      </w:r>
      <w:proofErr w:type="spellEnd"/>
      <w:r>
        <w:rPr>
          <w:rFonts w:ascii="Arial" w:eastAsiaTheme="minorEastAsia" w:hAnsi="Arial" w:cs="Arial"/>
          <w:i/>
          <w:iCs/>
          <w:kern w:val="0"/>
          <w:sz w:val="20"/>
          <w:szCs w:val="20"/>
          <w:lang w:val="en-IN" w:eastAsia="en-IN"/>
        </w:rPr>
        <w:t xml:space="preserve"> </w:t>
      </w:r>
      <w:r>
        <w:rPr>
          <w:rFonts w:ascii="Arial" w:eastAsiaTheme="minorEastAsia" w:hAnsi="Arial" w:cs="Arial"/>
          <w:kern w:val="0"/>
          <w:sz w:val="20"/>
          <w:szCs w:val="20"/>
          <w:lang w:val="en-IN" w:eastAsia="en-IN"/>
        </w:rPr>
        <w:t xml:space="preserve">were transported live to the Post Department of Zoology, Maulana Azad College, University of Calcutta, and were kept alive for one week in glass aquaria (size: 0.75m x 0.44m x 0.45m; 5-6 fish per aquarium) under controlled laboratory conditions with continuous aeration at 25-30°C. In the meantime, fishes were fed </w:t>
      </w:r>
      <w:r>
        <w:rPr>
          <w:rFonts w:ascii="Arial" w:eastAsiaTheme="minorEastAsia" w:hAnsi="Arial" w:cs="Arial"/>
          <w:iCs/>
          <w:kern w:val="0"/>
          <w:sz w:val="20"/>
          <w:szCs w:val="20"/>
          <w:lang w:val="en-IN" w:eastAsia="en-IN"/>
        </w:rPr>
        <w:t>with commercial fish pellets</w:t>
      </w:r>
      <w:r>
        <w:rPr>
          <w:rFonts w:ascii="Arial" w:eastAsiaTheme="minorEastAsia" w:hAnsi="Arial" w:cs="Arial"/>
          <w:kern w:val="0"/>
          <w:sz w:val="20"/>
          <w:szCs w:val="20"/>
          <w:lang w:val="en-IN" w:eastAsia="en-IN"/>
        </w:rPr>
        <w:t xml:space="preserve"> during the acclimatization period only. The water was renewed every alternate day to avoid the accumulation of unutilised food or metabolic waste products. </w:t>
      </w:r>
    </w:p>
    <w:p w14:paraId="0893235B" w14:textId="77777777" w:rsidR="009441E7" w:rsidRDefault="00A82308">
      <w:pPr>
        <w:spacing w:line="360" w:lineRule="auto"/>
        <w:jc w:val="both"/>
        <w:rPr>
          <w:rFonts w:ascii="Arial" w:eastAsiaTheme="minorEastAsia" w:hAnsi="Arial" w:cs="Arial"/>
          <w:b/>
          <w:bCs/>
          <w:kern w:val="0"/>
          <w:lang w:val="en-IN" w:eastAsia="en-IN"/>
        </w:rPr>
      </w:pPr>
      <w:r>
        <w:rPr>
          <w:rFonts w:ascii="Arial" w:eastAsiaTheme="minorEastAsia" w:hAnsi="Arial" w:cs="Arial"/>
          <w:b/>
          <w:bCs/>
          <w:kern w:val="0"/>
          <w:lang w:eastAsia="en-IN"/>
        </w:rPr>
        <w:t>2</w:t>
      </w:r>
      <w:r>
        <w:rPr>
          <w:rFonts w:ascii="Arial" w:eastAsiaTheme="minorEastAsia" w:hAnsi="Arial" w:cs="Arial"/>
          <w:b/>
          <w:bCs/>
          <w:kern w:val="0"/>
          <w:lang w:val="en-IN" w:eastAsia="en-IN"/>
        </w:rPr>
        <w:t>.2 Dose determination</w:t>
      </w:r>
    </w:p>
    <w:p w14:paraId="0FC00260" w14:textId="77777777" w:rsidR="009441E7" w:rsidRDefault="00A82308">
      <w:pPr>
        <w:spacing w:line="360" w:lineRule="auto"/>
        <w:jc w:val="both"/>
        <w:rPr>
          <w:rFonts w:ascii="Arial" w:eastAsiaTheme="minorEastAsia" w:hAnsi="Arial" w:cs="Arial"/>
          <w:kern w:val="0"/>
          <w:sz w:val="20"/>
          <w:szCs w:val="20"/>
          <w:lang w:val="en-IN" w:eastAsia="en-IN"/>
        </w:rPr>
      </w:pPr>
      <w:r>
        <w:rPr>
          <w:rFonts w:ascii="Arial" w:eastAsiaTheme="minorEastAsia" w:hAnsi="Arial" w:cs="Arial"/>
          <w:iCs/>
          <w:kern w:val="0"/>
          <w:sz w:val="20"/>
          <w:szCs w:val="20"/>
          <w:lang w:val="en-IN" w:eastAsia="en-IN"/>
        </w:rPr>
        <w:lastRenderedPageBreak/>
        <w:t xml:space="preserve">The specimens of </w:t>
      </w:r>
      <w:r>
        <w:rPr>
          <w:rFonts w:ascii="Arial" w:eastAsiaTheme="minorEastAsia" w:hAnsi="Arial" w:cs="Arial"/>
          <w:i/>
          <w:iCs/>
          <w:kern w:val="0"/>
          <w:sz w:val="20"/>
          <w:szCs w:val="20"/>
          <w:lang w:val="en-IN" w:eastAsia="en-IN"/>
        </w:rPr>
        <w:t xml:space="preserve">A. </w:t>
      </w:r>
      <w:proofErr w:type="spellStart"/>
      <w:r>
        <w:rPr>
          <w:rFonts w:ascii="Arial" w:eastAsiaTheme="minorEastAsia" w:hAnsi="Arial" w:cs="Arial"/>
          <w:i/>
          <w:iCs/>
          <w:kern w:val="0"/>
          <w:sz w:val="20"/>
          <w:szCs w:val="20"/>
          <w:lang w:val="en-IN" w:eastAsia="en-IN"/>
        </w:rPr>
        <w:t>testudineus</w:t>
      </w:r>
      <w:proofErr w:type="spellEnd"/>
      <w:r>
        <w:rPr>
          <w:rFonts w:ascii="Arial" w:eastAsiaTheme="minorEastAsia" w:hAnsi="Arial" w:cs="Arial"/>
          <w:i/>
          <w:iCs/>
          <w:kern w:val="0"/>
          <w:sz w:val="20"/>
          <w:szCs w:val="20"/>
          <w:lang w:val="en-IN" w:eastAsia="en-IN"/>
        </w:rPr>
        <w:t xml:space="preserve"> </w:t>
      </w:r>
      <w:r>
        <w:rPr>
          <w:rFonts w:ascii="Arial" w:eastAsiaTheme="minorEastAsia" w:hAnsi="Arial" w:cs="Arial"/>
          <w:kern w:val="0"/>
          <w:sz w:val="20"/>
          <w:szCs w:val="20"/>
          <w:lang w:val="en-IN" w:eastAsia="en-IN"/>
        </w:rPr>
        <w:t>were exposed to different concentrations of lead nitrate and LC</w:t>
      </w:r>
      <w:r>
        <w:rPr>
          <w:rFonts w:ascii="Arial" w:eastAsiaTheme="minorEastAsia" w:hAnsi="Arial" w:cs="Arial"/>
          <w:kern w:val="0"/>
          <w:sz w:val="20"/>
          <w:szCs w:val="20"/>
          <w:vertAlign w:val="subscript"/>
          <w:lang w:val="en-IN" w:eastAsia="en-IN"/>
        </w:rPr>
        <w:t>50</w:t>
      </w:r>
      <w:r>
        <w:rPr>
          <w:rFonts w:ascii="Arial" w:eastAsiaTheme="minorEastAsia" w:hAnsi="Arial" w:cs="Arial"/>
          <w:kern w:val="0"/>
          <w:sz w:val="20"/>
          <w:szCs w:val="20"/>
          <w:lang w:val="en-IN" w:eastAsia="en-IN"/>
        </w:rPr>
        <w:t xml:space="preserve"> value was determined by Probit method (Finney 1964). The LC</w:t>
      </w:r>
      <w:r>
        <w:rPr>
          <w:rFonts w:ascii="Arial" w:eastAsiaTheme="minorEastAsia" w:hAnsi="Arial" w:cs="Arial"/>
          <w:kern w:val="0"/>
          <w:sz w:val="20"/>
          <w:szCs w:val="20"/>
          <w:vertAlign w:val="subscript"/>
          <w:lang w:val="en-IN" w:eastAsia="en-IN"/>
        </w:rPr>
        <w:t>50</w:t>
      </w:r>
      <w:r>
        <w:rPr>
          <w:rFonts w:ascii="Arial" w:eastAsiaTheme="minorEastAsia" w:hAnsi="Arial" w:cs="Arial"/>
          <w:kern w:val="0"/>
          <w:sz w:val="20"/>
          <w:szCs w:val="20"/>
          <w:lang w:val="en-IN" w:eastAsia="en-IN"/>
        </w:rPr>
        <w:t xml:space="preserve"> value for 96h was found to be 60.3 mg/L. Two sublethal doses were chosen as 15mg/L for Treated group 1 and 30mg/L for treated group 2 respectively.</w:t>
      </w:r>
    </w:p>
    <w:p w14:paraId="5427C5B6" w14:textId="77777777" w:rsidR="009441E7" w:rsidRDefault="00A82308">
      <w:pPr>
        <w:spacing w:line="360" w:lineRule="auto"/>
        <w:jc w:val="both"/>
        <w:rPr>
          <w:rFonts w:ascii="Arial" w:eastAsiaTheme="minorEastAsia" w:hAnsi="Arial" w:cs="Arial"/>
          <w:b/>
          <w:bCs/>
          <w:iCs/>
          <w:kern w:val="0"/>
          <w:lang w:val="en-IN" w:eastAsia="en-IN"/>
        </w:rPr>
      </w:pPr>
      <w:r>
        <w:rPr>
          <w:rFonts w:ascii="Arial" w:eastAsiaTheme="minorEastAsia" w:hAnsi="Arial" w:cs="Arial"/>
          <w:b/>
          <w:bCs/>
          <w:iCs/>
          <w:kern w:val="0"/>
          <w:lang w:eastAsia="en-IN"/>
        </w:rPr>
        <w:t>2</w:t>
      </w:r>
      <w:r>
        <w:rPr>
          <w:rFonts w:ascii="Arial" w:eastAsiaTheme="minorEastAsia" w:hAnsi="Arial" w:cs="Arial"/>
          <w:b/>
          <w:bCs/>
          <w:iCs/>
          <w:kern w:val="0"/>
          <w:lang w:val="en-IN" w:eastAsia="en-IN"/>
        </w:rPr>
        <w:t>.3 Haematological determinations</w:t>
      </w:r>
    </w:p>
    <w:p w14:paraId="14D8B0BC" w14:textId="77777777" w:rsidR="009441E7" w:rsidRDefault="00A82308">
      <w:pPr>
        <w:spacing w:line="360" w:lineRule="auto"/>
        <w:jc w:val="both"/>
        <w:rPr>
          <w:rFonts w:ascii="Arial" w:eastAsiaTheme="minorEastAsia" w:hAnsi="Arial" w:cs="Arial"/>
          <w:kern w:val="0"/>
          <w:sz w:val="20"/>
          <w:szCs w:val="20"/>
          <w:lang w:val="en-IN" w:eastAsia="en-IN"/>
        </w:rPr>
      </w:pPr>
      <w:r>
        <w:rPr>
          <w:rFonts w:ascii="Arial" w:eastAsiaTheme="minorEastAsia" w:hAnsi="Arial" w:cs="Arial"/>
          <w:kern w:val="0"/>
          <w:sz w:val="20"/>
          <w:szCs w:val="20"/>
          <w:lang w:eastAsia="en-IN"/>
        </w:rPr>
        <w:t>Prior to blood collection</w:t>
      </w:r>
      <w:r>
        <w:rPr>
          <w:rFonts w:ascii="Arial" w:eastAsiaTheme="minorEastAsia" w:hAnsi="Arial" w:cs="Arial"/>
          <w:kern w:val="0"/>
          <w:sz w:val="20"/>
          <w:szCs w:val="20"/>
          <w:lang w:val="en-IN" w:eastAsia="en-IN"/>
        </w:rPr>
        <w:t xml:space="preserve">, the weight (67.5 ± 2.5 g) and total length (12.5 ± 0.6 cm) of </w:t>
      </w:r>
      <w:r>
        <w:rPr>
          <w:rFonts w:ascii="Arial" w:eastAsiaTheme="minorEastAsia" w:hAnsi="Arial" w:cs="Arial"/>
          <w:i/>
          <w:kern w:val="0"/>
          <w:sz w:val="20"/>
          <w:szCs w:val="20"/>
          <w:lang w:val="en-IN" w:eastAsia="en-IN"/>
        </w:rPr>
        <w:t xml:space="preserve">A. </w:t>
      </w:r>
      <w:proofErr w:type="spellStart"/>
      <w:r>
        <w:rPr>
          <w:rFonts w:ascii="Arial" w:eastAsiaTheme="minorEastAsia" w:hAnsi="Arial" w:cs="Arial"/>
          <w:i/>
          <w:kern w:val="0"/>
          <w:sz w:val="20"/>
          <w:szCs w:val="20"/>
          <w:lang w:val="en-IN" w:eastAsia="en-IN"/>
        </w:rPr>
        <w:t>testudineus</w:t>
      </w:r>
      <w:proofErr w:type="spellEnd"/>
      <w:r>
        <w:rPr>
          <w:rFonts w:ascii="Arial" w:eastAsiaTheme="minorEastAsia" w:hAnsi="Arial" w:cs="Arial"/>
          <w:i/>
          <w:kern w:val="0"/>
          <w:sz w:val="20"/>
          <w:szCs w:val="20"/>
          <w:lang w:val="en-IN" w:eastAsia="en-IN"/>
        </w:rPr>
        <w:t xml:space="preserve"> </w:t>
      </w:r>
      <w:r>
        <w:rPr>
          <w:rFonts w:ascii="Arial" w:eastAsiaTheme="minorEastAsia" w:hAnsi="Arial" w:cs="Arial"/>
          <w:kern w:val="0"/>
          <w:sz w:val="20"/>
          <w:szCs w:val="20"/>
          <w:lang w:val="en-IN" w:eastAsia="en-IN"/>
        </w:rPr>
        <w:t xml:space="preserve">were measured respectively with a digital weighing machine and measuring scale. Free-flowing blood was collected by severing the caudal peduncle with </w:t>
      </w:r>
      <w:proofErr w:type="gramStart"/>
      <w:r>
        <w:rPr>
          <w:rFonts w:ascii="Arial" w:eastAsiaTheme="minorEastAsia" w:hAnsi="Arial" w:cs="Arial"/>
          <w:kern w:val="0"/>
          <w:sz w:val="20"/>
          <w:szCs w:val="20"/>
          <w:lang w:val="en-IN" w:eastAsia="en-IN"/>
        </w:rPr>
        <w:t>a sterile sharp scissors</w:t>
      </w:r>
      <w:proofErr w:type="gramEnd"/>
      <w:r>
        <w:rPr>
          <w:rFonts w:ascii="Arial" w:eastAsiaTheme="minorEastAsia" w:hAnsi="Arial" w:cs="Arial"/>
          <w:kern w:val="0"/>
          <w:sz w:val="20"/>
          <w:szCs w:val="20"/>
          <w:lang w:val="en-IN" w:eastAsia="en-IN"/>
        </w:rPr>
        <w:t xml:space="preserve"> without using anaesthesia. </w:t>
      </w:r>
      <w:r>
        <w:rPr>
          <w:rFonts w:ascii="Arial" w:eastAsia="Calibri" w:hAnsi="Arial" w:cs="Arial"/>
          <w:sz w:val="20"/>
          <w:szCs w:val="20"/>
        </w:rPr>
        <w:t xml:space="preserve">Blood smears were prepared from blood free from any anticoagulant. However, blood was collected in glass vial rinsed with 3.8 % sodium citrate (anticoagulant) for determination of </w:t>
      </w:r>
      <w:proofErr w:type="spellStart"/>
      <w:r>
        <w:rPr>
          <w:rFonts w:ascii="Arial" w:eastAsia="Calibri" w:hAnsi="Arial" w:cs="Arial"/>
          <w:sz w:val="20"/>
          <w:szCs w:val="20"/>
        </w:rPr>
        <w:t>Haematocrit</w:t>
      </w:r>
      <w:proofErr w:type="spellEnd"/>
      <w:r>
        <w:rPr>
          <w:rFonts w:ascii="Arial" w:eastAsia="Calibri" w:hAnsi="Arial" w:cs="Arial"/>
          <w:sz w:val="20"/>
          <w:szCs w:val="20"/>
        </w:rPr>
        <w:t xml:space="preserve"> (</w:t>
      </w:r>
      <w:proofErr w:type="spellStart"/>
      <w:r>
        <w:rPr>
          <w:rFonts w:ascii="Arial" w:eastAsia="Calibri" w:hAnsi="Arial" w:cs="Arial"/>
          <w:sz w:val="20"/>
          <w:szCs w:val="20"/>
        </w:rPr>
        <w:t>Ht</w:t>
      </w:r>
      <w:proofErr w:type="spellEnd"/>
      <w:r>
        <w:rPr>
          <w:rFonts w:ascii="Arial" w:eastAsia="Calibri" w:hAnsi="Arial" w:cs="Arial"/>
          <w:sz w:val="20"/>
          <w:szCs w:val="20"/>
        </w:rPr>
        <w:t xml:space="preserve">) and </w:t>
      </w:r>
      <w:proofErr w:type="spellStart"/>
      <w:r>
        <w:rPr>
          <w:rFonts w:ascii="Arial" w:eastAsia="Calibri" w:hAnsi="Arial" w:cs="Arial"/>
          <w:sz w:val="20"/>
          <w:szCs w:val="20"/>
        </w:rPr>
        <w:t>Leucocrit</w:t>
      </w:r>
      <w:proofErr w:type="spellEnd"/>
      <w:r>
        <w:rPr>
          <w:rFonts w:ascii="Arial" w:eastAsia="Calibri" w:hAnsi="Arial" w:cs="Arial"/>
          <w:sz w:val="20"/>
          <w:szCs w:val="20"/>
        </w:rPr>
        <w:t xml:space="preserve"> (Lt) values. The measurements were made within 30 min of </w:t>
      </w:r>
      <w:proofErr w:type="spellStart"/>
      <w:proofErr w:type="gramStart"/>
      <w:r>
        <w:rPr>
          <w:rFonts w:ascii="Arial" w:eastAsia="Calibri" w:hAnsi="Arial" w:cs="Arial"/>
          <w:sz w:val="20"/>
          <w:szCs w:val="20"/>
        </w:rPr>
        <w:t>sampling.Different</w:t>
      </w:r>
      <w:proofErr w:type="spellEnd"/>
      <w:proofErr w:type="gramEnd"/>
      <w:r>
        <w:rPr>
          <w:rFonts w:ascii="Arial" w:eastAsia="Calibri" w:hAnsi="Arial" w:cs="Arial"/>
          <w:sz w:val="20"/>
          <w:szCs w:val="20"/>
        </w:rPr>
        <w:t xml:space="preserve"> blood parameters viz. </w:t>
      </w:r>
      <w:r>
        <w:rPr>
          <w:rFonts w:ascii="Arial" w:hAnsi="Arial" w:cs="Arial"/>
          <w:sz w:val="20"/>
          <w:szCs w:val="20"/>
        </w:rPr>
        <w:t>Total Leucocytic Count (</w:t>
      </w:r>
      <w:r>
        <w:rPr>
          <w:rFonts w:ascii="Arial" w:eastAsia="Calibri" w:hAnsi="Arial" w:cs="Arial"/>
          <w:sz w:val="20"/>
          <w:szCs w:val="20"/>
        </w:rPr>
        <w:t>TLC</w:t>
      </w:r>
      <w:r>
        <w:rPr>
          <w:rFonts w:ascii="Arial" w:hAnsi="Arial" w:cs="Arial"/>
          <w:sz w:val="20"/>
          <w:szCs w:val="20"/>
        </w:rPr>
        <w:t>)</w:t>
      </w:r>
      <w:r>
        <w:rPr>
          <w:rFonts w:ascii="Arial" w:eastAsia="Calibri" w:hAnsi="Arial" w:cs="Arial"/>
          <w:sz w:val="20"/>
          <w:szCs w:val="20"/>
        </w:rPr>
        <w:t xml:space="preserve">, </w:t>
      </w:r>
      <w:proofErr w:type="spellStart"/>
      <w:r>
        <w:rPr>
          <w:rFonts w:ascii="Arial" w:hAnsi="Arial" w:cs="Arial"/>
          <w:sz w:val="20"/>
          <w:szCs w:val="20"/>
        </w:rPr>
        <w:t>Leucocrit</w:t>
      </w:r>
      <w:proofErr w:type="spellEnd"/>
      <w:r>
        <w:rPr>
          <w:rFonts w:ascii="Arial" w:hAnsi="Arial" w:cs="Arial"/>
          <w:sz w:val="20"/>
          <w:szCs w:val="20"/>
        </w:rPr>
        <w:t xml:space="preserve"> (</w:t>
      </w:r>
      <w:r>
        <w:rPr>
          <w:rFonts w:ascii="Arial" w:eastAsia="Calibri" w:hAnsi="Arial" w:cs="Arial"/>
          <w:sz w:val="20"/>
          <w:szCs w:val="20"/>
        </w:rPr>
        <w:t>Lt</w:t>
      </w:r>
      <w:r>
        <w:rPr>
          <w:rFonts w:ascii="Arial" w:hAnsi="Arial" w:cs="Arial"/>
          <w:sz w:val="20"/>
          <w:szCs w:val="20"/>
        </w:rPr>
        <w:t>)</w:t>
      </w:r>
      <w:r>
        <w:rPr>
          <w:rFonts w:ascii="Arial" w:eastAsia="Calibri" w:hAnsi="Arial" w:cs="Arial"/>
          <w:sz w:val="20"/>
          <w:szCs w:val="20"/>
        </w:rPr>
        <w:t xml:space="preserve">, </w:t>
      </w:r>
      <w:r>
        <w:rPr>
          <w:rFonts w:ascii="Arial" w:hAnsi="Arial" w:cs="Arial"/>
          <w:sz w:val="20"/>
          <w:szCs w:val="20"/>
        </w:rPr>
        <w:t>Total Erythrocytic Count (</w:t>
      </w:r>
      <w:r>
        <w:rPr>
          <w:rFonts w:ascii="Arial" w:eastAsia="Calibri" w:hAnsi="Arial" w:cs="Arial"/>
          <w:sz w:val="20"/>
          <w:szCs w:val="20"/>
        </w:rPr>
        <w:t>TEC</w:t>
      </w:r>
      <w:r>
        <w:rPr>
          <w:rFonts w:ascii="Arial" w:hAnsi="Arial" w:cs="Arial"/>
          <w:sz w:val="20"/>
          <w:szCs w:val="20"/>
        </w:rPr>
        <w:t>)</w:t>
      </w:r>
      <w:r>
        <w:rPr>
          <w:rFonts w:ascii="Arial" w:eastAsia="Calibri" w:hAnsi="Arial" w:cs="Arial"/>
          <w:sz w:val="20"/>
          <w:szCs w:val="20"/>
        </w:rPr>
        <w:t xml:space="preserve">, </w:t>
      </w:r>
      <w:proofErr w:type="spellStart"/>
      <w:r>
        <w:rPr>
          <w:rFonts w:ascii="Arial" w:hAnsi="Arial" w:cs="Arial"/>
          <w:sz w:val="20"/>
          <w:szCs w:val="20"/>
        </w:rPr>
        <w:t>Haemoglobin</w:t>
      </w:r>
      <w:proofErr w:type="spellEnd"/>
      <w:r>
        <w:rPr>
          <w:rFonts w:ascii="Arial" w:hAnsi="Arial" w:cs="Arial"/>
          <w:sz w:val="20"/>
          <w:szCs w:val="20"/>
        </w:rPr>
        <w:t xml:space="preserve"> (</w:t>
      </w:r>
      <w:r>
        <w:rPr>
          <w:rFonts w:ascii="Arial" w:eastAsia="Calibri" w:hAnsi="Arial" w:cs="Arial"/>
          <w:sz w:val="20"/>
          <w:szCs w:val="20"/>
        </w:rPr>
        <w:t>Hb</w:t>
      </w:r>
      <w:r>
        <w:rPr>
          <w:rFonts w:ascii="Arial" w:hAnsi="Arial" w:cs="Arial"/>
          <w:sz w:val="20"/>
          <w:szCs w:val="20"/>
        </w:rPr>
        <w:t>)</w:t>
      </w:r>
      <w:r>
        <w:rPr>
          <w:rFonts w:ascii="Arial" w:eastAsia="Calibri" w:hAnsi="Arial" w:cs="Arial"/>
          <w:sz w:val="20"/>
          <w:szCs w:val="20"/>
        </w:rPr>
        <w:t xml:space="preserve"> and </w:t>
      </w:r>
      <w:proofErr w:type="spellStart"/>
      <w:r>
        <w:rPr>
          <w:rFonts w:ascii="Arial" w:hAnsi="Arial" w:cs="Arial"/>
          <w:sz w:val="20"/>
          <w:szCs w:val="20"/>
        </w:rPr>
        <w:t>Haematocrit</w:t>
      </w:r>
      <w:proofErr w:type="spellEnd"/>
      <w:r>
        <w:rPr>
          <w:rFonts w:ascii="Arial" w:hAnsi="Arial" w:cs="Arial"/>
          <w:sz w:val="20"/>
          <w:szCs w:val="20"/>
        </w:rPr>
        <w:t xml:space="preserve"> (</w:t>
      </w:r>
      <w:proofErr w:type="spellStart"/>
      <w:r>
        <w:rPr>
          <w:rFonts w:ascii="Arial" w:eastAsia="Calibri" w:hAnsi="Arial" w:cs="Arial"/>
          <w:sz w:val="20"/>
          <w:szCs w:val="20"/>
        </w:rPr>
        <w:t>Ht</w:t>
      </w:r>
      <w:proofErr w:type="spellEnd"/>
      <w:r>
        <w:rPr>
          <w:rFonts w:ascii="Arial" w:hAnsi="Arial" w:cs="Arial"/>
          <w:sz w:val="20"/>
          <w:szCs w:val="20"/>
        </w:rPr>
        <w:t>)</w:t>
      </w:r>
      <w:r>
        <w:rPr>
          <w:rFonts w:ascii="Arial" w:eastAsia="Calibri" w:hAnsi="Arial" w:cs="Arial"/>
          <w:sz w:val="20"/>
          <w:szCs w:val="20"/>
        </w:rPr>
        <w:t xml:space="preserve"> were determined following standard methods with some modifications (</w:t>
      </w:r>
      <w:proofErr w:type="spellStart"/>
      <w:r>
        <w:rPr>
          <w:rFonts w:ascii="Arial" w:eastAsia="Calibri" w:hAnsi="Arial" w:cs="Arial"/>
          <w:sz w:val="20"/>
          <w:szCs w:val="20"/>
        </w:rPr>
        <w:t>Blaxhall</w:t>
      </w:r>
      <w:proofErr w:type="spellEnd"/>
      <w:r>
        <w:rPr>
          <w:rFonts w:ascii="Arial" w:eastAsia="Calibri" w:hAnsi="Arial" w:cs="Arial"/>
          <w:sz w:val="20"/>
          <w:szCs w:val="20"/>
        </w:rPr>
        <w:t xml:space="preserve"> </w:t>
      </w:r>
      <w:r>
        <w:rPr>
          <w:rFonts w:ascii="Arial" w:hAnsi="Arial" w:cs="Arial"/>
          <w:sz w:val="20"/>
          <w:szCs w:val="20"/>
        </w:rPr>
        <w:t>and</w:t>
      </w:r>
      <w:r>
        <w:rPr>
          <w:rFonts w:ascii="Arial" w:eastAsia="Calibri" w:hAnsi="Arial" w:cs="Arial"/>
          <w:sz w:val="20"/>
          <w:szCs w:val="20"/>
        </w:rPr>
        <w:t xml:space="preserve"> Daisley 1973; Dacie </w:t>
      </w:r>
      <w:r>
        <w:rPr>
          <w:rFonts w:ascii="Arial" w:hAnsi="Arial" w:cs="Arial"/>
          <w:sz w:val="20"/>
          <w:szCs w:val="20"/>
        </w:rPr>
        <w:t>and Lewis</w:t>
      </w:r>
      <w:r>
        <w:rPr>
          <w:rFonts w:ascii="Arial" w:eastAsia="Calibri" w:hAnsi="Arial" w:cs="Arial"/>
          <w:sz w:val="20"/>
          <w:szCs w:val="20"/>
        </w:rPr>
        <w:t xml:space="preserve"> 1984). TLC and TEC were made by standard clinical method (with the help of improved </w:t>
      </w:r>
      <w:proofErr w:type="spellStart"/>
      <w:r>
        <w:rPr>
          <w:rFonts w:ascii="Arial" w:eastAsia="Calibri" w:hAnsi="Arial" w:cs="Arial"/>
          <w:sz w:val="20"/>
          <w:szCs w:val="20"/>
        </w:rPr>
        <w:t>Neubaur</w:t>
      </w:r>
      <w:proofErr w:type="spellEnd"/>
      <w:r>
        <w:rPr>
          <w:rFonts w:ascii="Arial" w:eastAsia="Calibri" w:hAnsi="Arial" w:cs="Arial"/>
          <w:sz w:val="20"/>
          <w:szCs w:val="20"/>
        </w:rPr>
        <w:t xml:space="preserve"> double </w:t>
      </w:r>
      <w:proofErr w:type="spellStart"/>
      <w:r>
        <w:rPr>
          <w:rFonts w:ascii="Arial" w:eastAsia="Calibri" w:hAnsi="Arial" w:cs="Arial"/>
          <w:sz w:val="20"/>
          <w:szCs w:val="20"/>
        </w:rPr>
        <w:t>Haemocytometer</w:t>
      </w:r>
      <w:proofErr w:type="spellEnd"/>
      <w:r>
        <w:rPr>
          <w:rFonts w:ascii="Arial" w:eastAsia="Calibri" w:hAnsi="Arial" w:cs="Arial"/>
          <w:sz w:val="20"/>
          <w:szCs w:val="20"/>
        </w:rPr>
        <w:t xml:space="preserve">, Fein-OPTIK, Blankenburg, G.D.R.) using Hayem’s solution as diluting fluid. The </w:t>
      </w:r>
      <w:proofErr w:type="spellStart"/>
      <w:r>
        <w:rPr>
          <w:rFonts w:ascii="Arial" w:eastAsia="Calibri" w:hAnsi="Arial" w:cs="Arial"/>
          <w:sz w:val="20"/>
          <w:szCs w:val="20"/>
        </w:rPr>
        <w:t>haemoglobin</w:t>
      </w:r>
      <w:proofErr w:type="spellEnd"/>
      <w:r>
        <w:rPr>
          <w:rFonts w:ascii="Arial" w:eastAsia="Calibri" w:hAnsi="Arial" w:cs="Arial"/>
          <w:sz w:val="20"/>
          <w:szCs w:val="20"/>
        </w:rPr>
        <w:t xml:space="preserve"> content (g %) of blood was determined </w:t>
      </w:r>
      <w:proofErr w:type="spellStart"/>
      <w:r>
        <w:rPr>
          <w:rFonts w:ascii="Arial" w:eastAsia="Calibri" w:hAnsi="Arial" w:cs="Arial"/>
          <w:sz w:val="20"/>
          <w:szCs w:val="20"/>
        </w:rPr>
        <w:t>colorimetrically</w:t>
      </w:r>
      <w:proofErr w:type="spellEnd"/>
      <w:r>
        <w:rPr>
          <w:rFonts w:ascii="Arial" w:eastAsia="Calibri" w:hAnsi="Arial" w:cs="Arial"/>
          <w:sz w:val="20"/>
          <w:szCs w:val="20"/>
        </w:rPr>
        <w:t xml:space="preserve"> </w:t>
      </w:r>
      <w:r>
        <w:rPr>
          <w:rFonts w:ascii="Arial" w:eastAsia="Calibri" w:hAnsi="Arial" w:cs="Arial"/>
          <w:color w:val="000000"/>
          <w:sz w:val="20"/>
          <w:szCs w:val="20"/>
        </w:rPr>
        <w:t xml:space="preserve">by </w:t>
      </w:r>
      <w:proofErr w:type="spellStart"/>
      <w:r>
        <w:rPr>
          <w:rFonts w:ascii="Arial" w:eastAsia="Calibri" w:hAnsi="Arial" w:cs="Arial"/>
          <w:color w:val="000000"/>
          <w:sz w:val="20"/>
          <w:szCs w:val="20"/>
        </w:rPr>
        <w:t>Cyanmethaemoglobin</w:t>
      </w:r>
      <w:proofErr w:type="spellEnd"/>
      <w:r>
        <w:rPr>
          <w:rFonts w:ascii="Arial" w:eastAsia="Calibri" w:hAnsi="Arial" w:cs="Arial"/>
          <w:color w:val="000000"/>
          <w:sz w:val="20"/>
          <w:szCs w:val="20"/>
        </w:rPr>
        <w:t xml:space="preserve"> method.</w:t>
      </w:r>
      <w:r>
        <w:rPr>
          <w:rFonts w:ascii="Arial" w:eastAsia="Calibri" w:hAnsi="Arial" w:cs="Arial"/>
          <w:sz w:val="20"/>
          <w:szCs w:val="20"/>
        </w:rPr>
        <w:t xml:space="preserve"> The </w:t>
      </w:r>
      <w:proofErr w:type="spellStart"/>
      <w:r>
        <w:rPr>
          <w:rFonts w:ascii="Arial" w:eastAsia="Calibri" w:hAnsi="Arial" w:cs="Arial"/>
          <w:sz w:val="20"/>
          <w:szCs w:val="20"/>
        </w:rPr>
        <w:t>Ht</w:t>
      </w:r>
      <w:proofErr w:type="spellEnd"/>
      <w:r>
        <w:rPr>
          <w:rFonts w:ascii="Arial" w:eastAsia="Calibri" w:hAnsi="Arial" w:cs="Arial"/>
          <w:sz w:val="20"/>
          <w:szCs w:val="20"/>
        </w:rPr>
        <w:t xml:space="preserve"> and Lt values were estimated by </w:t>
      </w:r>
      <w:proofErr w:type="spellStart"/>
      <w:r>
        <w:rPr>
          <w:rFonts w:ascii="Arial" w:eastAsia="Calibri" w:hAnsi="Arial" w:cs="Arial"/>
          <w:sz w:val="20"/>
          <w:szCs w:val="20"/>
        </w:rPr>
        <w:t>microhaematocrit</w:t>
      </w:r>
      <w:proofErr w:type="spellEnd"/>
      <w:r>
        <w:rPr>
          <w:rFonts w:ascii="Arial" w:eastAsia="Calibri" w:hAnsi="Arial" w:cs="Arial"/>
          <w:sz w:val="20"/>
          <w:szCs w:val="20"/>
        </w:rPr>
        <w:t xml:space="preserve"> method (</w:t>
      </w:r>
      <w:proofErr w:type="spellStart"/>
      <w:r>
        <w:rPr>
          <w:rFonts w:ascii="Arial" w:eastAsia="Calibri" w:hAnsi="Arial" w:cs="Arial"/>
          <w:sz w:val="20"/>
          <w:szCs w:val="20"/>
        </w:rPr>
        <w:t>Wintrobe</w:t>
      </w:r>
      <w:proofErr w:type="spellEnd"/>
      <w:r>
        <w:rPr>
          <w:rFonts w:ascii="Arial" w:eastAsia="Calibri" w:hAnsi="Arial" w:cs="Arial"/>
          <w:sz w:val="20"/>
          <w:szCs w:val="20"/>
        </w:rPr>
        <w:t xml:space="preserve"> 1967) using </w:t>
      </w:r>
      <w:proofErr w:type="spellStart"/>
      <w:r>
        <w:rPr>
          <w:rFonts w:ascii="Arial" w:eastAsia="Calibri" w:hAnsi="Arial" w:cs="Arial"/>
          <w:sz w:val="20"/>
          <w:szCs w:val="20"/>
        </w:rPr>
        <w:t>microhaematocrit</w:t>
      </w:r>
      <w:proofErr w:type="spellEnd"/>
      <w:r>
        <w:rPr>
          <w:rFonts w:ascii="Arial" w:eastAsia="Calibri" w:hAnsi="Arial" w:cs="Arial"/>
          <w:sz w:val="20"/>
          <w:szCs w:val="20"/>
        </w:rPr>
        <w:t xml:space="preserve"> capillary tubes and a </w:t>
      </w:r>
      <w:proofErr w:type="spellStart"/>
      <w:r>
        <w:rPr>
          <w:rFonts w:ascii="Arial" w:eastAsia="Calibri" w:hAnsi="Arial" w:cs="Arial"/>
          <w:sz w:val="20"/>
          <w:szCs w:val="20"/>
        </w:rPr>
        <w:t>microhaematocrit</w:t>
      </w:r>
      <w:proofErr w:type="spellEnd"/>
      <w:r>
        <w:rPr>
          <w:rFonts w:ascii="Arial" w:eastAsia="Calibri" w:hAnsi="Arial" w:cs="Arial"/>
          <w:sz w:val="20"/>
          <w:szCs w:val="20"/>
        </w:rPr>
        <w:t xml:space="preserve"> centrifuge (3000 g for 25 min)</w:t>
      </w:r>
      <w:r>
        <w:rPr>
          <w:rFonts w:ascii="Arial" w:eastAsia="Calibri" w:hAnsi="Arial" w:cs="Arial"/>
          <w:bCs/>
          <w:sz w:val="20"/>
          <w:szCs w:val="20"/>
        </w:rPr>
        <w:t xml:space="preserve">. </w:t>
      </w:r>
      <w:r>
        <w:rPr>
          <w:rFonts w:ascii="Arial" w:eastAsia="Calibri" w:hAnsi="Arial" w:cs="Arial"/>
          <w:sz w:val="20"/>
          <w:szCs w:val="20"/>
        </w:rPr>
        <w:t>For Differential count of WBC (DWBC %), the air-dried blood films were stained with freshly prepared Leishman stain and examined under Zeiss-</w:t>
      </w:r>
      <w:proofErr w:type="spellStart"/>
      <w:r>
        <w:rPr>
          <w:rFonts w:ascii="Arial" w:eastAsia="Calibri" w:hAnsi="Arial" w:cs="Arial"/>
          <w:sz w:val="20"/>
          <w:szCs w:val="20"/>
        </w:rPr>
        <w:t>Axiostar</w:t>
      </w:r>
      <w:proofErr w:type="spellEnd"/>
      <w:r>
        <w:rPr>
          <w:rFonts w:ascii="Arial" w:eastAsia="Calibri" w:hAnsi="Arial" w:cs="Arial"/>
          <w:sz w:val="20"/>
          <w:szCs w:val="20"/>
        </w:rPr>
        <w:t xml:space="preserve"> plus compound microscope. The percentage of leucocytes was calculated by counting 150 cells of uniform blood smears avoiding extreme edges.</w:t>
      </w:r>
    </w:p>
    <w:p w14:paraId="5800D910" w14:textId="77777777" w:rsidR="009441E7" w:rsidRDefault="00A82308">
      <w:pPr>
        <w:spacing w:line="360" w:lineRule="auto"/>
        <w:jc w:val="both"/>
        <w:rPr>
          <w:rFonts w:ascii="Arial" w:eastAsiaTheme="minorEastAsia" w:hAnsi="Arial" w:cs="Arial"/>
          <w:b/>
          <w:bCs/>
          <w:kern w:val="0"/>
          <w:lang w:val="en-IN" w:eastAsia="en-IN"/>
        </w:rPr>
      </w:pPr>
      <w:r>
        <w:rPr>
          <w:rFonts w:ascii="Arial" w:eastAsiaTheme="minorEastAsia" w:hAnsi="Arial" w:cs="Arial"/>
          <w:b/>
          <w:bCs/>
          <w:kern w:val="0"/>
          <w:lang w:eastAsia="en-IN"/>
        </w:rPr>
        <w:t>2</w:t>
      </w:r>
      <w:r>
        <w:rPr>
          <w:rFonts w:ascii="Arial" w:eastAsiaTheme="minorEastAsia" w:hAnsi="Arial" w:cs="Arial"/>
          <w:b/>
          <w:bCs/>
          <w:kern w:val="0"/>
          <w:lang w:val="en-IN" w:eastAsia="en-IN"/>
        </w:rPr>
        <w:t>.4 Histopathological study</w:t>
      </w:r>
    </w:p>
    <w:p w14:paraId="33942091" w14:textId="77777777" w:rsidR="009441E7" w:rsidRDefault="00A82308">
      <w:pPr>
        <w:spacing w:line="360" w:lineRule="auto"/>
        <w:jc w:val="both"/>
        <w:rPr>
          <w:rFonts w:ascii="Arial" w:eastAsia="Times New Roman" w:hAnsi="Arial" w:cs="Arial"/>
          <w:sz w:val="20"/>
          <w:szCs w:val="20"/>
        </w:rPr>
      </w:pPr>
      <w:r>
        <w:rPr>
          <w:rFonts w:ascii="Arial" w:hAnsi="Arial" w:cs="Arial"/>
          <w:sz w:val="20"/>
          <w:szCs w:val="20"/>
        </w:rPr>
        <w:t xml:space="preserve">The head kidney, liver and gill from control and lead nitrated-treated fish groups were isolated, washed in saline, and fixed in 10 % buffered formalin for 12 h. </w:t>
      </w:r>
      <w:r>
        <w:rPr>
          <w:rFonts w:ascii="Arial" w:eastAsia="Times New Roman" w:hAnsi="Arial" w:cs="Arial"/>
          <w:sz w:val="20"/>
          <w:szCs w:val="20"/>
        </w:rPr>
        <w:t>Then, tissues were dehydrated in upgraded alcoholic series, immersed in cedar wood oil followed by embedding in molten paraffin (melting point: 56-58</w:t>
      </w:r>
      <w:r>
        <w:rPr>
          <w:rFonts w:ascii="Arial" w:hAnsi="Arial" w:cs="Arial"/>
          <w:sz w:val="20"/>
          <w:szCs w:val="20"/>
        </w:rPr>
        <w:t>°</w:t>
      </w:r>
      <w:r>
        <w:rPr>
          <w:rFonts w:ascii="Arial" w:eastAsia="Times New Roman" w:hAnsi="Arial" w:cs="Arial"/>
          <w:sz w:val="20"/>
          <w:szCs w:val="20"/>
        </w:rPr>
        <w:t xml:space="preserve">C). Serial </w:t>
      </w:r>
      <w:r>
        <w:rPr>
          <w:rFonts w:ascii="Arial" w:hAnsi="Arial" w:cs="Arial"/>
          <w:sz w:val="20"/>
          <w:szCs w:val="20"/>
        </w:rPr>
        <w:t xml:space="preserve">paraffin thin sections (5 </w:t>
      </w:r>
      <w:proofErr w:type="spellStart"/>
      <w:r>
        <w:rPr>
          <w:rFonts w:ascii="Arial" w:hAnsi="Arial" w:cs="Arial"/>
          <w:sz w:val="20"/>
          <w:szCs w:val="20"/>
        </w:rPr>
        <w:t>μm</w:t>
      </w:r>
      <w:proofErr w:type="spellEnd"/>
      <w:r>
        <w:rPr>
          <w:rFonts w:ascii="Arial" w:hAnsi="Arial" w:cs="Arial"/>
          <w:sz w:val="20"/>
          <w:szCs w:val="20"/>
        </w:rPr>
        <w:t xml:space="preserve">) were cut using a rotary microtome. The tissue sections were stained with </w:t>
      </w:r>
      <w:proofErr w:type="spellStart"/>
      <w:r>
        <w:rPr>
          <w:rFonts w:ascii="Arial" w:hAnsi="Arial" w:cs="Arial"/>
          <w:sz w:val="20"/>
          <w:szCs w:val="20"/>
        </w:rPr>
        <w:t>Haematoxylin</w:t>
      </w:r>
      <w:proofErr w:type="spellEnd"/>
      <w:r>
        <w:rPr>
          <w:rFonts w:ascii="Arial" w:hAnsi="Arial" w:cs="Arial"/>
          <w:sz w:val="20"/>
          <w:szCs w:val="20"/>
        </w:rPr>
        <w:t xml:space="preserve"> and Eosin (HE) following standard protocol and mounted in </w:t>
      </w:r>
      <w:proofErr w:type="spellStart"/>
      <w:r>
        <w:rPr>
          <w:rFonts w:ascii="Arial" w:hAnsi="Arial" w:cs="Arial"/>
          <w:sz w:val="20"/>
          <w:szCs w:val="20"/>
        </w:rPr>
        <w:t>Dibutylphthalate</w:t>
      </w:r>
      <w:proofErr w:type="spellEnd"/>
      <w:r>
        <w:rPr>
          <w:rFonts w:ascii="Arial" w:hAnsi="Arial" w:cs="Arial"/>
          <w:sz w:val="20"/>
          <w:szCs w:val="20"/>
        </w:rPr>
        <w:t xml:space="preserve"> Polystyrene Xylene (DPX). </w:t>
      </w:r>
      <w:r>
        <w:rPr>
          <w:rFonts w:ascii="Arial" w:eastAsia="Times New Roman" w:hAnsi="Arial" w:cs="Arial"/>
          <w:sz w:val="20"/>
          <w:szCs w:val="20"/>
        </w:rPr>
        <w:t xml:space="preserve">Finally, the </w:t>
      </w:r>
      <w:r>
        <w:rPr>
          <w:rFonts w:ascii="Arial" w:hAnsi="Arial" w:cs="Arial"/>
          <w:sz w:val="20"/>
          <w:szCs w:val="20"/>
        </w:rPr>
        <w:t xml:space="preserve">stained tissue sections </w:t>
      </w:r>
      <w:r>
        <w:rPr>
          <w:rFonts w:ascii="Arial" w:eastAsia="Times New Roman" w:hAnsi="Arial" w:cs="Arial"/>
          <w:sz w:val="20"/>
          <w:szCs w:val="20"/>
        </w:rPr>
        <w:t>were observed under a bright-field microscope.</w:t>
      </w:r>
    </w:p>
    <w:p w14:paraId="54B227C7" w14:textId="77777777" w:rsidR="009441E7" w:rsidRDefault="00A82308">
      <w:pPr>
        <w:spacing w:line="360" w:lineRule="auto"/>
        <w:jc w:val="both"/>
        <w:rPr>
          <w:rFonts w:ascii="Arial" w:eastAsiaTheme="minorEastAsia" w:hAnsi="Arial" w:cs="Arial"/>
          <w:b/>
          <w:bCs/>
          <w:kern w:val="0"/>
          <w:lang w:val="en-IN" w:eastAsia="en-IN"/>
        </w:rPr>
      </w:pPr>
      <w:r>
        <w:rPr>
          <w:rFonts w:ascii="Arial" w:eastAsiaTheme="minorEastAsia" w:hAnsi="Arial" w:cs="Arial"/>
          <w:b/>
          <w:bCs/>
          <w:kern w:val="0"/>
          <w:lang w:eastAsia="en-IN"/>
        </w:rPr>
        <w:t>2</w:t>
      </w:r>
      <w:r>
        <w:rPr>
          <w:rFonts w:ascii="Arial" w:eastAsiaTheme="minorEastAsia" w:hAnsi="Arial" w:cs="Arial"/>
          <w:b/>
          <w:bCs/>
          <w:kern w:val="0"/>
          <w:lang w:val="en-IN" w:eastAsia="en-IN"/>
        </w:rPr>
        <w:t>.5 Statistical analysis</w:t>
      </w:r>
    </w:p>
    <w:p w14:paraId="51ACD39C" w14:textId="77777777" w:rsidR="009441E7" w:rsidRDefault="00A82308">
      <w:pPr>
        <w:spacing w:line="360" w:lineRule="auto"/>
        <w:jc w:val="both"/>
        <w:rPr>
          <w:rFonts w:ascii="Arial" w:eastAsiaTheme="minorEastAsia" w:hAnsi="Arial" w:cs="Arial"/>
          <w:kern w:val="0"/>
          <w:sz w:val="20"/>
          <w:szCs w:val="20"/>
          <w:lang w:val="en-IN" w:eastAsia="en-IN"/>
        </w:rPr>
      </w:pPr>
      <w:r>
        <w:rPr>
          <w:rFonts w:ascii="Arial" w:eastAsiaTheme="minorEastAsia" w:hAnsi="Arial" w:cs="Arial"/>
          <w:kern w:val="0"/>
          <w:sz w:val="20"/>
          <w:szCs w:val="20"/>
          <w:lang w:val="en-IN" w:eastAsia="en-IN"/>
        </w:rPr>
        <w:t>All the statistical analyses were performed using t-test. Data are presented as mean ± standard error (± S.E). P-values of &lt;0.05 were considered significant and P-values of &lt;0.01 were considered highly significant.</w:t>
      </w:r>
    </w:p>
    <w:p w14:paraId="6E3EEB19" w14:textId="77777777" w:rsidR="009441E7" w:rsidRDefault="00A82308">
      <w:pPr>
        <w:numPr>
          <w:ilvl w:val="0"/>
          <w:numId w:val="1"/>
        </w:numPr>
        <w:tabs>
          <w:tab w:val="left" w:pos="3225"/>
        </w:tabs>
        <w:spacing w:line="360" w:lineRule="auto"/>
        <w:ind w:left="360" w:hanging="360"/>
        <w:contextualSpacing/>
        <w:rPr>
          <w:rFonts w:ascii="Arial" w:eastAsiaTheme="minorEastAsia" w:hAnsi="Arial" w:cs="Arial"/>
          <w:b/>
          <w:bCs/>
          <w:kern w:val="0"/>
          <w:lang w:val="en-IN" w:eastAsia="en-IN"/>
        </w:rPr>
      </w:pPr>
      <w:r>
        <w:rPr>
          <w:rFonts w:ascii="Arial" w:eastAsiaTheme="minorEastAsia" w:hAnsi="Arial" w:cs="Arial"/>
          <w:b/>
          <w:bCs/>
          <w:kern w:val="0"/>
          <w:lang w:val="en-IN" w:eastAsia="en-IN"/>
        </w:rPr>
        <w:lastRenderedPageBreak/>
        <w:t>RESULTS AND DISCUSSION</w:t>
      </w:r>
    </w:p>
    <w:p w14:paraId="7ECE1FB4" w14:textId="77777777" w:rsidR="009441E7" w:rsidRDefault="00A82308">
      <w:pPr>
        <w:spacing w:line="360" w:lineRule="auto"/>
        <w:jc w:val="both"/>
        <w:rPr>
          <w:rFonts w:ascii="Arial" w:eastAsiaTheme="minorEastAsia" w:hAnsi="Arial" w:cs="Arial"/>
          <w:kern w:val="0"/>
          <w:sz w:val="20"/>
          <w:szCs w:val="20"/>
          <w:lang w:val="en-IN" w:eastAsia="en-IN"/>
        </w:rPr>
      </w:pPr>
      <w:r>
        <w:rPr>
          <w:rFonts w:ascii="Arial" w:eastAsiaTheme="minorEastAsia" w:hAnsi="Arial" w:cs="Arial"/>
          <w:kern w:val="0"/>
          <w:sz w:val="20"/>
          <w:szCs w:val="20"/>
          <w:lang w:val="en-IN" w:eastAsia="en-IN"/>
        </w:rPr>
        <w:t>Our findings revealed that lead nitrate exposure caused significant changes in erythrocytic parameters (Table 1) and most of the leucocytic parameters (Table 2)</w:t>
      </w:r>
      <w:bookmarkStart w:id="0" w:name="_Hlk166499934"/>
      <w:r>
        <w:rPr>
          <w:rFonts w:ascii="Arial" w:eastAsiaTheme="minorEastAsia" w:hAnsi="Arial" w:cs="Arial"/>
          <w:kern w:val="0"/>
          <w:sz w:val="20"/>
          <w:szCs w:val="20"/>
          <w:lang w:val="en-IN" w:eastAsia="en-IN"/>
        </w:rPr>
        <w:t>.</w:t>
      </w:r>
    </w:p>
    <w:bookmarkEnd w:id="0"/>
    <w:p w14:paraId="44A345E2" w14:textId="77777777" w:rsidR="009441E7" w:rsidRDefault="00A82308">
      <w:pPr>
        <w:spacing w:line="300" w:lineRule="auto"/>
        <w:jc w:val="both"/>
        <w:rPr>
          <w:rFonts w:ascii="Arial" w:hAnsi="Arial" w:cs="Arial"/>
          <w:b/>
          <w:bCs/>
        </w:rPr>
      </w:pPr>
      <w:r>
        <w:rPr>
          <w:rFonts w:ascii="Arial" w:hAnsi="Arial" w:cs="Arial"/>
          <w:b/>
          <w:bCs/>
        </w:rPr>
        <w:t>3.1 Changes in erythrocytic parameters</w:t>
      </w:r>
    </w:p>
    <w:p w14:paraId="46BCD4EE" w14:textId="77777777" w:rsidR="009441E7" w:rsidRDefault="00A82308">
      <w:pPr>
        <w:autoSpaceDE w:val="0"/>
        <w:autoSpaceDN w:val="0"/>
        <w:adjustRightInd w:val="0"/>
        <w:spacing w:after="0" w:line="360" w:lineRule="auto"/>
        <w:jc w:val="both"/>
        <w:rPr>
          <w:rFonts w:ascii="Arial" w:eastAsia="STIX-Regular" w:hAnsi="Arial" w:cs="Arial"/>
          <w:color w:val="000000" w:themeColor="text1"/>
          <w:kern w:val="0"/>
          <w:sz w:val="20"/>
          <w:szCs w:val="20"/>
          <w:lang w:val="en-IN" w:eastAsia="en-IN"/>
        </w:rPr>
      </w:pPr>
      <w:r>
        <w:rPr>
          <w:rFonts w:ascii="Arial" w:hAnsi="Arial" w:cs="Arial"/>
          <w:sz w:val="20"/>
          <w:szCs w:val="20"/>
        </w:rPr>
        <w:t>RBC counts exhibited a dose-dependent decreasing trend with increasing concentrations of lead nitrate on both the 3rd and 7th days of exposure. In the present study, a significant reduction was observed in treated group 1 on both days, whereas treated group 2 showed a highly significant decline following both exposure periods</w:t>
      </w:r>
      <w:r>
        <w:rPr>
          <w:rFonts w:ascii="Arial" w:eastAsia="STIX-Regular" w:hAnsi="Arial" w:cs="Arial"/>
          <w:color w:val="000000" w:themeColor="text1"/>
          <w:kern w:val="0"/>
          <w:sz w:val="20"/>
          <w:szCs w:val="20"/>
          <w:lang w:val="en-IN" w:eastAsia="en-IN"/>
        </w:rPr>
        <w:t xml:space="preserve"> (Table 1). The findings of our study are consistent with several other analyses in the sense that they also reported a significant decrease of RBC in different fish species when exposed to copper</w:t>
      </w:r>
      <w:r>
        <w:rPr>
          <w:rFonts w:ascii="Arial" w:eastAsia="STIX-Regular" w:hAnsi="Arial" w:cs="Arial"/>
          <w:color w:val="000000" w:themeColor="text1"/>
          <w:kern w:val="0"/>
          <w:sz w:val="20"/>
          <w:szCs w:val="20"/>
          <w:lang w:eastAsia="en-IN"/>
        </w:rPr>
        <w:t xml:space="preserve"> (</w:t>
      </w:r>
      <w:r>
        <w:rPr>
          <w:rFonts w:ascii="Arial" w:eastAsia="Times New Roman" w:hAnsi="Arial" w:cs="Arial"/>
          <w:kern w:val="0"/>
          <w:sz w:val="20"/>
          <w:szCs w:val="20"/>
          <w:lang w:val="en-IN" w:eastAsia="en-IN"/>
        </w:rPr>
        <w:t xml:space="preserve">Al-Akel </w:t>
      </w:r>
      <w:r>
        <w:rPr>
          <w:rFonts w:ascii="Arial" w:eastAsia="Times New Roman" w:hAnsi="Arial" w:cs="Arial"/>
          <w:i/>
          <w:iCs/>
          <w:kern w:val="0"/>
          <w:sz w:val="20"/>
          <w:szCs w:val="20"/>
          <w:lang w:val="en-IN" w:eastAsia="en-IN"/>
        </w:rPr>
        <w:t>et al.</w:t>
      </w:r>
      <w:r>
        <w:rPr>
          <w:rFonts w:ascii="Arial" w:eastAsia="Times New Roman" w:hAnsi="Arial" w:cs="Arial"/>
          <w:kern w:val="0"/>
          <w:sz w:val="20"/>
          <w:szCs w:val="20"/>
          <w:lang w:val="en-IN" w:eastAsia="en-IN"/>
        </w:rPr>
        <w:t xml:space="preserve"> 2010</w:t>
      </w:r>
      <w:r>
        <w:rPr>
          <w:rFonts w:ascii="Arial" w:eastAsia="Times New Roman" w:hAnsi="Arial" w:cs="Arial"/>
          <w:kern w:val="0"/>
          <w:sz w:val="20"/>
          <w:szCs w:val="20"/>
          <w:lang w:eastAsia="en-IN"/>
        </w:rPr>
        <w:t>),</w:t>
      </w:r>
      <w:r>
        <w:rPr>
          <w:rFonts w:ascii="Arial" w:eastAsia="STIX-Regular" w:hAnsi="Arial" w:cs="Arial"/>
          <w:color w:val="000000" w:themeColor="text1"/>
          <w:kern w:val="0"/>
          <w:sz w:val="20"/>
          <w:szCs w:val="20"/>
          <w:lang w:val="en-IN" w:eastAsia="en-IN"/>
        </w:rPr>
        <w:t xml:space="preserve"> cadmium </w:t>
      </w:r>
      <w:r>
        <w:rPr>
          <w:rFonts w:ascii="Arial" w:eastAsia="STIX-Regular" w:hAnsi="Arial" w:cs="Arial"/>
          <w:color w:val="000000" w:themeColor="text1"/>
          <w:kern w:val="0"/>
          <w:sz w:val="20"/>
          <w:szCs w:val="20"/>
          <w:lang w:eastAsia="en-IN"/>
        </w:rPr>
        <w:t>(</w:t>
      </w:r>
      <w:r>
        <w:rPr>
          <w:rFonts w:ascii="Arial" w:eastAsia="Times New Roman" w:hAnsi="Arial" w:cs="Arial"/>
          <w:kern w:val="0"/>
          <w:sz w:val="20"/>
          <w:szCs w:val="20"/>
          <w:lang w:val="en-IN" w:eastAsia="en-IN"/>
        </w:rPr>
        <w:t xml:space="preserve">Kang </w:t>
      </w:r>
      <w:r>
        <w:rPr>
          <w:rFonts w:ascii="Arial" w:eastAsia="Times New Roman" w:hAnsi="Arial" w:cs="Arial"/>
          <w:i/>
          <w:iCs/>
          <w:kern w:val="0"/>
          <w:sz w:val="20"/>
          <w:szCs w:val="20"/>
          <w:lang w:val="en-IN" w:eastAsia="en-IN"/>
        </w:rPr>
        <w:t>et al.</w:t>
      </w:r>
      <w:r>
        <w:rPr>
          <w:rFonts w:ascii="Arial" w:eastAsia="Times New Roman" w:hAnsi="Arial" w:cs="Arial"/>
          <w:kern w:val="0"/>
          <w:sz w:val="20"/>
          <w:szCs w:val="20"/>
          <w:lang w:val="en-IN" w:eastAsia="en-IN"/>
        </w:rPr>
        <w:t xml:space="preserve"> 2005</w:t>
      </w:r>
      <w:r>
        <w:rPr>
          <w:rFonts w:ascii="Arial" w:eastAsia="Times New Roman" w:hAnsi="Arial" w:cs="Arial"/>
          <w:kern w:val="0"/>
          <w:sz w:val="20"/>
          <w:szCs w:val="20"/>
          <w:lang w:eastAsia="en-IN"/>
        </w:rPr>
        <w:t>)</w:t>
      </w:r>
      <w:r>
        <w:rPr>
          <w:rFonts w:ascii="Arial" w:eastAsia="STIX-Regular" w:hAnsi="Arial" w:cs="Arial"/>
          <w:color w:val="000000" w:themeColor="text1"/>
          <w:kern w:val="0"/>
          <w:sz w:val="20"/>
          <w:szCs w:val="20"/>
          <w:lang w:val="en-IN" w:eastAsia="en-IN"/>
        </w:rPr>
        <w:t xml:space="preserve"> and arsenic </w:t>
      </w:r>
      <w:r>
        <w:rPr>
          <w:rFonts w:ascii="Arial" w:eastAsia="STIX-Regular" w:hAnsi="Arial" w:cs="Arial"/>
          <w:color w:val="000000" w:themeColor="text1"/>
          <w:kern w:val="0"/>
          <w:sz w:val="20"/>
          <w:szCs w:val="20"/>
          <w:lang w:eastAsia="en-IN"/>
        </w:rPr>
        <w:t>(</w:t>
      </w:r>
      <w:r>
        <w:rPr>
          <w:rFonts w:ascii="Arial" w:eastAsia="STIX-Regular" w:hAnsi="Arial" w:cs="Arial"/>
          <w:color w:val="000000"/>
          <w:kern w:val="0"/>
          <w:sz w:val="20"/>
          <w:szCs w:val="20"/>
          <w:lang w:val="en-IN" w:eastAsia="en-IN"/>
        </w:rPr>
        <w:t>Kumar and Banerjee 2016</w:t>
      </w:r>
      <w:r>
        <w:rPr>
          <w:rFonts w:ascii="Arial" w:eastAsia="STIX-Regular" w:hAnsi="Arial" w:cs="Arial"/>
          <w:color w:val="000000"/>
          <w:kern w:val="0"/>
          <w:sz w:val="20"/>
          <w:szCs w:val="20"/>
          <w:lang w:eastAsia="en-IN"/>
        </w:rPr>
        <w:t>).</w:t>
      </w:r>
      <w:r>
        <w:rPr>
          <w:rFonts w:ascii="Arial" w:eastAsia="STIX-Regular" w:hAnsi="Arial" w:cs="Arial"/>
          <w:color w:val="000000"/>
          <w:kern w:val="0"/>
          <w:sz w:val="20"/>
          <w:szCs w:val="20"/>
          <w:lang w:val="en-IN" w:eastAsia="en-IN"/>
        </w:rPr>
        <w:t>Fazio (2019</w:t>
      </w:r>
      <w:r>
        <w:rPr>
          <w:rFonts w:ascii="Arial" w:eastAsia="STIX-Regular" w:hAnsi="Arial" w:cs="Arial"/>
          <w:color w:val="000000"/>
          <w:kern w:val="0"/>
          <w:sz w:val="20"/>
          <w:szCs w:val="20"/>
          <w:lang w:eastAsia="en-IN"/>
        </w:rPr>
        <w:t>)</w:t>
      </w:r>
      <w:r>
        <w:rPr>
          <w:rFonts w:ascii="Arial" w:eastAsia="STIX-Regular" w:hAnsi="Arial" w:cs="Arial"/>
          <w:color w:val="000000" w:themeColor="text1"/>
          <w:kern w:val="0"/>
          <w:sz w:val="20"/>
          <w:szCs w:val="20"/>
          <w:lang w:val="en-IN" w:eastAsia="en-IN"/>
        </w:rPr>
        <w:t xml:space="preserve"> stated that </w:t>
      </w:r>
      <w:r>
        <w:rPr>
          <w:rFonts w:ascii="Arial" w:hAnsi="Arial" w:cs="Arial"/>
          <w:sz w:val="20"/>
          <w:szCs w:val="20"/>
        </w:rPr>
        <w:t>decrease in RBC count may impair the transport of nutrients and oxygen to cells, tissues, and organs, thereby leading to metabolic disturbances in fish</w:t>
      </w:r>
      <w:r>
        <w:rPr>
          <w:rFonts w:ascii="Arial" w:eastAsia="STIX-Regular" w:hAnsi="Arial" w:cs="Arial"/>
          <w:color w:val="000000" w:themeColor="text1"/>
          <w:kern w:val="0"/>
          <w:sz w:val="20"/>
          <w:szCs w:val="20"/>
          <w:lang w:val="en-IN" w:eastAsia="en-IN"/>
        </w:rPr>
        <w:t xml:space="preserve">. Dutta </w:t>
      </w:r>
      <w:r>
        <w:rPr>
          <w:rFonts w:ascii="Arial" w:eastAsia="STIX-Regular" w:hAnsi="Arial" w:cs="Arial"/>
          <w:i/>
          <w:iCs/>
          <w:color w:val="000000" w:themeColor="text1"/>
          <w:kern w:val="0"/>
          <w:sz w:val="20"/>
          <w:szCs w:val="20"/>
          <w:lang w:val="en-IN" w:eastAsia="en-IN"/>
        </w:rPr>
        <w:t>et al.</w:t>
      </w:r>
      <w:r>
        <w:rPr>
          <w:rFonts w:ascii="Arial" w:eastAsia="STIX-Regular" w:hAnsi="Arial" w:cs="Arial"/>
          <w:color w:val="000000" w:themeColor="text1"/>
          <w:kern w:val="0"/>
          <w:sz w:val="20"/>
          <w:szCs w:val="20"/>
          <w:lang w:val="en-IN" w:eastAsia="en-IN"/>
        </w:rPr>
        <w:t xml:space="preserve"> (2015) reported that RBC and Hb in </w:t>
      </w:r>
      <w:r>
        <w:rPr>
          <w:rFonts w:ascii="Arial" w:eastAsia="STIX-Regular" w:hAnsi="Arial" w:cs="Arial"/>
          <w:i/>
          <w:iCs/>
          <w:color w:val="000000" w:themeColor="text1"/>
          <w:kern w:val="0"/>
          <w:sz w:val="20"/>
          <w:szCs w:val="20"/>
          <w:lang w:val="en-IN" w:eastAsia="en-IN"/>
        </w:rPr>
        <w:t>Channa punctatus</w:t>
      </w:r>
      <w:r>
        <w:rPr>
          <w:rFonts w:ascii="Arial" w:eastAsia="STIX-Regular" w:hAnsi="Arial" w:cs="Arial"/>
          <w:color w:val="000000" w:themeColor="text1"/>
          <w:kern w:val="0"/>
          <w:sz w:val="20"/>
          <w:szCs w:val="20"/>
          <w:lang w:val="en-IN" w:eastAsia="en-IN"/>
        </w:rPr>
        <w:t xml:space="preserve"> decreased significantly due to increasing exposure to lead nitrate, which is consistent with our findings. </w:t>
      </w:r>
      <w:r>
        <w:rPr>
          <w:rFonts w:ascii="Arial" w:hAnsi="Arial" w:cs="Arial"/>
          <w:sz w:val="20"/>
          <w:szCs w:val="20"/>
        </w:rPr>
        <w:t xml:space="preserve">Hemoglobin (Hb) levels showed a progressive decline with increasing concentrations of lead nitrate following 3 and 7 days of exposure. In the present investigation, treated group 1 exhibited a statistically significant reduction in Hb levels on both exposure days, whereas treated group 2 demonstrated a highly significant decrease after 3 and 7 days of treatment. </w:t>
      </w:r>
      <w:r>
        <w:rPr>
          <w:rFonts w:ascii="Arial" w:eastAsia="STIX-Regular" w:hAnsi="Arial" w:cs="Arial"/>
          <w:color w:val="000000" w:themeColor="text1"/>
          <w:kern w:val="0"/>
          <w:sz w:val="20"/>
          <w:szCs w:val="20"/>
          <w:lang w:val="en-IN" w:eastAsia="en-IN"/>
        </w:rPr>
        <w:t xml:space="preserve">According to </w:t>
      </w:r>
      <w:proofErr w:type="spellStart"/>
      <w:r>
        <w:rPr>
          <w:rFonts w:ascii="Arial" w:eastAsia="STIX-Regular" w:hAnsi="Arial" w:cs="Arial"/>
          <w:color w:val="000000" w:themeColor="text1"/>
          <w:kern w:val="0"/>
          <w:sz w:val="20"/>
          <w:szCs w:val="20"/>
          <w:lang w:val="en-IN" w:eastAsia="en-IN"/>
        </w:rPr>
        <w:t>Adakole</w:t>
      </w:r>
      <w:proofErr w:type="spellEnd"/>
      <w:r>
        <w:rPr>
          <w:rFonts w:ascii="Arial" w:eastAsia="STIX-Regular" w:hAnsi="Arial" w:cs="Arial"/>
          <w:color w:val="000000" w:themeColor="text1"/>
          <w:kern w:val="0"/>
          <w:sz w:val="20"/>
          <w:szCs w:val="20"/>
          <w:lang w:val="en-IN" w:eastAsia="en-IN"/>
        </w:rPr>
        <w:t xml:space="preserve"> (2012), the low level of Haemoglobin had an impact on the reduction of metabolism rate and energy utilization. This study revealed that exposure to lead nitrate causes a significant</w:t>
      </w:r>
      <w:r>
        <w:rPr>
          <w:rFonts w:ascii="Arial" w:eastAsia="STIX-Regular" w:hAnsi="Arial" w:cs="Arial"/>
          <w:color w:val="000000"/>
          <w:kern w:val="0"/>
          <w:sz w:val="20"/>
          <w:szCs w:val="20"/>
          <w:lang w:val="en-IN" w:eastAsia="en-IN"/>
        </w:rPr>
        <w:t xml:space="preserve"> decline in Hb level in all</w:t>
      </w:r>
      <w:r>
        <w:rPr>
          <w:rFonts w:ascii="Arial" w:eastAsia="STIX-Regular" w:hAnsi="Arial" w:cs="Arial"/>
          <w:color w:val="000000" w:themeColor="text1"/>
          <w:kern w:val="0"/>
          <w:sz w:val="20"/>
          <w:szCs w:val="20"/>
          <w:lang w:val="en-IN" w:eastAsia="en-IN"/>
        </w:rPr>
        <w:t xml:space="preserve"> treated groups compared to control groups in both exposure periods </w:t>
      </w:r>
      <w:r>
        <w:rPr>
          <w:rFonts w:ascii="Arial" w:eastAsia="STIX-Regular" w:hAnsi="Arial" w:cs="Arial"/>
          <w:color w:val="000000"/>
          <w:kern w:val="0"/>
          <w:sz w:val="20"/>
          <w:szCs w:val="20"/>
          <w:lang w:val="en-IN" w:eastAsia="en-IN"/>
        </w:rPr>
        <w:t xml:space="preserve">(Table 1). </w:t>
      </w:r>
      <w:r>
        <w:rPr>
          <w:rFonts w:ascii="Arial" w:eastAsia="STIX-Regular" w:hAnsi="Arial" w:cs="Arial"/>
          <w:color w:val="000000" w:themeColor="text1"/>
          <w:kern w:val="0"/>
          <w:sz w:val="20"/>
          <w:szCs w:val="20"/>
          <w:lang w:val="en-IN" w:eastAsia="en-IN"/>
        </w:rPr>
        <w:t xml:space="preserve">Exposure to other pollutants such as cadmium, arsenic, and lead has been reported to reduce the level of Hb in </w:t>
      </w:r>
      <w:r>
        <w:rPr>
          <w:rFonts w:ascii="Arial" w:eastAsia="STIX-Regular" w:hAnsi="Arial" w:cs="Arial"/>
          <w:i/>
          <w:iCs/>
          <w:color w:val="000000" w:themeColor="text1"/>
          <w:kern w:val="0"/>
          <w:sz w:val="20"/>
          <w:szCs w:val="20"/>
          <w:lang w:val="en-IN" w:eastAsia="en-IN"/>
        </w:rPr>
        <w:t>Oreochromis niloticus</w:t>
      </w:r>
      <w:r>
        <w:rPr>
          <w:rFonts w:ascii="Arial" w:eastAsia="STIX-Regular" w:hAnsi="Arial" w:cs="Arial"/>
          <w:color w:val="000000" w:themeColor="text1"/>
          <w:kern w:val="0"/>
          <w:sz w:val="20"/>
          <w:szCs w:val="20"/>
          <w:lang w:val="en-IN" w:eastAsia="en-IN"/>
        </w:rPr>
        <w:t xml:space="preserve">, </w:t>
      </w:r>
      <w:r>
        <w:rPr>
          <w:rFonts w:ascii="Arial" w:eastAsia="STIX-Regular" w:hAnsi="Arial" w:cs="Arial"/>
          <w:i/>
          <w:iCs/>
          <w:color w:val="000000" w:themeColor="text1"/>
          <w:kern w:val="0"/>
          <w:sz w:val="20"/>
          <w:szCs w:val="20"/>
          <w:lang w:val="en-IN" w:eastAsia="en-IN"/>
        </w:rPr>
        <w:t xml:space="preserve">Clarias </w:t>
      </w:r>
      <w:proofErr w:type="spellStart"/>
      <w:r>
        <w:rPr>
          <w:rFonts w:ascii="Arial" w:eastAsia="STIX-Regular" w:hAnsi="Arial" w:cs="Arial"/>
          <w:i/>
          <w:iCs/>
          <w:color w:val="000000" w:themeColor="text1"/>
          <w:kern w:val="0"/>
          <w:sz w:val="20"/>
          <w:szCs w:val="20"/>
          <w:lang w:val="en-IN" w:eastAsia="en-IN"/>
        </w:rPr>
        <w:t>batrachus</w:t>
      </w:r>
      <w:proofErr w:type="spellEnd"/>
      <w:r>
        <w:rPr>
          <w:rFonts w:ascii="Arial" w:eastAsia="STIX-Regular" w:hAnsi="Arial" w:cs="Arial"/>
          <w:i/>
          <w:iCs/>
          <w:color w:val="000000" w:themeColor="text1"/>
          <w:kern w:val="0"/>
          <w:sz w:val="20"/>
          <w:szCs w:val="20"/>
          <w:lang w:val="en-IN" w:eastAsia="en-IN"/>
        </w:rPr>
        <w:t xml:space="preserve"> </w:t>
      </w:r>
      <w:r>
        <w:rPr>
          <w:rFonts w:ascii="Arial" w:eastAsia="STIX-Regular" w:hAnsi="Arial" w:cs="Arial"/>
          <w:color w:val="000000" w:themeColor="text1"/>
          <w:kern w:val="0"/>
          <w:sz w:val="20"/>
          <w:szCs w:val="20"/>
          <w:lang w:val="en-IN" w:eastAsia="en-IN"/>
        </w:rPr>
        <w:t xml:space="preserve">and </w:t>
      </w:r>
      <w:r>
        <w:rPr>
          <w:rFonts w:ascii="Arial" w:eastAsia="STIX-Regular" w:hAnsi="Arial" w:cs="Arial"/>
          <w:i/>
          <w:iCs/>
          <w:color w:val="000000" w:themeColor="text1"/>
          <w:kern w:val="0"/>
          <w:sz w:val="20"/>
          <w:szCs w:val="20"/>
          <w:lang w:val="en-IN" w:eastAsia="en-IN"/>
        </w:rPr>
        <w:t xml:space="preserve">Channa punctatus </w:t>
      </w:r>
      <w:r>
        <w:rPr>
          <w:rFonts w:ascii="Arial" w:eastAsia="STIX-Regular" w:hAnsi="Arial" w:cs="Arial"/>
          <w:color w:val="000000" w:themeColor="text1"/>
          <w:kern w:val="0"/>
          <w:sz w:val="20"/>
          <w:szCs w:val="20"/>
          <w:lang w:val="en-IN" w:eastAsia="en-IN"/>
        </w:rPr>
        <w:t>(Dube and Magar 2013; Al-</w:t>
      </w:r>
      <w:proofErr w:type="spellStart"/>
      <w:r>
        <w:rPr>
          <w:rFonts w:ascii="Arial" w:eastAsia="STIX-Regular" w:hAnsi="Arial" w:cs="Arial"/>
          <w:color w:val="000000" w:themeColor="text1"/>
          <w:kern w:val="0"/>
          <w:sz w:val="20"/>
          <w:szCs w:val="20"/>
          <w:lang w:val="en-IN" w:eastAsia="en-IN"/>
        </w:rPr>
        <w:t>Asgah</w:t>
      </w:r>
      <w:proofErr w:type="spellEnd"/>
      <w:r>
        <w:rPr>
          <w:rFonts w:ascii="Arial" w:eastAsia="STIX-Regular" w:hAnsi="Arial" w:cs="Arial"/>
          <w:color w:val="000000" w:themeColor="text1"/>
          <w:kern w:val="0"/>
          <w:sz w:val="20"/>
          <w:szCs w:val="20"/>
          <w:lang w:val="en-IN" w:eastAsia="en-IN"/>
        </w:rPr>
        <w:t xml:space="preserve"> </w:t>
      </w:r>
      <w:r>
        <w:rPr>
          <w:rFonts w:ascii="Arial" w:eastAsia="STIX-Regular" w:hAnsi="Arial" w:cs="Arial"/>
          <w:i/>
          <w:iCs/>
          <w:color w:val="000000" w:themeColor="text1"/>
          <w:kern w:val="0"/>
          <w:sz w:val="20"/>
          <w:szCs w:val="20"/>
          <w:lang w:val="en-IN" w:eastAsia="en-IN"/>
        </w:rPr>
        <w:t>et al.</w:t>
      </w:r>
      <w:r>
        <w:rPr>
          <w:rFonts w:ascii="Arial" w:eastAsia="STIX-Regular" w:hAnsi="Arial" w:cs="Arial"/>
          <w:color w:val="000000" w:themeColor="text1"/>
          <w:kern w:val="0"/>
          <w:sz w:val="20"/>
          <w:szCs w:val="20"/>
          <w:lang w:val="en-IN" w:eastAsia="en-IN"/>
        </w:rPr>
        <w:t xml:space="preserve"> 2015; Kumar and Banerjee 2016). Lead in the fish body disrupts Hb synthesis through the condensation of Glycine and Succinyl Co-Enzyme A, depression of </w:t>
      </w:r>
      <w:proofErr w:type="spellStart"/>
      <w:r>
        <w:rPr>
          <w:rFonts w:ascii="Arial" w:eastAsia="STIX-Regular" w:hAnsi="Arial" w:cs="Arial"/>
          <w:color w:val="000000" w:themeColor="text1"/>
          <w:kern w:val="0"/>
          <w:sz w:val="20"/>
          <w:szCs w:val="20"/>
          <w:lang w:val="en-IN" w:eastAsia="en-IN"/>
        </w:rPr>
        <w:t>aminolevulinate</w:t>
      </w:r>
      <w:proofErr w:type="spellEnd"/>
      <w:r>
        <w:rPr>
          <w:rFonts w:ascii="Arial" w:eastAsia="STIX-Regular" w:hAnsi="Arial" w:cs="Arial"/>
          <w:color w:val="000000" w:themeColor="text1"/>
          <w:kern w:val="0"/>
          <w:sz w:val="20"/>
          <w:szCs w:val="20"/>
          <w:lang w:val="en-IN" w:eastAsia="en-IN"/>
        </w:rPr>
        <w:t xml:space="preserve"> dehydratase (delta-ALAD), and disruption of </w:t>
      </w:r>
      <w:proofErr w:type="spellStart"/>
      <w:r>
        <w:rPr>
          <w:rFonts w:ascii="Arial" w:eastAsia="STIX-Regular" w:hAnsi="Arial" w:cs="Arial"/>
          <w:color w:val="000000" w:themeColor="text1"/>
          <w:kern w:val="0"/>
          <w:sz w:val="20"/>
          <w:szCs w:val="20"/>
          <w:lang w:val="en-IN" w:eastAsia="en-IN"/>
        </w:rPr>
        <w:t>Ferrochelatase</w:t>
      </w:r>
      <w:proofErr w:type="spellEnd"/>
      <w:r>
        <w:rPr>
          <w:rFonts w:ascii="Arial" w:eastAsia="STIX-Regular" w:hAnsi="Arial" w:cs="Arial"/>
          <w:color w:val="000000" w:themeColor="text1"/>
          <w:kern w:val="0"/>
          <w:sz w:val="20"/>
          <w:szCs w:val="20"/>
          <w:lang w:val="en-IN" w:eastAsia="en-IN"/>
        </w:rPr>
        <w:t xml:space="preserve"> (Schmitt </w:t>
      </w:r>
      <w:r>
        <w:rPr>
          <w:rFonts w:ascii="Arial" w:eastAsia="STIX-Regular" w:hAnsi="Arial" w:cs="Arial"/>
          <w:i/>
          <w:iCs/>
          <w:color w:val="000000" w:themeColor="text1"/>
          <w:kern w:val="0"/>
          <w:sz w:val="20"/>
          <w:szCs w:val="20"/>
          <w:lang w:val="en-IN" w:eastAsia="en-IN"/>
        </w:rPr>
        <w:t>et al.</w:t>
      </w:r>
      <w:r>
        <w:rPr>
          <w:rFonts w:ascii="Arial" w:eastAsia="STIX-Regular" w:hAnsi="Arial" w:cs="Arial"/>
          <w:color w:val="000000" w:themeColor="text1"/>
          <w:kern w:val="0"/>
          <w:sz w:val="20"/>
          <w:szCs w:val="20"/>
          <w:lang w:val="en-IN" w:eastAsia="en-IN"/>
        </w:rPr>
        <w:t xml:space="preserve"> 2002). Lead can also improve the level of </w:t>
      </w:r>
      <w:proofErr w:type="spellStart"/>
      <w:r>
        <w:rPr>
          <w:rFonts w:ascii="Arial" w:eastAsia="STIX-Regular" w:hAnsi="Arial" w:cs="Arial"/>
          <w:color w:val="000000" w:themeColor="text1"/>
          <w:kern w:val="0"/>
          <w:sz w:val="20"/>
          <w:szCs w:val="20"/>
          <w:lang w:val="en-IN" w:eastAsia="en-IN"/>
        </w:rPr>
        <w:t>aminolevulinic</w:t>
      </w:r>
      <w:proofErr w:type="spellEnd"/>
      <w:r>
        <w:rPr>
          <w:rFonts w:ascii="Arial" w:eastAsia="STIX-Regular" w:hAnsi="Arial" w:cs="Arial"/>
          <w:color w:val="000000" w:themeColor="text1"/>
          <w:kern w:val="0"/>
          <w:sz w:val="20"/>
          <w:szCs w:val="20"/>
          <w:lang w:val="en-IN" w:eastAsia="en-IN"/>
        </w:rPr>
        <w:t xml:space="preserve"> acid (ALA) required in the synthesis of Hb. The increase in the ALA level might affect the formation</w:t>
      </w:r>
      <w:r>
        <w:rPr>
          <w:rFonts w:ascii="Arial" w:eastAsia="STIX-Regular" w:hAnsi="Arial" w:cs="Arial"/>
          <w:color w:val="000000"/>
          <w:kern w:val="0"/>
          <w:sz w:val="20"/>
          <w:szCs w:val="20"/>
          <w:lang w:val="en-IN" w:eastAsia="en-IN"/>
        </w:rPr>
        <w:t xml:space="preserve"> of </w:t>
      </w:r>
      <w:r>
        <w:rPr>
          <w:rFonts w:ascii="Arial" w:eastAsia="STIX-Regular" w:hAnsi="Arial" w:cs="Arial"/>
          <w:color w:val="000000" w:themeColor="text1"/>
          <w:kern w:val="0"/>
          <w:sz w:val="20"/>
          <w:szCs w:val="20"/>
          <w:lang w:val="en-IN" w:eastAsia="en-IN"/>
        </w:rPr>
        <w:t xml:space="preserve">porphobilinogen and </w:t>
      </w:r>
      <w:proofErr w:type="spellStart"/>
      <w:r>
        <w:rPr>
          <w:rFonts w:ascii="Arial" w:eastAsia="STIX-Regular" w:hAnsi="Arial" w:cs="Arial"/>
          <w:color w:val="000000" w:themeColor="text1"/>
          <w:kern w:val="0"/>
          <w:sz w:val="20"/>
          <w:szCs w:val="20"/>
          <w:lang w:val="en-IN" w:eastAsia="en-IN"/>
        </w:rPr>
        <w:t>protoforfirin</w:t>
      </w:r>
      <w:proofErr w:type="spellEnd"/>
      <w:r>
        <w:rPr>
          <w:rFonts w:ascii="Arial" w:eastAsia="STIX-Regular" w:hAnsi="Arial" w:cs="Arial"/>
          <w:color w:val="000000" w:themeColor="text1"/>
          <w:kern w:val="0"/>
          <w:sz w:val="20"/>
          <w:szCs w:val="20"/>
          <w:lang w:val="en-IN" w:eastAsia="en-IN"/>
        </w:rPr>
        <w:t xml:space="preserve">- 9, thus hampering the synthesis of Hb (Lamidi </w:t>
      </w:r>
      <w:r>
        <w:rPr>
          <w:rFonts w:ascii="Arial" w:eastAsia="STIX-Regular" w:hAnsi="Arial" w:cs="Arial"/>
          <w:i/>
          <w:iCs/>
          <w:color w:val="000000" w:themeColor="text1"/>
          <w:kern w:val="0"/>
          <w:sz w:val="20"/>
          <w:szCs w:val="20"/>
          <w:lang w:val="en-IN" w:eastAsia="en-IN"/>
        </w:rPr>
        <w:t>et al.</w:t>
      </w:r>
      <w:r>
        <w:rPr>
          <w:rFonts w:ascii="Arial" w:eastAsia="STIX-Regular" w:hAnsi="Arial" w:cs="Arial"/>
          <w:color w:val="000000" w:themeColor="text1"/>
          <w:kern w:val="0"/>
          <w:sz w:val="20"/>
          <w:szCs w:val="20"/>
          <w:lang w:val="en-IN" w:eastAsia="en-IN"/>
        </w:rPr>
        <w:t xml:space="preserve"> 2020). </w:t>
      </w:r>
      <w:r>
        <w:rPr>
          <w:rFonts w:ascii="Arial" w:hAnsi="Arial" w:cs="Arial"/>
          <w:sz w:val="20"/>
          <w:szCs w:val="20"/>
        </w:rPr>
        <w:t>Exposure to lead nitrate resulted in noticeable alterations in hematocrit (</w:t>
      </w:r>
      <w:proofErr w:type="spellStart"/>
      <w:r>
        <w:rPr>
          <w:rFonts w:ascii="Arial" w:hAnsi="Arial" w:cs="Arial"/>
          <w:sz w:val="20"/>
          <w:szCs w:val="20"/>
        </w:rPr>
        <w:t>Ht</w:t>
      </w:r>
      <w:proofErr w:type="spellEnd"/>
      <w:r>
        <w:rPr>
          <w:rFonts w:ascii="Arial" w:hAnsi="Arial" w:cs="Arial"/>
          <w:sz w:val="20"/>
          <w:szCs w:val="20"/>
        </w:rPr>
        <w:t xml:space="preserve">) levels across the experimental groups. On the 3rd day of exposure, </w:t>
      </w:r>
      <w:proofErr w:type="spellStart"/>
      <w:r>
        <w:rPr>
          <w:rFonts w:ascii="Arial" w:hAnsi="Arial" w:cs="Arial"/>
          <w:sz w:val="20"/>
          <w:szCs w:val="20"/>
        </w:rPr>
        <w:t>Ht</w:t>
      </w:r>
      <w:proofErr w:type="spellEnd"/>
      <w:r>
        <w:rPr>
          <w:rFonts w:ascii="Arial" w:hAnsi="Arial" w:cs="Arial"/>
          <w:sz w:val="20"/>
          <w:szCs w:val="20"/>
        </w:rPr>
        <w:t xml:space="preserve"> values declined progressively with increasing concentration of the toxicant. In contrast, after 7 days, a slight elevation in </w:t>
      </w:r>
      <w:proofErr w:type="spellStart"/>
      <w:r>
        <w:rPr>
          <w:rFonts w:ascii="Arial" w:hAnsi="Arial" w:cs="Arial"/>
          <w:sz w:val="20"/>
          <w:szCs w:val="20"/>
        </w:rPr>
        <w:t>Ht</w:t>
      </w:r>
      <w:proofErr w:type="spellEnd"/>
      <w:r>
        <w:rPr>
          <w:rFonts w:ascii="Arial" w:hAnsi="Arial" w:cs="Arial"/>
          <w:sz w:val="20"/>
          <w:szCs w:val="20"/>
        </w:rPr>
        <w:t xml:space="preserve"> was recorded in treated group 2. Overall, both treated groups exhibited a significant reduction in </w:t>
      </w:r>
      <w:proofErr w:type="spellStart"/>
      <w:r>
        <w:rPr>
          <w:rFonts w:ascii="Arial" w:hAnsi="Arial" w:cs="Arial"/>
          <w:sz w:val="20"/>
          <w:szCs w:val="20"/>
        </w:rPr>
        <w:t>Ht</w:t>
      </w:r>
      <w:proofErr w:type="spellEnd"/>
      <w:r>
        <w:rPr>
          <w:rFonts w:ascii="Arial" w:hAnsi="Arial" w:cs="Arial"/>
          <w:sz w:val="20"/>
          <w:szCs w:val="20"/>
        </w:rPr>
        <w:t xml:space="preserve"> levels following 3 days of exposure. However, after 7 days, treated group 1 continued to show a significant decrease, whereas treated group 2 demonstrated a significant increase relative to the control group </w:t>
      </w:r>
      <w:r>
        <w:rPr>
          <w:rFonts w:ascii="Arial" w:eastAsia="STIX-Regular" w:hAnsi="Arial" w:cs="Arial"/>
          <w:color w:val="000000" w:themeColor="text1"/>
          <w:kern w:val="0"/>
          <w:sz w:val="20"/>
          <w:szCs w:val="20"/>
          <w:lang w:val="en-IN" w:eastAsia="en-IN"/>
        </w:rPr>
        <w:t>(Table 1). The values of Hb and H</w:t>
      </w:r>
      <w:r>
        <w:rPr>
          <w:rFonts w:ascii="Arial" w:eastAsia="STIX-Regular" w:hAnsi="Arial" w:cs="Arial"/>
          <w:color w:val="000000" w:themeColor="text1"/>
          <w:kern w:val="0"/>
          <w:sz w:val="20"/>
          <w:szCs w:val="20"/>
          <w:lang w:eastAsia="en-IN"/>
        </w:rPr>
        <w:t>t</w:t>
      </w:r>
      <w:r>
        <w:rPr>
          <w:rFonts w:ascii="Arial" w:eastAsia="STIX-Regular" w:hAnsi="Arial" w:cs="Arial"/>
          <w:color w:val="000000" w:themeColor="text1"/>
          <w:kern w:val="0"/>
          <w:sz w:val="20"/>
          <w:szCs w:val="20"/>
          <w:lang w:val="en-IN" w:eastAsia="en-IN"/>
        </w:rPr>
        <w:t xml:space="preserve"> reflected the binding and distribution of oxygen in fish blood (</w:t>
      </w:r>
      <w:proofErr w:type="spellStart"/>
      <w:r>
        <w:rPr>
          <w:rFonts w:ascii="Arial" w:eastAsia="STIX-Regular" w:hAnsi="Arial" w:cs="Arial"/>
          <w:color w:val="000000" w:themeColor="text1"/>
          <w:kern w:val="0"/>
          <w:sz w:val="20"/>
          <w:szCs w:val="20"/>
          <w:lang w:val="en-IN" w:eastAsia="en-IN"/>
        </w:rPr>
        <w:t>Witeska</w:t>
      </w:r>
      <w:proofErr w:type="spellEnd"/>
      <w:r>
        <w:rPr>
          <w:rFonts w:ascii="Arial" w:eastAsia="STIX-Regular" w:hAnsi="Arial" w:cs="Arial"/>
          <w:color w:val="000000" w:themeColor="text1"/>
          <w:kern w:val="0"/>
          <w:sz w:val="20"/>
          <w:szCs w:val="20"/>
          <w:lang w:val="en-IN" w:eastAsia="en-IN"/>
        </w:rPr>
        <w:t xml:space="preserve"> 2013).</w:t>
      </w:r>
    </w:p>
    <w:p w14:paraId="55418288" w14:textId="77777777" w:rsidR="009441E7" w:rsidRDefault="009441E7">
      <w:pPr>
        <w:autoSpaceDE w:val="0"/>
        <w:autoSpaceDN w:val="0"/>
        <w:adjustRightInd w:val="0"/>
        <w:spacing w:after="0" w:line="360" w:lineRule="auto"/>
        <w:jc w:val="both"/>
        <w:rPr>
          <w:rFonts w:ascii="Arial" w:eastAsia="STIX-Regular" w:hAnsi="Arial" w:cs="Arial"/>
          <w:color w:val="000000" w:themeColor="text1"/>
          <w:kern w:val="0"/>
          <w:sz w:val="20"/>
          <w:szCs w:val="20"/>
          <w:lang w:val="en-IN" w:eastAsia="en-IN"/>
        </w:rPr>
      </w:pPr>
    </w:p>
    <w:p w14:paraId="4D396D9A" w14:textId="77777777" w:rsidR="009441E7" w:rsidRDefault="00A82308">
      <w:pPr>
        <w:spacing w:after="0" w:line="300" w:lineRule="auto"/>
        <w:jc w:val="center"/>
        <w:rPr>
          <w:rFonts w:ascii="Arial" w:eastAsia="Century Gothic" w:hAnsi="Arial" w:cs="Arial"/>
          <w:b/>
          <w:sz w:val="20"/>
          <w:szCs w:val="20"/>
        </w:rPr>
      </w:pPr>
      <w:bookmarkStart w:id="1" w:name="_Hlk166500005"/>
      <w:r>
        <w:rPr>
          <w:rFonts w:ascii="Arial" w:hAnsi="Arial" w:cs="Arial"/>
          <w:b/>
          <w:bCs/>
          <w:sz w:val="20"/>
          <w:szCs w:val="20"/>
        </w:rPr>
        <w:lastRenderedPageBreak/>
        <w:t>Table 1</w:t>
      </w:r>
      <w:r>
        <w:rPr>
          <w:rFonts w:ascii="Arial" w:hAnsi="Arial" w:cs="Arial"/>
          <w:b/>
          <w:sz w:val="20"/>
          <w:szCs w:val="20"/>
        </w:rPr>
        <w:t xml:space="preserve">. Changes in </w:t>
      </w:r>
      <w:r>
        <w:rPr>
          <w:rFonts w:ascii="Arial" w:eastAsia="Century Gothic" w:hAnsi="Arial" w:cs="Arial"/>
          <w:b/>
          <w:sz w:val="20"/>
          <w:szCs w:val="20"/>
        </w:rPr>
        <w:t xml:space="preserve">erythrocytic parameters in control and lead nitrate treated fish groups (1 and 2) of </w:t>
      </w:r>
      <w:r>
        <w:rPr>
          <w:rFonts w:ascii="Arial" w:eastAsia="Century Gothic" w:hAnsi="Arial" w:cs="Arial"/>
          <w:b/>
          <w:i/>
          <w:iCs/>
          <w:sz w:val="20"/>
          <w:szCs w:val="20"/>
        </w:rPr>
        <w:t xml:space="preserve">Anabas </w:t>
      </w:r>
      <w:proofErr w:type="spellStart"/>
      <w:r>
        <w:rPr>
          <w:rFonts w:ascii="Arial" w:eastAsia="Century Gothic" w:hAnsi="Arial" w:cs="Arial"/>
          <w:b/>
          <w:i/>
          <w:iCs/>
          <w:sz w:val="20"/>
          <w:szCs w:val="20"/>
        </w:rPr>
        <w:t>testudineus</w:t>
      </w:r>
      <w:proofErr w:type="spellEnd"/>
      <w:r>
        <w:rPr>
          <w:rFonts w:ascii="Arial" w:eastAsia="Century Gothic" w:hAnsi="Arial" w:cs="Arial"/>
          <w:b/>
          <w:i/>
          <w:iCs/>
          <w:sz w:val="20"/>
          <w:szCs w:val="20"/>
        </w:rPr>
        <w:t xml:space="preserve"> </w:t>
      </w:r>
      <w:r>
        <w:rPr>
          <w:rFonts w:ascii="Arial" w:eastAsia="Century Gothic" w:hAnsi="Arial" w:cs="Arial"/>
          <w:b/>
          <w:sz w:val="20"/>
          <w:szCs w:val="20"/>
        </w:rPr>
        <w:t>(Values shown are mean ± S.E; 5 fishes for each group).</w:t>
      </w:r>
    </w:p>
    <w:p w14:paraId="2F2E90C0" w14:textId="77777777" w:rsidR="009441E7" w:rsidRDefault="00A82308">
      <w:pPr>
        <w:spacing w:after="0" w:line="600" w:lineRule="auto"/>
        <w:jc w:val="center"/>
        <w:rPr>
          <w:rFonts w:ascii="Arial" w:eastAsia="Century Gothic" w:hAnsi="Arial" w:cs="Arial"/>
          <w:b/>
          <w:sz w:val="20"/>
          <w:szCs w:val="20"/>
        </w:rPr>
      </w:pPr>
      <w:r>
        <w:rPr>
          <w:rFonts w:ascii="Arial" w:eastAsia="Century Gothic" w:hAnsi="Arial" w:cs="Arial"/>
          <w:b/>
          <w:sz w:val="20"/>
          <w:szCs w:val="20"/>
        </w:rPr>
        <w:t xml:space="preserve"> * </w:t>
      </w:r>
      <w:proofErr w:type="gramStart"/>
      <w:r>
        <w:rPr>
          <w:rFonts w:ascii="Arial" w:eastAsia="Century Gothic" w:hAnsi="Arial" w:cs="Arial"/>
          <w:b/>
          <w:sz w:val="20"/>
          <w:szCs w:val="20"/>
        </w:rPr>
        <w:t>significant</w:t>
      </w:r>
      <w:proofErr w:type="gramEnd"/>
      <w:r>
        <w:rPr>
          <w:rFonts w:ascii="Arial" w:eastAsia="Century Gothic" w:hAnsi="Arial" w:cs="Arial"/>
          <w:b/>
          <w:sz w:val="20"/>
          <w:szCs w:val="20"/>
        </w:rPr>
        <w:t xml:space="preserve"> (P &lt; 0.05), ** highly significant (P &lt; 0.01)</w:t>
      </w:r>
      <w:bookmarkEnd w:id="1"/>
    </w:p>
    <w:tbl>
      <w:tblPr>
        <w:tblStyle w:val="PlainTable21"/>
        <w:tblW w:w="9296" w:type="dxa"/>
        <w:jc w:val="center"/>
        <w:tblLook w:val="04A0" w:firstRow="1" w:lastRow="0" w:firstColumn="1" w:lastColumn="0" w:noHBand="0" w:noVBand="1"/>
      </w:tblPr>
      <w:tblGrid>
        <w:gridCol w:w="1588"/>
        <w:gridCol w:w="2534"/>
        <w:gridCol w:w="1737"/>
        <w:gridCol w:w="1718"/>
        <w:gridCol w:w="1719"/>
      </w:tblGrid>
      <w:tr w:rsidR="009441E7" w14:paraId="2BB29211" w14:textId="77777777" w:rsidTr="009441E7">
        <w:trPr>
          <w:cnfStyle w:val="100000000000" w:firstRow="1" w:lastRow="0" w:firstColumn="0" w:lastColumn="0" w:oddVBand="0" w:evenVBand="0" w:oddHBand="0" w:evenHBand="0" w:firstRowFirstColumn="0" w:firstRowLastColumn="0" w:lastRowFirstColumn="0" w:lastRowLastColumn="0"/>
          <w:trHeight w:val="795"/>
          <w:jc w:val="center"/>
        </w:trPr>
        <w:tc>
          <w:tcPr>
            <w:cnfStyle w:val="001000000000" w:firstRow="0" w:lastRow="0" w:firstColumn="1" w:lastColumn="0" w:oddVBand="0" w:evenVBand="0" w:oddHBand="0" w:evenHBand="0" w:firstRowFirstColumn="0" w:firstRowLastColumn="0" w:lastRowFirstColumn="0" w:lastRowLastColumn="0"/>
            <w:tcW w:w="1588" w:type="dxa"/>
            <w:vAlign w:val="center"/>
          </w:tcPr>
          <w:p w14:paraId="2873ED7E" w14:textId="77777777" w:rsidR="009441E7" w:rsidRDefault="00A82308">
            <w:pPr>
              <w:spacing w:after="0" w:line="240" w:lineRule="auto"/>
              <w:jc w:val="center"/>
              <w:rPr>
                <w:rFonts w:ascii="Arial" w:hAnsi="Arial" w:cs="Arial"/>
                <w:sz w:val="20"/>
                <w:szCs w:val="20"/>
              </w:rPr>
            </w:pPr>
            <w:r>
              <w:rPr>
                <w:rFonts w:ascii="Arial" w:hAnsi="Arial" w:cs="Arial"/>
                <w:color w:val="000000" w:themeColor="text1"/>
                <w:sz w:val="20"/>
                <w:szCs w:val="20"/>
                <w:lang w:val="en-IN" w:eastAsia="en-IN"/>
              </w:rPr>
              <w:t>DAYS OF EXPOSURE</w:t>
            </w:r>
          </w:p>
        </w:tc>
        <w:tc>
          <w:tcPr>
            <w:tcW w:w="2534" w:type="dxa"/>
            <w:vAlign w:val="center"/>
          </w:tcPr>
          <w:p w14:paraId="026AC927" w14:textId="77777777" w:rsidR="009441E7" w:rsidRDefault="00A823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ERYTHROCYTIC PARAMETERS</w:t>
            </w:r>
          </w:p>
        </w:tc>
        <w:tc>
          <w:tcPr>
            <w:tcW w:w="1737" w:type="dxa"/>
            <w:vAlign w:val="center"/>
          </w:tcPr>
          <w:p w14:paraId="55B3907E" w14:textId="77777777" w:rsidR="009441E7" w:rsidRDefault="00A823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CONTROL GROUP</w:t>
            </w:r>
          </w:p>
        </w:tc>
        <w:tc>
          <w:tcPr>
            <w:tcW w:w="1718" w:type="dxa"/>
            <w:vAlign w:val="center"/>
          </w:tcPr>
          <w:p w14:paraId="64BB1BDF" w14:textId="77777777" w:rsidR="009441E7" w:rsidRDefault="00A823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TREATED GROUP 1</w:t>
            </w:r>
          </w:p>
          <w:p w14:paraId="792932A5" w14:textId="77777777" w:rsidR="009441E7" w:rsidRDefault="00A823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(15 mg/L)</w:t>
            </w:r>
          </w:p>
        </w:tc>
        <w:tc>
          <w:tcPr>
            <w:tcW w:w="1719" w:type="dxa"/>
            <w:vAlign w:val="center"/>
          </w:tcPr>
          <w:p w14:paraId="3C88CEB7" w14:textId="77777777" w:rsidR="009441E7" w:rsidRDefault="00A823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TREATED GROUP 2 </w:t>
            </w:r>
          </w:p>
          <w:p w14:paraId="676F162C" w14:textId="77777777" w:rsidR="009441E7" w:rsidRDefault="00A823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(30 mg/L)</w:t>
            </w:r>
          </w:p>
        </w:tc>
      </w:tr>
      <w:tr w:rsidR="009441E7" w14:paraId="1B168243" w14:textId="77777777" w:rsidTr="009441E7">
        <w:trPr>
          <w:trHeight w:val="602"/>
          <w:jc w:val="center"/>
        </w:trPr>
        <w:tc>
          <w:tcPr>
            <w:cnfStyle w:val="001000000000" w:firstRow="0" w:lastRow="0" w:firstColumn="1" w:lastColumn="0" w:oddVBand="0" w:evenVBand="0" w:oddHBand="0" w:evenHBand="0" w:firstRowFirstColumn="0" w:firstRowLastColumn="0" w:lastRowFirstColumn="0" w:lastRowLastColumn="0"/>
            <w:tcW w:w="1588" w:type="dxa"/>
            <w:vMerge w:val="restart"/>
            <w:tcBorders>
              <w:top w:val="single" w:sz="4" w:space="0" w:color="7F7F7F" w:themeColor="text1" w:themeTint="80"/>
              <w:bottom w:val="single" w:sz="4" w:space="0" w:color="7F7F7F" w:themeColor="text1" w:themeTint="80"/>
            </w:tcBorders>
          </w:tcPr>
          <w:p w14:paraId="7C9A6838" w14:textId="77777777" w:rsidR="009441E7" w:rsidRDefault="009441E7">
            <w:pPr>
              <w:spacing w:after="0" w:line="240" w:lineRule="auto"/>
              <w:jc w:val="center"/>
              <w:rPr>
                <w:rFonts w:ascii="Arial" w:hAnsi="Arial" w:cs="Arial"/>
                <w:bCs w:val="0"/>
                <w:sz w:val="20"/>
                <w:szCs w:val="20"/>
              </w:rPr>
            </w:pPr>
          </w:p>
          <w:p w14:paraId="4A9D2893" w14:textId="77777777" w:rsidR="009441E7" w:rsidRDefault="009441E7">
            <w:pPr>
              <w:spacing w:after="0" w:line="240" w:lineRule="auto"/>
              <w:jc w:val="center"/>
              <w:rPr>
                <w:rFonts w:ascii="Arial" w:hAnsi="Arial" w:cs="Arial"/>
                <w:bCs w:val="0"/>
                <w:sz w:val="20"/>
                <w:szCs w:val="20"/>
              </w:rPr>
            </w:pPr>
          </w:p>
          <w:p w14:paraId="0A2A6F8A" w14:textId="77777777" w:rsidR="009441E7" w:rsidRDefault="009441E7">
            <w:pPr>
              <w:spacing w:after="0" w:line="240" w:lineRule="auto"/>
              <w:jc w:val="center"/>
              <w:rPr>
                <w:rFonts w:ascii="Arial" w:hAnsi="Arial" w:cs="Arial"/>
                <w:bCs w:val="0"/>
                <w:sz w:val="20"/>
                <w:szCs w:val="20"/>
              </w:rPr>
            </w:pPr>
          </w:p>
          <w:p w14:paraId="1905B656" w14:textId="77777777" w:rsidR="009441E7" w:rsidRDefault="009441E7">
            <w:pPr>
              <w:spacing w:after="0" w:line="240" w:lineRule="auto"/>
              <w:jc w:val="center"/>
              <w:rPr>
                <w:rFonts w:ascii="Arial" w:hAnsi="Arial" w:cs="Arial"/>
                <w:bCs w:val="0"/>
                <w:sz w:val="20"/>
                <w:szCs w:val="20"/>
              </w:rPr>
            </w:pPr>
          </w:p>
          <w:p w14:paraId="0B30B35F" w14:textId="77777777" w:rsidR="009441E7" w:rsidRDefault="00A82308">
            <w:pPr>
              <w:spacing w:after="0" w:line="240" w:lineRule="auto"/>
              <w:jc w:val="center"/>
              <w:rPr>
                <w:rFonts w:ascii="Arial" w:hAnsi="Arial" w:cs="Arial"/>
                <w:sz w:val="20"/>
                <w:szCs w:val="20"/>
              </w:rPr>
            </w:pPr>
            <w:r>
              <w:rPr>
                <w:rFonts w:ascii="Arial" w:hAnsi="Arial" w:cs="Arial"/>
                <w:b w:val="0"/>
                <w:sz w:val="20"/>
                <w:szCs w:val="20"/>
              </w:rPr>
              <w:t>3</w:t>
            </w:r>
          </w:p>
        </w:tc>
        <w:tc>
          <w:tcPr>
            <w:tcW w:w="2534" w:type="dxa"/>
            <w:tcBorders>
              <w:top w:val="single" w:sz="4" w:space="0" w:color="7F7F7F" w:themeColor="text1" w:themeTint="80"/>
              <w:bottom w:val="single" w:sz="4" w:space="0" w:color="7F7F7F" w:themeColor="text1" w:themeTint="80"/>
            </w:tcBorders>
            <w:vAlign w:val="center"/>
          </w:tcPr>
          <w:p w14:paraId="665E0AD7"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roofErr w:type="gramStart"/>
            <w:r>
              <w:rPr>
                <w:rFonts w:ascii="Arial" w:hAnsi="Arial" w:cs="Arial"/>
                <w:color w:val="000000"/>
                <w:sz w:val="20"/>
                <w:szCs w:val="20"/>
              </w:rPr>
              <w:t>TEC(</w:t>
            </w:r>
            <w:proofErr w:type="gramEnd"/>
            <w:r>
              <w:rPr>
                <w:rFonts w:ascii="Arial" w:hAnsi="Arial" w:cs="Arial"/>
                <w:color w:val="000000"/>
                <w:sz w:val="20"/>
                <w:szCs w:val="20"/>
              </w:rPr>
              <w:t>× 10</w:t>
            </w:r>
            <w:r>
              <w:rPr>
                <w:rFonts w:ascii="Arial" w:hAnsi="Arial" w:cs="Arial"/>
                <w:color w:val="000000"/>
                <w:sz w:val="20"/>
                <w:szCs w:val="20"/>
                <w:vertAlign w:val="superscript"/>
              </w:rPr>
              <w:t>6</w:t>
            </w:r>
            <w:r>
              <w:rPr>
                <w:rFonts w:ascii="Arial" w:hAnsi="Arial" w:cs="Arial"/>
                <w:color w:val="000000"/>
                <w:sz w:val="20"/>
                <w:szCs w:val="20"/>
              </w:rPr>
              <w:t xml:space="preserve">/ </w:t>
            </w:r>
            <w:proofErr w:type="spellStart"/>
            <w:r>
              <w:rPr>
                <w:rFonts w:ascii="Arial" w:hAnsi="Arial" w:cs="Arial"/>
                <w:color w:val="000000"/>
                <w:sz w:val="20"/>
                <w:szCs w:val="20"/>
              </w:rPr>
              <w:t>cmm</w:t>
            </w:r>
            <w:proofErr w:type="spellEnd"/>
            <w:r>
              <w:rPr>
                <w:rFonts w:ascii="Arial" w:hAnsi="Arial" w:cs="Arial"/>
                <w:color w:val="000000"/>
                <w:sz w:val="20"/>
                <w:szCs w:val="20"/>
              </w:rPr>
              <w:t>)</w:t>
            </w:r>
          </w:p>
        </w:tc>
        <w:tc>
          <w:tcPr>
            <w:tcW w:w="1737" w:type="dxa"/>
            <w:tcBorders>
              <w:top w:val="single" w:sz="4" w:space="0" w:color="7F7F7F" w:themeColor="text1" w:themeTint="80"/>
              <w:bottom w:val="single" w:sz="4" w:space="0" w:color="7F7F7F" w:themeColor="text1" w:themeTint="80"/>
            </w:tcBorders>
          </w:tcPr>
          <w:p w14:paraId="40D2D750"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2.762</w:t>
            </w:r>
          </w:p>
          <w:p w14:paraId="739ADF8B"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sz w:val="20"/>
                <w:szCs w:val="20"/>
              </w:rPr>
              <w:t>±</w:t>
            </w:r>
          </w:p>
          <w:p w14:paraId="177EBC47"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0.01</w:t>
            </w:r>
          </w:p>
        </w:tc>
        <w:tc>
          <w:tcPr>
            <w:tcW w:w="1718" w:type="dxa"/>
            <w:tcBorders>
              <w:top w:val="single" w:sz="4" w:space="0" w:color="7F7F7F" w:themeColor="text1" w:themeTint="80"/>
              <w:bottom w:val="single" w:sz="4" w:space="0" w:color="7F7F7F" w:themeColor="text1" w:themeTint="80"/>
            </w:tcBorders>
          </w:tcPr>
          <w:p w14:paraId="7409AF1B"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2.662</w:t>
            </w:r>
            <w:r>
              <w:rPr>
                <w:rFonts w:ascii="Arial" w:hAnsi="Arial" w:cs="Arial"/>
                <w:sz w:val="20"/>
                <w:szCs w:val="20"/>
                <w:vertAlign w:val="superscript"/>
              </w:rPr>
              <w:t>*</w:t>
            </w:r>
          </w:p>
          <w:p w14:paraId="328F8B4E"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47E009C6"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0.03</w:t>
            </w:r>
          </w:p>
        </w:tc>
        <w:tc>
          <w:tcPr>
            <w:tcW w:w="1719" w:type="dxa"/>
            <w:tcBorders>
              <w:top w:val="single" w:sz="4" w:space="0" w:color="7F7F7F" w:themeColor="text1" w:themeTint="80"/>
              <w:bottom w:val="single" w:sz="4" w:space="0" w:color="7F7F7F" w:themeColor="text1" w:themeTint="80"/>
            </w:tcBorders>
          </w:tcPr>
          <w:p w14:paraId="78E3D3FB"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1.378</w:t>
            </w:r>
            <w:r>
              <w:rPr>
                <w:rFonts w:ascii="Arial" w:hAnsi="Arial" w:cs="Arial"/>
                <w:sz w:val="20"/>
                <w:szCs w:val="20"/>
                <w:vertAlign w:val="superscript"/>
              </w:rPr>
              <w:t>**</w:t>
            </w:r>
          </w:p>
          <w:p w14:paraId="57484954"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0B32132E"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0.096</w:t>
            </w:r>
          </w:p>
        </w:tc>
      </w:tr>
      <w:tr w:rsidR="009441E7" w14:paraId="6E5F35B4" w14:textId="77777777" w:rsidTr="009441E7">
        <w:trPr>
          <w:trHeight w:val="478"/>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99000CF" w14:textId="77777777" w:rsidR="009441E7" w:rsidRDefault="009441E7">
            <w:pPr>
              <w:spacing w:after="0" w:line="240" w:lineRule="auto"/>
              <w:rPr>
                <w:rFonts w:ascii="Arial" w:hAnsi="Arial" w:cs="Arial"/>
                <w:sz w:val="20"/>
                <w:szCs w:val="20"/>
              </w:rPr>
            </w:pPr>
          </w:p>
        </w:tc>
        <w:tc>
          <w:tcPr>
            <w:tcW w:w="2534" w:type="dxa"/>
            <w:vAlign w:val="center"/>
          </w:tcPr>
          <w:p w14:paraId="347BCF14"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Hb (g/100mL)</w:t>
            </w:r>
          </w:p>
        </w:tc>
        <w:tc>
          <w:tcPr>
            <w:tcW w:w="1737" w:type="dxa"/>
          </w:tcPr>
          <w:p w14:paraId="0CC40FDB"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vertAlign w:val="superscript"/>
              </w:rPr>
            </w:pPr>
            <w:r>
              <w:rPr>
                <w:rFonts w:ascii="Arial" w:hAnsi="Arial" w:cs="Arial"/>
                <w:color w:val="000000"/>
                <w:sz w:val="20"/>
                <w:szCs w:val="20"/>
              </w:rPr>
              <w:t>12.86</w:t>
            </w:r>
          </w:p>
          <w:p w14:paraId="58A0F303"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3197AB9B"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0.36</w:t>
            </w:r>
          </w:p>
        </w:tc>
        <w:tc>
          <w:tcPr>
            <w:tcW w:w="1718" w:type="dxa"/>
          </w:tcPr>
          <w:p w14:paraId="229F3A45"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10.98</w:t>
            </w:r>
            <w:r>
              <w:rPr>
                <w:rFonts w:ascii="Arial" w:hAnsi="Arial" w:cs="Arial"/>
                <w:sz w:val="20"/>
                <w:szCs w:val="20"/>
                <w:vertAlign w:val="superscript"/>
              </w:rPr>
              <w:t>*</w:t>
            </w:r>
          </w:p>
          <w:p w14:paraId="518B1E31" w14:textId="77777777" w:rsidR="009441E7" w:rsidRDefault="00A82308">
            <w:pPr>
              <w:tabs>
                <w:tab w:val="left" w:pos="296"/>
                <w:tab w:val="center" w:pos="751"/>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61120F52"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0.15</w:t>
            </w:r>
          </w:p>
        </w:tc>
        <w:tc>
          <w:tcPr>
            <w:tcW w:w="1719" w:type="dxa"/>
          </w:tcPr>
          <w:p w14:paraId="0CE2AE9C"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7.64</w:t>
            </w:r>
            <w:r>
              <w:rPr>
                <w:rFonts w:ascii="Arial" w:hAnsi="Arial" w:cs="Arial"/>
                <w:sz w:val="20"/>
                <w:szCs w:val="20"/>
                <w:vertAlign w:val="superscript"/>
              </w:rPr>
              <w:t>**</w:t>
            </w:r>
          </w:p>
          <w:p w14:paraId="6F5146C6"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1C150B4C"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0.36</w:t>
            </w:r>
          </w:p>
        </w:tc>
      </w:tr>
      <w:tr w:rsidR="009441E7" w14:paraId="36B17698" w14:textId="77777777" w:rsidTr="009441E7">
        <w:trPr>
          <w:trHeight w:val="478"/>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tcPr>
          <w:p w14:paraId="559C2516" w14:textId="77777777" w:rsidR="009441E7" w:rsidRDefault="009441E7">
            <w:pPr>
              <w:spacing w:after="0" w:line="240" w:lineRule="auto"/>
              <w:rPr>
                <w:rFonts w:ascii="Arial" w:hAnsi="Arial" w:cs="Arial"/>
                <w:sz w:val="20"/>
                <w:szCs w:val="20"/>
              </w:rPr>
            </w:pPr>
          </w:p>
        </w:tc>
        <w:tc>
          <w:tcPr>
            <w:tcW w:w="2534" w:type="dxa"/>
            <w:tcBorders>
              <w:top w:val="single" w:sz="4" w:space="0" w:color="7F7F7F" w:themeColor="text1" w:themeTint="80"/>
              <w:bottom w:val="single" w:sz="4" w:space="0" w:color="7F7F7F" w:themeColor="text1" w:themeTint="80"/>
            </w:tcBorders>
            <w:vAlign w:val="center"/>
          </w:tcPr>
          <w:p w14:paraId="6247B001"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roofErr w:type="spellStart"/>
            <w:r>
              <w:rPr>
                <w:rFonts w:ascii="Arial" w:hAnsi="Arial" w:cs="Arial"/>
                <w:color w:val="000000"/>
                <w:sz w:val="20"/>
                <w:szCs w:val="20"/>
              </w:rPr>
              <w:t>Haematocrit</w:t>
            </w:r>
            <w:proofErr w:type="spellEnd"/>
            <w:r>
              <w:rPr>
                <w:rFonts w:ascii="Arial" w:hAnsi="Arial" w:cs="Arial"/>
                <w:color w:val="000000"/>
                <w:sz w:val="20"/>
                <w:szCs w:val="20"/>
              </w:rPr>
              <w:t xml:space="preserve"> (</w:t>
            </w:r>
            <w:proofErr w:type="spellStart"/>
            <w:r>
              <w:rPr>
                <w:rFonts w:ascii="Arial" w:hAnsi="Arial" w:cs="Arial"/>
                <w:color w:val="000000"/>
                <w:sz w:val="20"/>
                <w:szCs w:val="20"/>
              </w:rPr>
              <w:t>Ht</w:t>
            </w:r>
            <w:proofErr w:type="spellEnd"/>
            <w:r>
              <w:rPr>
                <w:rFonts w:ascii="Arial" w:hAnsi="Arial" w:cs="Arial"/>
                <w:color w:val="000000"/>
                <w:sz w:val="20"/>
                <w:szCs w:val="20"/>
              </w:rPr>
              <w:t xml:space="preserve"> %)</w:t>
            </w:r>
          </w:p>
        </w:tc>
        <w:tc>
          <w:tcPr>
            <w:tcW w:w="1737" w:type="dxa"/>
            <w:tcBorders>
              <w:top w:val="single" w:sz="4" w:space="0" w:color="7F7F7F" w:themeColor="text1" w:themeTint="80"/>
              <w:bottom w:val="single" w:sz="4" w:space="0" w:color="7F7F7F" w:themeColor="text1" w:themeTint="80"/>
            </w:tcBorders>
          </w:tcPr>
          <w:p w14:paraId="73380F98"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37.074</w:t>
            </w:r>
          </w:p>
          <w:p w14:paraId="48BB3660"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5121D9F7"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0.22</w:t>
            </w:r>
          </w:p>
        </w:tc>
        <w:tc>
          <w:tcPr>
            <w:tcW w:w="1718" w:type="dxa"/>
            <w:tcBorders>
              <w:top w:val="single" w:sz="4" w:space="0" w:color="7F7F7F" w:themeColor="text1" w:themeTint="80"/>
              <w:bottom w:val="single" w:sz="4" w:space="0" w:color="7F7F7F" w:themeColor="text1" w:themeTint="80"/>
            </w:tcBorders>
          </w:tcPr>
          <w:p w14:paraId="1AB3B173"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30.486</w:t>
            </w:r>
            <w:r>
              <w:rPr>
                <w:rFonts w:ascii="Arial" w:hAnsi="Arial" w:cs="Arial"/>
                <w:sz w:val="20"/>
                <w:szCs w:val="20"/>
                <w:vertAlign w:val="superscript"/>
              </w:rPr>
              <w:t>**</w:t>
            </w:r>
          </w:p>
          <w:p w14:paraId="7AAB3EA6"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168F5726"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0.34</w:t>
            </w:r>
          </w:p>
        </w:tc>
        <w:tc>
          <w:tcPr>
            <w:tcW w:w="1719" w:type="dxa"/>
            <w:tcBorders>
              <w:top w:val="single" w:sz="4" w:space="0" w:color="7F7F7F" w:themeColor="text1" w:themeTint="80"/>
              <w:bottom w:val="single" w:sz="4" w:space="0" w:color="7F7F7F" w:themeColor="text1" w:themeTint="80"/>
            </w:tcBorders>
          </w:tcPr>
          <w:p w14:paraId="140F1590"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26.788</w:t>
            </w:r>
            <w:r>
              <w:rPr>
                <w:rFonts w:ascii="Arial" w:hAnsi="Arial" w:cs="Arial"/>
                <w:sz w:val="20"/>
                <w:szCs w:val="20"/>
                <w:vertAlign w:val="superscript"/>
              </w:rPr>
              <w:t>**</w:t>
            </w:r>
          </w:p>
          <w:p w14:paraId="21BAF71A"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1CA6665B"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0.14</w:t>
            </w:r>
          </w:p>
        </w:tc>
      </w:tr>
      <w:tr w:rsidR="009441E7" w14:paraId="6475D0B7" w14:textId="77777777" w:rsidTr="009441E7">
        <w:trPr>
          <w:trHeight w:val="495"/>
          <w:jc w:val="center"/>
        </w:trPr>
        <w:tc>
          <w:tcPr>
            <w:cnfStyle w:val="001000000000" w:firstRow="0" w:lastRow="0" w:firstColumn="1" w:lastColumn="0" w:oddVBand="0" w:evenVBand="0" w:oddHBand="0" w:evenHBand="0" w:firstRowFirstColumn="0" w:firstRowLastColumn="0" w:lastRowFirstColumn="0" w:lastRowLastColumn="0"/>
            <w:tcW w:w="1588" w:type="dxa"/>
            <w:vMerge w:val="restart"/>
          </w:tcPr>
          <w:p w14:paraId="511F6E46" w14:textId="77777777" w:rsidR="009441E7" w:rsidRDefault="009441E7">
            <w:pPr>
              <w:spacing w:after="0" w:line="240" w:lineRule="auto"/>
              <w:jc w:val="center"/>
              <w:rPr>
                <w:rFonts w:ascii="Arial" w:hAnsi="Arial" w:cs="Arial"/>
                <w:bCs w:val="0"/>
                <w:sz w:val="20"/>
                <w:szCs w:val="20"/>
              </w:rPr>
            </w:pPr>
          </w:p>
          <w:p w14:paraId="3DD65117" w14:textId="77777777" w:rsidR="009441E7" w:rsidRDefault="009441E7">
            <w:pPr>
              <w:spacing w:after="0" w:line="240" w:lineRule="auto"/>
              <w:jc w:val="center"/>
              <w:rPr>
                <w:rFonts w:ascii="Arial" w:hAnsi="Arial" w:cs="Arial"/>
                <w:bCs w:val="0"/>
                <w:sz w:val="20"/>
                <w:szCs w:val="20"/>
              </w:rPr>
            </w:pPr>
          </w:p>
          <w:p w14:paraId="61F1BB24" w14:textId="77777777" w:rsidR="009441E7" w:rsidRDefault="009441E7">
            <w:pPr>
              <w:spacing w:after="0" w:line="240" w:lineRule="auto"/>
              <w:jc w:val="center"/>
              <w:rPr>
                <w:rFonts w:ascii="Arial" w:hAnsi="Arial" w:cs="Arial"/>
                <w:bCs w:val="0"/>
                <w:sz w:val="20"/>
                <w:szCs w:val="20"/>
              </w:rPr>
            </w:pPr>
          </w:p>
          <w:p w14:paraId="11A5417A" w14:textId="77777777" w:rsidR="009441E7" w:rsidRDefault="009441E7">
            <w:pPr>
              <w:spacing w:after="0" w:line="240" w:lineRule="auto"/>
              <w:jc w:val="center"/>
              <w:rPr>
                <w:rFonts w:ascii="Arial" w:hAnsi="Arial" w:cs="Arial"/>
                <w:bCs w:val="0"/>
                <w:sz w:val="20"/>
                <w:szCs w:val="20"/>
              </w:rPr>
            </w:pPr>
          </w:p>
          <w:p w14:paraId="0BCDA04B" w14:textId="77777777" w:rsidR="009441E7" w:rsidRDefault="00A82308">
            <w:pPr>
              <w:spacing w:after="0" w:line="240" w:lineRule="auto"/>
              <w:jc w:val="center"/>
              <w:rPr>
                <w:rFonts w:ascii="Arial" w:hAnsi="Arial" w:cs="Arial"/>
                <w:sz w:val="20"/>
                <w:szCs w:val="20"/>
              </w:rPr>
            </w:pPr>
            <w:r>
              <w:rPr>
                <w:rFonts w:ascii="Arial" w:hAnsi="Arial" w:cs="Arial"/>
                <w:b w:val="0"/>
                <w:sz w:val="20"/>
                <w:szCs w:val="20"/>
              </w:rPr>
              <w:t>7</w:t>
            </w:r>
          </w:p>
        </w:tc>
        <w:tc>
          <w:tcPr>
            <w:tcW w:w="2534" w:type="dxa"/>
            <w:vAlign w:val="center"/>
          </w:tcPr>
          <w:p w14:paraId="6A8B0ED9"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roofErr w:type="gramStart"/>
            <w:r>
              <w:rPr>
                <w:rFonts w:ascii="Arial" w:hAnsi="Arial" w:cs="Arial"/>
                <w:color w:val="000000"/>
                <w:sz w:val="20"/>
                <w:szCs w:val="20"/>
              </w:rPr>
              <w:t>TEC(</w:t>
            </w:r>
            <w:proofErr w:type="gramEnd"/>
            <w:r>
              <w:rPr>
                <w:rFonts w:ascii="Arial" w:hAnsi="Arial" w:cs="Arial"/>
                <w:color w:val="000000"/>
                <w:sz w:val="20"/>
                <w:szCs w:val="20"/>
              </w:rPr>
              <w:t>× 10</w:t>
            </w:r>
            <w:r>
              <w:rPr>
                <w:rFonts w:ascii="Arial" w:hAnsi="Arial" w:cs="Arial"/>
                <w:color w:val="000000"/>
                <w:sz w:val="20"/>
                <w:szCs w:val="20"/>
                <w:vertAlign w:val="superscript"/>
              </w:rPr>
              <w:t>6</w:t>
            </w:r>
            <w:r>
              <w:rPr>
                <w:rFonts w:ascii="Arial" w:hAnsi="Arial" w:cs="Arial"/>
                <w:color w:val="000000"/>
                <w:sz w:val="20"/>
                <w:szCs w:val="20"/>
              </w:rPr>
              <w:t xml:space="preserve">/ </w:t>
            </w:r>
            <w:proofErr w:type="spellStart"/>
            <w:r>
              <w:rPr>
                <w:rFonts w:ascii="Arial" w:hAnsi="Arial" w:cs="Arial"/>
                <w:color w:val="000000"/>
                <w:sz w:val="20"/>
                <w:szCs w:val="20"/>
              </w:rPr>
              <w:t>cmm</w:t>
            </w:r>
            <w:proofErr w:type="spellEnd"/>
            <w:r>
              <w:rPr>
                <w:rFonts w:ascii="Arial" w:hAnsi="Arial" w:cs="Arial"/>
                <w:color w:val="000000"/>
                <w:sz w:val="20"/>
                <w:szCs w:val="20"/>
              </w:rPr>
              <w:t>)</w:t>
            </w:r>
          </w:p>
        </w:tc>
        <w:tc>
          <w:tcPr>
            <w:tcW w:w="1737" w:type="dxa"/>
          </w:tcPr>
          <w:p w14:paraId="73C57E1C"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3.954</w:t>
            </w:r>
          </w:p>
          <w:p w14:paraId="7A83EBDC"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31FC4225"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0.07</w:t>
            </w:r>
          </w:p>
        </w:tc>
        <w:tc>
          <w:tcPr>
            <w:tcW w:w="1718" w:type="dxa"/>
          </w:tcPr>
          <w:p w14:paraId="35825C95"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3.306</w:t>
            </w:r>
            <w:r>
              <w:rPr>
                <w:rFonts w:ascii="Arial" w:hAnsi="Arial" w:cs="Arial"/>
                <w:sz w:val="20"/>
                <w:szCs w:val="20"/>
                <w:vertAlign w:val="superscript"/>
              </w:rPr>
              <w:t>*</w:t>
            </w:r>
          </w:p>
          <w:p w14:paraId="6526A37B"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165AA058"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0.12</w:t>
            </w:r>
          </w:p>
        </w:tc>
        <w:tc>
          <w:tcPr>
            <w:tcW w:w="1719" w:type="dxa"/>
          </w:tcPr>
          <w:p w14:paraId="2DC610B5"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2.646</w:t>
            </w:r>
            <w:r>
              <w:rPr>
                <w:rFonts w:ascii="Arial" w:hAnsi="Arial" w:cs="Arial"/>
                <w:sz w:val="20"/>
                <w:szCs w:val="20"/>
                <w:vertAlign w:val="superscript"/>
              </w:rPr>
              <w:t>**</w:t>
            </w:r>
          </w:p>
          <w:p w14:paraId="227BC733"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0195A208"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0.09</w:t>
            </w:r>
          </w:p>
        </w:tc>
      </w:tr>
      <w:tr w:rsidR="009441E7" w14:paraId="03590DD2" w14:textId="77777777" w:rsidTr="009441E7">
        <w:trPr>
          <w:trHeight w:val="478"/>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tcPr>
          <w:p w14:paraId="16D4E516" w14:textId="77777777" w:rsidR="009441E7" w:rsidRDefault="009441E7">
            <w:pPr>
              <w:spacing w:after="0" w:line="240" w:lineRule="auto"/>
              <w:rPr>
                <w:rFonts w:ascii="Arial" w:hAnsi="Arial" w:cs="Arial"/>
                <w:b w:val="0"/>
                <w:bCs w:val="0"/>
                <w:sz w:val="20"/>
                <w:szCs w:val="20"/>
              </w:rPr>
            </w:pPr>
          </w:p>
        </w:tc>
        <w:tc>
          <w:tcPr>
            <w:tcW w:w="2534" w:type="dxa"/>
            <w:tcBorders>
              <w:top w:val="single" w:sz="4" w:space="0" w:color="7F7F7F" w:themeColor="text1" w:themeTint="80"/>
              <w:bottom w:val="single" w:sz="4" w:space="0" w:color="7F7F7F" w:themeColor="text1" w:themeTint="80"/>
            </w:tcBorders>
            <w:vAlign w:val="center"/>
          </w:tcPr>
          <w:p w14:paraId="00652B74"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Hb (g/100 mL)</w:t>
            </w:r>
          </w:p>
        </w:tc>
        <w:tc>
          <w:tcPr>
            <w:tcW w:w="1737" w:type="dxa"/>
            <w:tcBorders>
              <w:top w:val="single" w:sz="4" w:space="0" w:color="7F7F7F" w:themeColor="text1" w:themeTint="80"/>
              <w:bottom w:val="single" w:sz="4" w:space="0" w:color="7F7F7F" w:themeColor="text1" w:themeTint="80"/>
            </w:tcBorders>
          </w:tcPr>
          <w:p w14:paraId="4440A5EE"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13.474</w:t>
            </w:r>
          </w:p>
          <w:p w14:paraId="7F2A7C6B"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1BF3FEBF"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0.16</w:t>
            </w:r>
          </w:p>
        </w:tc>
        <w:tc>
          <w:tcPr>
            <w:tcW w:w="1718" w:type="dxa"/>
            <w:tcBorders>
              <w:top w:val="single" w:sz="4" w:space="0" w:color="7F7F7F" w:themeColor="text1" w:themeTint="80"/>
              <w:bottom w:val="single" w:sz="4" w:space="0" w:color="7F7F7F" w:themeColor="text1" w:themeTint="80"/>
            </w:tcBorders>
          </w:tcPr>
          <w:p w14:paraId="7A80B22F"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12.398</w:t>
            </w:r>
            <w:r>
              <w:rPr>
                <w:rFonts w:ascii="Arial" w:hAnsi="Arial" w:cs="Arial"/>
                <w:sz w:val="20"/>
                <w:szCs w:val="20"/>
                <w:vertAlign w:val="superscript"/>
              </w:rPr>
              <w:t>*</w:t>
            </w:r>
          </w:p>
          <w:p w14:paraId="3640BC3F"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6C828A6F"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0.11</w:t>
            </w:r>
          </w:p>
        </w:tc>
        <w:tc>
          <w:tcPr>
            <w:tcW w:w="1719" w:type="dxa"/>
            <w:tcBorders>
              <w:top w:val="single" w:sz="4" w:space="0" w:color="7F7F7F" w:themeColor="text1" w:themeTint="80"/>
              <w:bottom w:val="single" w:sz="4" w:space="0" w:color="7F7F7F" w:themeColor="text1" w:themeTint="80"/>
            </w:tcBorders>
          </w:tcPr>
          <w:p w14:paraId="6705C473"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11.02</w:t>
            </w:r>
            <w:r>
              <w:rPr>
                <w:rFonts w:ascii="Arial" w:hAnsi="Arial" w:cs="Arial"/>
                <w:sz w:val="20"/>
                <w:szCs w:val="20"/>
                <w:vertAlign w:val="superscript"/>
              </w:rPr>
              <w:t>**</w:t>
            </w:r>
          </w:p>
          <w:p w14:paraId="634E60FE"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50EBDBB8"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0.38</w:t>
            </w:r>
          </w:p>
        </w:tc>
      </w:tr>
      <w:tr w:rsidR="009441E7" w14:paraId="00CFD31F" w14:textId="77777777" w:rsidTr="009441E7">
        <w:trPr>
          <w:trHeight w:val="478"/>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A73DAF4" w14:textId="77777777" w:rsidR="009441E7" w:rsidRDefault="009441E7">
            <w:pPr>
              <w:spacing w:after="0" w:line="240" w:lineRule="auto"/>
              <w:rPr>
                <w:rFonts w:ascii="Arial" w:hAnsi="Arial" w:cs="Arial"/>
                <w:b w:val="0"/>
                <w:bCs w:val="0"/>
                <w:sz w:val="20"/>
                <w:szCs w:val="20"/>
              </w:rPr>
            </w:pPr>
          </w:p>
        </w:tc>
        <w:tc>
          <w:tcPr>
            <w:tcW w:w="2534" w:type="dxa"/>
            <w:vAlign w:val="center"/>
          </w:tcPr>
          <w:p w14:paraId="19A375D2"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roofErr w:type="spellStart"/>
            <w:r>
              <w:rPr>
                <w:rFonts w:ascii="Arial" w:hAnsi="Arial" w:cs="Arial"/>
                <w:color w:val="000000"/>
                <w:sz w:val="20"/>
                <w:szCs w:val="20"/>
              </w:rPr>
              <w:t>Haematocrit</w:t>
            </w:r>
            <w:proofErr w:type="spellEnd"/>
            <w:r>
              <w:rPr>
                <w:rFonts w:ascii="Arial" w:hAnsi="Arial" w:cs="Arial"/>
                <w:color w:val="000000"/>
                <w:sz w:val="20"/>
                <w:szCs w:val="20"/>
              </w:rPr>
              <w:t xml:space="preserve"> (</w:t>
            </w:r>
            <w:proofErr w:type="spellStart"/>
            <w:r>
              <w:rPr>
                <w:rFonts w:ascii="Arial" w:hAnsi="Arial" w:cs="Arial"/>
                <w:color w:val="000000"/>
                <w:sz w:val="20"/>
                <w:szCs w:val="20"/>
              </w:rPr>
              <w:t>Ht</w:t>
            </w:r>
            <w:proofErr w:type="spellEnd"/>
            <w:r>
              <w:rPr>
                <w:rFonts w:ascii="Arial" w:hAnsi="Arial" w:cs="Arial"/>
                <w:color w:val="000000"/>
                <w:sz w:val="20"/>
                <w:szCs w:val="20"/>
              </w:rPr>
              <w:t xml:space="preserve"> %)</w:t>
            </w:r>
          </w:p>
        </w:tc>
        <w:tc>
          <w:tcPr>
            <w:tcW w:w="1737" w:type="dxa"/>
          </w:tcPr>
          <w:p w14:paraId="2EEBAF17"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49.222</w:t>
            </w:r>
          </w:p>
          <w:p w14:paraId="22A8C8DE"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402EB960"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0.27</w:t>
            </w:r>
          </w:p>
        </w:tc>
        <w:tc>
          <w:tcPr>
            <w:tcW w:w="1718" w:type="dxa"/>
          </w:tcPr>
          <w:p w14:paraId="5B8A71B6"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37.036</w:t>
            </w:r>
            <w:r>
              <w:rPr>
                <w:rFonts w:ascii="Arial" w:hAnsi="Arial" w:cs="Arial"/>
                <w:sz w:val="20"/>
                <w:szCs w:val="20"/>
                <w:vertAlign w:val="superscript"/>
              </w:rPr>
              <w:t>**</w:t>
            </w:r>
          </w:p>
          <w:p w14:paraId="69394B26"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5604F08E"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0.07</w:t>
            </w:r>
          </w:p>
        </w:tc>
        <w:tc>
          <w:tcPr>
            <w:tcW w:w="1719" w:type="dxa"/>
          </w:tcPr>
          <w:p w14:paraId="168D6C2D"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Pr>
                <w:rFonts w:ascii="Arial" w:hAnsi="Arial" w:cs="Arial"/>
                <w:sz w:val="20"/>
                <w:szCs w:val="20"/>
              </w:rPr>
              <w:t>45.478</w:t>
            </w:r>
            <w:r>
              <w:rPr>
                <w:rFonts w:ascii="Arial" w:hAnsi="Arial" w:cs="Arial"/>
                <w:sz w:val="20"/>
                <w:szCs w:val="20"/>
                <w:vertAlign w:val="superscript"/>
              </w:rPr>
              <w:t>**</w:t>
            </w:r>
          </w:p>
          <w:p w14:paraId="4A7BC61A"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p w14:paraId="096B9F6D" w14:textId="77777777" w:rsidR="009441E7" w:rsidRDefault="00A823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0.15</w:t>
            </w:r>
          </w:p>
        </w:tc>
      </w:tr>
    </w:tbl>
    <w:p w14:paraId="3FE2FA6B" w14:textId="77777777" w:rsidR="009441E7" w:rsidRDefault="009441E7">
      <w:pPr>
        <w:autoSpaceDE w:val="0"/>
        <w:autoSpaceDN w:val="0"/>
        <w:adjustRightInd w:val="0"/>
        <w:spacing w:after="0" w:line="360" w:lineRule="auto"/>
        <w:jc w:val="both"/>
        <w:rPr>
          <w:rFonts w:ascii="Arial" w:eastAsia="STIX-Regular" w:hAnsi="Arial" w:cs="Arial"/>
          <w:b/>
          <w:bCs/>
          <w:color w:val="000000" w:themeColor="text1"/>
          <w:kern w:val="0"/>
          <w:sz w:val="20"/>
          <w:szCs w:val="20"/>
          <w:u w:val="single"/>
          <w:lang w:eastAsia="en-IN"/>
        </w:rPr>
      </w:pPr>
    </w:p>
    <w:p w14:paraId="01ADB085" w14:textId="77777777" w:rsidR="009441E7" w:rsidRDefault="00A82308">
      <w:pPr>
        <w:spacing w:line="360" w:lineRule="auto"/>
        <w:jc w:val="both"/>
        <w:rPr>
          <w:rFonts w:ascii="Arial" w:eastAsiaTheme="minorEastAsia" w:hAnsi="Arial" w:cs="Arial"/>
          <w:b/>
          <w:bCs/>
          <w:kern w:val="0"/>
          <w:lang w:val="en-IN" w:eastAsia="en-IN"/>
        </w:rPr>
      </w:pPr>
      <w:r>
        <w:rPr>
          <w:rFonts w:ascii="Arial" w:eastAsiaTheme="minorEastAsia" w:hAnsi="Arial" w:cs="Arial"/>
          <w:b/>
          <w:bCs/>
          <w:kern w:val="0"/>
          <w:lang w:eastAsia="en-IN"/>
        </w:rPr>
        <w:t>3</w:t>
      </w:r>
      <w:r>
        <w:rPr>
          <w:rFonts w:ascii="Arial" w:eastAsiaTheme="minorEastAsia" w:hAnsi="Arial" w:cs="Arial"/>
          <w:b/>
          <w:bCs/>
          <w:kern w:val="0"/>
          <w:lang w:val="en-IN" w:eastAsia="en-IN"/>
        </w:rPr>
        <w:t>.2 Changes in leucocytic parameters</w:t>
      </w:r>
    </w:p>
    <w:p w14:paraId="7F598E7E" w14:textId="77777777" w:rsidR="009441E7" w:rsidRDefault="00A82308">
      <w:pPr>
        <w:spacing w:line="360" w:lineRule="auto"/>
        <w:jc w:val="both"/>
        <w:rPr>
          <w:rFonts w:ascii="Arial" w:hAnsi="Arial" w:cs="Arial"/>
          <w:sz w:val="20"/>
          <w:szCs w:val="20"/>
        </w:rPr>
      </w:pPr>
      <w:r>
        <w:rPr>
          <w:rFonts w:ascii="Arial" w:hAnsi="Arial" w:cs="Arial"/>
          <w:sz w:val="20"/>
          <w:szCs w:val="20"/>
        </w:rPr>
        <w:t xml:space="preserve">The exposure to lead nitrate at concentrations of 15 mg/L (treated group 1) and 30 mg/L (treated group 2) for 3 and 7 days resulted in a highly significant change in TLC </w:t>
      </w:r>
      <w:r>
        <w:rPr>
          <w:rFonts w:ascii="Arial" w:eastAsia="STIX-Regular" w:hAnsi="Arial" w:cs="Arial"/>
          <w:color w:val="000000"/>
          <w:kern w:val="0"/>
          <w:sz w:val="20"/>
          <w:szCs w:val="20"/>
          <w:lang w:val="en-IN" w:eastAsia="en-IN"/>
        </w:rPr>
        <w:t xml:space="preserve">(Table 2) of </w:t>
      </w:r>
      <w:r>
        <w:rPr>
          <w:rFonts w:ascii="Arial" w:eastAsia="STIX-Regular" w:hAnsi="Arial" w:cs="Arial"/>
          <w:i/>
          <w:color w:val="000000"/>
          <w:kern w:val="0"/>
          <w:sz w:val="20"/>
          <w:szCs w:val="20"/>
          <w:lang w:val="en-IN" w:eastAsia="en-IN"/>
        </w:rPr>
        <w:t xml:space="preserve">A. </w:t>
      </w:r>
      <w:proofErr w:type="spellStart"/>
      <w:r>
        <w:rPr>
          <w:rFonts w:ascii="Arial" w:eastAsia="STIX-Regular" w:hAnsi="Arial" w:cs="Arial"/>
          <w:i/>
          <w:color w:val="000000"/>
          <w:kern w:val="0"/>
          <w:sz w:val="20"/>
          <w:szCs w:val="20"/>
          <w:lang w:val="en-IN" w:eastAsia="en-IN"/>
        </w:rPr>
        <w:t>testudineus</w:t>
      </w:r>
      <w:proofErr w:type="spellEnd"/>
      <w:r>
        <w:rPr>
          <w:rFonts w:ascii="Arial" w:eastAsia="STIX-Regular" w:hAnsi="Arial" w:cs="Arial"/>
          <w:color w:val="000000"/>
          <w:kern w:val="0"/>
          <w:sz w:val="20"/>
          <w:szCs w:val="20"/>
          <w:lang w:val="en-IN" w:eastAsia="en-IN"/>
        </w:rPr>
        <w:t xml:space="preserve">. The rising TLC reported in this study may indicate some resistance against infectious substances (da Silva </w:t>
      </w:r>
      <w:r>
        <w:rPr>
          <w:rFonts w:ascii="Arial" w:eastAsia="STIX-Regular" w:hAnsi="Arial" w:cs="Arial"/>
          <w:i/>
          <w:iCs/>
          <w:color w:val="000000"/>
          <w:kern w:val="0"/>
          <w:sz w:val="20"/>
          <w:szCs w:val="20"/>
          <w:lang w:val="en-IN" w:eastAsia="en-IN"/>
        </w:rPr>
        <w:t>et al.</w:t>
      </w:r>
      <w:r>
        <w:rPr>
          <w:rFonts w:ascii="Arial" w:eastAsia="STIX-Regular" w:hAnsi="Arial" w:cs="Arial"/>
          <w:color w:val="000000"/>
          <w:kern w:val="0"/>
          <w:sz w:val="20"/>
          <w:szCs w:val="20"/>
          <w:lang w:val="en-IN" w:eastAsia="en-IN"/>
        </w:rPr>
        <w:t xml:space="preserve"> 2018). It has been reported that exposure to several heavy metals including manganese, zinc, and copper increased the TLC in different fish species (Raina and Sachar 2014, Sharma and Langer 2014, Kaviani </w:t>
      </w:r>
      <w:r>
        <w:rPr>
          <w:rFonts w:ascii="Arial" w:eastAsia="STIX-Regular" w:hAnsi="Arial" w:cs="Arial"/>
          <w:i/>
          <w:iCs/>
          <w:color w:val="000000"/>
          <w:kern w:val="0"/>
          <w:sz w:val="20"/>
          <w:szCs w:val="20"/>
          <w:lang w:val="en-IN" w:eastAsia="en-IN"/>
        </w:rPr>
        <w:t>et al.</w:t>
      </w:r>
      <w:r>
        <w:rPr>
          <w:rFonts w:ascii="Arial" w:eastAsia="STIX-Regular" w:hAnsi="Arial" w:cs="Arial"/>
          <w:color w:val="000000"/>
          <w:kern w:val="0"/>
          <w:sz w:val="20"/>
          <w:szCs w:val="20"/>
          <w:lang w:val="en-IN" w:eastAsia="en-IN"/>
        </w:rPr>
        <w:t xml:space="preserve"> 2019). TLC plays an important role in cellular and immune responses against xenobiotic compounds</w:t>
      </w:r>
      <w:r>
        <w:rPr>
          <w:rFonts w:ascii="Arial" w:eastAsia="Times New Roman" w:hAnsi="Arial" w:cs="Arial"/>
          <w:kern w:val="0"/>
          <w:sz w:val="20"/>
          <w:szCs w:val="20"/>
          <w:lang w:val="en-IN" w:eastAsia="en-IN"/>
        </w:rPr>
        <w:t xml:space="preserve"> (Abdel-Warith </w:t>
      </w:r>
      <w:r>
        <w:rPr>
          <w:rFonts w:ascii="Arial" w:eastAsia="Times New Roman" w:hAnsi="Arial" w:cs="Arial"/>
          <w:i/>
          <w:iCs/>
          <w:kern w:val="0"/>
          <w:sz w:val="20"/>
          <w:szCs w:val="20"/>
          <w:lang w:val="en-IN" w:eastAsia="en-IN"/>
        </w:rPr>
        <w:t>et al.</w:t>
      </w:r>
      <w:r>
        <w:rPr>
          <w:rFonts w:ascii="Arial" w:eastAsia="Times New Roman" w:hAnsi="Arial" w:cs="Arial"/>
          <w:kern w:val="0"/>
          <w:sz w:val="20"/>
          <w:szCs w:val="20"/>
          <w:lang w:val="en-IN" w:eastAsia="en-IN"/>
        </w:rPr>
        <w:t xml:space="preserve"> 2020). </w:t>
      </w:r>
      <w:r>
        <w:rPr>
          <w:rFonts w:ascii="Arial" w:hAnsi="Arial" w:cs="Arial"/>
          <w:sz w:val="20"/>
          <w:szCs w:val="20"/>
        </w:rPr>
        <w:t xml:space="preserve">The present study also revealed a significant increase in LT % in both treated groups compared to the control groups after both 3 and 7 days of exposure (Table 2). The increase was highly significant after 3 days of exposure in both treated groups, whereas after 7 days of exposure, the observed changes were statistically significant. Exposure to lead nitrate induced significant alterations in the differential leukocyte count (DWBC %) </w:t>
      </w:r>
      <w:proofErr w:type="gramStart"/>
      <w:r>
        <w:rPr>
          <w:rFonts w:ascii="Arial" w:hAnsi="Arial" w:cs="Arial"/>
          <w:sz w:val="20"/>
          <w:szCs w:val="20"/>
        </w:rPr>
        <w:t xml:space="preserve">of  </w:t>
      </w:r>
      <w:r>
        <w:rPr>
          <w:rStyle w:val="Emphasis"/>
          <w:rFonts w:ascii="Arial" w:hAnsi="Arial" w:cs="Arial"/>
          <w:sz w:val="20"/>
          <w:szCs w:val="20"/>
        </w:rPr>
        <w:t>Anabas</w:t>
      </w:r>
      <w:proofErr w:type="gramEnd"/>
      <w:r>
        <w:rPr>
          <w:rStyle w:val="Emphasis"/>
          <w:rFonts w:ascii="Arial" w:hAnsi="Arial" w:cs="Arial"/>
          <w:sz w:val="20"/>
          <w:szCs w:val="20"/>
        </w:rPr>
        <w:t xml:space="preserve"> </w:t>
      </w:r>
      <w:proofErr w:type="spellStart"/>
      <w:r>
        <w:rPr>
          <w:rStyle w:val="Emphasis"/>
          <w:rFonts w:ascii="Arial" w:hAnsi="Arial" w:cs="Arial"/>
          <w:sz w:val="20"/>
          <w:szCs w:val="20"/>
        </w:rPr>
        <w:t>testudineus</w:t>
      </w:r>
      <w:proofErr w:type="spellEnd"/>
      <w:r>
        <w:rPr>
          <w:rFonts w:ascii="Arial" w:hAnsi="Arial" w:cs="Arial"/>
          <w:sz w:val="20"/>
          <w:szCs w:val="20"/>
        </w:rPr>
        <w:t xml:space="preserve"> (Table 2). </w:t>
      </w:r>
    </w:p>
    <w:p w14:paraId="29BC701D" w14:textId="77777777" w:rsidR="009441E7" w:rsidRDefault="00A82308">
      <w:pPr>
        <w:spacing w:after="0" w:line="300" w:lineRule="auto"/>
        <w:jc w:val="center"/>
        <w:rPr>
          <w:rFonts w:ascii="Arial" w:eastAsia="Century Gothic" w:hAnsi="Arial" w:cs="Arial"/>
          <w:b/>
          <w:sz w:val="20"/>
          <w:szCs w:val="20"/>
        </w:rPr>
      </w:pPr>
      <w:r>
        <w:rPr>
          <w:rFonts w:ascii="Arial" w:eastAsiaTheme="minorEastAsia" w:hAnsi="Arial" w:cs="Arial"/>
          <w:b/>
          <w:bCs/>
          <w:kern w:val="0"/>
          <w:sz w:val="20"/>
          <w:szCs w:val="20"/>
          <w:lang w:val="en-IN" w:eastAsia="en-IN"/>
        </w:rPr>
        <w:t xml:space="preserve">Table 2. </w:t>
      </w:r>
      <w:r>
        <w:rPr>
          <w:rFonts w:ascii="Arial" w:hAnsi="Arial" w:cs="Arial"/>
          <w:b/>
          <w:sz w:val="20"/>
          <w:szCs w:val="20"/>
        </w:rPr>
        <w:t xml:space="preserve">Changes in </w:t>
      </w:r>
      <w:r>
        <w:rPr>
          <w:rFonts w:ascii="Arial" w:eastAsia="Century Gothic" w:hAnsi="Arial" w:cs="Arial"/>
          <w:b/>
          <w:sz w:val="20"/>
          <w:szCs w:val="20"/>
        </w:rPr>
        <w:t xml:space="preserve">leucocytic parameters in control and lead nitrate treated fish groups (1 and 2) of </w:t>
      </w:r>
      <w:r>
        <w:rPr>
          <w:rFonts w:ascii="Arial" w:eastAsia="Century Gothic" w:hAnsi="Arial" w:cs="Arial"/>
          <w:b/>
          <w:i/>
          <w:iCs/>
          <w:sz w:val="20"/>
          <w:szCs w:val="20"/>
        </w:rPr>
        <w:t xml:space="preserve">Anabas </w:t>
      </w:r>
      <w:proofErr w:type="spellStart"/>
      <w:r>
        <w:rPr>
          <w:rFonts w:ascii="Arial" w:eastAsia="Century Gothic" w:hAnsi="Arial" w:cs="Arial"/>
          <w:b/>
          <w:i/>
          <w:iCs/>
          <w:sz w:val="20"/>
          <w:szCs w:val="20"/>
        </w:rPr>
        <w:t>testudineus</w:t>
      </w:r>
      <w:proofErr w:type="spellEnd"/>
      <w:r>
        <w:rPr>
          <w:rFonts w:ascii="Arial" w:eastAsia="Century Gothic" w:hAnsi="Arial" w:cs="Arial"/>
          <w:b/>
          <w:i/>
          <w:iCs/>
          <w:sz w:val="20"/>
          <w:szCs w:val="20"/>
        </w:rPr>
        <w:t xml:space="preserve"> </w:t>
      </w:r>
      <w:r>
        <w:rPr>
          <w:rFonts w:ascii="Arial" w:eastAsia="Century Gothic" w:hAnsi="Arial" w:cs="Arial"/>
          <w:b/>
          <w:sz w:val="20"/>
          <w:szCs w:val="20"/>
        </w:rPr>
        <w:t>(Values shown are mean ± S.E; 5 fishes for each group).</w:t>
      </w:r>
    </w:p>
    <w:p w14:paraId="3D25C826" w14:textId="77777777" w:rsidR="009441E7" w:rsidRDefault="00A82308">
      <w:pPr>
        <w:spacing w:after="0" w:line="600" w:lineRule="auto"/>
        <w:jc w:val="center"/>
        <w:rPr>
          <w:rFonts w:ascii="Arial" w:eastAsia="Century Gothic" w:hAnsi="Arial" w:cs="Arial"/>
          <w:b/>
          <w:sz w:val="20"/>
          <w:szCs w:val="20"/>
        </w:rPr>
      </w:pPr>
      <w:r>
        <w:rPr>
          <w:rFonts w:ascii="Arial" w:eastAsia="Century Gothic" w:hAnsi="Arial" w:cs="Arial"/>
          <w:b/>
          <w:sz w:val="20"/>
          <w:szCs w:val="20"/>
        </w:rPr>
        <w:t xml:space="preserve"> * </w:t>
      </w:r>
      <w:proofErr w:type="gramStart"/>
      <w:r>
        <w:rPr>
          <w:rFonts w:ascii="Arial" w:eastAsia="Century Gothic" w:hAnsi="Arial" w:cs="Arial"/>
          <w:b/>
          <w:sz w:val="20"/>
          <w:szCs w:val="20"/>
        </w:rPr>
        <w:t>significant</w:t>
      </w:r>
      <w:proofErr w:type="gramEnd"/>
      <w:r>
        <w:rPr>
          <w:rFonts w:ascii="Arial" w:eastAsia="Century Gothic" w:hAnsi="Arial" w:cs="Arial"/>
          <w:b/>
          <w:sz w:val="20"/>
          <w:szCs w:val="20"/>
        </w:rPr>
        <w:t xml:space="preserve"> (P &lt; 0.05), ** highly significant (P &lt; 0.01)</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2"/>
        <w:gridCol w:w="1239"/>
        <w:gridCol w:w="1005"/>
        <w:gridCol w:w="1701"/>
        <w:gridCol w:w="1843"/>
        <w:gridCol w:w="1842"/>
      </w:tblGrid>
      <w:tr w:rsidR="009441E7" w14:paraId="5EBA0F4F" w14:textId="77777777">
        <w:trPr>
          <w:trHeight w:val="1321"/>
          <w:jc w:val="center"/>
        </w:trPr>
        <w:tc>
          <w:tcPr>
            <w:tcW w:w="1442" w:type="dxa"/>
            <w:tcBorders>
              <w:top w:val="single" w:sz="4" w:space="0" w:color="auto"/>
              <w:bottom w:val="single" w:sz="4" w:space="0" w:color="auto"/>
            </w:tcBorders>
            <w:vAlign w:val="center"/>
          </w:tcPr>
          <w:p w14:paraId="6D7C3BCF" w14:textId="77777777" w:rsidR="009441E7" w:rsidRDefault="00A82308">
            <w:pPr>
              <w:spacing w:after="0" w:line="360" w:lineRule="auto"/>
              <w:jc w:val="center"/>
              <w:rPr>
                <w:rFonts w:ascii="Arial" w:hAnsi="Arial" w:cs="Arial"/>
                <w:b/>
                <w:bCs/>
                <w:color w:val="000000" w:themeColor="text1"/>
                <w:sz w:val="20"/>
                <w:szCs w:val="20"/>
                <w:lang w:val="en-IN" w:eastAsia="en-IN"/>
              </w:rPr>
            </w:pPr>
            <w:r>
              <w:rPr>
                <w:rFonts w:ascii="Arial" w:hAnsi="Arial" w:cs="Arial"/>
                <w:b/>
                <w:bCs/>
                <w:color w:val="000000" w:themeColor="text1"/>
                <w:sz w:val="20"/>
                <w:szCs w:val="20"/>
                <w:lang w:val="en-IN" w:eastAsia="en-IN"/>
              </w:rPr>
              <w:lastRenderedPageBreak/>
              <w:t>DAYS OF EXPOSURE</w:t>
            </w:r>
          </w:p>
        </w:tc>
        <w:tc>
          <w:tcPr>
            <w:tcW w:w="2244" w:type="dxa"/>
            <w:gridSpan w:val="2"/>
            <w:tcBorders>
              <w:top w:val="single" w:sz="4" w:space="0" w:color="auto"/>
              <w:bottom w:val="single" w:sz="4" w:space="0" w:color="auto"/>
            </w:tcBorders>
            <w:vAlign w:val="center"/>
          </w:tcPr>
          <w:p w14:paraId="520F6484" w14:textId="77777777" w:rsidR="009441E7" w:rsidRDefault="00A82308">
            <w:pPr>
              <w:spacing w:after="0" w:line="360" w:lineRule="auto"/>
              <w:jc w:val="center"/>
              <w:rPr>
                <w:rFonts w:ascii="Arial" w:hAnsi="Arial" w:cs="Arial"/>
                <w:b/>
                <w:bCs/>
                <w:color w:val="000000" w:themeColor="text1"/>
                <w:sz w:val="20"/>
                <w:szCs w:val="20"/>
                <w:lang w:val="en-IN" w:eastAsia="en-IN"/>
              </w:rPr>
            </w:pPr>
            <w:r>
              <w:rPr>
                <w:rFonts w:ascii="Arial" w:hAnsi="Arial" w:cs="Arial"/>
                <w:b/>
                <w:bCs/>
                <w:color w:val="000000" w:themeColor="text1"/>
                <w:sz w:val="20"/>
                <w:szCs w:val="20"/>
                <w:lang w:val="en-IN" w:eastAsia="en-IN"/>
              </w:rPr>
              <w:t>LEUCOCYTIC</w:t>
            </w:r>
          </w:p>
          <w:p w14:paraId="33900095" w14:textId="77777777" w:rsidR="009441E7" w:rsidRDefault="00A82308">
            <w:pPr>
              <w:spacing w:after="0" w:line="360" w:lineRule="auto"/>
              <w:jc w:val="center"/>
              <w:rPr>
                <w:rFonts w:ascii="Arial" w:hAnsi="Arial" w:cs="Arial"/>
                <w:b/>
                <w:bCs/>
                <w:color w:val="000000" w:themeColor="text1"/>
                <w:sz w:val="20"/>
                <w:szCs w:val="20"/>
                <w:lang w:val="en-IN" w:eastAsia="en-IN"/>
              </w:rPr>
            </w:pPr>
            <w:r>
              <w:rPr>
                <w:rFonts w:ascii="Arial" w:hAnsi="Arial" w:cs="Arial"/>
                <w:b/>
                <w:bCs/>
                <w:color w:val="000000" w:themeColor="text1"/>
                <w:sz w:val="20"/>
                <w:szCs w:val="20"/>
                <w:lang w:val="en-IN" w:eastAsia="en-IN"/>
              </w:rPr>
              <w:t>PARAMETERS</w:t>
            </w:r>
          </w:p>
        </w:tc>
        <w:tc>
          <w:tcPr>
            <w:tcW w:w="1701" w:type="dxa"/>
            <w:tcBorders>
              <w:top w:val="single" w:sz="4" w:space="0" w:color="auto"/>
              <w:bottom w:val="single" w:sz="4" w:space="0" w:color="auto"/>
            </w:tcBorders>
            <w:vAlign w:val="center"/>
          </w:tcPr>
          <w:p w14:paraId="36732BCC" w14:textId="77777777" w:rsidR="009441E7" w:rsidRDefault="00A82308">
            <w:pPr>
              <w:spacing w:after="0" w:line="360" w:lineRule="auto"/>
              <w:jc w:val="center"/>
              <w:rPr>
                <w:rFonts w:ascii="Arial" w:hAnsi="Arial" w:cs="Arial"/>
                <w:b/>
                <w:bCs/>
                <w:color w:val="000000" w:themeColor="text1"/>
                <w:sz w:val="20"/>
                <w:szCs w:val="20"/>
                <w:lang w:val="en-IN" w:eastAsia="en-IN"/>
              </w:rPr>
            </w:pPr>
            <w:r>
              <w:rPr>
                <w:rFonts w:ascii="Arial" w:hAnsi="Arial" w:cs="Arial"/>
                <w:b/>
                <w:bCs/>
                <w:color w:val="000000" w:themeColor="text1"/>
                <w:sz w:val="20"/>
                <w:szCs w:val="20"/>
                <w:lang w:val="en-IN" w:eastAsia="en-IN"/>
              </w:rPr>
              <w:t>CONTROL GROUP</w:t>
            </w:r>
          </w:p>
        </w:tc>
        <w:tc>
          <w:tcPr>
            <w:tcW w:w="1843" w:type="dxa"/>
            <w:tcBorders>
              <w:top w:val="single" w:sz="4" w:space="0" w:color="auto"/>
              <w:bottom w:val="single" w:sz="4" w:space="0" w:color="auto"/>
            </w:tcBorders>
            <w:vAlign w:val="center"/>
          </w:tcPr>
          <w:p w14:paraId="7B63F883" w14:textId="77777777" w:rsidR="009441E7" w:rsidRDefault="00A82308">
            <w:pPr>
              <w:spacing w:after="0" w:line="360" w:lineRule="auto"/>
              <w:jc w:val="center"/>
              <w:rPr>
                <w:rFonts w:ascii="Arial" w:hAnsi="Arial" w:cs="Arial"/>
                <w:b/>
                <w:bCs/>
                <w:color w:val="000000" w:themeColor="text1"/>
                <w:sz w:val="20"/>
                <w:szCs w:val="20"/>
                <w:lang w:val="en-IN" w:eastAsia="en-IN"/>
              </w:rPr>
            </w:pPr>
            <w:r>
              <w:rPr>
                <w:rFonts w:ascii="Arial" w:hAnsi="Arial" w:cs="Arial"/>
                <w:b/>
                <w:bCs/>
                <w:color w:val="000000" w:themeColor="text1"/>
                <w:sz w:val="20"/>
                <w:szCs w:val="20"/>
                <w:lang w:val="en-IN" w:eastAsia="en-IN"/>
              </w:rPr>
              <w:t>TREATED GROUP 1</w:t>
            </w:r>
          </w:p>
          <w:p w14:paraId="4541BDC3" w14:textId="77777777" w:rsidR="009441E7" w:rsidRDefault="00A82308">
            <w:pPr>
              <w:spacing w:after="0" w:line="360" w:lineRule="auto"/>
              <w:jc w:val="center"/>
              <w:rPr>
                <w:rFonts w:ascii="Arial" w:hAnsi="Arial" w:cs="Arial"/>
                <w:b/>
                <w:bCs/>
                <w:color w:val="000000" w:themeColor="text1"/>
                <w:sz w:val="20"/>
                <w:szCs w:val="20"/>
                <w:lang w:val="en-IN" w:eastAsia="en-IN"/>
              </w:rPr>
            </w:pPr>
            <w:r>
              <w:rPr>
                <w:rFonts w:ascii="Arial" w:hAnsi="Arial" w:cs="Arial"/>
                <w:b/>
                <w:bCs/>
                <w:color w:val="000000" w:themeColor="text1"/>
                <w:sz w:val="20"/>
                <w:szCs w:val="20"/>
                <w:lang w:val="en-IN" w:eastAsia="en-IN"/>
              </w:rPr>
              <w:t>(15 mg/L)</w:t>
            </w:r>
          </w:p>
        </w:tc>
        <w:tc>
          <w:tcPr>
            <w:tcW w:w="1842" w:type="dxa"/>
            <w:tcBorders>
              <w:top w:val="single" w:sz="4" w:space="0" w:color="auto"/>
              <w:bottom w:val="single" w:sz="4" w:space="0" w:color="auto"/>
            </w:tcBorders>
            <w:vAlign w:val="center"/>
          </w:tcPr>
          <w:p w14:paraId="0619CB91" w14:textId="77777777" w:rsidR="009441E7" w:rsidRDefault="00A82308">
            <w:pPr>
              <w:spacing w:after="0" w:line="360" w:lineRule="auto"/>
              <w:jc w:val="center"/>
              <w:rPr>
                <w:rFonts w:ascii="Arial" w:hAnsi="Arial" w:cs="Arial"/>
                <w:b/>
                <w:bCs/>
                <w:color w:val="000000" w:themeColor="text1"/>
                <w:sz w:val="20"/>
                <w:szCs w:val="20"/>
                <w:lang w:val="en-IN" w:eastAsia="en-IN"/>
              </w:rPr>
            </w:pPr>
            <w:r>
              <w:rPr>
                <w:rFonts w:ascii="Arial" w:hAnsi="Arial" w:cs="Arial"/>
                <w:b/>
                <w:bCs/>
                <w:color w:val="000000" w:themeColor="text1"/>
                <w:sz w:val="20"/>
                <w:szCs w:val="20"/>
                <w:lang w:val="en-IN" w:eastAsia="en-IN"/>
              </w:rPr>
              <w:t>TREATED GROUP 2</w:t>
            </w:r>
          </w:p>
          <w:p w14:paraId="26A33878" w14:textId="77777777" w:rsidR="009441E7" w:rsidRDefault="00A82308">
            <w:pPr>
              <w:spacing w:after="0" w:line="360" w:lineRule="auto"/>
              <w:jc w:val="center"/>
              <w:rPr>
                <w:rFonts w:ascii="Arial" w:hAnsi="Arial" w:cs="Arial"/>
                <w:b/>
                <w:bCs/>
                <w:color w:val="000000" w:themeColor="text1"/>
                <w:sz w:val="20"/>
                <w:szCs w:val="20"/>
                <w:lang w:val="en-IN" w:eastAsia="en-IN"/>
              </w:rPr>
            </w:pPr>
            <w:r>
              <w:rPr>
                <w:rFonts w:ascii="Arial" w:hAnsi="Arial" w:cs="Arial"/>
                <w:b/>
                <w:bCs/>
                <w:color w:val="000000" w:themeColor="text1"/>
                <w:sz w:val="20"/>
                <w:szCs w:val="20"/>
                <w:lang w:val="en-IN" w:eastAsia="en-IN"/>
              </w:rPr>
              <w:t>(30 mg/L)</w:t>
            </w:r>
          </w:p>
        </w:tc>
      </w:tr>
      <w:tr w:rsidR="009441E7" w14:paraId="7900E9FE" w14:textId="77777777">
        <w:trPr>
          <w:trHeight w:val="491"/>
          <w:jc w:val="center"/>
        </w:trPr>
        <w:tc>
          <w:tcPr>
            <w:tcW w:w="1442" w:type="dxa"/>
            <w:vMerge w:val="restart"/>
            <w:tcBorders>
              <w:top w:val="single" w:sz="4" w:space="0" w:color="auto"/>
            </w:tcBorders>
            <w:vAlign w:val="center"/>
          </w:tcPr>
          <w:p w14:paraId="22EA40FD" w14:textId="77777777" w:rsidR="009441E7" w:rsidRDefault="00A82308">
            <w:pPr>
              <w:spacing w:after="0" w:line="360" w:lineRule="auto"/>
              <w:jc w:val="center"/>
              <w:rPr>
                <w:rFonts w:ascii="Arial" w:hAnsi="Arial" w:cs="Arial"/>
                <w:bCs/>
                <w:color w:val="000000" w:themeColor="text1"/>
                <w:sz w:val="20"/>
                <w:szCs w:val="20"/>
                <w:lang w:val="en-IN" w:eastAsia="en-IN"/>
              </w:rPr>
            </w:pPr>
            <w:r>
              <w:rPr>
                <w:rFonts w:ascii="Arial" w:hAnsi="Arial" w:cs="Arial"/>
                <w:bCs/>
                <w:color w:val="000000" w:themeColor="text1"/>
                <w:sz w:val="20"/>
                <w:szCs w:val="20"/>
                <w:lang w:val="en-IN" w:eastAsia="en-IN"/>
              </w:rPr>
              <w:t>3</w:t>
            </w:r>
          </w:p>
        </w:tc>
        <w:tc>
          <w:tcPr>
            <w:tcW w:w="2244" w:type="dxa"/>
            <w:gridSpan w:val="2"/>
            <w:tcBorders>
              <w:top w:val="single" w:sz="4" w:space="0" w:color="auto"/>
              <w:bottom w:val="single" w:sz="4" w:space="0" w:color="auto"/>
            </w:tcBorders>
            <w:vAlign w:val="center"/>
          </w:tcPr>
          <w:p w14:paraId="0FCBE3FC"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TLC(×10</w:t>
            </w:r>
            <w:r>
              <w:rPr>
                <w:rFonts w:ascii="Arial" w:hAnsi="Arial" w:cs="Arial"/>
                <w:color w:val="000000" w:themeColor="text1"/>
                <w:sz w:val="20"/>
                <w:szCs w:val="20"/>
                <w:vertAlign w:val="superscript"/>
                <w:lang w:val="en-IN" w:eastAsia="en-IN"/>
              </w:rPr>
              <w:t>3</w:t>
            </w:r>
            <w:r>
              <w:rPr>
                <w:rFonts w:ascii="Arial" w:hAnsi="Arial" w:cs="Arial"/>
                <w:color w:val="000000" w:themeColor="text1"/>
                <w:sz w:val="20"/>
                <w:szCs w:val="20"/>
                <w:lang w:val="en-IN" w:eastAsia="en-IN"/>
              </w:rPr>
              <w:t>/</w:t>
            </w:r>
            <w:proofErr w:type="spellStart"/>
            <w:r>
              <w:rPr>
                <w:rFonts w:ascii="Arial" w:hAnsi="Arial" w:cs="Arial"/>
                <w:color w:val="000000" w:themeColor="text1"/>
                <w:sz w:val="20"/>
                <w:szCs w:val="20"/>
                <w:lang w:val="en-IN" w:eastAsia="en-IN"/>
              </w:rPr>
              <w:t>cmm</w:t>
            </w:r>
            <w:proofErr w:type="spellEnd"/>
            <w:r>
              <w:rPr>
                <w:rFonts w:ascii="Arial" w:hAnsi="Arial" w:cs="Arial"/>
                <w:color w:val="000000" w:themeColor="text1"/>
                <w:sz w:val="20"/>
                <w:szCs w:val="20"/>
                <w:lang w:val="en-IN" w:eastAsia="en-IN"/>
              </w:rPr>
              <w:t>)</w:t>
            </w:r>
          </w:p>
        </w:tc>
        <w:tc>
          <w:tcPr>
            <w:tcW w:w="1701" w:type="dxa"/>
            <w:tcBorders>
              <w:top w:val="single" w:sz="4" w:space="0" w:color="auto"/>
              <w:bottom w:val="single" w:sz="4" w:space="0" w:color="auto"/>
            </w:tcBorders>
            <w:vAlign w:val="center"/>
          </w:tcPr>
          <w:p w14:paraId="1BF5E542"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189 ± 2.91</w:t>
            </w:r>
          </w:p>
        </w:tc>
        <w:tc>
          <w:tcPr>
            <w:tcW w:w="1843" w:type="dxa"/>
            <w:tcBorders>
              <w:top w:val="single" w:sz="4" w:space="0" w:color="auto"/>
              <w:bottom w:val="single" w:sz="4" w:space="0" w:color="auto"/>
            </w:tcBorders>
            <w:vAlign w:val="center"/>
          </w:tcPr>
          <w:p w14:paraId="4368DCFC"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381.85</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15.13</w:t>
            </w:r>
          </w:p>
        </w:tc>
        <w:tc>
          <w:tcPr>
            <w:tcW w:w="1842" w:type="dxa"/>
            <w:tcBorders>
              <w:top w:val="single" w:sz="4" w:space="0" w:color="auto"/>
              <w:bottom w:val="single" w:sz="4" w:space="0" w:color="auto"/>
            </w:tcBorders>
            <w:vAlign w:val="center"/>
          </w:tcPr>
          <w:p w14:paraId="28F27861"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575.8</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10.35</w:t>
            </w:r>
          </w:p>
        </w:tc>
      </w:tr>
      <w:tr w:rsidR="009441E7" w14:paraId="191658B9" w14:textId="77777777">
        <w:trPr>
          <w:trHeight w:val="413"/>
          <w:jc w:val="center"/>
        </w:trPr>
        <w:tc>
          <w:tcPr>
            <w:tcW w:w="1442" w:type="dxa"/>
            <w:vMerge/>
            <w:vAlign w:val="center"/>
          </w:tcPr>
          <w:p w14:paraId="331D9D6D" w14:textId="77777777" w:rsidR="009441E7" w:rsidRDefault="009441E7">
            <w:pPr>
              <w:spacing w:after="0" w:line="360" w:lineRule="auto"/>
              <w:jc w:val="center"/>
              <w:rPr>
                <w:rFonts w:ascii="Arial" w:hAnsi="Arial" w:cs="Arial"/>
                <w:bCs/>
                <w:color w:val="000000" w:themeColor="text1"/>
                <w:sz w:val="20"/>
                <w:szCs w:val="20"/>
                <w:lang w:val="en-IN" w:eastAsia="en-IN"/>
              </w:rPr>
            </w:pPr>
          </w:p>
        </w:tc>
        <w:tc>
          <w:tcPr>
            <w:tcW w:w="2244" w:type="dxa"/>
            <w:gridSpan w:val="2"/>
            <w:tcBorders>
              <w:top w:val="single" w:sz="4" w:space="0" w:color="auto"/>
              <w:bottom w:val="single" w:sz="4" w:space="0" w:color="auto"/>
            </w:tcBorders>
            <w:vAlign w:val="center"/>
          </w:tcPr>
          <w:p w14:paraId="122D24A9" w14:textId="77777777" w:rsidR="009441E7" w:rsidRDefault="00A82308">
            <w:pPr>
              <w:spacing w:after="0" w:line="360" w:lineRule="auto"/>
              <w:jc w:val="center"/>
              <w:rPr>
                <w:rFonts w:ascii="Arial" w:hAnsi="Arial" w:cs="Arial"/>
                <w:color w:val="000000" w:themeColor="text1"/>
                <w:sz w:val="20"/>
                <w:szCs w:val="20"/>
                <w:lang w:val="en-IN" w:eastAsia="en-IN"/>
              </w:rPr>
            </w:pPr>
            <w:proofErr w:type="spellStart"/>
            <w:r>
              <w:rPr>
                <w:rFonts w:ascii="Arial" w:hAnsi="Arial" w:cs="Arial"/>
                <w:color w:val="000000" w:themeColor="text1"/>
                <w:sz w:val="20"/>
                <w:szCs w:val="20"/>
                <w:lang w:val="en-IN" w:eastAsia="en-IN"/>
              </w:rPr>
              <w:t>Leucocrit</w:t>
            </w:r>
            <w:proofErr w:type="spellEnd"/>
            <w:r>
              <w:rPr>
                <w:rFonts w:ascii="Arial" w:hAnsi="Arial" w:cs="Arial"/>
                <w:color w:val="000000" w:themeColor="text1"/>
                <w:sz w:val="20"/>
                <w:szCs w:val="20"/>
                <w:lang w:val="en-IN" w:eastAsia="en-IN"/>
              </w:rPr>
              <w:t xml:space="preserve"> (Lt %)</w:t>
            </w:r>
          </w:p>
        </w:tc>
        <w:tc>
          <w:tcPr>
            <w:tcW w:w="1701" w:type="dxa"/>
            <w:tcBorders>
              <w:top w:val="single" w:sz="4" w:space="0" w:color="auto"/>
              <w:bottom w:val="single" w:sz="4" w:space="0" w:color="auto"/>
            </w:tcBorders>
            <w:vAlign w:val="center"/>
          </w:tcPr>
          <w:p w14:paraId="68E41480"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1.826 ± 0.02</w:t>
            </w:r>
          </w:p>
        </w:tc>
        <w:tc>
          <w:tcPr>
            <w:tcW w:w="1843" w:type="dxa"/>
            <w:tcBorders>
              <w:top w:val="single" w:sz="4" w:space="0" w:color="auto"/>
              <w:bottom w:val="single" w:sz="4" w:space="0" w:color="auto"/>
            </w:tcBorders>
            <w:vAlign w:val="center"/>
          </w:tcPr>
          <w:p w14:paraId="10F359AE"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2.22</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0.03</w:t>
            </w:r>
          </w:p>
        </w:tc>
        <w:tc>
          <w:tcPr>
            <w:tcW w:w="1842" w:type="dxa"/>
            <w:tcBorders>
              <w:top w:val="single" w:sz="4" w:space="0" w:color="auto"/>
              <w:bottom w:val="single" w:sz="4" w:space="0" w:color="auto"/>
            </w:tcBorders>
            <w:vAlign w:val="center"/>
          </w:tcPr>
          <w:p w14:paraId="62C42041"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2.542</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0.02</w:t>
            </w:r>
          </w:p>
        </w:tc>
      </w:tr>
      <w:tr w:rsidR="009441E7" w14:paraId="1D16EB67" w14:textId="77777777">
        <w:trPr>
          <w:trHeight w:val="377"/>
          <w:jc w:val="center"/>
        </w:trPr>
        <w:tc>
          <w:tcPr>
            <w:tcW w:w="1442" w:type="dxa"/>
            <w:vMerge/>
            <w:vAlign w:val="center"/>
          </w:tcPr>
          <w:p w14:paraId="09567565" w14:textId="77777777" w:rsidR="009441E7" w:rsidRDefault="009441E7">
            <w:pPr>
              <w:spacing w:after="0" w:line="360" w:lineRule="auto"/>
              <w:jc w:val="center"/>
              <w:rPr>
                <w:rFonts w:ascii="Arial" w:hAnsi="Arial" w:cs="Arial"/>
                <w:bCs/>
                <w:color w:val="000000" w:themeColor="text1"/>
                <w:sz w:val="20"/>
                <w:szCs w:val="20"/>
                <w:lang w:val="en-IN" w:eastAsia="en-IN"/>
              </w:rPr>
            </w:pPr>
          </w:p>
        </w:tc>
        <w:tc>
          <w:tcPr>
            <w:tcW w:w="1239" w:type="dxa"/>
            <w:vMerge w:val="restart"/>
            <w:tcBorders>
              <w:top w:val="single" w:sz="4" w:space="0" w:color="auto"/>
            </w:tcBorders>
            <w:vAlign w:val="center"/>
          </w:tcPr>
          <w:p w14:paraId="54E26268" w14:textId="77777777" w:rsidR="009441E7" w:rsidRDefault="009441E7">
            <w:pPr>
              <w:spacing w:after="0" w:line="360" w:lineRule="auto"/>
              <w:rPr>
                <w:rFonts w:ascii="Arial" w:hAnsi="Arial" w:cs="Arial"/>
                <w:color w:val="000000" w:themeColor="text1"/>
                <w:sz w:val="20"/>
                <w:szCs w:val="20"/>
                <w:lang w:val="en-IN" w:eastAsia="en-IN"/>
              </w:rPr>
            </w:pPr>
          </w:p>
          <w:p w14:paraId="0BE60AE6"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DWBC %</w:t>
            </w:r>
          </w:p>
          <w:p w14:paraId="133CC83D"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005" w:type="dxa"/>
            <w:tcBorders>
              <w:top w:val="single" w:sz="4" w:space="0" w:color="auto"/>
              <w:bottom w:val="single" w:sz="4" w:space="0" w:color="auto"/>
            </w:tcBorders>
            <w:vAlign w:val="center"/>
          </w:tcPr>
          <w:p w14:paraId="1DDA85DB"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NEU</w:t>
            </w:r>
          </w:p>
        </w:tc>
        <w:tc>
          <w:tcPr>
            <w:tcW w:w="1701" w:type="dxa"/>
            <w:tcBorders>
              <w:top w:val="single" w:sz="4" w:space="0" w:color="auto"/>
              <w:bottom w:val="single" w:sz="4" w:space="0" w:color="auto"/>
            </w:tcBorders>
            <w:vAlign w:val="center"/>
          </w:tcPr>
          <w:p w14:paraId="634DF727"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16.756 ± 0.82</w:t>
            </w:r>
          </w:p>
        </w:tc>
        <w:tc>
          <w:tcPr>
            <w:tcW w:w="1843" w:type="dxa"/>
            <w:tcBorders>
              <w:top w:val="single" w:sz="4" w:space="0" w:color="auto"/>
              <w:bottom w:val="single" w:sz="4" w:space="0" w:color="auto"/>
            </w:tcBorders>
            <w:vAlign w:val="center"/>
          </w:tcPr>
          <w:p w14:paraId="410F6FC8"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24.182</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0.48</w:t>
            </w:r>
          </w:p>
        </w:tc>
        <w:tc>
          <w:tcPr>
            <w:tcW w:w="1842" w:type="dxa"/>
            <w:tcBorders>
              <w:top w:val="single" w:sz="4" w:space="0" w:color="auto"/>
              <w:bottom w:val="single" w:sz="4" w:space="0" w:color="auto"/>
            </w:tcBorders>
            <w:vAlign w:val="center"/>
          </w:tcPr>
          <w:p w14:paraId="0840129E"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27.254</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0.71</w:t>
            </w:r>
          </w:p>
        </w:tc>
      </w:tr>
      <w:tr w:rsidR="009441E7" w14:paraId="09472007" w14:textId="77777777">
        <w:trPr>
          <w:trHeight w:val="468"/>
          <w:jc w:val="center"/>
        </w:trPr>
        <w:tc>
          <w:tcPr>
            <w:tcW w:w="1442" w:type="dxa"/>
            <w:vMerge/>
            <w:vAlign w:val="center"/>
          </w:tcPr>
          <w:p w14:paraId="13518425" w14:textId="77777777" w:rsidR="009441E7" w:rsidRDefault="009441E7">
            <w:pPr>
              <w:spacing w:after="0" w:line="360" w:lineRule="auto"/>
              <w:jc w:val="center"/>
              <w:rPr>
                <w:rFonts w:ascii="Arial" w:hAnsi="Arial" w:cs="Arial"/>
                <w:bCs/>
                <w:color w:val="000000" w:themeColor="text1"/>
                <w:sz w:val="20"/>
                <w:szCs w:val="20"/>
                <w:lang w:val="en-IN" w:eastAsia="en-IN"/>
              </w:rPr>
            </w:pPr>
          </w:p>
        </w:tc>
        <w:tc>
          <w:tcPr>
            <w:tcW w:w="1239" w:type="dxa"/>
            <w:vMerge/>
            <w:vAlign w:val="center"/>
          </w:tcPr>
          <w:p w14:paraId="39473BFC"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005" w:type="dxa"/>
            <w:tcBorders>
              <w:top w:val="single" w:sz="4" w:space="0" w:color="auto"/>
              <w:bottom w:val="single" w:sz="4" w:space="0" w:color="auto"/>
            </w:tcBorders>
            <w:vAlign w:val="center"/>
          </w:tcPr>
          <w:p w14:paraId="7CD50364"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EO</w:t>
            </w:r>
          </w:p>
        </w:tc>
        <w:tc>
          <w:tcPr>
            <w:tcW w:w="1701" w:type="dxa"/>
            <w:tcBorders>
              <w:top w:val="single" w:sz="4" w:space="0" w:color="auto"/>
              <w:bottom w:val="single" w:sz="4" w:space="0" w:color="auto"/>
            </w:tcBorders>
            <w:vAlign w:val="center"/>
          </w:tcPr>
          <w:p w14:paraId="12F01329"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2.226 ± 0.13</w:t>
            </w:r>
          </w:p>
        </w:tc>
        <w:tc>
          <w:tcPr>
            <w:tcW w:w="1843" w:type="dxa"/>
            <w:tcBorders>
              <w:top w:val="single" w:sz="4" w:space="0" w:color="auto"/>
              <w:bottom w:val="single" w:sz="4" w:space="0" w:color="auto"/>
            </w:tcBorders>
            <w:vAlign w:val="center"/>
          </w:tcPr>
          <w:p w14:paraId="1F1BBAE0"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3.062</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0.17</w:t>
            </w:r>
          </w:p>
        </w:tc>
        <w:tc>
          <w:tcPr>
            <w:tcW w:w="1842" w:type="dxa"/>
            <w:tcBorders>
              <w:top w:val="single" w:sz="4" w:space="0" w:color="auto"/>
              <w:bottom w:val="single" w:sz="4" w:space="0" w:color="auto"/>
            </w:tcBorders>
            <w:vAlign w:val="center"/>
          </w:tcPr>
          <w:p w14:paraId="05DCF8F2"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3.4</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0.2</w:t>
            </w:r>
          </w:p>
        </w:tc>
      </w:tr>
      <w:tr w:rsidR="009441E7" w14:paraId="581C4189" w14:textId="77777777">
        <w:trPr>
          <w:trHeight w:val="405"/>
          <w:jc w:val="center"/>
        </w:trPr>
        <w:tc>
          <w:tcPr>
            <w:tcW w:w="1442" w:type="dxa"/>
            <w:vMerge/>
            <w:vAlign w:val="center"/>
          </w:tcPr>
          <w:p w14:paraId="08A4644B" w14:textId="77777777" w:rsidR="009441E7" w:rsidRDefault="009441E7">
            <w:pPr>
              <w:spacing w:after="0" w:line="360" w:lineRule="auto"/>
              <w:jc w:val="center"/>
              <w:rPr>
                <w:rFonts w:ascii="Arial" w:hAnsi="Arial" w:cs="Arial"/>
                <w:bCs/>
                <w:color w:val="000000" w:themeColor="text1"/>
                <w:sz w:val="20"/>
                <w:szCs w:val="20"/>
                <w:lang w:val="en-IN" w:eastAsia="en-IN"/>
              </w:rPr>
            </w:pPr>
          </w:p>
        </w:tc>
        <w:tc>
          <w:tcPr>
            <w:tcW w:w="1239" w:type="dxa"/>
            <w:vMerge/>
            <w:vAlign w:val="center"/>
          </w:tcPr>
          <w:p w14:paraId="25A84A1E"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005" w:type="dxa"/>
            <w:tcBorders>
              <w:top w:val="single" w:sz="4" w:space="0" w:color="auto"/>
              <w:bottom w:val="single" w:sz="4" w:space="0" w:color="auto"/>
            </w:tcBorders>
            <w:vAlign w:val="center"/>
          </w:tcPr>
          <w:p w14:paraId="44303591"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LL</w:t>
            </w:r>
          </w:p>
        </w:tc>
        <w:tc>
          <w:tcPr>
            <w:tcW w:w="1701" w:type="dxa"/>
            <w:tcBorders>
              <w:top w:val="single" w:sz="4" w:space="0" w:color="auto"/>
              <w:bottom w:val="single" w:sz="4" w:space="0" w:color="auto"/>
            </w:tcBorders>
            <w:vAlign w:val="center"/>
          </w:tcPr>
          <w:p w14:paraId="0883DF42"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19.14 ± 1.7</w:t>
            </w:r>
          </w:p>
        </w:tc>
        <w:tc>
          <w:tcPr>
            <w:tcW w:w="1843" w:type="dxa"/>
            <w:tcBorders>
              <w:top w:val="single" w:sz="4" w:space="0" w:color="auto"/>
              <w:bottom w:val="single" w:sz="4" w:space="0" w:color="auto"/>
            </w:tcBorders>
            <w:vAlign w:val="center"/>
          </w:tcPr>
          <w:p w14:paraId="4618A9D0"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14.398</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1.15</w:t>
            </w:r>
          </w:p>
        </w:tc>
        <w:tc>
          <w:tcPr>
            <w:tcW w:w="1842" w:type="dxa"/>
            <w:tcBorders>
              <w:top w:val="single" w:sz="4" w:space="0" w:color="auto"/>
              <w:bottom w:val="single" w:sz="4" w:space="0" w:color="auto"/>
            </w:tcBorders>
            <w:vAlign w:val="center"/>
          </w:tcPr>
          <w:p w14:paraId="3B376B4D"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14.208 ± 0.7</w:t>
            </w:r>
          </w:p>
        </w:tc>
      </w:tr>
      <w:tr w:rsidR="009441E7" w14:paraId="0C21ACFB" w14:textId="77777777">
        <w:trPr>
          <w:trHeight w:val="369"/>
          <w:jc w:val="center"/>
        </w:trPr>
        <w:tc>
          <w:tcPr>
            <w:tcW w:w="1442" w:type="dxa"/>
            <w:vMerge/>
            <w:vAlign w:val="center"/>
          </w:tcPr>
          <w:p w14:paraId="4F0B196F" w14:textId="77777777" w:rsidR="009441E7" w:rsidRDefault="009441E7">
            <w:pPr>
              <w:spacing w:after="0" w:line="360" w:lineRule="auto"/>
              <w:jc w:val="center"/>
              <w:rPr>
                <w:rFonts w:ascii="Arial" w:hAnsi="Arial" w:cs="Arial"/>
                <w:bCs/>
                <w:color w:val="000000" w:themeColor="text1"/>
                <w:sz w:val="20"/>
                <w:szCs w:val="20"/>
                <w:lang w:val="en-IN" w:eastAsia="en-IN"/>
              </w:rPr>
            </w:pPr>
          </w:p>
        </w:tc>
        <w:tc>
          <w:tcPr>
            <w:tcW w:w="1239" w:type="dxa"/>
            <w:vMerge/>
            <w:vAlign w:val="center"/>
          </w:tcPr>
          <w:p w14:paraId="77DB8A0B"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005" w:type="dxa"/>
            <w:tcBorders>
              <w:top w:val="single" w:sz="4" w:space="0" w:color="auto"/>
              <w:bottom w:val="single" w:sz="4" w:space="0" w:color="auto"/>
            </w:tcBorders>
            <w:vAlign w:val="center"/>
          </w:tcPr>
          <w:p w14:paraId="3C4BB637"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SL</w:t>
            </w:r>
          </w:p>
        </w:tc>
        <w:tc>
          <w:tcPr>
            <w:tcW w:w="1701" w:type="dxa"/>
            <w:tcBorders>
              <w:top w:val="single" w:sz="4" w:space="0" w:color="auto"/>
              <w:bottom w:val="single" w:sz="4" w:space="0" w:color="auto"/>
            </w:tcBorders>
            <w:vAlign w:val="center"/>
          </w:tcPr>
          <w:p w14:paraId="3F9A3D50"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59.352 ± 1.28</w:t>
            </w:r>
          </w:p>
        </w:tc>
        <w:tc>
          <w:tcPr>
            <w:tcW w:w="1843" w:type="dxa"/>
            <w:tcBorders>
              <w:top w:val="single" w:sz="4" w:space="0" w:color="auto"/>
              <w:bottom w:val="single" w:sz="4" w:space="0" w:color="auto"/>
            </w:tcBorders>
            <w:vAlign w:val="center"/>
          </w:tcPr>
          <w:p w14:paraId="1B2EFE08"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58.358 ± 1.48</w:t>
            </w:r>
          </w:p>
        </w:tc>
        <w:tc>
          <w:tcPr>
            <w:tcW w:w="1842" w:type="dxa"/>
            <w:tcBorders>
              <w:top w:val="single" w:sz="4" w:space="0" w:color="auto"/>
              <w:bottom w:val="single" w:sz="4" w:space="0" w:color="auto"/>
            </w:tcBorders>
            <w:vAlign w:val="center"/>
          </w:tcPr>
          <w:p w14:paraId="74D435D2"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55.132</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0.28</w:t>
            </w:r>
          </w:p>
        </w:tc>
      </w:tr>
      <w:tr w:rsidR="009441E7" w14:paraId="2B3CA6D6" w14:textId="77777777">
        <w:trPr>
          <w:trHeight w:val="333"/>
          <w:jc w:val="center"/>
        </w:trPr>
        <w:tc>
          <w:tcPr>
            <w:tcW w:w="1442" w:type="dxa"/>
            <w:vMerge/>
            <w:tcBorders>
              <w:bottom w:val="single" w:sz="4" w:space="0" w:color="auto"/>
            </w:tcBorders>
            <w:vAlign w:val="center"/>
          </w:tcPr>
          <w:p w14:paraId="02F5DE0C" w14:textId="77777777" w:rsidR="009441E7" w:rsidRDefault="009441E7">
            <w:pPr>
              <w:spacing w:after="0" w:line="360" w:lineRule="auto"/>
              <w:jc w:val="center"/>
              <w:rPr>
                <w:rFonts w:ascii="Arial" w:hAnsi="Arial" w:cs="Arial"/>
                <w:bCs/>
                <w:color w:val="000000" w:themeColor="text1"/>
                <w:sz w:val="20"/>
                <w:szCs w:val="20"/>
                <w:lang w:val="en-IN" w:eastAsia="en-IN"/>
              </w:rPr>
            </w:pPr>
          </w:p>
        </w:tc>
        <w:tc>
          <w:tcPr>
            <w:tcW w:w="1239" w:type="dxa"/>
            <w:vMerge/>
            <w:tcBorders>
              <w:bottom w:val="single" w:sz="4" w:space="0" w:color="auto"/>
            </w:tcBorders>
            <w:vAlign w:val="center"/>
          </w:tcPr>
          <w:p w14:paraId="2D542310"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005" w:type="dxa"/>
            <w:tcBorders>
              <w:top w:val="single" w:sz="4" w:space="0" w:color="auto"/>
              <w:bottom w:val="single" w:sz="4" w:space="0" w:color="auto"/>
            </w:tcBorders>
            <w:vAlign w:val="center"/>
          </w:tcPr>
          <w:p w14:paraId="0FD1F934"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MO</w:t>
            </w:r>
          </w:p>
        </w:tc>
        <w:tc>
          <w:tcPr>
            <w:tcW w:w="1701" w:type="dxa"/>
            <w:tcBorders>
              <w:top w:val="single" w:sz="4" w:space="0" w:color="auto"/>
              <w:bottom w:val="single" w:sz="4" w:space="0" w:color="auto"/>
            </w:tcBorders>
            <w:vAlign w:val="center"/>
          </w:tcPr>
          <w:p w14:paraId="055208F3"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3.97 ± 1.07</w:t>
            </w:r>
          </w:p>
        </w:tc>
        <w:tc>
          <w:tcPr>
            <w:tcW w:w="1843" w:type="dxa"/>
            <w:tcBorders>
              <w:top w:val="single" w:sz="4" w:space="0" w:color="auto"/>
              <w:bottom w:val="single" w:sz="4" w:space="0" w:color="auto"/>
            </w:tcBorders>
            <w:vAlign w:val="center"/>
          </w:tcPr>
          <w:p w14:paraId="372E0993"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2.89 ± 0.29</w:t>
            </w:r>
          </w:p>
        </w:tc>
        <w:tc>
          <w:tcPr>
            <w:tcW w:w="1842" w:type="dxa"/>
            <w:tcBorders>
              <w:top w:val="single" w:sz="4" w:space="0" w:color="auto"/>
              <w:bottom w:val="single" w:sz="4" w:space="0" w:color="auto"/>
            </w:tcBorders>
            <w:vAlign w:val="center"/>
          </w:tcPr>
          <w:p w14:paraId="7C322830"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2.67 ± 0.44</w:t>
            </w:r>
          </w:p>
        </w:tc>
      </w:tr>
      <w:tr w:rsidR="009441E7" w14:paraId="3072027E" w14:textId="77777777">
        <w:trPr>
          <w:trHeight w:val="411"/>
          <w:jc w:val="center"/>
        </w:trPr>
        <w:tc>
          <w:tcPr>
            <w:tcW w:w="1442" w:type="dxa"/>
            <w:vMerge w:val="restart"/>
            <w:tcBorders>
              <w:top w:val="single" w:sz="4" w:space="0" w:color="auto"/>
            </w:tcBorders>
            <w:vAlign w:val="center"/>
          </w:tcPr>
          <w:p w14:paraId="50D91AB6" w14:textId="77777777" w:rsidR="009441E7" w:rsidRDefault="00A82308">
            <w:pPr>
              <w:spacing w:after="0" w:line="360" w:lineRule="auto"/>
              <w:jc w:val="center"/>
              <w:rPr>
                <w:rFonts w:ascii="Arial" w:hAnsi="Arial" w:cs="Arial"/>
                <w:bCs/>
                <w:color w:val="000000" w:themeColor="text1"/>
                <w:sz w:val="20"/>
                <w:szCs w:val="20"/>
                <w:lang w:val="en-IN" w:eastAsia="en-IN"/>
              </w:rPr>
            </w:pPr>
            <w:r>
              <w:rPr>
                <w:rFonts w:ascii="Arial" w:hAnsi="Arial" w:cs="Arial"/>
                <w:bCs/>
                <w:color w:val="000000" w:themeColor="text1"/>
                <w:sz w:val="20"/>
                <w:szCs w:val="20"/>
                <w:lang w:val="en-IN" w:eastAsia="en-IN"/>
              </w:rPr>
              <w:t>7</w:t>
            </w:r>
          </w:p>
        </w:tc>
        <w:tc>
          <w:tcPr>
            <w:tcW w:w="2244" w:type="dxa"/>
            <w:gridSpan w:val="2"/>
            <w:tcBorders>
              <w:top w:val="single" w:sz="4" w:space="0" w:color="auto"/>
              <w:bottom w:val="single" w:sz="4" w:space="0" w:color="auto"/>
            </w:tcBorders>
            <w:vAlign w:val="center"/>
          </w:tcPr>
          <w:p w14:paraId="33E29016"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TLC(×10</w:t>
            </w:r>
            <w:r>
              <w:rPr>
                <w:rFonts w:ascii="Arial" w:hAnsi="Arial" w:cs="Arial"/>
                <w:color w:val="000000" w:themeColor="text1"/>
                <w:sz w:val="20"/>
                <w:szCs w:val="20"/>
                <w:vertAlign w:val="superscript"/>
                <w:lang w:val="en-IN" w:eastAsia="en-IN"/>
              </w:rPr>
              <w:t>3</w:t>
            </w:r>
            <w:r>
              <w:rPr>
                <w:rFonts w:ascii="Arial" w:hAnsi="Arial" w:cs="Arial"/>
                <w:color w:val="000000" w:themeColor="text1"/>
                <w:sz w:val="20"/>
                <w:szCs w:val="20"/>
                <w:lang w:val="en-IN" w:eastAsia="en-IN"/>
              </w:rPr>
              <w:t>/</w:t>
            </w:r>
            <w:proofErr w:type="spellStart"/>
            <w:r>
              <w:rPr>
                <w:rFonts w:ascii="Arial" w:hAnsi="Arial" w:cs="Arial"/>
                <w:color w:val="000000" w:themeColor="text1"/>
                <w:sz w:val="20"/>
                <w:szCs w:val="20"/>
                <w:lang w:val="en-IN" w:eastAsia="en-IN"/>
              </w:rPr>
              <w:t>cmm</w:t>
            </w:r>
            <w:proofErr w:type="spellEnd"/>
            <w:r>
              <w:rPr>
                <w:rFonts w:ascii="Arial" w:hAnsi="Arial" w:cs="Arial"/>
                <w:color w:val="000000" w:themeColor="text1"/>
                <w:sz w:val="20"/>
                <w:szCs w:val="20"/>
                <w:lang w:val="en-IN" w:eastAsia="en-IN"/>
              </w:rPr>
              <w:t>)</w:t>
            </w:r>
          </w:p>
        </w:tc>
        <w:tc>
          <w:tcPr>
            <w:tcW w:w="1701" w:type="dxa"/>
            <w:tcBorders>
              <w:top w:val="single" w:sz="4" w:space="0" w:color="auto"/>
              <w:bottom w:val="single" w:sz="4" w:space="0" w:color="auto"/>
            </w:tcBorders>
            <w:vAlign w:val="center"/>
          </w:tcPr>
          <w:p w14:paraId="15BE58E9"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249.68 ± 11.89</w:t>
            </w:r>
          </w:p>
        </w:tc>
        <w:tc>
          <w:tcPr>
            <w:tcW w:w="1843" w:type="dxa"/>
            <w:tcBorders>
              <w:top w:val="single" w:sz="4" w:space="0" w:color="auto"/>
              <w:bottom w:val="single" w:sz="4" w:space="0" w:color="auto"/>
            </w:tcBorders>
            <w:vAlign w:val="center"/>
          </w:tcPr>
          <w:p w14:paraId="4265AFF9"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459.9</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7.89</w:t>
            </w:r>
          </w:p>
        </w:tc>
        <w:tc>
          <w:tcPr>
            <w:tcW w:w="1842" w:type="dxa"/>
            <w:tcBorders>
              <w:top w:val="single" w:sz="4" w:space="0" w:color="auto"/>
              <w:bottom w:val="single" w:sz="4" w:space="0" w:color="auto"/>
            </w:tcBorders>
            <w:vAlign w:val="center"/>
          </w:tcPr>
          <w:p w14:paraId="521CA851"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663.84</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7.19</w:t>
            </w:r>
          </w:p>
        </w:tc>
      </w:tr>
      <w:tr w:rsidR="009441E7" w14:paraId="2D91062C" w14:textId="77777777">
        <w:trPr>
          <w:trHeight w:val="375"/>
          <w:jc w:val="center"/>
        </w:trPr>
        <w:tc>
          <w:tcPr>
            <w:tcW w:w="1442" w:type="dxa"/>
            <w:vMerge/>
            <w:vAlign w:val="center"/>
          </w:tcPr>
          <w:p w14:paraId="20D6782A"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2244" w:type="dxa"/>
            <w:gridSpan w:val="2"/>
            <w:tcBorders>
              <w:top w:val="single" w:sz="4" w:space="0" w:color="auto"/>
              <w:bottom w:val="single" w:sz="4" w:space="0" w:color="auto"/>
            </w:tcBorders>
            <w:vAlign w:val="center"/>
          </w:tcPr>
          <w:p w14:paraId="5ECC954F" w14:textId="77777777" w:rsidR="009441E7" w:rsidRDefault="00A82308">
            <w:pPr>
              <w:spacing w:after="0" w:line="360" w:lineRule="auto"/>
              <w:jc w:val="center"/>
              <w:rPr>
                <w:rFonts w:ascii="Arial" w:hAnsi="Arial" w:cs="Arial"/>
                <w:color w:val="000000" w:themeColor="text1"/>
                <w:sz w:val="20"/>
                <w:szCs w:val="20"/>
                <w:lang w:val="en-IN" w:eastAsia="en-IN"/>
              </w:rPr>
            </w:pPr>
            <w:proofErr w:type="spellStart"/>
            <w:r>
              <w:rPr>
                <w:rFonts w:ascii="Arial" w:hAnsi="Arial" w:cs="Arial"/>
                <w:color w:val="000000" w:themeColor="text1"/>
                <w:sz w:val="20"/>
                <w:szCs w:val="20"/>
                <w:lang w:val="en-IN" w:eastAsia="en-IN"/>
              </w:rPr>
              <w:t>Leucocrit</w:t>
            </w:r>
            <w:proofErr w:type="spellEnd"/>
            <w:r>
              <w:rPr>
                <w:rFonts w:ascii="Arial" w:hAnsi="Arial" w:cs="Arial"/>
                <w:color w:val="000000" w:themeColor="text1"/>
                <w:sz w:val="20"/>
                <w:szCs w:val="20"/>
                <w:lang w:val="en-IN" w:eastAsia="en-IN"/>
              </w:rPr>
              <w:t xml:space="preserve"> (Lt %)</w:t>
            </w:r>
          </w:p>
        </w:tc>
        <w:tc>
          <w:tcPr>
            <w:tcW w:w="1701" w:type="dxa"/>
            <w:tcBorders>
              <w:top w:val="single" w:sz="4" w:space="0" w:color="auto"/>
              <w:bottom w:val="single" w:sz="4" w:space="0" w:color="auto"/>
            </w:tcBorders>
            <w:vAlign w:val="center"/>
          </w:tcPr>
          <w:p w14:paraId="6988DE6C"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1.342 ± 0.015</w:t>
            </w:r>
          </w:p>
        </w:tc>
        <w:tc>
          <w:tcPr>
            <w:tcW w:w="1843" w:type="dxa"/>
            <w:tcBorders>
              <w:top w:val="single" w:sz="4" w:space="0" w:color="auto"/>
              <w:bottom w:val="single" w:sz="4" w:space="0" w:color="auto"/>
            </w:tcBorders>
            <w:vAlign w:val="center"/>
          </w:tcPr>
          <w:p w14:paraId="42C9D690"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1.706* ± 0.0081</w:t>
            </w:r>
          </w:p>
        </w:tc>
        <w:tc>
          <w:tcPr>
            <w:tcW w:w="1842" w:type="dxa"/>
            <w:tcBorders>
              <w:top w:val="single" w:sz="4" w:space="0" w:color="auto"/>
              <w:bottom w:val="single" w:sz="4" w:space="0" w:color="auto"/>
            </w:tcBorders>
            <w:vAlign w:val="center"/>
          </w:tcPr>
          <w:p w14:paraId="5439196B"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1.458</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0.015</w:t>
            </w:r>
          </w:p>
        </w:tc>
      </w:tr>
      <w:tr w:rsidR="009441E7" w14:paraId="6B17077E" w14:textId="77777777">
        <w:trPr>
          <w:trHeight w:val="338"/>
          <w:jc w:val="center"/>
        </w:trPr>
        <w:tc>
          <w:tcPr>
            <w:tcW w:w="1442" w:type="dxa"/>
            <w:vMerge/>
            <w:vAlign w:val="center"/>
          </w:tcPr>
          <w:p w14:paraId="2FA699D5"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239" w:type="dxa"/>
            <w:vMerge w:val="restart"/>
            <w:tcBorders>
              <w:top w:val="single" w:sz="4" w:space="0" w:color="auto"/>
            </w:tcBorders>
            <w:vAlign w:val="center"/>
          </w:tcPr>
          <w:p w14:paraId="25683DAC"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DWBC %</w:t>
            </w:r>
          </w:p>
        </w:tc>
        <w:tc>
          <w:tcPr>
            <w:tcW w:w="1005" w:type="dxa"/>
            <w:tcBorders>
              <w:top w:val="single" w:sz="4" w:space="0" w:color="auto"/>
              <w:bottom w:val="single" w:sz="4" w:space="0" w:color="auto"/>
            </w:tcBorders>
            <w:vAlign w:val="center"/>
          </w:tcPr>
          <w:p w14:paraId="2B12B94A"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NEU</w:t>
            </w:r>
          </w:p>
        </w:tc>
        <w:tc>
          <w:tcPr>
            <w:tcW w:w="1701" w:type="dxa"/>
            <w:tcBorders>
              <w:top w:val="single" w:sz="4" w:space="0" w:color="auto"/>
              <w:bottom w:val="single" w:sz="4" w:space="0" w:color="auto"/>
            </w:tcBorders>
            <w:vAlign w:val="center"/>
          </w:tcPr>
          <w:p w14:paraId="085B2281"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12.5 ± 0.57</w:t>
            </w:r>
          </w:p>
        </w:tc>
        <w:tc>
          <w:tcPr>
            <w:tcW w:w="1843" w:type="dxa"/>
            <w:tcBorders>
              <w:top w:val="single" w:sz="4" w:space="0" w:color="auto"/>
              <w:bottom w:val="single" w:sz="4" w:space="0" w:color="auto"/>
            </w:tcBorders>
            <w:vAlign w:val="center"/>
          </w:tcPr>
          <w:p w14:paraId="2B476171"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26.114</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0.75</w:t>
            </w:r>
          </w:p>
        </w:tc>
        <w:tc>
          <w:tcPr>
            <w:tcW w:w="1842" w:type="dxa"/>
            <w:tcBorders>
              <w:top w:val="single" w:sz="4" w:space="0" w:color="auto"/>
              <w:bottom w:val="single" w:sz="4" w:space="0" w:color="auto"/>
            </w:tcBorders>
            <w:vAlign w:val="center"/>
          </w:tcPr>
          <w:p w14:paraId="6C71F6D4"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20.928</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1.89</w:t>
            </w:r>
          </w:p>
        </w:tc>
      </w:tr>
      <w:tr w:rsidR="009441E7" w14:paraId="2B749629" w14:textId="77777777">
        <w:trPr>
          <w:trHeight w:val="416"/>
          <w:jc w:val="center"/>
        </w:trPr>
        <w:tc>
          <w:tcPr>
            <w:tcW w:w="1442" w:type="dxa"/>
            <w:vMerge/>
            <w:vAlign w:val="center"/>
          </w:tcPr>
          <w:p w14:paraId="6D875CF0"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239" w:type="dxa"/>
            <w:vMerge/>
            <w:vAlign w:val="center"/>
          </w:tcPr>
          <w:p w14:paraId="7D05603D"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005" w:type="dxa"/>
            <w:tcBorders>
              <w:top w:val="single" w:sz="4" w:space="0" w:color="auto"/>
              <w:bottom w:val="single" w:sz="4" w:space="0" w:color="auto"/>
            </w:tcBorders>
            <w:vAlign w:val="center"/>
          </w:tcPr>
          <w:p w14:paraId="524A0A81"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EO</w:t>
            </w:r>
          </w:p>
        </w:tc>
        <w:tc>
          <w:tcPr>
            <w:tcW w:w="1701" w:type="dxa"/>
            <w:tcBorders>
              <w:top w:val="single" w:sz="4" w:space="0" w:color="auto"/>
              <w:bottom w:val="single" w:sz="4" w:space="0" w:color="auto"/>
            </w:tcBorders>
            <w:vAlign w:val="center"/>
          </w:tcPr>
          <w:p w14:paraId="7D81EAEC"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1.652 ± 0.09</w:t>
            </w:r>
          </w:p>
        </w:tc>
        <w:tc>
          <w:tcPr>
            <w:tcW w:w="1843" w:type="dxa"/>
            <w:tcBorders>
              <w:top w:val="single" w:sz="4" w:space="0" w:color="auto"/>
              <w:bottom w:val="single" w:sz="4" w:space="0" w:color="auto"/>
            </w:tcBorders>
            <w:vAlign w:val="center"/>
          </w:tcPr>
          <w:p w14:paraId="7C1E6DCC"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2.504</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0.28</w:t>
            </w:r>
          </w:p>
        </w:tc>
        <w:tc>
          <w:tcPr>
            <w:tcW w:w="1842" w:type="dxa"/>
            <w:tcBorders>
              <w:top w:val="single" w:sz="4" w:space="0" w:color="auto"/>
              <w:bottom w:val="single" w:sz="4" w:space="0" w:color="auto"/>
            </w:tcBorders>
            <w:vAlign w:val="center"/>
          </w:tcPr>
          <w:p w14:paraId="366713EF"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2.628</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0.18</w:t>
            </w:r>
          </w:p>
        </w:tc>
      </w:tr>
      <w:tr w:rsidR="009441E7" w14:paraId="0A201DBE" w14:textId="77777777">
        <w:trPr>
          <w:trHeight w:val="367"/>
          <w:jc w:val="center"/>
        </w:trPr>
        <w:tc>
          <w:tcPr>
            <w:tcW w:w="1442" w:type="dxa"/>
            <w:vMerge/>
            <w:vAlign w:val="center"/>
          </w:tcPr>
          <w:p w14:paraId="32B170AC"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239" w:type="dxa"/>
            <w:vMerge/>
            <w:vAlign w:val="center"/>
          </w:tcPr>
          <w:p w14:paraId="5C3C3ECA"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005" w:type="dxa"/>
            <w:tcBorders>
              <w:top w:val="single" w:sz="4" w:space="0" w:color="auto"/>
              <w:bottom w:val="single" w:sz="4" w:space="0" w:color="auto"/>
            </w:tcBorders>
            <w:vAlign w:val="center"/>
          </w:tcPr>
          <w:p w14:paraId="0E41B017"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LL</w:t>
            </w:r>
          </w:p>
        </w:tc>
        <w:tc>
          <w:tcPr>
            <w:tcW w:w="1701" w:type="dxa"/>
            <w:tcBorders>
              <w:top w:val="single" w:sz="4" w:space="0" w:color="auto"/>
              <w:bottom w:val="single" w:sz="4" w:space="0" w:color="auto"/>
            </w:tcBorders>
            <w:vAlign w:val="center"/>
          </w:tcPr>
          <w:p w14:paraId="090D1AA1"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9.872 ± 0.43</w:t>
            </w:r>
          </w:p>
        </w:tc>
        <w:tc>
          <w:tcPr>
            <w:tcW w:w="1843" w:type="dxa"/>
            <w:tcBorders>
              <w:top w:val="single" w:sz="4" w:space="0" w:color="auto"/>
              <w:bottom w:val="single" w:sz="4" w:space="0" w:color="auto"/>
            </w:tcBorders>
            <w:vAlign w:val="center"/>
          </w:tcPr>
          <w:p w14:paraId="56C355C6"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14.246</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0.71</w:t>
            </w:r>
          </w:p>
        </w:tc>
        <w:tc>
          <w:tcPr>
            <w:tcW w:w="1842" w:type="dxa"/>
            <w:tcBorders>
              <w:top w:val="single" w:sz="4" w:space="0" w:color="auto"/>
              <w:bottom w:val="single" w:sz="4" w:space="0" w:color="auto"/>
            </w:tcBorders>
            <w:vAlign w:val="center"/>
          </w:tcPr>
          <w:p w14:paraId="1EBE6B1E"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9.5774 ± 0.34</w:t>
            </w:r>
          </w:p>
        </w:tc>
      </w:tr>
      <w:tr w:rsidR="009441E7" w14:paraId="050B8E78" w14:textId="77777777">
        <w:trPr>
          <w:trHeight w:val="317"/>
          <w:jc w:val="center"/>
        </w:trPr>
        <w:tc>
          <w:tcPr>
            <w:tcW w:w="1442" w:type="dxa"/>
            <w:vMerge/>
            <w:vAlign w:val="center"/>
          </w:tcPr>
          <w:p w14:paraId="0D21AC36"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239" w:type="dxa"/>
            <w:vMerge/>
            <w:vAlign w:val="center"/>
          </w:tcPr>
          <w:p w14:paraId="5FD85135"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005" w:type="dxa"/>
            <w:tcBorders>
              <w:top w:val="single" w:sz="4" w:space="0" w:color="auto"/>
              <w:bottom w:val="single" w:sz="4" w:space="0" w:color="auto"/>
            </w:tcBorders>
            <w:vAlign w:val="center"/>
          </w:tcPr>
          <w:p w14:paraId="08B043EF"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SL</w:t>
            </w:r>
          </w:p>
        </w:tc>
        <w:tc>
          <w:tcPr>
            <w:tcW w:w="1701" w:type="dxa"/>
            <w:tcBorders>
              <w:top w:val="single" w:sz="4" w:space="0" w:color="auto"/>
              <w:bottom w:val="single" w:sz="4" w:space="0" w:color="auto"/>
            </w:tcBorders>
            <w:vAlign w:val="center"/>
          </w:tcPr>
          <w:p w14:paraId="6D2AEDF4"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72.97 ± 1.27</w:t>
            </w:r>
          </w:p>
        </w:tc>
        <w:tc>
          <w:tcPr>
            <w:tcW w:w="1843" w:type="dxa"/>
            <w:tcBorders>
              <w:top w:val="single" w:sz="4" w:space="0" w:color="auto"/>
              <w:bottom w:val="single" w:sz="4" w:space="0" w:color="auto"/>
            </w:tcBorders>
            <w:vAlign w:val="center"/>
          </w:tcPr>
          <w:p w14:paraId="22F7AA72"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57.132</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0.98</w:t>
            </w:r>
          </w:p>
        </w:tc>
        <w:tc>
          <w:tcPr>
            <w:tcW w:w="1842" w:type="dxa"/>
            <w:tcBorders>
              <w:top w:val="single" w:sz="4" w:space="0" w:color="auto"/>
              <w:bottom w:val="single" w:sz="4" w:space="0" w:color="auto"/>
            </w:tcBorders>
            <w:vAlign w:val="center"/>
          </w:tcPr>
          <w:p w14:paraId="1252942F" w14:textId="77777777" w:rsidR="009441E7" w:rsidRDefault="00A82308">
            <w:pPr>
              <w:spacing w:after="0" w:line="360" w:lineRule="auto"/>
              <w:jc w:val="center"/>
              <w:rPr>
                <w:rFonts w:ascii="Arial" w:hAnsi="Arial" w:cs="Arial"/>
                <w:color w:val="000000" w:themeColor="text1"/>
                <w:sz w:val="20"/>
                <w:szCs w:val="20"/>
                <w:vertAlign w:val="superscript"/>
                <w:lang w:val="en-IN" w:eastAsia="en-IN"/>
              </w:rPr>
            </w:pPr>
            <w:r>
              <w:rPr>
                <w:rFonts w:ascii="Arial" w:hAnsi="Arial" w:cs="Arial"/>
                <w:color w:val="000000" w:themeColor="text1"/>
                <w:sz w:val="20"/>
                <w:szCs w:val="20"/>
                <w:lang w:val="en-IN" w:eastAsia="en-IN"/>
              </w:rPr>
              <w:t>64.792</w:t>
            </w:r>
            <w:r>
              <w:rPr>
                <w:rFonts w:ascii="Arial" w:hAnsi="Arial" w:cs="Arial"/>
                <w:color w:val="000000" w:themeColor="text1"/>
                <w:sz w:val="20"/>
                <w:szCs w:val="20"/>
                <w:vertAlign w:val="superscript"/>
                <w:lang w:val="en-IN" w:eastAsia="en-IN"/>
              </w:rPr>
              <w:t xml:space="preserve">* </w:t>
            </w:r>
            <w:r>
              <w:rPr>
                <w:rFonts w:ascii="Arial" w:hAnsi="Arial" w:cs="Arial"/>
                <w:color w:val="000000" w:themeColor="text1"/>
                <w:sz w:val="20"/>
                <w:szCs w:val="20"/>
                <w:lang w:val="en-IN" w:eastAsia="en-IN"/>
              </w:rPr>
              <w:t>± 1.77</w:t>
            </w:r>
          </w:p>
        </w:tc>
      </w:tr>
      <w:tr w:rsidR="009441E7" w14:paraId="4EB41D06" w14:textId="77777777">
        <w:trPr>
          <w:trHeight w:val="423"/>
          <w:jc w:val="center"/>
        </w:trPr>
        <w:tc>
          <w:tcPr>
            <w:tcW w:w="1442" w:type="dxa"/>
            <w:vMerge/>
            <w:tcBorders>
              <w:bottom w:val="single" w:sz="4" w:space="0" w:color="auto"/>
            </w:tcBorders>
            <w:vAlign w:val="center"/>
          </w:tcPr>
          <w:p w14:paraId="27653855"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239" w:type="dxa"/>
            <w:vMerge/>
            <w:tcBorders>
              <w:bottom w:val="single" w:sz="4" w:space="0" w:color="auto"/>
            </w:tcBorders>
            <w:vAlign w:val="center"/>
          </w:tcPr>
          <w:p w14:paraId="712EEB32" w14:textId="77777777" w:rsidR="009441E7" w:rsidRDefault="009441E7">
            <w:pPr>
              <w:spacing w:after="0" w:line="360" w:lineRule="auto"/>
              <w:jc w:val="center"/>
              <w:rPr>
                <w:rFonts w:ascii="Arial" w:hAnsi="Arial" w:cs="Arial"/>
                <w:color w:val="000000" w:themeColor="text1"/>
                <w:sz w:val="20"/>
                <w:szCs w:val="20"/>
                <w:lang w:val="en-IN" w:eastAsia="en-IN"/>
              </w:rPr>
            </w:pPr>
          </w:p>
        </w:tc>
        <w:tc>
          <w:tcPr>
            <w:tcW w:w="1005" w:type="dxa"/>
            <w:tcBorders>
              <w:top w:val="single" w:sz="4" w:space="0" w:color="auto"/>
              <w:bottom w:val="single" w:sz="4" w:space="0" w:color="auto"/>
            </w:tcBorders>
            <w:vAlign w:val="center"/>
          </w:tcPr>
          <w:p w14:paraId="3001C098"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MO</w:t>
            </w:r>
          </w:p>
        </w:tc>
        <w:tc>
          <w:tcPr>
            <w:tcW w:w="1701" w:type="dxa"/>
            <w:tcBorders>
              <w:top w:val="single" w:sz="4" w:space="0" w:color="auto"/>
              <w:bottom w:val="single" w:sz="4" w:space="0" w:color="auto"/>
            </w:tcBorders>
            <w:vAlign w:val="center"/>
          </w:tcPr>
          <w:p w14:paraId="4E46628E"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6.80 ± 1.09</w:t>
            </w:r>
          </w:p>
        </w:tc>
        <w:tc>
          <w:tcPr>
            <w:tcW w:w="1843" w:type="dxa"/>
            <w:tcBorders>
              <w:top w:val="single" w:sz="4" w:space="0" w:color="auto"/>
              <w:bottom w:val="single" w:sz="4" w:space="0" w:color="auto"/>
            </w:tcBorders>
            <w:vAlign w:val="center"/>
          </w:tcPr>
          <w:p w14:paraId="7D3FCB88"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3.66 ± 0.57</w:t>
            </w:r>
          </w:p>
        </w:tc>
        <w:tc>
          <w:tcPr>
            <w:tcW w:w="1842" w:type="dxa"/>
            <w:tcBorders>
              <w:top w:val="single" w:sz="4" w:space="0" w:color="auto"/>
              <w:bottom w:val="single" w:sz="4" w:space="0" w:color="auto"/>
            </w:tcBorders>
            <w:vAlign w:val="center"/>
          </w:tcPr>
          <w:p w14:paraId="13701A78" w14:textId="77777777" w:rsidR="009441E7" w:rsidRDefault="00A82308">
            <w:pPr>
              <w:spacing w:after="0" w:line="360" w:lineRule="auto"/>
              <w:jc w:val="center"/>
              <w:rPr>
                <w:rFonts w:ascii="Arial" w:hAnsi="Arial" w:cs="Arial"/>
                <w:color w:val="000000" w:themeColor="text1"/>
                <w:sz w:val="20"/>
                <w:szCs w:val="20"/>
                <w:lang w:val="en-IN" w:eastAsia="en-IN"/>
              </w:rPr>
            </w:pPr>
            <w:r>
              <w:rPr>
                <w:rFonts w:ascii="Arial" w:hAnsi="Arial" w:cs="Arial"/>
                <w:color w:val="000000" w:themeColor="text1"/>
                <w:sz w:val="20"/>
                <w:szCs w:val="20"/>
                <w:lang w:val="en-IN" w:eastAsia="en-IN"/>
              </w:rPr>
              <w:t>2.89 ± 0.29</w:t>
            </w:r>
          </w:p>
        </w:tc>
      </w:tr>
    </w:tbl>
    <w:p w14:paraId="6ECA4831" w14:textId="77777777" w:rsidR="009441E7" w:rsidRDefault="009441E7">
      <w:pPr>
        <w:spacing w:line="360" w:lineRule="auto"/>
        <w:jc w:val="both"/>
        <w:rPr>
          <w:rFonts w:ascii="Arial" w:hAnsi="Arial" w:cs="Arial"/>
          <w:sz w:val="20"/>
          <w:szCs w:val="20"/>
        </w:rPr>
      </w:pPr>
    </w:p>
    <w:p w14:paraId="614077E9" w14:textId="77777777" w:rsidR="009441E7" w:rsidRDefault="00A82308">
      <w:pPr>
        <w:spacing w:line="360" w:lineRule="auto"/>
        <w:jc w:val="both"/>
        <w:rPr>
          <w:rFonts w:ascii="Arial" w:hAnsi="Arial" w:cs="Arial"/>
          <w:sz w:val="20"/>
          <w:szCs w:val="20"/>
        </w:rPr>
      </w:pPr>
      <w:r>
        <w:rPr>
          <w:rFonts w:ascii="Arial" w:hAnsi="Arial" w:cs="Arial"/>
          <w:sz w:val="20"/>
          <w:szCs w:val="20"/>
        </w:rPr>
        <w:t>Neutrophil and eosinophil percentages showed a significant increase in most treated groups compared with the control, suggesting activation of immune responses under lead-induced stress. However, a decline in neutrophil percentage was observed in the 30 mg/L group after 7 days of exposure when compared with the 3-day exposure group. Large and small lymphocytes exhibited variable responses following lead nitrate exposure. Large lymphocytes showed a significant decrease in the 15 mg/L group on day 3, whereas a significant increase was observed in the same group on day 7 compared to the control. Small lymphocytes decreased significantly in the 30 mg/L group on day 3 and in both treated groups on day 7. Monocyte percentages were reduced in all treated groups relative to the control, consistent with previous reports in toxicant-exposed fishes (</w:t>
      </w:r>
      <w:proofErr w:type="spellStart"/>
      <w:r>
        <w:rPr>
          <w:rFonts w:ascii="Arial" w:hAnsi="Arial" w:cs="Arial"/>
          <w:sz w:val="20"/>
          <w:szCs w:val="20"/>
        </w:rPr>
        <w:t>Ghiasi</w:t>
      </w:r>
      <w:proofErr w:type="spellEnd"/>
      <w:r>
        <w:rPr>
          <w:rFonts w:ascii="Arial" w:hAnsi="Arial" w:cs="Arial"/>
          <w:sz w:val="20"/>
          <w:szCs w:val="20"/>
        </w:rPr>
        <w:t xml:space="preserve"> et al., 2010; Soni et al., 2018). Since neutrophils, lymphocytes, and monocytes are involved in immune </w:t>
      </w:r>
      <w:proofErr w:type="spellStart"/>
      <w:r>
        <w:rPr>
          <w:rFonts w:ascii="Arial" w:hAnsi="Arial" w:cs="Arial"/>
          <w:sz w:val="20"/>
          <w:szCs w:val="20"/>
        </w:rPr>
        <w:t>defence</w:t>
      </w:r>
      <w:proofErr w:type="spellEnd"/>
      <w:r>
        <w:rPr>
          <w:rFonts w:ascii="Arial" w:hAnsi="Arial" w:cs="Arial"/>
          <w:sz w:val="20"/>
          <w:szCs w:val="20"/>
        </w:rPr>
        <w:t>, antigen response, phagocytosis, and antibody production, the observed changes may indicate immunological stress and physiological adaptation following lead nitrate exposure (Wedemeyer 1981; Gross and Siegel 1983).</w:t>
      </w:r>
    </w:p>
    <w:p w14:paraId="01450615" w14:textId="77777777" w:rsidR="009441E7" w:rsidRDefault="009441E7">
      <w:pPr>
        <w:spacing w:line="360" w:lineRule="auto"/>
        <w:jc w:val="both"/>
        <w:rPr>
          <w:rFonts w:ascii="Times New Roman" w:eastAsiaTheme="minorEastAsia" w:hAnsi="Times New Roman" w:cs="Times New Roman"/>
          <w:kern w:val="0"/>
          <w:sz w:val="24"/>
          <w:szCs w:val="24"/>
          <w:lang w:val="en-IN" w:eastAsia="en-IN"/>
        </w:rPr>
      </w:pPr>
    </w:p>
    <w:p w14:paraId="5006FE56" w14:textId="77777777" w:rsidR="009441E7" w:rsidRDefault="00A82308">
      <w:pPr>
        <w:spacing w:after="160" w:line="360" w:lineRule="auto"/>
        <w:jc w:val="both"/>
        <w:rPr>
          <w:rFonts w:ascii="Arial" w:eastAsia="Century Gothic" w:hAnsi="Arial" w:cs="Arial"/>
          <w:b/>
          <w:bCs/>
        </w:rPr>
      </w:pPr>
      <w:r>
        <w:rPr>
          <w:rFonts w:ascii="Arial" w:eastAsia="Century Gothic" w:hAnsi="Arial" w:cs="Arial"/>
          <w:b/>
          <w:bCs/>
        </w:rPr>
        <w:t>4.3 Histopathological analysis</w:t>
      </w:r>
    </w:p>
    <w:p w14:paraId="3758179D" w14:textId="77777777" w:rsidR="009441E7" w:rsidRDefault="00A82308">
      <w:pPr>
        <w:spacing w:after="160" w:line="360" w:lineRule="auto"/>
        <w:jc w:val="both"/>
        <w:rPr>
          <w:rFonts w:ascii="Arial" w:eastAsia="Century Gothic" w:hAnsi="Arial" w:cs="Arial"/>
          <w:b/>
          <w:bCs/>
          <w:sz w:val="20"/>
          <w:szCs w:val="20"/>
        </w:rPr>
      </w:pPr>
      <w:r>
        <w:rPr>
          <w:rFonts w:ascii="Arial" w:eastAsia="Century Gothic" w:hAnsi="Arial" w:cs="Arial"/>
          <w:b/>
          <w:bCs/>
          <w:sz w:val="20"/>
          <w:szCs w:val="20"/>
        </w:rPr>
        <w:lastRenderedPageBreak/>
        <w:t>4.3.1 Histopathology of Kidney</w:t>
      </w:r>
    </w:p>
    <w:p w14:paraId="498EB654" w14:textId="77777777" w:rsidR="009441E7" w:rsidRDefault="00A82308">
      <w:pPr>
        <w:spacing w:after="160" w:line="360" w:lineRule="auto"/>
        <w:jc w:val="both"/>
        <w:rPr>
          <w:rFonts w:ascii="Arial" w:eastAsia="Century Gothic" w:hAnsi="Arial" w:cs="Arial"/>
          <w:b/>
          <w:bCs/>
          <w:sz w:val="20"/>
          <w:szCs w:val="20"/>
        </w:rPr>
      </w:pPr>
      <w:r>
        <w:rPr>
          <w:rFonts w:ascii="Arial" w:eastAsia="Century Gothic" w:hAnsi="Arial" w:cs="Arial"/>
          <w:sz w:val="20"/>
          <w:szCs w:val="20"/>
        </w:rPr>
        <w:t xml:space="preserve">The kidneys of fish play an important role in maintaining osmotic homeostasis. Moreover, renal tissues receive large volumes of blood and serve as a major route of excretion for metabolites of various xenobiotics. Because renal tissues are continuously exposed to toxic chemicals, the risk of effects is high (Myers </w:t>
      </w:r>
      <w:r>
        <w:rPr>
          <w:rFonts w:ascii="Arial" w:eastAsia="Century Gothic" w:hAnsi="Arial" w:cs="Arial"/>
          <w:i/>
          <w:iCs/>
          <w:sz w:val="20"/>
          <w:szCs w:val="20"/>
        </w:rPr>
        <w:t>et al.</w:t>
      </w:r>
      <w:r>
        <w:rPr>
          <w:rFonts w:ascii="Arial" w:eastAsia="Century Gothic" w:hAnsi="Arial" w:cs="Arial"/>
          <w:sz w:val="20"/>
          <w:szCs w:val="20"/>
        </w:rPr>
        <w:t xml:space="preserve"> 1993). In the control group, </w:t>
      </w:r>
      <w:r>
        <w:rPr>
          <w:rFonts w:ascii="Arial" w:eastAsia="SimSun" w:hAnsi="Arial" w:cs="Arial"/>
          <w:kern w:val="0"/>
          <w:sz w:val="20"/>
          <w:szCs w:val="20"/>
          <w:lang w:val="en-IN" w:eastAsia="en-IN"/>
        </w:rPr>
        <w:t>kidney histology revealed</w:t>
      </w:r>
      <w:r>
        <w:rPr>
          <w:rFonts w:ascii="Arial" w:eastAsia="Century Gothic" w:hAnsi="Arial" w:cs="Arial"/>
          <w:sz w:val="20"/>
          <w:szCs w:val="20"/>
        </w:rPr>
        <w:t xml:space="preserve"> intact renal corpuscles with well-vascularized glomeruli, renal tubules, and hematopoietic cells (Fig. 1A). </w:t>
      </w:r>
      <w:r>
        <w:rPr>
          <w:rFonts w:ascii="Arial" w:eastAsia="SimSun" w:hAnsi="Arial" w:cs="Arial"/>
          <w:kern w:val="0"/>
          <w:sz w:val="20"/>
          <w:szCs w:val="20"/>
          <w:lang w:val="en-IN" w:eastAsia="en-IN"/>
        </w:rPr>
        <w:t xml:space="preserve">The renal tubules were lined predominantly by cuboidal </w:t>
      </w:r>
      <w:r>
        <w:rPr>
          <w:rFonts w:ascii="Arial" w:eastAsia="SimSun" w:hAnsi="Arial" w:cs="Arial"/>
          <w:kern w:val="0"/>
          <w:sz w:val="20"/>
          <w:szCs w:val="20"/>
          <w:lang w:eastAsia="en-IN"/>
        </w:rPr>
        <w:t>and</w:t>
      </w:r>
      <w:r>
        <w:rPr>
          <w:rFonts w:ascii="Arial" w:eastAsia="SimSun" w:hAnsi="Arial" w:cs="Arial"/>
          <w:kern w:val="0"/>
          <w:sz w:val="20"/>
          <w:szCs w:val="20"/>
          <w:lang w:val="en-IN" w:eastAsia="en-IN"/>
        </w:rPr>
        <w:t xml:space="preserve"> columnar epithelial cells and appeared </w:t>
      </w:r>
      <w:r>
        <w:rPr>
          <w:rFonts w:ascii="Arial" w:eastAsia="Century Gothic" w:hAnsi="Arial" w:cs="Arial"/>
          <w:sz w:val="20"/>
          <w:szCs w:val="20"/>
        </w:rPr>
        <w:t>oval or spherical</w:t>
      </w:r>
      <w:r>
        <w:rPr>
          <w:rFonts w:ascii="Arial" w:eastAsia="SimSun" w:hAnsi="Arial" w:cs="Arial"/>
          <w:kern w:val="0"/>
          <w:sz w:val="20"/>
          <w:szCs w:val="20"/>
          <w:lang w:val="en-IN" w:eastAsia="en-IN"/>
        </w:rPr>
        <w:t xml:space="preserve"> in transverse sections. Exposure to 15 mg/L lead nitrate for 7 days induced mild </w:t>
      </w:r>
      <w:proofErr w:type="spellStart"/>
      <w:r>
        <w:rPr>
          <w:rFonts w:ascii="Arial" w:eastAsia="SimSun" w:hAnsi="Arial" w:cs="Arial"/>
          <w:kern w:val="0"/>
          <w:sz w:val="20"/>
          <w:szCs w:val="20"/>
          <w:lang w:val="en-IN" w:eastAsia="en-IN"/>
        </w:rPr>
        <w:t>nephropathological</w:t>
      </w:r>
      <w:proofErr w:type="spellEnd"/>
      <w:r>
        <w:rPr>
          <w:rFonts w:ascii="Arial" w:eastAsia="SimSun" w:hAnsi="Arial" w:cs="Arial"/>
          <w:kern w:val="0"/>
          <w:sz w:val="20"/>
          <w:szCs w:val="20"/>
          <w:lang w:val="en-IN" w:eastAsia="en-IN"/>
        </w:rPr>
        <w:t xml:space="preserve"> alterations, primarily manifested by slight glomerular shrinkage, suggesting the onset of renal impairment (Fig. 1B). </w:t>
      </w:r>
      <w:r>
        <w:rPr>
          <w:rFonts w:ascii="Arial" w:eastAsia="Century Gothic" w:hAnsi="Arial" w:cs="Arial"/>
          <w:sz w:val="20"/>
          <w:szCs w:val="20"/>
        </w:rPr>
        <w:t>Similarly, Singh (2012) reported adverse inputs such as shrinkage of the glomerulus, and dilation of the tubular lumen of common carp (</w:t>
      </w:r>
      <w:r>
        <w:rPr>
          <w:rFonts w:ascii="Arial" w:eastAsia="Century Gothic" w:hAnsi="Arial" w:cs="Arial"/>
          <w:i/>
          <w:iCs/>
          <w:sz w:val="20"/>
          <w:szCs w:val="20"/>
        </w:rPr>
        <w:t>Cyprinus carpio</w:t>
      </w:r>
      <w:r>
        <w:rPr>
          <w:rFonts w:ascii="Arial" w:eastAsia="Century Gothic" w:hAnsi="Arial" w:cs="Arial"/>
          <w:sz w:val="20"/>
          <w:szCs w:val="20"/>
        </w:rPr>
        <w:t xml:space="preserve">) exposed to dimethoate (EC 30%). </w:t>
      </w:r>
      <w:r>
        <w:rPr>
          <w:rFonts w:ascii="Arial" w:eastAsiaTheme="minorEastAsia" w:hAnsi="Arial" w:cs="Arial"/>
          <w:kern w:val="0"/>
          <w:sz w:val="20"/>
          <w:szCs w:val="20"/>
          <w:lang w:val="en-IN" w:eastAsia="en-IN"/>
        </w:rPr>
        <w:t xml:space="preserve">Likewise, Bojarski </w:t>
      </w:r>
      <w:r>
        <w:rPr>
          <w:rFonts w:ascii="Arial" w:eastAsiaTheme="minorEastAsia" w:hAnsi="Arial" w:cs="Arial"/>
          <w:i/>
          <w:kern w:val="0"/>
          <w:sz w:val="20"/>
          <w:szCs w:val="20"/>
          <w:lang w:val="en-IN" w:eastAsia="en-IN"/>
        </w:rPr>
        <w:t>et al.</w:t>
      </w:r>
      <w:r>
        <w:rPr>
          <w:rFonts w:ascii="Arial" w:eastAsiaTheme="minorEastAsia" w:hAnsi="Arial" w:cs="Arial"/>
          <w:kern w:val="0"/>
          <w:sz w:val="20"/>
          <w:szCs w:val="20"/>
          <w:lang w:val="en-IN" w:eastAsia="en-IN"/>
        </w:rPr>
        <w:t xml:space="preserve"> (2026) observed degenerative changes in the renal tubular epithelium of </w:t>
      </w:r>
      <w:r>
        <w:rPr>
          <w:rFonts w:ascii="Arial" w:eastAsiaTheme="minorEastAsia" w:hAnsi="Arial" w:cs="Arial"/>
          <w:i/>
          <w:kern w:val="0"/>
          <w:sz w:val="20"/>
          <w:szCs w:val="20"/>
          <w:lang w:val="en-IN" w:eastAsia="en-IN"/>
        </w:rPr>
        <w:t>Cyprinus carpio</w:t>
      </w:r>
      <w:r>
        <w:rPr>
          <w:rFonts w:ascii="Arial" w:eastAsiaTheme="minorEastAsia" w:hAnsi="Arial" w:cs="Arial"/>
          <w:kern w:val="0"/>
          <w:sz w:val="20"/>
          <w:szCs w:val="20"/>
          <w:lang w:val="en-IN" w:eastAsia="en-IN"/>
        </w:rPr>
        <w:t xml:space="preserve"> following exposure to a </w:t>
      </w:r>
      <w:proofErr w:type="spellStart"/>
      <w:r>
        <w:rPr>
          <w:rFonts w:ascii="Arial" w:eastAsiaTheme="minorEastAsia" w:hAnsi="Arial" w:cs="Arial"/>
          <w:kern w:val="0"/>
          <w:sz w:val="20"/>
          <w:szCs w:val="20"/>
          <w:lang w:val="en-IN" w:eastAsia="en-IN"/>
        </w:rPr>
        <w:t>nicosulfuron</w:t>
      </w:r>
      <w:proofErr w:type="spellEnd"/>
      <w:r>
        <w:rPr>
          <w:rFonts w:ascii="Arial" w:eastAsiaTheme="minorEastAsia" w:hAnsi="Arial" w:cs="Arial"/>
          <w:kern w:val="0"/>
          <w:sz w:val="20"/>
          <w:szCs w:val="20"/>
          <w:lang w:val="en-IN" w:eastAsia="en-IN"/>
        </w:rPr>
        <w:t xml:space="preserve">-based herbicide. </w:t>
      </w:r>
      <w:r>
        <w:rPr>
          <w:rFonts w:ascii="Arial" w:eastAsia="Century Gothic" w:hAnsi="Arial" w:cs="Arial"/>
          <w:sz w:val="20"/>
          <w:szCs w:val="20"/>
        </w:rPr>
        <w:t>Fish exposed to 30 mg/L of lead nitrate for same exposure period exhibited more severe renal damage. T</w:t>
      </w:r>
      <w:proofErr w:type="spellStart"/>
      <w:r>
        <w:rPr>
          <w:rFonts w:ascii="Arial" w:eastAsia="SimSun" w:hAnsi="Arial" w:cs="Arial"/>
          <w:kern w:val="0"/>
          <w:sz w:val="20"/>
          <w:szCs w:val="20"/>
          <w:lang w:val="en-IN" w:eastAsia="en-IN"/>
        </w:rPr>
        <w:t>hese</w:t>
      </w:r>
      <w:proofErr w:type="spellEnd"/>
      <w:r>
        <w:rPr>
          <w:rFonts w:ascii="Arial" w:eastAsia="SimSun" w:hAnsi="Arial" w:cs="Arial"/>
          <w:kern w:val="0"/>
          <w:sz w:val="20"/>
          <w:szCs w:val="20"/>
          <w:lang w:val="en-IN" w:eastAsia="en-IN"/>
        </w:rPr>
        <w:t xml:space="preserve"> alterations included moderate tubular necrosis and hypertrophy, accompanied by </w:t>
      </w:r>
      <w:r>
        <w:rPr>
          <w:rFonts w:ascii="Arial" w:eastAsia="SimSun" w:hAnsi="Arial" w:cs="Arial"/>
          <w:kern w:val="0"/>
          <w:sz w:val="20"/>
          <w:szCs w:val="20"/>
          <w:lang w:eastAsia="en-IN"/>
        </w:rPr>
        <w:t>pronounced</w:t>
      </w:r>
      <w:r>
        <w:rPr>
          <w:rFonts w:ascii="Arial" w:eastAsia="SimSun" w:hAnsi="Arial" w:cs="Arial"/>
          <w:kern w:val="0"/>
          <w:sz w:val="20"/>
          <w:szCs w:val="20"/>
          <w:lang w:val="en-IN" w:eastAsia="en-IN"/>
        </w:rPr>
        <w:t xml:space="preserve"> glomerular shrinkage (Fig. 1C)</w:t>
      </w:r>
      <w:r>
        <w:rPr>
          <w:rFonts w:ascii="Arial" w:eastAsia="Century Gothic" w:hAnsi="Arial" w:cs="Arial"/>
          <w:sz w:val="20"/>
          <w:szCs w:val="20"/>
        </w:rPr>
        <w:t>.</w:t>
      </w:r>
      <w:r>
        <w:rPr>
          <w:rFonts w:ascii="Arial" w:eastAsia="Times New Roman" w:hAnsi="Arial" w:cs="Arial"/>
          <w:color w:val="000000"/>
          <w:kern w:val="0"/>
          <w:sz w:val="20"/>
          <w:szCs w:val="20"/>
          <w:lang w:val="en-IN" w:eastAsia="en-IN"/>
        </w:rPr>
        <w:t xml:space="preserve"> Fischer-Scherl </w:t>
      </w:r>
      <w:r>
        <w:rPr>
          <w:rFonts w:ascii="Arial" w:eastAsia="Times New Roman" w:hAnsi="Arial" w:cs="Arial"/>
          <w:i/>
          <w:iCs/>
          <w:color w:val="000000"/>
          <w:kern w:val="0"/>
          <w:sz w:val="20"/>
          <w:szCs w:val="20"/>
          <w:lang w:val="en-IN" w:eastAsia="en-IN"/>
        </w:rPr>
        <w:t>et al.</w:t>
      </w:r>
      <w:r>
        <w:rPr>
          <w:rFonts w:ascii="Arial" w:eastAsia="Times New Roman" w:hAnsi="Arial" w:cs="Arial"/>
          <w:color w:val="000000"/>
          <w:kern w:val="0"/>
          <w:sz w:val="20"/>
          <w:szCs w:val="20"/>
          <w:lang w:val="en-IN" w:eastAsia="en-IN"/>
        </w:rPr>
        <w:t xml:space="preserve"> (1991) </w:t>
      </w:r>
      <w:r>
        <w:rPr>
          <w:rFonts w:ascii="Arial" w:eastAsia="Century Gothic" w:hAnsi="Arial" w:cs="Arial"/>
          <w:sz w:val="20"/>
          <w:szCs w:val="20"/>
        </w:rPr>
        <w:t>and</w:t>
      </w:r>
      <w:r>
        <w:rPr>
          <w:rFonts w:ascii="Arial" w:eastAsia="Times New Roman" w:hAnsi="Arial" w:cs="Arial"/>
          <w:kern w:val="0"/>
          <w:sz w:val="20"/>
          <w:szCs w:val="20"/>
          <w:lang w:val="en-IN" w:eastAsia="en-IN"/>
        </w:rPr>
        <w:t xml:space="preserve"> (</w:t>
      </w:r>
      <w:proofErr w:type="spellStart"/>
      <w:r>
        <w:rPr>
          <w:rFonts w:ascii="Arial" w:eastAsia="Times New Roman" w:hAnsi="Arial" w:cs="Arial"/>
          <w:kern w:val="0"/>
          <w:sz w:val="20"/>
          <w:szCs w:val="20"/>
          <w:lang w:val="en-IN" w:eastAsia="en-IN"/>
        </w:rPr>
        <w:t>Neskovic</w:t>
      </w:r>
      <w:proofErr w:type="spellEnd"/>
      <w:r>
        <w:rPr>
          <w:rFonts w:ascii="Arial" w:eastAsia="Times New Roman" w:hAnsi="Arial" w:cs="Arial"/>
          <w:kern w:val="0"/>
          <w:sz w:val="20"/>
          <w:szCs w:val="20"/>
          <w:lang w:val="en-IN" w:eastAsia="en-IN"/>
        </w:rPr>
        <w:t xml:space="preserve"> </w:t>
      </w:r>
      <w:r>
        <w:rPr>
          <w:rFonts w:ascii="Arial" w:eastAsia="Times New Roman" w:hAnsi="Arial" w:cs="Arial"/>
          <w:i/>
          <w:iCs/>
          <w:kern w:val="0"/>
          <w:sz w:val="20"/>
          <w:szCs w:val="20"/>
          <w:lang w:val="en-IN" w:eastAsia="en-IN"/>
        </w:rPr>
        <w:t>et al.</w:t>
      </w:r>
      <w:r>
        <w:rPr>
          <w:rFonts w:ascii="Arial" w:eastAsia="Times New Roman" w:hAnsi="Arial" w:cs="Arial"/>
          <w:kern w:val="0"/>
          <w:sz w:val="20"/>
          <w:szCs w:val="20"/>
          <w:lang w:val="en-IN" w:eastAsia="en-IN"/>
        </w:rPr>
        <w:t xml:space="preserve"> 1993) </w:t>
      </w:r>
      <w:r>
        <w:rPr>
          <w:rFonts w:ascii="Arial" w:eastAsia="Century Gothic" w:hAnsi="Arial" w:cs="Arial"/>
          <w:sz w:val="20"/>
          <w:szCs w:val="20"/>
        </w:rPr>
        <w:t xml:space="preserve">reported shrinkage of glomerulus, damaged and hypertrophied PCT, and loss of </w:t>
      </w:r>
      <w:proofErr w:type="spellStart"/>
      <w:r>
        <w:rPr>
          <w:rFonts w:ascii="Arial" w:eastAsia="Century Gothic" w:hAnsi="Arial" w:cs="Arial"/>
          <w:sz w:val="20"/>
          <w:szCs w:val="20"/>
        </w:rPr>
        <w:t>haematopoietic</w:t>
      </w:r>
      <w:proofErr w:type="spellEnd"/>
      <w:r>
        <w:rPr>
          <w:rFonts w:ascii="Arial" w:eastAsia="Century Gothic" w:hAnsi="Arial" w:cs="Arial"/>
          <w:sz w:val="20"/>
          <w:szCs w:val="20"/>
        </w:rPr>
        <w:t xml:space="preserve"> tissues in kidney after exposure to herbicides. The tubular necrosis and heterotrophy </w:t>
      </w:r>
      <w:proofErr w:type="gramStart"/>
      <w:r>
        <w:rPr>
          <w:rFonts w:ascii="Arial" w:eastAsia="Century Gothic" w:hAnsi="Arial" w:cs="Arial"/>
          <w:sz w:val="20"/>
          <w:szCs w:val="20"/>
        </w:rPr>
        <w:t>was</w:t>
      </w:r>
      <w:proofErr w:type="gramEnd"/>
      <w:r>
        <w:rPr>
          <w:rFonts w:ascii="Arial" w:eastAsia="Century Gothic" w:hAnsi="Arial" w:cs="Arial"/>
          <w:sz w:val="20"/>
          <w:szCs w:val="20"/>
        </w:rPr>
        <w:t xml:space="preserve"> also seen in recent research work with different toxicants (Akram </w:t>
      </w:r>
      <w:r>
        <w:rPr>
          <w:rFonts w:ascii="Arial" w:eastAsia="Century Gothic" w:hAnsi="Arial" w:cs="Arial"/>
          <w:i/>
          <w:sz w:val="20"/>
          <w:szCs w:val="20"/>
        </w:rPr>
        <w:t>et al.</w:t>
      </w:r>
      <w:r>
        <w:rPr>
          <w:rFonts w:ascii="Arial" w:eastAsia="Century Gothic" w:hAnsi="Arial" w:cs="Arial"/>
          <w:sz w:val="20"/>
          <w:szCs w:val="20"/>
        </w:rPr>
        <w:t xml:space="preserve"> 2022, Naseem </w:t>
      </w:r>
      <w:r>
        <w:rPr>
          <w:rFonts w:ascii="Arial" w:eastAsia="Century Gothic" w:hAnsi="Arial" w:cs="Arial"/>
          <w:i/>
          <w:sz w:val="20"/>
          <w:szCs w:val="20"/>
        </w:rPr>
        <w:t>et al.</w:t>
      </w:r>
      <w:r>
        <w:rPr>
          <w:rFonts w:ascii="Arial" w:eastAsia="Century Gothic" w:hAnsi="Arial" w:cs="Arial"/>
          <w:sz w:val="20"/>
          <w:szCs w:val="20"/>
        </w:rPr>
        <w:t xml:space="preserve"> 2022, Trivedi </w:t>
      </w:r>
      <w:r>
        <w:rPr>
          <w:rFonts w:ascii="Arial" w:eastAsia="Century Gothic" w:hAnsi="Arial" w:cs="Arial"/>
          <w:i/>
          <w:sz w:val="20"/>
          <w:szCs w:val="20"/>
        </w:rPr>
        <w:t>et al.</w:t>
      </w:r>
      <w:r>
        <w:rPr>
          <w:rFonts w:ascii="Arial" w:eastAsia="Century Gothic" w:hAnsi="Arial" w:cs="Arial"/>
          <w:sz w:val="20"/>
          <w:szCs w:val="20"/>
        </w:rPr>
        <w:t xml:space="preserve"> 2022). </w:t>
      </w:r>
      <w:r>
        <w:rPr>
          <w:rFonts w:ascii="Arial" w:eastAsia="SimSun" w:hAnsi="Arial" w:cs="Arial"/>
          <w:kern w:val="0"/>
          <w:sz w:val="20"/>
          <w:szCs w:val="20"/>
          <w:lang w:val="en-IN" w:eastAsia="en-IN"/>
        </w:rPr>
        <w:t xml:space="preserve">Degenerative changes were evident in the proximal convoluted tubules (PCT), distal convoluted tubules (DCT), and collecting ducts. Furthermore, a significant reduction in hematopoietic tissue within the </w:t>
      </w:r>
      <w:proofErr w:type="spellStart"/>
      <w:r>
        <w:rPr>
          <w:rFonts w:ascii="Arial" w:eastAsia="SimSun" w:hAnsi="Arial" w:cs="Arial"/>
          <w:kern w:val="0"/>
          <w:sz w:val="20"/>
          <w:szCs w:val="20"/>
          <w:lang w:val="en-IN" w:eastAsia="en-IN"/>
        </w:rPr>
        <w:t>intertubular</w:t>
      </w:r>
      <w:proofErr w:type="spellEnd"/>
      <w:r>
        <w:rPr>
          <w:rFonts w:ascii="Arial" w:eastAsia="SimSun" w:hAnsi="Arial" w:cs="Arial"/>
          <w:kern w:val="0"/>
          <w:sz w:val="20"/>
          <w:szCs w:val="20"/>
          <w:lang w:val="en-IN" w:eastAsia="en-IN"/>
        </w:rPr>
        <w:t xml:space="preserve"> regions was observed, indicating severe disruption of normal renal structure and function.</w:t>
      </w:r>
    </w:p>
    <w:p w14:paraId="02F59B9F" w14:textId="77777777" w:rsidR="009441E7" w:rsidRDefault="00A82308">
      <w:pPr>
        <w:spacing w:after="160" w:line="360" w:lineRule="auto"/>
        <w:jc w:val="both"/>
        <w:rPr>
          <w:rFonts w:ascii="Arial" w:eastAsia="Century Gothic" w:hAnsi="Arial" w:cs="Arial"/>
          <w:b/>
          <w:bCs/>
          <w:sz w:val="20"/>
          <w:szCs w:val="20"/>
        </w:rPr>
      </w:pPr>
      <w:r>
        <w:rPr>
          <w:rFonts w:ascii="Arial" w:eastAsia="Century Gothic" w:hAnsi="Arial" w:cs="Arial"/>
          <w:b/>
          <w:bCs/>
          <w:sz w:val="20"/>
          <w:szCs w:val="20"/>
        </w:rPr>
        <w:t>4.3.2 Histopathology of Liver</w:t>
      </w:r>
    </w:p>
    <w:p w14:paraId="235FD3D8" w14:textId="77777777" w:rsidR="009441E7" w:rsidRDefault="00A82308">
      <w:pPr>
        <w:spacing w:after="160" w:line="360" w:lineRule="auto"/>
        <w:jc w:val="both"/>
        <w:rPr>
          <w:rFonts w:ascii="Arial" w:eastAsia="Century Gothic" w:hAnsi="Arial" w:cs="Arial"/>
          <w:sz w:val="20"/>
          <w:szCs w:val="20"/>
          <w:lang w:val="en-IN"/>
        </w:rPr>
      </w:pPr>
      <w:proofErr w:type="spellStart"/>
      <w:r>
        <w:rPr>
          <w:rFonts w:ascii="Arial" w:eastAsia="Century Gothic" w:hAnsi="Arial" w:cs="Arial"/>
          <w:sz w:val="20"/>
          <w:szCs w:val="20"/>
          <w:lang w:val="en-IN"/>
        </w:rPr>
        <w:t>Thecontrol</w:t>
      </w:r>
      <w:proofErr w:type="spellEnd"/>
      <w:r>
        <w:rPr>
          <w:rFonts w:ascii="Arial" w:eastAsia="Century Gothic" w:hAnsi="Arial" w:cs="Arial"/>
          <w:sz w:val="20"/>
          <w:szCs w:val="20"/>
          <w:lang w:val="en-IN"/>
        </w:rPr>
        <w:t xml:space="preserve"> group exhibited normal hepatic architecture, with well-defined hepatocytes and intact sinusoids (Fig. 2A). </w:t>
      </w:r>
      <w:r>
        <w:rPr>
          <w:rFonts w:ascii="Arial" w:eastAsiaTheme="minorEastAsia" w:hAnsi="Arial" w:cs="Arial"/>
          <w:kern w:val="0"/>
          <w:sz w:val="20"/>
          <w:szCs w:val="20"/>
          <w:lang w:val="en-IN" w:eastAsia="en-IN"/>
        </w:rPr>
        <w:t xml:space="preserve">Histopathological examination of the liver in fish exposed to 15 mg/L lead nitrate for 7 days revealed marked alterations in hepatic architecture, including constriction and congestion of the hepatic sinusoids (Fig. 2B). Comparable </w:t>
      </w:r>
      <w:proofErr w:type="spellStart"/>
      <w:r>
        <w:rPr>
          <w:rFonts w:ascii="Arial" w:eastAsiaTheme="minorEastAsia" w:hAnsi="Arial" w:cs="Arial"/>
          <w:kern w:val="0"/>
          <w:sz w:val="20"/>
          <w:szCs w:val="20"/>
          <w:lang w:val="en-IN" w:eastAsia="en-IN"/>
        </w:rPr>
        <w:t>hepatopathological</w:t>
      </w:r>
      <w:proofErr w:type="spellEnd"/>
      <w:r>
        <w:rPr>
          <w:rFonts w:ascii="Arial" w:eastAsiaTheme="minorEastAsia" w:hAnsi="Arial" w:cs="Arial"/>
          <w:kern w:val="0"/>
          <w:sz w:val="20"/>
          <w:szCs w:val="20"/>
          <w:lang w:val="en-IN" w:eastAsia="en-IN"/>
        </w:rPr>
        <w:t xml:space="preserve"> alterations have been reported in fish exposed to various environmental contaminants. Akram et al. (2022) documented hepatic lesions in bighead carp exposed to different concentrations of triclosan, including congestion, cirrhosis, </w:t>
      </w:r>
      <w:proofErr w:type="spellStart"/>
      <w:r>
        <w:rPr>
          <w:rFonts w:ascii="Arial" w:eastAsiaTheme="minorEastAsia" w:hAnsi="Arial" w:cs="Arial"/>
          <w:kern w:val="0"/>
          <w:sz w:val="20"/>
          <w:szCs w:val="20"/>
          <w:lang w:val="en-IN" w:eastAsia="en-IN"/>
        </w:rPr>
        <w:t>hemorrhage</w:t>
      </w:r>
      <w:proofErr w:type="spellEnd"/>
      <w:r>
        <w:rPr>
          <w:rFonts w:ascii="Arial" w:eastAsiaTheme="minorEastAsia" w:hAnsi="Arial" w:cs="Arial"/>
          <w:kern w:val="0"/>
          <w:sz w:val="20"/>
          <w:szCs w:val="20"/>
          <w:lang w:val="en-IN" w:eastAsia="en-IN"/>
        </w:rPr>
        <w:t xml:space="preserve">, karyorrhexis, karyolysis, nuclear hypertrophy, eccentric nuclei, and </w:t>
      </w:r>
      <w:proofErr w:type="spellStart"/>
      <w:r>
        <w:rPr>
          <w:rFonts w:ascii="Arial" w:eastAsiaTheme="minorEastAsia" w:hAnsi="Arial" w:cs="Arial"/>
          <w:kern w:val="0"/>
          <w:sz w:val="20"/>
          <w:szCs w:val="20"/>
          <w:lang w:val="en-IN" w:eastAsia="en-IN"/>
        </w:rPr>
        <w:t>vacuolar</w:t>
      </w:r>
      <w:proofErr w:type="spellEnd"/>
      <w:r>
        <w:rPr>
          <w:rFonts w:ascii="Arial" w:eastAsiaTheme="minorEastAsia" w:hAnsi="Arial" w:cs="Arial"/>
          <w:kern w:val="0"/>
          <w:sz w:val="20"/>
          <w:szCs w:val="20"/>
          <w:lang w:val="en-IN" w:eastAsia="en-IN"/>
        </w:rPr>
        <w:t xml:space="preserve"> fragmentation. Lead exposure also resulted in blood coagulation within the sinusoidal spaces and fusion of vacuoles, accompanied by degenerative changes in </w:t>
      </w:r>
      <w:proofErr w:type="spellStart"/>
      <w:proofErr w:type="gramStart"/>
      <w:r>
        <w:rPr>
          <w:rFonts w:ascii="Arial" w:eastAsiaTheme="minorEastAsia" w:hAnsi="Arial" w:cs="Arial"/>
          <w:kern w:val="0"/>
          <w:sz w:val="20"/>
          <w:szCs w:val="20"/>
          <w:lang w:val="en-IN" w:eastAsia="en-IN"/>
        </w:rPr>
        <w:t>hepatocytes.Pronounced</w:t>
      </w:r>
      <w:proofErr w:type="spellEnd"/>
      <w:proofErr w:type="gramEnd"/>
      <w:r>
        <w:rPr>
          <w:rFonts w:ascii="Arial" w:eastAsiaTheme="minorEastAsia" w:hAnsi="Arial" w:cs="Arial"/>
          <w:kern w:val="0"/>
          <w:sz w:val="20"/>
          <w:szCs w:val="20"/>
          <w:lang w:val="en-IN" w:eastAsia="en-IN"/>
        </w:rPr>
        <w:t xml:space="preserve"> hepatocellular vacuolization displaced the nuclei toward the cell periphery, indicative of cellular stress (Fig. 2C</w:t>
      </w:r>
      <w:r>
        <w:rPr>
          <w:rFonts w:ascii="Arial" w:eastAsiaTheme="minorEastAsia" w:hAnsi="Arial" w:cs="Arial"/>
          <w:color w:val="000000" w:themeColor="text1"/>
          <w:kern w:val="0"/>
          <w:sz w:val="20"/>
          <w:szCs w:val="20"/>
          <w:lang w:val="en-IN" w:eastAsia="en-IN"/>
        </w:rPr>
        <w:t xml:space="preserve">). Mercuric chloride exposure on </w:t>
      </w:r>
      <w:r>
        <w:rPr>
          <w:rFonts w:ascii="Arial" w:eastAsia="SimSun" w:hAnsi="Arial" w:cs="Arial"/>
          <w:i/>
          <w:kern w:val="0"/>
          <w:sz w:val="20"/>
          <w:szCs w:val="20"/>
          <w:lang w:val="en-IN" w:eastAsia="en-IN"/>
        </w:rPr>
        <w:t>Channa punctatus</w:t>
      </w:r>
      <w:r>
        <w:rPr>
          <w:rFonts w:ascii="Arial" w:eastAsiaTheme="minorEastAsia" w:hAnsi="Arial" w:cs="Arial"/>
          <w:color w:val="000000" w:themeColor="text1"/>
          <w:kern w:val="0"/>
          <w:sz w:val="20"/>
          <w:szCs w:val="20"/>
          <w:lang w:val="en-IN" w:eastAsia="en-IN"/>
        </w:rPr>
        <w:t xml:space="preserve"> also showed </w:t>
      </w:r>
      <w:r>
        <w:rPr>
          <w:rFonts w:ascii="Arial" w:eastAsia="SimSun" w:hAnsi="Arial" w:cs="Arial"/>
          <w:color w:val="000000" w:themeColor="text1"/>
          <w:kern w:val="0"/>
          <w:sz w:val="20"/>
          <w:szCs w:val="20"/>
          <w:lang w:val="en-IN" w:eastAsia="en-IN"/>
        </w:rPr>
        <w:t xml:space="preserve">vacuolization, pyknosis and inflammation to some extent (Trivedi </w:t>
      </w:r>
      <w:r>
        <w:rPr>
          <w:rFonts w:ascii="Arial" w:eastAsia="SimSun" w:hAnsi="Arial" w:cs="Arial"/>
          <w:i/>
          <w:color w:val="000000" w:themeColor="text1"/>
          <w:kern w:val="0"/>
          <w:sz w:val="20"/>
          <w:szCs w:val="20"/>
          <w:lang w:val="en-IN" w:eastAsia="en-IN"/>
        </w:rPr>
        <w:t>et al.</w:t>
      </w:r>
      <w:r>
        <w:rPr>
          <w:rFonts w:ascii="Arial" w:eastAsia="SimSun" w:hAnsi="Arial" w:cs="Arial"/>
          <w:color w:val="000000" w:themeColor="text1"/>
          <w:kern w:val="0"/>
          <w:sz w:val="20"/>
          <w:szCs w:val="20"/>
          <w:lang w:val="en-IN" w:eastAsia="en-IN"/>
        </w:rPr>
        <w:t xml:space="preserve"> 2022).</w:t>
      </w:r>
      <w:r>
        <w:rPr>
          <w:rFonts w:ascii="Arial" w:eastAsiaTheme="minorEastAsia" w:hAnsi="Arial" w:cs="Arial"/>
          <w:color w:val="000000" w:themeColor="text1"/>
          <w:kern w:val="0"/>
          <w:sz w:val="20"/>
          <w:szCs w:val="20"/>
          <w:lang w:val="en-IN" w:eastAsia="en-IN"/>
        </w:rPr>
        <w:t xml:space="preserve"> Similar pathological alterations, including sinusoidal congestion and hepatocellular degeneration, have been reported in fish exposed to lead and other heavy metals, corroborating the </w:t>
      </w:r>
      <w:r>
        <w:rPr>
          <w:rFonts w:ascii="Arial" w:eastAsiaTheme="minorEastAsia" w:hAnsi="Arial" w:cs="Arial"/>
          <w:color w:val="000000" w:themeColor="text1"/>
          <w:kern w:val="0"/>
          <w:sz w:val="20"/>
          <w:szCs w:val="20"/>
          <w:lang w:val="en-IN" w:eastAsia="en-IN"/>
        </w:rPr>
        <w:lastRenderedPageBreak/>
        <w:t xml:space="preserve">present findings (Vinodhini and Narayanan, 2009; </w:t>
      </w:r>
      <w:proofErr w:type="spellStart"/>
      <w:r>
        <w:rPr>
          <w:rFonts w:ascii="Arial" w:eastAsiaTheme="minorEastAsia" w:hAnsi="Arial" w:cs="Arial"/>
          <w:color w:val="000000" w:themeColor="text1"/>
          <w:kern w:val="0"/>
          <w:sz w:val="20"/>
          <w:szCs w:val="20"/>
          <w:lang w:val="en-IN" w:eastAsia="en-IN"/>
        </w:rPr>
        <w:t>Khoshnood</w:t>
      </w:r>
      <w:proofErr w:type="spellEnd"/>
      <w:r>
        <w:rPr>
          <w:rFonts w:ascii="Arial" w:eastAsiaTheme="minorEastAsia" w:hAnsi="Arial" w:cs="Arial"/>
          <w:color w:val="000000" w:themeColor="text1"/>
          <w:kern w:val="0"/>
          <w:sz w:val="20"/>
          <w:szCs w:val="20"/>
          <w:lang w:val="en-IN" w:eastAsia="en-IN"/>
        </w:rPr>
        <w:t xml:space="preserve"> </w:t>
      </w:r>
      <w:r>
        <w:rPr>
          <w:rFonts w:ascii="Arial" w:eastAsiaTheme="minorEastAsia" w:hAnsi="Arial" w:cs="Arial"/>
          <w:i/>
          <w:color w:val="000000" w:themeColor="text1"/>
          <w:kern w:val="0"/>
          <w:sz w:val="20"/>
          <w:szCs w:val="20"/>
          <w:lang w:val="en-IN" w:eastAsia="en-IN"/>
        </w:rPr>
        <w:t>et al.</w:t>
      </w:r>
      <w:r>
        <w:rPr>
          <w:rFonts w:ascii="Arial" w:eastAsiaTheme="minorEastAsia" w:hAnsi="Arial" w:cs="Arial"/>
          <w:color w:val="000000" w:themeColor="text1"/>
          <w:kern w:val="0"/>
          <w:sz w:val="20"/>
          <w:szCs w:val="20"/>
          <w:lang w:val="en-IN" w:eastAsia="en-IN"/>
        </w:rPr>
        <w:t xml:space="preserve"> 2011). </w:t>
      </w:r>
      <w:proofErr w:type="spellStart"/>
      <w:r>
        <w:rPr>
          <w:rFonts w:ascii="Arial" w:eastAsia="SimSun" w:hAnsi="Arial" w:cs="Arial"/>
          <w:color w:val="000000" w:themeColor="text1"/>
          <w:kern w:val="0"/>
          <w:sz w:val="20"/>
          <w:szCs w:val="20"/>
          <w:lang w:val="en-IN" w:eastAsia="en-IN"/>
        </w:rPr>
        <w:t>Theseverity</w:t>
      </w:r>
      <w:proofErr w:type="spellEnd"/>
      <w:r>
        <w:rPr>
          <w:rFonts w:ascii="Arial" w:eastAsia="SimSun" w:hAnsi="Arial" w:cs="Arial"/>
          <w:color w:val="000000" w:themeColor="text1"/>
          <w:kern w:val="0"/>
          <w:sz w:val="20"/>
          <w:szCs w:val="20"/>
          <w:lang w:val="en-IN" w:eastAsia="en-IN"/>
        </w:rPr>
        <w:t xml:space="preserve"> of histopathological alterations increased markedly in fish exposed to 30 mg/L lead nitrate for same exposure period</w:t>
      </w:r>
      <w:r>
        <w:rPr>
          <w:rFonts w:ascii="Arial" w:eastAsia="Century Gothic" w:hAnsi="Arial" w:cs="Arial"/>
          <w:color w:val="000000" w:themeColor="text1"/>
          <w:sz w:val="20"/>
          <w:szCs w:val="20"/>
          <w:lang w:val="en-IN"/>
        </w:rPr>
        <w:t xml:space="preserve">. The </w:t>
      </w:r>
      <w:proofErr w:type="spellStart"/>
      <w:r>
        <w:rPr>
          <w:rFonts w:ascii="Arial" w:eastAsia="Century Gothic" w:hAnsi="Arial" w:cs="Arial"/>
          <w:color w:val="000000" w:themeColor="text1"/>
          <w:sz w:val="20"/>
          <w:szCs w:val="20"/>
          <w:lang w:val="en-IN"/>
        </w:rPr>
        <w:t>hepatocytes</w:t>
      </w:r>
      <w:r>
        <w:rPr>
          <w:rFonts w:ascii="Arial" w:eastAsia="SimSun" w:hAnsi="Arial" w:cs="Arial"/>
          <w:color w:val="000000" w:themeColor="text1"/>
          <w:kern w:val="0"/>
          <w:sz w:val="20"/>
          <w:szCs w:val="20"/>
          <w:lang w:val="en-IN" w:eastAsia="en-IN"/>
        </w:rPr>
        <w:t>exhibited</w:t>
      </w:r>
      <w:proofErr w:type="spellEnd"/>
      <w:r>
        <w:rPr>
          <w:rFonts w:ascii="Arial" w:eastAsia="SimSun" w:hAnsi="Arial" w:cs="Arial"/>
          <w:color w:val="000000" w:themeColor="text1"/>
          <w:kern w:val="0"/>
          <w:sz w:val="20"/>
          <w:szCs w:val="20"/>
          <w:lang w:val="en-IN" w:eastAsia="en-IN"/>
        </w:rPr>
        <w:t xml:space="preserve"> extensive disruption of hepatocellular architecture, characterized by pronounced degeneration of hepatocytes, loss of cellular integrity, and intravascular blood coagulation (Fig. 2D). Extensive coalescence of cytoplasmic vacuoles was observed, resulting in substantial deterioration of the hepatic parenchyma</w:t>
      </w:r>
      <w:r>
        <w:rPr>
          <w:rFonts w:ascii="Arial" w:eastAsia="Century Gothic" w:hAnsi="Arial" w:cs="Arial"/>
          <w:color w:val="000000" w:themeColor="text1"/>
          <w:sz w:val="20"/>
          <w:szCs w:val="20"/>
          <w:lang w:val="en-IN"/>
        </w:rPr>
        <w:t xml:space="preserve"> (Fig. 2D). </w:t>
      </w:r>
      <w:r>
        <w:rPr>
          <w:rFonts w:ascii="Arial" w:eastAsia="SimSun" w:hAnsi="Arial" w:cs="Arial"/>
          <w:color w:val="000000" w:themeColor="text1"/>
          <w:kern w:val="0"/>
          <w:sz w:val="20"/>
          <w:szCs w:val="20"/>
          <w:lang w:val="en-IN" w:eastAsia="en-IN"/>
        </w:rPr>
        <w:t>Furthermore, multiple necrotic foci were evident throughout the tissue, accompanied by widespread vacuolization and severe hepatocellular degeneration in areas surrounding</w:t>
      </w:r>
      <w:r>
        <w:rPr>
          <w:rFonts w:ascii="Arial" w:eastAsia="SimSun" w:hAnsi="Arial" w:cs="Arial"/>
          <w:kern w:val="0"/>
          <w:sz w:val="20"/>
          <w:szCs w:val="20"/>
          <w:lang w:val="en-IN" w:eastAsia="en-IN"/>
        </w:rPr>
        <w:t xml:space="preserve"> constricted sinusoids (Fig. 2E)</w:t>
      </w:r>
      <w:r>
        <w:rPr>
          <w:rFonts w:ascii="Arial" w:eastAsia="Century Gothic" w:hAnsi="Arial" w:cs="Arial"/>
          <w:sz w:val="20"/>
          <w:szCs w:val="20"/>
          <w:lang w:val="en-IN"/>
        </w:rPr>
        <w:t>. These severe histopathological changes align with findings from studies on other fish species exposed to high concentrations of lead, where similar hepatic damages were observed (</w:t>
      </w:r>
      <w:proofErr w:type="spellStart"/>
      <w:r>
        <w:rPr>
          <w:rFonts w:ascii="Arial" w:eastAsia="Century Gothic" w:hAnsi="Arial" w:cs="Arial"/>
          <w:sz w:val="20"/>
          <w:szCs w:val="20"/>
          <w:lang w:val="en-IN"/>
        </w:rPr>
        <w:t>Thophon</w:t>
      </w:r>
      <w:proofErr w:type="spellEnd"/>
      <w:r>
        <w:rPr>
          <w:rFonts w:ascii="Arial" w:eastAsia="Century Gothic" w:hAnsi="Arial" w:cs="Arial"/>
          <w:sz w:val="20"/>
          <w:szCs w:val="20"/>
          <w:lang w:val="en-IN"/>
        </w:rPr>
        <w:t xml:space="preserve"> </w:t>
      </w:r>
      <w:r>
        <w:rPr>
          <w:rFonts w:ascii="Arial" w:eastAsia="Century Gothic" w:hAnsi="Arial" w:cs="Arial"/>
          <w:i/>
          <w:iCs/>
          <w:sz w:val="20"/>
          <w:szCs w:val="20"/>
          <w:lang w:val="en-IN"/>
        </w:rPr>
        <w:t>et al.</w:t>
      </w:r>
      <w:r>
        <w:rPr>
          <w:rFonts w:ascii="Arial" w:eastAsia="Century Gothic" w:hAnsi="Arial" w:cs="Arial"/>
          <w:sz w:val="20"/>
          <w:szCs w:val="20"/>
          <w:lang w:val="en-IN"/>
        </w:rPr>
        <w:t xml:space="preserve"> 2003</w:t>
      </w:r>
      <w:r>
        <w:rPr>
          <w:rFonts w:ascii="Arial" w:eastAsia="Century Gothic" w:hAnsi="Arial" w:cs="Arial"/>
          <w:sz w:val="20"/>
          <w:szCs w:val="20"/>
        </w:rPr>
        <w:t xml:space="preserve">, </w:t>
      </w:r>
      <w:r>
        <w:rPr>
          <w:rFonts w:ascii="Arial" w:eastAsia="Century Gothic" w:hAnsi="Arial" w:cs="Arial"/>
          <w:sz w:val="20"/>
          <w:szCs w:val="20"/>
          <w:lang w:val="en-IN"/>
        </w:rPr>
        <w:t xml:space="preserve">Mela </w:t>
      </w:r>
      <w:r>
        <w:rPr>
          <w:rFonts w:ascii="Arial" w:eastAsia="Century Gothic" w:hAnsi="Arial" w:cs="Arial"/>
          <w:i/>
          <w:iCs/>
          <w:sz w:val="20"/>
          <w:szCs w:val="20"/>
          <w:lang w:val="en-IN"/>
        </w:rPr>
        <w:t>et al.</w:t>
      </w:r>
      <w:r>
        <w:rPr>
          <w:rFonts w:ascii="Arial" w:eastAsia="Century Gothic" w:hAnsi="Arial" w:cs="Arial"/>
          <w:sz w:val="20"/>
          <w:szCs w:val="20"/>
          <w:lang w:val="en-IN"/>
        </w:rPr>
        <w:t xml:space="preserve"> 2007).</w:t>
      </w:r>
    </w:p>
    <w:p w14:paraId="2E4EB7F9" w14:textId="77777777" w:rsidR="009441E7" w:rsidRDefault="00A82308">
      <w:pPr>
        <w:spacing w:after="160" w:line="360" w:lineRule="auto"/>
        <w:jc w:val="both"/>
        <w:rPr>
          <w:rFonts w:ascii="Arial" w:eastAsia="Century Gothic" w:hAnsi="Arial" w:cs="Arial"/>
          <w:sz w:val="20"/>
          <w:szCs w:val="20"/>
        </w:rPr>
      </w:pPr>
      <w:r>
        <w:rPr>
          <w:rFonts w:ascii="Arial" w:eastAsia="Century Gothic" w:hAnsi="Arial" w:cs="Arial"/>
          <w:sz w:val="20"/>
          <w:szCs w:val="20"/>
        </w:rPr>
        <w:t xml:space="preserve">Fish exposed to lead nitrate had several histopathological alterations, viz. congestion and construction of liver sinusoids and also it showing destruction of cell wall, blood coagulation, heavy metals caused serious impairments in the metabolic, physiological and structural systems. The histopathological changes observed in the liver of </w:t>
      </w:r>
      <w:r>
        <w:rPr>
          <w:rFonts w:ascii="Arial" w:eastAsia="Century Gothic" w:hAnsi="Arial" w:cs="Arial"/>
          <w:i/>
          <w:sz w:val="20"/>
          <w:szCs w:val="20"/>
        </w:rPr>
        <w:t xml:space="preserve">A. </w:t>
      </w:r>
      <w:proofErr w:type="spellStart"/>
      <w:r>
        <w:rPr>
          <w:rFonts w:ascii="Arial" w:eastAsia="Century Gothic" w:hAnsi="Arial" w:cs="Arial"/>
          <w:i/>
          <w:sz w:val="20"/>
          <w:szCs w:val="20"/>
        </w:rPr>
        <w:t>testudineus</w:t>
      </w:r>
      <w:proofErr w:type="spellEnd"/>
      <w:r>
        <w:rPr>
          <w:rFonts w:ascii="Arial" w:eastAsia="Century Gothic" w:hAnsi="Arial" w:cs="Arial"/>
          <w:sz w:val="20"/>
          <w:szCs w:val="20"/>
        </w:rPr>
        <w:t xml:space="preserve"> indicate that lead nitrate exposure results in significant hepatic damage. Lead is known to cause oxidative stress, which disrupts cellular integrity and function (Ebrahimi and </w:t>
      </w:r>
      <w:proofErr w:type="spellStart"/>
      <w:r>
        <w:rPr>
          <w:rFonts w:ascii="Arial" w:eastAsia="Century Gothic" w:hAnsi="Arial" w:cs="Arial"/>
          <w:sz w:val="20"/>
          <w:szCs w:val="20"/>
        </w:rPr>
        <w:t>Taherianfard</w:t>
      </w:r>
      <w:proofErr w:type="spellEnd"/>
      <w:r>
        <w:rPr>
          <w:rFonts w:ascii="Arial" w:eastAsia="Century Gothic" w:hAnsi="Arial" w:cs="Arial"/>
          <w:sz w:val="20"/>
          <w:szCs w:val="20"/>
        </w:rPr>
        <w:t>, 2011). The congestion of liver sinusoids and coagulation of blood suggest impaired circulation within the liver, potentially leading to hypoxia and further cellular damage (</w:t>
      </w:r>
      <w:proofErr w:type="spellStart"/>
      <w:r>
        <w:rPr>
          <w:rFonts w:ascii="Arial" w:eastAsia="Times New Roman" w:hAnsi="Arial" w:cs="Arial"/>
          <w:color w:val="000000"/>
          <w:kern w:val="0"/>
          <w:sz w:val="20"/>
          <w:szCs w:val="20"/>
          <w:lang w:val="en-IN" w:eastAsia="en-IN"/>
        </w:rPr>
        <w:t>Jiraungkoorskul</w:t>
      </w:r>
      <w:proofErr w:type="spellEnd"/>
      <w:r>
        <w:rPr>
          <w:rFonts w:ascii="Arial" w:eastAsia="Times New Roman" w:hAnsi="Arial" w:cs="Arial"/>
          <w:color w:val="000000"/>
          <w:kern w:val="0"/>
          <w:sz w:val="20"/>
          <w:szCs w:val="20"/>
          <w:lang w:val="en-IN" w:eastAsia="en-IN"/>
        </w:rPr>
        <w:t xml:space="preserve"> </w:t>
      </w:r>
      <w:r>
        <w:rPr>
          <w:rFonts w:ascii="Arial" w:eastAsia="Times New Roman" w:hAnsi="Arial" w:cs="Arial"/>
          <w:i/>
          <w:iCs/>
          <w:color w:val="000000"/>
          <w:kern w:val="0"/>
          <w:sz w:val="20"/>
          <w:szCs w:val="20"/>
          <w:lang w:val="en-IN" w:eastAsia="en-IN"/>
        </w:rPr>
        <w:t>et al.</w:t>
      </w:r>
      <w:r>
        <w:rPr>
          <w:rFonts w:ascii="Arial" w:eastAsia="Times New Roman" w:hAnsi="Arial" w:cs="Arial"/>
          <w:color w:val="000000"/>
          <w:kern w:val="0"/>
          <w:sz w:val="20"/>
          <w:szCs w:val="20"/>
          <w:lang w:val="en-IN" w:eastAsia="en-IN"/>
        </w:rPr>
        <w:t xml:space="preserve"> (2003</w:t>
      </w:r>
      <w:r>
        <w:rPr>
          <w:rFonts w:ascii="Arial" w:eastAsia="Times New Roman" w:hAnsi="Arial" w:cs="Arial"/>
          <w:color w:val="000000"/>
          <w:kern w:val="0"/>
          <w:sz w:val="20"/>
          <w:szCs w:val="20"/>
          <w:lang w:eastAsia="en-IN"/>
        </w:rPr>
        <w:t>).</w:t>
      </w:r>
      <w:r>
        <w:rPr>
          <w:rFonts w:ascii="Arial" w:eastAsia="Century Gothic" w:hAnsi="Arial" w:cs="Arial"/>
          <w:sz w:val="20"/>
          <w:szCs w:val="20"/>
        </w:rPr>
        <w:t xml:space="preserve"> The vacuolization and degeneration of hepatocytes are indicative of lipid accumulation and metabolic disturbances within the liver, a common response to heavy metal </w:t>
      </w:r>
      <w:proofErr w:type="gramStart"/>
      <w:r>
        <w:rPr>
          <w:rFonts w:ascii="Arial" w:eastAsia="Century Gothic" w:hAnsi="Arial" w:cs="Arial"/>
          <w:sz w:val="20"/>
          <w:szCs w:val="20"/>
        </w:rPr>
        <w:t>toxicity(</w:t>
      </w:r>
      <w:proofErr w:type="spellStart"/>
      <w:proofErr w:type="gramEnd"/>
      <w:r>
        <w:rPr>
          <w:rFonts w:ascii="Arial" w:eastAsia="Century Gothic" w:hAnsi="Arial" w:cs="Arial"/>
          <w:color w:val="000000"/>
          <w:sz w:val="20"/>
          <w:szCs w:val="20"/>
        </w:rPr>
        <w:t>Gernhöfer</w:t>
      </w:r>
      <w:proofErr w:type="spellEnd"/>
      <w:r>
        <w:rPr>
          <w:rFonts w:ascii="Arial" w:eastAsia="Century Gothic" w:hAnsi="Arial" w:cs="Arial"/>
          <w:color w:val="000000"/>
          <w:sz w:val="20"/>
          <w:szCs w:val="20"/>
        </w:rPr>
        <w:t xml:space="preserve"> 2001). </w:t>
      </w:r>
      <w:r>
        <w:rPr>
          <w:rFonts w:ascii="Arial" w:eastAsia="Century Gothic" w:hAnsi="Arial" w:cs="Arial"/>
          <w:sz w:val="20"/>
          <w:szCs w:val="20"/>
        </w:rPr>
        <w:t>Necrosis and cell wall destruction observed at higher lead concentrations reflect acute toxic effects, leading to loss of liver function and potentially fatal outcomes for the fish (</w:t>
      </w:r>
      <w:r>
        <w:rPr>
          <w:rFonts w:ascii="Arial" w:eastAsia="Times New Roman" w:hAnsi="Arial" w:cs="Arial"/>
          <w:kern w:val="0"/>
          <w:sz w:val="20"/>
          <w:szCs w:val="20"/>
          <w:lang w:val="en-IN" w:eastAsia="en-IN"/>
        </w:rPr>
        <w:t xml:space="preserve">Banaee </w:t>
      </w:r>
      <w:r>
        <w:rPr>
          <w:rFonts w:ascii="Arial" w:eastAsia="Times New Roman" w:hAnsi="Arial" w:cs="Arial"/>
          <w:i/>
          <w:iCs/>
          <w:kern w:val="0"/>
          <w:sz w:val="20"/>
          <w:szCs w:val="20"/>
          <w:lang w:val="en-IN" w:eastAsia="en-IN"/>
        </w:rPr>
        <w:t>et al.</w:t>
      </w:r>
      <w:r>
        <w:rPr>
          <w:rFonts w:ascii="Arial" w:eastAsia="Times New Roman" w:hAnsi="Arial" w:cs="Arial"/>
          <w:kern w:val="0"/>
          <w:sz w:val="20"/>
          <w:szCs w:val="20"/>
          <w:lang w:val="en-IN" w:eastAsia="en-IN"/>
        </w:rPr>
        <w:t xml:space="preserve"> 2011</w:t>
      </w:r>
      <w:r>
        <w:rPr>
          <w:rFonts w:ascii="Arial" w:eastAsia="Times New Roman" w:hAnsi="Arial" w:cs="Arial"/>
          <w:kern w:val="0"/>
          <w:sz w:val="20"/>
          <w:szCs w:val="20"/>
          <w:lang w:eastAsia="en-IN"/>
        </w:rPr>
        <w:t>).</w:t>
      </w:r>
      <w:r>
        <w:rPr>
          <w:rFonts w:ascii="Arial" w:eastAsia="Century Gothic" w:hAnsi="Arial" w:cs="Arial"/>
          <w:sz w:val="20"/>
          <w:szCs w:val="20"/>
        </w:rPr>
        <w:t xml:space="preserve"> These findings highlight the hepatotoxic potential of lead nitrate and underscore the need for monitoring and regulating lead contamination in aquatic environments. The liver's role in detoxification makes it a primary target for heavy metal toxicity, and histopathological analysis serves as a crucial tool for assessing the impact of environmental pollutants on fish health (</w:t>
      </w:r>
      <w:r>
        <w:rPr>
          <w:rFonts w:ascii="Arial" w:eastAsia="Times New Roman" w:hAnsi="Arial" w:cs="Arial"/>
          <w:kern w:val="0"/>
          <w:sz w:val="20"/>
          <w:szCs w:val="20"/>
          <w:lang w:val="en-IN" w:eastAsia="en-IN"/>
        </w:rPr>
        <w:t xml:space="preserve">Hinton </w:t>
      </w:r>
      <w:r>
        <w:rPr>
          <w:rFonts w:ascii="Arial" w:eastAsia="Times New Roman" w:hAnsi="Arial" w:cs="Arial"/>
          <w:i/>
          <w:iCs/>
          <w:kern w:val="0"/>
          <w:sz w:val="20"/>
          <w:szCs w:val="20"/>
          <w:lang w:val="en-IN" w:eastAsia="en-IN"/>
        </w:rPr>
        <w:t>et al.</w:t>
      </w:r>
      <w:r>
        <w:rPr>
          <w:rFonts w:ascii="Arial" w:eastAsia="Times New Roman" w:hAnsi="Arial" w:cs="Arial"/>
          <w:kern w:val="0"/>
          <w:sz w:val="20"/>
          <w:szCs w:val="20"/>
          <w:lang w:val="en-IN" w:eastAsia="en-IN"/>
        </w:rPr>
        <w:t xml:space="preserve"> 2018</w:t>
      </w:r>
      <w:r>
        <w:rPr>
          <w:rFonts w:ascii="Arial" w:eastAsia="Times New Roman" w:hAnsi="Arial" w:cs="Arial"/>
          <w:kern w:val="0"/>
          <w:sz w:val="20"/>
          <w:szCs w:val="20"/>
          <w:lang w:eastAsia="en-IN"/>
        </w:rPr>
        <w:t>).</w:t>
      </w:r>
    </w:p>
    <w:p w14:paraId="1CF4A646" w14:textId="77777777" w:rsidR="009441E7" w:rsidRDefault="009441E7">
      <w:pPr>
        <w:spacing w:after="160" w:line="360" w:lineRule="auto"/>
        <w:jc w:val="both"/>
        <w:rPr>
          <w:rFonts w:ascii="Arial" w:eastAsia="Century Gothic" w:hAnsi="Arial" w:cs="Arial"/>
          <w:sz w:val="20"/>
          <w:szCs w:val="20"/>
        </w:rPr>
      </w:pPr>
    </w:p>
    <w:p w14:paraId="709B8499" w14:textId="77777777" w:rsidR="009441E7" w:rsidRDefault="00A82308">
      <w:pPr>
        <w:spacing w:line="360" w:lineRule="auto"/>
        <w:jc w:val="both"/>
        <w:rPr>
          <w:rFonts w:ascii="Arial" w:eastAsiaTheme="minorEastAsia" w:hAnsi="Arial" w:cs="Arial"/>
          <w:b/>
          <w:bCs/>
          <w:kern w:val="0"/>
          <w:sz w:val="20"/>
          <w:szCs w:val="20"/>
          <w:lang w:eastAsia="en-IN"/>
        </w:rPr>
      </w:pPr>
      <w:r>
        <w:rPr>
          <w:rFonts w:ascii="Arial" w:eastAsiaTheme="minorEastAsia" w:hAnsi="Arial" w:cs="Arial"/>
          <w:b/>
          <w:bCs/>
          <w:kern w:val="0"/>
          <w:sz w:val="20"/>
          <w:szCs w:val="20"/>
          <w:lang w:eastAsia="en-IN"/>
        </w:rPr>
        <w:t>4.3.3 Histopathology of Gills</w:t>
      </w:r>
    </w:p>
    <w:p w14:paraId="193AD221" w14:textId="77777777" w:rsidR="009441E7" w:rsidRDefault="00A82308">
      <w:pPr>
        <w:spacing w:line="360" w:lineRule="auto"/>
        <w:jc w:val="both"/>
        <w:rPr>
          <w:rFonts w:ascii="Arial" w:eastAsiaTheme="minorEastAsia" w:hAnsi="Arial" w:cs="Arial"/>
          <w:kern w:val="0"/>
          <w:sz w:val="20"/>
          <w:szCs w:val="20"/>
          <w:lang w:eastAsia="en-IN"/>
        </w:rPr>
      </w:pPr>
      <w:r>
        <w:rPr>
          <w:rFonts w:ascii="Arial" w:eastAsiaTheme="minorEastAsia" w:hAnsi="Arial" w:cs="Arial"/>
          <w:kern w:val="0"/>
          <w:sz w:val="20"/>
          <w:szCs w:val="20"/>
          <w:lang w:eastAsia="en-IN"/>
        </w:rPr>
        <w:t xml:space="preserve">In the control group, primary and secondary gill lamellae are lined by flat epithelial cells and pillar cells (pc) </w:t>
      </w:r>
      <w:r>
        <w:rPr>
          <w:rFonts w:ascii="Arial" w:eastAsia="SimSun" w:hAnsi="Arial" w:cs="Arial"/>
          <w:kern w:val="0"/>
          <w:sz w:val="20"/>
          <w:szCs w:val="20"/>
          <w:lang w:val="en-IN" w:eastAsia="en-IN"/>
        </w:rPr>
        <w:t>surrounding</w:t>
      </w:r>
      <w:r>
        <w:rPr>
          <w:rFonts w:ascii="Arial" w:eastAsiaTheme="minorEastAsia" w:hAnsi="Arial" w:cs="Arial"/>
          <w:kern w:val="0"/>
          <w:sz w:val="20"/>
          <w:szCs w:val="20"/>
          <w:lang w:eastAsia="en-IN"/>
        </w:rPr>
        <w:t xml:space="preserve"> the blood sinusoids (Figs. 3A and 3B). </w:t>
      </w:r>
      <w:r>
        <w:rPr>
          <w:rFonts w:ascii="Arial" w:eastAsiaTheme="minorEastAsia" w:hAnsi="Arial" w:cs="Arial"/>
          <w:kern w:val="0"/>
          <w:sz w:val="20"/>
          <w:szCs w:val="20"/>
          <w:lang w:val="en-IN" w:eastAsia="en-IN"/>
        </w:rPr>
        <w:t>Fish group exposed to 15 mg/L lead nitrate for 7 days exhibited noticeable histopathological alterations in the gill tissue compared to the control group. Prominent lesions included epithelial hyperplasia (hp) and fusion of secondary lamellae (fs</w:t>
      </w:r>
      <w:r>
        <w:rPr>
          <w:rFonts w:ascii="Arial" w:eastAsiaTheme="minorEastAsia" w:hAnsi="Arial" w:cs="Arial"/>
          <w:color w:val="000000" w:themeColor="text1"/>
          <w:kern w:val="0"/>
          <w:sz w:val="20"/>
          <w:szCs w:val="20"/>
          <w:lang w:val="en-IN" w:eastAsia="en-IN"/>
        </w:rPr>
        <w:t xml:space="preserve">). Stalin et al. (2019) reported similar impact of </w:t>
      </w:r>
      <w:proofErr w:type="spellStart"/>
      <w:r>
        <w:rPr>
          <w:rFonts w:ascii="Arial" w:eastAsiaTheme="minorEastAsia" w:hAnsi="Arial" w:cs="Arial"/>
          <w:color w:val="000000" w:themeColor="text1"/>
          <w:kern w:val="0"/>
          <w:sz w:val="20"/>
          <w:szCs w:val="20"/>
          <w:lang w:val="en-IN" w:eastAsia="en-IN"/>
        </w:rPr>
        <w:t>chloropyrifos</w:t>
      </w:r>
      <w:proofErr w:type="spellEnd"/>
      <w:r>
        <w:rPr>
          <w:rFonts w:ascii="Arial" w:eastAsiaTheme="minorEastAsia" w:hAnsi="Arial" w:cs="Arial"/>
          <w:color w:val="000000" w:themeColor="text1"/>
          <w:kern w:val="0"/>
          <w:sz w:val="20"/>
          <w:szCs w:val="20"/>
          <w:lang w:val="en-IN" w:eastAsia="en-IN"/>
        </w:rPr>
        <w:t xml:space="preserve"> on </w:t>
      </w:r>
      <w:r>
        <w:rPr>
          <w:rFonts w:ascii="Arial" w:eastAsia="SimSun" w:hAnsi="Arial" w:cs="Arial"/>
          <w:i/>
          <w:color w:val="000000" w:themeColor="text1"/>
          <w:kern w:val="0"/>
          <w:sz w:val="20"/>
          <w:szCs w:val="20"/>
          <w:lang w:val="en-IN" w:eastAsia="en-IN"/>
        </w:rPr>
        <w:t xml:space="preserve">Channa punctatus </w:t>
      </w:r>
      <w:r>
        <w:rPr>
          <w:rFonts w:ascii="Arial" w:eastAsia="SimSun" w:hAnsi="Arial" w:cs="Arial"/>
          <w:color w:val="000000" w:themeColor="text1"/>
          <w:kern w:val="0"/>
          <w:sz w:val="20"/>
          <w:szCs w:val="20"/>
          <w:lang w:val="en-IN" w:eastAsia="en-IN"/>
        </w:rPr>
        <w:t>leading to fusion of lamellae, necrotic lamellae, lifting of lamellae epithelium, and mucoid metaplasia.</w:t>
      </w:r>
      <w:r>
        <w:rPr>
          <w:rFonts w:ascii="Arial" w:eastAsiaTheme="minorEastAsia" w:hAnsi="Arial" w:cs="Arial"/>
          <w:color w:val="000000" w:themeColor="text1"/>
          <w:kern w:val="0"/>
          <w:sz w:val="20"/>
          <w:szCs w:val="20"/>
          <w:lang w:val="en-IN" w:eastAsia="en-IN"/>
        </w:rPr>
        <w:t xml:space="preserve"> In addition</w:t>
      </w:r>
      <w:r>
        <w:rPr>
          <w:rFonts w:ascii="Arial" w:eastAsiaTheme="minorEastAsia" w:hAnsi="Arial" w:cs="Arial"/>
          <w:kern w:val="0"/>
          <w:sz w:val="20"/>
          <w:szCs w:val="20"/>
          <w:lang w:val="en-IN" w:eastAsia="en-IN"/>
        </w:rPr>
        <w:t>, epithelial hypertrophy (</w:t>
      </w:r>
      <w:proofErr w:type="spellStart"/>
      <w:r>
        <w:rPr>
          <w:rFonts w:ascii="Arial" w:eastAsiaTheme="minorEastAsia" w:hAnsi="Arial" w:cs="Arial"/>
          <w:kern w:val="0"/>
          <w:sz w:val="20"/>
          <w:szCs w:val="20"/>
          <w:lang w:val="en-IN" w:eastAsia="en-IN"/>
        </w:rPr>
        <w:t>ht</w:t>
      </w:r>
      <w:proofErr w:type="spellEnd"/>
      <w:r>
        <w:rPr>
          <w:rFonts w:ascii="Arial" w:eastAsiaTheme="minorEastAsia" w:hAnsi="Arial" w:cs="Arial"/>
          <w:kern w:val="0"/>
          <w:sz w:val="20"/>
          <w:szCs w:val="20"/>
          <w:lang w:val="en-IN" w:eastAsia="en-IN"/>
        </w:rPr>
        <w:t xml:space="preserve">) and hypertrophy of the interlamellar regions were observed, indicating structural disruption of the respiratory surface (Figs. 3C and 3D). Severe pathological changes were evident in fish exposed to 30 </w:t>
      </w:r>
      <w:r>
        <w:rPr>
          <w:rFonts w:ascii="Arial" w:eastAsiaTheme="minorEastAsia" w:hAnsi="Arial" w:cs="Arial"/>
          <w:kern w:val="0"/>
          <w:sz w:val="20"/>
          <w:szCs w:val="20"/>
          <w:lang w:val="en-IN" w:eastAsia="en-IN"/>
        </w:rPr>
        <w:lastRenderedPageBreak/>
        <w:t>mg/L lead nitrate after same exposure period. The gill tissue was characterized by marked epithelial hypertrophy (</w:t>
      </w:r>
      <w:proofErr w:type="spellStart"/>
      <w:r>
        <w:rPr>
          <w:rFonts w:ascii="Arial" w:eastAsiaTheme="minorEastAsia" w:hAnsi="Arial" w:cs="Arial"/>
          <w:kern w:val="0"/>
          <w:sz w:val="20"/>
          <w:szCs w:val="20"/>
          <w:lang w:val="en-IN" w:eastAsia="en-IN"/>
        </w:rPr>
        <w:t>ht</w:t>
      </w:r>
      <w:proofErr w:type="spellEnd"/>
      <w:r>
        <w:rPr>
          <w:rFonts w:ascii="Arial" w:eastAsiaTheme="minorEastAsia" w:hAnsi="Arial" w:cs="Arial"/>
          <w:kern w:val="0"/>
          <w:sz w:val="20"/>
          <w:szCs w:val="20"/>
          <w:lang w:val="en-IN" w:eastAsia="en-IN"/>
        </w:rPr>
        <w:t xml:space="preserve">) and extensive loss of secondary lamellae, resulting in substantial impairment of normal gill architecture. Furthermore, </w:t>
      </w:r>
      <w:r>
        <w:rPr>
          <w:rFonts w:ascii="Arial" w:eastAsiaTheme="minorEastAsia" w:hAnsi="Arial" w:cs="Arial"/>
          <w:kern w:val="0"/>
          <w:sz w:val="20"/>
          <w:szCs w:val="20"/>
          <w:lang w:eastAsia="en-IN"/>
        </w:rPr>
        <w:t>abnormal sized</w:t>
      </w:r>
      <w:r>
        <w:rPr>
          <w:rFonts w:ascii="Arial" w:eastAsiaTheme="minorEastAsia" w:hAnsi="Arial" w:cs="Arial"/>
          <w:kern w:val="0"/>
          <w:sz w:val="20"/>
          <w:szCs w:val="20"/>
          <w:lang w:val="en-IN" w:eastAsia="en-IN"/>
        </w:rPr>
        <w:t xml:space="preserve"> cytoplasmic vacuoles and pronounced hypertrophy of the interlamellar spaces were observed (Fig. 3E).</w:t>
      </w:r>
    </w:p>
    <w:p w14:paraId="009BE8E0" w14:textId="77777777" w:rsidR="009441E7" w:rsidRDefault="00A82308">
      <w:pPr>
        <w:spacing w:line="360" w:lineRule="auto"/>
        <w:jc w:val="both"/>
        <w:rPr>
          <w:rFonts w:ascii="Arial" w:eastAsiaTheme="minorEastAsia" w:hAnsi="Arial" w:cs="Arial"/>
          <w:kern w:val="0"/>
          <w:sz w:val="20"/>
          <w:szCs w:val="20"/>
          <w:lang w:val="en-IN" w:eastAsia="en-IN"/>
        </w:rPr>
      </w:pPr>
      <w:r>
        <w:rPr>
          <w:rFonts w:ascii="Arial" w:eastAsiaTheme="minorEastAsia" w:hAnsi="Arial" w:cs="Arial"/>
          <w:kern w:val="0"/>
          <w:sz w:val="20"/>
          <w:szCs w:val="20"/>
          <w:lang w:eastAsia="en-IN"/>
        </w:rPr>
        <w:t>Fish gills are the main respiratory organ for gaseous exchange, osmoregulation, excretion of nitrogenous waste products, and acid-base regulation (</w:t>
      </w:r>
      <w:r>
        <w:rPr>
          <w:rFonts w:ascii="Arial" w:eastAsia="Times New Roman" w:hAnsi="Arial" w:cs="Arial"/>
          <w:kern w:val="0"/>
          <w:sz w:val="20"/>
          <w:szCs w:val="20"/>
          <w:lang w:val="en-IN" w:eastAsia="en-IN"/>
        </w:rPr>
        <w:t xml:space="preserve">Evans </w:t>
      </w:r>
      <w:r>
        <w:rPr>
          <w:rFonts w:ascii="Arial" w:eastAsia="Times New Roman" w:hAnsi="Arial" w:cs="Arial"/>
          <w:i/>
          <w:iCs/>
          <w:kern w:val="0"/>
          <w:sz w:val="20"/>
          <w:szCs w:val="20"/>
          <w:lang w:val="en-IN" w:eastAsia="en-IN"/>
        </w:rPr>
        <w:t>et al.</w:t>
      </w:r>
      <w:r>
        <w:rPr>
          <w:rFonts w:ascii="Arial" w:eastAsia="Times New Roman" w:hAnsi="Arial" w:cs="Arial"/>
          <w:kern w:val="0"/>
          <w:sz w:val="20"/>
          <w:szCs w:val="20"/>
          <w:lang w:val="en-IN" w:eastAsia="en-IN"/>
        </w:rPr>
        <w:t xml:space="preserve"> 2005) </w:t>
      </w:r>
      <w:r>
        <w:rPr>
          <w:rFonts w:ascii="Arial" w:eastAsiaTheme="minorEastAsia" w:hAnsi="Arial" w:cs="Arial"/>
          <w:kern w:val="0"/>
          <w:sz w:val="20"/>
          <w:szCs w:val="20"/>
          <w:lang w:eastAsia="en-IN"/>
        </w:rPr>
        <w:t>detoxification (</w:t>
      </w:r>
      <w:r>
        <w:rPr>
          <w:rFonts w:ascii="Arial" w:eastAsiaTheme="minorEastAsia" w:hAnsi="Arial" w:cs="Arial"/>
          <w:color w:val="000000"/>
          <w:kern w:val="0"/>
          <w:sz w:val="20"/>
          <w:szCs w:val="20"/>
          <w:lang w:eastAsia="en-IN"/>
        </w:rPr>
        <w:t>Munshi and Hughes 1991).</w:t>
      </w:r>
      <w:r>
        <w:rPr>
          <w:rFonts w:ascii="Arial" w:eastAsiaTheme="minorEastAsia" w:hAnsi="Arial" w:cs="Arial"/>
          <w:kern w:val="0"/>
          <w:sz w:val="20"/>
          <w:szCs w:val="20"/>
          <w:lang w:eastAsia="en-IN"/>
        </w:rPr>
        <w:t xml:space="preserve"> It is highly sensitive to many factors, including stress, and pollution (</w:t>
      </w:r>
      <w:r>
        <w:rPr>
          <w:rFonts w:ascii="Arial" w:eastAsia="Times New Roman" w:hAnsi="Arial" w:cs="Arial"/>
          <w:kern w:val="0"/>
          <w:sz w:val="20"/>
          <w:szCs w:val="20"/>
          <w:lang w:val="en-IN" w:eastAsia="en-IN"/>
        </w:rPr>
        <w:t xml:space="preserve">Uchida </w:t>
      </w:r>
      <w:r>
        <w:rPr>
          <w:rFonts w:ascii="Arial" w:eastAsia="Times New Roman" w:hAnsi="Arial" w:cs="Arial"/>
          <w:i/>
          <w:iCs/>
          <w:kern w:val="0"/>
          <w:sz w:val="20"/>
          <w:szCs w:val="20"/>
          <w:lang w:val="en-IN" w:eastAsia="en-IN"/>
        </w:rPr>
        <w:t>et al.</w:t>
      </w:r>
      <w:r>
        <w:rPr>
          <w:rFonts w:ascii="Arial" w:eastAsia="Times New Roman" w:hAnsi="Arial" w:cs="Arial"/>
          <w:kern w:val="0"/>
          <w:sz w:val="20"/>
          <w:szCs w:val="20"/>
          <w:lang w:val="en-IN" w:eastAsia="en-IN"/>
        </w:rPr>
        <w:t xml:space="preserve"> 2000</w:t>
      </w:r>
      <w:r>
        <w:rPr>
          <w:rFonts w:ascii="Arial" w:eastAsia="Times New Roman" w:hAnsi="Arial" w:cs="Arial"/>
          <w:kern w:val="0"/>
          <w:sz w:val="20"/>
          <w:szCs w:val="20"/>
          <w:lang w:eastAsia="en-IN"/>
        </w:rPr>
        <w:t>).</w:t>
      </w:r>
      <w:r>
        <w:rPr>
          <w:rFonts w:ascii="Arial" w:eastAsiaTheme="minorEastAsia" w:hAnsi="Arial" w:cs="Arial"/>
          <w:kern w:val="0"/>
          <w:sz w:val="20"/>
          <w:szCs w:val="20"/>
          <w:lang w:eastAsia="en-IN"/>
        </w:rPr>
        <w:t xml:space="preserve"> Therefore, fish gills are considered to be the most appropriate indicator of water pollution. The toxicant crossed the barrier to the entrance and loosened the </w:t>
      </w:r>
      <w:proofErr w:type="spellStart"/>
      <w:r>
        <w:rPr>
          <w:rFonts w:ascii="Arial" w:eastAsiaTheme="minorEastAsia" w:hAnsi="Arial" w:cs="Arial"/>
          <w:kern w:val="0"/>
          <w:sz w:val="20"/>
          <w:szCs w:val="20"/>
          <w:lang w:eastAsia="en-IN"/>
        </w:rPr>
        <w:t>defence</w:t>
      </w:r>
      <w:proofErr w:type="spellEnd"/>
      <w:r>
        <w:rPr>
          <w:rFonts w:ascii="Arial" w:eastAsiaTheme="minorEastAsia" w:hAnsi="Arial" w:cs="Arial"/>
          <w:kern w:val="0"/>
          <w:sz w:val="20"/>
          <w:szCs w:val="20"/>
          <w:lang w:eastAsia="en-IN"/>
        </w:rPr>
        <w:t xml:space="preserve"> mechanism (Fernandes and Mazon, 2003). Proliferation of the epithelium increases the diffusion distance, thus affecting the exchange of gases, resulting in a decreased oxygen uptake capacity in fish gills (</w:t>
      </w:r>
      <w:r>
        <w:rPr>
          <w:rFonts w:ascii="Arial" w:eastAsiaTheme="minorEastAsia" w:hAnsi="Arial" w:cs="Arial"/>
          <w:color w:val="000000"/>
          <w:kern w:val="0"/>
          <w:sz w:val="20"/>
          <w:szCs w:val="20"/>
          <w:lang w:eastAsia="en-IN"/>
        </w:rPr>
        <w:t>Nowak 1992).</w:t>
      </w:r>
      <w:r>
        <w:rPr>
          <w:rFonts w:ascii="Arial" w:eastAsiaTheme="minorEastAsia" w:hAnsi="Arial" w:cs="Arial"/>
          <w:kern w:val="0"/>
          <w:sz w:val="20"/>
          <w:szCs w:val="20"/>
          <w:lang w:eastAsia="en-IN"/>
        </w:rPr>
        <w:t xml:space="preserve"> Hypertrophy was also reported by </w:t>
      </w:r>
      <w:proofErr w:type="spellStart"/>
      <w:r>
        <w:rPr>
          <w:rFonts w:ascii="Arial" w:eastAsiaTheme="minorEastAsia" w:hAnsi="Arial" w:cs="Arial"/>
          <w:kern w:val="0"/>
          <w:sz w:val="20"/>
          <w:szCs w:val="20"/>
          <w:lang w:eastAsia="en-IN"/>
        </w:rPr>
        <w:t>Nesković</w:t>
      </w:r>
      <w:proofErr w:type="spellEnd"/>
      <w:r>
        <w:rPr>
          <w:rFonts w:ascii="Arial" w:eastAsiaTheme="minorEastAsia" w:hAnsi="Arial" w:cs="Arial"/>
          <w:kern w:val="0"/>
          <w:sz w:val="20"/>
          <w:szCs w:val="20"/>
          <w:lang w:eastAsia="en-IN"/>
        </w:rPr>
        <w:t xml:space="preserve"> </w:t>
      </w:r>
      <w:r>
        <w:rPr>
          <w:rFonts w:ascii="Arial" w:eastAsiaTheme="minorEastAsia" w:hAnsi="Arial" w:cs="Arial"/>
          <w:i/>
          <w:iCs/>
          <w:kern w:val="0"/>
          <w:sz w:val="20"/>
          <w:szCs w:val="20"/>
          <w:lang w:eastAsia="en-IN"/>
        </w:rPr>
        <w:t>et al.</w:t>
      </w:r>
      <w:r>
        <w:rPr>
          <w:rFonts w:ascii="Arial" w:eastAsiaTheme="minorEastAsia" w:hAnsi="Arial" w:cs="Arial"/>
          <w:kern w:val="0"/>
          <w:sz w:val="20"/>
          <w:szCs w:val="20"/>
          <w:lang w:eastAsia="en-IN"/>
        </w:rPr>
        <w:t xml:space="preserve"> (1996) and </w:t>
      </w:r>
      <w:proofErr w:type="spellStart"/>
      <w:r>
        <w:rPr>
          <w:rFonts w:ascii="Arial" w:eastAsia="Times New Roman" w:hAnsi="Arial" w:cs="Arial"/>
          <w:color w:val="000000"/>
          <w:kern w:val="0"/>
          <w:sz w:val="20"/>
          <w:szCs w:val="20"/>
          <w:lang w:val="en-IN" w:eastAsia="en-IN"/>
        </w:rPr>
        <w:t>Jiraungkoorskul</w:t>
      </w:r>
      <w:proofErr w:type="spellEnd"/>
      <w:r>
        <w:rPr>
          <w:rFonts w:ascii="Arial" w:eastAsia="Times New Roman" w:hAnsi="Arial" w:cs="Arial"/>
          <w:color w:val="000000"/>
          <w:kern w:val="0"/>
          <w:sz w:val="20"/>
          <w:szCs w:val="20"/>
          <w:lang w:val="en-IN" w:eastAsia="en-IN"/>
        </w:rPr>
        <w:t xml:space="preserve"> </w:t>
      </w:r>
      <w:r>
        <w:rPr>
          <w:rFonts w:ascii="Arial" w:eastAsia="Times New Roman" w:hAnsi="Arial" w:cs="Arial"/>
          <w:i/>
          <w:iCs/>
          <w:color w:val="000000"/>
          <w:kern w:val="0"/>
          <w:sz w:val="20"/>
          <w:szCs w:val="20"/>
          <w:lang w:val="en-IN" w:eastAsia="en-IN"/>
        </w:rPr>
        <w:t>et al.</w:t>
      </w:r>
      <w:r>
        <w:rPr>
          <w:rFonts w:ascii="Arial" w:eastAsia="Times New Roman" w:hAnsi="Arial" w:cs="Arial"/>
          <w:color w:val="000000"/>
          <w:kern w:val="0"/>
          <w:sz w:val="20"/>
          <w:szCs w:val="20"/>
          <w:lang w:val="en-IN" w:eastAsia="en-IN"/>
        </w:rPr>
        <w:t xml:space="preserve"> (2003</w:t>
      </w:r>
      <w:r>
        <w:rPr>
          <w:rFonts w:ascii="Arial" w:eastAsia="Times New Roman" w:hAnsi="Arial" w:cs="Arial"/>
          <w:color w:val="000000"/>
          <w:kern w:val="0"/>
          <w:sz w:val="20"/>
          <w:szCs w:val="20"/>
          <w:lang w:eastAsia="en-IN"/>
        </w:rPr>
        <w:t>)</w:t>
      </w:r>
      <w:r>
        <w:rPr>
          <w:rFonts w:ascii="Arial" w:eastAsiaTheme="minorEastAsia" w:hAnsi="Arial" w:cs="Arial"/>
          <w:kern w:val="0"/>
          <w:sz w:val="20"/>
          <w:szCs w:val="20"/>
          <w:lang w:eastAsia="en-IN"/>
        </w:rPr>
        <w:t xml:space="preserve"> which seemed to be the most common manifestation of cellular injury. Epithelial hyperplasia, lamellar fusion, and epithelial lifting serve as </w:t>
      </w:r>
      <w:proofErr w:type="spellStart"/>
      <w:r>
        <w:rPr>
          <w:rFonts w:ascii="Arial" w:eastAsiaTheme="minorEastAsia" w:hAnsi="Arial" w:cs="Arial"/>
          <w:kern w:val="0"/>
          <w:sz w:val="20"/>
          <w:szCs w:val="20"/>
          <w:lang w:eastAsia="en-IN"/>
        </w:rPr>
        <w:t>defence</w:t>
      </w:r>
      <w:proofErr w:type="spellEnd"/>
      <w:r>
        <w:rPr>
          <w:rFonts w:ascii="Arial" w:eastAsiaTheme="minorEastAsia" w:hAnsi="Arial" w:cs="Arial"/>
          <w:kern w:val="0"/>
          <w:sz w:val="20"/>
          <w:szCs w:val="20"/>
          <w:lang w:eastAsia="en-IN"/>
        </w:rPr>
        <w:t xml:space="preserve"> mechanisms that reduce the branchial superficial area in contact with the external surroundings. </w:t>
      </w:r>
      <w:r w:rsidR="00314B4C">
        <w:rPr>
          <w:rFonts w:ascii="Arial" w:eastAsiaTheme="minorEastAsia" w:hAnsi="Arial" w:cs="Arial"/>
          <w:kern w:val="0"/>
          <w:sz w:val="20"/>
          <w:szCs w:val="20"/>
          <w:lang w:val="en-IN" w:eastAsia="en-IN"/>
        </w:rPr>
        <w:t>This mechanism</w:t>
      </w:r>
      <w:r>
        <w:rPr>
          <w:rFonts w:ascii="Arial" w:eastAsiaTheme="minorEastAsia" w:hAnsi="Arial" w:cs="Arial"/>
          <w:kern w:val="0"/>
          <w:sz w:val="20"/>
          <w:szCs w:val="20"/>
          <w:lang w:val="en-IN" w:eastAsia="en-IN"/>
        </w:rPr>
        <w:t xml:space="preserve"> </w:t>
      </w:r>
      <w:proofErr w:type="gramStart"/>
      <w:r>
        <w:rPr>
          <w:rFonts w:ascii="Arial" w:eastAsiaTheme="minorEastAsia" w:hAnsi="Arial" w:cs="Arial"/>
          <w:kern w:val="0"/>
          <w:sz w:val="20"/>
          <w:szCs w:val="20"/>
          <w:lang w:val="en-IN" w:eastAsia="en-IN"/>
        </w:rPr>
        <w:t>increase</w:t>
      </w:r>
      <w:proofErr w:type="gramEnd"/>
      <w:r>
        <w:rPr>
          <w:rFonts w:ascii="Arial" w:eastAsiaTheme="minorEastAsia" w:hAnsi="Arial" w:cs="Arial"/>
          <w:kern w:val="0"/>
          <w:sz w:val="20"/>
          <w:szCs w:val="20"/>
          <w:lang w:val="en-IN" w:eastAsia="en-IN"/>
        </w:rPr>
        <w:t xml:space="preserve"> the diffusion distance between pollutants and the bloodstream, thereby limiting the uptake of toxic substances and minimizing their adverse effects on the organism (</w:t>
      </w:r>
      <w:proofErr w:type="spellStart"/>
      <w:r>
        <w:rPr>
          <w:rFonts w:ascii="Arial" w:eastAsiaTheme="minorEastAsia" w:hAnsi="Arial" w:cs="Arial"/>
          <w:kern w:val="0"/>
          <w:sz w:val="20"/>
          <w:szCs w:val="20"/>
          <w:lang w:val="en-IN" w:eastAsia="en-IN"/>
        </w:rPr>
        <w:t>Laurén</w:t>
      </w:r>
      <w:proofErr w:type="spellEnd"/>
      <w:r>
        <w:rPr>
          <w:rFonts w:ascii="Arial" w:eastAsiaTheme="minorEastAsia" w:hAnsi="Arial" w:cs="Arial"/>
          <w:kern w:val="0"/>
          <w:sz w:val="20"/>
          <w:szCs w:val="20"/>
          <w:lang w:val="en-IN" w:eastAsia="en-IN"/>
        </w:rPr>
        <w:t xml:space="preserve"> and McDonald, 1985; Heerden et al., 2004).</w:t>
      </w:r>
    </w:p>
    <w:p w14:paraId="78418548" w14:textId="77777777" w:rsidR="009441E7" w:rsidRDefault="009441E7">
      <w:pPr>
        <w:spacing w:line="360" w:lineRule="auto"/>
        <w:jc w:val="both"/>
        <w:rPr>
          <w:rFonts w:ascii="Arial" w:eastAsiaTheme="minorEastAsia" w:hAnsi="Arial" w:cs="Arial"/>
          <w:kern w:val="0"/>
          <w:sz w:val="20"/>
          <w:szCs w:val="20"/>
          <w:lang w:val="en-IN" w:eastAsia="en-IN"/>
        </w:rPr>
      </w:pPr>
    </w:p>
    <w:p w14:paraId="04A305EF" w14:textId="77777777" w:rsidR="009441E7" w:rsidRDefault="009441E7">
      <w:pPr>
        <w:spacing w:line="360" w:lineRule="auto"/>
        <w:jc w:val="both"/>
        <w:rPr>
          <w:rFonts w:ascii="Arial" w:eastAsiaTheme="minorEastAsia" w:hAnsi="Arial" w:cs="Arial"/>
          <w:kern w:val="0"/>
          <w:sz w:val="20"/>
          <w:szCs w:val="20"/>
          <w:lang w:val="en-IN" w:eastAsia="en-IN"/>
        </w:rPr>
      </w:pPr>
    </w:p>
    <w:p w14:paraId="7D275AB1" w14:textId="77777777" w:rsidR="009441E7" w:rsidRDefault="009441E7">
      <w:pPr>
        <w:spacing w:line="360" w:lineRule="auto"/>
        <w:jc w:val="both"/>
        <w:rPr>
          <w:rFonts w:ascii="Arial" w:eastAsiaTheme="minorEastAsia" w:hAnsi="Arial" w:cs="Arial"/>
          <w:kern w:val="0"/>
          <w:sz w:val="20"/>
          <w:szCs w:val="20"/>
          <w:lang w:val="en-IN" w:eastAsia="en-IN"/>
        </w:rPr>
      </w:pPr>
    </w:p>
    <w:p w14:paraId="69CF3355" w14:textId="77777777" w:rsidR="009441E7" w:rsidRDefault="009441E7">
      <w:pPr>
        <w:spacing w:line="360" w:lineRule="auto"/>
        <w:jc w:val="both"/>
        <w:rPr>
          <w:rFonts w:ascii="Arial" w:eastAsiaTheme="minorEastAsia" w:hAnsi="Arial" w:cs="Arial"/>
          <w:kern w:val="0"/>
          <w:sz w:val="20"/>
          <w:szCs w:val="20"/>
          <w:lang w:val="en-IN" w:eastAsia="en-IN"/>
        </w:rPr>
      </w:pPr>
    </w:p>
    <w:p w14:paraId="4CF1279C" w14:textId="77777777" w:rsidR="009441E7" w:rsidRDefault="009441E7">
      <w:pPr>
        <w:spacing w:line="360" w:lineRule="auto"/>
        <w:jc w:val="both"/>
        <w:rPr>
          <w:rFonts w:ascii="Arial" w:eastAsiaTheme="minorEastAsia" w:hAnsi="Arial" w:cs="Arial"/>
          <w:kern w:val="0"/>
          <w:sz w:val="20"/>
          <w:szCs w:val="20"/>
          <w:lang w:val="en-IN" w:eastAsia="en-IN"/>
        </w:rPr>
      </w:pPr>
    </w:p>
    <w:p w14:paraId="5A895C71" w14:textId="77777777" w:rsidR="009441E7" w:rsidRDefault="00A82308">
      <w:pPr>
        <w:spacing w:line="360" w:lineRule="auto"/>
        <w:jc w:val="both"/>
        <w:rPr>
          <w:rFonts w:ascii="Times New Roman" w:eastAsiaTheme="minorEastAsia" w:hAnsi="Times New Roman" w:cs="Times New Roman"/>
          <w:kern w:val="0"/>
          <w:sz w:val="24"/>
          <w:szCs w:val="24"/>
          <w:lang w:eastAsia="en-IN"/>
        </w:rPr>
      </w:pPr>
      <w:r>
        <w:rPr>
          <w:rFonts w:ascii="Times New Roman" w:eastAsiaTheme="minorEastAsia" w:hAnsi="Times New Roman" w:cs="Times New Roman"/>
          <w:noProof/>
          <w:kern w:val="0"/>
          <w:sz w:val="24"/>
          <w:szCs w:val="24"/>
        </w:rPr>
        <w:drawing>
          <wp:anchor distT="0" distB="0" distL="114300" distR="114300" simplePos="0" relativeHeight="251661312" behindDoc="0" locked="0" layoutInCell="1" allowOverlap="1" wp14:anchorId="3795444E" wp14:editId="746A3D0C">
            <wp:simplePos x="0" y="0"/>
            <wp:positionH relativeFrom="column">
              <wp:posOffset>0</wp:posOffset>
            </wp:positionH>
            <wp:positionV relativeFrom="paragraph">
              <wp:posOffset>0</wp:posOffset>
            </wp:positionV>
            <wp:extent cx="5939790" cy="1887220"/>
            <wp:effectExtent l="0" t="0" r="3810" b="17780"/>
            <wp:wrapNone/>
            <wp:docPr id="4" name="Picture 4"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icture4"/>
                    <pic:cNvPicPr>
                      <a:picLocks noChangeAspect="1"/>
                    </pic:cNvPicPr>
                  </pic:nvPicPr>
                  <pic:blipFill>
                    <a:blip r:embed="rId7"/>
                    <a:stretch>
                      <a:fillRect/>
                    </a:stretch>
                  </pic:blipFill>
                  <pic:spPr>
                    <a:xfrm>
                      <a:off x="0" y="0"/>
                      <a:ext cx="5939790" cy="1887220"/>
                    </a:xfrm>
                    <a:prstGeom prst="rect">
                      <a:avLst/>
                    </a:prstGeom>
                  </pic:spPr>
                </pic:pic>
              </a:graphicData>
            </a:graphic>
          </wp:anchor>
        </w:drawing>
      </w:r>
    </w:p>
    <w:p w14:paraId="62AC53E9" w14:textId="77777777" w:rsidR="009441E7" w:rsidRDefault="009441E7">
      <w:pPr>
        <w:rPr>
          <w:rFonts w:ascii="Arial" w:eastAsiaTheme="minorEastAsia" w:hAnsi="Arial" w:cs="Arial"/>
          <w:kern w:val="0"/>
          <w:lang w:val="en-IN" w:eastAsia="en-IN"/>
        </w:rPr>
      </w:pPr>
    </w:p>
    <w:p w14:paraId="081BEAF6" w14:textId="77777777" w:rsidR="009441E7" w:rsidRDefault="009441E7">
      <w:pPr>
        <w:rPr>
          <w:rFonts w:ascii="Arial" w:eastAsia="Calibri" w:hAnsi="Arial" w:cs="Arial"/>
          <w:b/>
          <w:kern w:val="0"/>
          <w:sz w:val="32"/>
          <w:szCs w:val="28"/>
        </w:rPr>
      </w:pPr>
    </w:p>
    <w:p w14:paraId="3211A6A0" w14:textId="77777777" w:rsidR="009441E7" w:rsidRDefault="00A82308">
      <w:pPr>
        <w:tabs>
          <w:tab w:val="left" w:pos="3447"/>
        </w:tabs>
        <w:spacing w:after="160" w:line="259" w:lineRule="auto"/>
        <w:rPr>
          <w:rFonts w:ascii="Arial" w:eastAsia="Calibri" w:hAnsi="Arial" w:cs="Arial"/>
          <w:kern w:val="0"/>
        </w:rPr>
      </w:pPr>
      <w:r>
        <w:rPr>
          <w:rFonts w:ascii="Arial" w:eastAsia="Calibri" w:hAnsi="Arial" w:cs="Arial"/>
          <w:kern w:val="0"/>
        </w:rPr>
        <w:tab/>
      </w:r>
    </w:p>
    <w:p w14:paraId="6A3217FF" w14:textId="77777777" w:rsidR="009441E7" w:rsidRDefault="00A82308">
      <w:pPr>
        <w:tabs>
          <w:tab w:val="left" w:pos="3971"/>
          <w:tab w:val="left" w:pos="6327"/>
          <w:tab w:val="left" w:pos="6458"/>
          <w:tab w:val="left" w:pos="6567"/>
          <w:tab w:val="left" w:pos="6655"/>
          <w:tab w:val="left" w:pos="6884"/>
        </w:tabs>
        <w:spacing w:after="160" w:line="259" w:lineRule="auto"/>
        <w:rPr>
          <w:rFonts w:ascii="Arial" w:eastAsia="Calibri" w:hAnsi="Arial" w:cs="Arial"/>
          <w:kern w:val="0"/>
        </w:rPr>
      </w:pPr>
      <w:r>
        <w:rPr>
          <w:rFonts w:ascii="Arial" w:eastAsia="Calibri" w:hAnsi="Arial" w:cs="Arial"/>
          <w:kern w:val="0"/>
        </w:rPr>
        <w:tab/>
      </w:r>
    </w:p>
    <w:p w14:paraId="1ECF839B" w14:textId="77777777" w:rsidR="009441E7" w:rsidRDefault="009441E7">
      <w:pPr>
        <w:tabs>
          <w:tab w:val="left" w:pos="3971"/>
        </w:tabs>
        <w:spacing w:after="160" w:line="259" w:lineRule="auto"/>
        <w:jc w:val="both"/>
        <w:rPr>
          <w:rFonts w:ascii="Arial" w:eastAsia="Calibri" w:hAnsi="Arial" w:cs="Arial"/>
          <w:kern w:val="0"/>
          <w:sz w:val="28"/>
        </w:rPr>
      </w:pPr>
    </w:p>
    <w:p w14:paraId="19F88F5A" w14:textId="77777777" w:rsidR="009441E7" w:rsidRDefault="00A82308">
      <w:pPr>
        <w:pStyle w:val="Caption"/>
        <w:spacing w:line="300" w:lineRule="auto"/>
        <w:jc w:val="both"/>
        <w:rPr>
          <w:rFonts w:ascii="Arial" w:hAnsi="Arial" w:cs="Arial"/>
          <w:b/>
          <w:i w:val="0"/>
          <w:iCs w:val="0"/>
          <w:color w:val="000000" w:themeColor="text1"/>
          <w:sz w:val="20"/>
          <w:szCs w:val="20"/>
        </w:rPr>
      </w:pPr>
      <w:r>
        <w:rPr>
          <w:rFonts w:ascii="Arial" w:hAnsi="Arial" w:cs="Arial"/>
          <w:b/>
          <w:bCs/>
          <w:i w:val="0"/>
          <w:iCs w:val="0"/>
          <w:color w:val="000000" w:themeColor="text1"/>
          <w:sz w:val="20"/>
          <w:szCs w:val="20"/>
        </w:rPr>
        <w:t xml:space="preserve">Fig. 1. </w:t>
      </w:r>
      <w:r>
        <w:rPr>
          <w:rFonts w:ascii="Arial" w:hAnsi="Arial" w:cs="Arial"/>
          <w:b/>
          <w:i w:val="0"/>
          <w:iCs w:val="0"/>
          <w:color w:val="auto"/>
          <w:sz w:val="20"/>
          <w:szCs w:val="20"/>
        </w:rPr>
        <w:t xml:space="preserve">Light micrographs of HE stained sections of Kidney of A. </w:t>
      </w:r>
      <w:proofErr w:type="spellStart"/>
      <w:r>
        <w:rPr>
          <w:rFonts w:ascii="Arial" w:hAnsi="Arial" w:cs="Arial"/>
          <w:b/>
          <w:color w:val="auto"/>
          <w:sz w:val="20"/>
          <w:szCs w:val="20"/>
        </w:rPr>
        <w:t>testudineus</w:t>
      </w:r>
      <w:proofErr w:type="spellEnd"/>
      <w:r>
        <w:rPr>
          <w:rFonts w:ascii="Arial" w:hAnsi="Arial" w:cs="Arial"/>
          <w:b/>
          <w:i w:val="0"/>
          <w:iCs w:val="0"/>
          <w:color w:val="auto"/>
          <w:sz w:val="20"/>
          <w:szCs w:val="20"/>
        </w:rPr>
        <w:t xml:space="preserve"> (both control and exposed to 15mg/L and 30mg/L of lead nitrate respectively after 7 days). </w:t>
      </w:r>
      <w:r>
        <w:rPr>
          <w:rFonts w:ascii="Arial" w:hAnsi="Arial" w:cs="Arial"/>
          <w:b/>
          <w:bCs/>
          <w:i w:val="0"/>
          <w:iCs w:val="0"/>
          <w:color w:val="000000" w:themeColor="text1"/>
          <w:sz w:val="20"/>
          <w:szCs w:val="20"/>
        </w:rPr>
        <w:t>A: Control kidney s</w:t>
      </w:r>
      <w:r>
        <w:rPr>
          <w:rFonts w:ascii="Arial" w:hAnsi="Arial" w:cs="Arial"/>
          <w:b/>
          <w:i w:val="0"/>
          <w:iCs w:val="0"/>
          <w:color w:val="000000" w:themeColor="text1"/>
          <w:sz w:val="20"/>
          <w:szCs w:val="20"/>
        </w:rPr>
        <w:t xml:space="preserve">howing normal PCT (NT) under light microscopy, ×200; </w:t>
      </w:r>
      <w:r>
        <w:rPr>
          <w:rFonts w:ascii="Arial" w:hAnsi="Arial" w:cs="Arial"/>
          <w:b/>
          <w:bCs/>
          <w:i w:val="0"/>
          <w:iCs w:val="0"/>
          <w:color w:val="000000" w:themeColor="text1"/>
          <w:sz w:val="20"/>
          <w:szCs w:val="20"/>
        </w:rPr>
        <w:t>B: Fish</w:t>
      </w:r>
      <w:r>
        <w:rPr>
          <w:rFonts w:ascii="Arial" w:hAnsi="Arial" w:cs="Arial"/>
          <w:b/>
          <w:bCs/>
          <w:i w:val="0"/>
          <w:iCs w:val="0"/>
          <w:color w:val="000000"/>
          <w:sz w:val="20"/>
          <w:szCs w:val="20"/>
        </w:rPr>
        <w:t xml:space="preserve"> treated with 15 mg/L lead nitrate</w:t>
      </w:r>
      <w:r>
        <w:rPr>
          <w:rFonts w:ascii="Arial" w:hAnsi="Arial" w:cs="Arial"/>
          <w:b/>
          <w:i w:val="0"/>
          <w:iCs w:val="0"/>
          <w:color w:val="000000"/>
          <w:sz w:val="20"/>
          <w:szCs w:val="20"/>
        </w:rPr>
        <w:t xml:space="preserve"> </w:t>
      </w:r>
      <w:r>
        <w:rPr>
          <w:rFonts w:ascii="Arial" w:hAnsi="Arial" w:cs="Arial"/>
          <w:b/>
          <w:i w:val="0"/>
          <w:iCs w:val="0"/>
          <w:color w:val="000000"/>
          <w:sz w:val="20"/>
          <w:szCs w:val="20"/>
        </w:rPr>
        <w:lastRenderedPageBreak/>
        <w:t>showing s</w:t>
      </w:r>
      <w:r>
        <w:rPr>
          <w:rFonts w:ascii="Arial" w:hAnsi="Arial" w:cs="Arial"/>
          <w:b/>
          <w:i w:val="0"/>
          <w:iCs w:val="0"/>
          <w:color w:val="000000" w:themeColor="text1"/>
          <w:sz w:val="20"/>
          <w:szCs w:val="20"/>
        </w:rPr>
        <w:t xml:space="preserve">hrunken glomerulus (SG), ×200; </w:t>
      </w:r>
      <w:r>
        <w:rPr>
          <w:rFonts w:ascii="Arial" w:hAnsi="Arial" w:cs="Arial"/>
          <w:b/>
          <w:bCs/>
          <w:i w:val="0"/>
          <w:iCs w:val="0"/>
          <w:color w:val="000000" w:themeColor="text1"/>
          <w:sz w:val="20"/>
          <w:szCs w:val="20"/>
        </w:rPr>
        <w:t>C: Fish</w:t>
      </w:r>
      <w:r>
        <w:rPr>
          <w:rFonts w:ascii="Arial" w:hAnsi="Arial" w:cs="Arial"/>
          <w:b/>
          <w:bCs/>
          <w:i w:val="0"/>
          <w:iCs w:val="0"/>
          <w:color w:val="000000"/>
          <w:sz w:val="20"/>
          <w:szCs w:val="20"/>
        </w:rPr>
        <w:t xml:space="preserve"> treated with </w:t>
      </w:r>
      <w:r>
        <w:rPr>
          <w:rFonts w:ascii="Arial" w:hAnsi="Arial" w:cs="Arial"/>
          <w:b/>
          <w:bCs/>
          <w:i w:val="0"/>
          <w:iCs w:val="0"/>
          <w:color w:val="000000" w:themeColor="text1"/>
          <w:sz w:val="20"/>
          <w:szCs w:val="20"/>
        </w:rPr>
        <w:t xml:space="preserve">30mg/L lead nitrate </w:t>
      </w:r>
      <w:r>
        <w:rPr>
          <w:rFonts w:ascii="Arial" w:hAnsi="Arial" w:cs="Arial"/>
          <w:b/>
          <w:i w:val="0"/>
          <w:iCs w:val="0"/>
          <w:color w:val="000000" w:themeColor="text1"/>
          <w:sz w:val="20"/>
          <w:szCs w:val="20"/>
        </w:rPr>
        <w:t>showing hypertrophied, slightly necrotic and damaged PCT (DT), ×200.</w:t>
      </w:r>
    </w:p>
    <w:p w14:paraId="6FA03274" w14:textId="77777777" w:rsidR="009441E7" w:rsidRDefault="00A82308">
      <w:pPr>
        <w:tabs>
          <w:tab w:val="left" w:pos="3971"/>
        </w:tabs>
        <w:spacing w:after="160" w:line="259" w:lineRule="auto"/>
        <w:jc w:val="both"/>
        <w:rPr>
          <w:rFonts w:ascii="Arial" w:eastAsia="Calibri" w:hAnsi="Arial" w:cs="Arial"/>
          <w:kern w:val="0"/>
          <w:sz w:val="28"/>
        </w:rPr>
      </w:pPr>
      <w:r>
        <w:rPr>
          <w:rFonts w:ascii="Arial" w:eastAsia="Calibri" w:hAnsi="Arial" w:cs="Arial"/>
          <w:noProof/>
          <w:kern w:val="0"/>
          <w:sz w:val="28"/>
        </w:rPr>
        <w:drawing>
          <wp:anchor distT="0" distB="0" distL="114300" distR="114300" simplePos="0" relativeHeight="251660288" behindDoc="0" locked="0" layoutInCell="1" allowOverlap="1" wp14:anchorId="2AB4F7F6" wp14:editId="7B9962EB">
            <wp:simplePos x="0" y="0"/>
            <wp:positionH relativeFrom="column">
              <wp:posOffset>0</wp:posOffset>
            </wp:positionH>
            <wp:positionV relativeFrom="paragraph">
              <wp:posOffset>34925</wp:posOffset>
            </wp:positionV>
            <wp:extent cx="5939790" cy="3225800"/>
            <wp:effectExtent l="0" t="0" r="3810" b="0"/>
            <wp:wrapNone/>
            <wp:docPr id="3" name="Picture 3"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3"/>
                    <pic:cNvPicPr>
                      <a:picLocks noChangeAspect="1"/>
                    </pic:cNvPicPr>
                  </pic:nvPicPr>
                  <pic:blipFill>
                    <a:blip r:embed="rId8"/>
                    <a:stretch>
                      <a:fillRect/>
                    </a:stretch>
                  </pic:blipFill>
                  <pic:spPr>
                    <a:xfrm>
                      <a:off x="0" y="0"/>
                      <a:ext cx="5939790" cy="3225800"/>
                    </a:xfrm>
                    <a:prstGeom prst="rect">
                      <a:avLst/>
                    </a:prstGeom>
                  </pic:spPr>
                </pic:pic>
              </a:graphicData>
            </a:graphic>
          </wp:anchor>
        </w:drawing>
      </w:r>
    </w:p>
    <w:p w14:paraId="6FBC8645" w14:textId="77777777" w:rsidR="009441E7" w:rsidRDefault="009441E7">
      <w:pPr>
        <w:tabs>
          <w:tab w:val="left" w:pos="3971"/>
        </w:tabs>
        <w:spacing w:after="160" w:line="259" w:lineRule="auto"/>
        <w:jc w:val="both"/>
        <w:rPr>
          <w:rFonts w:ascii="Arial" w:eastAsia="Calibri" w:hAnsi="Arial" w:cs="Arial"/>
          <w:kern w:val="0"/>
          <w:sz w:val="28"/>
        </w:rPr>
      </w:pPr>
    </w:p>
    <w:p w14:paraId="2E780844" w14:textId="77777777" w:rsidR="009441E7" w:rsidRDefault="009441E7">
      <w:pPr>
        <w:tabs>
          <w:tab w:val="left" w:pos="3971"/>
        </w:tabs>
        <w:spacing w:after="160" w:line="259" w:lineRule="auto"/>
        <w:jc w:val="both"/>
        <w:rPr>
          <w:rFonts w:ascii="Arial" w:eastAsia="Calibri" w:hAnsi="Arial" w:cs="Arial"/>
          <w:kern w:val="0"/>
          <w:sz w:val="28"/>
        </w:rPr>
      </w:pPr>
    </w:p>
    <w:p w14:paraId="4DE1F4A4" w14:textId="77777777" w:rsidR="009441E7" w:rsidRDefault="009441E7">
      <w:pPr>
        <w:tabs>
          <w:tab w:val="left" w:pos="3971"/>
        </w:tabs>
        <w:spacing w:after="160" w:line="259" w:lineRule="auto"/>
        <w:jc w:val="both"/>
        <w:rPr>
          <w:rFonts w:ascii="Arial" w:eastAsia="Calibri" w:hAnsi="Arial" w:cs="Arial"/>
          <w:kern w:val="0"/>
          <w:sz w:val="28"/>
        </w:rPr>
      </w:pPr>
    </w:p>
    <w:p w14:paraId="70730C8B" w14:textId="77777777" w:rsidR="009441E7" w:rsidRDefault="009441E7">
      <w:pPr>
        <w:tabs>
          <w:tab w:val="left" w:pos="3971"/>
        </w:tabs>
        <w:spacing w:after="160" w:line="259" w:lineRule="auto"/>
        <w:jc w:val="both"/>
        <w:rPr>
          <w:rFonts w:ascii="Arial" w:eastAsia="Calibri" w:hAnsi="Arial" w:cs="Arial"/>
          <w:kern w:val="0"/>
          <w:sz w:val="28"/>
        </w:rPr>
      </w:pPr>
    </w:p>
    <w:p w14:paraId="08B52FF4" w14:textId="77777777" w:rsidR="009441E7" w:rsidRDefault="009441E7">
      <w:pPr>
        <w:tabs>
          <w:tab w:val="left" w:pos="3971"/>
        </w:tabs>
        <w:spacing w:after="160" w:line="259" w:lineRule="auto"/>
        <w:jc w:val="both"/>
        <w:rPr>
          <w:rFonts w:ascii="Arial" w:eastAsia="Calibri" w:hAnsi="Arial" w:cs="Arial"/>
          <w:kern w:val="0"/>
          <w:sz w:val="28"/>
        </w:rPr>
      </w:pPr>
    </w:p>
    <w:p w14:paraId="29FD5612" w14:textId="77777777" w:rsidR="009441E7" w:rsidRDefault="009441E7">
      <w:pPr>
        <w:tabs>
          <w:tab w:val="left" w:pos="3971"/>
        </w:tabs>
        <w:spacing w:after="160" w:line="259" w:lineRule="auto"/>
        <w:jc w:val="both"/>
        <w:rPr>
          <w:rFonts w:ascii="Arial" w:eastAsia="Calibri" w:hAnsi="Arial" w:cs="Arial"/>
          <w:b/>
          <w:kern w:val="0"/>
        </w:rPr>
      </w:pPr>
    </w:p>
    <w:p w14:paraId="76DBAD61" w14:textId="77777777" w:rsidR="009441E7" w:rsidRDefault="009441E7">
      <w:pPr>
        <w:tabs>
          <w:tab w:val="left" w:pos="3971"/>
        </w:tabs>
        <w:spacing w:after="160" w:line="259" w:lineRule="auto"/>
        <w:jc w:val="both"/>
        <w:rPr>
          <w:rFonts w:ascii="Arial" w:eastAsia="Calibri" w:hAnsi="Arial" w:cs="Arial"/>
          <w:b/>
          <w:kern w:val="0"/>
        </w:rPr>
      </w:pPr>
    </w:p>
    <w:p w14:paraId="64974EF5" w14:textId="77777777" w:rsidR="009441E7" w:rsidRDefault="009441E7">
      <w:pPr>
        <w:tabs>
          <w:tab w:val="left" w:pos="3971"/>
        </w:tabs>
        <w:spacing w:after="160" w:line="259" w:lineRule="auto"/>
        <w:jc w:val="both"/>
        <w:rPr>
          <w:rFonts w:ascii="Arial" w:eastAsia="Calibri" w:hAnsi="Arial" w:cs="Arial"/>
          <w:b/>
          <w:kern w:val="0"/>
        </w:rPr>
      </w:pPr>
    </w:p>
    <w:p w14:paraId="1BBCFC6D" w14:textId="77777777" w:rsidR="009441E7" w:rsidRDefault="009441E7">
      <w:pPr>
        <w:tabs>
          <w:tab w:val="left" w:pos="3971"/>
        </w:tabs>
        <w:spacing w:after="160" w:line="259" w:lineRule="auto"/>
        <w:jc w:val="both"/>
        <w:rPr>
          <w:rFonts w:ascii="Arial" w:eastAsia="Calibri" w:hAnsi="Arial" w:cs="Arial"/>
          <w:b/>
          <w:kern w:val="0"/>
        </w:rPr>
      </w:pPr>
    </w:p>
    <w:p w14:paraId="3C2C98E5" w14:textId="77777777" w:rsidR="009441E7" w:rsidRDefault="009441E7">
      <w:pPr>
        <w:tabs>
          <w:tab w:val="left" w:pos="3971"/>
        </w:tabs>
        <w:spacing w:after="160" w:line="259" w:lineRule="auto"/>
        <w:jc w:val="both"/>
        <w:rPr>
          <w:rFonts w:ascii="Arial" w:eastAsia="Calibri" w:hAnsi="Arial" w:cs="Arial"/>
          <w:b/>
          <w:kern w:val="0"/>
        </w:rPr>
      </w:pPr>
    </w:p>
    <w:p w14:paraId="15F264FB" w14:textId="77777777" w:rsidR="009441E7" w:rsidRDefault="00A82308">
      <w:pPr>
        <w:pStyle w:val="Caption"/>
        <w:spacing w:line="300" w:lineRule="auto"/>
        <w:jc w:val="both"/>
        <w:rPr>
          <w:rFonts w:ascii="Arial" w:hAnsi="Arial" w:cs="Arial"/>
          <w:b/>
          <w:i w:val="0"/>
          <w:iCs w:val="0"/>
          <w:color w:val="000000" w:themeColor="text1"/>
          <w:sz w:val="20"/>
          <w:szCs w:val="20"/>
        </w:rPr>
      </w:pPr>
      <w:r>
        <w:rPr>
          <w:rFonts w:ascii="Arial" w:hAnsi="Arial" w:cs="Arial"/>
          <w:b/>
          <w:bCs/>
          <w:i w:val="0"/>
          <w:iCs w:val="0"/>
          <w:color w:val="000000"/>
          <w:sz w:val="20"/>
          <w:szCs w:val="20"/>
        </w:rPr>
        <w:t xml:space="preserve">Fig. 2. </w:t>
      </w:r>
      <w:r>
        <w:rPr>
          <w:rFonts w:ascii="Arial" w:hAnsi="Arial" w:cs="Arial"/>
          <w:b/>
          <w:i w:val="0"/>
          <w:iCs w:val="0"/>
          <w:color w:val="auto"/>
          <w:sz w:val="20"/>
          <w:szCs w:val="20"/>
        </w:rPr>
        <w:t xml:space="preserve">Light micrographs of HE stained sections of liver of A. </w:t>
      </w:r>
      <w:proofErr w:type="spellStart"/>
      <w:r>
        <w:rPr>
          <w:rFonts w:ascii="Arial" w:hAnsi="Arial" w:cs="Arial"/>
          <w:b/>
          <w:color w:val="auto"/>
          <w:sz w:val="20"/>
          <w:szCs w:val="20"/>
        </w:rPr>
        <w:t>testudineus</w:t>
      </w:r>
      <w:proofErr w:type="spellEnd"/>
      <w:r>
        <w:rPr>
          <w:rFonts w:ascii="Arial" w:hAnsi="Arial" w:cs="Arial"/>
          <w:b/>
          <w:i w:val="0"/>
          <w:iCs w:val="0"/>
          <w:color w:val="auto"/>
          <w:sz w:val="20"/>
          <w:szCs w:val="20"/>
        </w:rPr>
        <w:t xml:space="preserve"> (both control and exposed to 15mg/L and 30mg/L of lead nitrate respectively after 7 days).</w:t>
      </w:r>
      <w:r>
        <w:rPr>
          <w:rFonts w:ascii="Arial" w:hAnsi="Arial" w:cs="Arial"/>
          <w:b/>
          <w:bCs/>
          <w:i w:val="0"/>
          <w:iCs w:val="0"/>
          <w:color w:val="000000"/>
          <w:sz w:val="20"/>
          <w:szCs w:val="20"/>
        </w:rPr>
        <w:t xml:space="preserve"> A:</w:t>
      </w:r>
      <w:r>
        <w:rPr>
          <w:rFonts w:ascii="Arial" w:hAnsi="Arial" w:cs="Arial"/>
          <w:b/>
          <w:i w:val="0"/>
          <w:iCs w:val="0"/>
          <w:color w:val="000000"/>
          <w:sz w:val="20"/>
          <w:szCs w:val="20"/>
        </w:rPr>
        <w:t xml:space="preserve"> Section of control liver showing normal sinusoids (NS) with hepatocytes, </w:t>
      </w:r>
      <w:r>
        <w:rPr>
          <w:rFonts w:ascii="Arial" w:hAnsi="Arial" w:cs="Arial"/>
          <w:b/>
          <w:i w:val="0"/>
          <w:iCs w:val="0"/>
          <w:color w:val="000000" w:themeColor="text1"/>
          <w:sz w:val="20"/>
          <w:szCs w:val="20"/>
        </w:rPr>
        <w:t xml:space="preserve">×200; </w:t>
      </w:r>
      <w:r>
        <w:rPr>
          <w:rFonts w:ascii="Arial" w:hAnsi="Arial" w:cs="Arial"/>
          <w:b/>
          <w:bCs/>
          <w:i w:val="0"/>
          <w:iCs w:val="0"/>
          <w:color w:val="000000"/>
          <w:sz w:val="20"/>
          <w:szCs w:val="20"/>
        </w:rPr>
        <w:t>B: Fish treated with 15 mg/L lead nitrate</w:t>
      </w:r>
      <w:r>
        <w:rPr>
          <w:rFonts w:ascii="Arial" w:hAnsi="Arial" w:cs="Arial"/>
          <w:b/>
          <w:i w:val="0"/>
          <w:iCs w:val="0"/>
          <w:color w:val="000000"/>
          <w:sz w:val="20"/>
          <w:szCs w:val="20"/>
        </w:rPr>
        <w:t xml:space="preserve"> showing constriction of liver sinusoids (CT), </w:t>
      </w:r>
      <w:r>
        <w:rPr>
          <w:rFonts w:ascii="Arial" w:hAnsi="Arial" w:cs="Arial"/>
          <w:b/>
          <w:i w:val="0"/>
          <w:iCs w:val="0"/>
          <w:color w:val="000000" w:themeColor="text1"/>
          <w:sz w:val="20"/>
          <w:szCs w:val="20"/>
        </w:rPr>
        <w:t xml:space="preserve">×200; </w:t>
      </w:r>
      <w:r>
        <w:rPr>
          <w:rFonts w:ascii="Arial" w:hAnsi="Arial" w:cs="Arial"/>
          <w:b/>
          <w:bCs/>
          <w:i w:val="0"/>
          <w:iCs w:val="0"/>
          <w:color w:val="000000"/>
          <w:sz w:val="20"/>
          <w:szCs w:val="20"/>
        </w:rPr>
        <w:t>C: Fish treated with 15 mg/L lead nitrate resulted c</w:t>
      </w:r>
      <w:r>
        <w:rPr>
          <w:rFonts w:ascii="Arial" w:hAnsi="Arial" w:cs="Arial"/>
          <w:b/>
          <w:i w:val="0"/>
          <w:iCs w:val="0"/>
          <w:color w:val="000000"/>
          <w:sz w:val="20"/>
          <w:szCs w:val="20"/>
        </w:rPr>
        <w:t>ongested liver sinusoids (CG), merged vacuoles and coalescence of vacuoles (CV) with degenerative changes of hepatocytes (DH),</w:t>
      </w:r>
      <w:r>
        <w:rPr>
          <w:rFonts w:ascii="Arial" w:hAnsi="Arial" w:cs="Arial"/>
          <w:b/>
          <w:i w:val="0"/>
          <w:iCs w:val="0"/>
          <w:color w:val="000000" w:themeColor="text1"/>
          <w:sz w:val="20"/>
          <w:szCs w:val="20"/>
        </w:rPr>
        <w:t xml:space="preserve"> ×200; </w:t>
      </w:r>
      <w:r>
        <w:rPr>
          <w:rFonts w:ascii="Arial" w:hAnsi="Arial" w:cs="Arial"/>
          <w:b/>
          <w:bCs/>
          <w:i w:val="0"/>
          <w:iCs w:val="0"/>
          <w:color w:val="000000"/>
          <w:sz w:val="20"/>
          <w:szCs w:val="20"/>
        </w:rPr>
        <w:t>D: Fish treated with 30 mg/L lead nitrate</w:t>
      </w:r>
      <w:r>
        <w:rPr>
          <w:rFonts w:ascii="Arial" w:hAnsi="Arial" w:cs="Arial"/>
          <w:b/>
          <w:i w:val="0"/>
          <w:iCs w:val="0"/>
          <w:color w:val="000000"/>
          <w:sz w:val="20"/>
          <w:szCs w:val="20"/>
        </w:rPr>
        <w:t xml:space="preserve"> showing destruction of cell wall, blood coagulation (CB) and congested liver sinusoids (CG), </w:t>
      </w:r>
      <w:r>
        <w:rPr>
          <w:rFonts w:ascii="Arial" w:hAnsi="Arial" w:cs="Arial"/>
          <w:b/>
          <w:i w:val="0"/>
          <w:iCs w:val="0"/>
          <w:color w:val="000000" w:themeColor="text1"/>
          <w:sz w:val="20"/>
          <w:szCs w:val="20"/>
        </w:rPr>
        <w:t xml:space="preserve">×200; </w:t>
      </w:r>
      <w:r>
        <w:rPr>
          <w:rFonts w:ascii="Arial" w:hAnsi="Arial" w:cs="Arial"/>
          <w:b/>
          <w:bCs/>
          <w:i w:val="0"/>
          <w:iCs w:val="0"/>
          <w:color w:val="000000"/>
          <w:sz w:val="20"/>
          <w:szCs w:val="20"/>
        </w:rPr>
        <w:t xml:space="preserve">E: Fish treated with 30 mg/L lead nitrate showing </w:t>
      </w:r>
      <w:r>
        <w:rPr>
          <w:rFonts w:ascii="Arial" w:hAnsi="Arial" w:cs="Arial"/>
          <w:b/>
          <w:i w:val="0"/>
          <w:iCs w:val="0"/>
          <w:color w:val="000000"/>
          <w:sz w:val="20"/>
          <w:szCs w:val="20"/>
        </w:rPr>
        <w:t xml:space="preserve">coalescence vacuole (CB) and degenerative changes in hepatic parenchyma, coagulated blood (CB) and necrotic cells, </w:t>
      </w:r>
      <w:r>
        <w:rPr>
          <w:rFonts w:ascii="Arial" w:hAnsi="Arial" w:cs="Arial"/>
          <w:b/>
          <w:i w:val="0"/>
          <w:iCs w:val="0"/>
          <w:color w:val="000000" w:themeColor="text1"/>
          <w:sz w:val="20"/>
          <w:szCs w:val="20"/>
        </w:rPr>
        <w:t>×200.</w:t>
      </w:r>
    </w:p>
    <w:p w14:paraId="0F18B838" w14:textId="77777777" w:rsidR="009441E7" w:rsidRDefault="00A82308">
      <w:r>
        <w:rPr>
          <w:noProof/>
        </w:rPr>
        <w:drawing>
          <wp:anchor distT="0" distB="0" distL="114300" distR="114300" simplePos="0" relativeHeight="251659264" behindDoc="0" locked="0" layoutInCell="1" allowOverlap="1" wp14:anchorId="4674C74F" wp14:editId="090EF7F2">
            <wp:simplePos x="0" y="0"/>
            <wp:positionH relativeFrom="column">
              <wp:posOffset>113030</wp:posOffset>
            </wp:positionH>
            <wp:positionV relativeFrom="paragraph">
              <wp:posOffset>21590</wp:posOffset>
            </wp:positionV>
            <wp:extent cx="5744845" cy="6240780"/>
            <wp:effectExtent l="0" t="0" r="8255" b="7620"/>
            <wp:wrapNone/>
            <wp:docPr id="2" name="Picture 2" descr="C:/Users/user/Downloads/Picture6.png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Downloads/Picture6.pngPicture6"/>
                    <pic:cNvPicPr>
                      <a:picLocks noChangeAspect="1"/>
                    </pic:cNvPicPr>
                  </pic:nvPicPr>
                  <pic:blipFill>
                    <a:blip r:embed="rId9"/>
                    <a:srcRect t="4366" b="4366"/>
                    <a:stretch>
                      <a:fillRect/>
                    </a:stretch>
                  </pic:blipFill>
                  <pic:spPr>
                    <a:xfrm>
                      <a:off x="0" y="0"/>
                      <a:ext cx="5744845" cy="6240780"/>
                    </a:xfrm>
                    <a:prstGeom prst="rect">
                      <a:avLst/>
                    </a:prstGeom>
                  </pic:spPr>
                </pic:pic>
              </a:graphicData>
            </a:graphic>
          </wp:anchor>
        </w:drawing>
      </w:r>
    </w:p>
    <w:p w14:paraId="425FF750"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769F9006"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62653FD2"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614E4F0D"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143B97EB"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4D3FBEF4"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218D7367"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4A910B50"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396BCE2F"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77D1BDE8"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446F6F82"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02159C62"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121CFA07"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7CB08847"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1B69034E"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26B09663"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5F861FA4"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3778C1F4"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2EB56C48"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0107DA4E"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254E9524"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52BC3F66"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1AD90FAD"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143B12F4"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3952C979" w14:textId="77777777" w:rsidR="009441E7" w:rsidRDefault="009441E7">
      <w:pPr>
        <w:keepNext/>
        <w:spacing w:after="160" w:line="360" w:lineRule="auto"/>
        <w:contextualSpacing/>
        <w:rPr>
          <w:rFonts w:ascii="Arial" w:eastAsiaTheme="minorEastAsia" w:hAnsi="Arial" w:cs="Arial"/>
          <w:b/>
          <w:bCs/>
          <w:kern w:val="0"/>
          <w:lang w:val="en-IN" w:eastAsia="en-IN"/>
        </w:rPr>
      </w:pPr>
    </w:p>
    <w:p w14:paraId="3807EE97" w14:textId="77777777" w:rsidR="009441E7" w:rsidRDefault="00A82308">
      <w:pPr>
        <w:pStyle w:val="Caption"/>
        <w:spacing w:line="300" w:lineRule="auto"/>
        <w:jc w:val="both"/>
        <w:rPr>
          <w:rFonts w:ascii="Arial" w:eastAsiaTheme="minorEastAsia" w:hAnsi="Arial" w:cs="Arial"/>
          <w:b/>
          <w:bCs/>
          <w:kern w:val="0"/>
          <w:lang w:val="en-IN" w:eastAsia="en-IN"/>
        </w:rPr>
      </w:pPr>
      <w:r>
        <w:rPr>
          <w:rFonts w:ascii="Arial" w:hAnsi="Arial" w:cs="Arial"/>
          <w:b/>
          <w:bCs/>
          <w:i w:val="0"/>
          <w:iCs w:val="0"/>
          <w:color w:val="auto"/>
          <w:sz w:val="20"/>
          <w:szCs w:val="20"/>
        </w:rPr>
        <w:t>Fig. 3.</w:t>
      </w:r>
      <w:r>
        <w:rPr>
          <w:rFonts w:ascii="Arial" w:hAnsi="Arial" w:cs="Arial"/>
          <w:b/>
          <w:i w:val="0"/>
          <w:iCs w:val="0"/>
          <w:color w:val="auto"/>
          <w:sz w:val="20"/>
          <w:szCs w:val="20"/>
        </w:rPr>
        <w:t xml:space="preserve"> Light micrographs of HE stained sections of gills of </w:t>
      </w:r>
      <w:r>
        <w:rPr>
          <w:rFonts w:ascii="Arial" w:hAnsi="Arial" w:cs="Arial"/>
          <w:b/>
          <w:iCs w:val="0"/>
          <w:color w:val="auto"/>
          <w:sz w:val="20"/>
          <w:szCs w:val="20"/>
        </w:rPr>
        <w:t xml:space="preserve">A. </w:t>
      </w:r>
      <w:proofErr w:type="spellStart"/>
      <w:r>
        <w:rPr>
          <w:rFonts w:ascii="Arial" w:hAnsi="Arial" w:cs="Arial"/>
          <w:b/>
          <w:color w:val="auto"/>
          <w:sz w:val="20"/>
          <w:szCs w:val="20"/>
        </w:rPr>
        <w:t>testudineus</w:t>
      </w:r>
      <w:proofErr w:type="spellEnd"/>
      <w:r>
        <w:rPr>
          <w:rFonts w:ascii="Arial" w:hAnsi="Arial" w:cs="Arial"/>
          <w:b/>
          <w:i w:val="0"/>
          <w:iCs w:val="0"/>
          <w:color w:val="auto"/>
          <w:sz w:val="20"/>
          <w:szCs w:val="20"/>
        </w:rPr>
        <w:t xml:space="preserve"> (both control and exposed to 15mg/L and 30mg/L of lead nitrate respectively after 7 days). A: Gills of control fish showing normal structure of primary lamellae (pl), secondary lamella (</w:t>
      </w:r>
      <w:proofErr w:type="spellStart"/>
      <w:r>
        <w:rPr>
          <w:rFonts w:ascii="Arial" w:hAnsi="Arial" w:cs="Arial"/>
          <w:b/>
          <w:i w:val="0"/>
          <w:iCs w:val="0"/>
          <w:color w:val="auto"/>
          <w:sz w:val="20"/>
          <w:szCs w:val="20"/>
        </w:rPr>
        <w:t>sl</w:t>
      </w:r>
      <w:proofErr w:type="spellEnd"/>
      <w:r>
        <w:rPr>
          <w:rFonts w:ascii="Arial" w:hAnsi="Arial" w:cs="Arial"/>
          <w:b/>
          <w:i w:val="0"/>
          <w:iCs w:val="0"/>
          <w:color w:val="auto"/>
          <w:sz w:val="20"/>
          <w:szCs w:val="20"/>
        </w:rPr>
        <w:t xml:space="preserve">) ×200; B: Gills of control fish showing pillar cells, × 400  (pc), C and D: Gill sections showing Epithelial hyperplasia (hp), fusion of secondary lamellae (fs), </w:t>
      </w:r>
      <w:r>
        <w:rPr>
          <w:rFonts w:ascii="Arial" w:hAnsi="Arial" w:cs="Arial"/>
          <w:b/>
          <w:i w:val="0"/>
          <w:iCs w:val="0"/>
          <w:color w:val="000000"/>
          <w:sz w:val="20"/>
          <w:szCs w:val="20"/>
        </w:rPr>
        <w:t>hypertrophy in interlamellar space (hi)</w:t>
      </w:r>
      <w:r>
        <w:rPr>
          <w:rFonts w:ascii="Arial" w:hAnsi="Arial" w:cs="Arial"/>
          <w:b/>
          <w:i w:val="0"/>
          <w:iCs w:val="0"/>
          <w:color w:val="auto"/>
          <w:sz w:val="20"/>
          <w:szCs w:val="20"/>
        </w:rPr>
        <w:t xml:space="preserve"> and  epithelial hypertrophy (</w:t>
      </w:r>
      <w:proofErr w:type="spellStart"/>
      <w:r>
        <w:rPr>
          <w:rFonts w:ascii="Arial" w:hAnsi="Arial" w:cs="Arial"/>
          <w:b/>
          <w:i w:val="0"/>
          <w:iCs w:val="0"/>
          <w:color w:val="auto"/>
          <w:sz w:val="20"/>
          <w:szCs w:val="20"/>
        </w:rPr>
        <w:t>ht</w:t>
      </w:r>
      <w:proofErr w:type="spellEnd"/>
      <w:r>
        <w:rPr>
          <w:rFonts w:ascii="Arial" w:hAnsi="Arial" w:cs="Arial"/>
          <w:b/>
          <w:i w:val="0"/>
          <w:iCs w:val="0"/>
          <w:color w:val="auto"/>
          <w:sz w:val="20"/>
          <w:szCs w:val="20"/>
        </w:rPr>
        <w:t xml:space="preserve">) in gills of A. </w:t>
      </w:r>
      <w:proofErr w:type="spellStart"/>
      <w:r>
        <w:rPr>
          <w:rFonts w:ascii="Arial" w:hAnsi="Arial" w:cs="Arial"/>
          <w:b/>
          <w:color w:val="auto"/>
          <w:sz w:val="20"/>
          <w:szCs w:val="20"/>
        </w:rPr>
        <w:t>testudineus</w:t>
      </w:r>
      <w:proofErr w:type="spellEnd"/>
      <w:r>
        <w:rPr>
          <w:rFonts w:ascii="Arial" w:hAnsi="Arial" w:cs="Arial"/>
          <w:b/>
          <w:color w:val="auto"/>
          <w:sz w:val="20"/>
          <w:szCs w:val="20"/>
        </w:rPr>
        <w:t xml:space="preserve"> </w:t>
      </w:r>
      <w:r>
        <w:rPr>
          <w:rFonts w:ascii="Arial" w:hAnsi="Arial" w:cs="Arial"/>
          <w:b/>
          <w:i w:val="0"/>
          <w:iCs w:val="0"/>
          <w:color w:val="auto"/>
          <w:sz w:val="20"/>
          <w:szCs w:val="20"/>
        </w:rPr>
        <w:t>exposed to 15 mg/L lead nitrate for 7 days, × 200; E: Secondary gill lamellae were lost having hypertrophy (</w:t>
      </w:r>
      <w:proofErr w:type="spellStart"/>
      <w:r>
        <w:rPr>
          <w:rFonts w:ascii="Arial" w:hAnsi="Arial" w:cs="Arial"/>
          <w:b/>
          <w:i w:val="0"/>
          <w:iCs w:val="0"/>
          <w:color w:val="auto"/>
          <w:sz w:val="20"/>
          <w:szCs w:val="20"/>
        </w:rPr>
        <w:t>ht</w:t>
      </w:r>
      <w:proofErr w:type="spellEnd"/>
      <w:r>
        <w:rPr>
          <w:rFonts w:ascii="Arial" w:hAnsi="Arial" w:cs="Arial"/>
          <w:b/>
          <w:i w:val="0"/>
          <w:iCs w:val="0"/>
          <w:color w:val="auto"/>
          <w:sz w:val="20"/>
          <w:szCs w:val="20"/>
        </w:rPr>
        <w:t xml:space="preserve">), </w:t>
      </w:r>
      <w:r>
        <w:rPr>
          <w:rFonts w:ascii="Arial" w:hAnsi="Arial" w:cs="Arial"/>
          <w:b/>
          <w:i w:val="0"/>
          <w:iCs w:val="0"/>
          <w:color w:val="000000"/>
          <w:sz w:val="20"/>
          <w:szCs w:val="20"/>
        </w:rPr>
        <w:t xml:space="preserve">abnormal sized cytoplasm vacuoles (av) ,hypertrophy in interlamellar space in gill (hi) </w:t>
      </w:r>
      <w:r>
        <w:rPr>
          <w:rFonts w:ascii="Arial" w:hAnsi="Arial" w:cs="Arial"/>
          <w:b/>
          <w:i w:val="0"/>
          <w:iCs w:val="0"/>
          <w:color w:val="auto"/>
          <w:sz w:val="20"/>
          <w:szCs w:val="20"/>
        </w:rPr>
        <w:t xml:space="preserve">of A. </w:t>
      </w:r>
      <w:proofErr w:type="spellStart"/>
      <w:r>
        <w:rPr>
          <w:rFonts w:ascii="Arial" w:hAnsi="Arial" w:cs="Arial"/>
          <w:b/>
          <w:color w:val="auto"/>
          <w:sz w:val="20"/>
          <w:szCs w:val="20"/>
        </w:rPr>
        <w:t>testudineus</w:t>
      </w:r>
      <w:proofErr w:type="spellEnd"/>
      <w:r>
        <w:rPr>
          <w:rFonts w:ascii="Arial" w:hAnsi="Arial" w:cs="Arial"/>
          <w:b/>
          <w:color w:val="auto"/>
          <w:sz w:val="20"/>
          <w:szCs w:val="20"/>
        </w:rPr>
        <w:t xml:space="preserve"> </w:t>
      </w:r>
      <w:r>
        <w:rPr>
          <w:rFonts w:ascii="Arial" w:hAnsi="Arial" w:cs="Arial"/>
          <w:b/>
          <w:i w:val="0"/>
          <w:iCs w:val="0"/>
          <w:color w:val="auto"/>
          <w:sz w:val="20"/>
          <w:szCs w:val="20"/>
        </w:rPr>
        <w:t>exposed to 30mg/L lead nitrate for 7 days, × 200.</w:t>
      </w:r>
    </w:p>
    <w:p w14:paraId="2358E336" w14:textId="7E6AD583" w:rsidR="009441E7" w:rsidRPr="00515DF3" w:rsidRDefault="00A82308" w:rsidP="00515DF3">
      <w:pPr>
        <w:pStyle w:val="ListParagraph"/>
        <w:keepNext/>
        <w:numPr>
          <w:ilvl w:val="0"/>
          <w:numId w:val="2"/>
        </w:numPr>
        <w:spacing w:after="160" w:line="360" w:lineRule="auto"/>
        <w:rPr>
          <w:rFonts w:ascii="Arial" w:eastAsiaTheme="minorEastAsia" w:hAnsi="Arial" w:cs="Arial"/>
          <w:b/>
          <w:bCs/>
          <w:kern w:val="0"/>
          <w:lang w:val="en-IN" w:eastAsia="en-IN"/>
        </w:rPr>
      </w:pPr>
      <w:r w:rsidRPr="00515DF3">
        <w:rPr>
          <w:rFonts w:ascii="Arial" w:eastAsiaTheme="minorEastAsia" w:hAnsi="Arial" w:cs="Arial"/>
          <w:b/>
          <w:bCs/>
          <w:kern w:val="0"/>
          <w:lang w:val="en-IN" w:eastAsia="en-IN"/>
        </w:rPr>
        <w:lastRenderedPageBreak/>
        <w:t>CONCLUSION</w:t>
      </w:r>
    </w:p>
    <w:p w14:paraId="4FEE2769" w14:textId="77777777" w:rsidR="00515DF3" w:rsidRDefault="00515DF3" w:rsidP="00515DF3">
      <w:pPr>
        <w:keepNext/>
        <w:spacing w:after="160" w:line="360" w:lineRule="auto"/>
        <w:rPr>
          <w:rFonts w:ascii="Arial" w:eastAsiaTheme="minorEastAsia" w:hAnsi="Arial" w:cs="Arial"/>
          <w:b/>
          <w:bCs/>
          <w:kern w:val="0"/>
          <w:lang w:val="en-IN" w:eastAsia="en-IN"/>
        </w:rPr>
      </w:pPr>
    </w:p>
    <w:p w14:paraId="540B0EEA" w14:textId="77777777" w:rsidR="00515DF3" w:rsidRPr="00515DF3" w:rsidRDefault="00515DF3" w:rsidP="00515DF3">
      <w:pPr>
        <w:spacing w:before="100" w:beforeAutospacing="1" w:after="100" w:afterAutospacing="1" w:line="240" w:lineRule="auto"/>
        <w:rPr>
          <w:rFonts w:ascii="Times New Roman" w:eastAsia="Times New Roman" w:hAnsi="Times New Roman" w:cs="Times New Roman"/>
          <w:kern w:val="0"/>
          <w:sz w:val="24"/>
          <w:szCs w:val="24"/>
        </w:rPr>
      </w:pPr>
      <w:r w:rsidRPr="00515DF3">
        <w:rPr>
          <w:rFonts w:ascii="Times New Roman" w:eastAsia="Times New Roman" w:hAnsi="Times New Roman" w:cs="Times New Roman"/>
          <w:kern w:val="0"/>
          <w:sz w:val="24"/>
          <w:szCs w:val="24"/>
        </w:rPr>
        <w:t xml:space="preserve">The present study demonstrated that short-term exposure to sublethal concentrations of lead nitrate produced measurable </w:t>
      </w:r>
      <w:proofErr w:type="spellStart"/>
      <w:r w:rsidRPr="00515DF3">
        <w:rPr>
          <w:rFonts w:ascii="Times New Roman" w:eastAsia="Times New Roman" w:hAnsi="Times New Roman" w:cs="Times New Roman"/>
          <w:kern w:val="0"/>
          <w:sz w:val="24"/>
          <w:szCs w:val="24"/>
        </w:rPr>
        <w:t>haematological</w:t>
      </w:r>
      <w:proofErr w:type="spellEnd"/>
      <w:r w:rsidRPr="00515DF3">
        <w:rPr>
          <w:rFonts w:ascii="Times New Roman" w:eastAsia="Times New Roman" w:hAnsi="Times New Roman" w:cs="Times New Roman"/>
          <w:kern w:val="0"/>
          <w:sz w:val="24"/>
          <w:szCs w:val="24"/>
        </w:rPr>
        <w:t xml:space="preserve"> and histopathological alterations in </w:t>
      </w:r>
      <w:r w:rsidRPr="00515DF3">
        <w:rPr>
          <w:rFonts w:ascii="Times New Roman" w:eastAsia="Times New Roman" w:hAnsi="Times New Roman" w:cs="Times New Roman"/>
          <w:i/>
          <w:iCs/>
          <w:kern w:val="0"/>
          <w:sz w:val="24"/>
          <w:szCs w:val="24"/>
        </w:rPr>
        <w:t xml:space="preserve">Anabas </w:t>
      </w:r>
      <w:proofErr w:type="spellStart"/>
      <w:r w:rsidRPr="00515DF3">
        <w:rPr>
          <w:rFonts w:ascii="Times New Roman" w:eastAsia="Times New Roman" w:hAnsi="Times New Roman" w:cs="Times New Roman"/>
          <w:i/>
          <w:iCs/>
          <w:kern w:val="0"/>
          <w:sz w:val="24"/>
          <w:szCs w:val="24"/>
        </w:rPr>
        <w:t>testudineus</w:t>
      </w:r>
      <w:proofErr w:type="spellEnd"/>
      <w:r w:rsidRPr="00515DF3">
        <w:rPr>
          <w:rFonts w:ascii="Times New Roman" w:eastAsia="Times New Roman" w:hAnsi="Times New Roman" w:cs="Times New Roman"/>
          <w:kern w:val="0"/>
          <w:sz w:val="24"/>
          <w:szCs w:val="24"/>
        </w:rPr>
        <w:t xml:space="preserve">. Exposure to 15 mg/L and 30 mg/L lead nitrate for 3 and 7 days affected erythrocytic parameters, including total erythrocyte count, </w:t>
      </w:r>
      <w:proofErr w:type="spellStart"/>
      <w:r w:rsidRPr="00515DF3">
        <w:rPr>
          <w:rFonts w:ascii="Times New Roman" w:eastAsia="Times New Roman" w:hAnsi="Times New Roman" w:cs="Times New Roman"/>
          <w:kern w:val="0"/>
          <w:sz w:val="24"/>
          <w:szCs w:val="24"/>
        </w:rPr>
        <w:t>haemoglobin</w:t>
      </w:r>
      <w:proofErr w:type="spellEnd"/>
      <w:r w:rsidRPr="00515DF3">
        <w:rPr>
          <w:rFonts w:ascii="Times New Roman" w:eastAsia="Times New Roman" w:hAnsi="Times New Roman" w:cs="Times New Roman"/>
          <w:kern w:val="0"/>
          <w:sz w:val="24"/>
          <w:szCs w:val="24"/>
        </w:rPr>
        <w:t xml:space="preserve"> concentration, and </w:t>
      </w:r>
      <w:proofErr w:type="spellStart"/>
      <w:r w:rsidRPr="00515DF3">
        <w:rPr>
          <w:rFonts w:ascii="Times New Roman" w:eastAsia="Times New Roman" w:hAnsi="Times New Roman" w:cs="Times New Roman"/>
          <w:kern w:val="0"/>
          <w:sz w:val="24"/>
          <w:szCs w:val="24"/>
        </w:rPr>
        <w:t>haematocrit</w:t>
      </w:r>
      <w:proofErr w:type="spellEnd"/>
      <w:r w:rsidRPr="00515DF3">
        <w:rPr>
          <w:rFonts w:ascii="Times New Roman" w:eastAsia="Times New Roman" w:hAnsi="Times New Roman" w:cs="Times New Roman"/>
          <w:kern w:val="0"/>
          <w:sz w:val="24"/>
          <w:szCs w:val="24"/>
        </w:rPr>
        <w:t xml:space="preserve"> values. Changes in total leucocyte count, </w:t>
      </w:r>
      <w:proofErr w:type="spellStart"/>
      <w:r w:rsidRPr="00515DF3">
        <w:rPr>
          <w:rFonts w:ascii="Times New Roman" w:eastAsia="Times New Roman" w:hAnsi="Times New Roman" w:cs="Times New Roman"/>
          <w:kern w:val="0"/>
          <w:sz w:val="24"/>
          <w:szCs w:val="24"/>
        </w:rPr>
        <w:t>leucocrit</w:t>
      </w:r>
      <w:proofErr w:type="spellEnd"/>
      <w:r w:rsidRPr="00515DF3">
        <w:rPr>
          <w:rFonts w:ascii="Times New Roman" w:eastAsia="Times New Roman" w:hAnsi="Times New Roman" w:cs="Times New Roman"/>
          <w:kern w:val="0"/>
          <w:sz w:val="24"/>
          <w:szCs w:val="24"/>
        </w:rPr>
        <w:t xml:space="preserve">, and differential leucocyte profiles further indicated physiological stress in exposed fish. Histological observations after 7 days showed dose-associated tissue alterations in the kidney, liver, and gills. The kidney showed glomerular shrinkage and tubular damage, the liver showed sinusoidal congestion, vacuolation, hepatocellular degeneration, and necrotic changes, and the gills showed epithelial hyperplasia, lamellar fusion, hypertrophy, and disruption of normal lamellar architecture. These findings suggest that </w:t>
      </w:r>
      <w:proofErr w:type="spellStart"/>
      <w:r w:rsidRPr="00515DF3">
        <w:rPr>
          <w:rFonts w:ascii="Times New Roman" w:eastAsia="Times New Roman" w:hAnsi="Times New Roman" w:cs="Times New Roman"/>
          <w:kern w:val="0"/>
          <w:sz w:val="24"/>
          <w:szCs w:val="24"/>
        </w:rPr>
        <w:t>haematological</w:t>
      </w:r>
      <w:proofErr w:type="spellEnd"/>
      <w:r w:rsidRPr="00515DF3">
        <w:rPr>
          <w:rFonts w:ascii="Times New Roman" w:eastAsia="Times New Roman" w:hAnsi="Times New Roman" w:cs="Times New Roman"/>
          <w:kern w:val="0"/>
          <w:sz w:val="24"/>
          <w:szCs w:val="24"/>
        </w:rPr>
        <w:t xml:space="preserve"> and histopathological parameters are useful indicators for assessing lead nitrate toxicity in freshwater fish. The study supports the use of </w:t>
      </w:r>
      <w:r w:rsidRPr="00515DF3">
        <w:rPr>
          <w:rFonts w:ascii="Times New Roman" w:eastAsia="Times New Roman" w:hAnsi="Times New Roman" w:cs="Times New Roman"/>
          <w:i/>
          <w:iCs/>
          <w:kern w:val="0"/>
          <w:sz w:val="24"/>
          <w:szCs w:val="24"/>
        </w:rPr>
        <w:t xml:space="preserve">A. </w:t>
      </w:r>
      <w:proofErr w:type="spellStart"/>
      <w:r w:rsidRPr="00515DF3">
        <w:rPr>
          <w:rFonts w:ascii="Times New Roman" w:eastAsia="Times New Roman" w:hAnsi="Times New Roman" w:cs="Times New Roman"/>
          <w:i/>
          <w:iCs/>
          <w:kern w:val="0"/>
          <w:sz w:val="24"/>
          <w:szCs w:val="24"/>
        </w:rPr>
        <w:t>testudineus</w:t>
      </w:r>
      <w:proofErr w:type="spellEnd"/>
      <w:r w:rsidRPr="00515DF3">
        <w:rPr>
          <w:rFonts w:ascii="Times New Roman" w:eastAsia="Times New Roman" w:hAnsi="Times New Roman" w:cs="Times New Roman"/>
          <w:kern w:val="0"/>
          <w:sz w:val="24"/>
          <w:szCs w:val="24"/>
        </w:rPr>
        <w:t xml:space="preserve"> as a bioindicator species for evaluating aquatic contamination by heavy metals.</w:t>
      </w:r>
    </w:p>
    <w:p w14:paraId="4748045E" w14:textId="61D7164C" w:rsidR="00515DF3" w:rsidRPr="00515DF3" w:rsidRDefault="00515DF3" w:rsidP="00515DF3">
      <w:pPr>
        <w:spacing w:after="0" w:line="240" w:lineRule="auto"/>
        <w:rPr>
          <w:rFonts w:ascii="Times New Roman" w:eastAsia="Times New Roman" w:hAnsi="Times New Roman" w:cs="Times New Roman"/>
          <w:kern w:val="0"/>
          <w:sz w:val="24"/>
          <w:szCs w:val="24"/>
        </w:rPr>
      </w:pPr>
    </w:p>
    <w:p w14:paraId="30DC706D" w14:textId="77777777" w:rsidR="00515DF3" w:rsidRPr="00515DF3" w:rsidRDefault="00515DF3" w:rsidP="00515DF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15DF3">
        <w:rPr>
          <w:rFonts w:ascii="Times New Roman" w:eastAsia="Times New Roman" w:hAnsi="Times New Roman" w:cs="Times New Roman"/>
          <w:b/>
          <w:bCs/>
          <w:kern w:val="36"/>
          <w:sz w:val="48"/>
          <w:szCs w:val="48"/>
        </w:rPr>
        <w:t>Limitations</w:t>
      </w:r>
    </w:p>
    <w:p w14:paraId="13D1DD1E" w14:textId="77777777" w:rsidR="00515DF3" w:rsidRDefault="00515DF3" w:rsidP="00515DF3">
      <w:pPr>
        <w:spacing w:before="100" w:beforeAutospacing="1" w:after="100" w:afterAutospacing="1" w:line="240" w:lineRule="auto"/>
        <w:rPr>
          <w:rFonts w:ascii="Times New Roman" w:eastAsia="Times New Roman" w:hAnsi="Times New Roman" w:cs="Times New Roman"/>
          <w:kern w:val="0"/>
          <w:sz w:val="24"/>
          <w:szCs w:val="24"/>
        </w:rPr>
      </w:pPr>
      <w:r w:rsidRPr="00515DF3">
        <w:rPr>
          <w:rFonts w:ascii="Times New Roman" w:eastAsia="Times New Roman" w:hAnsi="Times New Roman" w:cs="Times New Roman"/>
          <w:kern w:val="0"/>
          <w:sz w:val="24"/>
          <w:szCs w:val="24"/>
        </w:rPr>
        <w:t xml:space="preserve">This study was limited to short-term exposure periods of 3 and 7 days and two sublethal concentrations of lead nitrate. Long-term exposure, recovery response, and bioaccumulation of lead in tissues were not evaluated. The study focused mainly on </w:t>
      </w:r>
      <w:proofErr w:type="spellStart"/>
      <w:r w:rsidRPr="00515DF3">
        <w:rPr>
          <w:rFonts w:ascii="Times New Roman" w:eastAsia="Times New Roman" w:hAnsi="Times New Roman" w:cs="Times New Roman"/>
          <w:kern w:val="0"/>
          <w:sz w:val="24"/>
          <w:szCs w:val="24"/>
        </w:rPr>
        <w:t>haematological</w:t>
      </w:r>
      <w:proofErr w:type="spellEnd"/>
      <w:r w:rsidRPr="00515DF3">
        <w:rPr>
          <w:rFonts w:ascii="Times New Roman" w:eastAsia="Times New Roman" w:hAnsi="Times New Roman" w:cs="Times New Roman"/>
          <w:kern w:val="0"/>
          <w:sz w:val="24"/>
          <w:szCs w:val="24"/>
        </w:rPr>
        <w:t xml:space="preserve"> and histopathological endpoints, while biochemical, molecular, oxidative stress, and genotoxic markers were not assessed. Details on replication, water-quality monitoring, and broader ecological relevance were limited. Future studies should include longer exposure durations, post-exposure recovery observations, tissue lead estimation, and additional biomarkers to provide a more complete understanding of lead nitrate toxicity in </w:t>
      </w:r>
      <w:r w:rsidRPr="00515DF3">
        <w:rPr>
          <w:rFonts w:ascii="Times New Roman" w:eastAsia="Times New Roman" w:hAnsi="Times New Roman" w:cs="Times New Roman"/>
          <w:i/>
          <w:iCs/>
          <w:kern w:val="0"/>
          <w:sz w:val="24"/>
          <w:szCs w:val="24"/>
        </w:rPr>
        <w:t xml:space="preserve">Anabas </w:t>
      </w:r>
      <w:proofErr w:type="spellStart"/>
      <w:r w:rsidRPr="00515DF3">
        <w:rPr>
          <w:rFonts w:ascii="Times New Roman" w:eastAsia="Times New Roman" w:hAnsi="Times New Roman" w:cs="Times New Roman"/>
          <w:i/>
          <w:iCs/>
          <w:kern w:val="0"/>
          <w:sz w:val="24"/>
          <w:szCs w:val="24"/>
        </w:rPr>
        <w:t>testudineus</w:t>
      </w:r>
      <w:proofErr w:type="spellEnd"/>
      <w:r w:rsidRPr="00515DF3">
        <w:rPr>
          <w:rFonts w:ascii="Times New Roman" w:eastAsia="Times New Roman" w:hAnsi="Times New Roman" w:cs="Times New Roman"/>
          <w:kern w:val="0"/>
          <w:sz w:val="24"/>
          <w:szCs w:val="24"/>
        </w:rPr>
        <w:t>.</w:t>
      </w:r>
    </w:p>
    <w:p w14:paraId="75F4E944" w14:textId="77777777" w:rsidR="00515DF3" w:rsidRDefault="00515DF3" w:rsidP="00515DF3">
      <w:pPr>
        <w:spacing w:before="100" w:beforeAutospacing="1" w:after="100" w:afterAutospacing="1" w:line="240" w:lineRule="auto"/>
        <w:rPr>
          <w:rFonts w:ascii="Times New Roman" w:eastAsia="Times New Roman" w:hAnsi="Times New Roman" w:cs="Times New Roman"/>
          <w:kern w:val="0"/>
          <w:sz w:val="24"/>
          <w:szCs w:val="24"/>
        </w:rPr>
      </w:pPr>
    </w:p>
    <w:p w14:paraId="7C5388EB" w14:textId="77777777" w:rsidR="00515DF3" w:rsidRPr="00515DF3" w:rsidRDefault="00515DF3" w:rsidP="00515DF3">
      <w:pPr>
        <w:spacing w:after="0" w:line="240" w:lineRule="auto"/>
        <w:rPr>
          <w:rFonts w:ascii="Times New Roman" w:eastAsia="Calibri" w:hAnsi="Times New Roman" w:cs="Times New Roman"/>
          <w:b/>
          <w:kern w:val="0"/>
        </w:rPr>
      </w:pPr>
      <w:r w:rsidRPr="00515DF3">
        <w:rPr>
          <w:rFonts w:ascii="Times New Roman" w:eastAsia="Calibri" w:hAnsi="Times New Roman" w:cs="Times New Roman"/>
          <w:b/>
          <w:kern w:val="0"/>
        </w:rPr>
        <w:t>Declaration of AI Use</w:t>
      </w:r>
    </w:p>
    <w:p w14:paraId="2BB8874C" w14:textId="77777777" w:rsidR="00515DF3" w:rsidRPr="00515DF3" w:rsidRDefault="00515DF3" w:rsidP="00515DF3">
      <w:pPr>
        <w:spacing w:after="0" w:line="240" w:lineRule="auto"/>
        <w:rPr>
          <w:rFonts w:ascii="Times New Roman" w:eastAsia="Calibri" w:hAnsi="Times New Roman" w:cs="Times New Roman"/>
          <w:kern w:val="0"/>
        </w:rPr>
      </w:pPr>
    </w:p>
    <w:p w14:paraId="14A82E46" w14:textId="5037395A" w:rsidR="00515DF3" w:rsidRDefault="00515DF3" w:rsidP="00515DF3">
      <w:pPr>
        <w:spacing w:after="0" w:line="240" w:lineRule="auto"/>
        <w:jc w:val="both"/>
        <w:rPr>
          <w:rFonts w:ascii="Times New Roman" w:eastAsia="Calibri" w:hAnsi="Times New Roman" w:cs="Times New Roman"/>
          <w:kern w:val="0"/>
        </w:rPr>
      </w:pPr>
      <w:r w:rsidRPr="00515DF3">
        <w:rPr>
          <w:rFonts w:ascii="Times New Roman" w:eastAsia="Calibri" w:hAnsi="Times New Roman" w:cs="Times New Roman"/>
          <w:kern w:val="0"/>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62EDE31" w14:textId="77777777" w:rsidR="00515DF3" w:rsidRPr="00515DF3" w:rsidRDefault="00515DF3" w:rsidP="00515DF3">
      <w:pPr>
        <w:spacing w:after="0" w:line="240" w:lineRule="auto"/>
        <w:jc w:val="both"/>
        <w:rPr>
          <w:rFonts w:ascii="Times New Roman" w:eastAsia="Calibri" w:hAnsi="Times New Roman" w:cs="Times New Roman"/>
          <w:kern w:val="0"/>
        </w:rPr>
      </w:pPr>
    </w:p>
    <w:p w14:paraId="3CF8EDB3" w14:textId="77777777" w:rsidR="009441E7" w:rsidRDefault="009441E7">
      <w:pPr>
        <w:spacing w:line="360" w:lineRule="auto"/>
        <w:jc w:val="both"/>
        <w:rPr>
          <w:rFonts w:ascii="Arial" w:eastAsiaTheme="minorEastAsia" w:hAnsi="Arial" w:cs="Arial"/>
          <w:kern w:val="0"/>
          <w:sz w:val="20"/>
          <w:szCs w:val="20"/>
          <w:lang w:val="en-IN" w:eastAsia="en-IN"/>
        </w:rPr>
      </w:pPr>
    </w:p>
    <w:p w14:paraId="34C3ADBE" w14:textId="77777777" w:rsidR="009441E7" w:rsidRDefault="00A82308">
      <w:pPr>
        <w:spacing w:before="20" w:line="480" w:lineRule="auto"/>
        <w:ind w:right="-32"/>
        <w:jc w:val="both"/>
        <w:rPr>
          <w:rFonts w:ascii="Arial" w:hAnsi="Arial" w:cs="Arial"/>
          <w:b/>
          <w:shd w:val="clear" w:color="auto" w:fill="FFFFFF"/>
        </w:rPr>
      </w:pPr>
      <w:r>
        <w:rPr>
          <w:rFonts w:ascii="Arial" w:hAnsi="Arial" w:cs="Arial"/>
          <w:b/>
          <w:shd w:val="clear" w:color="auto" w:fill="FFFFFF"/>
        </w:rPr>
        <w:lastRenderedPageBreak/>
        <w:t>DISCLAIMER (ARTIFICIAL INTELLIGENCE)</w:t>
      </w:r>
    </w:p>
    <w:p w14:paraId="51ED10F6" w14:textId="77777777" w:rsidR="009441E7" w:rsidRDefault="00A82308">
      <w:pPr>
        <w:spacing w:before="20" w:line="360" w:lineRule="auto"/>
        <w:ind w:right="-32"/>
        <w:jc w:val="both"/>
        <w:rPr>
          <w:rFonts w:ascii="Arial" w:hAnsi="Arial" w:cs="Arial"/>
          <w:b/>
          <w:bCs/>
          <w:sz w:val="20"/>
          <w:szCs w:val="20"/>
        </w:rPr>
      </w:pPr>
      <w:r>
        <w:rPr>
          <w:rFonts w:ascii="Arial" w:hAnsi="Arial" w:cs="Arial"/>
          <w:sz w:val="20"/>
          <w:szCs w:val="20"/>
          <w:shd w:val="clear" w:color="auto" w:fill="FFFFFF"/>
        </w:rPr>
        <w:t>Author(</w:t>
      </w:r>
      <w:proofErr w:type="gramStart"/>
      <w:r>
        <w:rPr>
          <w:rFonts w:ascii="Arial" w:hAnsi="Arial" w:cs="Arial"/>
          <w:sz w:val="20"/>
          <w:szCs w:val="20"/>
          <w:shd w:val="clear" w:color="auto" w:fill="FFFFFF"/>
        </w:rPr>
        <w:t xml:space="preserve">s)   </w:t>
      </w:r>
      <w:proofErr w:type="gramEnd"/>
      <w:r>
        <w:rPr>
          <w:rFonts w:ascii="Arial" w:hAnsi="Arial" w:cs="Arial"/>
          <w:sz w:val="20"/>
          <w:szCs w:val="20"/>
          <w:shd w:val="clear" w:color="auto" w:fill="FFFFFF"/>
        </w:rPr>
        <w:t xml:space="preserve">hereby   </w:t>
      </w:r>
      <w:proofErr w:type="gramStart"/>
      <w:r>
        <w:rPr>
          <w:rFonts w:ascii="Arial" w:hAnsi="Arial" w:cs="Arial"/>
          <w:sz w:val="20"/>
          <w:szCs w:val="20"/>
          <w:shd w:val="clear" w:color="auto" w:fill="FFFFFF"/>
        </w:rPr>
        <w:t>declare</w:t>
      </w:r>
      <w:proofErr w:type="gramEnd"/>
      <w:r>
        <w:rPr>
          <w:rFonts w:ascii="Arial" w:hAnsi="Arial" w:cs="Arial"/>
          <w:sz w:val="20"/>
          <w:szCs w:val="20"/>
          <w:shd w:val="clear" w:color="auto" w:fill="FFFFFF"/>
        </w:rPr>
        <w:t xml:space="preserve">   that    NO    generative    AI    technologies    such    as    Large    Language    Models (</w:t>
      </w:r>
      <w:proofErr w:type="gramStart"/>
      <w:r>
        <w:rPr>
          <w:rFonts w:ascii="Arial" w:hAnsi="Arial" w:cs="Arial"/>
          <w:sz w:val="20"/>
          <w:szCs w:val="20"/>
          <w:shd w:val="clear" w:color="auto" w:fill="FFFFFF"/>
        </w:rPr>
        <w:t xml:space="preserve">ChatGPT,  COPILOT,  </w:t>
      </w:r>
      <w:proofErr w:type="spellStart"/>
      <w:r>
        <w:rPr>
          <w:rFonts w:ascii="Arial" w:hAnsi="Arial" w:cs="Arial"/>
          <w:sz w:val="20"/>
          <w:szCs w:val="20"/>
          <w:shd w:val="clear" w:color="auto" w:fill="FFFFFF"/>
        </w:rPr>
        <w:t>etc</w:t>
      </w:r>
      <w:proofErr w:type="spellEnd"/>
      <w:r>
        <w:rPr>
          <w:rFonts w:ascii="Arial" w:hAnsi="Arial" w:cs="Arial"/>
          <w:sz w:val="20"/>
          <w:szCs w:val="20"/>
          <w:shd w:val="clear" w:color="auto" w:fill="FFFFFF"/>
        </w:rPr>
        <w:t>)  and</w:t>
      </w:r>
      <w:proofErr w:type="gramEnd"/>
      <w:r>
        <w:rPr>
          <w:rFonts w:ascii="Arial" w:hAnsi="Arial" w:cs="Arial"/>
          <w:sz w:val="20"/>
          <w:szCs w:val="20"/>
          <w:shd w:val="clear" w:color="auto" w:fill="FFFFFF"/>
        </w:rPr>
        <w:t xml:space="preserve">  text-to-</w:t>
      </w:r>
      <w:proofErr w:type="gramStart"/>
      <w:r>
        <w:rPr>
          <w:rFonts w:ascii="Arial" w:hAnsi="Arial" w:cs="Arial"/>
          <w:sz w:val="20"/>
          <w:szCs w:val="20"/>
          <w:shd w:val="clear" w:color="auto" w:fill="FFFFFF"/>
        </w:rPr>
        <w:t>image  generators</w:t>
      </w:r>
      <w:proofErr w:type="gramEnd"/>
      <w:r>
        <w:rPr>
          <w:rFonts w:ascii="Arial" w:hAnsi="Arial" w:cs="Arial"/>
          <w:sz w:val="20"/>
          <w:szCs w:val="20"/>
          <w:shd w:val="clear" w:color="auto" w:fill="FFFFFF"/>
        </w:rPr>
        <w:t xml:space="preserve">  </w:t>
      </w:r>
      <w:proofErr w:type="gramStart"/>
      <w:r>
        <w:rPr>
          <w:rFonts w:ascii="Arial" w:hAnsi="Arial" w:cs="Arial"/>
          <w:sz w:val="20"/>
          <w:szCs w:val="20"/>
          <w:shd w:val="clear" w:color="auto" w:fill="FFFFFF"/>
        </w:rPr>
        <w:t>have  been</w:t>
      </w:r>
      <w:proofErr w:type="gramEnd"/>
      <w:r>
        <w:rPr>
          <w:rFonts w:ascii="Arial" w:hAnsi="Arial" w:cs="Arial"/>
          <w:sz w:val="20"/>
          <w:szCs w:val="20"/>
          <w:shd w:val="clear" w:color="auto" w:fill="FFFFFF"/>
        </w:rPr>
        <w:t xml:space="preserve">  </w:t>
      </w:r>
      <w:proofErr w:type="gramStart"/>
      <w:r>
        <w:rPr>
          <w:rFonts w:ascii="Arial" w:hAnsi="Arial" w:cs="Arial"/>
          <w:sz w:val="20"/>
          <w:szCs w:val="20"/>
          <w:shd w:val="clear" w:color="auto" w:fill="FFFFFF"/>
        </w:rPr>
        <w:t>used  during</w:t>
      </w:r>
      <w:proofErr w:type="gramEnd"/>
      <w:r>
        <w:rPr>
          <w:rFonts w:ascii="Arial" w:hAnsi="Arial" w:cs="Arial"/>
          <w:sz w:val="20"/>
          <w:szCs w:val="20"/>
          <w:shd w:val="clear" w:color="auto" w:fill="FFFFFF"/>
        </w:rPr>
        <w:t xml:space="preserve">  </w:t>
      </w:r>
      <w:proofErr w:type="gramStart"/>
      <w:r>
        <w:rPr>
          <w:rFonts w:ascii="Arial" w:hAnsi="Arial" w:cs="Arial"/>
          <w:sz w:val="20"/>
          <w:szCs w:val="20"/>
          <w:shd w:val="clear" w:color="auto" w:fill="FFFFFF"/>
        </w:rPr>
        <w:t>writing  or</w:t>
      </w:r>
      <w:proofErr w:type="gramEnd"/>
      <w:r>
        <w:rPr>
          <w:rFonts w:ascii="Arial" w:hAnsi="Arial" w:cs="Arial"/>
          <w:sz w:val="20"/>
          <w:szCs w:val="20"/>
          <w:shd w:val="clear" w:color="auto" w:fill="FFFFFF"/>
        </w:rPr>
        <w:t xml:space="preserve">  </w:t>
      </w:r>
      <w:proofErr w:type="gramStart"/>
      <w:r>
        <w:rPr>
          <w:rFonts w:ascii="Arial" w:hAnsi="Arial" w:cs="Arial"/>
          <w:sz w:val="20"/>
          <w:szCs w:val="20"/>
          <w:shd w:val="clear" w:color="auto" w:fill="FFFFFF"/>
        </w:rPr>
        <w:t>editing  of</w:t>
      </w:r>
      <w:proofErr w:type="gramEnd"/>
      <w:r>
        <w:rPr>
          <w:rFonts w:ascii="Arial" w:hAnsi="Arial" w:cs="Arial"/>
          <w:sz w:val="20"/>
          <w:szCs w:val="20"/>
          <w:shd w:val="clear" w:color="auto" w:fill="FFFFFF"/>
        </w:rPr>
        <w:t xml:space="preserve">  this manuscript.</w:t>
      </w:r>
    </w:p>
    <w:p w14:paraId="52548FAD" w14:textId="77777777" w:rsidR="00515DF3" w:rsidRPr="00515DF3" w:rsidRDefault="00515DF3" w:rsidP="00515DF3">
      <w:pPr>
        <w:spacing w:line="360" w:lineRule="auto"/>
        <w:jc w:val="both"/>
        <w:rPr>
          <w:rFonts w:ascii="Arial" w:eastAsiaTheme="minorEastAsia" w:hAnsi="Arial" w:cs="Arial"/>
          <w:b/>
          <w:bCs/>
          <w:kern w:val="0"/>
          <w:lang w:val="en-IN" w:eastAsia="en-IN"/>
        </w:rPr>
      </w:pPr>
      <w:r w:rsidRPr="00515DF3">
        <w:rPr>
          <w:rFonts w:ascii="Arial" w:eastAsiaTheme="minorEastAsia" w:hAnsi="Arial" w:cs="Arial"/>
          <w:b/>
          <w:bCs/>
          <w:kern w:val="0"/>
          <w:lang w:val="en-IN" w:eastAsia="en-IN"/>
        </w:rPr>
        <w:t>COMPETING INTERESTS DISCLAIMER:</w:t>
      </w:r>
    </w:p>
    <w:p w14:paraId="24C33E47" w14:textId="1118BF89" w:rsidR="009441E7" w:rsidRDefault="00515DF3" w:rsidP="00515DF3">
      <w:pPr>
        <w:spacing w:line="360" w:lineRule="auto"/>
        <w:jc w:val="both"/>
        <w:rPr>
          <w:rFonts w:ascii="Arial" w:eastAsiaTheme="minorEastAsia" w:hAnsi="Arial" w:cs="Arial"/>
          <w:b/>
          <w:bCs/>
          <w:kern w:val="0"/>
          <w:lang w:val="en-IN" w:eastAsia="en-IN"/>
        </w:rPr>
      </w:pPr>
      <w:r w:rsidRPr="00515DF3">
        <w:rPr>
          <w:rFonts w:ascii="Arial" w:eastAsiaTheme="minorEastAsia" w:hAnsi="Arial" w:cs="Arial"/>
          <w:b/>
          <w:bCs/>
          <w:kern w:val="0"/>
          <w:lang w:val="en-IN" w:eastAsia="en-IN"/>
        </w:rPr>
        <w:t>Authors have declared that they have no known competing financial interests OR non-financial interests OR personal relationships that could have appeared to influence the work reported in this paper.</w:t>
      </w:r>
    </w:p>
    <w:p w14:paraId="7138F864" w14:textId="77777777" w:rsidR="009441E7" w:rsidRDefault="00A82308">
      <w:pPr>
        <w:spacing w:line="360" w:lineRule="auto"/>
        <w:jc w:val="both"/>
        <w:rPr>
          <w:rFonts w:eastAsiaTheme="minorEastAsia"/>
          <w:kern w:val="0"/>
          <w:lang w:val="en-IN" w:eastAsia="en-IN"/>
        </w:rPr>
      </w:pPr>
      <w:r>
        <w:rPr>
          <w:rFonts w:ascii="Arial" w:eastAsiaTheme="minorEastAsia" w:hAnsi="Arial" w:cs="Arial"/>
          <w:b/>
          <w:bCs/>
          <w:kern w:val="0"/>
          <w:lang w:val="en-IN" w:eastAsia="en-IN"/>
        </w:rPr>
        <w:t>REFERENCES</w:t>
      </w:r>
    </w:p>
    <w:p w14:paraId="319E02EC"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Abdel-Warith, A.-W. A., Younis, E.-S. M. I., Al-</w:t>
      </w:r>
      <w:proofErr w:type="spellStart"/>
      <w:r>
        <w:rPr>
          <w:rFonts w:ascii="Arial" w:eastAsiaTheme="minorEastAsia" w:hAnsi="Arial" w:cs="Arial"/>
          <w:color w:val="000000" w:themeColor="text1"/>
          <w:kern w:val="0"/>
          <w:sz w:val="20"/>
          <w:szCs w:val="20"/>
          <w:lang w:eastAsia="en-IN"/>
        </w:rPr>
        <w:t>Asgah</w:t>
      </w:r>
      <w:proofErr w:type="spellEnd"/>
      <w:r>
        <w:rPr>
          <w:rFonts w:ascii="Arial" w:eastAsiaTheme="minorEastAsia" w:hAnsi="Arial" w:cs="Arial"/>
          <w:color w:val="000000" w:themeColor="text1"/>
          <w:kern w:val="0"/>
          <w:sz w:val="20"/>
          <w:szCs w:val="20"/>
          <w:lang w:eastAsia="en-IN"/>
        </w:rPr>
        <w:t xml:space="preserve">, N. A., Rady, A. M., &amp; Allam, H. Y. (2020). Bioaccumulation of lead nitrate in tissues and its effects on hematological and biochemical parameters of Clarias </w:t>
      </w:r>
      <w:proofErr w:type="spellStart"/>
      <w:r>
        <w:rPr>
          <w:rFonts w:ascii="Arial" w:eastAsiaTheme="minorEastAsia" w:hAnsi="Arial" w:cs="Arial"/>
          <w:color w:val="000000" w:themeColor="text1"/>
          <w:kern w:val="0"/>
          <w:sz w:val="20"/>
          <w:szCs w:val="20"/>
          <w:lang w:eastAsia="en-IN"/>
        </w:rPr>
        <w:t>gariepinus</w:t>
      </w:r>
      <w:proofErr w:type="spellEnd"/>
      <w:r>
        <w:rPr>
          <w:rFonts w:ascii="Arial" w:eastAsiaTheme="minorEastAsia" w:hAnsi="Arial" w:cs="Arial"/>
          <w:color w:val="000000" w:themeColor="text1"/>
          <w:kern w:val="0"/>
          <w:sz w:val="20"/>
          <w:szCs w:val="20"/>
          <w:lang w:eastAsia="en-IN"/>
        </w:rPr>
        <w:t>. Saudi Journal of Biological Sciences, 27(3), 840–845. https://doi.org/10.1016/j.sjbs.2020.01.015</w:t>
      </w:r>
    </w:p>
    <w:p w14:paraId="15E2F579"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proofErr w:type="spellStart"/>
      <w:r>
        <w:rPr>
          <w:rFonts w:ascii="Arial" w:eastAsiaTheme="minorEastAsia" w:hAnsi="Arial" w:cs="Arial"/>
          <w:color w:val="000000" w:themeColor="text1"/>
          <w:kern w:val="0"/>
          <w:sz w:val="20"/>
          <w:szCs w:val="20"/>
          <w:lang w:eastAsia="en-IN"/>
        </w:rPr>
        <w:t>Adakole</w:t>
      </w:r>
      <w:proofErr w:type="spellEnd"/>
      <w:r>
        <w:rPr>
          <w:rFonts w:ascii="Arial" w:eastAsiaTheme="minorEastAsia" w:hAnsi="Arial" w:cs="Arial"/>
          <w:color w:val="000000" w:themeColor="text1"/>
          <w:kern w:val="0"/>
          <w:sz w:val="20"/>
          <w:szCs w:val="20"/>
          <w:lang w:eastAsia="en-IN"/>
        </w:rPr>
        <w:t xml:space="preserve">, J. A. (2012). Changes in some </w:t>
      </w:r>
      <w:proofErr w:type="spellStart"/>
      <w:r>
        <w:rPr>
          <w:rFonts w:ascii="Arial" w:eastAsiaTheme="minorEastAsia" w:hAnsi="Arial" w:cs="Arial"/>
          <w:color w:val="000000" w:themeColor="text1"/>
          <w:kern w:val="0"/>
          <w:sz w:val="20"/>
          <w:szCs w:val="20"/>
          <w:lang w:eastAsia="en-IN"/>
        </w:rPr>
        <w:t>haematological</w:t>
      </w:r>
      <w:proofErr w:type="spellEnd"/>
      <w:r>
        <w:rPr>
          <w:rFonts w:ascii="Arial" w:eastAsiaTheme="minorEastAsia" w:hAnsi="Arial" w:cs="Arial"/>
          <w:color w:val="000000" w:themeColor="text1"/>
          <w:kern w:val="0"/>
          <w:sz w:val="20"/>
          <w:szCs w:val="20"/>
          <w:lang w:eastAsia="en-IN"/>
        </w:rPr>
        <w:t xml:space="preserve"> parameters of the African catfish (Clarias </w:t>
      </w:r>
      <w:proofErr w:type="spellStart"/>
      <w:r>
        <w:rPr>
          <w:rFonts w:ascii="Arial" w:eastAsiaTheme="minorEastAsia" w:hAnsi="Arial" w:cs="Arial"/>
          <w:color w:val="000000" w:themeColor="text1"/>
          <w:kern w:val="0"/>
          <w:sz w:val="20"/>
          <w:szCs w:val="20"/>
          <w:lang w:eastAsia="en-IN"/>
        </w:rPr>
        <w:t>gariepinus</w:t>
      </w:r>
      <w:proofErr w:type="spellEnd"/>
      <w:r>
        <w:rPr>
          <w:rFonts w:ascii="Arial" w:eastAsiaTheme="minorEastAsia" w:hAnsi="Arial" w:cs="Arial"/>
          <w:color w:val="000000" w:themeColor="text1"/>
          <w:kern w:val="0"/>
          <w:sz w:val="20"/>
          <w:szCs w:val="20"/>
          <w:lang w:eastAsia="en-IN"/>
        </w:rPr>
        <w:t>) exposed to a metal finishing company effluent. Indian Journal of Science and Technology, 5, 2510–2514.</w:t>
      </w:r>
    </w:p>
    <w:p w14:paraId="3EEFDF5A" w14:textId="77777777" w:rsidR="009441E7" w:rsidRDefault="00A82308">
      <w:pPr>
        <w:autoSpaceDE w:val="0"/>
        <w:autoSpaceDN w:val="0"/>
        <w:spacing w:line="360" w:lineRule="auto"/>
        <w:ind w:left="600" w:hangingChars="300" w:hanging="600"/>
        <w:contextualSpacing/>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Akram, R., Ghaffar, A., Hussain, R., Khan, I., de Assis Santana, V. L., Mehmood, K., ... &amp; Zhu, H. (2022). Hematological, serum biochemistry, histopathological and mutagenic impacts of triclosan on fish (bighead carp). </w:t>
      </w:r>
      <w:proofErr w:type="spellStart"/>
      <w:r>
        <w:rPr>
          <w:rFonts w:ascii="Arial" w:hAnsi="Arial" w:cs="Arial"/>
          <w:i/>
          <w:iCs/>
          <w:color w:val="000000" w:themeColor="text1"/>
          <w:sz w:val="20"/>
          <w:szCs w:val="20"/>
          <w:shd w:val="clear" w:color="auto" w:fill="FFFFFF"/>
        </w:rPr>
        <w:t>Agrobiological</w:t>
      </w:r>
      <w:proofErr w:type="spellEnd"/>
      <w:r>
        <w:rPr>
          <w:rFonts w:ascii="Arial" w:hAnsi="Arial" w:cs="Arial"/>
          <w:i/>
          <w:iCs/>
          <w:color w:val="000000" w:themeColor="text1"/>
          <w:sz w:val="20"/>
          <w:szCs w:val="20"/>
          <w:shd w:val="clear" w:color="auto" w:fill="FFFFFF"/>
        </w:rPr>
        <w:t xml:space="preserve"> records</w:t>
      </w:r>
      <w:r>
        <w:rPr>
          <w:rFonts w:ascii="Arial" w:hAnsi="Arial" w:cs="Arial"/>
          <w:color w:val="000000" w:themeColor="text1"/>
          <w:sz w:val="20"/>
          <w:szCs w:val="20"/>
          <w:shd w:val="clear" w:color="auto" w:fill="FFFFFF"/>
        </w:rPr>
        <w:t>, </w:t>
      </w:r>
      <w:r>
        <w:rPr>
          <w:rFonts w:ascii="Arial" w:hAnsi="Arial" w:cs="Arial"/>
          <w:i/>
          <w:iCs/>
          <w:color w:val="000000" w:themeColor="text1"/>
          <w:sz w:val="20"/>
          <w:szCs w:val="20"/>
          <w:shd w:val="clear" w:color="auto" w:fill="FFFFFF"/>
        </w:rPr>
        <w:t>7</w:t>
      </w:r>
      <w:r>
        <w:rPr>
          <w:rFonts w:ascii="Arial" w:hAnsi="Arial" w:cs="Arial"/>
          <w:color w:val="000000" w:themeColor="text1"/>
          <w:sz w:val="20"/>
          <w:szCs w:val="20"/>
          <w:shd w:val="clear" w:color="auto" w:fill="FFFFFF"/>
        </w:rPr>
        <w:t>, 18-</w:t>
      </w:r>
      <w:proofErr w:type="gramStart"/>
      <w:r>
        <w:rPr>
          <w:rFonts w:ascii="Arial" w:hAnsi="Arial" w:cs="Arial"/>
          <w:color w:val="000000" w:themeColor="text1"/>
          <w:sz w:val="20"/>
          <w:szCs w:val="20"/>
          <w:shd w:val="clear" w:color="auto" w:fill="FFFFFF"/>
        </w:rPr>
        <w:t>28.</w:t>
      </w:r>
      <w:r>
        <w:rPr>
          <w:rFonts w:ascii="Arial" w:eastAsia="SimSun" w:hAnsi="Arial" w:cs="Arial"/>
          <w:sz w:val="20"/>
          <w:szCs w:val="20"/>
        </w:rPr>
        <w:t>https://doi.org/10.47278/</w:t>
      </w:r>
      <w:proofErr w:type="spellStart"/>
      <w:r>
        <w:rPr>
          <w:rFonts w:ascii="Arial" w:eastAsia="SimSun" w:hAnsi="Arial" w:cs="Arial"/>
          <w:sz w:val="20"/>
          <w:szCs w:val="20"/>
        </w:rPr>
        <w:t>journal.abr</w:t>
      </w:r>
      <w:proofErr w:type="spellEnd"/>
      <w:r>
        <w:rPr>
          <w:rFonts w:ascii="Arial" w:eastAsia="SimSun" w:hAnsi="Arial" w:cs="Arial"/>
          <w:sz w:val="20"/>
          <w:szCs w:val="20"/>
        </w:rPr>
        <w:t>/2021.009</w:t>
      </w:r>
      <w:proofErr w:type="gramEnd"/>
    </w:p>
    <w:p w14:paraId="1358429C"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Al-Akel, A. S., Al-</w:t>
      </w:r>
      <w:proofErr w:type="spellStart"/>
      <w:r>
        <w:rPr>
          <w:rFonts w:ascii="Arial" w:eastAsiaTheme="minorEastAsia" w:hAnsi="Arial" w:cs="Arial"/>
          <w:color w:val="000000" w:themeColor="text1"/>
          <w:kern w:val="0"/>
          <w:sz w:val="20"/>
          <w:szCs w:val="20"/>
          <w:lang w:eastAsia="en-IN"/>
        </w:rPr>
        <w:t>Balawi</w:t>
      </w:r>
      <w:proofErr w:type="spellEnd"/>
      <w:r>
        <w:rPr>
          <w:rFonts w:ascii="Arial" w:eastAsiaTheme="minorEastAsia" w:hAnsi="Arial" w:cs="Arial"/>
          <w:color w:val="000000" w:themeColor="text1"/>
          <w:kern w:val="0"/>
          <w:sz w:val="20"/>
          <w:szCs w:val="20"/>
          <w:lang w:eastAsia="en-IN"/>
        </w:rPr>
        <w:t>, H. F. A., Al-</w:t>
      </w:r>
      <w:proofErr w:type="spellStart"/>
      <w:r>
        <w:rPr>
          <w:rFonts w:ascii="Arial" w:eastAsiaTheme="minorEastAsia" w:hAnsi="Arial" w:cs="Arial"/>
          <w:color w:val="000000" w:themeColor="text1"/>
          <w:kern w:val="0"/>
          <w:sz w:val="20"/>
          <w:szCs w:val="20"/>
          <w:lang w:eastAsia="en-IN"/>
        </w:rPr>
        <w:t>Misned</w:t>
      </w:r>
      <w:proofErr w:type="spellEnd"/>
      <w:r>
        <w:rPr>
          <w:rFonts w:ascii="Arial" w:eastAsiaTheme="minorEastAsia" w:hAnsi="Arial" w:cs="Arial"/>
          <w:color w:val="000000" w:themeColor="text1"/>
          <w:kern w:val="0"/>
          <w:sz w:val="20"/>
          <w:szCs w:val="20"/>
          <w:lang w:eastAsia="en-IN"/>
        </w:rPr>
        <w:t>, F., Mahboob, S., Ahmad, Z., &amp; Suliman, E. M. (2010). Effects of dietary copper exposure on accumulation, growth, and hematological parameters in Cyprinus carpio. Toxicological &amp; Environmental Chemistry, 92(10), 1865–1878. https://doi.org/10.1080/02772248.2010.486230</w:t>
      </w:r>
    </w:p>
    <w:p w14:paraId="3C001604"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Al-</w:t>
      </w:r>
      <w:proofErr w:type="spellStart"/>
      <w:r>
        <w:rPr>
          <w:rFonts w:ascii="Arial" w:eastAsiaTheme="minorEastAsia" w:hAnsi="Arial" w:cs="Arial"/>
          <w:color w:val="000000" w:themeColor="text1"/>
          <w:kern w:val="0"/>
          <w:sz w:val="20"/>
          <w:szCs w:val="20"/>
          <w:lang w:eastAsia="en-IN"/>
        </w:rPr>
        <w:t>Asgah</w:t>
      </w:r>
      <w:proofErr w:type="spellEnd"/>
      <w:r>
        <w:rPr>
          <w:rFonts w:ascii="Arial" w:eastAsiaTheme="minorEastAsia" w:hAnsi="Arial" w:cs="Arial"/>
          <w:color w:val="000000" w:themeColor="text1"/>
          <w:kern w:val="0"/>
          <w:sz w:val="20"/>
          <w:szCs w:val="20"/>
          <w:lang w:eastAsia="en-IN"/>
        </w:rPr>
        <w:t xml:space="preserve">, N. A., Younis, E.-S. M. I., Abdel-Warith, A.-W. A., Wahbi, O. M., &amp; Allam, H. Y. (2015). </w:t>
      </w:r>
      <w:proofErr w:type="spellStart"/>
      <w:r>
        <w:rPr>
          <w:rFonts w:ascii="Arial" w:eastAsiaTheme="minorEastAsia" w:hAnsi="Arial" w:cs="Arial"/>
          <w:color w:val="000000" w:themeColor="text1"/>
          <w:kern w:val="0"/>
          <w:sz w:val="20"/>
          <w:szCs w:val="20"/>
          <w:lang w:eastAsia="en-IN"/>
        </w:rPr>
        <w:t>Haematological</w:t>
      </w:r>
      <w:proofErr w:type="spellEnd"/>
      <w:r>
        <w:rPr>
          <w:rFonts w:ascii="Arial" w:eastAsiaTheme="minorEastAsia" w:hAnsi="Arial" w:cs="Arial"/>
          <w:color w:val="000000" w:themeColor="text1"/>
          <w:kern w:val="0"/>
          <w:sz w:val="20"/>
          <w:szCs w:val="20"/>
          <w:lang w:eastAsia="en-IN"/>
        </w:rPr>
        <w:t xml:space="preserve"> and biochemical parameters and tissue accumulations of cadmium in Oreochromis niloticus exposed to various concentrations of cadmium chloride. Saudi Journal of Biological Sciences, 22(5), 543–550. https://doi.org/10.1016/j.sjbs.2015.01.002</w:t>
      </w:r>
    </w:p>
    <w:p w14:paraId="6A596BE5"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Banaee, M., Sureda, A., </w:t>
      </w:r>
      <w:proofErr w:type="spellStart"/>
      <w:r>
        <w:rPr>
          <w:rFonts w:ascii="Arial" w:eastAsiaTheme="minorEastAsia" w:hAnsi="Arial" w:cs="Arial"/>
          <w:color w:val="000000" w:themeColor="text1"/>
          <w:kern w:val="0"/>
          <w:sz w:val="20"/>
          <w:szCs w:val="20"/>
          <w:lang w:eastAsia="en-IN"/>
        </w:rPr>
        <w:t>Mirvaghefi</w:t>
      </w:r>
      <w:proofErr w:type="spellEnd"/>
      <w:r>
        <w:rPr>
          <w:rFonts w:ascii="Arial" w:eastAsiaTheme="minorEastAsia" w:hAnsi="Arial" w:cs="Arial"/>
          <w:color w:val="000000" w:themeColor="text1"/>
          <w:kern w:val="0"/>
          <w:sz w:val="20"/>
          <w:szCs w:val="20"/>
          <w:lang w:eastAsia="en-IN"/>
        </w:rPr>
        <w:t>, A. R., &amp; Ahmadi, K. (2011). Effects of diazinon on biochemical parameters of blood in rainbow trout (Oncorhynchus mykiss). Pesticide Biochemistry and Physiology, 99(1), 1–6. https://doi.org/10.1016/j.pestbp.2010.09.001</w:t>
      </w:r>
    </w:p>
    <w:p w14:paraId="038D253C"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proofErr w:type="spellStart"/>
      <w:r>
        <w:rPr>
          <w:rFonts w:ascii="Arial" w:eastAsiaTheme="minorEastAsia" w:hAnsi="Arial" w:cs="Arial"/>
          <w:color w:val="000000" w:themeColor="text1"/>
          <w:kern w:val="0"/>
          <w:sz w:val="20"/>
          <w:szCs w:val="20"/>
          <w:lang w:eastAsia="en-IN"/>
        </w:rPr>
        <w:t>Blaxhall</w:t>
      </w:r>
      <w:proofErr w:type="spellEnd"/>
      <w:r>
        <w:rPr>
          <w:rFonts w:ascii="Arial" w:eastAsiaTheme="minorEastAsia" w:hAnsi="Arial" w:cs="Arial"/>
          <w:color w:val="000000" w:themeColor="text1"/>
          <w:kern w:val="0"/>
          <w:sz w:val="20"/>
          <w:szCs w:val="20"/>
          <w:lang w:eastAsia="en-IN"/>
        </w:rPr>
        <w:t xml:space="preserve">, P. C., &amp; Daisley, K. W. (1973). Routine </w:t>
      </w:r>
      <w:proofErr w:type="spellStart"/>
      <w:r>
        <w:rPr>
          <w:rFonts w:ascii="Arial" w:eastAsiaTheme="minorEastAsia" w:hAnsi="Arial" w:cs="Arial"/>
          <w:color w:val="000000" w:themeColor="text1"/>
          <w:kern w:val="0"/>
          <w:sz w:val="20"/>
          <w:szCs w:val="20"/>
          <w:lang w:eastAsia="en-IN"/>
        </w:rPr>
        <w:t>haematological</w:t>
      </w:r>
      <w:proofErr w:type="spellEnd"/>
      <w:r>
        <w:rPr>
          <w:rFonts w:ascii="Arial" w:eastAsiaTheme="minorEastAsia" w:hAnsi="Arial" w:cs="Arial"/>
          <w:color w:val="000000" w:themeColor="text1"/>
          <w:kern w:val="0"/>
          <w:sz w:val="20"/>
          <w:szCs w:val="20"/>
          <w:lang w:eastAsia="en-IN"/>
        </w:rPr>
        <w:t xml:space="preserve"> methods for use with fish blood. Journal of Fish Biology, 5(6), 771–781. https://doi.org/10.1111/j.1095-8649.1973.tb04510.x</w:t>
      </w:r>
    </w:p>
    <w:p w14:paraId="58DA17A2" w14:textId="77777777" w:rsidR="009441E7" w:rsidRDefault="00A82308" w:rsidP="00314B4C">
      <w:pPr>
        <w:autoSpaceDE w:val="0"/>
        <w:autoSpaceDN w:val="0"/>
        <w:spacing w:line="360" w:lineRule="auto"/>
        <w:ind w:left="600" w:hangingChars="300" w:hanging="600"/>
        <w:contextualSpacing/>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lastRenderedPageBreak/>
        <w:t xml:space="preserve">Bojarski¹, B., Osikowski, A., Hofman, S., </w:t>
      </w:r>
      <w:proofErr w:type="spellStart"/>
      <w:r>
        <w:rPr>
          <w:rFonts w:ascii="Arial" w:hAnsi="Arial" w:cs="Arial"/>
          <w:color w:val="000000" w:themeColor="text1"/>
          <w:sz w:val="20"/>
          <w:szCs w:val="20"/>
          <w:shd w:val="clear" w:color="auto" w:fill="FFFFFF"/>
        </w:rPr>
        <w:t>Szała</w:t>
      </w:r>
      <w:proofErr w:type="spellEnd"/>
      <w:r>
        <w:rPr>
          <w:rFonts w:ascii="Arial" w:hAnsi="Arial" w:cs="Arial"/>
          <w:color w:val="000000" w:themeColor="text1"/>
          <w:sz w:val="20"/>
          <w:szCs w:val="20"/>
          <w:shd w:val="clear" w:color="auto" w:fill="FFFFFF"/>
        </w:rPr>
        <w:t xml:space="preserve">⁴, L., Jurecka⁵, P., &amp; </w:t>
      </w:r>
      <w:proofErr w:type="spellStart"/>
      <w:r>
        <w:rPr>
          <w:rFonts w:ascii="Arial" w:hAnsi="Arial" w:cs="Arial"/>
          <w:color w:val="000000" w:themeColor="text1"/>
          <w:sz w:val="20"/>
          <w:szCs w:val="20"/>
          <w:shd w:val="clear" w:color="auto" w:fill="FFFFFF"/>
        </w:rPr>
        <w:t>Rombel-Bryzek</w:t>
      </w:r>
      <w:proofErr w:type="spellEnd"/>
      <w:r>
        <w:rPr>
          <w:rFonts w:ascii="Arial" w:hAnsi="Arial" w:cs="Arial"/>
          <w:color w:val="000000" w:themeColor="text1"/>
          <w:sz w:val="20"/>
          <w:szCs w:val="20"/>
          <w:shd w:val="clear" w:color="auto" w:fill="FFFFFF"/>
        </w:rPr>
        <w:t xml:space="preserve">⁶, A. (2026). Effects of a </w:t>
      </w:r>
      <w:proofErr w:type="spellStart"/>
      <w:r>
        <w:rPr>
          <w:rFonts w:ascii="Arial" w:hAnsi="Arial" w:cs="Arial"/>
          <w:color w:val="000000" w:themeColor="text1"/>
          <w:sz w:val="20"/>
          <w:szCs w:val="20"/>
          <w:shd w:val="clear" w:color="auto" w:fill="FFFFFF"/>
        </w:rPr>
        <w:t>nicosulfuron</w:t>
      </w:r>
      <w:proofErr w:type="spellEnd"/>
      <w:r>
        <w:rPr>
          <w:rFonts w:ascii="Arial" w:hAnsi="Arial" w:cs="Arial"/>
          <w:color w:val="000000" w:themeColor="text1"/>
          <w:sz w:val="20"/>
          <w:szCs w:val="20"/>
          <w:shd w:val="clear" w:color="auto" w:fill="FFFFFF"/>
        </w:rPr>
        <w:t>-based herbicide on common carp (Cyprinus carpio) under laboratory conditions: pathophysiological and histopathological evaluation. https://doi.org/</w:t>
      </w:r>
      <w:r>
        <w:rPr>
          <w:rFonts w:ascii="Arial" w:eastAsia="SimSun" w:hAnsi="Arial" w:cs="Arial"/>
          <w:sz w:val="20"/>
          <w:szCs w:val="20"/>
        </w:rPr>
        <w:t>10.2478/jvetres-2026-0027</w:t>
      </w:r>
    </w:p>
    <w:p w14:paraId="41C97B77"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Chai, L., Chen, A., Luo, P., Zhao, H., &amp; Wang, H. (2017). Histopathological changes and lipid metabolism in the liver of Bufo </w:t>
      </w:r>
      <w:proofErr w:type="spellStart"/>
      <w:r>
        <w:rPr>
          <w:rFonts w:ascii="Arial" w:eastAsiaTheme="minorEastAsia" w:hAnsi="Arial" w:cs="Arial"/>
          <w:color w:val="000000" w:themeColor="text1"/>
          <w:kern w:val="0"/>
          <w:sz w:val="20"/>
          <w:szCs w:val="20"/>
          <w:lang w:eastAsia="en-IN"/>
        </w:rPr>
        <w:t>gargarizans</w:t>
      </w:r>
      <w:proofErr w:type="spellEnd"/>
      <w:r>
        <w:rPr>
          <w:rFonts w:ascii="Arial" w:eastAsiaTheme="minorEastAsia" w:hAnsi="Arial" w:cs="Arial"/>
          <w:color w:val="000000" w:themeColor="text1"/>
          <w:kern w:val="0"/>
          <w:sz w:val="20"/>
          <w:szCs w:val="20"/>
          <w:lang w:eastAsia="en-IN"/>
        </w:rPr>
        <w:t xml:space="preserve"> tadpoles exposed to triclosan. Chemosphere, 182, 255–266. https://doi.org/10.1016/j.chemosphere.2017.05.040</w:t>
      </w:r>
    </w:p>
    <w:p w14:paraId="6992675C"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Chew, S. F., &amp; Ip, Y. K. (2014). Excretory nitrogen metabolism and </w:t>
      </w:r>
      <w:proofErr w:type="spellStart"/>
      <w:r>
        <w:rPr>
          <w:rFonts w:ascii="Arial" w:eastAsiaTheme="minorEastAsia" w:hAnsi="Arial" w:cs="Arial"/>
          <w:color w:val="000000" w:themeColor="text1"/>
          <w:kern w:val="0"/>
          <w:sz w:val="20"/>
          <w:szCs w:val="20"/>
          <w:lang w:eastAsia="en-IN"/>
        </w:rPr>
        <w:t>defence</w:t>
      </w:r>
      <w:proofErr w:type="spellEnd"/>
      <w:r>
        <w:rPr>
          <w:rFonts w:ascii="Arial" w:eastAsiaTheme="minorEastAsia" w:hAnsi="Arial" w:cs="Arial"/>
          <w:color w:val="000000" w:themeColor="text1"/>
          <w:kern w:val="0"/>
          <w:sz w:val="20"/>
          <w:szCs w:val="20"/>
          <w:lang w:eastAsia="en-IN"/>
        </w:rPr>
        <w:t xml:space="preserve"> against ammonia toxicity in air‐breathing fishes. Journal of Fish Biology, 84(3), 603–638. https://doi.org/10.1111/jfb.12279</w:t>
      </w:r>
    </w:p>
    <w:p w14:paraId="30941A2D" w14:textId="77777777" w:rsidR="009441E7" w:rsidRDefault="00A82308">
      <w:pPr>
        <w:spacing w:line="360" w:lineRule="auto"/>
        <w:ind w:left="600" w:hangingChars="300" w:hanging="60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da Silva, E. B., da Silva Correa, S. A., de Souza Abessa, D. M., da Silva, B. F. X., Rivero, D. H. R. F., &amp; </w:t>
      </w:r>
      <w:proofErr w:type="spellStart"/>
      <w:r>
        <w:rPr>
          <w:rFonts w:ascii="Arial" w:eastAsiaTheme="minorEastAsia" w:hAnsi="Arial" w:cs="Arial"/>
          <w:color w:val="000000" w:themeColor="text1"/>
          <w:kern w:val="0"/>
          <w:sz w:val="20"/>
          <w:szCs w:val="20"/>
          <w:lang w:eastAsia="en-IN"/>
        </w:rPr>
        <w:t>Seriani</w:t>
      </w:r>
      <w:proofErr w:type="spellEnd"/>
      <w:r>
        <w:rPr>
          <w:rFonts w:ascii="Arial" w:eastAsiaTheme="minorEastAsia" w:hAnsi="Arial" w:cs="Arial"/>
          <w:color w:val="000000" w:themeColor="text1"/>
          <w:kern w:val="0"/>
          <w:sz w:val="20"/>
          <w:szCs w:val="20"/>
          <w:lang w:eastAsia="en-IN"/>
        </w:rPr>
        <w:t>, R. (2018). Mucociliary transport, differential white blood cells, and cyto-genotoxicity in peripheral erythrocytes in fish from a polluted urban pond. Environmental Science and Pollution Research, 25(3), 2683–2690.</w:t>
      </w:r>
      <w:r>
        <w:rPr>
          <w:rFonts w:ascii="Arial" w:eastAsia="Helvetica" w:hAnsi="Arial" w:cs="Arial"/>
          <w:color w:val="222222"/>
          <w:sz w:val="20"/>
          <w:szCs w:val="20"/>
          <w:shd w:val="clear" w:color="auto" w:fill="FFFFFF"/>
        </w:rPr>
        <w:t>https://doi.org/10.1007/s11356-017-0729-0</w:t>
      </w:r>
    </w:p>
    <w:p w14:paraId="3CBCFD73"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Dacie, J. V., &amp; Lewis, S. M. (1984). Practical </w:t>
      </w:r>
      <w:proofErr w:type="spellStart"/>
      <w:r>
        <w:rPr>
          <w:rFonts w:ascii="Arial" w:eastAsiaTheme="minorEastAsia" w:hAnsi="Arial" w:cs="Arial"/>
          <w:color w:val="000000" w:themeColor="text1"/>
          <w:kern w:val="0"/>
          <w:sz w:val="20"/>
          <w:szCs w:val="20"/>
          <w:lang w:eastAsia="en-IN"/>
        </w:rPr>
        <w:t>haematology</w:t>
      </w:r>
      <w:proofErr w:type="spellEnd"/>
      <w:r>
        <w:rPr>
          <w:rFonts w:ascii="Arial" w:eastAsiaTheme="minorEastAsia" w:hAnsi="Arial" w:cs="Arial"/>
          <w:color w:val="000000" w:themeColor="text1"/>
          <w:kern w:val="0"/>
          <w:sz w:val="20"/>
          <w:szCs w:val="20"/>
          <w:lang w:eastAsia="en-IN"/>
        </w:rPr>
        <w:t xml:space="preserve"> 6th edition. Edinburgh: Churchill Living stone.</w:t>
      </w:r>
    </w:p>
    <w:p w14:paraId="3953FB18"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Davenport, J., &amp; Matin, A. K. M. A. (1990). Terrestrial locomotion in the climbing perch, Anabas </w:t>
      </w:r>
      <w:proofErr w:type="spellStart"/>
      <w:r>
        <w:rPr>
          <w:rFonts w:ascii="Arial" w:eastAsiaTheme="minorEastAsia" w:hAnsi="Arial" w:cs="Arial"/>
          <w:color w:val="000000" w:themeColor="text1"/>
          <w:kern w:val="0"/>
          <w:sz w:val="20"/>
          <w:szCs w:val="20"/>
          <w:lang w:eastAsia="en-IN"/>
        </w:rPr>
        <w:t>testudineus</w:t>
      </w:r>
      <w:proofErr w:type="spellEnd"/>
      <w:r>
        <w:rPr>
          <w:rFonts w:ascii="Arial" w:eastAsiaTheme="minorEastAsia" w:hAnsi="Arial" w:cs="Arial"/>
          <w:color w:val="000000" w:themeColor="text1"/>
          <w:kern w:val="0"/>
          <w:sz w:val="20"/>
          <w:szCs w:val="20"/>
          <w:lang w:eastAsia="en-IN"/>
        </w:rPr>
        <w:t xml:space="preserve"> (Bloch) (</w:t>
      </w:r>
      <w:proofErr w:type="spellStart"/>
      <w:r>
        <w:rPr>
          <w:rFonts w:ascii="Arial" w:eastAsiaTheme="minorEastAsia" w:hAnsi="Arial" w:cs="Arial"/>
          <w:color w:val="000000" w:themeColor="text1"/>
          <w:kern w:val="0"/>
          <w:sz w:val="20"/>
          <w:szCs w:val="20"/>
          <w:lang w:eastAsia="en-IN"/>
        </w:rPr>
        <w:t>Anabantidea</w:t>
      </w:r>
      <w:proofErr w:type="spellEnd"/>
      <w:r>
        <w:rPr>
          <w:rFonts w:ascii="Arial" w:eastAsiaTheme="minorEastAsia" w:hAnsi="Arial" w:cs="Arial"/>
          <w:color w:val="000000" w:themeColor="text1"/>
          <w:kern w:val="0"/>
          <w:sz w:val="20"/>
          <w:szCs w:val="20"/>
          <w:lang w:eastAsia="en-IN"/>
        </w:rPr>
        <w:t>, Pisces). Journal of Fish Biology, 37(1), 175–184. https://doi.org/10.1111/j.1095-8649.1990.tb05938.x</w:t>
      </w:r>
    </w:p>
    <w:p w14:paraId="65D4AB26"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Deng, H., Li, Y., Zuo, Z., Chen, M., &amp; Wang, C. (2017). Toxic effects of NH4+-N on embryonic development of Bufo </w:t>
      </w:r>
      <w:proofErr w:type="spellStart"/>
      <w:r>
        <w:rPr>
          <w:rFonts w:ascii="Arial" w:eastAsiaTheme="minorEastAsia" w:hAnsi="Arial" w:cs="Arial"/>
          <w:color w:val="000000" w:themeColor="text1"/>
          <w:kern w:val="0"/>
          <w:sz w:val="20"/>
          <w:szCs w:val="20"/>
          <w:lang w:eastAsia="en-IN"/>
        </w:rPr>
        <w:t>gargarizans</w:t>
      </w:r>
      <w:proofErr w:type="spellEnd"/>
      <w:r>
        <w:rPr>
          <w:rFonts w:ascii="Arial" w:eastAsiaTheme="minorEastAsia" w:hAnsi="Arial" w:cs="Arial"/>
          <w:color w:val="000000" w:themeColor="text1"/>
          <w:kern w:val="0"/>
          <w:sz w:val="20"/>
          <w:szCs w:val="20"/>
          <w:lang w:eastAsia="en-IN"/>
        </w:rPr>
        <w:t xml:space="preserve"> and Rana </w:t>
      </w:r>
      <w:proofErr w:type="spellStart"/>
      <w:r>
        <w:rPr>
          <w:rFonts w:ascii="Arial" w:eastAsiaTheme="minorEastAsia" w:hAnsi="Arial" w:cs="Arial"/>
          <w:color w:val="000000" w:themeColor="text1"/>
          <w:kern w:val="0"/>
          <w:sz w:val="20"/>
          <w:szCs w:val="20"/>
          <w:lang w:eastAsia="en-IN"/>
        </w:rPr>
        <w:t>chensinensis</w:t>
      </w:r>
      <w:proofErr w:type="spellEnd"/>
      <w:r>
        <w:rPr>
          <w:rFonts w:ascii="Arial" w:eastAsiaTheme="minorEastAsia" w:hAnsi="Arial" w:cs="Arial"/>
          <w:color w:val="000000" w:themeColor="text1"/>
          <w:kern w:val="0"/>
          <w:sz w:val="20"/>
          <w:szCs w:val="20"/>
          <w:lang w:eastAsia="en-IN"/>
        </w:rPr>
        <w:t>. Chemosphere, 182, 617–623. https://doi.org/10.1016/j.chemosphere.2017.02.156</w:t>
      </w:r>
    </w:p>
    <w:p w14:paraId="2AB6AC12"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Dube, K. V., &amp; Magar, R. S. (2013). Effect of lead nitrate on the </w:t>
      </w:r>
      <w:proofErr w:type="spellStart"/>
      <w:r>
        <w:rPr>
          <w:rFonts w:ascii="Arial" w:eastAsiaTheme="minorEastAsia" w:hAnsi="Arial" w:cs="Arial"/>
          <w:color w:val="000000" w:themeColor="text1"/>
          <w:kern w:val="0"/>
          <w:sz w:val="20"/>
          <w:szCs w:val="20"/>
          <w:lang w:eastAsia="en-IN"/>
        </w:rPr>
        <w:t>haematological</w:t>
      </w:r>
      <w:proofErr w:type="spellEnd"/>
      <w:r>
        <w:rPr>
          <w:rFonts w:ascii="Arial" w:eastAsiaTheme="minorEastAsia" w:hAnsi="Arial" w:cs="Arial"/>
          <w:color w:val="000000" w:themeColor="text1"/>
          <w:kern w:val="0"/>
          <w:sz w:val="20"/>
          <w:szCs w:val="20"/>
          <w:lang w:eastAsia="en-IN"/>
        </w:rPr>
        <w:t xml:space="preserve"> parameters of Channa punctatus. International Multidisciplinary Research Journal, 3, 1–3.</w:t>
      </w:r>
    </w:p>
    <w:p w14:paraId="3CF3EB28"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Dutta, B., Sarma, S. R., &amp; Deka, P. (2015). Lead nitrate toxicity on </w:t>
      </w:r>
      <w:proofErr w:type="spellStart"/>
      <w:r>
        <w:rPr>
          <w:rFonts w:ascii="Arial" w:eastAsiaTheme="minorEastAsia" w:hAnsi="Arial" w:cs="Arial"/>
          <w:color w:val="000000" w:themeColor="text1"/>
          <w:kern w:val="0"/>
          <w:sz w:val="20"/>
          <w:szCs w:val="20"/>
          <w:lang w:eastAsia="en-IN"/>
        </w:rPr>
        <w:t>haematological</w:t>
      </w:r>
      <w:proofErr w:type="spellEnd"/>
      <w:r>
        <w:rPr>
          <w:rFonts w:ascii="Arial" w:eastAsiaTheme="minorEastAsia" w:hAnsi="Arial" w:cs="Arial"/>
          <w:color w:val="000000" w:themeColor="text1"/>
          <w:kern w:val="0"/>
          <w:sz w:val="20"/>
          <w:szCs w:val="20"/>
          <w:lang w:eastAsia="en-IN"/>
        </w:rPr>
        <w:t xml:space="preserve"> changes in a live fish species Channa punctatus (Bloch). International Journal of Fisheries and Aquatic Studies, 3, 196–198.</w:t>
      </w:r>
    </w:p>
    <w:p w14:paraId="74913558"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Ebrahimi, M., &amp; </w:t>
      </w:r>
      <w:proofErr w:type="spellStart"/>
      <w:r>
        <w:rPr>
          <w:rFonts w:ascii="Arial" w:eastAsiaTheme="minorEastAsia" w:hAnsi="Arial" w:cs="Arial"/>
          <w:color w:val="000000" w:themeColor="text1"/>
          <w:kern w:val="0"/>
          <w:sz w:val="20"/>
          <w:szCs w:val="20"/>
          <w:lang w:eastAsia="en-IN"/>
        </w:rPr>
        <w:t>Taherianfard</w:t>
      </w:r>
      <w:proofErr w:type="spellEnd"/>
      <w:r>
        <w:rPr>
          <w:rFonts w:ascii="Arial" w:eastAsiaTheme="minorEastAsia" w:hAnsi="Arial" w:cs="Arial"/>
          <w:color w:val="000000" w:themeColor="text1"/>
          <w:kern w:val="0"/>
          <w:sz w:val="20"/>
          <w:szCs w:val="20"/>
          <w:lang w:eastAsia="en-IN"/>
        </w:rPr>
        <w:t>, M. (2011). The effects of heavy metals exposure on reproductive systems of cyprinid fish from Kor River. Iranian Journal of Fisheries Sciences, 10(1) 13-24. https://doi.org/10.1016/j.chemosphere.2017.02.156</w:t>
      </w:r>
    </w:p>
    <w:p w14:paraId="01B86CAE"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Evans, D. H., Piermarini, P. M., &amp; Choe, K. P. (2005). The multifunctional fish gill: Dominant site of gas exchange, osmoregulation, acid-base regulation, and excretion of nitrogenous waste. Physiological Reviews, 85(1), 97–177. https://doi.org/10.1152/physrev.00050.2003</w:t>
      </w:r>
    </w:p>
    <w:p w14:paraId="1B2DFE7E"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Fazio, F. (2019). Fish hematology analysis as an important tool of aquaculture: A review. Aquaculture, 500, 237–242. https://doi.org/10.1016/j.aquaculture.2018.10.030</w:t>
      </w:r>
    </w:p>
    <w:p w14:paraId="4E88F2DA"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Fernandes, M. N., &amp; Mazon, A. F. (2003). Environmental pollution and fish gill morphology. In A. L. Val &amp; B. G. Kapoor (Eds.), Fish adaptations (pp. 203–231). Science Publishers.</w:t>
      </w:r>
    </w:p>
    <w:p w14:paraId="76D9862F"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Finney, D. J. (1964). Probit analysis. Cambridge University Press, London.</w:t>
      </w:r>
    </w:p>
    <w:p w14:paraId="11FDB5FC"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Fischer-Scherl, T., Veeser, A., Hoffmann, R. W., </w:t>
      </w:r>
      <w:proofErr w:type="spellStart"/>
      <w:r>
        <w:rPr>
          <w:rFonts w:ascii="Arial" w:eastAsiaTheme="minorEastAsia" w:hAnsi="Arial" w:cs="Arial"/>
          <w:color w:val="000000" w:themeColor="text1"/>
          <w:kern w:val="0"/>
          <w:sz w:val="20"/>
          <w:szCs w:val="20"/>
          <w:lang w:eastAsia="en-IN"/>
        </w:rPr>
        <w:t>Kühnhauser</w:t>
      </w:r>
      <w:proofErr w:type="spellEnd"/>
      <w:r>
        <w:rPr>
          <w:rFonts w:ascii="Arial" w:eastAsiaTheme="minorEastAsia" w:hAnsi="Arial" w:cs="Arial"/>
          <w:color w:val="000000" w:themeColor="text1"/>
          <w:kern w:val="0"/>
          <w:sz w:val="20"/>
          <w:szCs w:val="20"/>
          <w:lang w:eastAsia="en-IN"/>
        </w:rPr>
        <w:t xml:space="preserve">, C., Negele, R.-D., &amp; </w:t>
      </w:r>
      <w:proofErr w:type="spellStart"/>
      <w:r>
        <w:rPr>
          <w:rFonts w:ascii="Arial" w:eastAsiaTheme="minorEastAsia" w:hAnsi="Arial" w:cs="Arial"/>
          <w:color w:val="000000" w:themeColor="text1"/>
          <w:kern w:val="0"/>
          <w:sz w:val="20"/>
          <w:szCs w:val="20"/>
          <w:lang w:eastAsia="en-IN"/>
        </w:rPr>
        <w:t>Ewringmann</w:t>
      </w:r>
      <w:proofErr w:type="spellEnd"/>
      <w:r>
        <w:rPr>
          <w:rFonts w:ascii="Arial" w:eastAsiaTheme="minorEastAsia" w:hAnsi="Arial" w:cs="Arial"/>
          <w:color w:val="000000" w:themeColor="text1"/>
          <w:kern w:val="0"/>
          <w:sz w:val="20"/>
          <w:szCs w:val="20"/>
          <w:lang w:eastAsia="en-IN"/>
        </w:rPr>
        <w:t xml:space="preserve">, T. (1991). Morphological effects of acute and chronic atrazine exposure in rainbow trout </w:t>
      </w:r>
      <w:r>
        <w:rPr>
          <w:rFonts w:ascii="Arial" w:eastAsiaTheme="minorEastAsia" w:hAnsi="Arial" w:cs="Arial"/>
          <w:color w:val="000000" w:themeColor="text1"/>
          <w:kern w:val="0"/>
          <w:sz w:val="20"/>
          <w:szCs w:val="20"/>
          <w:lang w:eastAsia="en-IN"/>
        </w:rPr>
        <w:lastRenderedPageBreak/>
        <w:t>(Oncorhynchus mykiss). Archives of Environmental Contamination and Toxicology, 20(4), 454–461.</w:t>
      </w:r>
      <w:r>
        <w:rPr>
          <w:rFonts w:ascii="Arial" w:eastAsia="Helvetica" w:hAnsi="Arial" w:cs="Arial"/>
          <w:color w:val="222222"/>
          <w:sz w:val="20"/>
          <w:szCs w:val="20"/>
          <w:shd w:val="clear" w:color="auto" w:fill="FFFFFF"/>
        </w:rPr>
        <w:t>https://doi.org/10.1007/BF01065833</w:t>
      </w:r>
    </w:p>
    <w:p w14:paraId="4D3B303B" w14:textId="77777777" w:rsidR="009441E7" w:rsidRDefault="00A82308">
      <w:pPr>
        <w:spacing w:line="360" w:lineRule="auto"/>
        <w:ind w:left="600" w:hangingChars="300" w:hanging="600"/>
        <w:jc w:val="both"/>
        <w:rPr>
          <w:rFonts w:ascii="Arial" w:eastAsia="Helvetica" w:hAnsi="Arial" w:cs="Arial"/>
          <w:color w:val="222222"/>
          <w:sz w:val="20"/>
          <w:szCs w:val="20"/>
          <w:shd w:val="clear" w:color="auto" w:fill="FFFFFF"/>
        </w:rPr>
      </w:pPr>
      <w:r>
        <w:rPr>
          <w:rFonts w:ascii="Arial" w:eastAsiaTheme="minorEastAsia" w:hAnsi="Arial" w:cs="Arial"/>
          <w:color w:val="000000" w:themeColor="text1"/>
          <w:kern w:val="0"/>
          <w:sz w:val="20"/>
          <w:szCs w:val="20"/>
          <w:lang w:eastAsia="en-IN"/>
        </w:rPr>
        <w:t>Gernhöfer, M. (2001). Ultrastructural biomarkers as tools to characterize the health status of fish in contaminated streams. Journal of Aquatic Ecosystem Stress and Recovery, 8(3/4), 241–260.</w:t>
      </w:r>
      <w:r>
        <w:rPr>
          <w:rFonts w:ascii="Arial" w:eastAsia="Helvetica" w:hAnsi="Arial" w:cs="Arial"/>
          <w:color w:val="222222"/>
          <w:sz w:val="20"/>
          <w:szCs w:val="20"/>
          <w:shd w:val="clear" w:color="auto" w:fill="FFFFFF"/>
        </w:rPr>
        <w:t>https://doi.org/10.1023/A:1012958804442</w:t>
      </w:r>
    </w:p>
    <w:p w14:paraId="72B61D4C" w14:textId="77777777" w:rsidR="009441E7" w:rsidRDefault="00A82308">
      <w:pPr>
        <w:spacing w:line="360" w:lineRule="auto"/>
        <w:ind w:left="600" w:hangingChars="300" w:hanging="60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Ghiasi, F., Shakoori, A. R., Jafari, N., &amp; Abdollahi, M. (2010). Effects of low concentration of cadmium on the level of lysozyme in serum, leukocyte count and phagocytic index in Cyprinus carpio under wintering conditions. Journal of Fisheries and Aquatic Science, 5(2), 113–119. https://doi.org/10.3923/jfas.2010.113.119</w:t>
      </w:r>
    </w:p>
    <w:p w14:paraId="4F8EF2F5" w14:textId="77777777" w:rsidR="009441E7" w:rsidRDefault="00A82308" w:rsidP="00314B4C">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Gross, W. B., &amp; Siegel, H. B. (1983). Evaluation of the </w:t>
      </w:r>
      <w:proofErr w:type="spellStart"/>
      <w:r>
        <w:rPr>
          <w:rFonts w:ascii="Arial" w:eastAsiaTheme="minorEastAsia" w:hAnsi="Arial" w:cs="Arial"/>
          <w:color w:val="000000" w:themeColor="text1"/>
          <w:kern w:val="0"/>
          <w:sz w:val="20"/>
          <w:szCs w:val="20"/>
          <w:lang w:eastAsia="en-IN"/>
        </w:rPr>
        <w:t>heterofil</w:t>
      </w:r>
      <w:proofErr w:type="spellEnd"/>
      <w:r>
        <w:rPr>
          <w:rFonts w:ascii="Arial" w:eastAsiaTheme="minorEastAsia" w:hAnsi="Arial" w:cs="Arial"/>
          <w:color w:val="000000" w:themeColor="text1"/>
          <w:kern w:val="0"/>
          <w:sz w:val="20"/>
          <w:szCs w:val="20"/>
          <w:lang w:eastAsia="en-IN"/>
        </w:rPr>
        <w:t>/lymphocyte ratio as a measure in chickens. Avian Diseases, 27, 972–979. https://doi.org/10.2307/1590198</w:t>
      </w:r>
    </w:p>
    <w:p w14:paraId="3A0B6EB5"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Heerden, D. van, Vosloo, A., &amp; </w:t>
      </w:r>
      <w:proofErr w:type="spellStart"/>
      <w:r>
        <w:rPr>
          <w:rFonts w:ascii="Arial" w:eastAsiaTheme="minorEastAsia" w:hAnsi="Arial" w:cs="Arial"/>
          <w:color w:val="000000" w:themeColor="text1"/>
          <w:kern w:val="0"/>
          <w:sz w:val="20"/>
          <w:szCs w:val="20"/>
          <w:lang w:eastAsia="en-IN"/>
        </w:rPr>
        <w:t>Nikinmaa</w:t>
      </w:r>
      <w:proofErr w:type="spellEnd"/>
      <w:r>
        <w:rPr>
          <w:rFonts w:ascii="Arial" w:eastAsiaTheme="minorEastAsia" w:hAnsi="Arial" w:cs="Arial"/>
          <w:color w:val="000000" w:themeColor="text1"/>
          <w:kern w:val="0"/>
          <w:sz w:val="20"/>
          <w:szCs w:val="20"/>
          <w:lang w:eastAsia="en-IN"/>
        </w:rPr>
        <w:t>, M. (2004). Effects of short-term copper exposure on gill structure, metallothionein and hypoxia-inducible factor-1α (HIF-1α) levels in rainbow trout (Oncorhynchus mykiss). Aquatic Toxicology, 69(3), 271–280. https://doi.org/10.1016/j.aquatox.2004.06.002</w:t>
      </w:r>
    </w:p>
    <w:p w14:paraId="63A2D717"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Hinton, D. E., Baumann, P. C., Gardner, G. R., Hawkins, W. E., Hendricks, J. D., </w:t>
      </w:r>
      <w:proofErr w:type="spellStart"/>
      <w:r>
        <w:rPr>
          <w:rFonts w:ascii="Arial" w:eastAsiaTheme="minorEastAsia" w:hAnsi="Arial" w:cs="Arial"/>
          <w:color w:val="000000" w:themeColor="text1"/>
          <w:kern w:val="0"/>
          <w:sz w:val="20"/>
          <w:szCs w:val="20"/>
          <w:lang w:eastAsia="en-IN"/>
        </w:rPr>
        <w:t>Murchelano</w:t>
      </w:r>
      <w:proofErr w:type="spellEnd"/>
      <w:r>
        <w:rPr>
          <w:rFonts w:ascii="Arial" w:eastAsiaTheme="minorEastAsia" w:hAnsi="Arial" w:cs="Arial"/>
          <w:color w:val="000000" w:themeColor="text1"/>
          <w:kern w:val="0"/>
          <w:sz w:val="20"/>
          <w:szCs w:val="20"/>
          <w:lang w:eastAsia="en-IN"/>
        </w:rPr>
        <w:t xml:space="preserve">, R. A., &amp; </w:t>
      </w:r>
      <w:proofErr w:type="spellStart"/>
      <w:r>
        <w:rPr>
          <w:rFonts w:ascii="Arial" w:eastAsiaTheme="minorEastAsia" w:hAnsi="Arial" w:cs="Arial"/>
          <w:color w:val="000000" w:themeColor="text1"/>
          <w:kern w:val="0"/>
          <w:sz w:val="20"/>
          <w:szCs w:val="20"/>
          <w:lang w:eastAsia="en-IN"/>
        </w:rPr>
        <w:t>Okihiro</w:t>
      </w:r>
      <w:proofErr w:type="spellEnd"/>
      <w:r>
        <w:rPr>
          <w:rFonts w:ascii="Arial" w:eastAsiaTheme="minorEastAsia" w:hAnsi="Arial" w:cs="Arial"/>
          <w:color w:val="000000" w:themeColor="text1"/>
          <w:kern w:val="0"/>
          <w:sz w:val="20"/>
          <w:szCs w:val="20"/>
          <w:lang w:eastAsia="en-IN"/>
        </w:rPr>
        <w:t>, M. S. (2018). Histopathologic biomarkers. In Biomarkers (pp. 155–210). CRC Press.</w:t>
      </w:r>
    </w:p>
    <w:p w14:paraId="7922762D"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proofErr w:type="spellStart"/>
      <w:r>
        <w:rPr>
          <w:rFonts w:ascii="Arial" w:eastAsiaTheme="minorEastAsia" w:hAnsi="Arial" w:cs="Arial"/>
          <w:color w:val="000000" w:themeColor="text1"/>
          <w:kern w:val="0"/>
          <w:sz w:val="20"/>
          <w:szCs w:val="20"/>
          <w:lang w:eastAsia="en-IN"/>
        </w:rPr>
        <w:t>Jiraungkoorskul</w:t>
      </w:r>
      <w:proofErr w:type="spellEnd"/>
      <w:r>
        <w:rPr>
          <w:rFonts w:ascii="Arial" w:eastAsiaTheme="minorEastAsia" w:hAnsi="Arial" w:cs="Arial"/>
          <w:color w:val="000000" w:themeColor="text1"/>
          <w:kern w:val="0"/>
          <w:sz w:val="20"/>
          <w:szCs w:val="20"/>
          <w:lang w:eastAsia="en-IN"/>
        </w:rPr>
        <w:t xml:space="preserve">, W., </w:t>
      </w:r>
      <w:proofErr w:type="spellStart"/>
      <w:r>
        <w:rPr>
          <w:rFonts w:ascii="Arial" w:eastAsiaTheme="minorEastAsia" w:hAnsi="Arial" w:cs="Arial"/>
          <w:color w:val="000000" w:themeColor="text1"/>
          <w:kern w:val="0"/>
          <w:sz w:val="20"/>
          <w:szCs w:val="20"/>
          <w:lang w:eastAsia="en-IN"/>
        </w:rPr>
        <w:t>Upatham</w:t>
      </w:r>
      <w:proofErr w:type="spellEnd"/>
      <w:r>
        <w:rPr>
          <w:rFonts w:ascii="Arial" w:eastAsiaTheme="minorEastAsia" w:hAnsi="Arial" w:cs="Arial"/>
          <w:color w:val="000000" w:themeColor="text1"/>
          <w:kern w:val="0"/>
          <w:sz w:val="20"/>
          <w:szCs w:val="20"/>
          <w:lang w:eastAsia="en-IN"/>
        </w:rPr>
        <w:t xml:space="preserve">, E. S., </w:t>
      </w:r>
      <w:proofErr w:type="spellStart"/>
      <w:r>
        <w:rPr>
          <w:rFonts w:ascii="Arial" w:eastAsiaTheme="minorEastAsia" w:hAnsi="Arial" w:cs="Arial"/>
          <w:color w:val="000000" w:themeColor="text1"/>
          <w:kern w:val="0"/>
          <w:sz w:val="20"/>
          <w:szCs w:val="20"/>
          <w:lang w:eastAsia="en-IN"/>
        </w:rPr>
        <w:t>Kruatrachue</w:t>
      </w:r>
      <w:proofErr w:type="spellEnd"/>
      <w:r>
        <w:rPr>
          <w:rFonts w:ascii="Arial" w:eastAsiaTheme="minorEastAsia" w:hAnsi="Arial" w:cs="Arial"/>
          <w:color w:val="000000" w:themeColor="text1"/>
          <w:kern w:val="0"/>
          <w:sz w:val="20"/>
          <w:szCs w:val="20"/>
          <w:lang w:eastAsia="en-IN"/>
        </w:rPr>
        <w:t xml:space="preserve">, M., </w:t>
      </w:r>
      <w:proofErr w:type="spellStart"/>
      <w:r>
        <w:rPr>
          <w:rFonts w:ascii="Arial" w:eastAsiaTheme="minorEastAsia" w:hAnsi="Arial" w:cs="Arial"/>
          <w:color w:val="000000" w:themeColor="text1"/>
          <w:kern w:val="0"/>
          <w:sz w:val="20"/>
          <w:szCs w:val="20"/>
          <w:lang w:eastAsia="en-IN"/>
        </w:rPr>
        <w:t>Sahaphong</w:t>
      </w:r>
      <w:proofErr w:type="spellEnd"/>
      <w:r>
        <w:rPr>
          <w:rFonts w:ascii="Arial" w:eastAsiaTheme="minorEastAsia" w:hAnsi="Arial" w:cs="Arial"/>
          <w:color w:val="000000" w:themeColor="text1"/>
          <w:kern w:val="0"/>
          <w:sz w:val="20"/>
          <w:szCs w:val="20"/>
          <w:lang w:eastAsia="en-IN"/>
        </w:rPr>
        <w:t xml:space="preserve">, S., </w:t>
      </w:r>
      <w:proofErr w:type="spellStart"/>
      <w:r>
        <w:rPr>
          <w:rFonts w:ascii="Arial" w:eastAsiaTheme="minorEastAsia" w:hAnsi="Arial" w:cs="Arial"/>
          <w:color w:val="000000" w:themeColor="text1"/>
          <w:kern w:val="0"/>
          <w:sz w:val="20"/>
          <w:szCs w:val="20"/>
          <w:lang w:eastAsia="en-IN"/>
        </w:rPr>
        <w:t>Vichasri</w:t>
      </w:r>
      <w:proofErr w:type="spellEnd"/>
      <w:r>
        <w:rPr>
          <w:rFonts w:ascii="Arial" w:eastAsiaTheme="minorEastAsia" w:hAnsi="Arial" w:cs="Arial"/>
          <w:color w:val="000000" w:themeColor="text1"/>
          <w:kern w:val="0"/>
          <w:sz w:val="20"/>
          <w:szCs w:val="20"/>
          <w:lang w:eastAsia="en-IN"/>
        </w:rPr>
        <w:t xml:space="preserve">‐Grams, S., &amp; </w:t>
      </w:r>
      <w:proofErr w:type="spellStart"/>
      <w:r>
        <w:rPr>
          <w:rFonts w:ascii="Arial" w:eastAsiaTheme="minorEastAsia" w:hAnsi="Arial" w:cs="Arial"/>
          <w:color w:val="000000" w:themeColor="text1"/>
          <w:kern w:val="0"/>
          <w:sz w:val="20"/>
          <w:szCs w:val="20"/>
          <w:lang w:eastAsia="en-IN"/>
        </w:rPr>
        <w:t>Pokethitiyook</w:t>
      </w:r>
      <w:proofErr w:type="spellEnd"/>
      <w:r>
        <w:rPr>
          <w:rFonts w:ascii="Arial" w:eastAsiaTheme="minorEastAsia" w:hAnsi="Arial" w:cs="Arial"/>
          <w:color w:val="000000" w:themeColor="text1"/>
          <w:kern w:val="0"/>
          <w:sz w:val="20"/>
          <w:szCs w:val="20"/>
          <w:lang w:eastAsia="en-IN"/>
        </w:rPr>
        <w:t>, P. (2003). Biochemical and histopathological effects of glyphosate herbicide on Nile tilapia (Oreochromis niloticus). Environmental Toxicology, 18(4), 260–267. https://doi.org/10.1002/tox.10123</w:t>
      </w:r>
    </w:p>
    <w:p w14:paraId="3A1CA0F9"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Kang, J., Kim, S., &amp; Jang, S. (2005). Growth and hematological changes of rockfish, Sebastes </w:t>
      </w:r>
      <w:proofErr w:type="spellStart"/>
      <w:r>
        <w:rPr>
          <w:rFonts w:ascii="Arial" w:eastAsiaTheme="minorEastAsia" w:hAnsi="Arial" w:cs="Arial"/>
          <w:color w:val="000000" w:themeColor="text1"/>
          <w:kern w:val="0"/>
          <w:sz w:val="20"/>
          <w:szCs w:val="20"/>
          <w:lang w:eastAsia="en-IN"/>
        </w:rPr>
        <w:t>schlegeli</w:t>
      </w:r>
      <w:proofErr w:type="spellEnd"/>
      <w:r>
        <w:rPr>
          <w:rFonts w:ascii="Arial" w:eastAsiaTheme="minorEastAsia" w:hAnsi="Arial" w:cs="Arial"/>
          <w:color w:val="000000" w:themeColor="text1"/>
          <w:kern w:val="0"/>
          <w:sz w:val="20"/>
          <w:szCs w:val="20"/>
          <w:lang w:eastAsia="en-IN"/>
        </w:rPr>
        <w:t xml:space="preserve"> (Hilgendorf) exposed to dietary Cu and Cd. Journal of the World Aquaculture Society, 36(2), 188–195. https://doi.org/10.1111/j.1749-7345.2005.tb00384.x</w:t>
      </w:r>
    </w:p>
    <w:p w14:paraId="77583769"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Kaviani, E. F., Naeemi, A. S., &amp; </w:t>
      </w:r>
      <w:proofErr w:type="spellStart"/>
      <w:r>
        <w:rPr>
          <w:rFonts w:ascii="Arial" w:eastAsiaTheme="minorEastAsia" w:hAnsi="Arial" w:cs="Arial"/>
          <w:color w:val="000000" w:themeColor="text1"/>
          <w:kern w:val="0"/>
          <w:sz w:val="20"/>
          <w:szCs w:val="20"/>
          <w:lang w:eastAsia="en-IN"/>
        </w:rPr>
        <w:t>Salehzadeh</w:t>
      </w:r>
      <w:proofErr w:type="spellEnd"/>
      <w:r>
        <w:rPr>
          <w:rFonts w:ascii="Arial" w:eastAsiaTheme="minorEastAsia" w:hAnsi="Arial" w:cs="Arial"/>
          <w:color w:val="000000" w:themeColor="text1"/>
          <w:kern w:val="0"/>
          <w:sz w:val="20"/>
          <w:szCs w:val="20"/>
          <w:lang w:eastAsia="en-IN"/>
        </w:rPr>
        <w:t xml:space="preserve">, A. (2019). Influence of copper oxide nanoparticle on hematology and plasma biochemistry of Caspian trout (Salmo trutta </w:t>
      </w:r>
      <w:proofErr w:type="spellStart"/>
      <w:r>
        <w:rPr>
          <w:rFonts w:ascii="Arial" w:eastAsiaTheme="minorEastAsia" w:hAnsi="Arial" w:cs="Arial"/>
          <w:color w:val="000000" w:themeColor="text1"/>
          <w:kern w:val="0"/>
          <w:sz w:val="20"/>
          <w:szCs w:val="20"/>
          <w:lang w:eastAsia="en-IN"/>
        </w:rPr>
        <w:t>caspius</w:t>
      </w:r>
      <w:proofErr w:type="spellEnd"/>
      <w:r>
        <w:rPr>
          <w:rFonts w:ascii="Arial" w:eastAsiaTheme="minorEastAsia" w:hAnsi="Arial" w:cs="Arial"/>
          <w:color w:val="000000" w:themeColor="text1"/>
          <w:kern w:val="0"/>
          <w:sz w:val="20"/>
          <w:szCs w:val="20"/>
          <w:lang w:eastAsia="en-IN"/>
        </w:rPr>
        <w:t>), following acute and chronic exposure. Pollution, 5(1), 225-234. https://doi.org/10.22059/poll.2018.251034.383</w:t>
      </w:r>
    </w:p>
    <w:p w14:paraId="0E52B7E0"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proofErr w:type="spellStart"/>
      <w:r>
        <w:rPr>
          <w:rFonts w:ascii="Arial" w:eastAsiaTheme="minorEastAsia" w:hAnsi="Arial" w:cs="Arial"/>
          <w:color w:val="000000" w:themeColor="text1"/>
          <w:kern w:val="0"/>
          <w:sz w:val="20"/>
          <w:szCs w:val="20"/>
          <w:lang w:eastAsia="en-IN"/>
        </w:rPr>
        <w:t>Khoshnood</w:t>
      </w:r>
      <w:proofErr w:type="spellEnd"/>
      <w:r>
        <w:rPr>
          <w:rFonts w:ascii="Arial" w:eastAsiaTheme="minorEastAsia" w:hAnsi="Arial" w:cs="Arial"/>
          <w:color w:val="000000" w:themeColor="text1"/>
          <w:kern w:val="0"/>
          <w:sz w:val="20"/>
          <w:szCs w:val="20"/>
          <w:lang w:eastAsia="en-IN"/>
        </w:rPr>
        <w:t xml:space="preserve">, Z., Fallah, S., &amp; </w:t>
      </w:r>
      <w:proofErr w:type="spellStart"/>
      <w:r>
        <w:rPr>
          <w:rFonts w:ascii="Arial" w:eastAsiaTheme="minorEastAsia" w:hAnsi="Arial" w:cs="Arial"/>
          <w:color w:val="000000" w:themeColor="text1"/>
          <w:kern w:val="0"/>
          <w:sz w:val="20"/>
          <w:szCs w:val="20"/>
          <w:lang w:eastAsia="en-IN"/>
        </w:rPr>
        <w:t>Pirali</w:t>
      </w:r>
      <w:proofErr w:type="spellEnd"/>
      <w:r>
        <w:rPr>
          <w:rFonts w:ascii="Arial" w:eastAsiaTheme="minorEastAsia" w:hAnsi="Arial" w:cs="Arial"/>
          <w:color w:val="000000" w:themeColor="text1"/>
          <w:kern w:val="0"/>
          <w:sz w:val="20"/>
          <w:szCs w:val="20"/>
          <w:lang w:eastAsia="en-IN"/>
        </w:rPr>
        <w:t>, H. (2011). Histopathological effects of lead acetate on gills and ovaries of goldfish (Carassius auratus). World Journal of Fish and Marine Sciences, 3(6), 477-481.</w:t>
      </w:r>
    </w:p>
    <w:p w14:paraId="1664C240"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Klepper, O., </w:t>
      </w:r>
      <w:proofErr w:type="spellStart"/>
      <w:r>
        <w:rPr>
          <w:rFonts w:ascii="Arial" w:eastAsiaTheme="minorEastAsia" w:hAnsi="Arial" w:cs="Arial"/>
          <w:color w:val="000000" w:themeColor="text1"/>
          <w:kern w:val="0"/>
          <w:sz w:val="20"/>
          <w:szCs w:val="20"/>
          <w:lang w:eastAsia="en-IN"/>
        </w:rPr>
        <w:t>Chairuddin</w:t>
      </w:r>
      <w:proofErr w:type="spellEnd"/>
      <w:r>
        <w:rPr>
          <w:rFonts w:ascii="Arial" w:eastAsiaTheme="minorEastAsia" w:hAnsi="Arial" w:cs="Arial"/>
          <w:color w:val="000000" w:themeColor="text1"/>
          <w:kern w:val="0"/>
          <w:sz w:val="20"/>
          <w:szCs w:val="20"/>
          <w:lang w:eastAsia="en-IN"/>
        </w:rPr>
        <w:t xml:space="preserve">, G. T., </w:t>
      </w:r>
      <w:proofErr w:type="spellStart"/>
      <w:r>
        <w:rPr>
          <w:rFonts w:ascii="Arial" w:eastAsiaTheme="minorEastAsia" w:hAnsi="Arial" w:cs="Arial"/>
          <w:color w:val="000000" w:themeColor="text1"/>
          <w:kern w:val="0"/>
          <w:sz w:val="20"/>
          <w:szCs w:val="20"/>
          <w:lang w:eastAsia="en-IN"/>
        </w:rPr>
        <w:t>Iriansyah</w:t>
      </w:r>
      <w:proofErr w:type="spellEnd"/>
      <w:r>
        <w:rPr>
          <w:rFonts w:ascii="Arial" w:eastAsiaTheme="minorEastAsia" w:hAnsi="Arial" w:cs="Arial"/>
          <w:color w:val="000000" w:themeColor="text1"/>
          <w:kern w:val="0"/>
          <w:sz w:val="20"/>
          <w:szCs w:val="20"/>
          <w:lang w:eastAsia="en-IN"/>
        </w:rPr>
        <w:t xml:space="preserve">, &amp; </w:t>
      </w:r>
      <w:proofErr w:type="spellStart"/>
      <w:r>
        <w:rPr>
          <w:rFonts w:ascii="Arial" w:eastAsiaTheme="minorEastAsia" w:hAnsi="Arial" w:cs="Arial"/>
          <w:color w:val="000000" w:themeColor="text1"/>
          <w:kern w:val="0"/>
          <w:sz w:val="20"/>
          <w:szCs w:val="20"/>
          <w:lang w:eastAsia="en-IN"/>
        </w:rPr>
        <w:t>Rijksen</w:t>
      </w:r>
      <w:proofErr w:type="spellEnd"/>
      <w:r>
        <w:rPr>
          <w:rFonts w:ascii="Arial" w:eastAsiaTheme="minorEastAsia" w:hAnsi="Arial" w:cs="Arial"/>
          <w:color w:val="000000" w:themeColor="text1"/>
          <w:kern w:val="0"/>
          <w:sz w:val="20"/>
          <w:szCs w:val="20"/>
          <w:lang w:eastAsia="en-IN"/>
        </w:rPr>
        <w:t>, H. D. (1992). Water quality and the distribution of some fishes in an area of acid sulphate soils, Kalimantan, Indonesia. Hydrobiological Bulletin, 25(3), 217–224. https://doi.org/10.1007/BF02270806</w:t>
      </w:r>
    </w:p>
    <w:p w14:paraId="327CDBBB"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Kumar, R., &amp; Banerjee, T. K. (2016). Arsenic induced hematological and biochemical responses in nutritionally important catfish Clarias </w:t>
      </w:r>
      <w:proofErr w:type="spellStart"/>
      <w:r>
        <w:rPr>
          <w:rFonts w:ascii="Arial" w:eastAsiaTheme="minorEastAsia" w:hAnsi="Arial" w:cs="Arial"/>
          <w:color w:val="000000" w:themeColor="text1"/>
          <w:kern w:val="0"/>
          <w:sz w:val="20"/>
          <w:szCs w:val="20"/>
          <w:lang w:eastAsia="en-IN"/>
        </w:rPr>
        <w:t>batrachus</w:t>
      </w:r>
      <w:proofErr w:type="spellEnd"/>
      <w:r>
        <w:rPr>
          <w:rFonts w:ascii="Arial" w:eastAsiaTheme="minorEastAsia" w:hAnsi="Arial" w:cs="Arial"/>
          <w:color w:val="000000" w:themeColor="text1"/>
          <w:kern w:val="0"/>
          <w:sz w:val="20"/>
          <w:szCs w:val="20"/>
          <w:lang w:eastAsia="en-IN"/>
        </w:rPr>
        <w:t xml:space="preserve"> (L.). Toxicology Reports, 3, 148–152. https://doi.org/10.1016/j.toxrep.2016.01.001</w:t>
      </w:r>
    </w:p>
    <w:p w14:paraId="7B065D89"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lastRenderedPageBreak/>
        <w:t xml:space="preserve">Lamidi, I. Y., Hudu, M. G., </w:t>
      </w:r>
      <w:proofErr w:type="spellStart"/>
      <w:r>
        <w:rPr>
          <w:rFonts w:ascii="Arial" w:eastAsiaTheme="minorEastAsia" w:hAnsi="Arial" w:cs="Arial"/>
          <w:color w:val="000000" w:themeColor="text1"/>
          <w:kern w:val="0"/>
          <w:sz w:val="20"/>
          <w:szCs w:val="20"/>
          <w:lang w:eastAsia="en-IN"/>
        </w:rPr>
        <w:t>Akefe</w:t>
      </w:r>
      <w:proofErr w:type="spellEnd"/>
      <w:r>
        <w:rPr>
          <w:rFonts w:ascii="Arial" w:eastAsiaTheme="minorEastAsia" w:hAnsi="Arial" w:cs="Arial"/>
          <w:color w:val="000000" w:themeColor="text1"/>
          <w:kern w:val="0"/>
          <w:sz w:val="20"/>
          <w:szCs w:val="20"/>
          <w:lang w:eastAsia="en-IN"/>
        </w:rPr>
        <w:t xml:space="preserve">, I. O., Adamu, S., &amp; Salihu, S. I. (2020). Sub-chronic administration of flavonoid fraction </w:t>
      </w:r>
      <w:proofErr w:type="spellStart"/>
      <w:r>
        <w:rPr>
          <w:rFonts w:ascii="Arial" w:eastAsiaTheme="minorEastAsia" w:hAnsi="Arial" w:cs="Arial"/>
          <w:color w:val="000000" w:themeColor="text1"/>
          <w:kern w:val="0"/>
          <w:sz w:val="20"/>
          <w:szCs w:val="20"/>
          <w:lang w:eastAsia="en-IN"/>
        </w:rPr>
        <w:t>Daflon</w:t>
      </w:r>
      <w:proofErr w:type="spellEnd"/>
      <w:r>
        <w:rPr>
          <w:rFonts w:ascii="Arial" w:eastAsiaTheme="minorEastAsia" w:hAnsi="Arial" w:cs="Arial"/>
          <w:color w:val="000000" w:themeColor="text1"/>
          <w:kern w:val="0"/>
          <w:sz w:val="20"/>
          <w:szCs w:val="20"/>
          <w:lang w:eastAsia="en-IN"/>
        </w:rPr>
        <w:t xml:space="preserve"> improve lead-induced alterations in delta-</w:t>
      </w:r>
      <w:proofErr w:type="spellStart"/>
      <w:r>
        <w:rPr>
          <w:rFonts w:ascii="Arial" w:eastAsiaTheme="minorEastAsia" w:hAnsi="Arial" w:cs="Arial"/>
          <w:color w:val="000000" w:themeColor="text1"/>
          <w:kern w:val="0"/>
          <w:sz w:val="20"/>
          <w:szCs w:val="20"/>
          <w:lang w:eastAsia="en-IN"/>
        </w:rPr>
        <w:t>aminolevulinic</w:t>
      </w:r>
      <w:proofErr w:type="spellEnd"/>
      <w:r>
        <w:rPr>
          <w:rFonts w:ascii="Arial" w:eastAsiaTheme="minorEastAsia" w:hAnsi="Arial" w:cs="Arial"/>
          <w:color w:val="000000" w:themeColor="text1"/>
          <w:kern w:val="0"/>
          <w:sz w:val="20"/>
          <w:szCs w:val="20"/>
          <w:lang w:eastAsia="en-IN"/>
        </w:rPr>
        <w:t xml:space="preserve"> acid dehydratase activity, erythrocytic parameters, and erythrocyte osmotic fragility in Wistar rats. Comparative Clinical Pathology, 29, 955–963. https://doi.org/10.1007/s00580-020-03144-6</w:t>
      </w:r>
    </w:p>
    <w:p w14:paraId="3E3F5159"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Latif, A., Khalid, M., &amp; Ali, M. (2014). Evaluation of toxic stress of copper sulphate and lead nitrate on hematological and serum biochemical characteristics of freshwater cyprinid (</w:t>
      </w:r>
      <w:proofErr w:type="spellStart"/>
      <w:r>
        <w:rPr>
          <w:rFonts w:ascii="Arial" w:eastAsiaTheme="minorEastAsia" w:hAnsi="Arial" w:cs="Arial"/>
          <w:color w:val="000000" w:themeColor="text1"/>
          <w:kern w:val="0"/>
          <w:sz w:val="20"/>
          <w:szCs w:val="20"/>
          <w:lang w:eastAsia="en-IN"/>
        </w:rPr>
        <w:t>Labeo</w:t>
      </w:r>
      <w:proofErr w:type="spellEnd"/>
      <w:r>
        <w:rPr>
          <w:rFonts w:ascii="Arial" w:eastAsiaTheme="minorEastAsia" w:hAnsi="Arial" w:cs="Arial"/>
          <w:color w:val="000000" w:themeColor="text1"/>
          <w:kern w:val="0"/>
          <w:sz w:val="20"/>
          <w:szCs w:val="20"/>
          <w:lang w:eastAsia="en-IN"/>
        </w:rPr>
        <w:t xml:space="preserve"> </w:t>
      </w:r>
      <w:proofErr w:type="spellStart"/>
      <w:r>
        <w:rPr>
          <w:rFonts w:ascii="Arial" w:eastAsiaTheme="minorEastAsia" w:hAnsi="Arial" w:cs="Arial"/>
          <w:color w:val="000000" w:themeColor="text1"/>
          <w:kern w:val="0"/>
          <w:sz w:val="20"/>
          <w:szCs w:val="20"/>
          <w:lang w:eastAsia="en-IN"/>
        </w:rPr>
        <w:t>rohita</w:t>
      </w:r>
      <w:proofErr w:type="spellEnd"/>
      <w:r>
        <w:rPr>
          <w:rFonts w:ascii="Arial" w:eastAsiaTheme="minorEastAsia" w:hAnsi="Arial" w:cs="Arial"/>
          <w:color w:val="000000" w:themeColor="text1"/>
          <w:kern w:val="0"/>
          <w:sz w:val="20"/>
          <w:szCs w:val="20"/>
          <w:lang w:eastAsia="en-IN"/>
        </w:rPr>
        <w:t>). International Journal of Current Engineering and Technology, 4, 366-372.</w:t>
      </w:r>
    </w:p>
    <w:p w14:paraId="1E20917C"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proofErr w:type="spellStart"/>
      <w:r>
        <w:rPr>
          <w:rFonts w:ascii="Arial" w:eastAsiaTheme="minorEastAsia" w:hAnsi="Arial" w:cs="Arial"/>
          <w:color w:val="000000" w:themeColor="text1"/>
          <w:kern w:val="0"/>
          <w:sz w:val="20"/>
          <w:szCs w:val="20"/>
          <w:lang w:eastAsia="en-IN"/>
        </w:rPr>
        <w:t>Laurén</w:t>
      </w:r>
      <w:proofErr w:type="spellEnd"/>
      <w:r>
        <w:rPr>
          <w:rFonts w:ascii="Arial" w:eastAsiaTheme="minorEastAsia" w:hAnsi="Arial" w:cs="Arial"/>
          <w:color w:val="000000" w:themeColor="text1"/>
          <w:kern w:val="0"/>
          <w:sz w:val="20"/>
          <w:szCs w:val="20"/>
          <w:lang w:eastAsia="en-IN"/>
        </w:rPr>
        <w:t xml:space="preserve">, D. J., &amp; McDonald, D. G. (1985). Effects of copper on branchial </w:t>
      </w:r>
      <w:proofErr w:type="spellStart"/>
      <w:r>
        <w:rPr>
          <w:rFonts w:ascii="Arial" w:eastAsiaTheme="minorEastAsia" w:hAnsi="Arial" w:cs="Arial"/>
          <w:color w:val="000000" w:themeColor="text1"/>
          <w:kern w:val="0"/>
          <w:sz w:val="20"/>
          <w:szCs w:val="20"/>
          <w:lang w:eastAsia="en-IN"/>
        </w:rPr>
        <w:t>ionoregulation</w:t>
      </w:r>
      <w:proofErr w:type="spellEnd"/>
      <w:r>
        <w:rPr>
          <w:rFonts w:ascii="Arial" w:eastAsiaTheme="minorEastAsia" w:hAnsi="Arial" w:cs="Arial"/>
          <w:color w:val="000000" w:themeColor="text1"/>
          <w:kern w:val="0"/>
          <w:sz w:val="20"/>
          <w:szCs w:val="20"/>
          <w:lang w:eastAsia="en-IN"/>
        </w:rPr>
        <w:t xml:space="preserve"> in the rainbow trout, Salmo </w:t>
      </w:r>
      <w:proofErr w:type="spellStart"/>
      <w:r>
        <w:rPr>
          <w:rFonts w:ascii="Arial" w:eastAsiaTheme="minorEastAsia" w:hAnsi="Arial" w:cs="Arial"/>
          <w:color w:val="000000" w:themeColor="text1"/>
          <w:kern w:val="0"/>
          <w:sz w:val="20"/>
          <w:szCs w:val="20"/>
          <w:lang w:eastAsia="en-IN"/>
        </w:rPr>
        <w:t>gairdneri</w:t>
      </w:r>
      <w:proofErr w:type="spellEnd"/>
      <w:r>
        <w:rPr>
          <w:rFonts w:ascii="Arial" w:eastAsiaTheme="minorEastAsia" w:hAnsi="Arial" w:cs="Arial"/>
          <w:color w:val="000000" w:themeColor="text1"/>
          <w:kern w:val="0"/>
          <w:sz w:val="20"/>
          <w:szCs w:val="20"/>
          <w:lang w:eastAsia="en-IN"/>
        </w:rPr>
        <w:t xml:space="preserve"> Richardson. Journal of Comparative Physiology B, 155(5), 635–644. https://doi.org/10.1007/BF00694455</w:t>
      </w:r>
    </w:p>
    <w:p w14:paraId="627A06D4"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Mahapatra, A., Mistri, A., Gupta, P., Kar, S., Mittal, S., &amp; Singh, R. K. (2022). </w:t>
      </w:r>
      <w:proofErr w:type="spellStart"/>
      <w:r>
        <w:rPr>
          <w:rFonts w:ascii="Arial" w:eastAsiaTheme="minorEastAsia" w:hAnsi="Arial" w:cs="Arial"/>
          <w:color w:val="000000" w:themeColor="text1"/>
          <w:kern w:val="0"/>
          <w:sz w:val="20"/>
          <w:szCs w:val="20"/>
          <w:lang w:eastAsia="en-IN"/>
        </w:rPr>
        <w:t>Toxicopathological</w:t>
      </w:r>
      <w:proofErr w:type="spellEnd"/>
      <w:r>
        <w:rPr>
          <w:rFonts w:ascii="Arial" w:eastAsiaTheme="minorEastAsia" w:hAnsi="Arial" w:cs="Arial"/>
          <w:color w:val="000000" w:themeColor="text1"/>
          <w:kern w:val="0"/>
          <w:sz w:val="20"/>
          <w:szCs w:val="20"/>
          <w:lang w:eastAsia="en-IN"/>
        </w:rPr>
        <w:t xml:space="preserve"> impact of sub-lethal concentrations of lead nitrate on the gill of the catfish </w:t>
      </w:r>
      <w:proofErr w:type="spellStart"/>
      <w:r>
        <w:rPr>
          <w:rFonts w:ascii="Arial" w:eastAsiaTheme="minorEastAsia" w:hAnsi="Arial" w:cs="Arial"/>
          <w:color w:val="000000" w:themeColor="text1"/>
          <w:kern w:val="0"/>
          <w:sz w:val="20"/>
          <w:szCs w:val="20"/>
          <w:lang w:eastAsia="en-IN"/>
        </w:rPr>
        <w:t>Heteropneustes</w:t>
      </w:r>
      <w:proofErr w:type="spellEnd"/>
      <w:r>
        <w:rPr>
          <w:rFonts w:ascii="Arial" w:eastAsiaTheme="minorEastAsia" w:hAnsi="Arial" w:cs="Arial"/>
          <w:color w:val="000000" w:themeColor="text1"/>
          <w:kern w:val="0"/>
          <w:sz w:val="20"/>
          <w:szCs w:val="20"/>
          <w:lang w:eastAsia="en-IN"/>
        </w:rPr>
        <w:t xml:space="preserve"> </w:t>
      </w:r>
      <w:proofErr w:type="spellStart"/>
      <w:r>
        <w:rPr>
          <w:rFonts w:ascii="Arial" w:eastAsiaTheme="minorEastAsia" w:hAnsi="Arial" w:cs="Arial"/>
          <w:color w:val="000000" w:themeColor="text1"/>
          <w:kern w:val="0"/>
          <w:sz w:val="20"/>
          <w:szCs w:val="20"/>
          <w:lang w:eastAsia="en-IN"/>
        </w:rPr>
        <w:t>fossilis</w:t>
      </w:r>
      <w:proofErr w:type="spellEnd"/>
      <w:r>
        <w:rPr>
          <w:rFonts w:ascii="Arial" w:eastAsiaTheme="minorEastAsia" w:hAnsi="Arial" w:cs="Arial"/>
          <w:color w:val="000000" w:themeColor="text1"/>
          <w:kern w:val="0"/>
          <w:sz w:val="20"/>
          <w:szCs w:val="20"/>
          <w:lang w:eastAsia="en-IN"/>
        </w:rPr>
        <w:t>. </w:t>
      </w:r>
      <w:r>
        <w:rPr>
          <w:rFonts w:ascii="Arial" w:eastAsiaTheme="minorEastAsia" w:hAnsi="Arial" w:cs="Arial"/>
          <w:i/>
          <w:iCs/>
          <w:color w:val="000000" w:themeColor="text1"/>
          <w:kern w:val="0"/>
          <w:sz w:val="20"/>
          <w:szCs w:val="20"/>
          <w:lang w:eastAsia="en-IN"/>
        </w:rPr>
        <w:t xml:space="preserve">Acta </w:t>
      </w:r>
      <w:proofErr w:type="spellStart"/>
      <w:r>
        <w:rPr>
          <w:rFonts w:ascii="Arial" w:eastAsiaTheme="minorEastAsia" w:hAnsi="Arial" w:cs="Arial"/>
          <w:i/>
          <w:iCs/>
          <w:color w:val="000000" w:themeColor="text1"/>
          <w:kern w:val="0"/>
          <w:sz w:val="20"/>
          <w:szCs w:val="20"/>
          <w:lang w:eastAsia="en-IN"/>
        </w:rPr>
        <w:t>Histochemica</w:t>
      </w:r>
      <w:proofErr w:type="spellEnd"/>
      <w:r>
        <w:rPr>
          <w:rFonts w:ascii="Arial" w:eastAsiaTheme="minorEastAsia" w:hAnsi="Arial" w:cs="Arial"/>
          <w:color w:val="000000" w:themeColor="text1"/>
          <w:kern w:val="0"/>
          <w:sz w:val="20"/>
          <w:szCs w:val="20"/>
          <w:lang w:eastAsia="en-IN"/>
        </w:rPr>
        <w:t>, </w:t>
      </w:r>
      <w:r>
        <w:rPr>
          <w:rFonts w:ascii="Arial" w:eastAsiaTheme="minorEastAsia" w:hAnsi="Arial" w:cs="Arial"/>
          <w:i/>
          <w:iCs/>
          <w:color w:val="000000" w:themeColor="text1"/>
          <w:kern w:val="0"/>
          <w:sz w:val="20"/>
          <w:szCs w:val="20"/>
          <w:lang w:eastAsia="en-IN"/>
        </w:rPr>
        <w:t>124</w:t>
      </w:r>
      <w:r>
        <w:rPr>
          <w:rFonts w:ascii="Arial" w:eastAsiaTheme="minorEastAsia" w:hAnsi="Arial" w:cs="Arial"/>
          <w:color w:val="000000" w:themeColor="text1"/>
          <w:kern w:val="0"/>
          <w:sz w:val="20"/>
          <w:szCs w:val="20"/>
          <w:lang w:eastAsia="en-IN"/>
        </w:rPr>
        <w:t>(2), 151848. https://doi.org/10.1016/j.acthis.2022.151848</w:t>
      </w:r>
    </w:p>
    <w:p w14:paraId="7E64E979"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Mastan, S., Indu Priya, G., &amp; Babu, E. (2008). </w:t>
      </w:r>
      <w:proofErr w:type="spellStart"/>
      <w:r>
        <w:rPr>
          <w:rFonts w:ascii="Arial" w:eastAsiaTheme="minorEastAsia" w:hAnsi="Arial" w:cs="Arial"/>
          <w:color w:val="000000" w:themeColor="text1"/>
          <w:kern w:val="0"/>
          <w:sz w:val="20"/>
          <w:szCs w:val="20"/>
          <w:lang w:eastAsia="en-IN"/>
        </w:rPr>
        <w:t>Haematological</w:t>
      </w:r>
      <w:proofErr w:type="spellEnd"/>
      <w:r>
        <w:rPr>
          <w:rFonts w:ascii="Arial" w:eastAsiaTheme="minorEastAsia" w:hAnsi="Arial" w:cs="Arial"/>
          <w:color w:val="000000" w:themeColor="text1"/>
          <w:kern w:val="0"/>
          <w:sz w:val="20"/>
          <w:szCs w:val="20"/>
          <w:lang w:eastAsia="en-IN"/>
        </w:rPr>
        <w:t xml:space="preserve"> profile of Clarias </w:t>
      </w:r>
      <w:proofErr w:type="spellStart"/>
      <w:r>
        <w:rPr>
          <w:rFonts w:ascii="Arial" w:eastAsiaTheme="minorEastAsia" w:hAnsi="Arial" w:cs="Arial"/>
          <w:color w:val="000000" w:themeColor="text1"/>
          <w:kern w:val="0"/>
          <w:sz w:val="20"/>
          <w:szCs w:val="20"/>
          <w:lang w:eastAsia="en-IN"/>
        </w:rPr>
        <w:t>batrachus</w:t>
      </w:r>
      <w:proofErr w:type="spellEnd"/>
      <w:r>
        <w:rPr>
          <w:rFonts w:ascii="Arial" w:eastAsiaTheme="minorEastAsia" w:hAnsi="Arial" w:cs="Arial"/>
          <w:color w:val="000000" w:themeColor="text1"/>
          <w:kern w:val="0"/>
          <w:sz w:val="20"/>
          <w:szCs w:val="20"/>
          <w:lang w:eastAsia="en-IN"/>
        </w:rPr>
        <w:t xml:space="preserve"> (Linn.) exposed to sub-lethal doses of lead nitrate. Internet Journal of Hematology, 6(1), 4-7.</w:t>
      </w:r>
    </w:p>
    <w:p w14:paraId="005DCDD5"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Mela, M., Guiloski, I. C., Doria, H. B., Randi, M. A. F., Ventura, D. F., Ribeiro, C. A. O., &amp; </w:t>
      </w:r>
      <w:proofErr w:type="spellStart"/>
      <w:r>
        <w:rPr>
          <w:rFonts w:ascii="Arial" w:eastAsiaTheme="minorEastAsia" w:hAnsi="Arial" w:cs="Arial"/>
          <w:color w:val="000000" w:themeColor="text1"/>
          <w:kern w:val="0"/>
          <w:sz w:val="20"/>
          <w:szCs w:val="20"/>
          <w:lang w:eastAsia="en-IN"/>
        </w:rPr>
        <w:t>Prodocimo</w:t>
      </w:r>
      <w:proofErr w:type="spellEnd"/>
      <w:r>
        <w:rPr>
          <w:rFonts w:ascii="Arial" w:eastAsiaTheme="minorEastAsia" w:hAnsi="Arial" w:cs="Arial"/>
          <w:color w:val="000000" w:themeColor="text1"/>
          <w:kern w:val="0"/>
          <w:sz w:val="20"/>
          <w:szCs w:val="20"/>
          <w:lang w:eastAsia="en-IN"/>
        </w:rPr>
        <w:t xml:space="preserve">, V. (2007). Effects of lead on the liver and gills of the fish </w:t>
      </w:r>
      <w:proofErr w:type="spellStart"/>
      <w:r>
        <w:rPr>
          <w:rFonts w:ascii="Arial" w:eastAsiaTheme="minorEastAsia" w:hAnsi="Arial" w:cs="Arial"/>
          <w:color w:val="000000" w:themeColor="text1"/>
          <w:kern w:val="0"/>
          <w:sz w:val="20"/>
          <w:szCs w:val="20"/>
          <w:lang w:eastAsia="en-IN"/>
        </w:rPr>
        <w:t>Prochilodus</w:t>
      </w:r>
      <w:proofErr w:type="spellEnd"/>
      <w:r>
        <w:rPr>
          <w:rFonts w:ascii="Arial" w:eastAsiaTheme="minorEastAsia" w:hAnsi="Arial" w:cs="Arial"/>
          <w:color w:val="000000" w:themeColor="text1"/>
          <w:kern w:val="0"/>
          <w:sz w:val="20"/>
          <w:szCs w:val="20"/>
          <w:lang w:eastAsia="en-IN"/>
        </w:rPr>
        <w:t xml:space="preserve"> lineatus. Ecotoxicology and Environmental Safety, 67(1), 115-124.</w:t>
      </w:r>
    </w:p>
    <w:p w14:paraId="29AE160F"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Munshi, J. S. D., &amp; Hughes, G. M. (1991). Structure of the respiratory islets of accessory respiratory organs and their relationship with the gills in the climbing perch, Anabas </w:t>
      </w:r>
      <w:proofErr w:type="spellStart"/>
      <w:r>
        <w:rPr>
          <w:rFonts w:ascii="Arial" w:eastAsiaTheme="minorEastAsia" w:hAnsi="Arial" w:cs="Arial"/>
          <w:color w:val="000000" w:themeColor="text1"/>
          <w:kern w:val="0"/>
          <w:sz w:val="20"/>
          <w:szCs w:val="20"/>
          <w:lang w:eastAsia="en-IN"/>
        </w:rPr>
        <w:t>testudineus</w:t>
      </w:r>
      <w:proofErr w:type="spellEnd"/>
      <w:r>
        <w:rPr>
          <w:rFonts w:ascii="Arial" w:eastAsiaTheme="minorEastAsia" w:hAnsi="Arial" w:cs="Arial"/>
          <w:color w:val="000000" w:themeColor="text1"/>
          <w:kern w:val="0"/>
          <w:sz w:val="20"/>
          <w:szCs w:val="20"/>
          <w:lang w:eastAsia="en-IN"/>
        </w:rPr>
        <w:t xml:space="preserve"> (Teleostei, Perciformes). Journal of Morphology, 209(3), 241–256. https://doi.org/10.1002/jmor.1052090302</w:t>
      </w:r>
    </w:p>
    <w:p w14:paraId="16910157" w14:textId="77777777" w:rsidR="009441E7" w:rsidRDefault="00A82308">
      <w:pPr>
        <w:autoSpaceDE w:val="0"/>
        <w:autoSpaceDN w:val="0"/>
        <w:spacing w:line="360" w:lineRule="auto"/>
        <w:ind w:left="600" w:hangingChars="300" w:hanging="600"/>
        <w:contextualSpacing/>
        <w:jc w:val="both"/>
        <w:rPr>
          <w:rFonts w:ascii="Arial" w:eastAsia="SimSun" w:hAnsi="Arial" w:cs="Arial"/>
          <w:color w:val="000000" w:themeColor="text1"/>
          <w:sz w:val="20"/>
          <w:szCs w:val="20"/>
          <w:shd w:val="clear" w:color="auto" w:fill="FFFFFF"/>
        </w:rPr>
      </w:pPr>
      <w:proofErr w:type="spellStart"/>
      <w:r>
        <w:rPr>
          <w:rFonts w:ascii="Arial" w:eastAsia="SimSun" w:hAnsi="Arial" w:cs="Arial"/>
          <w:color w:val="000000" w:themeColor="text1"/>
          <w:sz w:val="20"/>
          <w:szCs w:val="20"/>
          <w:shd w:val="clear" w:color="auto" w:fill="FFFFFF"/>
        </w:rPr>
        <w:t>Muthukumaravel</w:t>
      </w:r>
      <w:proofErr w:type="spellEnd"/>
      <w:r>
        <w:rPr>
          <w:rFonts w:ascii="Arial" w:eastAsia="SimSun" w:hAnsi="Arial" w:cs="Arial"/>
          <w:color w:val="000000" w:themeColor="text1"/>
          <w:sz w:val="20"/>
          <w:szCs w:val="20"/>
          <w:shd w:val="clear" w:color="auto" w:fill="FFFFFF"/>
        </w:rPr>
        <w:t xml:space="preserve">, K., Priyadharshini, M., Kanagavalli, V., Vasanthi, N., Ahmed, M. S., </w:t>
      </w:r>
      <w:proofErr w:type="spellStart"/>
      <w:r>
        <w:rPr>
          <w:rFonts w:ascii="Arial" w:eastAsia="SimSun" w:hAnsi="Arial" w:cs="Arial"/>
          <w:color w:val="000000" w:themeColor="text1"/>
          <w:sz w:val="20"/>
          <w:szCs w:val="20"/>
          <w:shd w:val="clear" w:color="auto" w:fill="FFFFFF"/>
        </w:rPr>
        <w:t>Musthafa</w:t>
      </w:r>
      <w:proofErr w:type="spellEnd"/>
      <w:r>
        <w:rPr>
          <w:rFonts w:ascii="Arial" w:eastAsia="SimSun" w:hAnsi="Arial" w:cs="Arial"/>
          <w:color w:val="000000" w:themeColor="text1"/>
          <w:sz w:val="20"/>
          <w:szCs w:val="20"/>
          <w:shd w:val="clear" w:color="auto" w:fill="FFFFFF"/>
        </w:rPr>
        <w:t xml:space="preserve">, M. S., ... &amp; Ravindran, B. (2023). Impact of sublethal phenol in freshwater fish </w:t>
      </w:r>
      <w:proofErr w:type="spellStart"/>
      <w:r>
        <w:rPr>
          <w:rFonts w:ascii="Arial" w:eastAsia="SimSun" w:hAnsi="Arial" w:cs="Arial"/>
          <w:color w:val="000000" w:themeColor="text1"/>
          <w:sz w:val="20"/>
          <w:szCs w:val="20"/>
          <w:shd w:val="clear" w:color="auto" w:fill="FFFFFF"/>
        </w:rPr>
        <w:t>Labeo</w:t>
      </w:r>
      <w:proofErr w:type="spellEnd"/>
      <w:r>
        <w:rPr>
          <w:rFonts w:ascii="Arial" w:eastAsia="SimSun" w:hAnsi="Arial" w:cs="Arial"/>
          <w:color w:val="000000" w:themeColor="text1"/>
          <w:sz w:val="20"/>
          <w:szCs w:val="20"/>
          <w:shd w:val="clear" w:color="auto" w:fill="FFFFFF"/>
        </w:rPr>
        <w:t xml:space="preserve"> </w:t>
      </w:r>
      <w:proofErr w:type="spellStart"/>
      <w:r>
        <w:rPr>
          <w:rFonts w:ascii="Arial" w:eastAsia="SimSun" w:hAnsi="Arial" w:cs="Arial"/>
          <w:color w:val="000000" w:themeColor="text1"/>
          <w:sz w:val="20"/>
          <w:szCs w:val="20"/>
          <w:shd w:val="clear" w:color="auto" w:fill="FFFFFF"/>
        </w:rPr>
        <w:t>rohita</w:t>
      </w:r>
      <w:proofErr w:type="spellEnd"/>
      <w:r>
        <w:rPr>
          <w:rFonts w:ascii="Arial" w:eastAsia="SimSun" w:hAnsi="Arial" w:cs="Arial"/>
          <w:color w:val="000000" w:themeColor="text1"/>
          <w:sz w:val="20"/>
          <w:szCs w:val="20"/>
          <w:shd w:val="clear" w:color="auto" w:fill="FFFFFF"/>
        </w:rPr>
        <w:t xml:space="preserve"> on biochemical and </w:t>
      </w:r>
      <w:proofErr w:type="spellStart"/>
      <w:r>
        <w:rPr>
          <w:rFonts w:ascii="Arial" w:eastAsia="SimSun" w:hAnsi="Arial" w:cs="Arial"/>
          <w:color w:val="000000" w:themeColor="text1"/>
          <w:sz w:val="20"/>
          <w:szCs w:val="20"/>
          <w:shd w:val="clear" w:color="auto" w:fill="FFFFFF"/>
        </w:rPr>
        <w:t>haematological</w:t>
      </w:r>
      <w:proofErr w:type="spellEnd"/>
      <w:r>
        <w:rPr>
          <w:rFonts w:ascii="Arial" w:eastAsia="SimSun" w:hAnsi="Arial" w:cs="Arial"/>
          <w:color w:val="000000" w:themeColor="text1"/>
          <w:sz w:val="20"/>
          <w:szCs w:val="20"/>
          <w:shd w:val="clear" w:color="auto" w:fill="FFFFFF"/>
        </w:rPr>
        <w:t xml:space="preserve"> parameters. </w:t>
      </w:r>
      <w:r>
        <w:rPr>
          <w:rFonts w:ascii="Arial" w:eastAsia="SimSun" w:hAnsi="Arial" w:cs="Arial"/>
          <w:i/>
          <w:iCs/>
          <w:color w:val="000000" w:themeColor="text1"/>
          <w:sz w:val="20"/>
          <w:szCs w:val="20"/>
          <w:shd w:val="clear" w:color="auto" w:fill="FFFFFF"/>
        </w:rPr>
        <w:t>Environmental Monitoring and Assessment</w:t>
      </w:r>
      <w:r>
        <w:rPr>
          <w:rFonts w:ascii="Arial" w:eastAsia="SimSun" w:hAnsi="Arial" w:cs="Arial"/>
          <w:color w:val="000000" w:themeColor="text1"/>
          <w:sz w:val="20"/>
          <w:szCs w:val="20"/>
          <w:shd w:val="clear" w:color="auto" w:fill="FFFFFF"/>
        </w:rPr>
        <w:t>, </w:t>
      </w:r>
      <w:r>
        <w:rPr>
          <w:rFonts w:ascii="Arial" w:eastAsia="SimSun" w:hAnsi="Arial" w:cs="Arial"/>
          <w:i/>
          <w:iCs/>
          <w:color w:val="000000" w:themeColor="text1"/>
          <w:sz w:val="20"/>
          <w:szCs w:val="20"/>
          <w:shd w:val="clear" w:color="auto" w:fill="FFFFFF"/>
        </w:rPr>
        <w:t>195</w:t>
      </w:r>
      <w:r>
        <w:rPr>
          <w:rFonts w:ascii="Arial" w:eastAsia="SimSun" w:hAnsi="Arial" w:cs="Arial"/>
          <w:color w:val="000000" w:themeColor="text1"/>
          <w:sz w:val="20"/>
          <w:szCs w:val="20"/>
          <w:shd w:val="clear" w:color="auto" w:fill="FFFFFF"/>
        </w:rPr>
        <w:t>(1), 10. https://doi.org/10.1007/s10661-022-10554-2</w:t>
      </w:r>
    </w:p>
    <w:p w14:paraId="53ED17D5"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Myers, M. S., Stehr, C. M., Olson, O. P., Johnson, L. L., &amp; McCain, B. B. (1993). National benthic surveillance project: Pacific coast. Fish histopathology and relationships between </w:t>
      </w:r>
      <w:proofErr w:type="spellStart"/>
      <w:r>
        <w:rPr>
          <w:rFonts w:ascii="Arial" w:eastAsiaTheme="minorEastAsia" w:hAnsi="Arial" w:cs="Arial"/>
          <w:color w:val="000000" w:themeColor="text1"/>
          <w:kern w:val="0"/>
          <w:sz w:val="20"/>
          <w:szCs w:val="20"/>
          <w:lang w:eastAsia="en-IN"/>
        </w:rPr>
        <w:t>toxicopathic</w:t>
      </w:r>
      <w:proofErr w:type="spellEnd"/>
      <w:r>
        <w:rPr>
          <w:rFonts w:ascii="Arial" w:eastAsiaTheme="minorEastAsia" w:hAnsi="Arial" w:cs="Arial"/>
          <w:color w:val="000000" w:themeColor="text1"/>
          <w:kern w:val="0"/>
          <w:sz w:val="20"/>
          <w:szCs w:val="20"/>
          <w:lang w:eastAsia="en-IN"/>
        </w:rPr>
        <w:t xml:space="preserve"> lesions and exposure to chemical contaminants for cycles 1 to 5 (1984-88). Technical memo (No. PB-93-178481/XAB; NOAA-TM-NMFS-NWFSC-6). National Marine Fisheries Service, Seattle, WA (United States). Northwest Fisheries Science Center.</w:t>
      </w:r>
    </w:p>
    <w:p w14:paraId="49B82D2E" w14:textId="77777777" w:rsidR="009441E7" w:rsidRDefault="00A82308">
      <w:pPr>
        <w:autoSpaceDE w:val="0"/>
        <w:autoSpaceDN w:val="0"/>
        <w:spacing w:line="360" w:lineRule="auto"/>
        <w:ind w:left="600" w:hangingChars="300" w:hanging="600"/>
        <w:contextualSpacing/>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Naseem, S., Ghaffar, A., Hussain, R., &amp; Khan, A. (2022). Inquisition of Toxic effects of Pyriproxyfen on physical, </w:t>
      </w:r>
      <w:proofErr w:type="spellStart"/>
      <w:r>
        <w:rPr>
          <w:rFonts w:ascii="Arial" w:hAnsi="Arial" w:cs="Arial"/>
          <w:color w:val="000000" w:themeColor="text1"/>
          <w:sz w:val="20"/>
          <w:szCs w:val="20"/>
          <w:shd w:val="clear" w:color="auto" w:fill="FFFFFF"/>
        </w:rPr>
        <w:t>hemato</w:t>
      </w:r>
      <w:proofErr w:type="spellEnd"/>
      <w:r>
        <w:rPr>
          <w:rFonts w:ascii="Arial" w:hAnsi="Arial" w:cs="Arial"/>
          <w:color w:val="000000" w:themeColor="text1"/>
          <w:sz w:val="20"/>
          <w:szCs w:val="20"/>
          <w:shd w:val="clear" w:color="auto" w:fill="FFFFFF"/>
        </w:rPr>
        <w:t xml:space="preserve">-biochemical and histopathological parameters in </w:t>
      </w:r>
      <w:proofErr w:type="spellStart"/>
      <w:r>
        <w:rPr>
          <w:rFonts w:ascii="Arial" w:hAnsi="Arial" w:cs="Arial"/>
          <w:color w:val="000000" w:themeColor="text1"/>
          <w:sz w:val="20"/>
          <w:szCs w:val="20"/>
          <w:shd w:val="clear" w:color="auto" w:fill="FFFFFF"/>
        </w:rPr>
        <w:t>Labeo</w:t>
      </w:r>
      <w:proofErr w:type="spellEnd"/>
      <w:r>
        <w:rPr>
          <w:rFonts w:ascii="Arial" w:hAnsi="Arial" w:cs="Arial"/>
          <w:color w:val="000000" w:themeColor="text1"/>
          <w:sz w:val="20"/>
          <w:szCs w:val="20"/>
          <w:shd w:val="clear" w:color="auto" w:fill="FFFFFF"/>
        </w:rPr>
        <w:t xml:space="preserve"> </w:t>
      </w:r>
      <w:proofErr w:type="spellStart"/>
      <w:r>
        <w:rPr>
          <w:rFonts w:ascii="Arial" w:hAnsi="Arial" w:cs="Arial"/>
          <w:color w:val="000000" w:themeColor="text1"/>
          <w:sz w:val="20"/>
          <w:szCs w:val="20"/>
          <w:shd w:val="clear" w:color="auto" w:fill="FFFFFF"/>
        </w:rPr>
        <w:t>rohita</w:t>
      </w:r>
      <w:proofErr w:type="spellEnd"/>
      <w:r>
        <w:rPr>
          <w:rFonts w:ascii="Arial" w:hAnsi="Arial" w:cs="Arial"/>
          <w:color w:val="000000" w:themeColor="text1"/>
          <w:sz w:val="20"/>
          <w:szCs w:val="20"/>
          <w:shd w:val="clear" w:color="auto" w:fill="FFFFFF"/>
        </w:rPr>
        <w:t xml:space="preserve"> fish. </w:t>
      </w:r>
      <w:r>
        <w:rPr>
          <w:rFonts w:ascii="Arial" w:hAnsi="Arial" w:cs="Arial"/>
          <w:i/>
          <w:iCs/>
          <w:color w:val="000000" w:themeColor="text1"/>
          <w:sz w:val="20"/>
          <w:szCs w:val="20"/>
          <w:shd w:val="clear" w:color="auto" w:fill="FFFFFF"/>
        </w:rPr>
        <w:t>Pakistan veterinary journal</w:t>
      </w:r>
      <w:r>
        <w:rPr>
          <w:rFonts w:ascii="Arial" w:hAnsi="Arial" w:cs="Arial"/>
          <w:color w:val="000000" w:themeColor="text1"/>
          <w:sz w:val="20"/>
          <w:szCs w:val="20"/>
          <w:shd w:val="clear" w:color="auto" w:fill="FFFFFF"/>
        </w:rPr>
        <w:t>, </w:t>
      </w:r>
      <w:r>
        <w:rPr>
          <w:rFonts w:ascii="Arial" w:hAnsi="Arial" w:cs="Arial"/>
          <w:i/>
          <w:iCs/>
          <w:color w:val="000000" w:themeColor="text1"/>
          <w:sz w:val="20"/>
          <w:szCs w:val="20"/>
          <w:shd w:val="clear" w:color="auto" w:fill="FFFFFF"/>
        </w:rPr>
        <w:t>42</w:t>
      </w:r>
      <w:r>
        <w:rPr>
          <w:rFonts w:ascii="Arial" w:hAnsi="Arial" w:cs="Arial"/>
          <w:color w:val="000000" w:themeColor="text1"/>
          <w:sz w:val="20"/>
          <w:szCs w:val="20"/>
          <w:shd w:val="clear" w:color="auto" w:fill="FFFFFF"/>
        </w:rPr>
        <w:t>(3). https://doi.org/</w:t>
      </w:r>
      <w:r>
        <w:rPr>
          <w:rFonts w:ascii="Arial" w:eastAsia="SimSun" w:hAnsi="Arial" w:cs="Arial"/>
          <w:sz w:val="20"/>
          <w:szCs w:val="20"/>
        </w:rPr>
        <w:t>10.29261/pakvetj/2022.014</w:t>
      </w:r>
    </w:p>
    <w:p w14:paraId="39AA1FA5"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proofErr w:type="spellStart"/>
      <w:r>
        <w:rPr>
          <w:rFonts w:ascii="Arial" w:eastAsiaTheme="minorEastAsia" w:hAnsi="Arial" w:cs="Arial"/>
          <w:color w:val="000000" w:themeColor="text1"/>
          <w:kern w:val="0"/>
          <w:sz w:val="20"/>
          <w:szCs w:val="20"/>
          <w:lang w:eastAsia="en-IN"/>
        </w:rPr>
        <w:t>Neskovic</w:t>
      </w:r>
      <w:proofErr w:type="spellEnd"/>
      <w:r>
        <w:rPr>
          <w:rFonts w:ascii="Arial" w:eastAsiaTheme="minorEastAsia" w:hAnsi="Arial" w:cs="Arial"/>
          <w:color w:val="000000" w:themeColor="text1"/>
          <w:kern w:val="0"/>
          <w:sz w:val="20"/>
          <w:szCs w:val="20"/>
          <w:lang w:eastAsia="en-IN"/>
        </w:rPr>
        <w:t xml:space="preserve">, N. K., Elezovic, I., Karan, V., </w:t>
      </w:r>
      <w:proofErr w:type="spellStart"/>
      <w:r>
        <w:rPr>
          <w:rFonts w:ascii="Arial" w:eastAsiaTheme="minorEastAsia" w:hAnsi="Arial" w:cs="Arial"/>
          <w:color w:val="000000" w:themeColor="text1"/>
          <w:kern w:val="0"/>
          <w:sz w:val="20"/>
          <w:szCs w:val="20"/>
          <w:lang w:eastAsia="en-IN"/>
        </w:rPr>
        <w:t>Poleksic</w:t>
      </w:r>
      <w:proofErr w:type="spellEnd"/>
      <w:r>
        <w:rPr>
          <w:rFonts w:ascii="Arial" w:eastAsiaTheme="minorEastAsia" w:hAnsi="Arial" w:cs="Arial"/>
          <w:color w:val="000000" w:themeColor="text1"/>
          <w:kern w:val="0"/>
          <w:sz w:val="20"/>
          <w:szCs w:val="20"/>
          <w:lang w:eastAsia="en-IN"/>
        </w:rPr>
        <w:t>, V., &amp; Budimir, M. (1993). Acute and subacute toxicity of atrazine to carp (Cyprinus carpio L.). Ecotoxicology and Environmental Safety, 25(2), 173–182. https://doi.org/10.1006/eesa.1993.1016</w:t>
      </w:r>
    </w:p>
    <w:p w14:paraId="4E8CBFED"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proofErr w:type="spellStart"/>
      <w:r>
        <w:rPr>
          <w:rFonts w:ascii="Arial" w:eastAsiaTheme="minorEastAsia" w:hAnsi="Arial" w:cs="Arial"/>
          <w:color w:val="000000" w:themeColor="text1"/>
          <w:kern w:val="0"/>
          <w:sz w:val="20"/>
          <w:szCs w:val="20"/>
          <w:lang w:eastAsia="en-IN"/>
        </w:rPr>
        <w:lastRenderedPageBreak/>
        <w:t>Nesković</w:t>
      </w:r>
      <w:proofErr w:type="spellEnd"/>
      <w:r>
        <w:rPr>
          <w:rFonts w:ascii="Arial" w:eastAsiaTheme="minorEastAsia" w:hAnsi="Arial" w:cs="Arial"/>
          <w:color w:val="000000" w:themeColor="text1"/>
          <w:kern w:val="0"/>
          <w:sz w:val="20"/>
          <w:szCs w:val="20"/>
          <w:lang w:eastAsia="en-IN"/>
        </w:rPr>
        <w:t xml:space="preserve">, N. K., </w:t>
      </w:r>
      <w:proofErr w:type="spellStart"/>
      <w:r>
        <w:rPr>
          <w:rFonts w:ascii="Arial" w:eastAsiaTheme="minorEastAsia" w:hAnsi="Arial" w:cs="Arial"/>
          <w:color w:val="000000" w:themeColor="text1"/>
          <w:kern w:val="0"/>
          <w:sz w:val="20"/>
          <w:szCs w:val="20"/>
          <w:lang w:eastAsia="en-IN"/>
        </w:rPr>
        <w:t>Poleksic</w:t>
      </w:r>
      <w:proofErr w:type="spellEnd"/>
      <w:r>
        <w:rPr>
          <w:rFonts w:ascii="Arial" w:eastAsiaTheme="minorEastAsia" w:hAnsi="Arial" w:cs="Arial"/>
          <w:color w:val="000000" w:themeColor="text1"/>
          <w:kern w:val="0"/>
          <w:sz w:val="20"/>
          <w:szCs w:val="20"/>
          <w:lang w:eastAsia="en-IN"/>
        </w:rPr>
        <w:t>, V., Elezovic, I., Karan, V., &amp; Budimir, M. (1996). Biochemical and histopathological effects of glyphosate on carp, Cyprinus carpio L. Bulletin of Environmental Contamination and Toxicology, 56, 295–302.</w:t>
      </w:r>
    </w:p>
    <w:p w14:paraId="08ABCFC7"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Nowak, B. (1992). Histological changes in gills induced by residues of endosulfan. Aquatic Toxicology, 23(1), 65–83. https://doi.org/10.1016/0166-445X(92)90012-C</w:t>
      </w:r>
    </w:p>
    <w:p w14:paraId="424EAF41" w14:textId="77777777" w:rsidR="009441E7" w:rsidRDefault="00A82308">
      <w:pPr>
        <w:autoSpaceDE w:val="0"/>
        <w:autoSpaceDN w:val="0"/>
        <w:spacing w:line="360" w:lineRule="auto"/>
        <w:ind w:left="600" w:hangingChars="300" w:hanging="600"/>
        <w:contextualSpacing/>
        <w:jc w:val="both"/>
        <w:rPr>
          <w:rFonts w:ascii="Arial" w:hAnsi="Arial" w:cs="Arial"/>
          <w:color w:val="000000" w:themeColor="text1"/>
          <w:sz w:val="20"/>
          <w:szCs w:val="20"/>
          <w:shd w:val="clear" w:color="auto" w:fill="FFFFFF"/>
        </w:rPr>
      </w:pPr>
      <w:r>
        <w:rPr>
          <w:rFonts w:ascii="Arial" w:eastAsia="SimSun" w:hAnsi="Arial" w:cs="Arial"/>
          <w:color w:val="000000" w:themeColor="text1"/>
          <w:sz w:val="20"/>
          <w:szCs w:val="20"/>
          <w:shd w:val="clear" w:color="auto" w:fill="FFFFFF"/>
        </w:rPr>
        <w:t xml:space="preserve">Parmar, A. I., &amp; Shah, A. I. (2020). </w:t>
      </w:r>
      <w:proofErr w:type="spellStart"/>
      <w:r>
        <w:rPr>
          <w:rFonts w:ascii="Arial" w:eastAsia="SimSun" w:hAnsi="Arial" w:cs="Arial"/>
          <w:color w:val="000000" w:themeColor="text1"/>
          <w:sz w:val="20"/>
          <w:szCs w:val="20"/>
          <w:shd w:val="clear" w:color="auto" w:fill="FFFFFF"/>
        </w:rPr>
        <w:t>Haematological</w:t>
      </w:r>
      <w:proofErr w:type="spellEnd"/>
      <w:r>
        <w:rPr>
          <w:rFonts w:ascii="Arial" w:eastAsia="SimSun" w:hAnsi="Arial" w:cs="Arial"/>
          <w:color w:val="000000" w:themeColor="text1"/>
          <w:sz w:val="20"/>
          <w:szCs w:val="20"/>
          <w:shd w:val="clear" w:color="auto" w:fill="FFFFFF"/>
        </w:rPr>
        <w:t xml:space="preserve"> parameters and histopathological alterations in the gills of fish, </w:t>
      </w:r>
      <w:proofErr w:type="spellStart"/>
      <w:r>
        <w:rPr>
          <w:rFonts w:ascii="Arial" w:eastAsia="SimSun" w:hAnsi="Arial" w:cs="Arial"/>
          <w:color w:val="000000" w:themeColor="text1"/>
          <w:sz w:val="20"/>
          <w:szCs w:val="20"/>
          <w:shd w:val="clear" w:color="auto" w:fill="FFFFFF"/>
        </w:rPr>
        <w:t>Catla</w:t>
      </w:r>
      <w:proofErr w:type="spellEnd"/>
      <w:r>
        <w:rPr>
          <w:rFonts w:ascii="Arial" w:eastAsia="SimSun" w:hAnsi="Arial" w:cs="Arial"/>
          <w:color w:val="000000" w:themeColor="text1"/>
          <w:sz w:val="20"/>
          <w:szCs w:val="20"/>
          <w:shd w:val="clear" w:color="auto" w:fill="FFFFFF"/>
        </w:rPr>
        <w:t xml:space="preserve"> </w:t>
      </w:r>
      <w:proofErr w:type="spellStart"/>
      <w:r>
        <w:rPr>
          <w:rFonts w:ascii="Arial" w:eastAsia="SimSun" w:hAnsi="Arial" w:cs="Arial"/>
          <w:color w:val="000000" w:themeColor="text1"/>
          <w:sz w:val="20"/>
          <w:szCs w:val="20"/>
          <w:shd w:val="clear" w:color="auto" w:fill="FFFFFF"/>
        </w:rPr>
        <w:t>catla</w:t>
      </w:r>
      <w:proofErr w:type="spellEnd"/>
      <w:r>
        <w:rPr>
          <w:rFonts w:ascii="Arial" w:eastAsia="SimSun" w:hAnsi="Arial" w:cs="Arial"/>
          <w:color w:val="000000" w:themeColor="text1"/>
          <w:sz w:val="20"/>
          <w:szCs w:val="20"/>
          <w:shd w:val="clear" w:color="auto" w:fill="FFFFFF"/>
        </w:rPr>
        <w:t xml:space="preserve"> exposed to azo dye acid red–97. </w:t>
      </w:r>
      <w:r>
        <w:rPr>
          <w:rFonts w:ascii="Arial" w:eastAsia="SimSun" w:hAnsi="Arial" w:cs="Arial"/>
          <w:i/>
          <w:iCs/>
          <w:color w:val="000000" w:themeColor="text1"/>
          <w:sz w:val="20"/>
          <w:szCs w:val="20"/>
          <w:shd w:val="clear" w:color="auto" w:fill="FFFFFF"/>
        </w:rPr>
        <w:t>Advances in Zoology and Botany</w:t>
      </w:r>
      <w:r>
        <w:rPr>
          <w:rFonts w:ascii="Arial" w:eastAsia="SimSun" w:hAnsi="Arial" w:cs="Arial"/>
          <w:color w:val="000000" w:themeColor="text1"/>
          <w:sz w:val="20"/>
          <w:szCs w:val="20"/>
          <w:shd w:val="clear" w:color="auto" w:fill="FFFFFF"/>
        </w:rPr>
        <w:t>, </w:t>
      </w:r>
      <w:r>
        <w:rPr>
          <w:rFonts w:ascii="Arial" w:eastAsia="SimSun" w:hAnsi="Arial" w:cs="Arial"/>
          <w:i/>
          <w:iCs/>
          <w:color w:val="000000" w:themeColor="text1"/>
          <w:sz w:val="20"/>
          <w:szCs w:val="20"/>
          <w:shd w:val="clear" w:color="auto" w:fill="FFFFFF"/>
        </w:rPr>
        <w:t>8</w:t>
      </w:r>
      <w:r>
        <w:rPr>
          <w:rFonts w:ascii="Arial" w:eastAsia="SimSun" w:hAnsi="Arial" w:cs="Arial"/>
          <w:color w:val="000000" w:themeColor="text1"/>
          <w:sz w:val="20"/>
          <w:szCs w:val="20"/>
          <w:shd w:val="clear" w:color="auto" w:fill="FFFFFF"/>
        </w:rPr>
        <w:t>(4), 342-350. https://doi.org/</w:t>
      </w:r>
      <w:r>
        <w:rPr>
          <w:rFonts w:ascii="Arial" w:eastAsia="SimSun" w:hAnsi="Arial" w:cs="Arial"/>
          <w:sz w:val="20"/>
          <w:szCs w:val="20"/>
        </w:rPr>
        <w:t>10.13189/azb.2020.080406</w:t>
      </w:r>
    </w:p>
    <w:p w14:paraId="5FA61FA9"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Patra, R. C., Swarup, D., Naresh, R., Kumar, P., Nandi, D., Shekhar, P., Roy, S., &amp; Ali, S. L. (2007). Tail hair as an indicator of environmental exposure of cows to lead and cadmium in different industrial areas. Ecotoxicology and Environmental Safety, 66(1), 127–131. https://doi.org/10.1016/j.ecoenv.2006.01.005</w:t>
      </w:r>
    </w:p>
    <w:p w14:paraId="03198870"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Raina, S., &amp; Sachar, A. (2014). Effect of heavy metal, zinc and carbamate pesticide, </w:t>
      </w:r>
      <w:proofErr w:type="spellStart"/>
      <w:r>
        <w:rPr>
          <w:rFonts w:ascii="Arial" w:eastAsiaTheme="minorEastAsia" w:hAnsi="Arial" w:cs="Arial"/>
          <w:color w:val="000000" w:themeColor="text1"/>
          <w:kern w:val="0"/>
          <w:sz w:val="20"/>
          <w:szCs w:val="20"/>
          <w:lang w:eastAsia="en-IN"/>
        </w:rPr>
        <w:t>sevin</w:t>
      </w:r>
      <w:proofErr w:type="spellEnd"/>
      <w:r>
        <w:rPr>
          <w:rFonts w:ascii="Arial" w:eastAsiaTheme="minorEastAsia" w:hAnsi="Arial" w:cs="Arial"/>
          <w:color w:val="000000" w:themeColor="text1"/>
          <w:kern w:val="0"/>
          <w:sz w:val="20"/>
          <w:szCs w:val="20"/>
          <w:lang w:eastAsia="en-IN"/>
        </w:rPr>
        <w:t xml:space="preserve"> on </w:t>
      </w:r>
      <w:proofErr w:type="spellStart"/>
      <w:r>
        <w:rPr>
          <w:rFonts w:ascii="Arial" w:eastAsiaTheme="minorEastAsia" w:hAnsi="Arial" w:cs="Arial"/>
          <w:color w:val="000000" w:themeColor="text1"/>
          <w:kern w:val="0"/>
          <w:sz w:val="20"/>
          <w:szCs w:val="20"/>
          <w:lang w:eastAsia="en-IN"/>
        </w:rPr>
        <w:t>haematological</w:t>
      </w:r>
      <w:proofErr w:type="spellEnd"/>
      <w:r>
        <w:rPr>
          <w:rFonts w:ascii="Arial" w:eastAsiaTheme="minorEastAsia" w:hAnsi="Arial" w:cs="Arial"/>
          <w:color w:val="000000" w:themeColor="text1"/>
          <w:kern w:val="0"/>
          <w:sz w:val="20"/>
          <w:szCs w:val="20"/>
          <w:lang w:eastAsia="en-IN"/>
        </w:rPr>
        <w:t xml:space="preserve"> parameters of fish, </w:t>
      </w:r>
      <w:proofErr w:type="spellStart"/>
      <w:r>
        <w:rPr>
          <w:rFonts w:ascii="Arial" w:eastAsiaTheme="minorEastAsia" w:hAnsi="Arial" w:cs="Arial"/>
          <w:color w:val="000000" w:themeColor="text1"/>
          <w:kern w:val="0"/>
          <w:sz w:val="20"/>
          <w:szCs w:val="20"/>
          <w:lang w:eastAsia="en-IN"/>
        </w:rPr>
        <w:t>Labeo</w:t>
      </w:r>
      <w:proofErr w:type="spellEnd"/>
      <w:r>
        <w:rPr>
          <w:rFonts w:ascii="Arial" w:eastAsiaTheme="minorEastAsia" w:hAnsi="Arial" w:cs="Arial"/>
          <w:color w:val="000000" w:themeColor="text1"/>
          <w:kern w:val="0"/>
          <w:sz w:val="20"/>
          <w:szCs w:val="20"/>
          <w:lang w:eastAsia="en-IN"/>
        </w:rPr>
        <w:t xml:space="preserve"> </w:t>
      </w:r>
      <w:proofErr w:type="spellStart"/>
      <w:r>
        <w:rPr>
          <w:rFonts w:ascii="Arial" w:eastAsiaTheme="minorEastAsia" w:hAnsi="Arial" w:cs="Arial"/>
          <w:color w:val="000000" w:themeColor="text1"/>
          <w:kern w:val="0"/>
          <w:sz w:val="20"/>
          <w:szCs w:val="20"/>
          <w:lang w:eastAsia="en-IN"/>
        </w:rPr>
        <w:t>boga</w:t>
      </w:r>
      <w:proofErr w:type="spellEnd"/>
      <w:r>
        <w:rPr>
          <w:rFonts w:ascii="Arial" w:eastAsiaTheme="minorEastAsia" w:hAnsi="Arial" w:cs="Arial"/>
          <w:color w:val="000000" w:themeColor="text1"/>
          <w:kern w:val="0"/>
          <w:sz w:val="20"/>
          <w:szCs w:val="20"/>
          <w:lang w:eastAsia="en-IN"/>
        </w:rPr>
        <w:t>. International Journal of Innovative Research in Science, Engineering and Technology, 3, 12636–12644.</w:t>
      </w:r>
    </w:p>
    <w:p w14:paraId="0593F5B3"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Reichert, W. L., Federighi, D. A., &amp; Malins, D. C. (1979). Uptake and metabolism of lead and cadmium in Coho salmon (Oncorhynchus kisutch). Comparative Biochemistry and Physiology Part C: Comparative Pharmacology, 63(2), 229–234. https://doi.org/10.1016/0306-4492(79)90066-2</w:t>
      </w:r>
    </w:p>
    <w:p w14:paraId="184592AC"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Schmitt, C. J., Caldwell, C. A., Olsen, B., Serdar, D., &amp; Coffey, M. (2002). Inhibition of erythrocyte δ-</w:t>
      </w:r>
      <w:proofErr w:type="spellStart"/>
      <w:r>
        <w:rPr>
          <w:rFonts w:ascii="Arial" w:eastAsiaTheme="minorEastAsia" w:hAnsi="Arial" w:cs="Arial"/>
          <w:color w:val="000000" w:themeColor="text1"/>
          <w:kern w:val="0"/>
          <w:sz w:val="20"/>
          <w:szCs w:val="20"/>
          <w:lang w:eastAsia="en-IN"/>
        </w:rPr>
        <w:t>aminolevulinic</w:t>
      </w:r>
      <w:proofErr w:type="spellEnd"/>
      <w:r>
        <w:rPr>
          <w:rFonts w:ascii="Arial" w:eastAsiaTheme="minorEastAsia" w:hAnsi="Arial" w:cs="Arial"/>
          <w:color w:val="000000" w:themeColor="text1"/>
          <w:kern w:val="0"/>
          <w:sz w:val="20"/>
          <w:szCs w:val="20"/>
          <w:lang w:eastAsia="en-IN"/>
        </w:rPr>
        <w:t xml:space="preserve"> acid dehydratase (ALAD) activity in fish from waters affected by lead smelters. Environmental monitoring and assessment, 77, 99-119. https://doi.org/10.1023/A:1015767503629</w:t>
      </w:r>
    </w:p>
    <w:p w14:paraId="40189542"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Sharma, J., &amp; Langer, S. (2014). Effect of manganese on </w:t>
      </w:r>
      <w:proofErr w:type="spellStart"/>
      <w:r>
        <w:rPr>
          <w:rFonts w:ascii="Arial" w:eastAsiaTheme="minorEastAsia" w:hAnsi="Arial" w:cs="Arial"/>
          <w:color w:val="000000" w:themeColor="text1"/>
          <w:kern w:val="0"/>
          <w:sz w:val="20"/>
          <w:szCs w:val="20"/>
          <w:lang w:eastAsia="en-IN"/>
        </w:rPr>
        <w:t>haematological</w:t>
      </w:r>
      <w:proofErr w:type="spellEnd"/>
      <w:r>
        <w:rPr>
          <w:rFonts w:ascii="Arial" w:eastAsiaTheme="minorEastAsia" w:hAnsi="Arial" w:cs="Arial"/>
          <w:color w:val="000000" w:themeColor="text1"/>
          <w:kern w:val="0"/>
          <w:sz w:val="20"/>
          <w:szCs w:val="20"/>
          <w:lang w:eastAsia="en-IN"/>
        </w:rPr>
        <w:t xml:space="preserve"> parameters of fish, </w:t>
      </w:r>
      <w:proofErr w:type="spellStart"/>
      <w:r>
        <w:rPr>
          <w:rFonts w:ascii="Arial" w:eastAsiaTheme="minorEastAsia" w:hAnsi="Arial" w:cs="Arial"/>
          <w:color w:val="000000" w:themeColor="text1"/>
          <w:kern w:val="0"/>
          <w:sz w:val="20"/>
          <w:szCs w:val="20"/>
          <w:lang w:eastAsia="en-IN"/>
        </w:rPr>
        <w:t>Garra</w:t>
      </w:r>
      <w:proofErr w:type="spellEnd"/>
      <w:r>
        <w:rPr>
          <w:rFonts w:ascii="Arial" w:eastAsiaTheme="minorEastAsia" w:hAnsi="Arial" w:cs="Arial"/>
          <w:color w:val="000000" w:themeColor="text1"/>
          <w:kern w:val="0"/>
          <w:sz w:val="20"/>
          <w:szCs w:val="20"/>
          <w:lang w:eastAsia="en-IN"/>
        </w:rPr>
        <w:t xml:space="preserve"> </w:t>
      </w:r>
      <w:proofErr w:type="spellStart"/>
      <w:r>
        <w:rPr>
          <w:rFonts w:ascii="Arial" w:eastAsiaTheme="minorEastAsia" w:hAnsi="Arial" w:cs="Arial"/>
          <w:color w:val="000000" w:themeColor="text1"/>
          <w:kern w:val="0"/>
          <w:sz w:val="20"/>
          <w:szCs w:val="20"/>
          <w:lang w:eastAsia="en-IN"/>
        </w:rPr>
        <w:t>gotyla</w:t>
      </w:r>
      <w:proofErr w:type="spellEnd"/>
      <w:r>
        <w:rPr>
          <w:rFonts w:ascii="Arial" w:eastAsiaTheme="minorEastAsia" w:hAnsi="Arial" w:cs="Arial"/>
          <w:color w:val="000000" w:themeColor="text1"/>
          <w:kern w:val="0"/>
          <w:sz w:val="20"/>
          <w:szCs w:val="20"/>
          <w:lang w:eastAsia="en-IN"/>
        </w:rPr>
        <w:t xml:space="preserve"> </w:t>
      </w:r>
      <w:proofErr w:type="spellStart"/>
      <w:r>
        <w:rPr>
          <w:rFonts w:ascii="Arial" w:eastAsiaTheme="minorEastAsia" w:hAnsi="Arial" w:cs="Arial"/>
          <w:color w:val="000000" w:themeColor="text1"/>
          <w:kern w:val="0"/>
          <w:sz w:val="20"/>
          <w:szCs w:val="20"/>
          <w:lang w:eastAsia="en-IN"/>
        </w:rPr>
        <w:t>gotyla</w:t>
      </w:r>
      <w:proofErr w:type="spellEnd"/>
      <w:r>
        <w:rPr>
          <w:rFonts w:ascii="Arial" w:eastAsiaTheme="minorEastAsia" w:hAnsi="Arial" w:cs="Arial"/>
          <w:color w:val="000000" w:themeColor="text1"/>
          <w:kern w:val="0"/>
          <w:sz w:val="20"/>
          <w:szCs w:val="20"/>
          <w:lang w:eastAsia="en-IN"/>
        </w:rPr>
        <w:t>. Journal of Entomology and Zoology Studies, 2, 77–81.</w:t>
      </w:r>
    </w:p>
    <w:p w14:paraId="0A22EC32"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Sherif, A. H., Okasha, L. A., Kassab, A. S., Abass, M. E., &amp; Kasem, E. A. (2024). Long-term exposure to lead nitrate and zinc sulfate Nile tilapia </w:t>
      </w:r>
      <w:proofErr w:type="gramStart"/>
      <w:r>
        <w:rPr>
          <w:rFonts w:ascii="Arial" w:eastAsiaTheme="minorEastAsia" w:hAnsi="Arial" w:cs="Arial"/>
          <w:color w:val="000000" w:themeColor="text1"/>
          <w:kern w:val="0"/>
          <w:sz w:val="20"/>
          <w:szCs w:val="20"/>
          <w:lang w:eastAsia="en-IN"/>
        </w:rPr>
        <w:t>impact</w:t>
      </w:r>
      <w:proofErr w:type="gramEnd"/>
      <w:r>
        <w:rPr>
          <w:rFonts w:ascii="Arial" w:eastAsiaTheme="minorEastAsia" w:hAnsi="Arial" w:cs="Arial"/>
          <w:color w:val="000000" w:themeColor="text1"/>
          <w:kern w:val="0"/>
          <w:sz w:val="20"/>
          <w:szCs w:val="20"/>
          <w:lang w:eastAsia="en-IN"/>
        </w:rPr>
        <w:t xml:space="preserve"> the Aeromonas </w:t>
      </w:r>
      <w:proofErr w:type="spellStart"/>
      <w:r>
        <w:rPr>
          <w:rFonts w:ascii="Arial" w:eastAsiaTheme="minorEastAsia" w:hAnsi="Arial" w:cs="Arial"/>
          <w:color w:val="000000" w:themeColor="text1"/>
          <w:kern w:val="0"/>
          <w:sz w:val="20"/>
          <w:szCs w:val="20"/>
          <w:lang w:eastAsia="en-IN"/>
        </w:rPr>
        <w:t>hydrophila</w:t>
      </w:r>
      <w:proofErr w:type="spellEnd"/>
      <w:r>
        <w:rPr>
          <w:rFonts w:ascii="Arial" w:eastAsiaTheme="minorEastAsia" w:hAnsi="Arial" w:cs="Arial"/>
          <w:color w:val="000000" w:themeColor="text1"/>
          <w:kern w:val="0"/>
          <w:sz w:val="20"/>
          <w:szCs w:val="20"/>
          <w:lang w:eastAsia="en-IN"/>
        </w:rPr>
        <w:t xml:space="preserve"> treatment. </w:t>
      </w:r>
      <w:r>
        <w:rPr>
          <w:rFonts w:ascii="Arial" w:eastAsiaTheme="minorEastAsia" w:hAnsi="Arial" w:cs="Arial"/>
          <w:i/>
          <w:iCs/>
          <w:color w:val="000000" w:themeColor="text1"/>
          <w:kern w:val="0"/>
          <w:sz w:val="20"/>
          <w:szCs w:val="20"/>
          <w:lang w:eastAsia="en-IN"/>
        </w:rPr>
        <w:t>Molecular Biology Reports</w:t>
      </w:r>
      <w:r>
        <w:rPr>
          <w:rFonts w:ascii="Arial" w:eastAsiaTheme="minorEastAsia" w:hAnsi="Arial" w:cs="Arial"/>
          <w:color w:val="000000" w:themeColor="text1"/>
          <w:kern w:val="0"/>
          <w:sz w:val="20"/>
          <w:szCs w:val="20"/>
          <w:lang w:eastAsia="en-IN"/>
        </w:rPr>
        <w:t>, </w:t>
      </w:r>
      <w:r>
        <w:rPr>
          <w:rFonts w:ascii="Arial" w:eastAsiaTheme="minorEastAsia" w:hAnsi="Arial" w:cs="Arial"/>
          <w:i/>
          <w:iCs/>
          <w:color w:val="000000" w:themeColor="text1"/>
          <w:kern w:val="0"/>
          <w:sz w:val="20"/>
          <w:szCs w:val="20"/>
          <w:lang w:eastAsia="en-IN"/>
        </w:rPr>
        <w:t>51</w:t>
      </w:r>
      <w:r>
        <w:rPr>
          <w:rFonts w:ascii="Arial" w:eastAsiaTheme="minorEastAsia" w:hAnsi="Arial" w:cs="Arial"/>
          <w:color w:val="000000" w:themeColor="text1"/>
          <w:kern w:val="0"/>
          <w:sz w:val="20"/>
          <w:szCs w:val="20"/>
          <w:lang w:eastAsia="en-IN"/>
        </w:rPr>
        <w:t>(1), 71. https://doi.org/10.1007/s11033-023-09033-9</w:t>
      </w:r>
    </w:p>
    <w:p w14:paraId="78CBE279"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Singh, R. N. (2012). Histopathological alterations in the kidney of Cyprinus carpio after exposure to dimethoate (EC 30%). Indian Journal of Scientific Research, 3(1), 127.</w:t>
      </w:r>
    </w:p>
    <w:p w14:paraId="40BC3185" w14:textId="77777777" w:rsidR="009441E7" w:rsidRDefault="00A82308">
      <w:pPr>
        <w:autoSpaceDE w:val="0"/>
        <w:autoSpaceDN w:val="0"/>
        <w:spacing w:line="360" w:lineRule="auto"/>
        <w:ind w:left="600" w:hangingChars="300" w:hanging="600"/>
        <w:contextualSpacing/>
        <w:jc w:val="both"/>
        <w:rPr>
          <w:rFonts w:ascii="Arial" w:eastAsia="SimSun" w:hAnsi="Arial" w:cs="Arial"/>
          <w:color w:val="000000" w:themeColor="text1"/>
          <w:sz w:val="20"/>
          <w:szCs w:val="20"/>
          <w:shd w:val="clear" w:color="auto" w:fill="FFFFFF"/>
        </w:rPr>
      </w:pPr>
      <w:r>
        <w:rPr>
          <w:rFonts w:ascii="Arial" w:eastAsia="SimSun" w:hAnsi="Arial" w:cs="Arial"/>
          <w:color w:val="000000" w:themeColor="text1"/>
          <w:sz w:val="20"/>
          <w:szCs w:val="20"/>
          <w:shd w:val="clear" w:color="auto" w:fill="FFFFFF"/>
        </w:rPr>
        <w:t xml:space="preserve">Sinha, B. K., Gour, J. K., Singh, M. K., &amp; Nigam, A. K. (2022). Effects of pesticides on </w:t>
      </w:r>
      <w:proofErr w:type="spellStart"/>
      <w:r>
        <w:rPr>
          <w:rFonts w:ascii="Arial" w:eastAsia="SimSun" w:hAnsi="Arial" w:cs="Arial"/>
          <w:color w:val="000000" w:themeColor="text1"/>
          <w:sz w:val="20"/>
          <w:szCs w:val="20"/>
          <w:shd w:val="clear" w:color="auto" w:fill="FFFFFF"/>
        </w:rPr>
        <w:t>haematological</w:t>
      </w:r>
      <w:proofErr w:type="spellEnd"/>
      <w:r>
        <w:rPr>
          <w:rFonts w:ascii="Arial" w:eastAsia="SimSun" w:hAnsi="Arial" w:cs="Arial"/>
          <w:color w:val="000000" w:themeColor="text1"/>
          <w:sz w:val="20"/>
          <w:szCs w:val="20"/>
          <w:shd w:val="clear" w:color="auto" w:fill="FFFFFF"/>
        </w:rPr>
        <w:t xml:space="preserve"> parameters of fish: recent updates. </w:t>
      </w:r>
      <w:r>
        <w:rPr>
          <w:rFonts w:ascii="Arial" w:eastAsia="SimSun" w:hAnsi="Arial" w:cs="Arial"/>
          <w:i/>
          <w:iCs/>
          <w:color w:val="000000" w:themeColor="text1"/>
          <w:sz w:val="20"/>
          <w:szCs w:val="20"/>
          <w:shd w:val="clear" w:color="auto" w:fill="FFFFFF"/>
        </w:rPr>
        <w:t>J. Sci. Res</w:t>
      </w:r>
      <w:r>
        <w:rPr>
          <w:rFonts w:ascii="Arial" w:eastAsia="SimSun" w:hAnsi="Arial" w:cs="Arial"/>
          <w:color w:val="000000" w:themeColor="text1"/>
          <w:sz w:val="20"/>
          <w:szCs w:val="20"/>
          <w:shd w:val="clear" w:color="auto" w:fill="FFFFFF"/>
        </w:rPr>
        <w:t>, </w:t>
      </w:r>
      <w:r>
        <w:rPr>
          <w:rFonts w:ascii="Arial" w:eastAsia="SimSun" w:hAnsi="Arial" w:cs="Arial"/>
          <w:i/>
          <w:iCs/>
          <w:color w:val="000000" w:themeColor="text1"/>
          <w:sz w:val="20"/>
          <w:szCs w:val="20"/>
          <w:shd w:val="clear" w:color="auto" w:fill="FFFFFF"/>
        </w:rPr>
        <w:t>66</w:t>
      </w:r>
      <w:r>
        <w:rPr>
          <w:rFonts w:ascii="Arial" w:eastAsia="SimSun" w:hAnsi="Arial" w:cs="Arial"/>
          <w:color w:val="000000" w:themeColor="text1"/>
          <w:sz w:val="20"/>
          <w:szCs w:val="20"/>
          <w:shd w:val="clear" w:color="auto" w:fill="FFFFFF"/>
        </w:rPr>
        <w:t>(01), 269-283. https://doi.org/</w:t>
      </w:r>
      <w:r>
        <w:rPr>
          <w:rFonts w:ascii="Arial" w:eastAsia="SimSun" w:hAnsi="Arial" w:cs="Arial"/>
          <w:sz w:val="20"/>
          <w:szCs w:val="20"/>
        </w:rPr>
        <w:t>10.37398/JSR.2022.660129</w:t>
      </w:r>
    </w:p>
    <w:p w14:paraId="0EC49502"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Soni, R., &amp; </w:t>
      </w:r>
      <w:proofErr w:type="spellStart"/>
      <w:r>
        <w:rPr>
          <w:rFonts w:ascii="Arial" w:eastAsiaTheme="minorEastAsia" w:hAnsi="Arial" w:cs="Arial"/>
          <w:color w:val="000000" w:themeColor="text1"/>
          <w:kern w:val="0"/>
          <w:sz w:val="20"/>
          <w:szCs w:val="20"/>
          <w:lang w:eastAsia="en-IN"/>
        </w:rPr>
        <w:t>Gaherwal</w:t>
      </w:r>
      <w:proofErr w:type="spellEnd"/>
      <w:r>
        <w:rPr>
          <w:rFonts w:ascii="Arial" w:eastAsiaTheme="minorEastAsia" w:hAnsi="Arial" w:cs="Arial"/>
          <w:color w:val="000000" w:themeColor="text1"/>
          <w:kern w:val="0"/>
          <w:sz w:val="20"/>
          <w:szCs w:val="20"/>
          <w:lang w:eastAsia="en-IN"/>
        </w:rPr>
        <w:t xml:space="preserve">, S. G. (2018). Effect of herbicide 2, 4-D on hematological parameters of Clarias </w:t>
      </w:r>
      <w:proofErr w:type="spellStart"/>
      <w:r>
        <w:rPr>
          <w:rFonts w:ascii="Arial" w:eastAsiaTheme="minorEastAsia" w:hAnsi="Arial" w:cs="Arial"/>
          <w:color w:val="000000" w:themeColor="text1"/>
          <w:kern w:val="0"/>
          <w:sz w:val="20"/>
          <w:szCs w:val="20"/>
          <w:lang w:eastAsia="en-IN"/>
        </w:rPr>
        <w:t>batrachus</w:t>
      </w:r>
      <w:proofErr w:type="spellEnd"/>
      <w:r>
        <w:rPr>
          <w:rFonts w:ascii="Arial" w:eastAsiaTheme="minorEastAsia" w:hAnsi="Arial" w:cs="Arial"/>
          <w:color w:val="000000" w:themeColor="text1"/>
          <w:kern w:val="0"/>
          <w:sz w:val="20"/>
          <w:szCs w:val="20"/>
          <w:lang w:eastAsia="en-IN"/>
        </w:rPr>
        <w:t>. International Journal of Current Research in Life Sciences, 7, 2441–2444.</w:t>
      </w:r>
    </w:p>
    <w:p w14:paraId="26953177" w14:textId="77777777" w:rsidR="009441E7" w:rsidRDefault="00A82308">
      <w:pPr>
        <w:autoSpaceDE w:val="0"/>
        <w:autoSpaceDN w:val="0"/>
        <w:spacing w:line="360" w:lineRule="auto"/>
        <w:ind w:left="600" w:hangingChars="300" w:hanging="600"/>
        <w:contextualSpacing/>
        <w:jc w:val="both"/>
        <w:rPr>
          <w:rFonts w:ascii="Arial" w:eastAsia="SimSun" w:hAnsi="Arial" w:cs="Arial"/>
          <w:color w:val="000000" w:themeColor="text1"/>
          <w:sz w:val="20"/>
          <w:szCs w:val="20"/>
          <w:shd w:val="clear" w:color="auto" w:fill="FFFFFF"/>
          <w:lang w:eastAsia="en-IN"/>
        </w:rPr>
      </w:pPr>
      <w:r>
        <w:rPr>
          <w:rFonts w:ascii="Arial" w:hAnsi="Arial" w:cs="Arial"/>
          <w:color w:val="000000" w:themeColor="text1"/>
          <w:sz w:val="20"/>
          <w:szCs w:val="20"/>
          <w:shd w:val="clear" w:color="auto" w:fill="FFFFFF"/>
        </w:rPr>
        <w:t xml:space="preserve">Stalin, A., Suganthi, P., Mathivani, S., Paray, B. A., Al-Sadoon, M. K., Gokula, V., &amp; </w:t>
      </w:r>
      <w:proofErr w:type="spellStart"/>
      <w:r>
        <w:rPr>
          <w:rFonts w:ascii="Arial" w:hAnsi="Arial" w:cs="Arial"/>
          <w:color w:val="000000" w:themeColor="text1"/>
          <w:sz w:val="20"/>
          <w:szCs w:val="20"/>
          <w:shd w:val="clear" w:color="auto" w:fill="FFFFFF"/>
        </w:rPr>
        <w:t>Musthafa</w:t>
      </w:r>
      <w:proofErr w:type="spellEnd"/>
      <w:r>
        <w:rPr>
          <w:rFonts w:ascii="Arial" w:hAnsi="Arial" w:cs="Arial"/>
          <w:color w:val="000000" w:themeColor="text1"/>
          <w:sz w:val="20"/>
          <w:szCs w:val="20"/>
          <w:shd w:val="clear" w:color="auto" w:fill="FFFFFF"/>
        </w:rPr>
        <w:t>, M. S. (2019). Impact of chlorpyrifos on behavior and histopathological indices in different tissues of freshwater fish Channa punctatus (Bloch). </w:t>
      </w:r>
      <w:r>
        <w:rPr>
          <w:rFonts w:ascii="Arial" w:hAnsi="Arial" w:cs="Arial"/>
          <w:i/>
          <w:iCs/>
          <w:color w:val="000000" w:themeColor="text1"/>
          <w:sz w:val="20"/>
          <w:szCs w:val="20"/>
          <w:shd w:val="clear" w:color="auto" w:fill="FFFFFF"/>
        </w:rPr>
        <w:t>Environmental Science and Pollution Research</w:t>
      </w:r>
      <w:r>
        <w:rPr>
          <w:rFonts w:ascii="Arial" w:hAnsi="Arial" w:cs="Arial"/>
          <w:color w:val="000000" w:themeColor="text1"/>
          <w:sz w:val="20"/>
          <w:szCs w:val="20"/>
          <w:shd w:val="clear" w:color="auto" w:fill="FFFFFF"/>
        </w:rPr>
        <w:t>, </w:t>
      </w:r>
      <w:r>
        <w:rPr>
          <w:rFonts w:ascii="Arial" w:hAnsi="Arial" w:cs="Arial"/>
          <w:i/>
          <w:iCs/>
          <w:color w:val="000000" w:themeColor="text1"/>
          <w:sz w:val="20"/>
          <w:szCs w:val="20"/>
          <w:shd w:val="clear" w:color="auto" w:fill="FFFFFF"/>
        </w:rPr>
        <w:t>26</w:t>
      </w:r>
      <w:r>
        <w:rPr>
          <w:rFonts w:ascii="Arial" w:hAnsi="Arial" w:cs="Arial"/>
          <w:color w:val="000000" w:themeColor="text1"/>
          <w:sz w:val="20"/>
          <w:szCs w:val="20"/>
          <w:shd w:val="clear" w:color="auto" w:fill="FFFFFF"/>
        </w:rPr>
        <w:t>(17), 17623-17631. https://doi.org/10.1007/s11356-019-05165-3</w:t>
      </w:r>
    </w:p>
    <w:p w14:paraId="44975D80"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lastRenderedPageBreak/>
        <w:t xml:space="preserve">Sulekha, B. T., &amp; Anna Mercy, T. V. (2021). Histopathological changes in the liver and kidney of Anabas </w:t>
      </w:r>
      <w:proofErr w:type="spellStart"/>
      <w:r>
        <w:rPr>
          <w:rFonts w:ascii="Arial" w:eastAsiaTheme="minorEastAsia" w:hAnsi="Arial" w:cs="Arial"/>
          <w:color w:val="000000" w:themeColor="text1"/>
          <w:kern w:val="0"/>
          <w:sz w:val="20"/>
          <w:szCs w:val="20"/>
          <w:lang w:eastAsia="en-IN"/>
        </w:rPr>
        <w:t>testudineus</w:t>
      </w:r>
      <w:proofErr w:type="spellEnd"/>
      <w:r>
        <w:rPr>
          <w:rFonts w:ascii="Arial" w:eastAsiaTheme="minorEastAsia" w:hAnsi="Arial" w:cs="Arial"/>
          <w:color w:val="000000" w:themeColor="text1"/>
          <w:kern w:val="0"/>
          <w:sz w:val="20"/>
          <w:szCs w:val="20"/>
          <w:lang w:eastAsia="en-IN"/>
        </w:rPr>
        <w:t xml:space="preserve"> exposed to sub-lethal concentrations of </w:t>
      </w:r>
      <w:proofErr w:type="spellStart"/>
      <w:r>
        <w:rPr>
          <w:rFonts w:ascii="Arial" w:eastAsiaTheme="minorEastAsia" w:hAnsi="Arial" w:cs="Arial"/>
          <w:color w:val="000000" w:themeColor="text1"/>
          <w:kern w:val="0"/>
          <w:sz w:val="20"/>
          <w:szCs w:val="20"/>
          <w:lang w:eastAsia="en-IN"/>
        </w:rPr>
        <w:t>phosphamidon</w:t>
      </w:r>
      <w:proofErr w:type="spellEnd"/>
      <w:r>
        <w:rPr>
          <w:rFonts w:ascii="Arial" w:eastAsiaTheme="minorEastAsia" w:hAnsi="Arial" w:cs="Arial"/>
          <w:color w:val="000000" w:themeColor="text1"/>
          <w:kern w:val="0"/>
          <w:sz w:val="20"/>
          <w:szCs w:val="20"/>
          <w:lang w:eastAsia="en-IN"/>
        </w:rPr>
        <w:t>. Uttar Pradesh Journal of Zoology, 42(24), 814-820.</w:t>
      </w:r>
    </w:p>
    <w:p w14:paraId="7DEAC4F9"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Sulekha, B. T., &amp; Anna Mercy, T. V. (2022). Sublethal effects of </w:t>
      </w:r>
      <w:proofErr w:type="spellStart"/>
      <w:r>
        <w:rPr>
          <w:rFonts w:ascii="Arial" w:eastAsiaTheme="minorEastAsia" w:hAnsi="Arial" w:cs="Arial"/>
          <w:color w:val="000000" w:themeColor="text1"/>
          <w:kern w:val="0"/>
          <w:sz w:val="20"/>
          <w:szCs w:val="20"/>
          <w:lang w:eastAsia="en-IN"/>
        </w:rPr>
        <w:t>monocrotophos</w:t>
      </w:r>
      <w:proofErr w:type="spellEnd"/>
      <w:r>
        <w:rPr>
          <w:rFonts w:ascii="Arial" w:eastAsiaTheme="minorEastAsia" w:hAnsi="Arial" w:cs="Arial"/>
          <w:color w:val="000000" w:themeColor="text1"/>
          <w:kern w:val="0"/>
          <w:sz w:val="20"/>
          <w:szCs w:val="20"/>
          <w:lang w:eastAsia="en-IN"/>
        </w:rPr>
        <w:t xml:space="preserve"> on histological architecture of liver and kidney of a freshwater fish, Anabas </w:t>
      </w:r>
      <w:proofErr w:type="spellStart"/>
      <w:r>
        <w:rPr>
          <w:rFonts w:ascii="Arial" w:eastAsiaTheme="minorEastAsia" w:hAnsi="Arial" w:cs="Arial"/>
          <w:color w:val="000000" w:themeColor="text1"/>
          <w:kern w:val="0"/>
          <w:sz w:val="20"/>
          <w:szCs w:val="20"/>
          <w:lang w:eastAsia="en-IN"/>
        </w:rPr>
        <w:t>testudineus</w:t>
      </w:r>
      <w:proofErr w:type="spellEnd"/>
      <w:r>
        <w:rPr>
          <w:rFonts w:ascii="Arial" w:eastAsiaTheme="minorEastAsia" w:hAnsi="Arial" w:cs="Arial"/>
          <w:color w:val="000000" w:themeColor="text1"/>
          <w:kern w:val="0"/>
          <w:sz w:val="20"/>
          <w:szCs w:val="20"/>
          <w:lang w:eastAsia="en-IN"/>
        </w:rPr>
        <w:t>. Ecology, Environment and Conservation, 1216–1225. http://doi.org/10.53550/EEC.2022.v28i03.019</w:t>
      </w:r>
    </w:p>
    <w:p w14:paraId="32937D9E"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Swarup, D., Patra, R. C., Naresh, R., Kumar, P., Shekhar, P., &amp; </w:t>
      </w:r>
      <w:proofErr w:type="spellStart"/>
      <w:r>
        <w:rPr>
          <w:rFonts w:ascii="Arial" w:eastAsiaTheme="minorEastAsia" w:hAnsi="Arial" w:cs="Arial"/>
          <w:color w:val="000000" w:themeColor="text1"/>
          <w:kern w:val="0"/>
          <w:sz w:val="20"/>
          <w:szCs w:val="20"/>
          <w:lang w:eastAsia="en-IN"/>
        </w:rPr>
        <w:t>Balagangatharathilagar</w:t>
      </w:r>
      <w:proofErr w:type="spellEnd"/>
      <w:r>
        <w:rPr>
          <w:rFonts w:ascii="Arial" w:eastAsiaTheme="minorEastAsia" w:hAnsi="Arial" w:cs="Arial"/>
          <w:color w:val="000000" w:themeColor="text1"/>
          <w:kern w:val="0"/>
          <w:sz w:val="20"/>
          <w:szCs w:val="20"/>
          <w:lang w:eastAsia="en-IN"/>
        </w:rPr>
        <w:t>, M. (2006). Lowered blood copper and cobalt contents in goats reared around lead–zinc smelter. Small Ruminant Research, 63(3), 309–313. https://doi.org/10.1016/j.smallrumres.2005.03.011</w:t>
      </w:r>
    </w:p>
    <w:p w14:paraId="5F46E54C"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proofErr w:type="spellStart"/>
      <w:r>
        <w:rPr>
          <w:rFonts w:ascii="Arial" w:eastAsiaTheme="minorEastAsia" w:hAnsi="Arial" w:cs="Arial"/>
          <w:color w:val="000000" w:themeColor="text1"/>
          <w:kern w:val="0"/>
          <w:sz w:val="20"/>
          <w:szCs w:val="20"/>
          <w:lang w:eastAsia="en-IN"/>
        </w:rPr>
        <w:t>Thophon</w:t>
      </w:r>
      <w:proofErr w:type="spellEnd"/>
      <w:r>
        <w:rPr>
          <w:rFonts w:ascii="Arial" w:eastAsiaTheme="minorEastAsia" w:hAnsi="Arial" w:cs="Arial"/>
          <w:color w:val="000000" w:themeColor="text1"/>
          <w:kern w:val="0"/>
          <w:sz w:val="20"/>
          <w:szCs w:val="20"/>
          <w:lang w:eastAsia="en-IN"/>
        </w:rPr>
        <w:t xml:space="preserve">, S., </w:t>
      </w:r>
      <w:proofErr w:type="spellStart"/>
      <w:r>
        <w:rPr>
          <w:rFonts w:ascii="Arial" w:eastAsiaTheme="minorEastAsia" w:hAnsi="Arial" w:cs="Arial"/>
          <w:color w:val="000000" w:themeColor="text1"/>
          <w:kern w:val="0"/>
          <w:sz w:val="20"/>
          <w:szCs w:val="20"/>
          <w:lang w:eastAsia="en-IN"/>
        </w:rPr>
        <w:t>Kruatrachue</w:t>
      </w:r>
      <w:proofErr w:type="spellEnd"/>
      <w:r>
        <w:rPr>
          <w:rFonts w:ascii="Arial" w:eastAsiaTheme="minorEastAsia" w:hAnsi="Arial" w:cs="Arial"/>
          <w:color w:val="000000" w:themeColor="text1"/>
          <w:kern w:val="0"/>
          <w:sz w:val="20"/>
          <w:szCs w:val="20"/>
          <w:lang w:eastAsia="en-IN"/>
        </w:rPr>
        <w:t xml:space="preserve">, M., </w:t>
      </w:r>
      <w:proofErr w:type="spellStart"/>
      <w:r>
        <w:rPr>
          <w:rFonts w:ascii="Arial" w:eastAsiaTheme="minorEastAsia" w:hAnsi="Arial" w:cs="Arial"/>
          <w:color w:val="000000" w:themeColor="text1"/>
          <w:kern w:val="0"/>
          <w:sz w:val="20"/>
          <w:szCs w:val="20"/>
          <w:lang w:eastAsia="en-IN"/>
        </w:rPr>
        <w:t>Upatham</w:t>
      </w:r>
      <w:proofErr w:type="spellEnd"/>
      <w:r>
        <w:rPr>
          <w:rFonts w:ascii="Arial" w:eastAsiaTheme="minorEastAsia" w:hAnsi="Arial" w:cs="Arial"/>
          <w:color w:val="000000" w:themeColor="text1"/>
          <w:kern w:val="0"/>
          <w:sz w:val="20"/>
          <w:szCs w:val="20"/>
          <w:lang w:eastAsia="en-IN"/>
        </w:rPr>
        <w:t xml:space="preserve">, E. S., </w:t>
      </w:r>
      <w:proofErr w:type="spellStart"/>
      <w:r>
        <w:rPr>
          <w:rFonts w:ascii="Arial" w:eastAsiaTheme="minorEastAsia" w:hAnsi="Arial" w:cs="Arial"/>
          <w:color w:val="000000" w:themeColor="text1"/>
          <w:kern w:val="0"/>
          <w:sz w:val="20"/>
          <w:szCs w:val="20"/>
          <w:lang w:eastAsia="en-IN"/>
        </w:rPr>
        <w:t>Pokethitiyook</w:t>
      </w:r>
      <w:proofErr w:type="spellEnd"/>
      <w:r>
        <w:rPr>
          <w:rFonts w:ascii="Arial" w:eastAsiaTheme="minorEastAsia" w:hAnsi="Arial" w:cs="Arial"/>
          <w:color w:val="000000" w:themeColor="text1"/>
          <w:kern w:val="0"/>
          <w:sz w:val="20"/>
          <w:szCs w:val="20"/>
          <w:lang w:eastAsia="en-IN"/>
        </w:rPr>
        <w:t xml:space="preserve">, P., </w:t>
      </w:r>
      <w:proofErr w:type="spellStart"/>
      <w:r>
        <w:rPr>
          <w:rFonts w:ascii="Arial" w:eastAsiaTheme="minorEastAsia" w:hAnsi="Arial" w:cs="Arial"/>
          <w:color w:val="000000" w:themeColor="text1"/>
          <w:kern w:val="0"/>
          <w:sz w:val="20"/>
          <w:szCs w:val="20"/>
          <w:lang w:eastAsia="en-IN"/>
        </w:rPr>
        <w:t>Sahaphong</w:t>
      </w:r>
      <w:proofErr w:type="spellEnd"/>
      <w:r>
        <w:rPr>
          <w:rFonts w:ascii="Arial" w:eastAsiaTheme="minorEastAsia" w:hAnsi="Arial" w:cs="Arial"/>
          <w:color w:val="000000" w:themeColor="text1"/>
          <w:kern w:val="0"/>
          <w:sz w:val="20"/>
          <w:szCs w:val="20"/>
          <w:lang w:eastAsia="en-IN"/>
        </w:rPr>
        <w:t>, S., &amp; Jaritkhuan, S. (2003). Histopathological alterations of white seabass, Lates calcarifer, in acute and subchronic cadmium exposure. Environmental pollution, 121(3), 307-320. https://doi.org/10.1016/S0269-7491(02)00270-1</w:t>
      </w:r>
    </w:p>
    <w:p w14:paraId="3DD778B7" w14:textId="77777777" w:rsidR="009441E7" w:rsidRDefault="00A82308">
      <w:pPr>
        <w:autoSpaceDE w:val="0"/>
        <w:autoSpaceDN w:val="0"/>
        <w:spacing w:line="360" w:lineRule="auto"/>
        <w:ind w:left="600" w:hangingChars="300" w:hanging="600"/>
        <w:contextualSpacing/>
        <w:jc w:val="both"/>
        <w:rPr>
          <w:rFonts w:ascii="Arial" w:eastAsia="SimSun" w:hAnsi="Arial" w:cs="Arial"/>
          <w:color w:val="000000" w:themeColor="text1"/>
          <w:sz w:val="20"/>
          <w:szCs w:val="20"/>
          <w:shd w:val="clear" w:color="auto" w:fill="FFFFFF"/>
          <w:lang w:eastAsia="en-IN"/>
        </w:rPr>
      </w:pPr>
      <w:r>
        <w:rPr>
          <w:rFonts w:ascii="Arial" w:hAnsi="Arial" w:cs="Arial"/>
          <w:color w:val="000000" w:themeColor="text1"/>
          <w:sz w:val="20"/>
          <w:szCs w:val="20"/>
          <w:shd w:val="clear" w:color="auto" w:fill="FFFFFF"/>
        </w:rPr>
        <w:t xml:space="preserve">Trivedi, S. P., Singh, S., Trivedi, A., &amp; Kumar, M. (2022). Mercuric chloride‐induced oxidative stress, genotoxicity, </w:t>
      </w:r>
      <w:proofErr w:type="spellStart"/>
      <w:r>
        <w:rPr>
          <w:rFonts w:ascii="Arial" w:hAnsi="Arial" w:cs="Arial"/>
          <w:color w:val="000000" w:themeColor="text1"/>
          <w:sz w:val="20"/>
          <w:szCs w:val="20"/>
          <w:shd w:val="clear" w:color="auto" w:fill="FFFFFF"/>
        </w:rPr>
        <w:t>haematological</w:t>
      </w:r>
      <w:proofErr w:type="spellEnd"/>
      <w:r>
        <w:rPr>
          <w:rFonts w:ascii="Arial" w:hAnsi="Arial" w:cs="Arial"/>
          <w:color w:val="000000" w:themeColor="text1"/>
          <w:sz w:val="20"/>
          <w:szCs w:val="20"/>
          <w:shd w:val="clear" w:color="auto" w:fill="FFFFFF"/>
        </w:rPr>
        <w:t xml:space="preserve"> changes and histopathological alterations in fish Channa punctatus (B loch, 1793). </w:t>
      </w:r>
      <w:r>
        <w:rPr>
          <w:rFonts w:ascii="Arial" w:hAnsi="Arial" w:cs="Arial"/>
          <w:i/>
          <w:iCs/>
          <w:color w:val="000000" w:themeColor="text1"/>
          <w:sz w:val="20"/>
          <w:szCs w:val="20"/>
          <w:shd w:val="clear" w:color="auto" w:fill="FFFFFF"/>
        </w:rPr>
        <w:t>Journal of fish biology</w:t>
      </w:r>
      <w:r>
        <w:rPr>
          <w:rFonts w:ascii="Arial" w:hAnsi="Arial" w:cs="Arial"/>
          <w:color w:val="000000" w:themeColor="text1"/>
          <w:sz w:val="20"/>
          <w:szCs w:val="20"/>
          <w:shd w:val="clear" w:color="auto" w:fill="FFFFFF"/>
        </w:rPr>
        <w:t>, </w:t>
      </w:r>
      <w:r>
        <w:rPr>
          <w:rFonts w:ascii="Arial" w:hAnsi="Arial" w:cs="Arial"/>
          <w:i/>
          <w:iCs/>
          <w:color w:val="000000" w:themeColor="text1"/>
          <w:sz w:val="20"/>
          <w:szCs w:val="20"/>
          <w:shd w:val="clear" w:color="auto" w:fill="FFFFFF"/>
        </w:rPr>
        <w:t>100</w:t>
      </w:r>
      <w:r>
        <w:rPr>
          <w:rFonts w:ascii="Arial" w:hAnsi="Arial" w:cs="Arial"/>
          <w:color w:val="000000" w:themeColor="text1"/>
          <w:sz w:val="20"/>
          <w:szCs w:val="20"/>
          <w:shd w:val="clear" w:color="auto" w:fill="FFFFFF"/>
        </w:rPr>
        <w:t>(4), 868-883. https://doi.org/10.1111/jfb.15019</w:t>
      </w:r>
    </w:p>
    <w:p w14:paraId="0E3ED1BC"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 xml:space="preserve">Uchida, K., Kaneko, T., Miyazaki, H., Hasegawa, S., &amp; Hirano, T. (2000). Excellent salinity tolerance of Mozambique tilapia (Oreochromis </w:t>
      </w:r>
      <w:proofErr w:type="spellStart"/>
      <w:r>
        <w:rPr>
          <w:rFonts w:ascii="Arial" w:eastAsiaTheme="minorEastAsia" w:hAnsi="Arial" w:cs="Arial"/>
          <w:color w:val="000000" w:themeColor="text1"/>
          <w:kern w:val="0"/>
          <w:sz w:val="20"/>
          <w:szCs w:val="20"/>
          <w:lang w:eastAsia="en-IN"/>
        </w:rPr>
        <w:t>mossambicus</w:t>
      </w:r>
      <w:proofErr w:type="spellEnd"/>
      <w:r>
        <w:rPr>
          <w:rFonts w:ascii="Arial" w:eastAsiaTheme="minorEastAsia" w:hAnsi="Arial" w:cs="Arial"/>
          <w:color w:val="000000" w:themeColor="text1"/>
          <w:kern w:val="0"/>
          <w:sz w:val="20"/>
          <w:szCs w:val="20"/>
          <w:lang w:eastAsia="en-IN"/>
        </w:rPr>
        <w:t>): Elevated chloride cell activity in the branchial and opercular epithelia of the fish adapted to concentrated seawater. Zoological Science, 17(2), 149–160. https://doi.org/10.2108/zsj.17.149</w:t>
      </w:r>
    </w:p>
    <w:p w14:paraId="1B00D731"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Vinodhini, R., &amp; Narayanan, M. (2009). Heavy metal induced histopathological alterations in selected organs of the Cyprinus carpio L. (Common Carp). Bulletin of Environmental Contamination and Toxicology, 107, 95-100.</w:t>
      </w:r>
    </w:p>
    <w:p w14:paraId="0A4C27A1"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lang w:eastAsia="en-IN"/>
        </w:rPr>
        <w:t>Wedemeyer, G. A. (1981). Methods for determining the tolerance of fishes to environmental stressors. Stress and fish, 247-276.</w:t>
      </w:r>
    </w:p>
    <w:p w14:paraId="26990124"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proofErr w:type="spellStart"/>
      <w:r>
        <w:rPr>
          <w:rFonts w:ascii="Arial" w:eastAsiaTheme="minorEastAsia" w:hAnsi="Arial" w:cs="Arial"/>
          <w:color w:val="000000" w:themeColor="text1"/>
          <w:kern w:val="0"/>
          <w:sz w:val="20"/>
          <w:szCs w:val="20"/>
          <w:lang w:eastAsia="en-IN"/>
        </w:rPr>
        <w:t>Wintrobe</w:t>
      </w:r>
      <w:proofErr w:type="spellEnd"/>
      <w:r>
        <w:rPr>
          <w:rFonts w:ascii="Arial" w:eastAsiaTheme="minorEastAsia" w:hAnsi="Arial" w:cs="Arial"/>
          <w:color w:val="000000" w:themeColor="text1"/>
          <w:kern w:val="0"/>
          <w:sz w:val="20"/>
          <w:szCs w:val="20"/>
          <w:lang w:eastAsia="en-IN"/>
        </w:rPr>
        <w:t xml:space="preserve">, M. M. (1967). Clinical </w:t>
      </w:r>
      <w:proofErr w:type="spellStart"/>
      <w:r>
        <w:rPr>
          <w:rFonts w:ascii="Arial" w:eastAsiaTheme="minorEastAsia" w:hAnsi="Arial" w:cs="Arial"/>
          <w:color w:val="000000" w:themeColor="text1"/>
          <w:kern w:val="0"/>
          <w:sz w:val="20"/>
          <w:szCs w:val="20"/>
          <w:lang w:eastAsia="en-IN"/>
        </w:rPr>
        <w:t>haematology</w:t>
      </w:r>
      <w:proofErr w:type="spellEnd"/>
      <w:r>
        <w:rPr>
          <w:rFonts w:ascii="Arial" w:eastAsiaTheme="minorEastAsia" w:hAnsi="Arial" w:cs="Arial"/>
          <w:color w:val="000000" w:themeColor="text1"/>
          <w:kern w:val="0"/>
          <w:sz w:val="20"/>
          <w:szCs w:val="20"/>
          <w:lang w:eastAsia="en-IN"/>
        </w:rPr>
        <w:t xml:space="preserve">. 6th Edition, Philadelphia: Lea and </w:t>
      </w:r>
      <w:proofErr w:type="spellStart"/>
      <w:r>
        <w:rPr>
          <w:rFonts w:ascii="Arial" w:eastAsiaTheme="minorEastAsia" w:hAnsi="Arial" w:cs="Arial"/>
          <w:color w:val="000000" w:themeColor="text1"/>
          <w:kern w:val="0"/>
          <w:sz w:val="20"/>
          <w:szCs w:val="20"/>
          <w:lang w:eastAsia="en-IN"/>
        </w:rPr>
        <w:t>Febriger</w:t>
      </w:r>
      <w:proofErr w:type="spellEnd"/>
      <w:r>
        <w:rPr>
          <w:rFonts w:ascii="Arial" w:eastAsiaTheme="minorEastAsia" w:hAnsi="Arial" w:cs="Arial"/>
          <w:color w:val="000000" w:themeColor="text1"/>
          <w:kern w:val="0"/>
          <w:sz w:val="20"/>
          <w:szCs w:val="20"/>
          <w:lang w:eastAsia="en-IN"/>
        </w:rPr>
        <w:t>.</w:t>
      </w:r>
    </w:p>
    <w:p w14:paraId="56CD77A7" w14:textId="77777777" w:rsidR="009441E7" w:rsidRDefault="00A82308">
      <w:pPr>
        <w:autoSpaceDE w:val="0"/>
        <w:autoSpaceDN w:val="0"/>
        <w:spacing w:line="360" w:lineRule="auto"/>
        <w:ind w:left="600" w:hangingChars="300" w:hanging="600"/>
        <w:contextualSpacing/>
        <w:jc w:val="both"/>
        <w:rPr>
          <w:rFonts w:ascii="Arial" w:eastAsiaTheme="minorEastAsia" w:hAnsi="Arial" w:cs="Arial"/>
          <w:color w:val="000000" w:themeColor="text1"/>
          <w:kern w:val="0"/>
          <w:sz w:val="20"/>
          <w:szCs w:val="20"/>
          <w:lang w:eastAsia="en-IN"/>
        </w:rPr>
      </w:pPr>
      <w:proofErr w:type="spellStart"/>
      <w:r>
        <w:rPr>
          <w:rFonts w:ascii="Arial" w:eastAsiaTheme="minorEastAsia" w:hAnsi="Arial" w:cs="Arial"/>
          <w:color w:val="000000" w:themeColor="text1"/>
          <w:kern w:val="0"/>
          <w:sz w:val="20"/>
          <w:szCs w:val="20"/>
          <w:lang w:eastAsia="en-IN"/>
        </w:rPr>
        <w:t>Witeska</w:t>
      </w:r>
      <w:proofErr w:type="spellEnd"/>
      <w:r>
        <w:rPr>
          <w:rFonts w:ascii="Arial" w:eastAsiaTheme="minorEastAsia" w:hAnsi="Arial" w:cs="Arial"/>
          <w:color w:val="000000" w:themeColor="text1"/>
          <w:kern w:val="0"/>
          <w:sz w:val="20"/>
          <w:szCs w:val="20"/>
          <w:lang w:eastAsia="en-IN"/>
        </w:rPr>
        <w:t>, M. (2013). Erythrocytes in teleost fishes: A review. Zoology and Ecology, 23(4), 275–281. https://doi.org/10.1080/21658005.2013.846963</w:t>
      </w:r>
    </w:p>
    <w:p w14:paraId="237416A4" w14:textId="77777777" w:rsidR="009441E7" w:rsidRDefault="00A82308">
      <w:pPr>
        <w:autoSpaceDE w:val="0"/>
        <w:autoSpaceDN w:val="0"/>
        <w:spacing w:line="360" w:lineRule="auto"/>
        <w:ind w:left="600" w:hangingChars="300" w:hanging="600"/>
        <w:contextualSpacing/>
        <w:jc w:val="both"/>
        <w:rPr>
          <w:rFonts w:ascii="Times New Roman" w:eastAsiaTheme="minorEastAsia" w:hAnsi="Times New Roman" w:cs="Times New Roman"/>
          <w:kern w:val="0"/>
          <w:sz w:val="20"/>
          <w:szCs w:val="20"/>
          <w:lang w:eastAsia="en-IN"/>
        </w:rPr>
      </w:pPr>
      <w:r>
        <w:rPr>
          <w:rFonts w:ascii="Arial" w:eastAsiaTheme="minorEastAsia" w:hAnsi="Arial" w:cs="Arial"/>
          <w:color w:val="000000" w:themeColor="text1"/>
          <w:kern w:val="0"/>
          <w:sz w:val="20"/>
          <w:szCs w:val="20"/>
          <w:lang w:eastAsia="en-IN"/>
        </w:rPr>
        <w:t xml:space="preserve">Zulfahmi, I., Rahmi, A., </w:t>
      </w:r>
      <w:proofErr w:type="spellStart"/>
      <w:r>
        <w:rPr>
          <w:rFonts w:ascii="Arial" w:eastAsiaTheme="minorEastAsia" w:hAnsi="Arial" w:cs="Arial"/>
          <w:color w:val="000000" w:themeColor="text1"/>
          <w:kern w:val="0"/>
          <w:sz w:val="20"/>
          <w:szCs w:val="20"/>
          <w:lang w:eastAsia="en-IN"/>
        </w:rPr>
        <w:t>Muliari</w:t>
      </w:r>
      <w:proofErr w:type="spellEnd"/>
      <w:r>
        <w:rPr>
          <w:rFonts w:ascii="Arial" w:eastAsiaTheme="minorEastAsia" w:hAnsi="Arial" w:cs="Arial"/>
          <w:color w:val="000000" w:themeColor="text1"/>
          <w:kern w:val="0"/>
          <w:sz w:val="20"/>
          <w:szCs w:val="20"/>
          <w:lang w:eastAsia="en-IN"/>
        </w:rPr>
        <w:t xml:space="preserve">, M., Akmal, Y., Paujiah, E., Sumon, K. A., &amp; Rahman, M. M. (2021). Exposure to lead nitrate alters growth and </w:t>
      </w:r>
      <w:proofErr w:type="spellStart"/>
      <w:r>
        <w:rPr>
          <w:rFonts w:ascii="Arial" w:eastAsiaTheme="minorEastAsia" w:hAnsi="Arial" w:cs="Arial"/>
          <w:color w:val="000000" w:themeColor="text1"/>
          <w:kern w:val="0"/>
          <w:sz w:val="20"/>
          <w:szCs w:val="20"/>
          <w:lang w:eastAsia="en-IN"/>
        </w:rPr>
        <w:t>haematological</w:t>
      </w:r>
      <w:proofErr w:type="spellEnd"/>
      <w:r>
        <w:rPr>
          <w:rFonts w:ascii="Arial" w:eastAsiaTheme="minorEastAsia" w:hAnsi="Arial" w:cs="Arial"/>
          <w:color w:val="000000" w:themeColor="text1"/>
          <w:kern w:val="0"/>
          <w:sz w:val="20"/>
          <w:szCs w:val="20"/>
          <w:lang w:eastAsia="en-IN"/>
        </w:rPr>
        <w:t xml:space="preserve"> parameters of milkfish (Chanos </w:t>
      </w:r>
      <w:proofErr w:type="spellStart"/>
      <w:r>
        <w:rPr>
          <w:rFonts w:ascii="Arial" w:eastAsiaTheme="minorEastAsia" w:hAnsi="Arial" w:cs="Arial"/>
          <w:color w:val="000000" w:themeColor="text1"/>
          <w:kern w:val="0"/>
          <w:sz w:val="20"/>
          <w:szCs w:val="20"/>
          <w:lang w:eastAsia="en-IN"/>
        </w:rPr>
        <w:t>chanos</w:t>
      </w:r>
      <w:proofErr w:type="spellEnd"/>
      <w:r>
        <w:rPr>
          <w:rFonts w:ascii="Arial" w:eastAsiaTheme="minorEastAsia" w:hAnsi="Arial" w:cs="Arial"/>
          <w:color w:val="000000" w:themeColor="text1"/>
          <w:kern w:val="0"/>
          <w:sz w:val="20"/>
          <w:szCs w:val="20"/>
          <w:lang w:eastAsia="en-IN"/>
        </w:rPr>
        <w:t>). Bulletin of Environmental Contamination and Toxicology, 107, 860-867. https://doi.org/10.1007/s00128-021-03344-y</w:t>
      </w:r>
    </w:p>
    <w:sectPr w:rsidR="009441E7" w:rsidSect="009441E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8E9B8" w14:textId="77777777" w:rsidR="00967500" w:rsidRDefault="00967500">
      <w:pPr>
        <w:spacing w:line="240" w:lineRule="auto"/>
      </w:pPr>
      <w:r>
        <w:separator/>
      </w:r>
    </w:p>
  </w:endnote>
  <w:endnote w:type="continuationSeparator" w:id="0">
    <w:p w14:paraId="173989FC" w14:textId="77777777" w:rsidR="00967500" w:rsidRDefault="009675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IX-Regular">
    <w:altName w:val="Yu Gothic UI"/>
    <w:charset w:val="80"/>
    <w:family w:val="roman"/>
    <w:pitch w:val="default"/>
    <w:sig w:usb0="00000000" w:usb1="0000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DAA6" w14:textId="77777777" w:rsidR="00CF2C8C" w:rsidRDefault="00CF2C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D6E5" w14:textId="77777777" w:rsidR="00CF2C8C" w:rsidRDefault="00CF2C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99A8" w14:textId="77777777" w:rsidR="00CF2C8C" w:rsidRDefault="00CF2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ADB92" w14:textId="77777777" w:rsidR="00967500" w:rsidRDefault="00967500">
      <w:pPr>
        <w:spacing w:after="0"/>
      </w:pPr>
      <w:r>
        <w:separator/>
      </w:r>
    </w:p>
  </w:footnote>
  <w:footnote w:type="continuationSeparator" w:id="0">
    <w:p w14:paraId="65386CC9" w14:textId="77777777" w:rsidR="00967500" w:rsidRDefault="009675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DDA6" w14:textId="7BD50798" w:rsidR="00CF2C8C" w:rsidRDefault="00CF2C8C">
    <w:pPr>
      <w:pStyle w:val="Header"/>
    </w:pPr>
    <w:r>
      <w:rPr>
        <w:noProof/>
      </w:rPr>
      <w:pict w14:anchorId="65154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733621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72E3" w14:textId="324BF289" w:rsidR="009441E7" w:rsidRDefault="00CF2C8C">
    <w:pPr>
      <w:pStyle w:val="Header"/>
      <w:jc w:val="right"/>
    </w:pPr>
    <w:r>
      <w:rPr>
        <w:noProof/>
      </w:rPr>
      <w:pict w14:anchorId="01F86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7336220" o:spid="_x0000_s1027"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sdt>
      <w:sdtPr>
        <w:id w:val="4149454"/>
      </w:sdtPr>
      <w:sdtContent>
        <w:r w:rsidR="009441E7">
          <w:fldChar w:fldCharType="begin"/>
        </w:r>
        <w:r w:rsidR="00A82308">
          <w:instrText xml:space="preserve"> PAGE   \* MERGEFORMAT </w:instrText>
        </w:r>
        <w:r w:rsidR="009441E7">
          <w:fldChar w:fldCharType="separate"/>
        </w:r>
        <w:r w:rsidR="00314B4C">
          <w:rPr>
            <w:noProof/>
          </w:rPr>
          <w:t>20</w:t>
        </w:r>
        <w:r w:rsidR="009441E7">
          <w:fldChar w:fldCharType="end"/>
        </w:r>
      </w:sdtContent>
    </w:sdt>
  </w:p>
  <w:p w14:paraId="04CD12F5" w14:textId="77777777" w:rsidR="009441E7" w:rsidRDefault="009441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E7F4" w14:textId="322AFF5B" w:rsidR="00CF2C8C" w:rsidRDefault="00CF2C8C">
    <w:pPr>
      <w:pStyle w:val="Header"/>
    </w:pPr>
    <w:r>
      <w:rPr>
        <w:noProof/>
      </w:rPr>
      <w:pict w14:anchorId="0461AC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733621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57EDF"/>
    <w:multiLevelType w:val="multilevel"/>
    <w:tmpl w:val="E148205C"/>
    <w:lvl w:ilvl="0">
      <w:start w:val="5"/>
      <w:numFmt w:val="decimal"/>
      <w:lvlText w:val="%1."/>
      <w:lvlJc w:val="left"/>
      <w:pPr>
        <w:ind w:left="360" w:hanging="360"/>
      </w:pPr>
      <w:rPr>
        <w:rFonts w:ascii="Arial" w:hAnsi="Arial"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6A679543"/>
    <w:multiLevelType w:val="multilevel"/>
    <w:tmpl w:val="6A679543"/>
    <w:lvl w:ilvl="0">
      <w:start w:val="3"/>
      <w:numFmt w:val="decimal"/>
      <w:suff w:val="space"/>
      <w:lvlText w:val="%1."/>
      <w:lvlJc w:val="left"/>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734237009">
    <w:abstractNumId w:val="1"/>
  </w:num>
  <w:num w:numId="2" w16cid:durableId="340207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7D5A0B"/>
    <w:rsid w:val="000010C4"/>
    <w:rsid w:val="00003C3C"/>
    <w:rsid w:val="000055AA"/>
    <w:rsid w:val="0001108F"/>
    <w:rsid w:val="00057626"/>
    <w:rsid w:val="00082D78"/>
    <w:rsid w:val="000A7FC9"/>
    <w:rsid w:val="000B4BDE"/>
    <w:rsid w:val="000C02F4"/>
    <w:rsid w:val="000E4F83"/>
    <w:rsid w:val="001925FE"/>
    <w:rsid w:val="001A109F"/>
    <w:rsid w:val="001A3864"/>
    <w:rsid w:val="001B4A98"/>
    <w:rsid w:val="00200084"/>
    <w:rsid w:val="002835F6"/>
    <w:rsid w:val="002874DA"/>
    <w:rsid w:val="00294961"/>
    <w:rsid w:val="002A2F7B"/>
    <w:rsid w:val="00314B4C"/>
    <w:rsid w:val="003162FE"/>
    <w:rsid w:val="00330825"/>
    <w:rsid w:val="00332070"/>
    <w:rsid w:val="0034261B"/>
    <w:rsid w:val="0037134E"/>
    <w:rsid w:val="003B3AD4"/>
    <w:rsid w:val="003C0B8C"/>
    <w:rsid w:val="00401C24"/>
    <w:rsid w:val="00401EF9"/>
    <w:rsid w:val="00422B2F"/>
    <w:rsid w:val="004270C1"/>
    <w:rsid w:val="0044561B"/>
    <w:rsid w:val="00465469"/>
    <w:rsid w:val="00483FDD"/>
    <w:rsid w:val="00495FA1"/>
    <w:rsid w:val="004D1220"/>
    <w:rsid w:val="004D524A"/>
    <w:rsid w:val="004E594F"/>
    <w:rsid w:val="0050675B"/>
    <w:rsid w:val="0050780C"/>
    <w:rsid w:val="00515DF3"/>
    <w:rsid w:val="005927EE"/>
    <w:rsid w:val="005A25BC"/>
    <w:rsid w:val="005C5423"/>
    <w:rsid w:val="005D338F"/>
    <w:rsid w:val="005E07D8"/>
    <w:rsid w:val="005F5772"/>
    <w:rsid w:val="00624242"/>
    <w:rsid w:val="006362C9"/>
    <w:rsid w:val="00693074"/>
    <w:rsid w:val="006B0EB0"/>
    <w:rsid w:val="006B59C4"/>
    <w:rsid w:val="006C53E6"/>
    <w:rsid w:val="006C67DA"/>
    <w:rsid w:val="006D3B1D"/>
    <w:rsid w:val="007000FC"/>
    <w:rsid w:val="007105B9"/>
    <w:rsid w:val="007448CE"/>
    <w:rsid w:val="007612B8"/>
    <w:rsid w:val="00766934"/>
    <w:rsid w:val="007A28EA"/>
    <w:rsid w:val="007D5A0B"/>
    <w:rsid w:val="007E3707"/>
    <w:rsid w:val="007F5BB4"/>
    <w:rsid w:val="00804880"/>
    <w:rsid w:val="008130E5"/>
    <w:rsid w:val="0086782E"/>
    <w:rsid w:val="00882B32"/>
    <w:rsid w:val="00896D12"/>
    <w:rsid w:val="008F23A0"/>
    <w:rsid w:val="008F2539"/>
    <w:rsid w:val="0092311E"/>
    <w:rsid w:val="009260CA"/>
    <w:rsid w:val="00930853"/>
    <w:rsid w:val="009441E7"/>
    <w:rsid w:val="00967500"/>
    <w:rsid w:val="009843AA"/>
    <w:rsid w:val="009B14F0"/>
    <w:rsid w:val="009F380C"/>
    <w:rsid w:val="00A57935"/>
    <w:rsid w:val="00A82308"/>
    <w:rsid w:val="00AB2CBE"/>
    <w:rsid w:val="00AB3FE0"/>
    <w:rsid w:val="00AE74D0"/>
    <w:rsid w:val="00AF7D2D"/>
    <w:rsid w:val="00B13037"/>
    <w:rsid w:val="00C0176E"/>
    <w:rsid w:val="00C0629B"/>
    <w:rsid w:val="00C17FD3"/>
    <w:rsid w:val="00C5008E"/>
    <w:rsid w:val="00C56F29"/>
    <w:rsid w:val="00C85A26"/>
    <w:rsid w:val="00C94363"/>
    <w:rsid w:val="00CB651A"/>
    <w:rsid w:val="00CC1C5E"/>
    <w:rsid w:val="00CD196E"/>
    <w:rsid w:val="00CE3EE4"/>
    <w:rsid w:val="00CF2C8C"/>
    <w:rsid w:val="00D065E6"/>
    <w:rsid w:val="00D35895"/>
    <w:rsid w:val="00D36E02"/>
    <w:rsid w:val="00D56794"/>
    <w:rsid w:val="00D56EC8"/>
    <w:rsid w:val="00D73058"/>
    <w:rsid w:val="00D85837"/>
    <w:rsid w:val="00D9587A"/>
    <w:rsid w:val="00DA7D78"/>
    <w:rsid w:val="00DB408D"/>
    <w:rsid w:val="00DD7F26"/>
    <w:rsid w:val="00DE0F8E"/>
    <w:rsid w:val="00DF17EB"/>
    <w:rsid w:val="00E23335"/>
    <w:rsid w:val="00E25435"/>
    <w:rsid w:val="00E31BC2"/>
    <w:rsid w:val="00E512AA"/>
    <w:rsid w:val="00E575C8"/>
    <w:rsid w:val="00E6718F"/>
    <w:rsid w:val="00E71389"/>
    <w:rsid w:val="00ED1943"/>
    <w:rsid w:val="00F21238"/>
    <w:rsid w:val="00F21F55"/>
    <w:rsid w:val="00F3446E"/>
    <w:rsid w:val="00F405FD"/>
    <w:rsid w:val="00F77EED"/>
    <w:rsid w:val="00F8012E"/>
    <w:rsid w:val="00F8345A"/>
    <w:rsid w:val="00F91532"/>
    <w:rsid w:val="00F949AF"/>
    <w:rsid w:val="00FA6D2E"/>
    <w:rsid w:val="00FB234F"/>
    <w:rsid w:val="00FD3A4F"/>
    <w:rsid w:val="00FF0291"/>
    <w:rsid w:val="00FF13CC"/>
    <w:rsid w:val="01E73AF6"/>
    <w:rsid w:val="020926B2"/>
    <w:rsid w:val="029F7AC0"/>
    <w:rsid w:val="08013031"/>
    <w:rsid w:val="0B0A4206"/>
    <w:rsid w:val="17397720"/>
    <w:rsid w:val="1759787C"/>
    <w:rsid w:val="24045B00"/>
    <w:rsid w:val="27560E9C"/>
    <w:rsid w:val="36943B44"/>
    <w:rsid w:val="3C7165CA"/>
    <w:rsid w:val="418B1EDD"/>
    <w:rsid w:val="46860C43"/>
    <w:rsid w:val="4B9831B2"/>
    <w:rsid w:val="50CD6BB0"/>
    <w:rsid w:val="61E313C3"/>
    <w:rsid w:val="6790186C"/>
    <w:rsid w:val="6BFD00F0"/>
    <w:rsid w:val="70C80022"/>
    <w:rsid w:val="76352079"/>
    <w:rsid w:val="789E5569"/>
    <w:rsid w:val="7AD911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59032D3"/>
  <w15:docId w15:val="{8F406932-DB16-4AB8-980F-5ED5333C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E7"/>
    <w:pPr>
      <w:spacing w:after="200" w:line="276" w:lineRule="auto"/>
    </w:pPr>
    <w:rPr>
      <w:rFonts w:asciiTheme="minorHAnsi" w:eastAsiaTheme="minorHAnsi" w:hAnsiTheme="minorHAnsi" w:cstheme="minorBidi"/>
      <w:kern w:val="2"/>
      <w:sz w:val="22"/>
      <w:szCs w:val="22"/>
    </w:rPr>
  </w:style>
  <w:style w:type="paragraph" w:styleId="Heading3">
    <w:name w:val="heading 3"/>
    <w:next w:val="Normal"/>
    <w:uiPriority w:val="9"/>
    <w:semiHidden/>
    <w:unhideWhenUsed/>
    <w:qFormat/>
    <w:rsid w:val="009441E7"/>
    <w:pPr>
      <w:spacing w:beforeAutospacing="1" w:afterAutospacing="1"/>
      <w:outlineLvl w:val="2"/>
    </w:pPr>
    <w:rPr>
      <w:rFonts w:ascii="SimSun" w:hAnsi="SimSu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9441E7"/>
    <w:pPr>
      <w:spacing w:after="0" w:line="240" w:lineRule="auto"/>
    </w:pPr>
    <w:rPr>
      <w:rFonts w:ascii="Tahoma" w:hAnsi="Tahoma" w:cs="Tahoma"/>
      <w:sz w:val="16"/>
      <w:szCs w:val="16"/>
    </w:rPr>
  </w:style>
  <w:style w:type="paragraph" w:styleId="Caption">
    <w:name w:val="caption"/>
    <w:basedOn w:val="Normal"/>
    <w:next w:val="Normal"/>
    <w:uiPriority w:val="35"/>
    <w:semiHidden/>
    <w:unhideWhenUsed/>
    <w:qFormat/>
    <w:rsid w:val="009441E7"/>
    <w:pPr>
      <w:spacing w:line="240" w:lineRule="auto"/>
    </w:pPr>
    <w:rPr>
      <w:i/>
      <w:iCs/>
      <w:color w:val="1F497D" w:themeColor="text2"/>
      <w:sz w:val="18"/>
      <w:szCs w:val="18"/>
    </w:rPr>
  </w:style>
  <w:style w:type="character" w:styleId="Emphasis">
    <w:name w:val="Emphasis"/>
    <w:basedOn w:val="DefaultParagraphFont"/>
    <w:uiPriority w:val="20"/>
    <w:qFormat/>
    <w:rsid w:val="009441E7"/>
    <w:rPr>
      <w:i/>
      <w:iCs/>
    </w:rPr>
  </w:style>
  <w:style w:type="paragraph" w:styleId="Footer">
    <w:name w:val="footer"/>
    <w:basedOn w:val="Normal"/>
    <w:link w:val="FooterChar"/>
    <w:uiPriority w:val="99"/>
    <w:unhideWhenUsed/>
    <w:qFormat/>
    <w:rsid w:val="009441E7"/>
    <w:pPr>
      <w:tabs>
        <w:tab w:val="center" w:pos="4680"/>
        <w:tab w:val="right" w:pos="9360"/>
      </w:tabs>
      <w:spacing w:after="0" w:line="240" w:lineRule="auto"/>
    </w:pPr>
  </w:style>
  <w:style w:type="paragraph" w:styleId="Header">
    <w:name w:val="header"/>
    <w:basedOn w:val="Normal"/>
    <w:link w:val="HeaderChar"/>
    <w:uiPriority w:val="99"/>
    <w:unhideWhenUsed/>
    <w:qFormat/>
    <w:rsid w:val="009441E7"/>
    <w:pPr>
      <w:tabs>
        <w:tab w:val="center" w:pos="4680"/>
        <w:tab w:val="right" w:pos="9360"/>
      </w:tabs>
      <w:spacing w:after="0" w:line="240" w:lineRule="auto"/>
    </w:pPr>
  </w:style>
  <w:style w:type="character" w:styleId="Hyperlink">
    <w:name w:val="Hyperlink"/>
    <w:basedOn w:val="DefaultParagraphFont"/>
    <w:uiPriority w:val="99"/>
    <w:unhideWhenUsed/>
    <w:qFormat/>
    <w:rsid w:val="009441E7"/>
    <w:rPr>
      <w:color w:val="0000FF" w:themeColor="hyperlink"/>
      <w:u w:val="single"/>
    </w:rPr>
  </w:style>
  <w:style w:type="paragraph" w:styleId="NormalWeb">
    <w:name w:val="Normal (Web)"/>
    <w:uiPriority w:val="99"/>
    <w:unhideWhenUsed/>
    <w:qFormat/>
    <w:rsid w:val="009441E7"/>
    <w:pPr>
      <w:spacing w:beforeAutospacing="1" w:afterAutospacing="1"/>
    </w:pPr>
    <w:rPr>
      <w:sz w:val="24"/>
      <w:szCs w:val="24"/>
      <w:lang w:eastAsia="zh-CN"/>
    </w:rPr>
  </w:style>
  <w:style w:type="table" w:styleId="TableGrid">
    <w:name w:val="Table Grid"/>
    <w:basedOn w:val="TableNormal"/>
    <w:uiPriority w:val="59"/>
    <w:semiHidden/>
    <w:unhideWhenUsed/>
    <w:qFormat/>
    <w:rsid w:val="00944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9441E7"/>
  </w:style>
  <w:style w:type="character" w:customStyle="1" w:styleId="FooterChar">
    <w:name w:val="Footer Char"/>
    <w:basedOn w:val="DefaultParagraphFont"/>
    <w:link w:val="Footer"/>
    <w:uiPriority w:val="99"/>
    <w:qFormat/>
    <w:rsid w:val="009441E7"/>
  </w:style>
  <w:style w:type="character" w:customStyle="1" w:styleId="UnresolvedMention1">
    <w:name w:val="Unresolved Mention1"/>
    <w:basedOn w:val="DefaultParagraphFont"/>
    <w:uiPriority w:val="99"/>
    <w:semiHidden/>
    <w:unhideWhenUsed/>
    <w:qFormat/>
    <w:rsid w:val="009441E7"/>
    <w:rPr>
      <w:color w:val="605E5C"/>
      <w:shd w:val="clear" w:color="auto" w:fill="E1DFDD"/>
    </w:rPr>
  </w:style>
  <w:style w:type="table" w:customStyle="1" w:styleId="PlainTable21">
    <w:name w:val="Plain Table 21"/>
    <w:basedOn w:val="TableNormal"/>
    <w:uiPriority w:val="42"/>
    <w:qFormat/>
    <w:rsid w:val="009441E7"/>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99"/>
    <w:qFormat/>
    <w:rsid w:val="009441E7"/>
    <w:pPr>
      <w:ind w:left="720"/>
      <w:contextualSpacing/>
    </w:pPr>
  </w:style>
  <w:style w:type="table" w:customStyle="1" w:styleId="TableGrid2">
    <w:name w:val="Table Grid2"/>
    <w:basedOn w:val="TableNormal"/>
    <w:uiPriority w:val="39"/>
    <w:qFormat/>
    <w:rsid w:val="009441E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sid w:val="009441E7"/>
    <w:rPr>
      <w:rFonts w:ascii="Tahoma" w:eastAsiaTheme="minorHAnsi" w:hAnsi="Tahoma" w:cs="Tahoma"/>
      <w:kern w:val="2"/>
      <w:sz w:val="16"/>
      <w:szCs w:val="16"/>
    </w:rPr>
  </w:style>
  <w:style w:type="character" w:styleId="UnresolvedMention">
    <w:name w:val="Unresolved Mention"/>
    <w:basedOn w:val="DefaultParagraphFont"/>
    <w:uiPriority w:val="99"/>
    <w:semiHidden/>
    <w:unhideWhenUsed/>
    <w:rsid w:val="00D85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19</Pages>
  <Words>6987</Words>
  <Characters>39826</Characters>
  <Application>Microsoft Office Word</Application>
  <DocSecurity>0</DocSecurity>
  <Lines>331</Lines>
  <Paragraphs>93</Paragraphs>
  <ScaleCrop>false</ScaleCrop>
  <Company>Berts-pc</Company>
  <LinksUpToDate>false</LinksUpToDate>
  <CharactersWithSpaces>46720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SDI 1166</cp:lastModifiedBy>
  <cp:revision>65</cp:revision>
  <dcterms:created xsi:type="dcterms:W3CDTF">2026-02-23T04:33:00Z</dcterms:created>
  <dcterms:modified xsi:type="dcterms:W3CDTF">2026-07-06T13:32:00Z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eyJoZGlkIjoiMzFiMzg0ZjlmYjgzZjMwZjM4YjU1ZDdjN2UxY2M0NTAiLCJ1c2VySWQiOiI1NDk3NTgxNTY1ODAifQ==</vt:lpwstr>
  </property>
  <property fmtid="{D5CDD505-2E9C-101B-9397-08002B2CF9AE}" pid="3" name="KSOProductBuildVer">
    <vt:lpwstr>1033-12.1.0.26880</vt:lpwstr>
  </property>
  <property fmtid="{D5CDD505-2E9C-101B-9397-08002B2CF9AE}" pid="4" name="ICV">
    <vt:lpwstr>7165209CFB4A4975A5075F042AC90970_12</vt:lpwstr>
  </property>
</Properties>
</file>