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3687" w14:textId="77777777" w:rsidR="00733F46" w:rsidRDefault="00733F46" w:rsidP="00733F46">
      <w:pPr>
        <w:spacing w:before="100" w:beforeAutospacing="1" w:after="100" w:afterAutospacing="1" w:line="240" w:lineRule="auto"/>
        <w:outlineLvl w:val="2"/>
        <w:rPr>
          <w:rFonts w:ascii="Times New Roman" w:eastAsia="Times New Roman" w:hAnsi="Times New Roman" w:cs="Times New Roman"/>
          <w:b/>
          <w:bCs/>
          <w:sz w:val="36"/>
          <w:szCs w:val="36"/>
          <w:lang w:eastAsia="en-GB"/>
        </w:rPr>
      </w:pPr>
      <w:r w:rsidRPr="00733F46">
        <w:rPr>
          <w:rFonts w:ascii="Times New Roman" w:eastAsia="Times New Roman" w:hAnsi="Times New Roman" w:cs="Times New Roman"/>
          <w:b/>
          <w:bCs/>
          <w:sz w:val="36"/>
          <w:szCs w:val="36"/>
          <w:lang w:eastAsia="en-GB"/>
        </w:rPr>
        <w:t>Sustainable Aquaculture by Harnessing Medicinal Plants to Improve Growth, Immunity, and Lipid Metabolism</w:t>
      </w:r>
    </w:p>
    <w:p w14:paraId="6A7AB4FA" w14:textId="77777777" w:rsidR="00733F46" w:rsidRDefault="00733F46" w:rsidP="00733F46">
      <w:pPr>
        <w:spacing w:before="100" w:beforeAutospacing="1" w:after="100" w:afterAutospacing="1" w:line="240" w:lineRule="auto"/>
        <w:outlineLvl w:val="2"/>
        <w:rPr>
          <w:rFonts w:ascii="Times New Roman" w:eastAsia="Times New Roman" w:hAnsi="Times New Roman" w:cs="Times New Roman"/>
          <w:b/>
          <w:bCs/>
          <w:sz w:val="36"/>
          <w:szCs w:val="36"/>
          <w:lang w:eastAsia="en-GB"/>
        </w:rPr>
      </w:pPr>
    </w:p>
    <w:p w14:paraId="007DD628"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Abstract</w:t>
      </w:r>
    </w:p>
    <w:p w14:paraId="768D6F41"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Global aquaculture has expanded rapidly to meet rising demand for aquatic protein, yet this expansion has been accompanied by intensified disease pressure and a corresponding reliance on antimicrobial chemotherapeutics, a practice now constrained by regulatory restriction and the spread of antimicrobial resistance. Medicinal plants and their derived phytochemicals have emerged as a widely investigated alternative, offering growth-promoting, immunomodulatory and metabolic benefits without the residue and resistance liabilities of synthetic drugs. This review synthesises evidence published between January 2015 and March 2026 on the dietary use of medicinal plants in finfish and crustacean aquaculture, with particular attention to three interlinked outcomes: growth performance, innate and adaptive immune function, and lipid metabolism. Botanicals such as Astragalus membranaceus, Moringa oleifera, Curcuma longa, Allium sativum, Zingiber officinale and Withania somnifera consistently improve weight gain, feed conversion, digestive enzyme activity and resistance to bacterial challenge across a range of species and rearing systems, generally through stimulation of lysozyme, complement and phagocytic activity, upregulation of cytokine and antioxidant gene networks, and modulation of hepatic lipogenic and lipolytic pathways such as SREBP-1c, PPARα and AMPK signalling. Effects are, however, markedly dose- and species-dependent, and excessive inclusion levels can suppress immune function rather than continue to enhance it. The review further considers the methodological heterogeneity of the underlying trials, the paucity of pharmacokinetic and long-term safety data, and the practical barriers to large-scale adoption, including standardisation of extracts and cost of production. It concludes that medicinal plants represent a scientifically credible component of sustainable feed formulation strategies but that their translation into commercial aquafeeds requires more rigorous dose-optimisation trials, harmonised reporting standards and mechanistic studies linking phytochemical composition to physiological outcome.</w:t>
      </w:r>
    </w:p>
    <w:p w14:paraId="2AF20FB2"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Keywords:</w:t>
      </w:r>
      <w:r w:rsidRPr="00733F46">
        <w:rPr>
          <w:rFonts w:ascii="Times New Roman" w:eastAsia="Times New Roman" w:hAnsi="Times New Roman" w:cs="Times New Roman"/>
          <w:sz w:val="24"/>
          <w:szCs w:val="24"/>
          <w:lang w:eastAsia="en-GB"/>
        </w:rPr>
        <w:t xml:space="preserve"> phytobiotics; aquafeed; fish immunity; lipid metabolism; sustainable aquaculture; antibiotic alternatives</w:t>
      </w:r>
    </w:p>
    <w:p w14:paraId="2350E114" w14:textId="77777777" w:rsidR="00733F46" w:rsidRPr="00733F46" w:rsidRDefault="00733F46" w:rsidP="00733F46">
      <w:pPr>
        <w:spacing w:after="0" w:line="240" w:lineRule="auto"/>
        <w:rPr>
          <w:rFonts w:ascii="Times New Roman" w:eastAsia="Times New Roman" w:hAnsi="Times New Roman" w:cs="Times New Roman"/>
          <w:sz w:val="24"/>
          <w:szCs w:val="24"/>
          <w:lang w:eastAsia="en-GB"/>
        </w:rPr>
      </w:pPr>
    </w:p>
    <w:p w14:paraId="70D785B1"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 Introduction</w:t>
      </w:r>
    </w:p>
    <w:p w14:paraId="1730D7C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Aquaculture has become the fastest-growing food-production sector worldwide, now supplying more than half of all aquatic animal food consumed by humans, and production is projected to continue rising through the next decade to meet nutritional demand from a growing global population (Food and Agriculture Organization of the United Nations [FAO], 2024). This growth has been achieved largely through intensification: higher stocking densities, formulated diets and controlled water systems that maximise output per unit area. Intensification, however, concentrates animals under conditions that favour pathogen </w:t>
      </w:r>
      <w:r w:rsidRPr="00733F46">
        <w:rPr>
          <w:rFonts w:ascii="Times New Roman" w:eastAsia="Times New Roman" w:hAnsi="Times New Roman" w:cs="Times New Roman"/>
          <w:sz w:val="24"/>
          <w:szCs w:val="24"/>
          <w:lang w:eastAsia="en-GB"/>
        </w:rPr>
        <w:lastRenderedPageBreak/>
        <w:t>transmission, and outbreaks of bacterial, viral, fungal and parasitic disease remain among the principal constraints on profitable, sustainable production (Dadras et al., 2023).</w:t>
      </w:r>
    </w:p>
    <w:p w14:paraId="47D3C11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For several decades the default response to disease pressure in farmed aquatic animals was prophylactic or therapeutic antibiotic use. This practice is now recognised as unsustainable. Antibiotic residues accumulate in tissue and sediment, non-target microbial communities are disrupted, and selection pressure has driven the proliferation of antibiotic-resistant bacteria and mobile resistance genes within aquaculture systems and their receiving environments (Yuan et al., 2023). Multiple reviews have documented resistance to tetracyclines, sulfonamides, macrolides and fluoroquinolones in bacterial isolates from farmed fish and shrimp across Asia, Europe, the Americas and Africa, with implications that extend beyond the farm gate to human and environmental health under a One Health framework (Afroze et al., 2025). Regulatory bodies in many jurisdictions have consequently tightened restrictions on antimicrobial use in food-animal production, creating strong commercial and scientific incentive to identify safe, effective, biodegradable alternatives.</w:t>
      </w:r>
    </w:p>
    <w:p w14:paraId="21A3859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Medicinal plants, employed in human and veterinary phytotherapy for millennia, have attracted particular interest as such an alternative. Their tissues contain complex mixtures of secondary metabolites, including polyphenols, flavonoids, alkaloids, saponins, tannins, essential oils and polysaccharides, several of which possess documented antimicrobial, antioxidant, anti-inflammatory and immunomodulatory activity in terrestrial animal models (Li et al., 2020). Incorporation of these botanicals, whole or as extracts, into aquafeeds is reported to enhance growth performance, feed conversion efficiency, digestive enzyme activity, disease resistance and stress tolerance in a wide range of cultured species, while simultaneously reducing reliance on synthetic chemotherapeutics (Awad &amp; Awaad, 2017; Tadese et al., 2022). A parallel and less frequently reviewed body of evidence indicates that several of these same botanicals also act on lipid metabolism, a physiological axis of direct relevance to flesh quality, hepatic health and feed efficiency in intensively farmed fish, where high-energy formulated diets predispose to excessive visceral and hepatic fat deposition (Yao et al., 2020; Huang et al., 2023).</w:t>
      </w:r>
    </w:p>
    <w:p w14:paraId="1948E3D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Despite the volume of primary research in this area, the literature remains fragmented across plant species, animal models, dosing regimens and outcome measures, and few syntheses have attempted to integrate growth, immunity and lipid metabolism within a single coherent narrative. Existing reviews tend to focus on one axis in isolation, most commonly immunostimulation, leaving the metabolic dimension comparatively underexplored and the mechanistic links between the three outcomes only loosely articulated.</w:t>
      </w:r>
    </w:p>
    <w:p w14:paraId="1C58D3B2"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1.1 Scope, Research Gap and Objectives of the Review</w:t>
      </w:r>
    </w:p>
    <w:p w14:paraId="16BE166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The scope of the present review is restricted to peer-reviewed, empirical and review literature concerning the dietary administration of whole medicinal plants, plant parts, crude extracts or purified phytoconstituents to farmed finfish and crustacean species, with outcomes reported for growth performance, immune function, disease resistance or lipid and hepatic metabolism. Studies confined to human, rodent or purely in vitro systems are considered only where they illuminate a mechanism directly transferable to the aquaculture context. The principal research gap addressed here is the absence of an integrated treatment linking phytotherapeutic growth promotion, immunomodulation and lipid-regulatory activity within a single analytical frame, together with a critical appraisal of dose-dependency, safety margins and translational barriers that is frequently omitted from narrower, single-outcome reviews. </w:t>
      </w:r>
      <w:r w:rsidRPr="00733F46">
        <w:rPr>
          <w:rFonts w:ascii="Times New Roman" w:eastAsia="Times New Roman" w:hAnsi="Times New Roman" w:cs="Times New Roman"/>
          <w:sz w:val="24"/>
          <w:szCs w:val="24"/>
          <w:lang w:eastAsia="en-GB"/>
        </w:rPr>
        <w:lastRenderedPageBreak/>
        <w:t>The objectives of this review are threefold: first, to synthesise and critically evaluate current evidence on the growth-promoting, immunomodulatory and lipid-metabolic effects of medicinal plants in aquaculture species; second, to characterise the principal molecular and physiological mechanisms proposed to underlie these effects, with attention to shared signalling pathways across the three outcome domains; and third, to identify the methodological, regulatory and practical gaps that currently constrain the translation of phytotherapeutic research into standardised commercial aquafeed formulations.</w:t>
      </w:r>
    </w:p>
    <w:p w14:paraId="156F275F"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2. Methods for Literature Selection</w:t>
      </w:r>
    </w:p>
    <w:p w14:paraId="64461DD5"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2.1 Databases and Search Strategy</w:t>
      </w:r>
    </w:p>
    <w:p w14:paraId="70F368A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Literature was identified through structured searches of Web of Science, Scopus, Google Scholar and PubMed, supplemented by six field-specific indexing resources relevant to aquaculture, animal nutrition and veterinary science: CAB Abstracts, Aquatic Sciences and Fisheries Abstracts (ASFA), AGRICOLA, BIOSIS Previews, the FAO Fisheries and Aquaculture database, and the Directory of Open Access Journals (DOAJ). Search strings combined controlled vocabulary and free-text terms in Boolean combination, for example: ("medicinal plant*" OR phytobiotic* OR "herbal extract*" OR phytogenic*) AND (aquaculture OR fish OR shrimp OR "Litopenaeus vannamei" OR tilapia OR carp) AND (growth OR immun* OR "disease resistance" OR "lipid metabolism" OR hepatic). Variants substituted specific plant genera (Astragalus, Moringa, Curcuma, Allium, Zingiber, Withania) and specific outcome terms (lysozyme, phagocytic, SREBP, PPAR, AMPK, triglyceride) to capture mechanistic literature.</w:t>
      </w:r>
    </w:p>
    <w:p w14:paraId="45033E5D"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2.2 Date Range</w:t>
      </w:r>
    </w:p>
    <w:p w14:paraId="287C525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search covered literature published from January 2015 to 30 March 2026. The lower bound was chosen because it approximates the point at which dietary phytotherapy research in aquaculture moved from isolated case studies toward a more systematic body of dose-response and mechanistic work. A small number of methodologically foundational or mechanistically important sources published before 2015 were retained where no more recent equivalent existed and where their content remains directly relevant to the physiological pathways discussed.</w:t>
      </w:r>
    </w:p>
    <w:p w14:paraId="446EFA24"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2.3 Inclusion and Exclusion Criteria</w:t>
      </w:r>
    </w:p>
    <w:p w14:paraId="707F158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Studies were included if they reported original experimental data or synthesised primary data concerning dietary administration of a medicinal plant, plant part or plant-derived extract to a farmed aquatic species, with quantitative outcomes for growth, feed utilisation, immune parameters, disease resistance or lipid and hepatic metabolism, and if they were published in an English-language, peer-reviewed journal. Authoritative institutional reports from bodies such as the Food and Agriculture Organization were eligible where no equivalent peer-reviewed synthesis existed for global production statistics. Studies were excluded if they were conference abstracts, theses, patents, non-peer-reviewed preprints, trade publications or books; if they examined only immersion or bath administration without a dietary component relevant to feed formulation; or if the test organism was not a farmed aquatic species.</w:t>
      </w:r>
    </w:p>
    <w:p w14:paraId="566B1106"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2.4 Rationale for a Narrative Rather Than Systematic Review Approach</w:t>
      </w:r>
    </w:p>
    <w:p w14:paraId="6478F99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A narrative rather than systematic review design was adopted because the literature spans a heterogeneous set of plant taxa, extraction methods, dosing units, culture species and outcome measures that resist meaningful quantitative pooling, and because the aim here is conceptual integration across three physiological domains rather than estimation of a single pooled effect size. Narrative synthesis is an established and appropriate design for such integrative, mechanism-oriented questions, and its methodological quality can nonetheless be benchmarked against recognised appraisal instruments (Baethge et al., 2019).</w:t>
      </w:r>
    </w:p>
    <w:p w14:paraId="100C94C4" w14:textId="77777777" w:rsidR="00733F46" w:rsidRPr="00733F46" w:rsidRDefault="00733F46" w:rsidP="00733F4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2.5 Screening Workflow and Handling of Duplicates</w:t>
      </w:r>
    </w:p>
    <w:p w14:paraId="4DB3D46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Titles and abstracts retrieved from each database were compiled into a single reference library, and duplicate records arising from overlapping database coverage were removed prior to full-text screening. Remaining records were screened at title and abstract level against the inclusion criteria above, and full texts of potentially eligible records were retrieved for detailed assessment. Non-English-language records were excluded at the screening stage unless an English translation or English-language abstract with sufficient methodological detail was available. Priority for detailed discussion in this review was given to studies with clearly reported dosing regimens, replicated experimental designs and statistically analysed outcomes, and to influential reviews that themselves synthesise a substantial primary literature base, so that the narrative reflects the weight of current evidence rather than isolated findings.</w:t>
      </w:r>
    </w:p>
    <w:p w14:paraId="06E966C4"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3. Global Aquaculture Context and the Rationale for Phytotherapy</w:t>
      </w:r>
    </w:p>
    <w:p w14:paraId="431828C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World aquaculture production has continued to expand, and aquatic animal foods now play a central role in strategies to meet global food security and nutrition targets, with continued growth expected over the medium term (FAO, 2024). This expansion has occurred disproportionately within intensive and semi-intensive systems, where high stocking density, nutrient loading and water-quality fluctuation elevate physiological stress and disease incidence. Historically, the response to elevated disease pressure has been increased antimicrobial input, yet accumulating evidence shows that antibiotics used in aquaculture persist in sediment and water at concentrations sufficient to select for resistant bacterial populations, with tetracyclines, macrolides, fluoroquinolones and sulfonamides most frequently implicated (Yuan et al., 2023). Comprehensive reviews of the aquaculture antimicrobial-resistance literature report that resistance genes and resistant bacterial isolates are now widespread across major producing regions, and that the sector has often been inadequately addressed within national antimicrobial-resistance action plans despite its scale (Afroze et al., 2025).</w:t>
      </w:r>
    </w:p>
    <w:p w14:paraId="10E0F6E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This regulatory and ecological pressure has reframed medicinal plants from a traditional curiosity into a mainstream research priority within animal nutrition science. Reviews spanning more than a decade of primary literature document consistent, if heterogeneous, benefits of dietary phytotherapy across finfish and crustacean species, encompassing enhanced growth, improved feed conversion, elevated innate immune parameters and reduced mortality following experimental pathogen challenge (Awad &amp; Awaad, 2017; Dadras et al., 2023; Tadese et al., 2022). These reviews converge on several practical advantages of plant-based feed additives relative to synthetic alternatives: low production cost in regions where the source plants are cultivated, biodegradability, a generally favourable safety margin at physiologically relevant doses, and freedom from the residue-monitoring burden associated with pharmaceutical compounds. The remainder of this review considers the evidence for </w:t>
      </w:r>
      <w:r w:rsidRPr="00733F46">
        <w:rPr>
          <w:rFonts w:ascii="Times New Roman" w:eastAsia="Times New Roman" w:hAnsi="Times New Roman" w:cs="Times New Roman"/>
          <w:sz w:val="24"/>
          <w:szCs w:val="24"/>
          <w:lang w:eastAsia="en-GB"/>
        </w:rPr>
        <w:lastRenderedPageBreak/>
        <w:t>three specific physiological outcomes in turn before addressing the mechanisms that link them.</w:t>
      </w:r>
    </w:p>
    <w:p w14:paraId="216D57AF"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4. Effects of Medicinal Plants on Growth Performance</w:t>
      </w:r>
    </w:p>
    <w:p w14:paraId="7AC9A4E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Growth performance, most commonly quantified through weight gain, specific growth rate, feed conversion ratio and protein efficiency ratio, is the outcome most frequently reported in the phytotherapy literature and the one of greatest immediate commercial relevance to producers. Botanicals from several unrelated plant families demonstrate reproducible growth-promoting activity across culture species, although the magnitude and consistency of the effect vary with species, developmental stage, inclusion level and extract preparation.</w:t>
      </w:r>
    </w:p>
    <w:p w14:paraId="24C7DA9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Polysaccharide fractions derived from Astragalus membranaceus, a legume long used in traditional Chinese medicine, have been particularly well studied. Dietary Astragalus polysaccharide supplementation improved weight gain, body composition and non-specific immune indices in white shrimp, with intermediate inclusion levels outperforming both unsupplemented controls and the highest tested dose, indicating a threshold beyond which additional supplementation confers no further zootechnical benefit (Pu &amp; Wu, 2022). A comparable dose-dependent pattern was reported in spotted sea bass, where graded levels of Astragalus polysaccharide altered growth-associated physiological and biochemical parameters alongside changes in hepatic lipid-metabolism gene expression (Huang et al., 2023).</w:t>
      </w:r>
    </w:p>
    <w:p w14:paraId="221A3810"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Moringa oleifera, whose leaves are rich in essential amino acids, carotenoids and phenolic compounds, has similarly demonstrated growth-promoting activity in Nile tilapia. Dietary inclusion of Moringa leaf and seed material, particularly in fermented form, improved growth performance alongside immunological and antioxidant parameters and increased resistance to Aeromonas hydrophila challenge, with the fermented preparation outperforming the unfermented equivalent, suggesting that microbial fermentation liberates or generates bioactive compounds not present in the raw material (Nassar et al., 2024). Moringa leaf extract has also been shown to protect growth performance and haemato-biochemical status in Nile tilapia exposed concurrently to a sub-lethal agrochemical stressor, pointing to a protective as well as a purely additive growth-promoting role under environmentally realistic co-stress conditions (Mahmoud et al., 2022).</w:t>
      </w:r>
    </w:p>
    <w:p w14:paraId="62E589C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 the principal polyphenolic constituent of turmeric (Curcuma longa), has generated an extensive body of species-specific growth data. In Nile tilapia, long-term dietary curcumin supplementation improved growth performance at intermediate inclusion levels, with feed conversion ratio improved by approximately fifteen per cent relative to control at the optimal dose, while higher inclusion levels did not confer additional benefit and in some parameters approached the unsupplemented baseline (Amer et al., 2022). Curcumin nanoparticle formulations, designed to improve bioavailability relative to native curcumin, have likewise been reported to promote growth performance and humoral immunity in Nile tilapia fingerlings while favourably modulating hepatic and intestinal histology (Abdel-Tawwab et al., 2022).</w:t>
      </w:r>
    </w:p>
    <w:p w14:paraId="1AE3EB4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Allium sativum (garlic) is among the most extensively studied phytogenic feed additives across both finfish and crustacean aquaculture, with documented benefits spanning growth, feed efficiency, haematological status and disease resistance in species as diverse as tilapia, rainbow trout, sturgeon, crayfish and shrimp (Cala Delgado et al., 2023). Comparable growth </w:t>
      </w:r>
      <w:r w:rsidRPr="00733F46">
        <w:rPr>
          <w:rFonts w:ascii="Times New Roman" w:eastAsia="Times New Roman" w:hAnsi="Times New Roman" w:cs="Times New Roman"/>
          <w:sz w:val="24"/>
          <w:szCs w:val="24"/>
          <w:lang w:eastAsia="en-GB"/>
        </w:rPr>
        <w:lastRenderedPageBreak/>
        <w:t>benefits are reported for garlic juice processing by-products incorporated into diets for juvenile black rockfish, where supplementation improved weight gain, specific growth rate and feed efficiency alongside upregulation of growth- and antioxidant-related gene expression (Oh, Lee, Lee, Lee, Sohn, et al., 2022).</w:t>
      </w:r>
    </w:p>
    <w:p w14:paraId="34C56439"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Zingiber officinale (ginger) rhizome and its processing residues have similarly demonstrated consistent growth-promoting activity. Ginger residue from juice extraction, an industrial by-product, improved growth performance and feed efficiency in juvenile black rockfish even at the lowest tested inclusion level, alongside enhanced antioxidant enzyme activity and improved survival following bacterial challenge (Oh, Lee, Lee, Lee, Joo, et al., 2022). In Labeo rohita reared under semi-intensive field conditions, graded dietary ginger powder improved growth performance and health status over a prolonged one-hundred-and-twenty-day trial, supporting the translational relevance of laboratory-derived findings to commercial-scale, outdoor rearing systems (Rawat et al., 2022).</w:t>
      </w:r>
    </w:p>
    <w:p w14:paraId="13A2B45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Withania somnifera (ashwagandha), a Solanaceae root long used in Ayurvedic medicine, has more recently entered the aquaculture literature. Dietary supplementation with Withania somnifera root powder improved growth performance and reduced feed conversion ratio in common carp in a dose-dependent manner, alongside improved haematobiochemical status, antioxidant capacity and survival following Aeromonas hydrophila challenge (Habib et al., 2024).</w:t>
      </w:r>
    </w:p>
    <w:p w14:paraId="63EDABC6"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1 summarises representative growth-performance findings across the principal medicinal plants considered in this section. Taken together, this literature shows a broadly consistent qualitative pattern: dietary medicinal plant inclusion at low-to-moderate levels enhances growth and feed efficiency across a taxonomically diverse set of species, most plausibly through combined effects on appetite stimulation, digestive enzyme activity and reduced subclinical physiological stress, while excessively high inclusion levels frequently fail to improve, and in some cases impair, growth relative to an intermediate optimum. This recurring inverted-U dose-response pattern is one of the most robust generalisations to emerge from the literature and carries direct implications for commercial feed formulation, discussed further in Section 8.</w:t>
      </w:r>
    </w:p>
    <w:p w14:paraId="2FE3A4E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1. Representative dietary medicinal plant effects on growth performance in cultured aquatic species</w:t>
      </w:r>
    </w:p>
    <w:tbl>
      <w:tblPr>
        <w:tblStyle w:val="TableGrid"/>
        <w:tblW w:w="0" w:type="auto"/>
        <w:tblLook w:val="04A0" w:firstRow="1" w:lastRow="0" w:firstColumn="1" w:lastColumn="0" w:noHBand="0" w:noVBand="1"/>
      </w:tblPr>
      <w:tblGrid>
        <w:gridCol w:w="1975"/>
        <w:gridCol w:w="1875"/>
        <w:gridCol w:w="2362"/>
        <w:gridCol w:w="1766"/>
        <w:gridCol w:w="1264"/>
      </w:tblGrid>
      <w:tr w:rsidR="00733F46" w:rsidRPr="00733F46" w14:paraId="5B70AFCB" w14:textId="77777777" w:rsidTr="00733F46">
        <w:tc>
          <w:tcPr>
            <w:tcW w:w="0" w:type="auto"/>
            <w:hideMark/>
          </w:tcPr>
          <w:p w14:paraId="4B3AAAFB"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24BE3055"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2F50FBDB"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Key growth outcome</w:t>
            </w:r>
          </w:p>
        </w:tc>
        <w:tc>
          <w:tcPr>
            <w:tcW w:w="0" w:type="auto"/>
            <w:hideMark/>
          </w:tcPr>
          <w:p w14:paraId="50DAC544"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Dose range tested / apparent optimum</w:t>
            </w:r>
          </w:p>
        </w:tc>
        <w:tc>
          <w:tcPr>
            <w:tcW w:w="0" w:type="auto"/>
            <w:hideMark/>
          </w:tcPr>
          <w:p w14:paraId="73CEB132"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17C49841" w14:textId="77777777" w:rsidTr="00733F46">
        <w:tc>
          <w:tcPr>
            <w:tcW w:w="0" w:type="auto"/>
            <w:hideMark/>
          </w:tcPr>
          <w:p w14:paraId="0D14D67E"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membranaceus polysaccharide</w:t>
            </w:r>
          </w:p>
        </w:tc>
        <w:tc>
          <w:tcPr>
            <w:tcW w:w="0" w:type="auto"/>
            <w:hideMark/>
          </w:tcPr>
          <w:p w14:paraId="737547C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White shrimp (Litopenaeus vannamei)</w:t>
            </w:r>
          </w:p>
        </w:tc>
        <w:tc>
          <w:tcPr>
            <w:tcW w:w="0" w:type="auto"/>
            <w:hideMark/>
          </w:tcPr>
          <w:p w14:paraId="754FC3B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weight gain and body composition; high dose no better than moderate dose</w:t>
            </w:r>
          </w:p>
        </w:tc>
        <w:tc>
          <w:tcPr>
            <w:tcW w:w="0" w:type="auto"/>
            <w:hideMark/>
          </w:tcPr>
          <w:p w14:paraId="1013E0EE"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Optimum at 30 g/kg; no further gain at 50 g/kg</w:t>
            </w:r>
          </w:p>
        </w:tc>
        <w:tc>
          <w:tcPr>
            <w:tcW w:w="0" w:type="auto"/>
            <w:hideMark/>
          </w:tcPr>
          <w:p w14:paraId="65A8CCC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41D4FDA3" w14:textId="77777777" w:rsidTr="00733F46">
        <w:tc>
          <w:tcPr>
            <w:tcW w:w="0" w:type="auto"/>
            <w:hideMark/>
          </w:tcPr>
          <w:p w14:paraId="6C11C4A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membranaceus polysaccharide</w:t>
            </w:r>
          </w:p>
        </w:tc>
        <w:tc>
          <w:tcPr>
            <w:tcW w:w="0" w:type="auto"/>
            <w:hideMark/>
          </w:tcPr>
          <w:p w14:paraId="00B2797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Spotted sea bass (Lateolabrax maculatus)</w:t>
            </w:r>
          </w:p>
        </w:tc>
        <w:tc>
          <w:tcPr>
            <w:tcW w:w="0" w:type="auto"/>
            <w:hideMark/>
          </w:tcPr>
          <w:p w14:paraId="59E982D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Dose-dependent change in growth-related physiological parameters</w:t>
            </w:r>
          </w:p>
        </w:tc>
        <w:tc>
          <w:tcPr>
            <w:tcW w:w="0" w:type="auto"/>
            <w:hideMark/>
          </w:tcPr>
          <w:p w14:paraId="6E4D8B6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Tested across 0.2–1.0 g/kg diet</w:t>
            </w:r>
          </w:p>
        </w:tc>
        <w:tc>
          <w:tcPr>
            <w:tcW w:w="0" w:type="auto"/>
            <w:hideMark/>
          </w:tcPr>
          <w:p w14:paraId="2FEA1283"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Huang et al. (2023)</w:t>
            </w:r>
          </w:p>
        </w:tc>
      </w:tr>
      <w:tr w:rsidR="00733F46" w:rsidRPr="00733F46" w14:paraId="27C1DFED" w14:textId="77777777" w:rsidTr="00733F46">
        <w:tc>
          <w:tcPr>
            <w:tcW w:w="0" w:type="auto"/>
            <w:hideMark/>
          </w:tcPr>
          <w:p w14:paraId="23132C1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Fermented </w:t>
            </w:r>
            <w:r w:rsidRPr="00733F46">
              <w:rPr>
                <w:rFonts w:ascii="Times New Roman" w:eastAsia="Times New Roman" w:hAnsi="Times New Roman" w:cs="Times New Roman"/>
                <w:sz w:val="24"/>
                <w:szCs w:val="24"/>
                <w:lang w:eastAsia="en-GB"/>
              </w:rPr>
              <w:lastRenderedPageBreak/>
              <w:t>Moringa oleifera</w:t>
            </w:r>
          </w:p>
        </w:tc>
        <w:tc>
          <w:tcPr>
            <w:tcW w:w="0" w:type="auto"/>
            <w:hideMark/>
          </w:tcPr>
          <w:p w14:paraId="318F019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Nile tilapia </w:t>
            </w:r>
            <w:r w:rsidRPr="00733F46">
              <w:rPr>
                <w:rFonts w:ascii="Times New Roman" w:eastAsia="Times New Roman" w:hAnsi="Times New Roman" w:cs="Times New Roman"/>
                <w:sz w:val="24"/>
                <w:szCs w:val="24"/>
                <w:lang w:eastAsia="en-GB"/>
              </w:rPr>
              <w:lastRenderedPageBreak/>
              <w:t>(Oreochromis niloticus)</w:t>
            </w:r>
          </w:p>
        </w:tc>
        <w:tc>
          <w:tcPr>
            <w:tcW w:w="0" w:type="auto"/>
            <w:hideMark/>
          </w:tcPr>
          <w:p w14:paraId="563DB1A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Improved growth and </w:t>
            </w:r>
            <w:r w:rsidRPr="00733F46">
              <w:rPr>
                <w:rFonts w:ascii="Times New Roman" w:eastAsia="Times New Roman" w:hAnsi="Times New Roman" w:cs="Times New Roman"/>
                <w:sz w:val="24"/>
                <w:szCs w:val="24"/>
                <w:lang w:eastAsia="en-GB"/>
              </w:rPr>
              <w:lastRenderedPageBreak/>
              <w:t>survival against A. hydrophila</w:t>
            </w:r>
          </w:p>
        </w:tc>
        <w:tc>
          <w:tcPr>
            <w:tcW w:w="0" w:type="auto"/>
            <w:hideMark/>
          </w:tcPr>
          <w:p w14:paraId="17D5812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Greatest effect </w:t>
            </w:r>
            <w:r w:rsidRPr="00733F46">
              <w:rPr>
                <w:rFonts w:ascii="Times New Roman" w:eastAsia="Times New Roman" w:hAnsi="Times New Roman" w:cs="Times New Roman"/>
                <w:sz w:val="24"/>
                <w:szCs w:val="24"/>
                <w:lang w:eastAsia="en-GB"/>
              </w:rPr>
              <w:lastRenderedPageBreak/>
              <w:t>at 10% inclusion (fermented)</w:t>
            </w:r>
          </w:p>
        </w:tc>
        <w:tc>
          <w:tcPr>
            <w:tcW w:w="0" w:type="auto"/>
            <w:hideMark/>
          </w:tcPr>
          <w:p w14:paraId="74C7959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Nassar et </w:t>
            </w:r>
            <w:r w:rsidRPr="00733F46">
              <w:rPr>
                <w:rFonts w:ascii="Times New Roman" w:eastAsia="Times New Roman" w:hAnsi="Times New Roman" w:cs="Times New Roman"/>
                <w:sz w:val="24"/>
                <w:szCs w:val="24"/>
                <w:lang w:eastAsia="en-GB"/>
              </w:rPr>
              <w:lastRenderedPageBreak/>
              <w:t>al. (2024)</w:t>
            </w:r>
          </w:p>
        </w:tc>
      </w:tr>
      <w:tr w:rsidR="00733F46" w:rsidRPr="00733F46" w14:paraId="5719DC35" w14:textId="77777777" w:rsidTr="00733F46">
        <w:tc>
          <w:tcPr>
            <w:tcW w:w="0" w:type="auto"/>
            <w:hideMark/>
          </w:tcPr>
          <w:p w14:paraId="53B8518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Curcumin</w:t>
            </w:r>
          </w:p>
        </w:tc>
        <w:tc>
          <w:tcPr>
            <w:tcW w:w="0" w:type="auto"/>
            <w:hideMark/>
          </w:tcPr>
          <w:p w14:paraId="611B838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(O. niloticus)</w:t>
            </w:r>
          </w:p>
        </w:tc>
        <w:tc>
          <w:tcPr>
            <w:tcW w:w="0" w:type="auto"/>
            <w:hideMark/>
          </w:tcPr>
          <w:p w14:paraId="7790A3D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~15% improvement in feed conversion ratio</w:t>
            </w:r>
          </w:p>
        </w:tc>
        <w:tc>
          <w:tcPr>
            <w:tcW w:w="0" w:type="auto"/>
            <w:hideMark/>
          </w:tcPr>
          <w:p w14:paraId="02EA168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Optimum at 400 mg/kg diet</w:t>
            </w:r>
          </w:p>
        </w:tc>
        <w:tc>
          <w:tcPr>
            <w:tcW w:w="0" w:type="auto"/>
            <w:hideMark/>
          </w:tcPr>
          <w:p w14:paraId="696EB4C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w:t>
            </w:r>
          </w:p>
        </w:tc>
      </w:tr>
      <w:tr w:rsidR="00733F46" w:rsidRPr="00733F46" w14:paraId="779A4CCD" w14:textId="77777777" w:rsidTr="00733F46">
        <w:tc>
          <w:tcPr>
            <w:tcW w:w="0" w:type="auto"/>
            <w:hideMark/>
          </w:tcPr>
          <w:p w14:paraId="1621CAA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residue (juice by-product)</w:t>
            </w:r>
          </w:p>
        </w:tc>
        <w:tc>
          <w:tcPr>
            <w:tcW w:w="0" w:type="auto"/>
            <w:hideMark/>
          </w:tcPr>
          <w:p w14:paraId="296823A3"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 (Sebastes schlegelii)</w:t>
            </w:r>
          </w:p>
        </w:tc>
        <w:tc>
          <w:tcPr>
            <w:tcW w:w="0" w:type="auto"/>
            <w:hideMark/>
          </w:tcPr>
          <w:p w14:paraId="1B2BFC2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weight gain and feed efficiency from lowest dose tested</w:t>
            </w:r>
          </w:p>
        </w:tc>
        <w:tc>
          <w:tcPr>
            <w:tcW w:w="0" w:type="auto"/>
            <w:hideMark/>
          </w:tcPr>
          <w:p w14:paraId="017653F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Effective from 0.25% inclusion</w:t>
            </w:r>
          </w:p>
        </w:tc>
        <w:tc>
          <w:tcPr>
            <w:tcW w:w="0" w:type="auto"/>
            <w:hideMark/>
          </w:tcPr>
          <w:p w14:paraId="3381049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Joo, et al. (2022)</w:t>
            </w:r>
          </w:p>
        </w:tc>
      </w:tr>
      <w:tr w:rsidR="00733F46" w:rsidRPr="00733F46" w14:paraId="0248FD8C" w14:textId="77777777" w:rsidTr="00733F46">
        <w:tc>
          <w:tcPr>
            <w:tcW w:w="0" w:type="auto"/>
            <w:hideMark/>
          </w:tcPr>
          <w:p w14:paraId="75815D6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powder</w:t>
            </w:r>
          </w:p>
        </w:tc>
        <w:tc>
          <w:tcPr>
            <w:tcW w:w="0" w:type="auto"/>
            <w:hideMark/>
          </w:tcPr>
          <w:p w14:paraId="7EE9237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Rohu (Labeo rohita)</w:t>
            </w:r>
          </w:p>
        </w:tc>
        <w:tc>
          <w:tcPr>
            <w:tcW w:w="0" w:type="auto"/>
            <w:hideMark/>
          </w:tcPr>
          <w:p w14:paraId="510361F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and health status over 120-day field trial</w:t>
            </w:r>
          </w:p>
        </w:tc>
        <w:tc>
          <w:tcPr>
            <w:tcW w:w="0" w:type="auto"/>
            <w:hideMark/>
          </w:tcPr>
          <w:p w14:paraId="09D29F7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Tested across 5–20 g/kg diet</w:t>
            </w:r>
          </w:p>
        </w:tc>
        <w:tc>
          <w:tcPr>
            <w:tcW w:w="0" w:type="auto"/>
            <w:hideMark/>
          </w:tcPr>
          <w:p w14:paraId="703D7F4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Rawat et al. (2022)</w:t>
            </w:r>
          </w:p>
        </w:tc>
      </w:tr>
      <w:tr w:rsidR="00733F46" w:rsidRPr="00733F46" w14:paraId="5D0588E6" w14:textId="77777777" w:rsidTr="00733F46">
        <w:tc>
          <w:tcPr>
            <w:tcW w:w="0" w:type="auto"/>
            <w:hideMark/>
          </w:tcPr>
          <w:p w14:paraId="4533983C"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Withania somnifera root powder</w:t>
            </w:r>
          </w:p>
        </w:tc>
        <w:tc>
          <w:tcPr>
            <w:tcW w:w="0" w:type="auto"/>
            <w:hideMark/>
          </w:tcPr>
          <w:p w14:paraId="67640E5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Common carp (Cyprinus carpio)</w:t>
            </w:r>
          </w:p>
        </w:tc>
        <w:tc>
          <w:tcPr>
            <w:tcW w:w="0" w:type="auto"/>
            <w:hideMark/>
          </w:tcPr>
          <w:p w14:paraId="0487EB1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and reduced FCR, dose-dependent</w:t>
            </w:r>
          </w:p>
        </w:tc>
        <w:tc>
          <w:tcPr>
            <w:tcW w:w="0" w:type="auto"/>
            <w:hideMark/>
          </w:tcPr>
          <w:p w14:paraId="6D529B0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Continued benefit up to 4% inclusion</w:t>
            </w:r>
          </w:p>
        </w:tc>
        <w:tc>
          <w:tcPr>
            <w:tcW w:w="0" w:type="auto"/>
            <w:hideMark/>
          </w:tcPr>
          <w:p w14:paraId="15118AC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Habib et al. (2024)</w:t>
            </w:r>
          </w:p>
        </w:tc>
      </w:tr>
    </w:tbl>
    <w:p w14:paraId="3861B785"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5. Immunomodulatory and Disease-Resistance Effects</w:t>
      </w:r>
    </w:p>
    <w:p w14:paraId="17CA4C99"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Beyond growth promotion, the most frequently cited justification for phytotherapeutic feed additives is their capacity to stimulate innate and adaptive immune function, thereby reducing mortality during natural or experimental pathogen challenge and diminishing reliance on antibiotic intervention. Medicinal plants act on both cellular and humoral arms of the fish and crustacean immune system, most commonly evidenced through elevation of lysozyme activity, phagocytic index, respiratory burst activity, complement activity and immunoglobulin titre, together with modulation of pro- and anti-inflammatory cytokine gene expression (Awad &amp; Awaad, 2017).</w:t>
      </w:r>
    </w:p>
    <w:p w14:paraId="46E956E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Astragalus-derived polysaccharides again feature prominently. In white shrimp, moderate dietary Astragalus polysaccharide inclusion improved non-specific immune indices without the further gain seen at the highest dose (Pu &amp; Wu, 2022), a pattern consistent with the broader observation that immunostimulant efficacy in aquatic species frequently follows a bell-shaped dose-response curve, with excessive dosing risking immunosuppression rather than continued enhancement (Awad &amp; Awaad, 2017).</w:t>
      </w:r>
    </w:p>
    <w:p w14:paraId="00B7ED82"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Moringa oleifera preparations have demonstrated substantial immunomodulatory activity in Nile tilapia. Fermented Moringa supplementation enhanced phagocytic and lysozyme activity, upregulated immune-related cytokine and immunoglobulin M gene expression, and increased survival following Aeromonas hydrophila challenge relative to both unsupplemented controls and the non-fermented preparation (Nassar et al., 2024). Moringa leaf extract likewise restored haemato-immunological parameters in tilapia subjected to sub-lethal pesticide exposure, indicating that its immunoprotective activity extends to chemically stressed as well as unstressed animals (Mahmoud et al., 2022).</w:t>
      </w:r>
    </w:p>
    <w:p w14:paraId="2B1F44E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Curcumin exerts immunomodulatory activity through both antioxidant and anti-inflammatory mechanisms. Long-term curcumin feeding in Nile tilapia modulated the expression of proinflammatory cytokines and apoptosis-related indicators alongside improved antioxidant capacity and histological integrity of intestine and liver, with resistance to Aeromonas hydrophila challenge improved at intermediate but not the highest dose (Amer et al., 2022). </w:t>
      </w:r>
      <w:r w:rsidRPr="00733F46">
        <w:rPr>
          <w:rFonts w:ascii="Times New Roman" w:eastAsia="Times New Roman" w:hAnsi="Times New Roman" w:cs="Times New Roman"/>
          <w:sz w:val="24"/>
          <w:szCs w:val="24"/>
          <w:lang w:eastAsia="en-GB"/>
        </w:rPr>
        <w:lastRenderedPageBreak/>
        <w:t>Curcumin nanoparticle formulations similarly enhanced humoral immunity and favourably modulated hepatic and intestinal histology in tilapia fingerlings, suggesting that improved bioavailability may permit lower effective inclusion levels (Abdel-Tawwab et al., 2022).</w:t>
      </w:r>
    </w:p>
    <w:p w14:paraId="69A43AD9"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Garlic-derived compounds, principally organosulfur allicin and its derivatives, exert direct antimicrobial activity against Gram-positive and Gram-negative fish pathogens in addition to indirect immunostimulation, with documented benefit against Aeromonas, Vibrio and Streptococcus species across multiple host taxa (Cala Delgado et al., 2023). Garlic juice processing waste supplementation in black rockfish enhanced digestive enzyme activity together with growth- and antioxidant-related gene expression, supporting a combined nutritional and immunoprotective mode of action (Oh, Lee, Lee, Lee, Sohn, et al., 2022).</w:t>
      </w:r>
    </w:p>
    <w:p w14:paraId="5C727AB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similarly demonstrates immunostimulatory activity independent of its growth-promoting effects. Ginger residue supplementation improved antioxidant enzyme activity and survival following Streptococcus iniae challenge in black rockfish (Oh, Lee, Lee, Lee, Joo, et al., 2022), while ginger powder supplementation in Labeo rohita improved health status over a prolonged field trial under semi-intensive farming conditions (Rawat et al., 2022).</w:t>
      </w:r>
    </w:p>
    <w:p w14:paraId="2EDBE6B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Withania somnifera root powder enhanced total antioxidant capacity (TAC), superoxide dismutase (SOD), catalase (CAT) and reduced glutathione (GSH) activity in common carp serum, together with markedly improved lysozyme activity, phagocytic activity and relative percentage survival following Aeromonas hydrophila challenge, with the highest tested dose producing the greatest immunological benefit in this trial (Habib et al., 2024) — a finding that stands in partial contrast to the inverted-U pattern reported for several other botanicals and underscores the species- and compound-specific nature of dose-response relationships in this literature.</w:t>
      </w:r>
    </w:p>
    <w:p w14:paraId="452F324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2 summarises representative immunomodulatory findings. Across these studies, a consistent mechanistic thread emerges: medicinal plant bioactives enhance innate immune parameters (lysozyme, phagocytosis, complement) more consistently and more rapidly than adaptive immune parameters, and their protective benefit is most clearly and reproducibly demonstrated through improved survival in standardised experimental pathogen challenge, which remains the most rigorous outcome measure available in this literature.</w:t>
      </w:r>
    </w:p>
    <w:p w14:paraId="3EA8BD49"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2. Representative immunomodulatory and disease-resistance effects of medicinal plants in aquaculture species</w:t>
      </w:r>
    </w:p>
    <w:tbl>
      <w:tblPr>
        <w:tblStyle w:val="TableGrid"/>
        <w:tblW w:w="0" w:type="auto"/>
        <w:tblLook w:val="04A0" w:firstRow="1" w:lastRow="0" w:firstColumn="1" w:lastColumn="0" w:noHBand="0" w:noVBand="1"/>
      </w:tblPr>
      <w:tblGrid>
        <w:gridCol w:w="1929"/>
        <w:gridCol w:w="1461"/>
        <w:gridCol w:w="2382"/>
        <w:gridCol w:w="1988"/>
        <w:gridCol w:w="1482"/>
      </w:tblGrid>
      <w:tr w:rsidR="00733F46" w:rsidRPr="00733F46" w14:paraId="7415F3B3" w14:textId="77777777" w:rsidTr="00733F46">
        <w:tc>
          <w:tcPr>
            <w:tcW w:w="0" w:type="auto"/>
            <w:hideMark/>
          </w:tcPr>
          <w:p w14:paraId="6A727E25"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455E4F79"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4E1B9C5D"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Immune parameters affected</w:t>
            </w:r>
          </w:p>
        </w:tc>
        <w:tc>
          <w:tcPr>
            <w:tcW w:w="0" w:type="auto"/>
            <w:hideMark/>
          </w:tcPr>
          <w:p w14:paraId="144A7999"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Pathogen challenge outcome</w:t>
            </w:r>
          </w:p>
        </w:tc>
        <w:tc>
          <w:tcPr>
            <w:tcW w:w="0" w:type="auto"/>
            <w:hideMark/>
          </w:tcPr>
          <w:p w14:paraId="0827A5F2"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5A9A28B4" w14:textId="77777777" w:rsidTr="00733F46">
        <w:tc>
          <w:tcPr>
            <w:tcW w:w="0" w:type="auto"/>
            <w:hideMark/>
          </w:tcPr>
          <w:p w14:paraId="0933227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membranaceus polysaccharide</w:t>
            </w:r>
          </w:p>
        </w:tc>
        <w:tc>
          <w:tcPr>
            <w:tcW w:w="0" w:type="auto"/>
            <w:hideMark/>
          </w:tcPr>
          <w:p w14:paraId="09BE4CF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White shrimp</w:t>
            </w:r>
          </w:p>
        </w:tc>
        <w:tc>
          <w:tcPr>
            <w:tcW w:w="0" w:type="auto"/>
            <w:hideMark/>
          </w:tcPr>
          <w:p w14:paraId="649B140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non-specific immunity, dose-dependent</w:t>
            </w:r>
          </w:p>
        </w:tc>
        <w:tc>
          <w:tcPr>
            <w:tcW w:w="0" w:type="auto"/>
            <w:hideMark/>
          </w:tcPr>
          <w:p w14:paraId="2C5CB6F3"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Not challenge-tested in this trial</w:t>
            </w:r>
          </w:p>
        </w:tc>
        <w:tc>
          <w:tcPr>
            <w:tcW w:w="0" w:type="auto"/>
            <w:hideMark/>
          </w:tcPr>
          <w:p w14:paraId="7BE350A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03005BC5" w14:textId="77777777" w:rsidTr="00733F46">
        <w:tc>
          <w:tcPr>
            <w:tcW w:w="0" w:type="auto"/>
            <w:hideMark/>
          </w:tcPr>
          <w:p w14:paraId="67185BF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Fermented Moringa oleifera</w:t>
            </w:r>
          </w:p>
        </w:tc>
        <w:tc>
          <w:tcPr>
            <w:tcW w:w="0" w:type="auto"/>
            <w:hideMark/>
          </w:tcPr>
          <w:p w14:paraId="2C8D76D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w:t>
            </w:r>
          </w:p>
        </w:tc>
        <w:tc>
          <w:tcPr>
            <w:tcW w:w="0" w:type="auto"/>
            <w:hideMark/>
          </w:tcPr>
          <w:p w14:paraId="4A13E01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Phagocytic and lysozyme activity; ↑ cytokine/IgM gene expression</w:t>
            </w:r>
          </w:p>
        </w:tc>
        <w:tc>
          <w:tcPr>
            <w:tcW w:w="0" w:type="auto"/>
            <w:hideMark/>
          </w:tcPr>
          <w:p w14:paraId="77893DC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Increased survival vs. Aeromonas hydrophila</w:t>
            </w:r>
          </w:p>
        </w:tc>
        <w:tc>
          <w:tcPr>
            <w:tcW w:w="0" w:type="auto"/>
            <w:hideMark/>
          </w:tcPr>
          <w:p w14:paraId="6713F08E"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Nassar et al. (2024)</w:t>
            </w:r>
          </w:p>
        </w:tc>
      </w:tr>
      <w:tr w:rsidR="00733F46" w:rsidRPr="00733F46" w14:paraId="30584F75" w14:textId="77777777" w:rsidTr="00733F46">
        <w:tc>
          <w:tcPr>
            <w:tcW w:w="0" w:type="auto"/>
            <w:hideMark/>
          </w:tcPr>
          <w:p w14:paraId="3FCD426C"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Moringa oleifera leaf extract</w:t>
            </w:r>
          </w:p>
        </w:tc>
        <w:tc>
          <w:tcPr>
            <w:tcW w:w="0" w:type="auto"/>
            <w:hideMark/>
          </w:tcPr>
          <w:p w14:paraId="407A095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(pesticide-stressed)</w:t>
            </w:r>
          </w:p>
        </w:tc>
        <w:tc>
          <w:tcPr>
            <w:tcW w:w="0" w:type="auto"/>
            <w:hideMark/>
          </w:tcPr>
          <w:p w14:paraId="24C64DB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Restored haemato-immunological parameters</w:t>
            </w:r>
          </w:p>
        </w:tc>
        <w:tc>
          <w:tcPr>
            <w:tcW w:w="0" w:type="auto"/>
            <w:hideMark/>
          </w:tcPr>
          <w:p w14:paraId="66A034E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resilience under sub-lethal </w:t>
            </w:r>
            <w:r w:rsidRPr="00733F46">
              <w:rPr>
                <w:rFonts w:ascii="Times New Roman" w:eastAsia="Times New Roman" w:hAnsi="Times New Roman" w:cs="Times New Roman"/>
                <w:sz w:val="24"/>
                <w:szCs w:val="24"/>
                <w:lang w:eastAsia="en-GB"/>
              </w:rPr>
              <w:lastRenderedPageBreak/>
              <w:t>toxicant stress</w:t>
            </w:r>
          </w:p>
        </w:tc>
        <w:tc>
          <w:tcPr>
            <w:tcW w:w="0" w:type="auto"/>
            <w:hideMark/>
          </w:tcPr>
          <w:p w14:paraId="2B1A707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Mahmoud et al. (2022)</w:t>
            </w:r>
          </w:p>
        </w:tc>
      </w:tr>
      <w:tr w:rsidR="00733F46" w:rsidRPr="00733F46" w14:paraId="65510118" w14:textId="77777777" w:rsidTr="00733F46">
        <w:tc>
          <w:tcPr>
            <w:tcW w:w="0" w:type="auto"/>
            <w:hideMark/>
          </w:tcPr>
          <w:p w14:paraId="46ECFC04"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w:t>
            </w:r>
          </w:p>
        </w:tc>
        <w:tc>
          <w:tcPr>
            <w:tcW w:w="0" w:type="auto"/>
            <w:hideMark/>
          </w:tcPr>
          <w:p w14:paraId="0C8D0E5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w:t>
            </w:r>
          </w:p>
        </w:tc>
        <w:tc>
          <w:tcPr>
            <w:tcW w:w="0" w:type="auto"/>
            <w:hideMark/>
          </w:tcPr>
          <w:p w14:paraId="1A6C77E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Proinflammatory cytokines; improved histoarchitecture</w:t>
            </w:r>
          </w:p>
        </w:tc>
        <w:tc>
          <w:tcPr>
            <w:tcW w:w="0" w:type="auto"/>
            <w:hideMark/>
          </w:tcPr>
          <w:p w14:paraId="4E4181C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survival at intermediate, not highest, dose</w:t>
            </w:r>
          </w:p>
        </w:tc>
        <w:tc>
          <w:tcPr>
            <w:tcW w:w="0" w:type="auto"/>
            <w:hideMark/>
          </w:tcPr>
          <w:p w14:paraId="421CC8D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w:t>
            </w:r>
          </w:p>
        </w:tc>
      </w:tr>
      <w:tr w:rsidR="00733F46" w:rsidRPr="00733F46" w14:paraId="4686FE00" w14:textId="77777777" w:rsidTr="00733F46">
        <w:tc>
          <w:tcPr>
            <w:tcW w:w="0" w:type="auto"/>
            <w:hideMark/>
          </w:tcPr>
          <w:p w14:paraId="6FA3E9A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 nanoparticles</w:t>
            </w:r>
          </w:p>
        </w:tc>
        <w:tc>
          <w:tcPr>
            <w:tcW w:w="0" w:type="auto"/>
            <w:hideMark/>
          </w:tcPr>
          <w:p w14:paraId="7E46C59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fingerlings</w:t>
            </w:r>
          </w:p>
        </w:tc>
        <w:tc>
          <w:tcPr>
            <w:tcW w:w="0" w:type="auto"/>
            <w:hideMark/>
          </w:tcPr>
          <w:p w14:paraId="7C18094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Humoral immunity; improved hepatic/intestinal histology</w:t>
            </w:r>
          </w:p>
        </w:tc>
        <w:tc>
          <w:tcPr>
            <w:tcW w:w="0" w:type="auto"/>
            <w:hideMark/>
          </w:tcPr>
          <w:p w14:paraId="4127C7C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Not directly challenge-tested</w:t>
            </w:r>
          </w:p>
        </w:tc>
        <w:tc>
          <w:tcPr>
            <w:tcW w:w="0" w:type="auto"/>
            <w:hideMark/>
          </w:tcPr>
          <w:p w14:paraId="2E27C39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Abdel-Tawwab et al. (2022)</w:t>
            </w:r>
          </w:p>
        </w:tc>
      </w:tr>
      <w:tr w:rsidR="00733F46" w:rsidRPr="00733F46" w14:paraId="415A362D" w14:textId="77777777" w:rsidTr="00733F46">
        <w:tc>
          <w:tcPr>
            <w:tcW w:w="0" w:type="auto"/>
            <w:hideMark/>
          </w:tcPr>
          <w:p w14:paraId="43CB1BC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Garlic juice processing waste</w:t>
            </w:r>
          </w:p>
        </w:tc>
        <w:tc>
          <w:tcPr>
            <w:tcW w:w="0" w:type="auto"/>
            <w:hideMark/>
          </w:tcPr>
          <w:p w14:paraId="61F613C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w:t>
            </w:r>
          </w:p>
        </w:tc>
        <w:tc>
          <w:tcPr>
            <w:tcW w:w="0" w:type="auto"/>
            <w:hideMark/>
          </w:tcPr>
          <w:p w14:paraId="3860F19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Digestive enzyme and antioxidant gene expression</w:t>
            </w:r>
          </w:p>
        </w:tc>
        <w:tc>
          <w:tcPr>
            <w:tcW w:w="0" w:type="auto"/>
            <w:hideMark/>
          </w:tcPr>
          <w:p w14:paraId="7A20E7D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resistance against Streptococcus iniae</w:t>
            </w:r>
          </w:p>
        </w:tc>
        <w:tc>
          <w:tcPr>
            <w:tcW w:w="0" w:type="auto"/>
            <w:hideMark/>
          </w:tcPr>
          <w:p w14:paraId="5B6B604C"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Sohn, et al. (2022)</w:t>
            </w:r>
          </w:p>
        </w:tc>
      </w:tr>
      <w:tr w:rsidR="00733F46" w:rsidRPr="00733F46" w14:paraId="5F0EEB64" w14:textId="77777777" w:rsidTr="00733F46">
        <w:tc>
          <w:tcPr>
            <w:tcW w:w="0" w:type="auto"/>
            <w:hideMark/>
          </w:tcPr>
          <w:p w14:paraId="3CDD2BC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residue</w:t>
            </w:r>
          </w:p>
        </w:tc>
        <w:tc>
          <w:tcPr>
            <w:tcW w:w="0" w:type="auto"/>
            <w:hideMark/>
          </w:tcPr>
          <w:p w14:paraId="0BE5131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w:t>
            </w:r>
          </w:p>
        </w:tc>
        <w:tc>
          <w:tcPr>
            <w:tcW w:w="0" w:type="auto"/>
            <w:hideMark/>
          </w:tcPr>
          <w:p w14:paraId="6E1A09C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Antioxidant enzyme activity</w:t>
            </w:r>
          </w:p>
        </w:tc>
        <w:tc>
          <w:tcPr>
            <w:tcW w:w="0" w:type="auto"/>
            <w:hideMark/>
          </w:tcPr>
          <w:p w14:paraId="77F53E5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survival vs. Streptococcus iniae</w:t>
            </w:r>
          </w:p>
        </w:tc>
        <w:tc>
          <w:tcPr>
            <w:tcW w:w="0" w:type="auto"/>
            <w:hideMark/>
          </w:tcPr>
          <w:p w14:paraId="1665EBAC"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Joo, et al. (2022)</w:t>
            </w:r>
          </w:p>
        </w:tc>
      </w:tr>
      <w:tr w:rsidR="00733F46" w:rsidRPr="00733F46" w14:paraId="0A4CBE45" w14:textId="77777777" w:rsidTr="00733F46">
        <w:tc>
          <w:tcPr>
            <w:tcW w:w="0" w:type="auto"/>
            <w:hideMark/>
          </w:tcPr>
          <w:p w14:paraId="5A69473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Withania somnifera root powder</w:t>
            </w:r>
          </w:p>
        </w:tc>
        <w:tc>
          <w:tcPr>
            <w:tcW w:w="0" w:type="auto"/>
            <w:hideMark/>
          </w:tcPr>
          <w:p w14:paraId="13DE452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Common carp</w:t>
            </w:r>
          </w:p>
        </w:tc>
        <w:tc>
          <w:tcPr>
            <w:tcW w:w="0" w:type="auto"/>
            <w:hideMark/>
          </w:tcPr>
          <w:p w14:paraId="510EBA4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TAC, SOD, CAT, GSH, lysozyme, phagocytosis</w:t>
            </w:r>
          </w:p>
        </w:tc>
        <w:tc>
          <w:tcPr>
            <w:tcW w:w="0" w:type="auto"/>
            <w:hideMark/>
          </w:tcPr>
          <w:p w14:paraId="3D0D5E4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relative percentage survival vs. A. hydrophila</w:t>
            </w:r>
          </w:p>
        </w:tc>
        <w:tc>
          <w:tcPr>
            <w:tcW w:w="0" w:type="auto"/>
            <w:hideMark/>
          </w:tcPr>
          <w:p w14:paraId="44E7C3B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Habib et al. (2024)</w:t>
            </w:r>
          </w:p>
        </w:tc>
      </w:tr>
    </w:tbl>
    <w:p w14:paraId="3D2C0EAB"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6. Effects on Lipid Metabolism and Hepatic Health</w:t>
      </w:r>
    </w:p>
    <w:p w14:paraId="5E3B9966"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Intensive aquaculture diets are typically formulated at high energy density to maximise growth and feed conversion, a practice that predisposes farmed fish, particularly herbivorous and omnivorous cyprinids and high-lipid-diet carnivorous species, to excessive visceral and hepatic fat deposition, hepatic steatosis and associated impairment of liver function and flesh quality (Yao et al., 2020). Medicinal plants have accordingly attracted interest not only as growth promoters and immunostimulants but as lipid-regulatory agents capable of ameliorating diet-induced metabolic disturbance.</w:t>
      </w:r>
    </w:p>
    <w:p w14:paraId="2F78D1B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mechanistic foundation for this activity is well established in mammalian hepatology, where herbal medicines and isolated phytochemicals have been shown to regulate lipid accumulation through modulation of sterol regulatory element-binding protein 1c (SREBP-1c), peroxisome proliferator-activated receptor alpha (PPARα), AMP-activated protein kinase (AMPK) and sirtuin 1 (SIRT1) signalling, collectively governing the balance between hepatic lipogenesis and fatty acid β-oxidation (Li et al., 2020). These same pathways have since been documented directly in farmed fish species. Dietary supplementation with an alcoholic extract of lotus leaf reduced lipid deposition in both the hepatopancreas and skeletal muscle of juvenile grass carp, with gene expression analysis indicating parallel regulatory mechanisms operating in the two tissues, consistent with a systemic rather than organ-restricted mode of action (Yao et al., 2020).</w:t>
      </w:r>
    </w:p>
    <w:p w14:paraId="4913513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Astragalus polysaccharide supplementation in spotted sea bass altered the expression of genes related to lipid metabolism alongside its effects on growth and physiological parameters, with the response varying across the dose range tested (Huang et al., 2023). A phytogenic supplement combining olive by-product and green tea extracts improved lipid metabolism in largemouth bass fed a high-soybean-meal diet, evidenced by reduced plasma triglyceride (TG) and low-density lipoprotein cholesterol (LDL-C) concentrations and downregulation of hepatic lipogenesis and cholesterol synthesis gene expression, alongside </w:t>
      </w:r>
      <w:r w:rsidRPr="00733F46">
        <w:rPr>
          <w:rFonts w:ascii="Times New Roman" w:eastAsia="Times New Roman" w:hAnsi="Times New Roman" w:cs="Times New Roman"/>
          <w:sz w:val="24"/>
          <w:szCs w:val="24"/>
          <w:lang w:eastAsia="en-GB"/>
        </w:rPr>
        <w:lastRenderedPageBreak/>
        <w:t>improved hepatic antioxidant capacity and enhanced protein retention efficiency through upregulated AKT–mTOR signalling (Liu et al., 2022).</w:t>
      </w:r>
    </w:p>
    <w:p w14:paraId="0520B4F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Comparative evidence from livestock nutrition reinforces this mechanistic picture, even where the host species differs from those farmed in aquaculture. A herbaceous mixture of Andrographis paniculata, Silybum marianum, Azadirachta indica and Ocimum basilicum reduced hepatic triglyceride and total cholesterol content in post-peak laying hens while upregulating hormone-sensitive lipase (HSL) and lipoprotein lipase (LPL) expression, indicating enhanced hepatic lipolysis and lipoprotein clearance as a route to reduced hepatic fat deposition (Zhu et al., 2022). While laying hens are not an aquaculture species, this finding is included here because it demonstrates, in a well-controlled livestock model, the same lipolytic-enzyme mechanism proposed to operate in fish, and it illustrates how comparative animal nutrition research can usefully inform hypotheses about mechanism in aquaculture species pending direct confirmation.</w:t>
      </w:r>
    </w:p>
    <w:p w14:paraId="52CAD107"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Not all reported outcomes in this domain are favourable, and the lipid-metabolic literature illustrates clearly why dose- and species-specific validation is necessary rather than uncritical extrapolation of a botanical's reputed hepatoprotective properties from one species or dosing context to another. Comparable caution is warranted regarding the mechanistic assumption, common in the narrative literature, that a single signalling axis such as AMPK or SREBP-1c operates uniformly across teleost taxa; the degree of homology and functional conservation of these pathways between mammalian and piscine hepatocytes remains incompletely characterised and represents an important area for confirmatory molecular work.</w:t>
      </w:r>
    </w:p>
    <w:p w14:paraId="49C1D1F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3 summarises the principal lipid-metabolic findings reviewed here, indicating both the mechanistic convergence across botanicals on shared regulatory nodes and the residual uncertainty regarding the conditions under which these effects generalise favourably.</w:t>
      </w:r>
    </w:p>
    <w:p w14:paraId="2BA08AB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3. Effects of selected medicinal plants and phytogenic compounds on lipid metabolism and hepatic health in cultured fish</w:t>
      </w:r>
    </w:p>
    <w:tbl>
      <w:tblPr>
        <w:tblStyle w:val="TableGrid"/>
        <w:tblW w:w="0" w:type="auto"/>
        <w:tblLook w:val="04A0" w:firstRow="1" w:lastRow="0" w:firstColumn="1" w:lastColumn="0" w:noHBand="0" w:noVBand="1"/>
      </w:tblPr>
      <w:tblGrid>
        <w:gridCol w:w="1976"/>
        <w:gridCol w:w="2160"/>
        <w:gridCol w:w="2724"/>
        <w:gridCol w:w="1447"/>
        <w:gridCol w:w="935"/>
      </w:tblGrid>
      <w:tr w:rsidR="00733F46" w:rsidRPr="00733F46" w14:paraId="07E7ECE9" w14:textId="77777777" w:rsidTr="00733F46">
        <w:tc>
          <w:tcPr>
            <w:tcW w:w="0" w:type="auto"/>
            <w:hideMark/>
          </w:tcPr>
          <w:p w14:paraId="48F702E5"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4736F8A9"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22EE53B2"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Lipid/hepatic outcome</w:t>
            </w:r>
          </w:p>
        </w:tc>
        <w:tc>
          <w:tcPr>
            <w:tcW w:w="0" w:type="auto"/>
            <w:hideMark/>
          </w:tcPr>
          <w:p w14:paraId="2C0DA783"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Proposed mechanism</w:t>
            </w:r>
          </w:p>
        </w:tc>
        <w:tc>
          <w:tcPr>
            <w:tcW w:w="0" w:type="auto"/>
            <w:hideMark/>
          </w:tcPr>
          <w:p w14:paraId="22E009E2"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00DAEABB" w14:textId="77777777" w:rsidTr="00733F46">
        <w:tc>
          <w:tcPr>
            <w:tcW w:w="0" w:type="auto"/>
            <w:hideMark/>
          </w:tcPr>
          <w:p w14:paraId="677856E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Lotus leaf alcoholic extract</w:t>
            </w:r>
          </w:p>
        </w:tc>
        <w:tc>
          <w:tcPr>
            <w:tcW w:w="0" w:type="auto"/>
            <w:hideMark/>
          </w:tcPr>
          <w:p w14:paraId="0EAA8E7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Grass carp (Ctenopharyngodon idellus)</w:t>
            </w:r>
          </w:p>
        </w:tc>
        <w:tc>
          <w:tcPr>
            <w:tcW w:w="0" w:type="auto"/>
            <w:hideMark/>
          </w:tcPr>
          <w:p w14:paraId="402968E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Reduced hepatopancreatic and muscle lipid deposition</w:t>
            </w:r>
          </w:p>
        </w:tc>
        <w:tc>
          <w:tcPr>
            <w:tcW w:w="0" w:type="auto"/>
            <w:hideMark/>
          </w:tcPr>
          <w:p w14:paraId="0FAABD7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Coordinated gene-expression regulation across tissues</w:t>
            </w:r>
          </w:p>
        </w:tc>
        <w:tc>
          <w:tcPr>
            <w:tcW w:w="0" w:type="auto"/>
            <w:hideMark/>
          </w:tcPr>
          <w:p w14:paraId="24342E24"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Yao et al. (2020)</w:t>
            </w:r>
          </w:p>
        </w:tc>
      </w:tr>
      <w:tr w:rsidR="00733F46" w:rsidRPr="00733F46" w14:paraId="3FE0BD37" w14:textId="77777777" w:rsidTr="00733F46">
        <w:tc>
          <w:tcPr>
            <w:tcW w:w="0" w:type="auto"/>
            <w:hideMark/>
          </w:tcPr>
          <w:p w14:paraId="696BBEA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membranaceus polysaccharide</w:t>
            </w:r>
          </w:p>
        </w:tc>
        <w:tc>
          <w:tcPr>
            <w:tcW w:w="0" w:type="auto"/>
            <w:hideMark/>
          </w:tcPr>
          <w:p w14:paraId="657D174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Spotted sea bass</w:t>
            </w:r>
          </w:p>
        </w:tc>
        <w:tc>
          <w:tcPr>
            <w:tcW w:w="0" w:type="auto"/>
            <w:hideMark/>
          </w:tcPr>
          <w:p w14:paraId="0AF20C1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Dose-dependent change in expression of lipid-metabolism genes</w:t>
            </w:r>
          </w:p>
        </w:tc>
        <w:tc>
          <w:tcPr>
            <w:tcW w:w="0" w:type="auto"/>
            <w:hideMark/>
          </w:tcPr>
          <w:p w14:paraId="02C6319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Regulatory shift across tested dose range</w:t>
            </w:r>
          </w:p>
        </w:tc>
        <w:tc>
          <w:tcPr>
            <w:tcW w:w="0" w:type="auto"/>
            <w:hideMark/>
          </w:tcPr>
          <w:p w14:paraId="0869049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Huang et al. (2023)</w:t>
            </w:r>
          </w:p>
        </w:tc>
      </w:tr>
      <w:tr w:rsidR="00733F46" w:rsidRPr="00733F46" w14:paraId="32EEE50F" w14:textId="77777777" w:rsidTr="00733F46">
        <w:tc>
          <w:tcPr>
            <w:tcW w:w="0" w:type="auto"/>
            <w:hideMark/>
          </w:tcPr>
          <w:p w14:paraId="2BC7BA9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Olive by-product + green tea phytogenic blend</w:t>
            </w:r>
          </w:p>
        </w:tc>
        <w:tc>
          <w:tcPr>
            <w:tcW w:w="0" w:type="auto"/>
            <w:hideMark/>
          </w:tcPr>
          <w:p w14:paraId="284E18A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Largemouth bass (Micropterus salmoides)</w:t>
            </w:r>
          </w:p>
        </w:tc>
        <w:tc>
          <w:tcPr>
            <w:tcW w:w="0" w:type="auto"/>
            <w:hideMark/>
          </w:tcPr>
          <w:p w14:paraId="5715C5A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Plasma TG, LDL-C; ↓ lipogenic/cholesterogenic gene expression</w:t>
            </w:r>
          </w:p>
        </w:tc>
        <w:tc>
          <w:tcPr>
            <w:tcW w:w="0" w:type="auto"/>
            <w:hideMark/>
          </w:tcPr>
          <w:p w14:paraId="794C1D2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AKT–mTOR pathway activation; reduced hepatic ROS</w:t>
            </w:r>
          </w:p>
        </w:tc>
        <w:tc>
          <w:tcPr>
            <w:tcW w:w="0" w:type="auto"/>
            <w:hideMark/>
          </w:tcPr>
          <w:p w14:paraId="7806AB84"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Liu et al. (2022)</w:t>
            </w:r>
          </w:p>
        </w:tc>
      </w:tr>
      <w:tr w:rsidR="00733F46" w:rsidRPr="00733F46" w14:paraId="0AE159BD" w14:textId="77777777" w:rsidTr="00733F46">
        <w:tc>
          <w:tcPr>
            <w:tcW w:w="0" w:type="auto"/>
            <w:hideMark/>
          </w:tcPr>
          <w:p w14:paraId="11D63EE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Herbal </w:t>
            </w:r>
            <w:r w:rsidRPr="00733F46">
              <w:rPr>
                <w:rFonts w:ascii="Times New Roman" w:eastAsia="Times New Roman" w:hAnsi="Times New Roman" w:cs="Times New Roman"/>
                <w:sz w:val="24"/>
                <w:szCs w:val="24"/>
                <w:lang w:eastAsia="en-GB"/>
              </w:rPr>
              <w:lastRenderedPageBreak/>
              <w:t>medicines/natural products (general, mammalian model)</w:t>
            </w:r>
          </w:p>
        </w:tc>
        <w:tc>
          <w:tcPr>
            <w:tcW w:w="0" w:type="auto"/>
            <w:hideMark/>
          </w:tcPr>
          <w:p w14:paraId="6337DE3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Cross-species </w:t>
            </w:r>
            <w:r w:rsidRPr="00733F46">
              <w:rPr>
                <w:rFonts w:ascii="Times New Roman" w:eastAsia="Times New Roman" w:hAnsi="Times New Roman" w:cs="Times New Roman"/>
                <w:sz w:val="24"/>
                <w:szCs w:val="24"/>
                <w:lang w:eastAsia="en-GB"/>
              </w:rPr>
              <w:lastRenderedPageBreak/>
              <w:t>mechanistic synthesis</w:t>
            </w:r>
          </w:p>
        </w:tc>
        <w:tc>
          <w:tcPr>
            <w:tcW w:w="0" w:type="auto"/>
            <w:hideMark/>
          </w:tcPr>
          <w:p w14:paraId="7154A39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Reduced hepatic steatosis</w:t>
            </w:r>
          </w:p>
        </w:tc>
        <w:tc>
          <w:tcPr>
            <w:tcW w:w="0" w:type="auto"/>
            <w:hideMark/>
          </w:tcPr>
          <w:p w14:paraId="5714E03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SREBP-1c, </w:t>
            </w:r>
            <w:r w:rsidRPr="00733F46">
              <w:rPr>
                <w:rFonts w:ascii="Times New Roman" w:eastAsia="Times New Roman" w:hAnsi="Times New Roman" w:cs="Times New Roman"/>
                <w:sz w:val="24"/>
                <w:szCs w:val="24"/>
                <w:lang w:eastAsia="en-GB"/>
              </w:rPr>
              <w:lastRenderedPageBreak/>
              <w:t>PPARα, AMPK, SIRT1 signalling</w:t>
            </w:r>
          </w:p>
        </w:tc>
        <w:tc>
          <w:tcPr>
            <w:tcW w:w="0" w:type="auto"/>
            <w:hideMark/>
          </w:tcPr>
          <w:p w14:paraId="56EADB06"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Li et </w:t>
            </w:r>
            <w:r w:rsidRPr="00733F46">
              <w:rPr>
                <w:rFonts w:ascii="Times New Roman" w:eastAsia="Times New Roman" w:hAnsi="Times New Roman" w:cs="Times New Roman"/>
                <w:sz w:val="24"/>
                <w:szCs w:val="24"/>
                <w:lang w:eastAsia="en-GB"/>
              </w:rPr>
              <w:lastRenderedPageBreak/>
              <w:t>al. (2020)</w:t>
            </w:r>
          </w:p>
        </w:tc>
      </w:tr>
      <w:tr w:rsidR="00733F46" w:rsidRPr="00733F46" w14:paraId="54A92241" w14:textId="77777777" w:rsidTr="00733F46">
        <w:tc>
          <w:tcPr>
            <w:tcW w:w="0" w:type="auto"/>
            <w:hideMark/>
          </w:tcPr>
          <w:p w14:paraId="023C5200"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Herbaceous mixture (Andrographis, Silybum, Azadirachta, Ocimum)</w:t>
            </w:r>
          </w:p>
        </w:tc>
        <w:tc>
          <w:tcPr>
            <w:tcW w:w="0" w:type="auto"/>
            <w:hideMark/>
          </w:tcPr>
          <w:p w14:paraId="5F226F2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Laying hens (comparative livestock model)</w:t>
            </w:r>
          </w:p>
        </w:tc>
        <w:tc>
          <w:tcPr>
            <w:tcW w:w="0" w:type="auto"/>
            <w:hideMark/>
          </w:tcPr>
          <w:p w14:paraId="470F7BB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Hepatic TG and total cholesterol; ↑ HSL, LPL expression</w:t>
            </w:r>
          </w:p>
        </w:tc>
        <w:tc>
          <w:tcPr>
            <w:tcW w:w="0" w:type="auto"/>
            <w:hideMark/>
          </w:tcPr>
          <w:p w14:paraId="3809398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Enhanced lipolysis; improved lipoprotein clearance</w:t>
            </w:r>
          </w:p>
        </w:tc>
        <w:tc>
          <w:tcPr>
            <w:tcW w:w="0" w:type="auto"/>
            <w:hideMark/>
          </w:tcPr>
          <w:p w14:paraId="54F1A08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Zhu et al. (2022)</w:t>
            </w:r>
          </w:p>
        </w:tc>
      </w:tr>
    </w:tbl>
    <w:p w14:paraId="7793FA11"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7. Mechanisms of Action Linking Growth, Immunity and Lipid Metabolism</w:t>
      </w:r>
    </w:p>
    <w:p w14:paraId="02ED51F2"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three physiological outcomes considered separately above are mechanistically interconnected rather than independent, and appreciating this interdependence helps explain why individual botanicals so often produce concurrent benefits across all three domains. First, several classes of phytochemical, particularly polyphenols, flavonoids and polysaccharides, possess direct antioxidant activity that reduces oxidative stress within hepatocytes and immune cells alike; because oxidative stress simultaneously impairs digestive enzyme function, suppresses immune cell activity and promotes aberrant lipid accumulation, a single antioxidant mechanism can plausibly account for improvements across all three outcome measures (Li et al., 2020; Liu et al., 2022).</w:t>
      </w:r>
    </w:p>
    <w:p w14:paraId="656D5674"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Second, many medicinal plant polysaccharides, including those derived from Astragalus, act as pattern-recognition-receptor ligands that engage innate immune signalling pathways, stimulating lysozyme secretion, phagocytic activity and cytokine gene transcription, while the same polysaccharide fractions can influence intestinal microbial composition and short-chain fatty acid production, thereby indirectly improving nutrient digestibility and growth performance (Pu &amp; Wu, 2022; Huang et al., 2023). Omega-3 polyunsaturated fatty acids present in some marine-derived and terrestrial oilseed-based phytogenic formulations further illustrate this convergence, modulating gut microbiota composition and intestinal immune tolerance through effects on inflammatory mediator production and short-chain fatty acid signalling (Fu et al., 2021), a mechanism directly relevant to the intestinal health outcomes reported for several of the botanicals discussed in Sections 4 and 5.</w:t>
      </w:r>
    </w:p>
    <w:p w14:paraId="2E9A7A0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Third, hepatic lipid-regulatory pathways such as AMPK and SIRT1 signalling are themselves modulated by cellular energy status and inflammatory tone, meaning that anti-inflammatory phytochemical activity in the liver can simultaneously improve lipid homeostasis and reduce hepatic damage that would otherwise compromise both growth efficiency and systemic immune competence (Li et al., 2020). This shared signalling architecture explains, for example, why the same Astragalus polysaccharide preparation that improves non-specific immunity in shrimp also alters lipid-metabolism gene expression in sea bass, and why a phytogenic blend selected primarily for its antioxidant properties in largemouth bass simultaneously improved lipid profile and protein retention through AKT–mTOR pathway engagement (Liu et al., 2022).</w:t>
      </w:r>
    </w:p>
    <w:p w14:paraId="77495AB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4 consolidates the principal mechanistic pathways proposed across the reviewed literature, mapping specific plant-derived compounds to their reported molecular targets and the physiological domain most directly affected.</w:t>
      </w:r>
    </w:p>
    <w:p w14:paraId="542A842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lastRenderedPageBreak/>
        <w:t>Table 4. Principal mechanistic pathways proposed for medicinal plant bioactivity in aquaculture species</w:t>
      </w:r>
    </w:p>
    <w:tbl>
      <w:tblPr>
        <w:tblStyle w:val="TableGrid"/>
        <w:tblW w:w="0" w:type="auto"/>
        <w:tblLook w:val="04A0" w:firstRow="1" w:lastRow="0" w:firstColumn="1" w:lastColumn="0" w:noHBand="0" w:noVBand="1"/>
      </w:tblPr>
      <w:tblGrid>
        <w:gridCol w:w="3106"/>
        <w:gridCol w:w="2267"/>
        <w:gridCol w:w="2312"/>
        <w:gridCol w:w="1557"/>
      </w:tblGrid>
      <w:tr w:rsidR="00733F46" w:rsidRPr="00733F46" w14:paraId="745397B4" w14:textId="77777777" w:rsidTr="00733F46">
        <w:tc>
          <w:tcPr>
            <w:tcW w:w="0" w:type="auto"/>
            <w:hideMark/>
          </w:tcPr>
          <w:p w14:paraId="7E1C0236"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Molecular pathway / target</w:t>
            </w:r>
          </w:p>
        </w:tc>
        <w:tc>
          <w:tcPr>
            <w:tcW w:w="0" w:type="auto"/>
            <w:hideMark/>
          </w:tcPr>
          <w:p w14:paraId="138DC71C"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Representative plant compound</w:t>
            </w:r>
          </w:p>
        </w:tc>
        <w:tc>
          <w:tcPr>
            <w:tcW w:w="0" w:type="auto"/>
            <w:hideMark/>
          </w:tcPr>
          <w:p w14:paraId="411C2974"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Physiological domain primarily affected</w:t>
            </w:r>
          </w:p>
        </w:tc>
        <w:tc>
          <w:tcPr>
            <w:tcW w:w="0" w:type="auto"/>
            <w:hideMark/>
          </w:tcPr>
          <w:p w14:paraId="706F2E64" w14:textId="77777777" w:rsidR="00733F46" w:rsidRPr="00733F46" w:rsidRDefault="00733F46" w:rsidP="00733F46">
            <w:pPr>
              <w:jc w:val="center"/>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314FB3FA" w14:textId="77777777" w:rsidTr="00733F46">
        <w:tc>
          <w:tcPr>
            <w:tcW w:w="0" w:type="auto"/>
            <w:hideMark/>
          </w:tcPr>
          <w:p w14:paraId="45EFCB74"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Pattern-recognition receptor engagement; lysozyme/phagocyte activation</w:t>
            </w:r>
          </w:p>
        </w:tc>
        <w:tc>
          <w:tcPr>
            <w:tcW w:w="0" w:type="auto"/>
            <w:hideMark/>
          </w:tcPr>
          <w:p w14:paraId="1B5CECB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polysaccharide</w:t>
            </w:r>
          </w:p>
        </w:tc>
        <w:tc>
          <w:tcPr>
            <w:tcW w:w="0" w:type="auto"/>
            <w:hideMark/>
          </w:tcPr>
          <w:p w14:paraId="56F3196D"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Innate immunity</w:t>
            </w:r>
          </w:p>
        </w:tc>
        <w:tc>
          <w:tcPr>
            <w:tcW w:w="0" w:type="auto"/>
            <w:hideMark/>
          </w:tcPr>
          <w:p w14:paraId="472353B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2898D6D8" w14:textId="77777777" w:rsidTr="00733F46">
        <w:tc>
          <w:tcPr>
            <w:tcW w:w="0" w:type="auto"/>
            <w:hideMark/>
          </w:tcPr>
          <w:p w14:paraId="59B85A8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Cytokine and immunoglobulin gene upregulation</w:t>
            </w:r>
          </w:p>
        </w:tc>
        <w:tc>
          <w:tcPr>
            <w:tcW w:w="0" w:type="auto"/>
            <w:hideMark/>
          </w:tcPr>
          <w:p w14:paraId="1074FB2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Fermented Moringa oleifera</w:t>
            </w:r>
          </w:p>
        </w:tc>
        <w:tc>
          <w:tcPr>
            <w:tcW w:w="0" w:type="auto"/>
            <w:hideMark/>
          </w:tcPr>
          <w:p w14:paraId="72D3DD6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Adaptive/innate immunity</w:t>
            </w:r>
          </w:p>
        </w:tc>
        <w:tc>
          <w:tcPr>
            <w:tcW w:w="0" w:type="auto"/>
            <w:hideMark/>
          </w:tcPr>
          <w:p w14:paraId="44E1E19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Nassar et al. (2024)</w:t>
            </w:r>
          </w:p>
        </w:tc>
      </w:tr>
      <w:tr w:rsidR="00733F46" w:rsidRPr="00733F46" w14:paraId="789D5A12" w14:textId="77777777" w:rsidTr="00733F46">
        <w:tc>
          <w:tcPr>
            <w:tcW w:w="0" w:type="auto"/>
            <w:hideMark/>
          </w:tcPr>
          <w:p w14:paraId="0A76E6A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Antioxidant enzyme induction (SOD, CAT, GSH)</w:t>
            </w:r>
          </w:p>
        </w:tc>
        <w:tc>
          <w:tcPr>
            <w:tcW w:w="0" w:type="auto"/>
            <w:hideMark/>
          </w:tcPr>
          <w:p w14:paraId="0E7B416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 Withania somnifera</w:t>
            </w:r>
          </w:p>
        </w:tc>
        <w:tc>
          <w:tcPr>
            <w:tcW w:w="0" w:type="auto"/>
            <w:hideMark/>
          </w:tcPr>
          <w:p w14:paraId="2988D0C1"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Immunity and hepatic protection</w:t>
            </w:r>
          </w:p>
        </w:tc>
        <w:tc>
          <w:tcPr>
            <w:tcW w:w="0" w:type="auto"/>
            <w:hideMark/>
          </w:tcPr>
          <w:p w14:paraId="00BD48C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 Habib et al. (2024)</w:t>
            </w:r>
          </w:p>
        </w:tc>
      </w:tr>
      <w:tr w:rsidR="00733F46" w:rsidRPr="00733F46" w14:paraId="0CDB2165" w14:textId="77777777" w:rsidTr="00733F46">
        <w:tc>
          <w:tcPr>
            <w:tcW w:w="0" w:type="auto"/>
            <w:hideMark/>
          </w:tcPr>
          <w:p w14:paraId="479560B2"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SREBP-1c / PPARα / AMPK / SIRT1 hepatic signalling</w:t>
            </w:r>
          </w:p>
        </w:tc>
        <w:tc>
          <w:tcPr>
            <w:tcW w:w="0" w:type="auto"/>
            <w:hideMark/>
          </w:tcPr>
          <w:p w14:paraId="48AB714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Polyphenolic and flavonoid extracts (general)</w:t>
            </w:r>
          </w:p>
        </w:tc>
        <w:tc>
          <w:tcPr>
            <w:tcW w:w="0" w:type="auto"/>
            <w:hideMark/>
          </w:tcPr>
          <w:p w14:paraId="742621E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Lipid metabolism</w:t>
            </w:r>
          </w:p>
        </w:tc>
        <w:tc>
          <w:tcPr>
            <w:tcW w:w="0" w:type="auto"/>
            <w:hideMark/>
          </w:tcPr>
          <w:p w14:paraId="75EFD56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 et al. (2020)</w:t>
            </w:r>
          </w:p>
        </w:tc>
      </w:tr>
      <w:tr w:rsidR="00733F46" w:rsidRPr="00733F46" w14:paraId="057470B8" w14:textId="77777777" w:rsidTr="00733F46">
        <w:tc>
          <w:tcPr>
            <w:tcW w:w="0" w:type="auto"/>
            <w:hideMark/>
          </w:tcPr>
          <w:p w14:paraId="4D9CEA18"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AKT–mTOR pathway activation</w:t>
            </w:r>
          </w:p>
        </w:tc>
        <w:tc>
          <w:tcPr>
            <w:tcW w:w="0" w:type="auto"/>
            <w:hideMark/>
          </w:tcPr>
          <w:p w14:paraId="17CD82B9"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Olive by-product/green tea phytogenic blend</w:t>
            </w:r>
          </w:p>
        </w:tc>
        <w:tc>
          <w:tcPr>
            <w:tcW w:w="0" w:type="auto"/>
            <w:hideMark/>
          </w:tcPr>
          <w:p w14:paraId="421CAB2E"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Growth (protein retention) and lipid metabolism</w:t>
            </w:r>
          </w:p>
        </w:tc>
        <w:tc>
          <w:tcPr>
            <w:tcW w:w="0" w:type="auto"/>
            <w:hideMark/>
          </w:tcPr>
          <w:p w14:paraId="60DFD17C"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Liu et al. (2022)</w:t>
            </w:r>
          </w:p>
        </w:tc>
      </w:tr>
      <w:tr w:rsidR="00733F46" w:rsidRPr="00733F46" w14:paraId="13E66227" w14:textId="77777777" w:rsidTr="00733F46">
        <w:tc>
          <w:tcPr>
            <w:tcW w:w="0" w:type="auto"/>
            <w:hideMark/>
          </w:tcPr>
          <w:p w14:paraId="5F15012F"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Gut microbiota modulation and short-chain fatty acid signalling</w:t>
            </w:r>
          </w:p>
        </w:tc>
        <w:tc>
          <w:tcPr>
            <w:tcW w:w="0" w:type="auto"/>
            <w:hideMark/>
          </w:tcPr>
          <w:p w14:paraId="43DB46B5"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Omega-3 polyunsaturated fatty acids</w:t>
            </w:r>
          </w:p>
        </w:tc>
        <w:tc>
          <w:tcPr>
            <w:tcW w:w="0" w:type="auto"/>
            <w:hideMark/>
          </w:tcPr>
          <w:p w14:paraId="4E34776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Intestinal immunity and nutrient digestibility</w:t>
            </w:r>
          </w:p>
        </w:tc>
        <w:tc>
          <w:tcPr>
            <w:tcW w:w="0" w:type="auto"/>
            <w:hideMark/>
          </w:tcPr>
          <w:p w14:paraId="4DD5889A"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Fu et al. (2021)</w:t>
            </w:r>
          </w:p>
        </w:tc>
      </w:tr>
      <w:tr w:rsidR="00733F46" w:rsidRPr="00733F46" w14:paraId="72201BA6" w14:textId="77777777" w:rsidTr="00733F46">
        <w:tc>
          <w:tcPr>
            <w:tcW w:w="0" w:type="auto"/>
            <w:hideMark/>
          </w:tcPr>
          <w:p w14:paraId="08501C5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Direct antimicrobial (organosulfur) activity</w:t>
            </w:r>
          </w:p>
        </w:tc>
        <w:tc>
          <w:tcPr>
            <w:tcW w:w="0" w:type="auto"/>
            <w:hideMark/>
          </w:tcPr>
          <w:p w14:paraId="045C8CA7"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Allicin (Allium sativum)</w:t>
            </w:r>
          </w:p>
        </w:tc>
        <w:tc>
          <w:tcPr>
            <w:tcW w:w="0" w:type="auto"/>
            <w:hideMark/>
          </w:tcPr>
          <w:p w14:paraId="6D8CA1FB"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Disease resistance</w:t>
            </w:r>
          </w:p>
        </w:tc>
        <w:tc>
          <w:tcPr>
            <w:tcW w:w="0" w:type="auto"/>
            <w:hideMark/>
          </w:tcPr>
          <w:p w14:paraId="472F06AE" w14:textId="77777777" w:rsidR="00733F46" w:rsidRPr="00733F46" w:rsidRDefault="00733F46" w:rsidP="00733F46">
            <w:pPr>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Cala Delgado et al. (2023)</w:t>
            </w:r>
          </w:p>
        </w:tc>
      </w:tr>
    </w:tbl>
    <w:p w14:paraId="54D1925C"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8. Dose-Response Relationships, Safety Considerations and Practical Implementation</w:t>
      </w:r>
    </w:p>
    <w:p w14:paraId="06E8B25C"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 recurring theme across Sections 4 through 7 is the frequency with which growth-promoting, immunostimulatory and lipid-regulatory effects follow an inverted-U dose-response curve, with efficacy rising from a low baseline to a species- and compound-specific optimum before plateauing or reversing at higher inclusion levels. This pattern has been documented for Astragalus polysaccharide in shrimp, for curcumin in tilapia, and is implicit in the general caution expressed across multiple reviews that excessive medicinal plant dosing risks immunosuppression rather than continued immune enhancement (Awad &amp; Awaad, 2017; Amer et al., 2022; Pu &amp; Wu, 2022). This non-linearity carries direct practical significance: extrapolating a beneficial dose identified in one species, developmental stage or extract preparation to a different context without independent dose-titration is scientifically unjustified and could, in the least favourable case, produce the opposite of the intended effect.</w:t>
      </w:r>
    </w:p>
    <w:p w14:paraId="280F2C3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 second practical consideration concerns extract standardisation. The concentration of active phytoconstituents in a given plant material varies substantially with cultivar, growing conditions, harvest timing, processing method and storage, yet few of the trials reviewed here report standardised phytochemical fingerprinting of the test material, a limitation that impairs </w:t>
      </w:r>
      <w:r w:rsidRPr="00733F46">
        <w:rPr>
          <w:rFonts w:ascii="Times New Roman" w:eastAsia="Times New Roman" w:hAnsi="Times New Roman" w:cs="Times New Roman"/>
          <w:sz w:val="24"/>
          <w:szCs w:val="24"/>
          <w:lang w:eastAsia="en-GB"/>
        </w:rPr>
        <w:lastRenderedPageBreak/>
        <w:t>both reproducibility across laboratories and the translation of laboratory findings into consistent commercial feed formulations. Fermentation, as demonstrated for Moringa oleifera, can materially alter bioactivity relative to the unprocessed material, indicating that processing method should be treated as an independent experimental variable rather than incidental detail (Nassar et al., 2024).</w:t>
      </w:r>
    </w:p>
    <w:p w14:paraId="69202E0B"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Third, the disease-resistance literature, while encouraging, relies overwhelmingly on experimental challenge with a single bacterial pathogen under controlled laboratory conditions, and considerably less evidence addresses efficacy against viral or parasitic pathogens, polymicrobial infection, or performance under the fluctuating water-quality and multi-stressor conditions typical of commercial farms. The field trial conducted in Labeo rohita over one hundred and twenty days under semi-intensive conditions is a valuable exception and illustrates the feasibility, though not yet the routine practice, of validating laboratory findings at production scale (Rawat et al., 2022).</w:t>
      </w:r>
    </w:p>
    <w:p w14:paraId="129343B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Finally, economic and logistical barriers remain underexplored in the primary literature reviewed here. Several of the botanicals discussed, including garlic and ginger juice-processing residues, are agricultural by-products with the practical advantage of low marginal cost and reduced waste, a consideration likely to influence commercial adoption more strongly than incremental gains in growth or immune parameters alone (Oh, Lee, Lee, Lee, Joo, et al., 2022; Oh, Lee, Lee, Lee, Sohn, et al., 2022).</w:t>
      </w:r>
    </w:p>
    <w:p w14:paraId="3698EC7D"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9. Future Directions</w:t>
      </w:r>
    </w:p>
    <w:p w14:paraId="23B555AC"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Future research in this field would benefit from several specific developments. Standardised phytochemical characterisation of test materials, including quantification of principal bioactive constituents, should become a minimum reporting requirement rather than an optional addition, enabling meaningful comparison across studies using nominally the same plant species. Dose-titration studies designed explicitly to characterise the full shape of the response curve, rather than comparing a small number of arbitrarily chosen inclusion levels, would allow more precise identification of species-specific optimal doses and safety margins. Greater use of multi-stressor and polymicrobial challenge models, alongside extended field trials under commercial rearing conditions, would strengthen the practical relevance of laboratory findings. Molecular studies directly confirming the conservation and functional equivalence of mammalian-derived signalling pathways such as SREBP-1c, PPARα, AMPK and SIRT1 in teleost and crustacean hepatic and hepatopancreatic tissue would place the proposed lipid-metabolic mechanisms on firmer footing. Finally, integration of nanoencapsulation, fermentation and other bioavailability-enhancing processing techniques into standard experimental design, rather than as isolated proof-of-concept studies, would help clarify whether such techniques offer a general route to lower effective inclusion levels across botanicals, with corresponding economic and formulation benefits.</w:t>
      </w:r>
    </w:p>
    <w:p w14:paraId="7EA46E4A"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10. Conclusions</w:t>
      </w:r>
    </w:p>
    <w:p w14:paraId="0527FFAD"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Medicinal plants exert reproducible, biologically plausible and mechanistically interconnected effects on growth performance, immune function and lipid metabolism across a diverse range of farmed finfish and crustacean species, offering a scientifically credible complement or alternative to antibiotic use in aquaculture feed formulation. Botanicals including Astragalus membranaceus, Moringa oleifera, Curcuma longa, Allium sativum, Zingiber officinale and Withania somnifera consistently improve weight gain and feed </w:t>
      </w:r>
      <w:r w:rsidRPr="00733F46">
        <w:rPr>
          <w:rFonts w:ascii="Times New Roman" w:eastAsia="Times New Roman" w:hAnsi="Times New Roman" w:cs="Times New Roman"/>
          <w:sz w:val="24"/>
          <w:szCs w:val="24"/>
          <w:lang w:eastAsia="en-GB"/>
        </w:rPr>
        <w:lastRenderedPageBreak/>
        <w:t>efficiency, enhance innate immune parameters and survival following experimental pathogen challenge, and, in several documented cases, favourably regulate hepatic lipogenic and lipolytic gene expression. These benefits converge on shared antioxidant, anti-inflammatory and metabolic signalling mechanisms that link the three outcome domains rather than operating through independent pathways. The evidence base is nonetheless characterised by pronounced dose-dependency, meaningful species specificity, and reliance on laboratory-scale trials with limited standardisation of plant material, all of which currently constrain confident, generalisable recommendations for commercial feed formulation. Continued investment in dose-optimisation, extract standardisation and field-scale validation is warranted before medicinal plants can be routinely and reliably incorporated into sustainable aquafeed strategies at commercial scale.</w:t>
      </w:r>
    </w:p>
    <w:p w14:paraId="6A884DD0"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11. Limitations</w:t>
      </w:r>
    </w:p>
    <w:p w14:paraId="0A1E06B9" w14:textId="77777777" w:rsid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This review is subject to several limitations. The narrative rather than systematic design, while appropriate to the integrative aim of the paper, does not permit formal quantitative synthesis or meta-analytic effect-size estimation, and the selection and emphasis of individual studies, though guided by explicit inclusion criteria, retains an element of author judgement. The literature search, although conducted across multiple databases, was restricted to English-language publications, which may have excluded relevant findings published in other languages, particularly from regions with substantial aquaculture research output. The evidence synthesised here is drawn predominantly from controlled laboratory trials of comparatively short duration, and conclusions regarding long-term safety, cumulative dietary effects, and performance under full commercial production conditions should be regarded as provisional. Finally, the mechanistic discussion in Section 7 draws in part on pathways characterised primarily in mammalian hepatocytes, and their direct applicability to fish and crustacean physiology, while biologically plausible, awaits fuller confirmation in aquatic species.</w:t>
      </w:r>
    </w:p>
    <w:p w14:paraId="299EE613" w14:textId="77777777" w:rsidR="00274BD4" w:rsidRDefault="00274BD4" w:rsidP="00733F46">
      <w:pPr>
        <w:spacing w:before="100" w:beforeAutospacing="1" w:after="100" w:afterAutospacing="1" w:line="240" w:lineRule="auto"/>
        <w:rPr>
          <w:rFonts w:ascii="Times New Roman" w:eastAsia="Times New Roman" w:hAnsi="Times New Roman" w:cs="Times New Roman"/>
          <w:sz w:val="24"/>
          <w:szCs w:val="24"/>
          <w:lang w:eastAsia="en-GB"/>
        </w:rPr>
      </w:pPr>
    </w:p>
    <w:p w14:paraId="480F7FD8" w14:textId="77777777" w:rsidR="00274BD4" w:rsidRPr="00C04DA0" w:rsidRDefault="00274BD4" w:rsidP="00274BD4">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15A86A5F" w14:textId="77777777" w:rsidR="00274BD4" w:rsidRPr="00C04DA0" w:rsidRDefault="00274BD4" w:rsidP="00274BD4">
      <w:pPr>
        <w:spacing w:after="0" w:line="240" w:lineRule="auto"/>
        <w:rPr>
          <w:rFonts w:ascii="Times New Roman" w:eastAsia="Calibri" w:hAnsi="Times New Roman" w:cs="Times New Roman"/>
        </w:rPr>
      </w:pPr>
    </w:p>
    <w:p w14:paraId="79057D60" w14:textId="77777777" w:rsidR="00274BD4" w:rsidRDefault="00274BD4" w:rsidP="00274BD4">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2A7B4EC" w14:textId="77777777" w:rsidR="00274BD4" w:rsidRDefault="00274BD4" w:rsidP="00274BD4">
      <w:pPr>
        <w:spacing w:after="0" w:line="240" w:lineRule="auto"/>
        <w:jc w:val="both"/>
        <w:rPr>
          <w:rFonts w:ascii="Times New Roman" w:eastAsia="Calibri" w:hAnsi="Times New Roman" w:cs="Times New Roman"/>
        </w:rPr>
      </w:pPr>
    </w:p>
    <w:p w14:paraId="56D4B50C" w14:textId="77777777" w:rsidR="00274BD4" w:rsidRDefault="00274BD4" w:rsidP="00274BD4">
      <w:pPr>
        <w:spacing w:after="0" w:line="240" w:lineRule="auto"/>
        <w:jc w:val="both"/>
        <w:rPr>
          <w:rFonts w:ascii="Times New Roman" w:eastAsia="Calibri" w:hAnsi="Times New Roman" w:cs="Times New Roman"/>
        </w:rPr>
      </w:pPr>
    </w:p>
    <w:p w14:paraId="39327C1B" w14:textId="77777777" w:rsidR="00274BD4" w:rsidRPr="00FA067A" w:rsidRDefault="00274BD4" w:rsidP="00274BD4">
      <w:pPr>
        <w:rPr>
          <w:rFonts w:ascii="Arial" w:eastAsiaTheme="minorEastAsia" w:hAnsi="Arial" w:cs="Arial"/>
          <w:b/>
          <w:bCs/>
          <w:lang w:eastAsia="en-GB"/>
        </w:rPr>
      </w:pPr>
      <w:r w:rsidRPr="00FA067A">
        <w:rPr>
          <w:rFonts w:ascii="Arial" w:eastAsiaTheme="minorEastAsia" w:hAnsi="Arial" w:cs="Arial"/>
          <w:b/>
          <w:bCs/>
          <w:lang w:eastAsia="en-GB"/>
        </w:rPr>
        <w:t>COMPETING INTERESTS DISCLAIMER:</w:t>
      </w:r>
    </w:p>
    <w:p w14:paraId="60CFDD1E" w14:textId="77777777" w:rsidR="00274BD4" w:rsidRPr="00FA067A" w:rsidRDefault="00274BD4" w:rsidP="00274BD4">
      <w:pPr>
        <w:rPr>
          <w:rFonts w:eastAsiaTheme="minorEastAsia"/>
          <w:lang w:eastAsia="en-GB"/>
        </w:rPr>
      </w:pPr>
      <w:r w:rsidRPr="00FA067A">
        <w:rPr>
          <w:rFonts w:ascii="Arial" w:eastAsiaTheme="minorEastAsia" w:hAnsi="Arial" w:cs="Arial"/>
          <w:lang w:eastAsia="en-GB"/>
        </w:rPr>
        <w:t>Authors have declared that they have no known competing financial interests OR non-financial interests OR personal relationships that could have appeared to influence the work reported in this paper.</w:t>
      </w:r>
    </w:p>
    <w:p w14:paraId="5BAE6CA2" w14:textId="77777777" w:rsidR="00274BD4" w:rsidRPr="00733F46" w:rsidRDefault="00274BD4" w:rsidP="00733F46">
      <w:pPr>
        <w:spacing w:before="100" w:beforeAutospacing="1" w:after="100" w:afterAutospacing="1" w:line="240" w:lineRule="auto"/>
        <w:rPr>
          <w:rFonts w:ascii="Times New Roman" w:eastAsia="Times New Roman" w:hAnsi="Times New Roman" w:cs="Times New Roman"/>
          <w:sz w:val="24"/>
          <w:szCs w:val="24"/>
          <w:lang w:eastAsia="en-GB"/>
        </w:rPr>
      </w:pPr>
    </w:p>
    <w:p w14:paraId="3CF498BC" w14:textId="77777777" w:rsidR="00733F46" w:rsidRPr="00733F46" w:rsidRDefault="00733F46" w:rsidP="00733F46">
      <w:pPr>
        <w:spacing w:after="0" w:line="240" w:lineRule="auto"/>
        <w:rPr>
          <w:rFonts w:ascii="Times New Roman" w:eastAsia="Times New Roman" w:hAnsi="Times New Roman" w:cs="Times New Roman"/>
          <w:sz w:val="24"/>
          <w:szCs w:val="24"/>
          <w:lang w:eastAsia="en-GB"/>
        </w:rPr>
      </w:pPr>
    </w:p>
    <w:p w14:paraId="0E94409D" w14:textId="77777777" w:rsidR="00733F46" w:rsidRPr="00733F46" w:rsidRDefault="00733F46" w:rsidP="00733F4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References</w:t>
      </w:r>
    </w:p>
    <w:p w14:paraId="687F721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Abdel-Tawwab, M., Eissa, E.-S. H., Tawfik, W. A., Abd Elnabi, H. E., Saadony, S., Bazina, W. K., &amp; Ahmed, R. A. (2022). Dietary curcumin nanoparticles promoted the performance, antioxidant activity, and humoral immunity, and modulated the hepatic and intestinal histology of Nile tilapia fingerlings. </w:t>
      </w:r>
      <w:r w:rsidRPr="00733F46">
        <w:rPr>
          <w:rFonts w:ascii="Times New Roman" w:eastAsia="Times New Roman" w:hAnsi="Times New Roman" w:cs="Times New Roman"/>
          <w:i/>
          <w:iCs/>
          <w:sz w:val="24"/>
          <w:szCs w:val="24"/>
          <w:lang w:eastAsia="en-GB"/>
        </w:rPr>
        <w:t>Fish Physiology and Biochemistry, 48(3), 585–601.</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color w:val="0000FF"/>
          <w:sz w:val="24"/>
          <w:szCs w:val="24"/>
          <w:u w:val="single"/>
          <w:lang w:eastAsia="en-GB"/>
        </w:rPr>
        <w:t>https://doi.org/10.1007/s10695-022-01066-4</w:t>
      </w:r>
    </w:p>
    <w:p w14:paraId="7C49D3BE"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Afroze, S., Faisal, M., Khan, M. N. A., &amp; Barua, H. (2025). A comprehensive review of antibiotics and antimicrobial resistance in the aquaculture sector of the world and Bangladesh. </w:t>
      </w:r>
      <w:r w:rsidRPr="00733F46">
        <w:rPr>
          <w:rFonts w:ascii="Times New Roman" w:eastAsia="Times New Roman" w:hAnsi="Times New Roman" w:cs="Times New Roman"/>
          <w:i/>
          <w:iCs/>
          <w:sz w:val="24"/>
          <w:szCs w:val="24"/>
          <w:lang w:eastAsia="en-GB"/>
        </w:rPr>
        <w:t>International Journal of Microbiology, 2025</w:t>
      </w:r>
      <w:r w:rsidRPr="00733F46">
        <w:rPr>
          <w:rFonts w:ascii="Times New Roman" w:eastAsia="Times New Roman" w:hAnsi="Times New Roman" w:cs="Times New Roman"/>
          <w:sz w:val="24"/>
          <w:szCs w:val="24"/>
          <w:lang w:eastAsia="en-GB"/>
        </w:rPr>
        <w:t xml:space="preserve">, Article 8818516. </w:t>
      </w:r>
      <w:r w:rsidRPr="00733F46">
        <w:rPr>
          <w:rFonts w:ascii="Times New Roman" w:eastAsia="Times New Roman" w:hAnsi="Times New Roman" w:cs="Times New Roman"/>
          <w:color w:val="0000FF"/>
          <w:sz w:val="24"/>
          <w:szCs w:val="24"/>
          <w:u w:val="single"/>
          <w:lang w:eastAsia="en-GB"/>
        </w:rPr>
        <w:t>https://doi.org/10.1155/ijm/8818516</w:t>
      </w:r>
    </w:p>
    <w:p w14:paraId="374D20F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Amer, S. A., El-Araby, D. A., Tartor, H., Farahat, M., Goda, N. I. A., Farag, M. F. M., Fahmy, E. M., Hassan, A. M., Abo El-Maati, M. F., &amp; Osman, A. (2022). Long-term feeding with curcumin affects the growth, antioxidant capacity, immune status, tissue histoarchitecture, immune expression of proinflammatory cytokines, and apoptosis indicators in Nile tilapia, </w:t>
      </w:r>
      <w:r w:rsidRPr="00733F46">
        <w:rPr>
          <w:rFonts w:ascii="Times New Roman" w:eastAsia="Times New Roman" w:hAnsi="Times New Roman" w:cs="Times New Roman"/>
          <w:i/>
          <w:iCs/>
          <w:sz w:val="24"/>
          <w:szCs w:val="24"/>
          <w:lang w:eastAsia="en-GB"/>
        </w:rPr>
        <w:t>Oreochromis niloticus</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Antioxidants, 11</w:t>
      </w:r>
      <w:r w:rsidRPr="00733F46">
        <w:rPr>
          <w:rFonts w:ascii="Times New Roman" w:eastAsia="Times New Roman" w:hAnsi="Times New Roman" w:cs="Times New Roman"/>
          <w:sz w:val="24"/>
          <w:szCs w:val="24"/>
          <w:lang w:eastAsia="en-GB"/>
        </w:rPr>
        <w:t xml:space="preserve">(5), 937. </w:t>
      </w:r>
      <w:r w:rsidRPr="00733F46">
        <w:rPr>
          <w:rFonts w:ascii="Times New Roman" w:eastAsia="Times New Roman" w:hAnsi="Times New Roman" w:cs="Times New Roman"/>
          <w:color w:val="0000FF"/>
          <w:sz w:val="24"/>
          <w:szCs w:val="24"/>
          <w:u w:val="single"/>
          <w:lang w:eastAsia="en-GB"/>
        </w:rPr>
        <w:t>https://doi.org/10.3390/antiox11050937</w:t>
      </w:r>
    </w:p>
    <w:p w14:paraId="24F6E187"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Awad, E., &amp; Awaad, A. (2017). Role of medicinal plants on growth performance and immune status in fish. </w:t>
      </w:r>
      <w:r w:rsidRPr="00733F46">
        <w:rPr>
          <w:rFonts w:ascii="Times New Roman" w:eastAsia="Times New Roman" w:hAnsi="Times New Roman" w:cs="Times New Roman"/>
          <w:i/>
          <w:iCs/>
          <w:sz w:val="24"/>
          <w:szCs w:val="24"/>
          <w:lang w:eastAsia="en-GB"/>
        </w:rPr>
        <w:t>Fish &amp; Shellfish Immunology, 67</w:t>
      </w:r>
      <w:r w:rsidRPr="00733F46">
        <w:rPr>
          <w:rFonts w:ascii="Times New Roman" w:eastAsia="Times New Roman" w:hAnsi="Times New Roman" w:cs="Times New Roman"/>
          <w:sz w:val="24"/>
          <w:szCs w:val="24"/>
          <w:lang w:eastAsia="en-GB"/>
        </w:rPr>
        <w:t xml:space="preserve">, 40–54. </w:t>
      </w:r>
      <w:r w:rsidRPr="00733F46">
        <w:rPr>
          <w:rFonts w:ascii="Times New Roman" w:eastAsia="Times New Roman" w:hAnsi="Times New Roman" w:cs="Times New Roman"/>
          <w:color w:val="0000FF"/>
          <w:sz w:val="24"/>
          <w:szCs w:val="24"/>
          <w:u w:val="single"/>
          <w:lang w:eastAsia="en-GB"/>
        </w:rPr>
        <w:t>https://doi.org/10.1016/j.fsi.2017.05.034</w:t>
      </w:r>
    </w:p>
    <w:p w14:paraId="2E36AF31"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Baethge, C., Goldbeck-Wood, S., &amp; Mertens, S. (2019). SANRA—a scale for the quality assessment of narrative review articles. </w:t>
      </w:r>
      <w:r w:rsidRPr="00733F46">
        <w:rPr>
          <w:rFonts w:ascii="Times New Roman" w:eastAsia="Times New Roman" w:hAnsi="Times New Roman" w:cs="Times New Roman"/>
          <w:i/>
          <w:iCs/>
          <w:sz w:val="24"/>
          <w:szCs w:val="24"/>
          <w:lang w:eastAsia="en-GB"/>
        </w:rPr>
        <w:t>Research Integrity and Peer Review, 4</w:t>
      </w:r>
      <w:r w:rsidRPr="00733F46">
        <w:rPr>
          <w:rFonts w:ascii="Times New Roman" w:eastAsia="Times New Roman" w:hAnsi="Times New Roman" w:cs="Times New Roman"/>
          <w:sz w:val="24"/>
          <w:szCs w:val="24"/>
          <w:lang w:eastAsia="en-GB"/>
        </w:rPr>
        <w:t xml:space="preserve">, 5. </w:t>
      </w:r>
      <w:r w:rsidRPr="00733F46">
        <w:rPr>
          <w:rFonts w:ascii="Times New Roman" w:eastAsia="Times New Roman" w:hAnsi="Times New Roman" w:cs="Times New Roman"/>
          <w:color w:val="0000FF"/>
          <w:sz w:val="24"/>
          <w:szCs w:val="24"/>
          <w:u w:val="single"/>
          <w:lang w:eastAsia="en-GB"/>
        </w:rPr>
        <w:t>https://doi.org/10.1186/s41073-019-0064-8</w:t>
      </w:r>
    </w:p>
    <w:p w14:paraId="02EBB8A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Cala Delgado, D. L., Castillo Caceres, L. L., Cely Gómez, S. A., &amp; Domínguez Odio, A. (2023). Effect of dietary garlic (</w:t>
      </w:r>
      <w:r w:rsidRPr="00733F46">
        <w:rPr>
          <w:rFonts w:ascii="Times New Roman" w:eastAsia="Times New Roman" w:hAnsi="Times New Roman" w:cs="Times New Roman"/>
          <w:i/>
          <w:iCs/>
          <w:sz w:val="24"/>
          <w:szCs w:val="24"/>
          <w:lang w:eastAsia="en-GB"/>
        </w:rPr>
        <w:t>Allium sativum</w:t>
      </w:r>
      <w:r w:rsidRPr="00733F46">
        <w:rPr>
          <w:rFonts w:ascii="Times New Roman" w:eastAsia="Times New Roman" w:hAnsi="Times New Roman" w:cs="Times New Roman"/>
          <w:sz w:val="24"/>
          <w:szCs w:val="24"/>
          <w:lang w:eastAsia="en-GB"/>
        </w:rPr>
        <w:t xml:space="preserve">) on the zootechnical performance and health indicators of aquatic animals: A mini-review. </w:t>
      </w:r>
      <w:r w:rsidRPr="00733F46">
        <w:rPr>
          <w:rFonts w:ascii="Times New Roman" w:eastAsia="Times New Roman" w:hAnsi="Times New Roman" w:cs="Times New Roman"/>
          <w:i/>
          <w:iCs/>
          <w:sz w:val="24"/>
          <w:szCs w:val="24"/>
          <w:lang w:eastAsia="en-GB"/>
        </w:rPr>
        <w:t>Veterinary World, 16</w:t>
      </w:r>
      <w:r w:rsidRPr="00733F46">
        <w:rPr>
          <w:rFonts w:ascii="Times New Roman" w:eastAsia="Times New Roman" w:hAnsi="Times New Roman" w:cs="Times New Roman"/>
          <w:sz w:val="24"/>
          <w:szCs w:val="24"/>
          <w:lang w:eastAsia="en-GB"/>
        </w:rPr>
        <w:t xml:space="preserve">(5), 965–976. </w:t>
      </w:r>
      <w:r w:rsidRPr="00733F46">
        <w:rPr>
          <w:rFonts w:ascii="Times New Roman" w:eastAsia="Times New Roman" w:hAnsi="Times New Roman" w:cs="Times New Roman"/>
          <w:color w:val="0000FF"/>
          <w:sz w:val="24"/>
          <w:szCs w:val="24"/>
          <w:u w:val="single"/>
          <w:lang w:eastAsia="en-GB"/>
        </w:rPr>
        <w:t>https://doi.org/10.14202/vetworld.2023.965-976</w:t>
      </w:r>
    </w:p>
    <w:p w14:paraId="2817ADF2"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Dadras, F., Velisek, J., &amp; Zuskova, E. (2023). An update about beneficial effects of medicinal plants in aquaculture: A review. </w:t>
      </w:r>
      <w:r w:rsidRPr="00733F46">
        <w:rPr>
          <w:rFonts w:ascii="Times New Roman" w:eastAsia="Times New Roman" w:hAnsi="Times New Roman" w:cs="Times New Roman"/>
          <w:i/>
          <w:iCs/>
          <w:sz w:val="24"/>
          <w:szCs w:val="24"/>
          <w:lang w:eastAsia="en-GB"/>
        </w:rPr>
        <w:t>Veterinární Medicína, 68</w:t>
      </w:r>
      <w:r w:rsidRPr="00733F46">
        <w:rPr>
          <w:rFonts w:ascii="Times New Roman" w:eastAsia="Times New Roman" w:hAnsi="Times New Roman" w:cs="Times New Roman"/>
          <w:sz w:val="24"/>
          <w:szCs w:val="24"/>
          <w:lang w:eastAsia="en-GB"/>
        </w:rPr>
        <w:t xml:space="preserve">(12), 449–463. </w:t>
      </w:r>
      <w:r w:rsidRPr="00733F46">
        <w:rPr>
          <w:rFonts w:ascii="Times New Roman" w:eastAsia="Times New Roman" w:hAnsi="Times New Roman" w:cs="Times New Roman"/>
          <w:color w:val="0000FF"/>
          <w:sz w:val="24"/>
          <w:szCs w:val="24"/>
          <w:u w:val="single"/>
          <w:lang w:eastAsia="en-GB"/>
        </w:rPr>
        <w:t>https://doi.org/10.17221/96/2023-VETMED</w:t>
      </w:r>
    </w:p>
    <w:p w14:paraId="2F78D72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Food and Agriculture Organization of the United Nations. (2024). </w:t>
      </w:r>
      <w:r w:rsidRPr="00733F46">
        <w:rPr>
          <w:rFonts w:ascii="Times New Roman" w:eastAsia="Times New Roman" w:hAnsi="Times New Roman" w:cs="Times New Roman"/>
          <w:i/>
          <w:iCs/>
          <w:sz w:val="24"/>
          <w:szCs w:val="24"/>
          <w:lang w:eastAsia="en-GB"/>
        </w:rPr>
        <w:t>The state of world fisheries and aquaculture 2024: Blue transformation in action</w:t>
      </w:r>
      <w:r w:rsidRPr="00733F46">
        <w:rPr>
          <w:rFonts w:ascii="Times New Roman" w:eastAsia="Times New Roman" w:hAnsi="Times New Roman" w:cs="Times New Roman"/>
          <w:sz w:val="24"/>
          <w:szCs w:val="24"/>
          <w:lang w:eastAsia="en-GB"/>
        </w:rPr>
        <w:t xml:space="preserve">. FAO. </w:t>
      </w:r>
      <w:r w:rsidRPr="00733F46">
        <w:rPr>
          <w:rFonts w:ascii="Times New Roman" w:eastAsia="Times New Roman" w:hAnsi="Times New Roman" w:cs="Times New Roman"/>
          <w:bCs/>
          <w:color w:val="0000FF"/>
          <w:sz w:val="24"/>
          <w:szCs w:val="24"/>
          <w:u w:val="single"/>
          <w:lang w:eastAsia="en-GB"/>
        </w:rPr>
        <w:t>https://doi.org/10.4060/cd0683en</w:t>
      </w:r>
    </w:p>
    <w:p w14:paraId="49E2295D"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Fu, Y., Wang, Y., Gao, H., Li, D., Jiang, R., Ge, L., Tong, C., &amp; Xu, K. (2021). Associations among dietary omega-3 polyunsaturated fatty acids, the gut microbiota, and intestinal immunity. </w:t>
      </w:r>
      <w:r w:rsidRPr="00733F46">
        <w:rPr>
          <w:rFonts w:ascii="Times New Roman" w:eastAsia="Times New Roman" w:hAnsi="Times New Roman" w:cs="Times New Roman"/>
          <w:i/>
          <w:iCs/>
          <w:sz w:val="24"/>
          <w:szCs w:val="24"/>
          <w:lang w:eastAsia="en-GB"/>
        </w:rPr>
        <w:t>Mediators of Inflammation, 2021</w:t>
      </w:r>
      <w:r w:rsidRPr="00733F46">
        <w:rPr>
          <w:rFonts w:ascii="Times New Roman" w:eastAsia="Times New Roman" w:hAnsi="Times New Roman" w:cs="Times New Roman"/>
          <w:sz w:val="24"/>
          <w:szCs w:val="24"/>
          <w:lang w:eastAsia="en-GB"/>
        </w:rPr>
        <w:t xml:space="preserve">, Article 8879227. </w:t>
      </w:r>
      <w:r w:rsidRPr="00733F46">
        <w:rPr>
          <w:rFonts w:ascii="Times New Roman" w:eastAsia="Times New Roman" w:hAnsi="Times New Roman" w:cs="Times New Roman"/>
          <w:color w:val="0000FF"/>
          <w:sz w:val="24"/>
          <w:szCs w:val="24"/>
          <w:u w:val="single"/>
          <w:lang w:eastAsia="en-GB"/>
        </w:rPr>
        <w:t>https://doi.org/10.1155/2021/8879227</w:t>
      </w:r>
    </w:p>
    <w:p w14:paraId="0459B1DA"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Habib, S. S., Saeed, M. Q., Masud, S., Kesbiç, O. S., Ujan, J. A., Cravana, C., Al-Rejaie, S. S., Mohany, M., &amp; Fazio, F. (2024). Dietary effect of </w:t>
      </w:r>
      <w:r w:rsidRPr="00733F46">
        <w:rPr>
          <w:rFonts w:ascii="Times New Roman" w:eastAsia="Times New Roman" w:hAnsi="Times New Roman" w:cs="Times New Roman"/>
          <w:i/>
          <w:iCs/>
          <w:sz w:val="24"/>
          <w:szCs w:val="24"/>
          <w:lang w:eastAsia="en-GB"/>
        </w:rPr>
        <w:t>Withania somnifera</w:t>
      </w:r>
      <w:r w:rsidRPr="00733F46">
        <w:rPr>
          <w:rFonts w:ascii="Times New Roman" w:eastAsia="Times New Roman" w:hAnsi="Times New Roman" w:cs="Times New Roman"/>
          <w:sz w:val="24"/>
          <w:szCs w:val="24"/>
          <w:lang w:eastAsia="en-GB"/>
        </w:rPr>
        <w:t xml:space="preserve"> root powder on </w:t>
      </w:r>
      <w:r w:rsidRPr="00733F46">
        <w:rPr>
          <w:rFonts w:ascii="Times New Roman" w:eastAsia="Times New Roman" w:hAnsi="Times New Roman" w:cs="Times New Roman"/>
          <w:sz w:val="24"/>
          <w:szCs w:val="24"/>
          <w:lang w:eastAsia="en-GB"/>
        </w:rPr>
        <w:lastRenderedPageBreak/>
        <w:t xml:space="preserve">growth, hematobiochemical parameters, immunity, and disease resistance to </w:t>
      </w:r>
      <w:r w:rsidRPr="00733F46">
        <w:rPr>
          <w:rFonts w:ascii="Times New Roman" w:eastAsia="Times New Roman" w:hAnsi="Times New Roman" w:cs="Times New Roman"/>
          <w:i/>
          <w:iCs/>
          <w:sz w:val="24"/>
          <w:szCs w:val="24"/>
          <w:lang w:eastAsia="en-GB"/>
        </w:rPr>
        <w:t>Aeromonas hydrophila</w:t>
      </w:r>
      <w:r w:rsidRPr="00733F46">
        <w:rPr>
          <w:rFonts w:ascii="Times New Roman" w:eastAsia="Times New Roman" w:hAnsi="Times New Roman" w:cs="Times New Roman"/>
          <w:sz w:val="24"/>
          <w:szCs w:val="24"/>
          <w:lang w:eastAsia="en-GB"/>
        </w:rPr>
        <w:t xml:space="preserve"> in </w:t>
      </w:r>
      <w:r w:rsidRPr="00733F46">
        <w:rPr>
          <w:rFonts w:ascii="Times New Roman" w:eastAsia="Times New Roman" w:hAnsi="Times New Roman" w:cs="Times New Roman"/>
          <w:i/>
          <w:iCs/>
          <w:sz w:val="24"/>
          <w:szCs w:val="24"/>
          <w:lang w:eastAsia="en-GB"/>
        </w:rPr>
        <w:t>Cyprinus carpio</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Aquaculture Nutrition, 2024</w:t>
      </w:r>
      <w:r w:rsidRPr="00733F46">
        <w:rPr>
          <w:rFonts w:ascii="Times New Roman" w:eastAsia="Times New Roman" w:hAnsi="Times New Roman" w:cs="Times New Roman"/>
          <w:sz w:val="24"/>
          <w:szCs w:val="24"/>
          <w:lang w:eastAsia="en-GB"/>
        </w:rPr>
        <w:t xml:space="preserve">, Article 7321287. </w:t>
      </w:r>
      <w:r w:rsidRPr="00733F46">
        <w:rPr>
          <w:rFonts w:ascii="Times New Roman" w:eastAsia="Times New Roman" w:hAnsi="Times New Roman" w:cs="Times New Roman"/>
          <w:color w:val="0000FF"/>
          <w:sz w:val="24"/>
          <w:szCs w:val="24"/>
          <w:u w:val="single"/>
          <w:lang w:eastAsia="en-GB"/>
        </w:rPr>
        <w:t>https://doi.org/10.1155/2024/7321287</w:t>
      </w:r>
    </w:p>
    <w:p w14:paraId="00089C3D"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Huang, Z., Ye, Y., Xu, A., &amp; Li, Z. (2023). Effects of </w:t>
      </w:r>
      <w:r w:rsidRPr="00733F46">
        <w:rPr>
          <w:rFonts w:ascii="Times New Roman" w:eastAsia="Times New Roman" w:hAnsi="Times New Roman" w:cs="Times New Roman"/>
          <w:i/>
          <w:iCs/>
          <w:sz w:val="24"/>
          <w:szCs w:val="24"/>
          <w:lang w:eastAsia="en-GB"/>
        </w:rPr>
        <w:t>Astragalus membranaceus</w:t>
      </w:r>
      <w:r w:rsidRPr="00733F46">
        <w:rPr>
          <w:rFonts w:ascii="Times New Roman" w:eastAsia="Times New Roman" w:hAnsi="Times New Roman" w:cs="Times New Roman"/>
          <w:sz w:val="24"/>
          <w:szCs w:val="24"/>
          <w:lang w:eastAsia="en-GB"/>
        </w:rPr>
        <w:t xml:space="preserve"> polysaccharides on growth performance, physiological and biochemical parameters, and expression of genes related to lipid metabolism of spotted sea bass, </w:t>
      </w:r>
      <w:r w:rsidRPr="00733F46">
        <w:rPr>
          <w:rFonts w:ascii="Times New Roman" w:eastAsia="Times New Roman" w:hAnsi="Times New Roman" w:cs="Times New Roman"/>
          <w:i/>
          <w:iCs/>
          <w:sz w:val="24"/>
          <w:szCs w:val="24"/>
          <w:lang w:eastAsia="en-GB"/>
        </w:rPr>
        <w:t>Lateolabrax maculatus</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Aquaculture Nutrition, 2023</w:t>
      </w:r>
      <w:r w:rsidRPr="00733F46">
        <w:rPr>
          <w:rFonts w:ascii="Times New Roman" w:eastAsia="Times New Roman" w:hAnsi="Times New Roman" w:cs="Times New Roman"/>
          <w:sz w:val="24"/>
          <w:szCs w:val="24"/>
          <w:lang w:eastAsia="en-GB"/>
        </w:rPr>
        <w:t xml:space="preserve">, Article 6191330. </w:t>
      </w:r>
      <w:r w:rsidRPr="00733F46">
        <w:rPr>
          <w:rFonts w:ascii="Times New Roman" w:eastAsia="Times New Roman" w:hAnsi="Times New Roman" w:cs="Times New Roman"/>
          <w:color w:val="0000FF"/>
          <w:sz w:val="24"/>
          <w:szCs w:val="24"/>
          <w:u w:val="single"/>
          <w:lang w:eastAsia="en-GB"/>
        </w:rPr>
        <w:t>https://doi.org/10.1155/2023/6191330</w:t>
      </w:r>
    </w:p>
    <w:p w14:paraId="655E91CC"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Li, S., Xu, Y., Guo, W., Chen, F., Zhang, C., Tan, H. Y., Wang, N., &amp; Feng, Y. (2020). The impacts of herbal medicines and natural products on regulating the hepatic lipid metabolism. </w:t>
      </w:r>
      <w:r w:rsidRPr="00733F46">
        <w:rPr>
          <w:rFonts w:ascii="Times New Roman" w:eastAsia="Times New Roman" w:hAnsi="Times New Roman" w:cs="Times New Roman"/>
          <w:i/>
          <w:iCs/>
          <w:sz w:val="24"/>
          <w:szCs w:val="24"/>
          <w:lang w:eastAsia="en-GB"/>
        </w:rPr>
        <w:t>Frontiers in Pharmacology, 11</w:t>
      </w:r>
      <w:r w:rsidRPr="00733F46">
        <w:rPr>
          <w:rFonts w:ascii="Times New Roman" w:eastAsia="Times New Roman" w:hAnsi="Times New Roman" w:cs="Times New Roman"/>
          <w:sz w:val="24"/>
          <w:szCs w:val="24"/>
          <w:lang w:eastAsia="en-GB"/>
        </w:rPr>
        <w:t xml:space="preserve">, 351. </w:t>
      </w:r>
      <w:r w:rsidRPr="00733F46">
        <w:rPr>
          <w:rFonts w:ascii="Times New Roman" w:eastAsia="Times New Roman" w:hAnsi="Times New Roman" w:cs="Times New Roman"/>
          <w:color w:val="0000FF"/>
          <w:sz w:val="24"/>
          <w:szCs w:val="24"/>
          <w:u w:val="single"/>
          <w:lang w:eastAsia="en-GB"/>
        </w:rPr>
        <w:t>https://doi.org/10.3389/fphar.2020.00351</w:t>
      </w:r>
    </w:p>
    <w:p w14:paraId="780C1D71"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Liu, J., Xue, M., Morais, S., He, M., Wang, H., Wang, J., Pastor, J. J., Gonçalves, R. A., &amp; Liang, X. (2022). Effects of a phytogenic supplement containing olive by-product and green tea extracts on growth performance, lipid metabolism, and hepatic antioxidant capacity in largemouth bass (</w:t>
      </w:r>
      <w:r w:rsidRPr="00733F46">
        <w:rPr>
          <w:rFonts w:ascii="Times New Roman" w:eastAsia="Times New Roman" w:hAnsi="Times New Roman" w:cs="Times New Roman"/>
          <w:i/>
          <w:iCs/>
          <w:sz w:val="24"/>
          <w:szCs w:val="24"/>
          <w:lang w:eastAsia="en-GB"/>
        </w:rPr>
        <w:t>Micropterus salmoides</w:t>
      </w:r>
      <w:r w:rsidRPr="00733F46">
        <w:rPr>
          <w:rFonts w:ascii="Times New Roman" w:eastAsia="Times New Roman" w:hAnsi="Times New Roman" w:cs="Times New Roman"/>
          <w:sz w:val="24"/>
          <w:szCs w:val="24"/>
          <w:lang w:eastAsia="en-GB"/>
        </w:rPr>
        <w:t xml:space="preserve">) fed a high soybean meal diet. </w:t>
      </w:r>
      <w:r w:rsidRPr="00733F46">
        <w:rPr>
          <w:rFonts w:ascii="Times New Roman" w:eastAsia="Times New Roman" w:hAnsi="Times New Roman" w:cs="Times New Roman"/>
          <w:i/>
          <w:iCs/>
          <w:sz w:val="24"/>
          <w:szCs w:val="24"/>
          <w:lang w:eastAsia="en-GB"/>
        </w:rPr>
        <w:t>Antioxidants, 11</w:t>
      </w:r>
      <w:r w:rsidRPr="00733F46">
        <w:rPr>
          <w:rFonts w:ascii="Times New Roman" w:eastAsia="Times New Roman" w:hAnsi="Times New Roman" w:cs="Times New Roman"/>
          <w:sz w:val="24"/>
          <w:szCs w:val="24"/>
          <w:lang w:eastAsia="en-GB"/>
        </w:rPr>
        <w:t xml:space="preserve">(12), 2415. </w:t>
      </w:r>
      <w:r w:rsidRPr="00733F46">
        <w:rPr>
          <w:rFonts w:ascii="Times New Roman" w:eastAsia="Times New Roman" w:hAnsi="Times New Roman" w:cs="Times New Roman"/>
          <w:color w:val="0000FF"/>
          <w:sz w:val="24"/>
          <w:szCs w:val="24"/>
          <w:u w:val="single"/>
          <w:lang w:eastAsia="en-GB"/>
        </w:rPr>
        <w:t>https://doi.org/10.3390/antiox11122415</w:t>
      </w:r>
    </w:p>
    <w:p w14:paraId="03D279D5"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Mahmoud, H. K., Farag, M. R., Reda, F. M., Alagawany, M., &amp; Abdel-Latif, H. M. R. (2022). Dietary supplementation with </w:t>
      </w:r>
      <w:r w:rsidRPr="00733F46">
        <w:rPr>
          <w:rFonts w:ascii="Times New Roman" w:eastAsia="Times New Roman" w:hAnsi="Times New Roman" w:cs="Times New Roman"/>
          <w:i/>
          <w:iCs/>
          <w:sz w:val="24"/>
          <w:szCs w:val="24"/>
          <w:lang w:eastAsia="en-GB"/>
        </w:rPr>
        <w:t>Moringa oleifera</w:t>
      </w:r>
      <w:r w:rsidRPr="00733F46">
        <w:rPr>
          <w:rFonts w:ascii="Times New Roman" w:eastAsia="Times New Roman" w:hAnsi="Times New Roman" w:cs="Times New Roman"/>
          <w:sz w:val="24"/>
          <w:szCs w:val="24"/>
          <w:lang w:eastAsia="en-GB"/>
        </w:rPr>
        <w:t xml:space="preserve"> leaves extract reduces the impacts of sub-lethal fipronil in Nile tilapia, </w:t>
      </w:r>
      <w:r w:rsidRPr="00733F46">
        <w:rPr>
          <w:rFonts w:ascii="Times New Roman" w:eastAsia="Times New Roman" w:hAnsi="Times New Roman" w:cs="Times New Roman"/>
          <w:i/>
          <w:iCs/>
          <w:sz w:val="24"/>
          <w:szCs w:val="24"/>
          <w:lang w:eastAsia="en-GB"/>
        </w:rPr>
        <w:t>Oreochromis niloticus</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Scientific Reports, 12</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b/>
          <w:bCs/>
          <w:sz w:val="24"/>
          <w:szCs w:val="24"/>
          <w:lang w:eastAsia="en-GB"/>
        </w:rPr>
        <w:t>Article 21748.</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color w:val="0000FF"/>
          <w:sz w:val="24"/>
          <w:szCs w:val="24"/>
          <w:u w:val="single"/>
          <w:lang w:eastAsia="en-GB"/>
        </w:rPr>
        <w:t>https://doi.org/10.1038/s41598-022-25611-6</w:t>
      </w:r>
    </w:p>
    <w:p w14:paraId="3C988492"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Nassar, A. A. M. A., Gharib, A. A. E., Abdelgalil, S. Y., AbdAllah, H. M., &amp; Elmowalid, G. A. (2024). Immunomodulatory, antioxidant, and growth-promoting activities of dietary fermented </w:t>
      </w:r>
      <w:r w:rsidRPr="00733F46">
        <w:rPr>
          <w:rFonts w:ascii="Times New Roman" w:eastAsia="Times New Roman" w:hAnsi="Times New Roman" w:cs="Times New Roman"/>
          <w:i/>
          <w:iCs/>
          <w:sz w:val="24"/>
          <w:szCs w:val="24"/>
          <w:lang w:eastAsia="en-GB"/>
        </w:rPr>
        <w:t>Moringa oleifera</w:t>
      </w:r>
      <w:r w:rsidRPr="00733F46">
        <w:rPr>
          <w:rFonts w:ascii="Times New Roman" w:eastAsia="Times New Roman" w:hAnsi="Times New Roman" w:cs="Times New Roman"/>
          <w:sz w:val="24"/>
          <w:szCs w:val="24"/>
          <w:lang w:eastAsia="en-GB"/>
        </w:rPr>
        <w:t xml:space="preserve"> in Nile tilapia (</w:t>
      </w:r>
      <w:r w:rsidRPr="00733F46">
        <w:rPr>
          <w:rFonts w:ascii="Times New Roman" w:eastAsia="Times New Roman" w:hAnsi="Times New Roman" w:cs="Times New Roman"/>
          <w:i/>
          <w:iCs/>
          <w:sz w:val="24"/>
          <w:szCs w:val="24"/>
          <w:lang w:eastAsia="en-GB"/>
        </w:rPr>
        <w:t>Oreochromis niloticus</w:t>
      </w:r>
      <w:r w:rsidRPr="00733F46">
        <w:rPr>
          <w:rFonts w:ascii="Times New Roman" w:eastAsia="Times New Roman" w:hAnsi="Times New Roman" w:cs="Times New Roman"/>
          <w:sz w:val="24"/>
          <w:szCs w:val="24"/>
          <w:lang w:eastAsia="en-GB"/>
        </w:rPr>
        <w:t xml:space="preserve">) with in-vivo protection against </w:t>
      </w:r>
      <w:r w:rsidRPr="00733F46">
        <w:rPr>
          <w:rFonts w:ascii="Times New Roman" w:eastAsia="Times New Roman" w:hAnsi="Times New Roman" w:cs="Times New Roman"/>
          <w:i/>
          <w:iCs/>
          <w:sz w:val="24"/>
          <w:szCs w:val="24"/>
          <w:lang w:eastAsia="en-GB"/>
        </w:rPr>
        <w:t>Aeromonas hydrophila</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BMC Veterinary Research, 20</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b/>
          <w:bCs/>
          <w:sz w:val="24"/>
          <w:szCs w:val="24"/>
          <w:lang w:eastAsia="en-GB"/>
        </w:rPr>
        <w:t>Article 231.</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color w:val="0000FF"/>
          <w:sz w:val="24"/>
          <w:szCs w:val="24"/>
          <w:u w:val="single"/>
          <w:lang w:eastAsia="en-GB"/>
        </w:rPr>
        <w:t>https://doi.org/10.1186/s12917-024-04070-3</w:t>
      </w:r>
    </w:p>
    <w:p w14:paraId="4222A49D"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H. Y., Lee, T. H., Lee, D.-Y., Lee, C.-H., Joo, M.-S., Kim, H. S., &amp; Kim, K.-D. (2022). Dietary supplementation with ginger (</w:t>
      </w:r>
      <w:r w:rsidRPr="00733F46">
        <w:rPr>
          <w:rFonts w:ascii="Times New Roman" w:eastAsia="Times New Roman" w:hAnsi="Times New Roman" w:cs="Times New Roman"/>
          <w:i/>
          <w:iCs/>
          <w:sz w:val="24"/>
          <w:szCs w:val="24"/>
          <w:lang w:eastAsia="en-GB"/>
        </w:rPr>
        <w:t>Zingiber officinale</w:t>
      </w:r>
      <w:r w:rsidRPr="00733F46">
        <w:rPr>
          <w:rFonts w:ascii="Times New Roman" w:eastAsia="Times New Roman" w:hAnsi="Times New Roman" w:cs="Times New Roman"/>
          <w:sz w:val="24"/>
          <w:szCs w:val="24"/>
          <w:lang w:eastAsia="en-GB"/>
        </w:rPr>
        <w:t>) residue from juice extraction improves juvenile black rockfish (</w:t>
      </w:r>
      <w:r w:rsidRPr="00733F46">
        <w:rPr>
          <w:rFonts w:ascii="Times New Roman" w:eastAsia="Times New Roman" w:hAnsi="Times New Roman" w:cs="Times New Roman"/>
          <w:i/>
          <w:iCs/>
          <w:sz w:val="24"/>
          <w:szCs w:val="24"/>
          <w:lang w:eastAsia="en-GB"/>
        </w:rPr>
        <w:t>Sebastes schlegelii</w:t>
      </w:r>
      <w:r w:rsidRPr="00733F46">
        <w:rPr>
          <w:rFonts w:ascii="Times New Roman" w:eastAsia="Times New Roman" w:hAnsi="Times New Roman" w:cs="Times New Roman"/>
          <w:sz w:val="24"/>
          <w:szCs w:val="24"/>
          <w:lang w:eastAsia="en-GB"/>
        </w:rPr>
        <w:t xml:space="preserve">) growth performance, antioxidant enzyme activity, and resistance to </w:t>
      </w:r>
      <w:r w:rsidRPr="00733F46">
        <w:rPr>
          <w:rFonts w:ascii="Times New Roman" w:eastAsia="Times New Roman" w:hAnsi="Times New Roman" w:cs="Times New Roman"/>
          <w:i/>
          <w:iCs/>
          <w:sz w:val="24"/>
          <w:szCs w:val="24"/>
          <w:lang w:eastAsia="en-GB"/>
        </w:rPr>
        <w:t>Streptococcus iniae</w:t>
      </w:r>
      <w:r w:rsidRPr="00733F46">
        <w:rPr>
          <w:rFonts w:ascii="Times New Roman" w:eastAsia="Times New Roman" w:hAnsi="Times New Roman" w:cs="Times New Roman"/>
          <w:sz w:val="24"/>
          <w:szCs w:val="24"/>
          <w:lang w:eastAsia="en-GB"/>
        </w:rPr>
        <w:t xml:space="preserve"> infection. </w:t>
      </w:r>
      <w:r w:rsidRPr="00733F46">
        <w:rPr>
          <w:rFonts w:ascii="Times New Roman" w:eastAsia="Times New Roman" w:hAnsi="Times New Roman" w:cs="Times New Roman"/>
          <w:i/>
          <w:iCs/>
          <w:sz w:val="24"/>
          <w:szCs w:val="24"/>
          <w:lang w:eastAsia="en-GB"/>
        </w:rPr>
        <w:t>Animals, 12</w:t>
      </w:r>
      <w:r w:rsidRPr="00733F46">
        <w:rPr>
          <w:rFonts w:ascii="Times New Roman" w:eastAsia="Times New Roman" w:hAnsi="Times New Roman" w:cs="Times New Roman"/>
          <w:sz w:val="24"/>
          <w:szCs w:val="24"/>
          <w:lang w:eastAsia="en-GB"/>
        </w:rPr>
        <w:t xml:space="preserve">(5), 546. </w:t>
      </w:r>
      <w:r w:rsidRPr="00733F46">
        <w:rPr>
          <w:rFonts w:ascii="Times New Roman" w:eastAsia="Times New Roman" w:hAnsi="Times New Roman" w:cs="Times New Roman"/>
          <w:color w:val="0000FF"/>
          <w:sz w:val="24"/>
          <w:szCs w:val="24"/>
          <w:u w:val="single"/>
          <w:lang w:eastAsia="en-GB"/>
        </w:rPr>
        <w:t>https://doi.org/10.3390/ani12050546</w:t>
      </w:r>
    </w:p>
    <w:p w14:paraId="4611F121"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H. Y., Lee, T. H., Lee, D.-Y., Lee, C.-H., Sohn, M.-Y., Kwon, R.-W., Kim, J.-G., Kim, H. S., &amp; Kim, K.-D. (2022). Evaluation of garlic juice processing waste supplementation in juvenile black rockfish (</w:t>
      </w:r>
      <w:r w:rsidRPr="00733F46">
        <w:rPr>
          <w:rFonts w:ascii="Times New Roman" w:eastAsia="Times New Roman" w:hAnsi="Times New Roman" w:cs="Times New Roman"/>
          <w:i/>
          <w:iCs/>
          <w:sz w:val="24"/>
          <w:szCs w:val="24"/>
          <w:lang w:eastAsia="en-GB"/>
        </w:rPr>
        <w:t>Sebastes schlegelii</w:t>
      </w:r>
      <w:r w:rsidRPr="00733F46">
        <w:rPr>
          <w:rFonts w:ascii="Times New Roman" w:eastAsia="Times New Roman" w:hAnsi="Times New Roman" w:cs="Times New Roman"/>
          <w:sz w:val="24"/>
          <w:szCs w:val="24"/>
          <w:lang w:eastAsia="en-GB"/>
        </w:rPr>
        <w:t xml:space="preserve">) diets on growth performance, antioxidant and digestive enzyme activity, growth- and antioxidant-related gene expression, and disease resistance against </w:t>
      </w:r>
      <w:r w:rsidRPr="00733F46">
        <w:rPr>
          <w:rFonts w:ascii="Times New Roman" w:eastAsia="Times New Roman" w:hAnsi="Times New Roman" w:cs="Times New Roman"/>
          <w:i/>
          <w:iCs/>
          <w:sz w:val="24"/>
          <w:szCs w:val="24"/>
          <w:lang w:eastAsia="en-GB"/>
        </w:rPr>
        <w:t>Streptococcus iniae</w:t>
      </w:r>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i/>
          <w:iCs/>
          <w:sz w:val="24"/>
          <w:szCs w:val="24"/>
          <w:lang w:eastAsia="en-GB"/>
        </w:rPr>
        <w:t>Animals, 12</w:t>
      </w:r>
      <w:r w:rsidRPr="00733F46">
        <w:rPr>
          <w:rFonts w:ascii="Times New Roman" w:eastAsia="Times New Roman" w:hAnsi="Times New Roman" w:cs="Times New Roman"/>
          <w:sz w:val="24"/>
          <w:szCs w:val="24"/>
          <w:lang w:eastAsia="en-GB"/>
        </w:rPr>
        <w:t xml:space="preserve">(24), 3512. </w:t>
      </w:r>
      <w:r w:rsidRPr="00733F46">
        <w:rPr>
          <w:rFonts w:ascii="Times New Roman" w:eastAsia="Times New Roman" w:hAnsi="Times New Roman" w:cs="Times New Roman"/>
          <w:color w:val="0000FF"/>
          <w:sz w:val="24"/>
          <w:szCs w:val="24"/>
          <w:u w:val="single"/>
          <w:lang w:eastAsia="en-GB"/>
        </w:rPr>
        <w:t>https://doi.org/10.3390/ani12243512</w:t>
      </w:r>
    </w:p>
    <w:p w14:paraId="395C4D84"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Y., &amp; Wu, S. (2022). The growth performance, body composition and nonspecific immunity of white shrimps (</w:t>
      </w:r>
      <w:r w:rsidRPr="00733F46">
        <w:rPr>
          <w:rFonts w:ascii="Times New Roman" w:eastAsia="Times New Roman" w:hAnsi="Times New Roman" w:cs="Times New Roman"/>
          <w:i/>
          <w:iCs/>
          <w:sz w:val="24"/>
          <w:szCs w:val="24"/>
          <w:lang w:eastAsia="en-GB"/>
        </w:rPr>
        <w:t>Litopenaeus vannamei</w:t>
      </w:r>
      <w:r w:rsidRPr="00733F46">
        <w:rPr>
          <w:rFonts w:ascii="Times New Roman" w:eastAsia="Times New Roman" w:hAnsi="Times New Roman" w:cs="Times New Roman"/>
          <w:sz w:val="24"/>
          <w:szCs w:val="24"/>
          <w:lang w:eastAsia="en-GB"/>
        </w:rPr>
        <w:t xml:space="preserve">) affected by dietary </w:t>
      </w:r>
      <w:r w:rsidRPr="00733F46">
        <w:rPr>
          <w:rFonts w:ascii="Times New Roman" w:eastAsia="Times New Roman" w:hAnsi="Times New Roman" w:cs="Times New Roman"/>
          <w:i/>
          <w:iCs/>
          <w:sz w:val="24"/>
          <w:szCs w:val="24"/>
          <w:lang w:eastAsia="en-GB"/>
        </w:rPr>
        <w:t>Astragalus membranaceus</w:t>
      </w:r>
      <w:r w:rsidRPr="00733F46">
        <w:rPr>
          <w:rFonts w:ascii="Times New Roman" w:eastAsia="Times New Roman" w:hAnsi="Times New Roman" w:cs="Times New Roman"/>
          <w:sz w:val="24"/>
          <w:szCs w:val="24"/>
          <w:lang w:eastAsia="en-GB"/>
        </w:rPr>
        <w:t xml:space="preserve"> polysaccharide. </w:t>
      </w:r>
      <w:r w:rsidRPr="00733F46">
        <w:rPr>
          <w:rFonts w:ascii="Times New Roman" w:eastAsia="Times New Roman" w:hAnsi="Times New Roman" w:cs="Times New Roman"/>
          <w:i/>
          <w:iCs/>
          <w:sz w:val="24"/>
          <w:szCs w:val="24"/>
          <w:lang w:eastAsia="en-GB"/>
        </w:rPr>
        <w:t>International Journal of Biological Macromolecules, 209</w:t>
      </w:r>
      <w:r w:rsidRPr="00733F46">
        <w:rPr>
          <w:rFonts w:ascii="Times New Roman" w:eastAsia="Times New Roman" w:hAnsi="Times New Roman" w:cs="Times New Roman"/>
          <w:sz w:val="24"/>
          <w:szCs w:val="24"/>
          <w:lang w:eastAsia="en-GB"/>
        </w:rPr>
        <w:t xml:space="preserve">(Pt A), 162–165. </w:t>
      </w:r>
      <w:r w:rsidRPr="00733F46">
        <w:rPr>
          <w:rFonts w:ascii="Times New Roman" w:eastAsia="Times New Roman" w:hAnsi="Times New Roman" w:cs="Times New Roman"/>
          <w:color w:val="0000FF"/>
          <w:sz w:val="24"/>
          <w:szCs w:val="24"/>
          <w:u w:val="single"/>
          <w:lang w:eastAsia="en-GB"/>
        </w:rPr>
        <w:t>https://doi.org/10.1016/j.ijbiomac.2022.04.010</w:t>
      </w:r>
    </w:p>
    <w:p w14:paraId="25168238"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Rawat, P., Kaur, V. I., Tyagi, A., Norouzitallab, P., &amp; Baruah, K. (2022). Determining the efficacy of ginger </w:t>
      </w:r>
      <w:r w:rsidRPr="00733F46">
        <w:rPr>
          <w:rFonts w:ascii="Times New Roman" w:eastAsia="Times New Roman" w:hAnsi="Times New Roman" w:cs="Times New Roman"/>
          <w:i/>
          <w:iCs/>
          <w:sz w:val="24"/>
          <w:szCs w:val="24"/>
          <w:lang w:eastAsia="en-GB"/>
        </w:rPr>
        <w:t>Zingiber officinale</w:t>
      </w:r>
      <w:r w:rsidRPr="00733F46">
        <w:rPr>
          <w:rFonts w:ascii="Times New Roman" w:eastAsia="Times New Roman" w:hAnsi="Times New Roman" w:cs="Times New Roman"/>
          <w:sz w:val="24"/>
          <w:szCs w:val="24"/>
          <w:lang w:eastAsia="en-GB"/>
        </w:rPr>
        <w:t xml:space="preserve"> as a potential nutraceutical agent for boosting growth </w:t>
      </w:r>
      <w:r w:rsidRPr="00733F46">
        <w:rPr>
          <w:rFonts w:ascii="Times New Roman" w:eastAsia="Times New Roman" w:hAnsi="Times New Roman" w:cs="Times New Roman"/>
          <w:sz w:val="24"/>
          <w:szCs w:val="24"/>
          <w:lang w:eastAsia="en-GB"/>
        </w:rPr>
        <w:lastRenderedPageBreak/>
        <w:t xml:space="preserve">performance and health status of </w:t>
      </w:r>
      <w:r w:rsidRPr="00733F46">
        <w:rPr>
          <w:rFonts w:ascii="Times New Roman" w:eastAsia="Times New Roman" w:hAnsi="Times New Roman" w:cs="Times New Roman"/>
          <w:i/>
          <w:iCs/>
          <w:sz w:val="24"/>
          <w:szCs w:val="24"/>
          <w:lang w:eastAsia="en-GB"/>
        </w:rPr>
        <w:t>Labeo rohita</w:t>
      </w:r>
      <w:r w:rsidRPr="00733F46">
        <w:rPr>
          <w:rFonts w:ascii="Times New Roman" w:eastAsia="Times New Roman" w:hAnsi="Times New Roman" w:cs="Times New Roman"/>
          <w:sz w:val="24"/>
          <w:szCs w:val="24"/>
          <w:lang w:eastAsia="en-GB"/>
        </w:rPr>
        <w:t xml:space="preserve"> reared in a semi-intensive culture system. </w:t>
      </w:r>
      <w:r w:rsidRPr="00733F46">
        <w:rPr>
          <w:rFonts w:ascii="Times New Roman" w:eastAsia="Times New Roman" w:hAnsi="Times New Roman" w:cs="Times New Roman"/>
          <w:i/>
          <w:iCs/>
          <w:sz w:val="24"/>
          <w:szCs w:val="24"/>
          <w:lang w:eastAsia="en-GB"/>
        </w:rPr>
        <w:t>Frontiers in Physiology, 13</w:t>
      </w:r>
      <w:r w:rsidRPr="00733F46">
        <w:rPr>
          <w:rFonts w:ascii="Times New Roman" w:eastAsia="Times New Roman" w:hAnsi="Times New Roman" w:cs="Times New Roman"/>
          <w:sz w:val="24"/>
          <w:szCs w:val="24"/>
          <w:lang w:eastAsia="en-GB"/>
        </w:rPr>
        <w:t xml:space="preserve">, Article 960897. </w:t>
      </w:r>
      <w:r w:rsidRPr="00733F46">
        <w:rPr>
          <w:rFonts w:ascii="Times New Roman" w:eastAsia="Times New Roman" w:hAnsi="Times New Roman" w:cs="Times New Roman"/>
          <w:color w:val="0000FF"/>
          <w:sz w:val="24"/>
          <w:szCs w:val="24"/>
          <w:u w:val="single"/>
          <w:lang w:eastAsia="en-GB"/>
        </w:rPr>
        <w:t>https://doi.org/10.3389/fphys.2022.960897</w:t>
      </w:r>
    </w:p>
    <w:p w14:paraId="6B8E59D6"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Tadese, D. A., Song, C., Sun, C., Liu, B., Zhou, Q., Xu, P., Ge, X., Liu, M., Xu, X., Tamiru, M., Zhou, Z., Lakew, A., &amp; Kevin, N. T. (2022). The role of currently used medicinal plants in aquaculture and their action mechanisms: A review. </w:t>
      </w:r>
      <w:r w:rsidRPr="00733F46">
        <w:rPr>
          <w:rFonts w:ascii="Times New Roman" w:eastAsia="Times New Roman" w:hAnsi="Times New Roman" w:cs="Times New Roman"/>
          <w:i/>
          <w:iCs/>
          <w:sz w:val="24"/>
          <w:szCs w:val="24"/>
          <w:lang w:eastAsia="en-GB"/>
        </w:rPr>
        <w:t>Reviews in Aquaculture, 14</w:t>
      </w:r>
      <w:r w:rsidRPr="00733F46">
        <w:rPr>
          <w:rFonts w:ascii="Times New Roman" w:eastAsia="Times New Roman" w:hAnsi="Times New Roman" w:cs="Times New Roman"/>
          <w:sz w:val="24"/>
          <w:szCs w:val="24"/>
          <w:lang w:eastAsia="en-GB"/>
        </w:rPr>
        <w:t xml:space="preserve">(2), 816–847. </w:t>
      </w:r>
      <w:r w:rsidRPr="00733F46">
        <w:rPr>
          <w:rFonts w:ascii="Times New Roman" w:eastAsia="Times New Roman" w:hAnsi="Times New Roman" w:cs="Times New Roman"/>
          <w:color w:val="0000FF"/>
          <w:sz w:val="24"/>
          <w:szCs w:val="24"/>
          <w:u w:val="single"/>
          <w:lang w:eastAsia="en-GB"/>
        </w:rPr>
        <w:t>https://doi.org/10.1111/raq.12626</w:t>
      </w:r>
    </w:p>
    <w:p w14:paraId="4F19491F"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Yao, J., Hu, P., Zhu, Y., Xu, Y., Tan, Q., &amp; Liang, X. (2020). Lipid-lowering effects of lotus leaf alcoholic extract on serum, hepatopancreas, and muscle of juvenile grass carp via gene expression. </w:t>
      </w:r>
      <w:r w:rsidRPr="00733F46">
        <w:rPr>
          <w:rFonts w:ascii="Times New Roman" w:eastAsia="Times New Roman" w:hAnsi="Times New Roman" w:cs="Times New Roman"/>
          <w:i/>
          <w:iCs/>
          <w:sz w:val="24"/>
          <w:szCs w:val="24"/>
          <w:lang w:eastAsia="en-GB"/>
        </w:rPr>
        <w:t>Frontiers in Physiology, 11</w:t>
      </w:r>
      <w:r w:rsidRPr="00733F46">
        <w:rPr>
          <w:rFonts w:ascii="Times New Roman" w:eastAsia="Times New Roman" w:hAnsi="Times New Roman" w:cs="Times New Roman"/>
          <w:sz w:val="24"/>
          <w:szCs w:val="24"/>
          <w:lang w:eastAsia="en-GB"/>
        </w:rPr>
        <w:t xml:space="preserve">, Article 584782. </w:t>
      </w:r>
      <w:r w:rsidRPr="00733F46">
        <w:rPr>
          <w:rFonts w:ascii="Times New Roman" w:eastAsia="Times New Roman" w:hAnsi="Times New Roman" w:cs="Times New Roman"/>
          <w:color w:val="0000FF"/>
          <w:sz w:val="24"/>
          <w:szCs w:val="24"/>
          <w:u w:val="single"/>
          <w:lang w:eastAsia="en-GB"/>
        </w:rPr>
        <w:t>https://doi.org/10.3389/fphys.2020.584782</w:t>
      </w:r>
    </w:p>
    <w:p w14:paraId="18171723" w14:textId="77777777" w:rsidR="00733F46" w:rsidRPr="00733F46" w:rsidRDefault="00733F46" w:rsidP="00733F46">
      <w:pPr>
        <w:spacing w:before="100" w:beforeAutospacing="1" w:after="100" w:afterAutospacing="1" w:line="240" w:lineRule="auto"/>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Yuan, X., Lv, Z., Zhang, Z., Han, Y., Liu, Z., &amp; Zhang, H. (2023). A review of antibiotics, antibiotic resistant bacteria, and resistance genes in aquaculture: Occurrence, contamination, and transmission. </w:t>
      </w:r>
      <w:r w:rsidRPr="00733F46">
        <w:rPr>
          <w:rFonts w:ascii="Times New Roman" w:eastAsia="Times New Roman" w:hAnsi="Times New Roman" w:cs="Times New Roman"/>
          <w:i/>
          <w:iCs/>
          <w:sz w:val="24"/>
          <w:szCs w:val="24"/>
          <w:lang w:eastAsia="en-GB"/>
        </w:rPr>
        <w:t>Toxics, 11</w:t>
      </w:r>
      <w:r w:rsidRPr="00733F46">
        <w:rPr>
          <w:rFonts w:ascii="Times New Roman" w:eastAsia="Times New Roman" w:hAnsi="Times New Roman" w:cs="Times New Roman"/>
          <w:sz w:val="24"/>
          <w:szCs w:val="24"/>
          <w:lang w:eastAsia="en-GB"/>
        </w:rPr>
        <w:t xml:space="preserve">(5), 420. </w:t>
      </w:r>
      <w:r w:rsidRPr="00733F46">
        <w:rPr>
          <w:rFonts w:ascii="Times New Roman" w:eastAsia="Times New Roman" w:hAnsi="Times New Roman" w:cs="Times New Roman"/>
          <w:color w:val="0000FF"/>
          <w:sz w:val="24"/>
          <w:szCs w:val="24"/>
          <w:u w:val="single"/>
          <w:lang w:eastAsia="en-GB"/>
        </w:rPr>
        <w:t>https://doi.org/10.3390/toxics11050420</w:t>
      </w:r>
    </w:p>
    <w:p w14:paraId="48DF4A45" w14:textId="77777777" w:rsidR="004841B3" w:rsidRDefault="00733F46" w:rsidP="00733F46">
      <w:pPr>
        <w:spacing w:before="100" w:beforeAutospacing="1" w:after="100" w:afterAutospacing="1" w:line="240" w:lineRule="auto"/>
      </w:pPr>
      <w:r w:rsidRPr="00733F46">
        <w:rPr>
          <w:rFonts w:ascii="Times New Roman" w:eastAsia="Times New Roman" w:hAnsi="Times New Roman" w:cs="Times New Roman"/>
          <w:sz w:val="24"/>
          <w:szCs w:val="24"/>
          <w:lang w:eastAsia="en-GB"/>
        </w:rPr>
        <w:t xml:space="preserve">Zhu, Y., Zhang, X., Du, P., Wang, Z., Luo, P., Huang, Y., Liu, Z., Zhang, H., &amp; Chen, W. (2022). Dietary herbaceous mixture supplementation reduced hepatic lipid deposition and improved hepatic health status in post-peak laying hens. </w:t>
      </w:r>
      <w:r w:rsidRPr="00733F46">
        <w:rPr>
          <w:rFonts w:ascii="Times New Roman" w:eastAsia="Times New Roman" w:hAnsi="Times New Roman" w:cs="Times New Roman"/>
          <w:i/>
          <w:iCs/>
          <w:sz w:val="24"/>
          <w:szCs w:val="24"/>
          <w:lang w:eastAsia="en-GB"/>
        </w:rPr>
        <w:t>Poultry Science, 101</w:t>
      </w:r>
      <w:r w:rsidRPr="00733F46">
        <w:rPr>
          <w:rFonts w:ascii="Times New Roman" w:eastAsia="Times New Roman" w:hAnsi="Times New Roman" w:cs="Times New Roman"/>
          <w:sz w:val="24"/>
          <w:szCs w:val="24"/>
          <w:lang w:eastAsia="en-GB"/>
        </w:rPr>
        <w:t xml:space="preserve">(6), Article 101870. </w:t>
      </w:r>
      <w:r w:rsidRPr="00733F46">
        <w:rPr>
          <w:rFonts w:ascii="Times New Roman" w:eastAsia="Times New Roman" w:hAnsi="Times New Roman" w:cs="Times New Roman"/>
          <w:color w:val="0000FF"/>
          <w:sz w:val="24"/>
          <w:szCs w:val="24"/>
          <w:u w:val="single"/>
          <w:lang w:eastAsia="en-GB"/>
        </w:rPr>
        <w:t>https://doi.org/10.1016/j.psj.2022.101870</w:t>
      </w:r>
    </w:p>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5F368" w14:textId="77777777" w:rsidR="00A83DC1" w:rsidRDefault="00A83DC1" w:rsidP="009D62E3">
      <w:pPr>
        <w:spacing w:after="0" w:line="240" w:lineRule="auto"/>
      </w:pPr>
      <w:r>
        <w:separator/>
      </w:r>
    </w:p>
  </w:endnote>
  <w:endnote w:type="continuationSeparator" w:id="0">
    <w:p w14:paraId="6DBC5252" w14:textId="77777777" w:rsidR="00A83DC1" w:rsidRDefault="00A83DC1" w:rsidP="009D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CD25" w14:textId="77777777" w:rsidR="009D62E3" w:rsidRDefault="009D6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B2B7" w14:textId="77777777" w:rsidR="009D62E3" w:rsidRDefault="009D62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F9F5" w14:textId="77777777" w:rsidR="009D62E3" w:rsidRDefault="009D6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E6FD3" w14:textId="77777777" w:rsidR="00A83DC1" w:rsidRDefault="00A83DC1" w:rsidP="009D62E3">
      <w:pPr>
        <w:spacing w:after="0" w:line="240" w:lineRule="auto"/>
      </w:pPr>
      <w:r>
        <w:separator/>
      </w:r>
    </w:p>
  </w:footnote>
  <w:footnote w:type="continuationSeparator" w:id="0">
    <w:p w14:paraId="314E6923" w14:textId="77777777" w:rsidR="00A83DC1" w:rsidRDefault="00A83DC1" w:rsidP="009D6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6ACB" w14:textId="675720D6" w:rsidR="009D62E3" w:rsidRDefault="009D62E3">
    <w:pPr>
      <w:pStyle w:val="Header"/>
    </w:pPr>
    <w:r>
      <w:rPr>
        <w:noProof/>
      </w:rPr>
      <w:pict w14:anchorId="3ECD5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C29E" w14:textId="4EB19B56" w:rsidR="009D62E3" w:rsidRDefault="009D62E3">
    <w:pPr>
      <w:pStyle w:val="Header"/>
    </w:pPr>
    <w:r>
      <w:rPr>
        <w:noProof/>
      </w:rPr>
      <w:pict w14:anchorId="1A948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4D87" w14:textId="7FE6A4AF" w:rsidR="009D62E3" w:rsidRDefault="009D62E3">
    <w:pPr>
      <w:pStyle w:val="Header"/>
    </w:pPr>
    <w:r>
      <w:rPr>
        <w:noProof/>
      </w:rPr>
      <w:pict w14:anchorId="7AD2B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F46"/>
    <w:rsid w:val="00274BD4"/>
    <w:rsid w:val="00345F3B"/>
    <w:rsid w:val="004841B3"/>
    <w:rsid w:val="005E5231"/>
    <w:rsid w:val="00733F46"/>
    <w:rsid w:val="00824882"/>
    <w:rsid w:val="009D62E3"/>
    <w:rsid w:val="009F2413"/>
    <w:rsid w:val="00A83DC1"/>
    <w:rsid w:val="00D01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03B50"/>
  <w15:docId w15:val="{2D0564BC-54E7-4584-8658-47093E82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733F4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3F4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33F4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733F4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3F4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33F46"/>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733F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33F46"/>
    <w:rPr>
      <w:b/>
      <w:bCs/>
    </w:rPr>
  </w:style>
  <w:style w:type="character" w:styleId="Emphasis">
    <w:name w:val="Emphasis"/>
    <w:basedOn w:val="DefaultParagraphFont"/>
    <w:uiPriority w:val="20"/>
    <w:qFormat/>
    <w:rsid w:val="00733F46"/>
    <w:rPr>
      <w:i/>
      <w:iCs/>
    </w:rPr>
  </w:style>
  <w:style w:type="character" w:styleId="Hyperlink">
    <w:name w:val="Hyperlink"/>
    <w:basedOn w:val="DefaultParagraphFont"/>
    <w:uiPriority w:val="99"/>
    <w:semiHidden/>
    <w:unhideWhenUsed/>
    <w:rsid w:val="00733F46"/>
    <w:rPr>
      <w:color w:val="0000FF"/>
      <w:u w:val="single"/>
    </w:rPr>
  </w:style>
  <w:style w:type="table" w:styleId="TableGrid">
    <w:name w:val="Table Grid"/>
    <w:basedOn w:val="TableNormal"/>
    <w:uiPriority w:val="59"/>
    <w:rsid w:val="0073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2E3"/>
  </w:style>
  <w:style w:type="paragraph" w:styleId="Footer">
    <w:name w:val="footer"/>
    <w:basedOn w:val="Normal"/>
    <w:link w:val="FooterChar"/>
    <w:uiPriority w:val="99"/>
    <w:unhideWhenUsed/>
    <w:rsid w:val="009D6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1210">
      <w:bodyDiv w:val="1"/>
      <w:marLeft w:val="0"/>
      <w:marRight w:val="0"/>
      <w:marTop w:val="0"/>
      <w:marBottom w:val="0"/>
      <w:divBdr>
        <w:top w:val="none" w:sz="0" w:space="0" w:color="auto"/>
        <w:left w:val="none" w:sz="0" w:space="0" w:color="auto"/>
        <w:bottom w:val="none" w:sz="0" w:space="0" w:color="auto"/>
        <w:right w:val="none" w:sz="0" w:space="0" w:color="auto"/>
      </w:divBdr>
      <w:divsChild>
        <w:div w:id="1535539427">
          <w:marLeft w:val="0"/>
          <w:marRight w:val="0"/>
          <w:marTop w:val="0"/>
          <w:marBottom w:val="0"/>
          <w:divBdr>
            <w:top w:val="none" w:sz="0" w:space="0" w:color="auto"/>
            <w:left w:val="none" w:sz="0" w:space="0" w:color="auto"/>
            <w:bottom w:val="none" w:sz="0" w:space="0" w:color="auto"/>
            <w:right w:val="none" w:sz="0" w:space="0" w:color="auto"/>
          </w:divBdr>
        </w:div>
        <w:div w:id="1158303149">
          <w:marLeft w:val="0"/>
          <w:marRight w:val="0"/>
          <w:marTop w:val="0"/>
          <w:marBottom w:val="0"/>
          <w:divBdr>
            <w:top w:val="none" w:sz="0" w:space="0" w:color="auto"/>
            <w:left w:val="none" w:sz="0" w:space="0" w:color="auto"/>
            <w:bottom w:val="none" w:sz="0" w:space="0" w:color="auto"/>
            <w:right w:val="none" w:sz="0" w:space="0" w:color="auto"/>
          </w:divBdr>
        </w:div>
        <w:div w:id="2042392353">
          <w:marLeft w:val="0"/>
          <w:marRight w:val="0"/>
          <w:marTop w:val="0"/>
          <w:marBottom w:val="0"/>
          <w:divBdr>
            <w:top w:val="none" w:sz="0" w:space="0" w:color="auto"/>
            <w:left w:val="none" w:sz="0" w:space="0" w:color="auto"/>
            <w:bottom w:val="none" w:sz="0" w:space="0" w:color="auto"/>
            <w:right w:val="none" w:sz="0" w:space="0" w:color="auto"/>
          </w:divBdr>
        </w:div>
        <w:div w:id="188698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7871</Words>
  <Characters>44870</Characters>
  <Application>Microsoft Office Word</Application>
  <DocSecurity>0</DocSecurity>
  <Lines>373</Lines>
  <Paragraphs>105</Paragraphs>
  <ScaleCrop>false</ScaleCrop>
  <Company>HP</Company>
  <LinksUpToDate>false</LinksUpToDate>
  <CharactersWithSpaces>52636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4</cp:revision>
  <dcterms:created xsi:type="dcterms:W3CDTF">2026-07-11T12:21:00Z</dcterms:created>
  <dcterms:modified xsi:type="dcterms:W3CDTF">2026-07-11T13:32:00Z</dcterms:modified>
</cp:coreProperties>
</file>