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7A7B4" w14:textId="0D16FF99" w:rsidR="00CF29B8" w:rsidRPr="00AE4386" w:rsidRDefault="002824D5" w:rsidP="00693F78">
      <w:pPr>
        <w:jc w:val="both"/>
        <w:rPr>
          <w:rFonts w:ascii="Times New Roman" w:hAnsi="Times New Roman" w:cs="Times New Roman"/>
          <w:b/>
          <w:bCs/>
          <w:i/>
          <w:iCs/>
          <w:szCs w:val="22"/>
        </w:rPr>
      </w:pPr>
      <w:r w:rsidRPr="00AE4386">
        <w:rPr>
          <w:rFonts w:ascii="Times New Roman" w:hAnsi="Times New Roman" w:cs="Times New Roman"/>
          <w:b/>
          <w:bCs/>
          <w:szCs w:val="22"/>
        </w:rPr>
        <w:t>The</w:t>
      </w:r>
      <w:r w:rsidR="00296144" w:rsidRPr="00AE4386">
        <w:rPr>
          <w:rFonts w:ascii="Times New Roman" w:hAnsi="Times New Roman" w:cs="Times New Roman"/>
          <w:b/>
          <w:bCs/>
          <w:szCs w:val="22"/>
        </w:rPr>
        <w:t xml:space="preserve"> study of </w:t>
      </w:r>
      <w:r w:rsidRPr="00AE4386">
        <w:rPr>
          <w:rFonts w:ascii="Times New Roman" w:hAnsi="Times New Roman" w:cs="Times New Roman"/>
          <w:b/>
          <w:bCs/>
          <w:szCs w:val="22"/>
        </w:rPr>
        <w:t>gonadal development according to seas</w:t>
      </w:r>
      <w:r w:rsidR="00296144" w:rsidRPr="00AE4386">
        <w:rPr>
          <w:rFonts w:ascii="Times New Roman" w:hAnsi="Times New Roman" w:cs="Times New Roman"/>
          <w:b/>
          <w:bCs/>
          <w:szCs w:val="22"/>
        </w:rPr>
        <w:t xml:space="preserve">onal variation and comparison </w:t>
      </w:r>
      <w:r w:rsidRPr="00AE4386">
        <w:rPr>
          <w:rFonts w:ascii="Times New Roman" w:hAnsi="Times New Roman" w:cs="Times New Roman"/>
          <w:b/>
          <w:bCs/>
          <w:szCs w:val="22"/>
        </w:rPr>
        <w:t xml:space="preserve">between the two species </w:t>
      </w:r>
      <w:r w:rsidRPr="00AE4386">
        <w:rPr>
          <w:rFonts w:ascii="Times New Roman" w:hAnsi="Times New Roman" w:cs="Times New Roman"/>
          <w:b/>
          <w:bCs/>
          <w:i/>
          <w:iCs/>
          <w:szCs w:val="22"/>
        </w:rPr>
        <w:t xml:space="preserve">Puntius </w:t>
      </w:r>
      <w:proofErr w:type="spellStart"/>
      <w:r w:rsidRPr="00AE4386">
        <w:rPr>
          <w:rFonts w:ascii="Times New Roman" w:hAnsi="Times New Roman" w:cs="Times New Roman"/>
          <w:b/>
          <w:bCs/>
          <w:i/>
          <w:iCs/>
          <w:szCs w:val="22"/>
        </w:rPr>
        <w:t>sophore</w:t>
      </w:r>
      <w:proofErr w:type="spellEnd"/>
      <w:r w:rsidRPr="00AE4386">
        <w:rPr>
          <w:rFonts w:ascii="Times New Roman" w:hAnsi="Times New Roman" w:cs="Times New Roman"/>
          <w:b/>
          <w:bCs/>
          <w:szCs w:val="22"/>
        </w:rPr>
        <w:t xml:space="preserve"> and </w:t>
      </w:r>
      <w:r w:rsidRPr="00AE4386">
        <w:rPr>
          <w:rFonts w:ascii="Times New Roman" w:hAnsi="Times New Roman" w:cs="Times New Roman"/>
          <w:b/>
          <w:bCs/>
          <w:i/>
          <w:iCs/>
          <w:szCs w:val="22"/>
        </w:rPr>
        <w:t xml:space="preserve">rasbora </w:t>
      </w:r>
      <w:proofErr w:type="spellStart"/>
      <w:r w:rsidRPr="00AE4386">
        <w:rPr>
          <w:rFonts w:ascii="Times New Roman" w:hAnsi="Times New Roman" w:cs="Times New Roman"/>
          <w:b/>
          <w:bCs/>
          <w:i/>
          <w:iCs/>
          <w:szCs w:val="22"/>
        </w:rPr>
        <w:t>daniconius</w:t>
      </w:r>
      <w:proofErr w:type="spellEnd"/>
    </w:p>
    <w:p w14:paraId="1DBC16E2" w14:textId="77777777" w:rsidR="0032731B" w:rsidRDefault="0032731B" w:rsidP="002824D5">
      <w:pPr>
        <w:rPr>
          <w:rFonts w:ascii="Times New Roman" w:hAnsi="Times New Roman" w:cs="Times New Roman"/>
          <w:b/>
          <w:bCs/>
          <w:szCs w:val="22"/>
        </w:rPr>
      </w:pPr>
    </w:p>
    <w:p w14:paraId="44BF169F" w14:textId="5D479215" w:rsidR="002824D5" w:rsidRPr="00AE4386" w:rsidRDefault="009A0197" w:rsidP="002824D5">
      <w:pPr>
        <w:rPr>
          <w:rFonts w:ascii="Times New Roman" w:hAnsi="Times New Roman" w:cs="Times New Roman"/>
          <w:b/>
          <w:bCs/>
          <w:szCs w:val="22"/>
        </w:rPr>
      </w:pPr>
      <w:r w:rsidRPr="00AE4386">
        <w:rPr>
          <w:rFonts w:ascii="Times New Roman" w:hAnsi="Times New Roman" w:cs="Times New Roman"/>
          <w:b/>
          <w:bCs/>
          <w:szCs w:val="22"/>
        </w:rPr>
        <w:t xml:space="preserve">Abstract </w:t>
      </w:r>
    </w:p>
    <w:p w14:paraId="71D39BA3" w14:textId="77777777" w:rsidR="009A0197" w:rsidRPr="00AE4386" w:rsidRDefault="009A0197" w:rsidP="00BE64A6">
      <w:pPr>
        <w:jc w:val="both"/>
        <w:rPr>
          <w:rFonts w:ascii="Times New Roman" w:hAnsi="Times New Roman" w:cs="Times New Roman"/>
          <w:szCs w:val="22"/>
        </w:rPr>
      </w:pPr>
      <w:r w:rsidRPr="00AE4386">
        <w:rPr>
          <w:rFonts w:ascii="Times New Roman" w:hAnsi="Times New Roman" w:cs="Times New Roman"/>
          <w:i/>
          <w:iCs/>
          <w:szCs w:val="22"/>
        </w:rPr>
        <w:t xml:space="preserve">Puntius </w:t>
      </w:r>
      <w:proofErr w:type="spellStart"/>
      <w:r w:rsidRPr="00AE4386">
        <w:rPr>
          <w:rFonts w:ascii="Times New Roman" w:hAnsi="Times New Roman" w:cs="Times New Roman"/>
          <w:i/>
          <w:iCs/>
          <w:szCs w:val="22"/>
        </w:rPr>
        <w:t>sophore</w:t>
      </w:r>
      <w:proofErr w:type="spellEnd"/>
      <w:r w:rsidRPr="00AE4386">
        <w:rPr>
          <w:rFonts w:ascii="Times New Roman" w:hAnsi="Times New Roman" w:cs="Times New Roman"/>
          <w:szCs w:val="22"/>
        </w:rPr>
        <w:t xml:space="preserve"> and </w:t>
      </w:r>
      <w:r w:rsidRPr="00AE4386">
        <w:rPr>
          <w:rFonts w:ascii="Times New Roman" w:hAnsi="Times New Roman" w:cs="Times New Roman"/>
          <w:i/>
          <w:iCs/>
          <w:szCs w:val="22"/>
        </w:rPr>
        <w:t xml:space="preserve">rasbora </w:t>
      </w:r>
      <w:proofErr w:type="spellStart"/>
      <w:proofErr w:type="gramStart"/>
      <w:r w:rsidRPr="00AE4386">
        <w:rPr>
          <w:rFonts w:ascii="Times New Roman" w:hAnsi="Times New Roman" w:cs="Times New Roman"/>
          <w:i/>
          <w:iCs/>
          <w:szCs w:val="22"/>
        </w:rPr>
        <w:t>daniconius</w:t>
      </w:r>
      <w:proofErr w:type="spellEnd"/>
      <w:r w:rsidR="00570485" w:rsidRPr="00AE4386">
        <w:rPr>
          <w:rFonts w:ascii="Times New Roman" w:hAnsi="Times New Roman" w:cs="Times New Roman"/>
          <w:szCs w:val="22"/>
        </w:rPr>
        <w:t xml:space="preserve">  serves</w:t>
      </w:r>
      <w:proofErr w:type="gramEnd"/>
      <w:r w:rsidR="00570485" w:rsidRPr="00AE4386">
        <w:rPr>
          <w:rFonts w:ascii="Times New Roman" w:hAnsi="Times New Roman" w:cs="Times New Roman"/>
          <w:szCs w:val="22"/>
        </w:rPr>
        <w:t xml:space="preserve"> as </w:t>
      </w:r>
      <w:r w:rsidRPr="00AE4386">
        <w:rPr>
          <w:rFonts w:ascii="Times New Roman" w:hAnsi="Times New Roman" w:cs="Times New Roman"/>
          <w:szCs w:val="22"/>
        </w:rPr>
        <w:t xml:space="preserve">significant small </w:t>
      </w:r>
      <w:r w:rsidR="00570485" w:rsidRPr="00AE4386">
        <w:rPr>
          <w:rFonts w:ascii="Times New Roman" w:hAnsi="Times New Roman" w:cs="Times New Roman"/>
          <w:szCs w:val="22"/>
        </w:rPr>
        <w:t xml:space="preserve">native fish species of Bangladesh belonging to the family </w:t>
      </w:r>
      <w:proofErr w:type="spellStart"/>
      <w:r w:rsidR="00570485" w:rsidRPr="00AE4386">
        <w:rPr>
          <w:rFonts w:ascii="Times New Roman" w:hAnsi="Times New Roman" w:cs="Times New Roman"/>
          <w:szCs w:val="22"/>
        </w:rPr>
        <w:t>Cyprinidae</w:t>
      </w:r>
      <w:proofErr w:type="spellEnd"/>
      <w:r w:rsidR="00570485" w:rsidRPr="00AE4386">
        <w:rPr>
          <w:rFonts w:ascii="Times New Roman" w:hAnsi="Times New Roman" w:cs="Times New Roman"/>
          <w:szCs w:val="22"/>
        </w:rPr>
        <w:t xml:space="preserve"> under the order Cypriniformes. </w:t>
      </w:r>
      <w:r w:rsidR="00236A16" w:rsidRPr="00AE4386">
        <w:rPr>
          <w:rFonts w:ascii="Times New Roman" w:hAnsi="Times New Roman" w:cs="Times New Roman"/>
          <w:szCs w:val="22"/>
        </w:rPr>
        <w:t xml:space="preserve">The main target of the present study </w:t>
      </w:r>
      <w:proofErr w:type="gramStart"/>
      <w:r w:rsidR="00236A16" w:rsidRPr="00AE4386">
        <w:rPr>
          <w:rFonts w:ascii="Times New Roman" w:hAnsi="Times New Roman" w:cs="Times New Roman"/>
          <w:szCs w:val="22"/>
        </w:rPr>
        <w:t>was  regularly</w:t>
      </w:r>
      <w:proofErr w:type="gramEnd"/>
      <w:r w:rsidR="00236A16" w:rsidRPr="00AE4386">
        <w:rPr>
          <w:rFonts w:ascii="Times New Roman" w:hAnsi="Times New Roman" w:cs="Times New Roman"/>
          <w:szCs w:val="22"/>
        </w:rPr>
        <w:t xml:space="preserve"> monthly development of gonadal maturity stages provides the straight explicit findings for outlining the spawning season and insight the time –based dynamics of the reproductive cycle. In the present stud</w:t>
      </w:r>
      <w:r w:rsidR="006C2C7B" w:rsidRPr="00AE4386">
        <w:rPr>
          <w:rFonts w:ascii="Times New Roman" w:hAnsi="Times New Roman" w:cs="Times New Roman"/>
          <w:szCs w:val="22"/>
        </w:rPr>
        <w:t>y, Gonadal maturity was evaluated by examining the gonads according to the maturity classification described by Nikolsky (1963)</w:t>
      </w:r>
      <w:r w:rsidR="00236A16" w:rsidRPr="00AE4386">
        <w:rPr>
          <w:rFonts w:ascii="Times New Roman" w:hAnsi="Times New Roman" w:cs="Times New Roman"/>
          <w:szCs w:val="22"/>
        </w:rPr>
        <w:t xml:space="preserve"> and Shafi and Quddus (1982). Five stages were identified for females (Immature, Maturing, Matured, Spawning, Spent) and six stages for males (Immature, Resting, Developing, Maturing, Mature, Spent).</w:t>
      </w:r>
      <w:r w:rsidR="00BF1E28" w:rsidRPr="00AE4386">
        <w:t xml:space="preserve"> </w:t>
      </w:r>
      <w:r w:rsidR="00BF1E28" w:rsidRPr="00AE4386">
        <w:rPr>
          <w:rFonts w:ascii="Times New Roman" w:hAnsi="Times New Roman" w:cs="Times New Roman"/>
          <w:szCs w:val="22"/>
        </w:rPr>
        <w:t xml:space="preserve">The sex ratio of P. </w:t>
      </w:r>
      <w:proofErr w:type="spellStart"/>
      <w:r w:rsidR="00BF1E28" w:rsidRPr="00AE4386">
        <w:rPr>
          <w:rFonts w:ascii="Times New Roman" w:hAnsi="Times New Roman" w:cs="Times New Roman"/>
          <w:szCs w:val="22"/>
        </w:rPr>
        <w:t>sophore</w:t>
      </w:r>
      <w:proofErr w:type="spellEnd"/>
      <w:r w:rsidR="00BF1E28" w:rsidRPr="00AE4386">
        <w:rPr>
          <w:rFonts w:ascii="Times New Roman" w:hAnsi="Times New Roman" w:cs="Times New Roman"/>
          <w:szCs w:val="22"/>
        </w:rPr>
        <w:t xml:space="preserve"> was significantly female-biased (1.93:1, p &lt; 0.001), with maximum deviation during August and September. Th</w:t>
      </w:r>
      <w:r w:rsidR="00C31A0C" w:rsidRPr="00AE4386">
        <w:rPr>
          <w:rFonts w:ascii="Times New Roman" w:hAnsi="Times New Roman" w:cs="Times New Roman"/>
          <w:szCs w:val="22"/>
        </w:rPr>
        <w:t xml:space="preserve">e present study shows that the </w:t>
      </w:r>
      <w:r w:rsidR="00BF1E28" w:rsidRPr="00AE4386">
        <w:rPr>
          <w:rFonts w:ascii="Times New Roman" w:hAnsi="Times New Roman" w:cs="Times New Roman"/>
          <w:szCs w:val="22"/>
        </w:rPr>
        <w:t xml:space="preserve">spawning season of </w:t>
      </w:r>
      <w:r w:rsidR="00BF1E28" w:rsidRPr="00AE4386">
        <w:rPr>
          <w:rFonts w:ascii="Times New Roman" w:hAnsi="Times New Roman" w:cs="Times New Roman"/>
          <w:i/>
          <w:iCs/>
          <w:szCs w:val="22"/>
        </w:rPr>
        <w:t xml:space="preserve">P. </w:t>
      </w:r>
      <w:proofErr w:type="spellStart"/>
      <w:r w:rsidR="00BF1E28" w:rsidRPr="00AE4386">
        <w:rPr>
          <w:rFonts w:ascii="Times New Roman" w:hAnsi="Times New Roman" w:cs="Times New Roman"/>
          <w:i/>
          <w:iCs/>
          <w:szCs w:val="22"/>
        </w:rPr>
        <w:t>sophore</w:t>
      </w:r>
      <w:proofErr w:type="spellEnd"/>
      <w:r w:rsidR="00BF1E28" w:rsidRPr="00AE4386">
        <w:rPr>
          <w:rFonts w:ascii="Times New Roman" w:hAnsi="Times New Roman" w:cs="Times New Roman"/>
          <w:szCs w:val="22"/>
        </w:rPr>
        <w:t xml:space="preserve"> was identified as June–August with peak spawning in June–July (GSI peak in May: 8.46%), while </w:t>
      </w:r>
      <w:r w:rsidR="00BF1E28" w:rsidRPr="00AE4386">
        <w:rPr>
          <w:rFonts w:ascii="Times New Roman" w:hAnsi="Times New Roman" w:cs="Times New Roman"/>
          <w:i/>
          <w:iCs/>
          <w:szCs w:val="22"/>
        </w:rPr>
        <w:t xml:space="preserve">R. </w:t>
      </w:r>
      <w:proofErr w:type="spellStart"/>
      <w:r w:rsidR="00BF1E28" w:rsidRPr="00AE4386">
        <w:rPr>
          <w:rFonts w:ascii="Times New Roman" w:hAnsi="Times New Roman" w:cs="Times New Roman"/>
          <w:i/>
          <w:iCs/>
          <w:szCs w:val="22"/>
        </w:rPr>
        <w:t>daniconius</w:t>
      </w:r>
      <w:proofErr w:type="spellEnd"/>
      <w:r w:rsidR="00BF1E28" w:rsidRPr="00AE4386">
        <w:rPr>
          <w:rFonts w:ascii="Times New Roman" w:hAnsi="Times New Roman" w:cs="Times New Roman"/>
          <w:szCs w:val="22"/>
        </w:rPr>
        <w:t xml:space="preserve"> spawned from April–July with peak in July (GSI: 2.21%).</w:t>
      </w:r>
    </w:p>
    <w:p w14:paraId="5E06C029" w14:textId="77777777" w:rsidR="00373C0A" w:rsidRPr="00AE4386" w:rsidRDefault="00373C0A" w:rsidP="002824D5">
      <w:pPr>
        <w:rPr>
          <w:rFonts w:ascii="Times New Roman" w:hAnsi="Times New Roman" w:cs="Times New Roman"/>
          <w:szCs w:val="22"/>
        </w:rPr>
      </w:pPr>
      <w:proofErr w:type="gramStart"/>
      <w:r w:rsidRPr="00AE4386">
        <w:rPr>
          <w:rFonts w:ascii="Times New Roman" w:hAnsi="Times New Roman" w:cs="Times New Roman"/>
          <w:szCs w:val="22"/>
        </w:rPr>
        <w:t>Keywords :</w:t>
      </w:r>
      <w:proofErr w:type="gramEnd"/>
      <w:r w:rsidRPr="00AE4386">
        <w:rPr>
          <w:rFonts w:ascii="Times New Roman" w:hAnsi="Times New Roman" w:cs="Times New Roman"/>
          <w:szCs w:val="22"/>
        </w:rPr>
        <w:t xml:space="preserve"> </w:t>
      </w:r>
      <w:r w:rsidRPr="00AE4386">
        <w:rPr>
          <w:rFonts w:ascii="Times New Roman" w:hAnsi="Times New Roman" w:cs="Times New Roman"/>
          <w:i/>
          <w:iCs/>
          <w:szCs w:val="22"/>
        </w:rPr>
        <w:t xml:space="preserve">Puntius </w:t>
      </w:r>
      <w:proofErr w:type="spellStart"/>
      <w:r w:rsidRPr="00AE4386">
        <w:rPr>
          <w:rFonts w:ascii="Times New Roman" w:hAnsi="Times New Roman" w:cs="Times New Roman"/>
          <w:i/>
          <w:iCs/>
          <w:szCs w:val="22"/>
        </w:rPr>
        <w:t>sophore</w:t>
      </w:r>
      <w:proofErr w:type="spellEnd"/>
      <w:r w:rsidRPr="00AE4386">
        <w:rPr>
          <w:rFonts w:ascii="Times New Roman" w:hAnsi="Times New Roman" w:cs="Times New Roman"/>
          <w:szCs w:val="22"/>
        </w:rPr>
        <w:t xml:space="preserve">, </w:t>
      </w:r>
      <w:r w:rsidRPr="00AE4386">
        <w:rPr>
          <w:rFonts w:ascii="Times New Roman" w:hAnsi="Times New Roman" w:cs="Times New Roman"/>
          <w:i/>
          <w:iCs/>
          <w:szCs w:val="22"/>
        </w:rPr>
        <w:t xml:space="preserve">rasbora </w:t>
      </w:r>
      <w:proofErr w:type="spellStart"/>
      <w:r w:rsidRPr="00AE4386">
        <w:rPr>
          <w:rFonts w:ascii="Times New Roman" w:hAnsi="Times New Roman" w:cs="Times New Roman"/>
          <w:i/>
          <w:iCs/>
          <w:szCs w:val="22"/>
        </w:rPr>
        <w:t>daniconius</w:t>
      </w:r>
      <w:proofErr w:type="spellEnd"/>
      <w:r w:rsidRPr="00AE4386">
        <w:rPr>
          <w:rFonts w:ascii="Times New Roman" w:hAnsi="Times New Roman" w:cs="Times New Roman"/>
          <w:szCs w:val="22"/>
        </w:rPr>
        <w:t>, spawned, spent, deviation.</w:t>
      </w:r>
    </w:p>
    <w:p w14:paraId="4406E027" w14:textId="77777777" w:rsidR="002824D5" w:rsidRPr="00AE4386" w:rsidRDefault="002824D5" w:rsidP="002824D5">
      <w:pPr>
        <w:rPr>
          <w:rFonts w:ascii="Times New Roman" w:hAnsi="Times New Roman" w:cs="Times New Roman"/>
          <w:b/>
          <w:bCs/>
          <w:szCs w:val="22"/>
        </w:rPr>
      </w:pPr>
      <w:r w:rsidRPr="00AE4386">
        <w:rPr>
          <w:rFonts w:ascii="Times New Roman" w:hAnsi="Times New Roman" w:cs="Times New Roman"/>
          <w:b/>
          <w:bCs/>
          <w:szCs w:val="22"/>
        </w:rPr>
        <w:t xml:space="preserve">Introduction </w:t>
      </w:r>
    </w:p>
    <w:p w14:paraId="56D20A4A" w14:textId="77777777" w:rsidR="00155A8A" w:rsidRPr="00AE4386" w:rsidRDefault="00400836" w:rsidP="000A369C">
      <w:pPr>
        <w:jc w:val="both"/>
        <w:rPr>
          <w:rFonts w:ascii="Times New Roman" w:hAnsi="Times New Roman" w:cs="Times New Roman"/>
        </w:rPr>
      </w:pPr>
      <w:r w:rsidRPr="00AE4386">
        <w:rPr>
          <w:rFonts w:ascii="Times New Roman" w:eastAsia="Times New Roman" w:hAnsi="Times New Roman" w:cs="Times New Roman"/>
          <w:szCs w:val="22"/>
          <w:lang w:eastAsia="en-IN"/>
        </w:rPr>
        <w:t xml:space="preserve">Freshwater fish diversity in Bangladesh </w:t>
      </w:r>
      <w:proofErr w:type="gramStart"/>
      <w:r w:rsidRPr="00AE4386">
        <w:rPr>
          <w:rFonts w:ascii="Times New Roman" w:eastAsia="Times New Roman" w:hAnsi="Times New Roman" w:cs="Times New Roman"/>
          <w:szCs w:val="22"/>
          <w:lang w:eastAsia="en-IN"/>
        </w:rPr>
        <w:t>are</w:t>
      </w:r>
      <w:proofErr w:type="gramEnd"/>
      <w:r w:rsidRPr="00AE4386">
        <w:rPr>
          <w:rFonts w:ascii="Times New Roman" w:eastAsia="Times New Roman" w:hAnsi="Times New Roman" w:cs="Times New Roman"/>
          <w:szCs w:val="22"/>
          <w:lang w:eastAsia="en-IN"/>
        </w:rPr>
        <w:t xml:space="preserve"> facing varying degrees of conservation </w:t>
      </w:r>
      <w:proofErr w:type="spellStart"/>
      <w:proofErr w:type="gramStart"/>
      <w:r w:rsidRPr="00AE4386">
        <w:rPr>
          <w:rFonts w:ascii="Times New Roman" w:eastAsia="Times New Roman" w:hAnsi="Times New Roman" w:cs="Times New Roman"/>
          <w:szCs w:val="22"/>
          <w:lang w:eastAsia="en-IN"/>
        </w:rPr>
        <w:t>risk.Among</w:t>
      </w:r>
      <w:proofErr w:type="spellEnd"/>
      <w:proofErr w:type="gramEnd"/>
      <w:r w:rsidRPr="00AE4386">
        <w:rPr>
          <w:rFonts w:ascii="Times New Roman" w:eastAsia="Times New Roman" w:hAnsi="Times New Roman" w:cs="Times New Roman"/>
          <w:szCs w:val="22"/>
          <w:lang w:eastAsia="en-IN"/>
        </w:rPr>
        <w:t xml:space="preserve"> them, about 3% are categorized as critically </w:t>
      </w:r>
      <w:proofErr w:type="gramStart"/>
      <w:r w:rsidRPr="00AE4386">
        <w:rPr>
          <w:rFonts w:ascii="Times New Roman" w:eastAsia="Times New Roman" w:hAnsi="Times New Roman" w:cs="Times New Roman"/>
          <w:szCs w:val="22"/>
          <w:lang w:eastAsia="en-IN"/>
        </w:rPr>
        <w:t>endangered ,</w:t>
      </w:r>
      <w:proofErr w:type="gramEnd"/>
      <w:r w:rsidRPr="00AE4386">
        <w:rPr>
          <w:rFonts w:ascii="Times New Roman" w:eastAsia="Times New Roman" w:hAnsi="Times New Roman" w:cs="Times New Roman"/>
          <w:szCs w:val="22"/>
          <w:lang w:eastAsia="en-IN"/>
        </w:rPr>
        <w:t xml:space="preserve"> 12% as endangered, 10% as vulnerable and 25% as threatened. In addition, nearly 11% fall under the near threatened category, 48% are considered of least concern, while information regarding around 16% species remain insuffici</w:t>
      </w:r>
      <w:r w:rsidR="001D70C0" w:rsidRPr="00AE4386">
        <w:rPr>
          <w:rFonts w:ascii="Times New Roman" w:eastAsia="Times New Roman" w:hAnsi="Times New Roman" w:cs="Times New Roman"/>
          <w:szCs w:val="22"/>
          <w:lang w:eastAsia="en-IN"/>
        </w:rPr>
        <w:t xml:space="preserve">ent due to lack of adequate data (IUCN Bangladesh, 2015). </w:t>
      </w:r>
      <w:r w:rsidR="00296144" w:rsidRPr="00AE4386">
        <w:rPr>
          <w:rFonts w:ascii="Times New Roman" w:eastAsia="Times New Roman" w:hAnsi="Times New Roman" w:cs="Times New Roman"/>
          <w:szCs w:val="22"/>
          <w:lang w:eastAsia="en-IN"/>
        </w:rPr>
        <w:t>Small Indigenous speci</w:t>
      </w:r>
      <w:r w:rsidR="00155A8A" w:rsidRPr="00AE4386">
        <w:rPr>
          <w:rFonts w:ascii="Times New Roman" w:eastAsia="Times New Roman" w:hAnsi="Times New Roman" w:cs="Times New Roman"/>
          <w:szCs w:val="22"/>
          <w:lang w:eastAsia="en-IN"/>
        </w:rPr>
        <w:t xml:space="preserve">es (SIS) are acquiring rising concentration due to their nutritional value, eco –friendly importance and addition to rural livelihood in South Asian countries including India, Bangladesh, Nepal and </w:t>
      </w:r>
      <w:proofErr w:type="spellStart"/>
      <w:r w:rsidR="00155A8A" w:rsidRPr="00AE4386">
        <w:rPr>
          <w:rFonts w:ascii="Times New Roman" w:eastAsia="Times New Roman" w:hAnsi="Times New Roman" w:cs="Times New Roman"/>
          <w:szCs w:val="22"/>
          <w:lang w:eastAsia="en-IN"/>
        </w:rPr>
        <w:t>Mynmar</w:t>
      </w:r>
      <w:proofErr w:type="spellEnd"/>
      <w:r w:rsidR="00155A8A" w:rsidRPr="00AE4386">
        <w:rPr>
          <w:rFonts w:ascii="Times New Roman" w:eastAsia="Times New Roman" w:hAnsi="Times New Roman" w:cs="Times New Roman"/>
          <w:szCs w:val="22"/>
          <w:lang w:eastAsia="en-IN"/>
        </w:rPr>
        <w:t>.</w:t>
      </w:r>
      <w:r w:rsidR="000A369C" w:rsidRPr="00AE4386">
        <w:rPr>
          <w:rFonts w:ascii="Times New Roman" w:hAnsi="Times New Roman" w:cs="Times New Roman"/>
        </w:rPr>
        <w:t xml:space="preserve"> Recent histological studies have classified gonadal development stages in cyprinid fish, identifying phases including early-stage primary oocytes, secondary oocytes, </w:t>
      </w:r>
      <w:proofErr w:type="spellStart"/>
      <w:r w:rsidR="000A369C" w:rsidRPr="00AE4386">
        <w:rPr>
          <w:rFonts w:ascii="Times New Roman" w:hAnsi="Times New Roman" w:cs="Times New Roman"/>
        </w:rPr>
        <w:t>vitellogenic</w:t>
      </w:r>
      <w:proofErr w:type="spellEnd"/>
      <w:r w:rsidR="000A369C" w:rsidRPr="00AE4386">
        <w:rPr>
          <w:rFonts w:ascii="Times New Roman" w:hAnsi="Times New Roman" w:cs="Times New Roman"/>
        </w:rPr>
        <w:t xml:space="preserve"> oocytes, and mature stages (Huang </w:t>
      </w:r>
      <w:r w:rsidR="000A369C" w:rsidRPr="00AE4386">
        <w:rPr>
          <w:rFonts w:ascii="Times New Roman" w:hAnsi="Times New Roman" w:cs="Times New Roman"/>
          <w:i/>
          <w:iCs/>
        </w:rPr>
        <w:t>et al.</w:t>
      </w:r>
      <w:r w:rsidR="000A369C" w:rsidRPr="00AE4386">
        <w:rPr>
          <w:rFonts w:ascii="Times New Roman" w:hAnsi="Times New Roman" w:cs="Times New Roman"/>
        </w:rPr>
        <w:t>, 2024</w:t>
      </w:r>
      <w:proofErr w:type="gramStart"/>
      <w:r w:rsidR="000A369C" w:rsidRPr="00AE4386">
        <w:rPr>
          <w:rFonts w:ascii="Times New Roman" w:hAnsi="Times New Roman" w:cs="Times New Roman"/>
        </w:rPr>
        <w:t>).</w:t>
      </w:r>
      <w:r w:rsidR="00155A8A" w:rsidRPr="00AE4386">
        <w:rPr>
          <w:rFonts w:ascii="Times New Roman" w:eastAsia="Times New Roman" w:hAnsi="Times New Roman" w:cs="Times New Roman"/>
          <w:szCs w:val="22"/>
          <w:lang w:eastAsia="en-IN"/>
        </w:rPr>
        <w:t>The</w:t>
      </w:r>
      <w:proofErr w:type="gramEnd"/>
      <w:r w:rsidR="00155A8A" w:rsidRPr="00AE4386">
        <w:rPr>
          <w:rFonts w:ascii="Times New Roman" w:eastAsia="Times New Roman" w:hAnsi="Times New Roman" w:cs="Times New Roman"/>
          <w:szCs w:val="22"/>
          <w:lang w:eastAsia="en-IN"/>
        </w:rPr>
        <w:t xml:space="preserve"> study focuses on the gonadal development according to seasonal variation and comparison of both fish species and it is also essential for their </w:t>
      </w:r>
      <w:proofErr w:type="gramStart"/>
      <w:r w:rsidR="0013217E" w:rsidRPr="00AE4386">
        <w:rPr>
          <w:rFonts w:ascii="Times New Roman" w:eastAsia="Times New Roman" w:hAnsi="Times New Roman" w:cs="Times New Roman"/>
          <w:szCs w:val="22"/>
          <w:lang w:eastAsia="en-IN"/>
        </w:rPr>
        <w:t>conservation based</w:t>
      </w:r>
      <w:proofErr w:type="gramEnd"/>
      <w:r w:rsidR="0013217E" w:rsidRPr="00AE4386">
        <w:rPr>
          <w:rFonts w:ascii="Times New Roman" w:eastAsia="Times New Roman" w:hAnsi="Times New Roman" w:cs="Times New Roman"/>
          <w:szCs w:val="22"/>
          <w:lang w:eastAsia="en-IN"/>
        </w:rPr>
        <w:t xml:space="preserve"> management. Both the species </w:t>
      </w:r>
      <w:r w:rsidR="009A0197" w:rsidRPr="00AE4386">
        <w:rPr>
          <w:rFonts w:ascii="Times New Roman" w:hAnsi="Times New Roman" w:cs="Times New Roman"/>
          <w:i/>
          <w:iCs/>
          <w:szCs w:val="22"/>
        </w:rPr>
        <w:t xml:space="preserve">Puntius </w:t>
      </w:r>
      <w:proofErr w:type="spellStart"/>
      <w:r w:rsidR="009A0197" w:rsidRPr="00AE4386">
        <w:rPr>
          <w:rFonts w:ascii="Times New Roman" w:hAnsi="Times New Roman" w:cs="Times New Roman"/>
          <w:i/>
          <w:iCs/>
          <w:szCs w:val="22"/>
        </w:rPr>
        <w:t>sophore</w:t>
      </w:r>
      <w:proofErr w:type="spellEnd"/>
      <w:r w:rsidR="009A0197" w:rsidRPr="00AE4386">
        <w:rPr>
          <w:rFonts w:ascii="Times New Roman" w:hAnsi="Times New Roman" w:cs="Times New Roman"/>
          <w:i/>
          <w:iCs/>
          <w:szCs w:val="22"/>
        </w:rPr>
        <w:t xml:space="preserve"> </w:t>
      </w:r>
      <w:r w:rsidR="009A0197" w:rsidRPr="00AE4386">
        <w:rPr>
          <w:rFonts w:ascii="Times New Roman" w:hAnsi="Times New Roman" w:cs="Times New Roman"/>
          <w:szCs w:val="22"/>
        </w:rPr>
        <w:t xml:space="preserve">and </w:t>
      </w:r>
      <w:r w:rsidR="009A0197" w:rsidRPr="00AE4386">
        <w:rPr>
          <w:rFonts w:ascii="Times New Roman" w:hAnsi="Times New Roman" w:cs="Times New Roman"/>
          <w:i/>
          <w:iCs/>
          <w:szCs w:val="22"/>
        </w:rPr>
        <w:t xml:space="preserve">rasbora </w:t>
      </w:r>
      <w:proofErr w:type="spellStart"/>
      <w:r w:rsidR="009A0197" w:rsidRPr="00AE4386">
        <w:rPr>
          <w:rFonts w:ascii="Times New Roman" w:hAnsi="Times New Roman" w:cs="Times New Roman"/>
          <w:i/>
          <w:iCs/>
          <w:szCs w:val="22"/>
        </w:rPr>
        <w:t>daniconius</w:t>
      </w:r>
      <w:proofErr w:type="spellEnd"/>
      <w:r w:rsidR="009A0197" w:rsidRPr="00AE4386">
        <w:rPr>
          <w:rFonts w:ascii="Times New Roman" w:eastAsia="Times New Roman" w:hAnsi="Times New Roman" w:cs="Times New Roman"/>
          <w:szCs w:val="22"/>
          <w:lang w:eastAsia="en-IN"/>
        </w:rPr>
        <w:t xml:space="preserve"> </w:t>
      </w:r>
      <w:r w:rsidR="0013217E" w:rsidRPr="00AE4386">
        <w:rPr>
          <w:rFonts w:ascii="Times New Roman" w:eastAsia="Times New Roman" w:hAnsi="Times New Roman" w:cs="Times New Roman"/>
          <w:szCs w:val="22"/>
          <w:lang w:eastAsia="en-IN"/>
        </w:rPr>
        <w:t xml:space="preserve">belong to family </w:t>
      </w:r>
      <w:proofErr w:type="spellStart"/>
      <w:r w:rsidR="0013217E" w:rsidRPr="00AE4386">
        <w:rPr>
          <w:rFonts w:ascii="Times New Roman" w:eastAsia="Times New Roman" w:hAnsi="Times New Roman" w:cs="Times New Roman"/>
          <w:szCs w:val="22"/>
          <w:lang w:eastAsia="en-IN"/>
        </w:rPr>
        <w:t>Cyprinidae</w:t>
      </w:r>
      <w:proofErr w:type="spellEnd"/>
      <w:r w:rsidR="0013217E" w:rsidRPr="00AE4386">
        <w:rPr>
          <w:rFonts w:ascii="Times New Roman" w:eastAsia="Times New Roman" w:hAnsi="Times New Roman" w:cs="Times New Roman"/>
          <w:szCs w:val="22"/>
          <w:lang w:eastAsia="en-IN"/>
        </w:rPr>
        <w:t xml:space="preserve"> and are widely distributed across South and Southeast Asian freshwater </w:t>
      </w:r>
      <w:proofErr w:type="gramStart"/>
      <w:r w:rsidR="0013217E" w:rsidRPr="00AE4386">
        <w:rPr>
          <w:rFonts w:ascii="Times New Roman" w:eastAsia="Times New Roman" w:hAnsi="Times New Roman" w:cs="Times New Roman"/>
          <w:szCs w:val="22"/>
          <w:lang w:eastAsia="en-IN"/>
        </w:rPr>
        <w:t>systems  Understanding</w:t>
      </w:r>
      <w:proofErr w:type="gramEnd"/>
      <w:r w:rsidR="0013217E" w:rsidRPr="00AE4386">
        <w:rPr>
          <w:rFonts w:ascii="Times New Roman" w:eastAsia="Times New Roman" w:hAnsi="Times New Roman" w:cs="Times New Roman"/>
          <w:szCs w:val="22"/>
          <w:lang w:eastAsia="en-IN"/>
        </w:rPr>
        <w:t xml:space="preserve"> the gonadal development according to </w:t>
      </w:r>
      <w:proofErr w:type="gramStart"/>
      <w:r w:rsidR="0013217E" w:rsidRPr="00AE4386">
        <w:rPr>
          <w:rFonts w:ascii="Times New Roman" w:eastAsia="Times New Roman" w:hAnsi="Times New Roman" w:cs="Times New Roman"/>
          <w:szCs w:val="22"/>
          <w:lang w:eastAsia="en-IN"/>
        </w:rPr>
        <w:t>conservation oriented</w:t>
      </w:r>
      <w:proofErr w:type="gramEnd"/>
      <w:r w:rsidR="0013217E" w:rsidRPr="00AE4386">
        <w:rPr>
          <w:rFonts w:ascii="Times New Roman" w:eastAsia="Times New Roman" w:hAnsi="Times New Roman" w:cs="Times New Roman"/>
          <w:szCs w:val="22"/>
          <w:lang w:eastAsia="en-IN"/>
        </w:rPr>
        <w:t xml:space="preserve"> use and potential aquaculture development.</w:t>
      </w:r>
    </w:p>
    <w:p w14:paraId="52E195B8" w14:textId="77777777" w:rsidR="00012F15" w:rsidRPr="00AE4386" w:rsidRDefault="00012F15" w:rsidP="002824D5">
      <w:pPr>
        <w:rPr>
          <w:rFonts w:ascii="Times New Roman" w:hAnsi="Times New Roman" w:cs="Times New Roman"/>
          <w:szCs w:val="22"/>
        </w:rPr>
      </w:pPr>
    </w:p>
    <w:p w14:paraId="33398FB5" w14:textId="77777777" w:rsidR="0013217E" w:rsidRPr="00AE4386" w:rsidRDefault="00012F15" w:rsidP="002824D5">
      <w:pPr>
        <w:rPr>
          <w:rFonts w:ascii="Times New Roman" w:hAnsi="Times New Roman" w:cs="Times New Roman"/>
          <w:b/>
          <w:bCs/>
          <w:szCs w:val="22"/>
        </w:rPr>
      </w:pPr>
      <w:r w:rsidRPr="00AE4386">
        <w:rPr>
          <w:rFonts w:ascii="Times New Roman" w:hAnsi="Times New Roman" w:cs="Times New Roman"/>
          <w:szCs w:val="22"/>
        </w:rPr>
        <w:t xml:space="preserve"> </w:t>
      </w:r>
      <w:r w:rsidR="00870F20" w:rsidRPr="00AE4386">
        <w:rPr>
          <w:rFonts w:ascii="Times New Roman" w:hAnsi="Times New Roman" w:cs="Times New Roman"/>
          <w:szCs w:val="22"/>
        </w:rPr>
        <w:t xml:space="preserve"> </w:t>
      </w:r>
      <w:r w:rsidR="00557528" w:rsidRPr="00AE4386">
        <w:rPr>
          <w:rFonts w:ascii="Times New Roman" w:hAnsi="Times New Roman" w:cs="Times New Roman"/>
          <w:szCs w:val="22"/>
        </w:rPr>
        <w:t xml:space="preserve">2. </w:t>
      </w:r>
      <w:r w:rsidR="00557528" w:rsidRPr="00AE4386">
        <w:rPr>
          <w:rFonts w:ascii="Times New Roman" w:hAnsi="Times New Roman" w:cs="Times New Roman"/>
          <w:b/>
          <w:bCs/>
          <w:szCs w:val="22"/>
        </w:rPr>
        <w:t>Material and methods</w:t>
      </w:r>
    </w:p>
    <w:p w14:paraId="424AE0C1" w14:textId="77777777" w:rsidR="00557528" w:rsidRPr="00AE4386" w:rsidRDefault="00080555" w:rsidP="002824D5">
      <w:pPr>
        <w:rPr>
          <w:rFonts w:ascii="Times New Roman" w:hAnsi="Times New Roman" w:cs="Times New Roman"/>
          <w:b/>
          <w:bCs/>
          <w:szCs w:val="22"/>
        </w:rPr>
      </w:pPr>
      <w:r w:rsidRPr="00AE4386">
        <w:rPr>
          <w:rFonts w:ascii="Times New Roman" w:hAnsi="Times New Roman" w:cs="Times New Roman"/>
          <w:b/>
          <w:bCs/>
          <w:szCs w:val="22"/>
        </w:rPr>
        <w:t>2.1</w:t>
      </w:r>
      <w:r w:rsidR="007E481F" w:rsidRPr="00AE4386">
        <w:rPr>
          <w:rFonts w:ascii="Times New Roman" w:hAnsi="Times New Roman" w:cs="Times New Roman"/>
          <w:b/>
          <w:bCs/>
          <w:szCs w:val="22"/>
        </w:rPr>
        <w:t xml:space="preserve"> </w:t>
      </w:r>
      <w:r w:rsidRPr="00AE4386">
        <w:rPr>
          <w:rFonts w:ascii="Times New Roman" w:hAnsi="Times New Roman" w:cs="Times New Roman"/>
          <w:b/>
          <w:bCs/>
          <w:szCs w:val="22"/>
        </w:rPr>
        <w:t xml:space="preserve"> </w:t>
      </w:r>
      <w:r w:rsidR="00557528" w:rsidRPr="00AE4386">
        <w:rPr>
          <w:rFonts w:ascii="Times New Roman" w:hAnsi="Times New Roman" w:cs="Times New Roman"/>
          <w:b/>
          <w:bCs/>
          <w:szCs w:val="22"/>
        </w:rPr>
        <w:t xml:space="preserve"> Fishes and Sample Collection </w:t>
      </w:r>
    </w:p>
    <w:p w14:paraId="4D9D2953" w14:textId="77777777" w:rsidR="00557528" w:rsidRPr="00AE4386" w:rsidRDefault="002949A0" w:rsidP="00BE64A6">
      <w:pPr>
        <w:jc w:val="both"/>
        <w:rPr>
          <w:rFonts w:ascii="Times New Roman" w:hAnsi="Times New Roman" w:cs="Times New Roman"/>
          <w:szCs w:val="22"/>
        </w:rPr>
      </w:pPr>
      <w:r w:rsidRPr="00AE4386">
        <w:rPr>
          <w:rFonts w:ascii="Times New Roman" w:hAnsi="Times New Roman" w:cs="Times New Roman"/>
          <w:szCs w:val="22"/>
        </w:rPr>
        <w:t>The present study of two species</w:t>
      </w:r>
      <w:r w:rsidR="008F54A9" w:rsidRPr="00AE4386">
        <w:rPr>
          <w:rFonts w:ascii="Times New Roman" w:hAnsi="Times New Roman" w:cs="Times New Roman"/>
          <w:szCs w:val="22"/>
        </w:rPr>
        <w:t xml:space="preserve"> </w:t>
      </w:r>
      <w:r w:rsidR="008F54A9" w:rsidRPr="00AE4386">
        <w:rPr>
          <w:rFonts w:ascii="Times New Roman" w:hAnsi="Times New Roman" w:cs="Times New Roman"/>
          <w:i/>
          <w:iCs/>
          <w:szCs w:val="22"/>
        </w:rPr>
        <w:t xml:space="preserve">Puntius </w:t>
      </w:r>
      <w:proofErr w:type="spellStart"/>
      <w:r w:rsidR="008F54A9" w:rsidRPr="00AE4386">
        <w:rPr>
          <w:rFonts w:ascii="Times New Roman" w:hAnsi="Times New Roman" w:cs="Times New Roman"/>
          <w:i/>
          <w:iCs/>
          <w:szCs w:val="22"/>
        </w:rPr>
        <w:t>sophore</w:t>
      </w:r>
      <w:proofErr w:type="spellEnd"/>
      <w:r w:rsidR="008F54A9" w:rsidRPr="00AE4386">
        <w:rPr>
          <w:rFonts w:ascii="Times New Roman" w:hAnsi="Times New Roman" w:cs="Times New Roman"/>
          <w:szCs w:val="22"/>
        </w:rPr>
        <w:t xml:space="preserve"> and </w:t>
      </w:r>
      <w:r w:rsidR="008F54A9" w:rsidRPr="00AE4386">
        <w:rPr>
          <w:rFonts w:ascii="Times New Roman" w:hAnsi="Times New Roman" w:cs="Times New Roman"/>
          <w:i/>
          <w:iCs/>
          <w:szCs w:val="22"/>
        </w:rPr>
        <w:t>R</w:t>
      </w:r>
      <w:r w:rsidR="006C3093" w:rsidRPr="00AE4386">
        <w:rPr>
          <w:rFonts w:ascii="Times New Roman" w:hAnsi="Times New Roman" w:cs="Times New Roman"/>
          <w:i/>
          <w:iCs/>
          <w:szCs w:val="22"/>
        </w:rPr>
        <w:t>a</w:t>
      </w:r>
      <w:r w:rsidR="008F54A9" w:rsidRPr="00AE4386">
        <w:rPr>
          <w:rFonts w:ascii="Times New Roman" w:hAnsi="Times New Roman" w:cs="Times New Roman"/>
          <w:i/>
          <w:iCs/>
          <w:szCs w:val="22"/>
        </w:rPr>
        <w:t>sbo</w:t>
      </w:r>
      <w:r w:rsidRPr="00AE4386">
        <w:rPr>
          <w:rFonts w:ascii="Times New Roman" w:hAnsi="Times New Roman" w:cs="Times New Roman"/>
          <w:i/>
          <w:iCs/>
          <w:szCs w:val="22"/>
        </w:rPr>
        <w:t xml:space="preserve">ra </w:t>
      </w:r>
      <w:proofErr w:type="spellStart"/>
      <w:r w:rsidRPr="00AE4386">
        <w:rPr>
          <w:rFonts w:ascii="Times New Roman" w:hAnsi="Times New Roman" w:cs="Times New Roman"/>
          <w:i/>
          <w:iCs/>
          <w:szCs w:val="22"/>
        </w:rPr>
        <w:t>daniconius</w:t>
      </w:r>
      <w:proofErr w:type="spellEnd"/>
      <w:r w:rsidRPr="00AE4386">
        <w:rPr>
          <w:rFonts w:ascii="Times New Roman" w:hAnsi="Times New Roman" w:cs="Times New Roman"/>
          <w:szCs w:val="22"/>
        </w:rPr>
        <w:t xml:space="preserve"> is used is being collected from Upper Lake (Bada Talab), Bhop</w:t>
      </w:r>
      <w:r w:rsidR="003A7CBD" w:rsidRPr="00AE4386">
        <w:rPr>
          <w:rFonts w:ascii="Times New Roman" w:hAnsi="Times New Roman" w:cs="Times New Roman"/>
          <w:szCs w:val="22"/>
        </w:rPr>
        <w:t>al, Madhya Pradesh, India. Fish were recognized, and their</w:t>
      </w:r>
      <w:r w:rsidR="006C3093" w:rsidRPr="00AE4386">
        <w:rPr>
          <w:rFonts w:ascii="Times New Roman" w:hAnsi="Times New Roman" w:cs="Times New Roman"/>
          <w:szCs w:val="22"/>
        </w:rPr>
        <w:t xml:space="preserve"> length and weight were observed and noted</w:t>
      </w:r>
      <w:r w:rsidR="003A7CBD" w:rsidRPr="00AE4386">
        <w:rPr>
          <w:rFonts w:ascii="Times New Roman" w:hAnsi="Times New Roman" w:cs="Times New Roman"/>
          <w:szCs w:val="22"/>
        </w:rPr>
        <w:t>. The fishes were dissected t</w:t>
      </w:r>
      <w:r w:rsidR="007E481F" w:rsidRPr="00AE4386">
        <w:rPr>
          <w:rFonts w:ascii="Times New Roman" w:hAnsi="Times New Roman" w:cs="Times New Roman"/>
          <w:szCs w:val="22"/>
        </w:rPr>
        <w:t xml:space="preserve">hrough a mid –ventral cut to extract </w:t>
      </w:r>
      <w:r w:rsidR="003A7CBD" w:rsidRPr="00AE4386">
        <w:rPr>
          <w:rFonts w:ascii="Times New Roman" w:hAnsi="Times New Roman" w:cs="Times New Roman"/>
          <w:szCs w:val="22"/>
        </w:rPr>
        <w:t xml:space="preserve"> </w:t>
      </w:r>
      <w:r w:rsidR="007E481F" w:rsidRPr="00AE4386">
        <w:rPr>
          <w:rFonts w:ascii="Times New Roman" w:hAnsi="Times New Roman" w:cs="Times New Roman"/>
          <w:szCs w:val="22"/>
        </w:rPr>
        <w:t xml:space="preserve"> </w:t>
      </w:r>
      <w:r w:rsidR="003A7CBD" w:rsidRPr="00AE4386">
        <w:rPr>
          <w:rFonts w:ascii="Times New Roman" w:hAnsi="Times New Roman" w:cs="Times New Roman"/>
          <w:szCs w:val="22"/>
        </w:rPr>
        <w:t>gonads. Gonadal</w:t>
      </w:r>
      <w:r w:rsidR="007E481F" w:rsidRPr="00AE4386">
        <w:rPr>
          <w:rFonts w:ascii="Times New Roman" w:hAnsi="Times New Roman" w:cs="Times New Roman"/>
          <w:szCs w:val="22"/>
        </w:rPr>
        <w:t xml:space="preserve"> maturity stages were assessed  </w:t>
      </w:r>
      <w:r w:rsidR="003A7CBD" w:rsidRPr="00AE4386">
        <w:rPr>
          <w:rFonts w:ascii="Times New Roman" w:hAnsi="Times New Roman" w:cs="Times New Roman"/>
          <w:szCs w:val="22"/>
        </w:rPr>
        <w:t xml:space="preserve"> based on size, colour, and texture (immature, maturing, mature, and spent stages</w:t>
      </w:r>
      <w:proofErr w:type="gramStart"/>
      <w:r w:rsidR="003A7CBD" w:rsidRPr="00AE4386">
        <w:rPr>
          <w:rFonts w:ascii="Times New Roman" w:hAnsi="Times New Roman" w:cs="Times New Roman"/>
          <w:szCs w:val="22"/>
        </w:rPr>
        <w:t>).</w:t>
      </w:r>
      <w:r w:rsidR="007E481F" w:rsidRPr="00AE4386">
        <w:rPr>
          <w:rFonts w:ascii="Times New Roman" w:hAnsi="Times New Roman" w:cs="Times New Roman"/>
          <w:szCs w:val="22"/>
        </w:rPr>
        <w:t>For</w:t>
      </w:r>
      <w:proofErr w:type="gramEnd"/>
      <w:r w:rsidR="007E481F" w:rsidRPr="00AE4386">
        <w:rPr>
          <w:rFonts w:ascii="Times New Roman" w:hAnsi="Times New Roman" w:cs="Times New Roman"/>
          <w:szCs w:val="22"/>
        </w:rPr>
        <w:t xml:space="preserve"> microscopic </w:t>
      </w:r>
      <w:r w:rsidR="003A7CBD" w:rsidRPr="00AE4386">
        <w:rPr>
          <w:rFonts w:ascii="Times New Roman" w:hAnsi="Times New Roman" w:cs="Times New Roman"/>
          <w:szCs w:val="22"/>
        </w:rPr>
        <w:t xml:space="preserve">study, </w:t>
      </w:r>
      <w:r w:rsidR="00BE64A6" w:rsidRPr="00AE4386">
        <w:rPr>
          <w:rFonts w:ascii="Times New Roman" w:hAnsi="Times New Roman" w:cs="Times New Roman"/>
        </w:rPr>
        <w:t>gonadal tissues were preserved in 10% formalin solution</w:t>
      </w:r>
      <w:r w:rsidR="003A7CBD" w:rsidRPr="00AE4386">
        <w:rPr>
          <w:rFonts w:ascii="Times New Roman" w:hAnsi="Times New Roman" w:cs="Times New Roman"/>
          <w:szCs w:val="22"/>
        </w:rPr>
        <w:t xml:space="preserve">. </w:t>
      </w:r>
      <w:r w:rsidR="001D70C0" w:rsidRPr="00AE4386">
        <w:rPr>
          <w:rFonts w:ascii="Times New Roman" w:hAnsi="Times New Roman" w:cs="Times New Roman"/>
          <w:szCs w:val="22"/>
        </w:rPr>
        <w:t xml:space="preserve">The tissue sections were stained using </w:t>
      </w:r>
      <w:proofErr w:type="spellStart"/>
      <w:r w:rsidR="001D70C0" w:rsidRPr="00AE4386">
        <w:rPr>
          <w:rFonts w:ascii="Times New Roman" w:hAnsi="Times New Roman" w:cs="Times New Roman"/>
          <w:szCs w:val="22"/>
        </w:rPr>
        <w:t>hematoxylin</w:t>
      </w:r>
      <w:proofErr w:type="spellEnd"/>
      <w:r w:rsidR="001D70C0" w:rsidRPr="00AE4386">
        <w:rPr>
          <w:rFonts w:ascii="Times New Roman" w:hAnsi="Times New Roman" w:cs="Times New Roman"/>
          <w:szCs w:val="22"/>
        </w:rPr>
        <w:t xml:space="preserve"> and eosin and </w:t>
      </w:r>
      <w:r w:rsidR="001D70C0" w:rsidRPr="00AE4386">
        <w:rPr>
          <w:rFonts w:ascii="Times New Roman" w:hAnsi="Times New Roman" w:cs="Times New Roman"/>
          <w:szCs w:val="22"/>
        </w:rPr>
        <w:lastRenderedPageBreak/>
        <w:t xml:space="preserve">subsequently examined under a microscope to evaluate gonadal development. </w:t>
      </w:r>
      <w:r w:rsidR="003A7CBD" w:rsidRPr="00AE4386">
        <w:rPr>
          <w:rFonts w:ascii="Times New Roman" w:hAnsi="Times New Roman" w:cs="Times New Roman"/>
          <w:szCs w:val="22"/>
        </w:rPr>
        <w:t>Seasonal variation in gonadal maturity was compared between the two species based on macroscopic and microscopic observations.</w:t>
      </w:r>
    </w:p>
    <w:p w14:paraId="21472D7F" w14:textId="77777777" w:rsidR="00557528" w:rsidRPr="00AE4386" w:rsidRDefault="00557528" w:rsidP="002824D5">
      <w:pPr>
        <w:rPr>
          <w:rFonts w:ascii="Times New Roman" w:hAnsi="Times New Roman" w:cs="Times New Roman"/>
          <w:b/>
          <w:bCs/>
          <w:szCs w:val="22"/>
        </w:rPr>
      </w:pPr>
    </w:p>
    <w:p w14:paraId="42A91A88" w14:textId="77777777" w:rsidR="00557528" w:rsidRPr="00AE4386" w:rsidRDefault="0007170C" w:rsidP="002824D5">
      <w:pPr>
        <w:rPr>
          <w:rFonts w:ascii="Times New Roman" w:hAnsi="Times New Roman" w:cs="Times New Roman"/>
          <w:b/>
          <w:bCs/>
          <w:szCs w:val="22"/>
        </w:rPr>
      </w:pPr>
      <w:r w:rsidRPr="00AE4386">
        <w:rPr>
          <w:rFonts w:ascii="Times New Roman" w:hAnsi="Times New Roman" w:cs="Times New Roman"/>
          <w:szCs w:val="22"/>
        </w:rPr>
        <w:t xml:space="preserve">3. </w:t>
      </w:r>
      <w:r w:rsidRPr="00AE4386">
        <w:rPr>
          <w:rFonts w:ascii="Times New Roman" w:hAnsi="Times New Roman" w:cs="Times New Roman"/>
          <w:b/>
          <w:bCs/>
          <w:szCs w:val="22"/>
        </w:rPr>
        <w:t xml:space="preserve">Result and Discussion </w:t>
      </w:r>
    </w:p>
    <w:p w14:paraId="6C6BB27D" w14:textId="77777777" w:rsidR="00A3717B" w:rsidRPr="00AE4386" w:rsidRDefault="00000000">
      <w:r w:rsidRPr="00AE4386">
        <w:rPr>
          <w:rFonts w:ascii="Times New Roman" w:hAnsi="Times New Roman"/>
          <w:sz w:val="24"/>
        </w:rPr>
        <w:t xml:space="preserve">The interpretation of monthly maturity stages is strengthened when macroscopic staging, GSI and histological evidence are considered together, because these approaches collectively indicate follicular growth, final maturation, ovulation and post-spawning recovery in </w:t>
      </w:r>
      <w:proofErr w:type="spellStart"/>
      <w:r w:rsidRPr="00AE4386">
        <w:rPr>
          <w:rFonts w:ascii="Times New Roman" w:hAnsi="Times New Roman"/>
          <w:sz w:val="24"/>
        </w:rPr>
        <w:t>teleosts</w:t>
      </w:r>
      <w:proofErr w:type="spellEnd"/>
      <w:r w:rsidRPr="00AE4386">
        <w:rPr>
          <w:rFonts w:ascii="Times New Roman" w:hAnsi="Times New Roman"/>
          <w:sz w:val="24"/>
        </w:rPr>
        <w:t xml:space="preserve"> (Patiño &amp; Sullivan, 2002; Murua &amp; Saborido-Rey, 2003; Parenti &amp; Grier, 2004).</w:t>
      </w:r>
    </w:p>
    <w:p w14:paraId="7AAB5281" w14:textId="77777777" w:rsidR="00D96CE5" w:rsidRPr="00AE4386" w:rsidRDefault="00D96CE5" w:rsidP="00BE64A6">
      <w:pPr>
        <w:ind w:firstLine="720"/>
        <w:jc w:val="both"/>
        <w:rPr>
          <w:rFonts w:ascii="Times New Roman" w:hAnsi="Times New Roman" w:cs="Times New Roman"/>
          <w:szCs w:val="22"/>
        </w:rPr>
      </w:pPr>
      <w:r w:rsidRPr="00AE4386">
        <w:rPr>
          <w:rFonts w:ascii="Times New Roman" w:hAnsi="Times New Roman" w:cs="Times New Roman"/>
          <w:szCs w:val="22"/>
        </w:rPr>
        <w:t>The regularly monthly development of gonadal maturity stages provides the straight explicit findings for outlining the spawning season and insight the time –based dynamics of the reproductive cycle. In the present study,</w:t>
      </w:r>
      <w:r w:rsidR="001D70C0" w:rsidRPr="00AE4386">
        <w:rPr>
          <w:rFonts w:ascii="Times New Roman" w:hAnsi="Times New Roman" w:cs="Times New Roman"/>
          <w:szCs w:val="22"/>
        </w:rPr>
        <w:t xml:space="preserve"> Gonadal maturity was evaluated by examining the gonads according to the maturity classification described by Nikolsky (1963</w:t>
      </w:r>
      <w:proofErr w:type="gramStart"/>
      <w:r w:rsidR="001D70C0" w:rsidRPr="00AE4386">
        <w:rPr>
          <w:rFonts w:ascii="Times New Roman" w:hAnsi="Times New Roman" w:cs="Times New Roman"/>
          <w:szCs w:val="22"/>
        </w:rPr>
        <w:t xml:space="preserve">) </w:t>
      </w:r>
      <w:r w:rsidRPr="00AE4386">
        <w:rPr>
          <w:rFonts w:ascii="Times New Roman" w:hAnsi="Times New Roman" w:cs="Times New Roman"/>
          <w:szCs w:val="22"/>
        </w:rPr>
        <w:t xml:space="preserve"> and</w:t>
      </w:r>
      <w:proofErr w:type="gramEnd"/>
      <w:r w:rsidRPr="00AE4386">
        <w:rPr>
          <w:rFonts w:ascii="Times New Roman" w:hAnsi="Times New Roman" w:cs="Times New Roman"/>
          <w:szCs w:val="22"/>
        </w:rPr>
        <w:t xml:space="preserve"> Shafi and Quddus (1982). Five stages were identified for females (Immature, Maturing, Matured, Spawning, Spent) and six stages for males (Immature, Resting, Developing, Maturing, Mature, Spent).</w:t>
      </w:r>
    </w:p>
    <w:p w14:paraId="19890AB0" w14:textId="77777777" w:rsidR="00D96CE5" w:rsidRPr="00AE4386" w:rsidRDefault="00080555" w:rsidP="00D96CE5">
      <w:pPr>
        <w:pStyle w:val="Heading3"/>
        <w:jc w:val="left"/>
        <w:rPr>
          <w:rFonts w:ascii="Times New Roman" w:hAnsi="Times New Roman" w:cs="Times New Roman"/>
          <w:sz w:val="22"/>
        </w:rPr>
      </w:pPr>
      <w:r w:rsidRPr="00AE4386">
        <w:rPr>
          <w:rFonts w:ascii="Times New Roman" w:hAnsi="Times New Roman" w:cs="Times New Roman"/>
          <w:sz w:val="22"/>
        </w:rPr>
        <w:t xml:space="preserve">3.1 </w:t>
      </w:r>
      <w:r w:rsidR="00D96CE5" w:rsidRPr="00AE4386">
        <w:rPr>
          <w:rFonts w:ascii="Times New Roman" w:hAnsi="Times New Roman" w:cs="Times New Roman"/>
          <w:sz w:val="22"/>
        </w:rPr>
        <w:t xml:space="preserve">Puntius </w:t>
      </w:r>
      <w:proofErr w:type="spellStart"/>
      <w:r w:rsidR="00D96CE5" w:rsidRPr="00AE4386">
        <w:rPr>
          <w:rFonts w:ascii="Times New Roman" w:hAnsi="Times New Roman" w:cs="Times New Roman"/>
          <w:sz w:val="22"/>
        </w:rPr>
        <w:t>sophore</w:t>
      </w:r>
      <w:proofErr w:type="spellEnd"/>
      <w:r w:rsidR="00D96CE5" w:rsidRPr="00AE4386">
        <w:rPr>
          <w:rFonts w:ascii="Times New Roman" w:hAnsi="Times New Roman" w:cs="Times New Roman"/>
          <w:sz w:val="22"/>
        </w:rPr>
        <w:t xml:space="preserve"> (Female)</w:t>
      </w:r>
    </w:p>
    <w:p w14:paraId="396BC41A" w14:textId="533A37B4" w:rsidR="00D96CE5" w:rsidRPr="00AE4386" w:rsidRDefault="00080555" w:rsidP="00D96CE5">
      <w:pPr>
        <w:spacing w:before="240"/>
        <w:jc w:val="center"/>
        <w:rPr>
          <w:rFonts w:ascii="Times New Roman" w:hAnsi="Times New Roman" w:cs="Times New Roman"/>
          <w:szCs w:val="22"/>
        </w:rPr>
      </w:pPr>
      <w:r w:rsidRPr="00AE4386">
        <w:rPr>
          <w:rFonts w:ascii="Times New Roman" w:hAnsi="Times New Roman" w:cs="Times New Roman"/>
          <w:b/>
          <w:szCs w:val="22"/>
        </w:rPr>
        <w:t>Table 1</w:t>
      </w:r>
      <w:r w:rsidR="00D96CE5" w:rsidRPr="00AE4386">
        <w:rPr>
          <w:rFonts w:ascii="Times New Roman" w:hAnsi="Times New Roman" w:cs="Times New Roman"/>
          <w:b/>
          <w:szCs w:val="22"/>
        </w:rPr>
        <w:t xml:space="preserve">: Monthly frequency distribution (%) of gonadal maturity stages of P. </w:t>
      </w:r>
      <w:proofErr w:type="spellStart"/>
      <w:r w:rsidR="00D96CE5" w:rsidRPr="00AE4386">
        <w:rPr>
          <w:rFonts w:ascii="Times New Roman" w:hAnsi="Times New Roman" w:cs="Times New Roman"/>
          <w:b/>
          <w:szCs w:val="22"/>
        </w:rPr>
        <w:t>sophore</w:t>
      </w:r>
      <w:proofErr w:type="spellEnd"/>
      <w:r w:rsidR="00D96CE5" w:rsidRPr="00AE4386">
        <w:rPr>
          <w:rFonts w:ascii="Times New Roman" w:hAnsi="Times New Roman" w:cs="Times New Roman"/>
          <w:b/>
          <w:szCs w:val="22"/>
        </w:rPr>
        <w:t xml:space="preserve"> (Female) from Upper Lake, Bhopal</w:t>
      </w:r>
    </w:p>
    <w:tbl>
      <w:tblPr>
        <w:tblStyle w:val="TableGrid"/>
        <w:tblW w:w="0" w:type="auto"/>
        <w:jc w:val="center"/>
        <w:tblLook w:val="04A0" w:firstRow="1" w:lastRow="0" w:firstColumn="1" w:lastColumn="0" w:noHBand="0" w:noVBand="1"/>
      </w:tblPr>
      <w:tblGrid>
        <w:gridCol w:w="1157"/>
        <w:gridCol w:w="1170"/>
        <w:gridCol w:w="1121"/>
        <w:gridCol w:w="1080"/>
        <w:gridCol w:w="1146"/>
        <w:gridCol w:w="1080"/>
        <w:gridCol w:w="1080"/>
        <w:gridCol w:w="1080"/>
      </w:tblGrid>
      <w:tr w:rsidR="00D96CE5" w:rsidRPr="00AE4386" w14:paraId="0FD826C6" w14:textId="77777777" w:rsidTr="00CF29B8">
        <w:trPr>
          <w:jc w:val="center"/>
        </w:trPr>
        <w:tc>
          <w:tcPr>
            <w:tcW w:w="1080" w:type="dxa"/>
            <w:shd w:val="clear" w:color="auto" w:fill="D5E8F0"/>
          </w:tcPr>
          <w:p w14:paraId="764EDBD4"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b/>
              </w:rPr>
              <w:t>Month</w:t>
            </w:r>
          </w:p>
        </w:tc>
        <w:tc>
          <w:tcPr>
            <w:tcW w:w="1080" w:type="dxa"/>
            <w:shd w:val="clear" w:color="auto" w:fill="D5E8F0"/>
          </w:tcPr>
          <w:p w14:paraId="4A5451AC"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b/>
              </w:rPr>
              <w:t>Immature</w:t>
            </w:r>
          </w:p>
        </w:tc>
        <w:tc>
          <w:tcPr>
            <w:tcW w:w="1080" w:type="dxa"/>
            <w:shd w:val="clear" w:color="auto" w:fill="D5E8F0"/>
          </w:tcPr>
          <w:p w14:paraId="1FCDFE7D"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b/>
              </w:rPr>
              <w:t>Maturing</w:t>
            </w:r>
          </w:p>
        </w:tc>
        <w:tc>
          <w:tcPr>
            <w:tcW w:w="1080" w:type="dxa"/>
            <w:shd w:val="clear" w:color="auto" w:fill="D5E8F0"/>
          </w:tcPr>
          <w:p w14:paraId="3CA8D46E"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b/>
              </w:rPr>
              <w:t>Matured</w:t>
            </w:r>
          </w:p>
        </w:tc>
        <w:tc>
          <w:tcPr>
            <w:tcW w:w="1080" w:type="dxa"/>
            <w:shd w:val="clear" w:color="auto" w:fill="D5E8F0"/>
          </w:tcPr>
          <w:p w14:paraId="33EA63B1"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b/>
              </w:rPr>
              <w:t>Spawning</w:t>
            </w:r>
          </w:p>
        </w:tc>
        <w:tc>
          <w:tcPr>
            <w:tcW w:w="1080" w:type="dxa"/>
            <w:shd w:val="clear" w:color="auto" w:fill="D5E8F0"/>
          </w:tcPr>
          <w:p w14:paraId="41FF4E13"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b/>
              </w:rPr>
              <w:t>Spent</w:t>
            </w:r>
          </w:p>
        </w:tc>
        <w:tc>
          <w:tcPr>
            <w:tcW w:w="1080" w:type="dxa"/>
            <w:shd w:val="clear" w:color="auto" w:fill="D5E8F0"/>
          </w:tcPr>
          <w:p w14:paraId="7A63016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b/>
              </w:rPr>
              <w:t>N</w:t>
            </w:r>
          </w:p>
        </w:tc>
        <w:tc>
          <w:tcPr>
            <w:tcW w:w="1080" w:type="dxa"/>
            <w:shd w:val="clear" w:color="auto" w:fill="D5E8F0"/>
          </w:tcPr>
          <w:p w14:paraId="43397F5F"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b/>
              </w:rPr>
              <w:t xml:space="preserve">% </w:t>
            </w:r>
            <w:proofErr w:type="spellStart"/>
            <w:r w:rsidRPr="00AE4386">
              <w:rPr>
                <w:rFonts w:ascii="Times New Roman" w:hAnsi="Times New Roman" w:cs="Times New Roman"/>
                <w:b/>
              </w:rPr>
              <w:t>Reprod</w:t>
            </w:r>
            <w:proofErr w:type="spellEnd"/>
            <w:r w:rsidRPr="00AE4386">
              <w:rPr>
                <w:rFonts w:ascii="Times New Roman" w:hAnsi="Times New Roman" w:cs="Times New Roman"/>
                <w:b/>
              </w:rPr>
              <w:t>.</w:t>
            </w:r>
          </w:p>
        </w:tc>
      </w:tr>
      <w:tr w:rsidR="00D96CE5" w:rsidRPr="00AE4386" w14:paraId="00D729F9" w14:textId="77777777" w:rsidTr="00CF29B8">
        <w:trPr>
          <w:jc w:val="center"/>
        </w:trPr>
        <w:tc>
          <w:tcPr>
            <w:tcW w:w="1080" w:type="dxa"/>
          </w:tcPr>
          <w:p w14:paraId="72542370"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January</w:t>
            </w:r>
          </w:p>
        </w:tc>
        <w:tc>
          <w:tcPr>
            <w:tcW w:w="1080" w:type="dxa"/>
          </w:tcPr>
          <w:p w14:paraId="20E071A8"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50.00</w:t>
            </w:r>
          </w:p>
        </w:tc>
        <w:tc>
          <w:tcPr>
            <w:tcW w:w="1080" w:type="dxa"/>
          </w:tcPr>
          <w:p w14:paraId="5D74F82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6B609388"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7308BE6A"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317DEC02"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50.00</w:t>
            </w:r>
          </w:p>
        </w:tc>
        <w:tc>
          <w:tcPr>
            <w:tcW w:w="1080" w:type="dxa"/>
          </w:tcPr>
          <w:p w14:paraId="46D3DA2C"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2</w:t>
            </w:r>
          </w:p>
        </w:tc>
        <w:tc>
          <w:tcPr>
            <w:tcW w:w="1080" w:type="dxa"/>
          </w:tcPr>
          <w:p w14:paraId="4865B4D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r>
      <w:tr w:rsidR="00D96CE5" w:rsidRPr="00AE4386" w14:paraId="3D71CC50" w14:textId="77777777" w:rsidTr="00CF29B8">
        <w:trPr>
          <w:jc w:val="center"/>
        </w:trPr>
        <w:tc>
          <w:tcPr>
            <w:tcW w:w="1080" w:type="dxa"/>
            <w:shd w:val="clear" w:color="auto" w:fill="F2F2F2"/>
          </w:tcPr>
          <w:p w14:paraId="5971D9B9"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February</w:t>
            </w:r>
          </w:p>
        </w:tc>
        <w:tc>
          <w:tcPr>
            <w:tcW w:w="1080" w:type="dxa"/>
            <w:shd w:val="clear" w:color="auto" w:fill="F2F2F2"/>
          </w:tcPr>
          <w:p w14:paraId="7FBA64BF"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50.00</w:t>
            </w:r>
          </w:p>
        </w:tc>
        <w:tc>
          <w:tcPr>
            <w:tcW w:w="1080" w:type="dxa"/>
            <w:shd w:val="clear" w:color="auto" w:fill="F2F2F2"/>
          </w:tcPr>
          <w:p w14:paraId="2CB7F730"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33.33</w:t>
            </w:r>
          </w:p>
        </w:tc>
        <w:tc>
          <w:tcPr>
            <w:tcW w:w="1080" w:type="dxa"/>
            <w:shd w:val="clear" w:color="auto" w:fill="F2F2F2"/>
          </w:tcPr>
          <w:p w14:paraId="2892B36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1EF9040F"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521D692C"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16.67</w:t>
            </w:r>
          </w:p>
        </w:tc>
        <w:tc>
          <w:tcPr>
            <w:tcW w:w="1080" w:type="dxa"/>
            <w:shd w:val="clear" w:color="auto" w:fill="F2F2F2"/>
          </w:tcPr>
          <w:p w14:paraId="4D589FE4"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6</w:t>
            </w:r>
          </w:p>
        </w:tc>
        <w:tc>
          <w:tcPr>
            <w:tcW w:w="1080" w:type="dxa"/>
            <w:shd w:val="clear" w:color="auto" w:fill="F2F2F2"/>
          </w:tcPr>
          <w:p w14:paraId="5BFABEAD"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r>
      <w:tr w:rsidR="00D96CE5" w:rsidRPr="00AE4386" w14:paraId="0C7CC83D" w14:textId="77777777" w:rsidTr="00CF29B8">
        <w:trPr>
          <w:jc w:val="center"/>
        </w:trPr>
        <w:tc>
          <w:tcPr>
            <w:tcW w:w="1080" w:type="dxa"/>
          </w:tcPr>
          <w:p w14:paraId="51B7EE41"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March</w:t>
            </w:r>
          </w:p>
        </w:tc>
        <w:tc>
          <w:tcPr>
            <w:tcW w:w="1080" w:type="dxa"/>
          </w:tcPr>
          <w:p w14:paraId="183C219C"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14.29</w:t>
            </w:r>
          </w:p>
        </w:tc>
        <w:tc>
          <w:tcPr>
            <w:tcW w:w="1080" w:type="dxa"/>
          </w:tcPr>
          <w:p w14:paraId="55E22A06"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57.14</w:t>
            </w:r>
          </w:p>
        </w:tc>
        <w:tc>
          <w:tcPr>
            <w:tcW w:w="1080" w:type="dxa"/>
          </w:tcPr>
          <w:p w14:paraId="6073058A"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14.29</w:t>
            </w:r>
          </w:p>
        </w:tc>
        <w:tc>
          <w:tcPr>
            <w:tcW w:w="1080" w:type="dxa"/>
          </w:tcPr>
          <w:p w14:paraId="37A86569"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524744A9"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14.29</w:t>
            </w:r>
          </w:p>
        </w:tc>
        <w:tc>
          <w:tcPr>
            <w:tcW w:w="1080" w:type="dxa"/>
          </w:tcPr>
          <w:p w14:paraId="1321E73B"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7</w:t>
            </w:r>
          </w:p>
        </w:tc>
        <w:tc>
          <w:tcPr>
            <w:tcW w:w="1080" w:type="dxa"/>
          </w:tcPr>
          <w:p w14:paraId="16B08220"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14.29</w:t>
            </w:r>
          </w:p>
        </w:tc>
      </w:tr>
      <w:tr w:rsidR="00D96CE5" w:rsidRPr="00AE4386" w14:paraId="31F97E68" w14:textId="77777777" w:rsidTr="00CF29B8">
        <w:trPr>
          <w:jc w:val="center"/>
        </w:trPr>
        <w:tc>
          <w:tcPr>
            <w:tcW w:w="1080" w:type="dxa"/>
            <w:shd w:val="clear" w:color="auto" w:fill="F2F2F2"/>
          </w:tcPr>
          <w:p w14:paraId="2A1A91FF"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April</w:t>
            </w:r>
          </w:p>
        </w:tc>
        <w:tc>
          <w:tcPr>
            <w:tcW w:w="1080" w:type="dxa"/>
            <w:shd w:val="clear" w:color="auto" w:fill="F2F2F2"/>
          </w:tcPr>
          <w:p w14:paraId="585FA233"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25.00</w:t>
            </w:r>
          </w:p>
        </w:tc>
        <w:tc>
          <w:tcPr>
            <w:tcW w:w="1080" w:type="dxa"/>
            <w:shd w:val="clear" w:color="auto" w:fill="F2F2F2"/>
          </w:tcPr>
          <w:p w14:paraId="67DE7211"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37.50</w:t>
            </w:r>
          </w:p>
        </w:tc>
        <w:tc>
          <w:tcPr>
            <w:tcW w:w="1080" w:type="dxa"/>
            <w:shd w:val="clear" w:color="auto" w:fill="F2F2F2"/>
          </w:tcPr>
          <w:p w14:paraId="5BCAD376"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25.00</w:t>
            </w:r>
          </w:p>
        </w:tc>
        <w:tc>
          <w:tcPr>
            <w:tcW w:w="1080" w:type="dxa"/>
            <w:shd w:val="clear" w:color="auto" w:fill="F2F2F2"/>
          </w:tcPr>
          <w:p w14:paraId="0F1F352E"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12.50</w:t>
            </w:r>
          </w:p>
        </w:tc>
        <w:tc>
          <w:tcPr>
            <w:tcW w:w="1080" w:type="dxa"/>
            <w:shd w:val="clear" w:color="auto" w:fill="F2F2F2"/>
          </w:tcPr>
          <w:p w14:paraId="3B47DAFC"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4EA8D501"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8</w:t>
            </w:r>
          </w:p>
        </w:tc>
        <w:tc>
          <w:tcPr>
            <w:tcW w:w="1080" w:type="dxa"/>
            <w:shd w:val="clear" w:color="auto" w:fill="F2F2F2"/>
          </w:tcPr>
          <w:p w14:paraId="3E0070F0"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37.50</w:t>
            </w:r>
          </w:p>
        </w:tc>
      </w:tr>
      <w:tr w:rsidR="00D96CE5" w:rsidRPr="00AE4386" w14:paraId="0E9B5C3D" w14:textId="77777777" w:rsidTr="00CF29B8">
        <w:trPr>
          <w:jc w:val="center"/>
        </w:trPr>
        <w:tc>
          <w:tcPr>
            <w:tcW w:w="1080" w:type="dxa"/>
          </w:tcPr>
          <w:p w14:paraId="4B731FBE"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May</w:t>
            </w:r>
          </w:p>
        </w:tc>
        <w:tc>
          <w:tcPr>
            <w:tcW w:w="1080" w:type="dxa"/>
          </w:tcPr>
          <w:p w14:paraId="1A958C33"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763041A3"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62.50</w:t>
            </w:r>
          </w:p>
        </w:tc>
        <w:tc>
          <w:tcPr>
            <w:tcW w:w="1080" w:type="dxa"/>
          </w:tcPr>
          <w:p w14:paraId="34530480"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25.00</w:t>
            </w:r>
          </w:p>
        </w:tc>
        <w:tc>
          <w:tcPr>
            <w:tcW w:w="1080" w:type="dxa"/>
          </w:tcPr>
          <w:p w14:paraId="6FE066C2"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12.50</w:t>
            </w:r>
          </w:p>
        </w:tc>
        <w:tc>
          <w:tcPr>
            <w:tcW w:w="1080" w:type="dxa"/>
          </w:tcPr>
          <w:p w14:paraId="0ED30C87"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519447D2"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8</w:t>
            </w:r>
          </w:p>
        </w:tc>
        <w:tc>
          <w:tcPr>
            <w:tcW w:w="1080" w:type="dxa"/>
          </w:tcPr>
          <w:p w14:paraId="409426A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37.50</w:t>
            </w:r>
          </w:p>
        </w:tc>
      </w:tr>
      <w:tr w:rsidR="00D96CE5" w:rsidRPr="00AE4386" w14:paraId="037D6681" w14:textId="77777777" w:rsidTr="00CF29B8">
        <w:trPr>
          <w:jc w:val="center"/>
        </w:trPr>
        <w:tc>
          <w:tcPr>
            <w:tcW w:w="1080" w:type="dxa"/>
            <w:shd w:val="clear" w:color="auto" w:fill="F2F2F2"/>
          </w:tcPr>
          <w:p w14:paraId="792E50E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June</w:t>
            </w:r>
          </w:p>
        </w:tc>
        <w:tc>
          <w:tcPr>
            <w:tcW w:w="1080" w:type="dxa"/>
            <w:shd w:val="clear" w:color="auto" w:fill="F2F2F2"/>
          </w:tcPr>
          <w:p w14:paraId="00E25F00"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0763359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30.00</w:t>
            </w:r>
          </w:p>
        </w:tc>
        <w:tc>
          <w:tcPr>
            <w:tcW w:w="1080" w:type="dxa"/>
            <w:shd w:val="clear" w:color="auto" w:fill="F2F2F2"/>
          </w:tcPr>
          <w:p w14:paraId="040B398D"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10.00</w:t>
            </w:r>
          </w:p>
        </w:tc>
        <w:tc>
          <w:tcPr>
            <w:tcW w:w="1080" w:type="dxa"/>
            <w:shd w:val="clear" w:color="auto" w:fill="F2F2F2"/>
          </w:tcPr>
          <w:p w14:paraId="3DAB797A"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60.00</w:t>
            </w:r>
          </w:p>
        </w:tc>
        <w:tc>
          <w:tcPr>
            <w:tcW w:w="1080" w:type="dxa"/>
            <w:shd w:val="clear" w:color="auto" w:fill="F2F2F2"/>
          </w:tcPr>
          <w:p w14:paraId="766015B2"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5F2D440D"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10</w:t>
            </w:r>
          </w:p>
        </w:tc>
        <w:tc>
          <w:tcPr>
            <w:tcW w:w="1080" w:type="dxa"/>
            <w:shd w:val="clear" w:color="auto" w:fill="F2F2F2"/>
          </w:tcPr>
          <w:p w14:paraId="66988043"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70.00</w:t>
            </w:r>
          </w:p>
        </w:tc>
      </w:tr>
      <w:tr w:rsidR="00D96CE5" w:rsidRPr="00AE4386" w14:paraId="692FE07B" w14:textId="77777777" w:rsidTr="00CF29B8">
        <w:trPr>
          <w:jc w:val="center"/>
        </w:trPr>
        <w:tc>
          <w:tcPr>
            <w:tcW w:w="1080" w:type="dxa"/>
          </w:tcPr>
          <w:p w14:paraId="7CD2265F"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July</w:t>
            </w:r>
          </w:p>
        </w:tc>
        <w:tc>
          <w:tcPr>
            <w:tcW w:w="1080" w:type="dxa"/>
          </w:tcPr>
          <w:p w14:paraId="2516FD9B"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7E0BD6C8"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20.00</w:t>
            </w:r>
          </w:p>
        </w:tc>
        <w:tc>
          <w:tcPr>
            <w:tcW w:w="1080" w:type="dxa"/>
          </w:tcPr>
          <w:p w14:paraId="273BAEB1"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20.00</w:t>
            </w:r>
          </w:p>
        </w:tc>
        <w:tc>
          <w:tcPr>
            <w:tcW w:w="1080" w:type="dxa"/>
          </w:tcPr>
          <w:p w14:paraId="37A995D7"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60.00</w:t>
            </w:r>
          </w:p>
        </w:tc>
        <w:tc>
          <w:tcPr>
            <w:tcW w:w="1080" w:type="dxa"/>
          </w:tcPr>
          <w:p w14:paraId="7FE63544"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3D965B94"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10</w:t>
            </w:r>
          </w:p>
        </w:tc>
        <w:tc>
          <w:tcPr>
            <w:tcW w:w="1080" w:type="dxa"/>
          </w:tcPr>
          <w:p w14:paraId="4C440991"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80.00</w:t>
            </w:r>
          </w:p>
        </w:tc>
      </w:tr>
      <w:tr w:rsidR="00D96CE5" w:rsidRPr="00AE4386" w14:paraId="60DEB197" w14:textId="77777777" w:rsidTr="00CF29B8">
        <w:trPr>
          <w:jc w:val="center"/>
        </w:trPr>
        <w:tc>
          <w:tcPr>
            <w:tcW w:w="1080" w:type="dxa"/>
            <w:shd w:val="clear" w:color="auto" w:fill="F2F2F2"/>
          </w:tcPr>
          <w:p w14:paraId="6CC3C298"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August</w:t>
            </w:r>
          </w:p>
        </w:tc>
        <w:tc>
          <w:tcPr>
            <w:tcW w:w="1080" w:type="dxa"/>
            <w:shd w:val="clear" w:color="auto" w:fill="F2F2F2"/>
          </w:tcPr>
          <w:p w14:paraId="2D0D4159"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7090BE2F"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72.73</w:t>
            </w:r>
          </w:p>
        </w:tc>
        <w:tc>
          <w:tcPr>
            <w:tcW w:w="1080" w:type="dxa"/>
            <w:shd w:val="clear" w:color="auto" w:fill="F2F2F2"/>
          </w:tcPr>
          <w:p w14:paraId="7BDCFC8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27.27</w:t>
            </w:r>
          </w:p>
        </w:tc>
        <w:tc>
          <w:tcPr>
            <w:tcW w:w="1080" w:type="dxa"/>
            <w:shd w:val="clear" w:color="auto" w:fill="F2F2F2"/>
          </w:tcPr>
          <w:p w14:paraId="67D06670"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40F6B4B9"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537FF579"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11</w:t>
            </w:r>
          </w:p>
        </w:tc>
        <w:tc>
          <w:tcPr>
            <w:tcW w:w="1080" w:type="dxa"/>
            <w:shd w:val="clear" w:color="auto" w:fill="F2F2F2"/>
          </w:tcPr>
          <w:p w14:paraId="6EF8FBBF"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27.27</w:t>
            </w:r>
          </w:p>
        </w:tc>
      </w:tr>
      <w:tr w:rsidR="00D96CE5" w:rsidRPr="00AE4386" w14:paraId="5D969434" w14:textId="77777777" w:rsidTr="00CF29B8">
        <w:trPr>
          <w:jc w:val="center"/>
        </w:trPr>
        <w:tc>
          <w:tcPr>
            <w:tcW w:w="1080" w:type="dxa"/>
          </w:tcPr>
          <w:p w14:paraId="5A4FDA93"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September</w:t>
            </w:r>
          </w:p>
        </w:tc>
        <w:tc>
          <w:tcPr>
            <w:tcW w:w="1080" w:type="dxa"/>
          </w:tcPr>
          <w:p w14:paraId="448128BF"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8.00</w:t>
            </w:r>
          </w:p>
        </w:tc>
        <w:tc>
          <w:tcPr>
            <w:tcW w:w="1080" w:type="dxa"/>
          </w:tcPr>
          <w:p w14:paraId="2A04FE1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12.00</w:t>
            </w:r>
          </w:p>
        </w:tc>
        <w:tc>
          <w:tcPr>
            <w:tcW w:w="1080" w:type="dxa"/>
          </w:tcPr>
          <w:p w14:paraId="1C94252D"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12.00</w:t>
            </w:r>
          </w:p>
        </w:tc>
        <w:tc>
          <w:tcPr>
            <w:tcW w:w="1080" w:type="dxa"/>
          </w:tcPr>
          <w:p w14:paraId="7A62F600"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4.00</w:t>
            </w:r>
          </w:p>
        </w:tc>
        <w:tc>
          <w:tcPr>
            <w:tcW w:w="1080" w:type="dxa"/>
          </w:tcPr>
          <w:p w14:paraId="41846938"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64.00</w:t>
            </w:r>
          </w:p>
        </w:tc>
        <w:tc>
          <w:tcPr>
            <w:tcW w:w="1080" w:type="dxa"/>
          </w:tcPr>
          <w:p w14:paraId="0FC54FB4"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25</w:t>
            </w:r>
          </w:p>
        </w:tc>
        <w:tc>
          <w:tcPr>
            <w:tcW w:w="1080" w:type="dxa"/>
          </w:tcPr>
          <w:p w14:paraId="1F8F7560"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16.00</w:t>
            </w:r>
          </w:p>
        </w:tc>
      </w:tr>
      <w:tr w:rsidR="00D96CE5" w:rsidRPr="00AE4386" w14:paraId="71E6DFCE" w14:textId="77777777" w:rsidTr="00CF29B8">
        <w:trPr>
          <w:jc w:val="center"/>
        </w:trPr>
        <w:tc>
          <w:tcPr>
            <w:tcW w:w="1080" w:type="dxa"/>
            <w:shd w:val="clear" w:color="auto" w:fill="F2F2F2"/>
          </w:tcPr>
          <w:p w14:paraId="74C06ECC"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October</w:t>
            </w:r>
          </w:p>
        </w:tc>
        <w:tc>
          <w:tcPr>
            <w:tcW w:w="1080" w:type="dxa"/>
            <w:shd w:val="clear" w:color="auto" w:fill="F2F2F2"/>
          </w:tcPr>
          <w:p w14:paraId="15677522"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3D0557EB"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6.25</w:t>
            </w:r>
          </w:p>
        </w:tc>
        <w:tc>
          <w:tcPr>
            <w:tcW w:w="1080" w:type="dxa"/>
            <w:shd w:val="clear" w:color="auto" w:fill="F2F2F2"/>
          </w:tcPr>
          <w:p w14:paraId="110A9F8D"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5F979B2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5627B9C0"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93.75</w:t>
            </w:r>
          </w:p>
        </w:tc>
        <w:tc>
          <w:tcPr>
            <w:tcW w:w="1080" w:type="dxa"/>
            <w:shd w:val="clear" w:color="auto" w:fill="F2F2F2"/>
          </w:tcPr>
          <w:p w14:paraId="4D0DD663"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16</w:t>
            </w:r>
          </w:p>
        </w:tc>
        <w:tc>
          <w:tcPr>
            <w:tcW w:w="1080" w:type="dxa"/>
            <w:shd w:val="clear" w:color="auto" w:fill="F2F2F2"/>
          </w:tcPr>
          <w:p w14:paraId="26E6736D"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r>
      <w:tr w:rsidR="00D96CE5" w:rsidRPr="00AE4386" w14:paraId="025CC92A" w14:textId="77777777" w:rsidTr="00CF29B8">
        <w:trPr>
          <w:jc w:val="center"/>
        </w:trPr>
        <w:tc>
          <w:tcPr>
            <w:tcW w:w="1080" w:type="dxa"/>
          </w:tcPr>
          <w:p w14:paraId="4124DF6A"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November</w:t>
            </w:r>
          </w:p>
        </w:tc>
        <w:tc>
          <w:tcPr>
            <w:tcW w:w="1080" w:type="dxa"/>
          </w:tcPr>
          <w:p w14:paraId="3E9BCFD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33.33</w:t>
            </w:r>
          </w:p>
        </w:tc>
        <w:tc>
          <w:tcPr>
            <w:tcW w:w="1080" w:type="dxa"/>
          </w:tcPr>
          <w:p w14:paraId="7A80EE8D"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16.67</w:t>
            </w:r>
          </w:p>
        </w:tc>
        <w:tc>
          <w:tcPr>
            <w:tcW w:w="1080" w:type="dxa"/>
          </w:tcPr>
          <w:p w14:paraId="3F4C7EB3"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74A56D0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09544A69"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50.00</w:t>
            </w:r>
          </w:p>
        </w:tc>
        <w:tc>
          <w:tcPr>
            <w:tcW w:w="1080" w:type="dxa"/>
          </w:tcPr>
          <w:p w14:paraId="01B75FB6"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6</w:t>
            </w:r>
          </w:p>
        </w:tc>
        <w:tc>
          <w:tcPr>
            <w:tcW w:w="1080" w:type="dxa"/>
          </w:tcPr>
          <w:p w14:paraId="72DF7A1E"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r>
      <w:tr w:rsidR="00D96CE5" w:rsidRPr="00AE4386" w14:paraId="037D3755" w14:textId="77777777" w:rsidTr="00CF29B8">
        <w:trPr>
          <w:jc w:val="center"/>
        </w:trPr>
        <w:tc>
          <w:tcPr>
            <w:tcW w:w="1080" w:type="dxa"/>
            <w:shd w:val="clear" w:color="auto" w:fill="F2F2F2"/>
          </w:tcPr>
          <w:p w14:paraId="3C9E08D4"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December</w:t>
            </w:r>
          </w:p>
        </w:tc>
        <w:tc>
          <w:tcPr>
            <w:tcW w:w="1080" w:type="dxa"/>
            <w:shd w:val="clear" w:color="auto" w:fill="F2F2F2"/>
          </w:tcPr>
          <w:p w14:paraId="15C58C2E"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33.33</w:t>
            </w:r>
          </w:p>
        </w:tc>
        <w:tc>
          <w:tcPr>
            <w:tcW w:w="1080" w:type="dxa"/>
            <w:shd w:val="clear" w:color="auto" w:fill="F2F2F2"/>
          </w:tcPr>
          <w:p w14:paraId="569F7F0D"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66.67</w:t>
            </w:r>
          </w:p>
        </w:tc>
        <w:tc>
          <w:tcPr>
            <w:tcW w:w="1080" w:type="dxa"/>
            <w:shd w:val="clear" w:color="auto" w:fill="F2F2F2"/>
          </w:tcPr>
          <w:p w14:paraId="3FD9F45C"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278030B6"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7BD96DEF"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5F5B7663"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3</w:t>
            </w:r>
          </w:p>
        </w:tc>
        <w:tc>
          <w:tcPr>
            <w:tcW w:w="1080" w:type="dxa"/>
            <w:shd w:val="clear" w:color="auto" w:fill="F2F2F2"/>
          </w:tcPr>
          <w:p w14:paraId="52D9AAE0"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r>
    </w:tbl>
    <w:p w14:paraId="75C07731" w14:textId="77777777" w:rsidR="00D96CE5" w:rsidRPr="00AE4386" w:rsidRDefault="00D96CE5" w:rsidP="00D96CE5">
      <w:pPr>
        <w:jc w:val="center"/>
        <w:rPr>
          <w:rFonts w:ascii="Times New Roman" w:hAnsi="Times New Roman" w:cs="Times New Roman"/>
          <w:szCs w:val="22"/>
        </w:rPr>
      </w:pPr>
      <w:r w:rsidRPr="00AE4386">
        <w:rPr>
          <w:rFonts w:ascii="Times New Roman" w:hAnsi="Times New Roman" w:cs="Times New Roman"/>
          <w:i/>
          <w:szCs w:val="22"/>
        </w:rPr>
        <w:t>% Reproductive = % Matured + % Spawning; Peak spawning: June–July (60% in spawning condition)</w:t>
      </w:r>
    </w:p>
    <w:p w14:paraId="73A97F4B" w14:textId="77777777" w:rsidR="00D96CE5" w:rsidRPr="00AE4386" w:rsidRDefault="00D96CE5" w:rsidP="00D96CE5">
      <w:pPr>
        <w:spacing w:before="360"/>
        <w:jc w:val="center"/>
        <w:rPr>
          <w:rFonts w:ascii="Times New Roman" w:hAnsi="Times New Roman" w:cs="Times New Roman"/>
          <w:szCs w:val="22"/>
        </w:rPr>
      </w:pPr>
      <w:r w:rsidRPr="00AE4386">
        <w:rPr>
          <w:rFonts w:ascii="Times New Roman" w:hAnsi="Times New Roman" w:cs="Times New Roman"/>
          <w:noProof/>
          <w:szCs w:val="22"/>
          <w:lang w:eastAsia="en-IN"/>
        </w:rPr>
        <w:lastRenderedPageBreak/>
        <w:drawing>
          <wp:inline distT="0" distB="0" distL="0" distR="0" wp14:anchorId="42F9C3FF" wp14:editId="02E0E3CF">
            <wp:extent cx="5669280" cy="352779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4_16_Maturity_PSF.png"/>
                    <pic:cNvPicPr/>
                  </pic:nvPicPr>
                  <pic:blipFill>
                    <a:blip r:embed="rId7"/>
                    <a:stretch>
                      <a:fillRect/>
                    </a:stretch>
                  </pic:blipFill>
                  <pic:spPr>
                    <a:xfrm>
                      <a:off x="0" y="0"/>
                      <a:ext cx="5669280" cy="3527798"/>
                    </a:xfrm>
                    <a:prstGeom prst="rect">
                      <a:avLst/>
                    </a:prstGeom>
                  </pic:spPr>
                </pic:pic>
              </a:graphicData>
            </a:graphic>
          </wp:inline>
        </w:drawing>
      </w:r>
    </w:p>
    <w:p w14:paraId="4885610C" w14:textId="0ACB6137" w:rsidR="00D96CE5" w:rsidRPr="00AE4386" w:rsidRDefault="00080555" w:rsidP="00D96CE5">
      <w:pPr>
        <w:spacing w:after="240"/>
        <w:jc w:val="center"/>
        <w:rPr>
          <w:rFonts w:ascii="Times New Roman" w:hAnsi="Times New Roman" w:cs="Times New Roman"/>
          <w:szCs w:val="22"/>
        </w:rPr>
      </w:pPr>
      <w:r w:rsidRPr="00AE4386">
        <w:rPr>
          <w:rFonts w:ascii="Times New Roman" w:hAnsi="Times New Roman" w:cs="Times New Roman"/>
          <w:b/>
          <w:szCs w:val="22"/>
        </w:rPr>
        <w:t>Figure 1</w:t>
      </w:r>
      <w:r w:rsidR="00D96CE5" w:rsidRPr="00AE4386">
        <w:rPr>
          <w:rFonts w:ascii="Times New Roman" w:hAnsi="Times New Roman" w:cs="Times New Roman"/>
          <w:b/>
          <w:szCs w:val="22"/>
        </w:rPr>
        <w:t xml:space="preserve">: Stacked bar chart showing monthly percentage distribution of gonadal maturity stages of P. </w:t>
      </w:r>
      <w:proofErr w:type="spellStart"/>
      <w:r w:rsidR="00D96CE5" w:rsidRPr="00AE4386">
        <w:rPr>
          <w:rFonts w:ascii="Times New Roman" w:hAnsi="Times New Roman" w:cs="Times New Roman"/>
          <w:b/>
          <w:szCs w:val="22"/>
        </w:rPr>
        <w:t>sophore</w:t>
      </w:r>
      <w:proofErr w:type="spellEnd"/>
      <w:r w:rsidR="00D96CE5" w:rsidRPr="00AE4386">
        <w:rPr>
          <w:rFonts w:ascii="Times New Roman" w:hAnsi="Times New Roman" w:cs="Times New Roman"/>
          <w:b/>
          <w:szCs w:val="22"/>
        </w:rPr>
        <w:t xml:space="preserve"> (Female)</w:t>
      </w:r>
    </w:p>
    <w:p w14:paraId="3FE8EC7D" w14:textId="77777777" w:rsidR="00D96CE5" w:rsidRPr="00AE4386" w:rsidRDefault="00D96CE5" w:rsidP="004F6E94">
      <w:pPr>
        <w:ind w:firstLine="720"/>
        <w:jc w:val="both"/>
        <w:rPr>
          <w:rFonts w:ascii="Times New Roman" w:hAnsi="Times New Roman" w:cs="Times New Roman"/>
          <w:szCs w:val="22"/>
        </w:rPr>
      </w:pPr>
      <w:r w:rsidRPr="00AE4386">
        <w:rPr>
          <w:rFonts w:ascii="Times New Roman" w:hAnsi="Times New Roman" w:cs="Times New Roman"/>
          <w:szCs w:val="22"/>
        </w:rPr>
        <w:t xml:space="preserve">The maturity stages </w:t>
      </w:r>
      <w:r w:rsidR="004F6E94" w:rsidRPr="00AE4386">
        <w:rPr>
          <w:rFonts w:ascii="Times New Roman" w:hAnsi="Times New Roman" w:cs="Times New Roman"/>
          <w:szCs w:val="22"/>
        </w:rPr>
        <w:t xml:space="preserve">assessment outlines four phases on a </w:t>
      </w:r>
      <w:proofErr w:type="gramStart"/>
      <w:r w:rsidR="004F6E94" w:rsidRPr="00AE4386">
        <w:rPr>
          <w:rFonts w:ascii="Times New Roman" w:hAnsi="Times New Roman" w:cs="Times New Roman"/>
          <w:szCs w:val="22"/>
        </w:rPr>
        <w:t>yearly basis reproductive cycles</w:t>
      </w:r>
      <w:proofErr w:type="gramEnd"/>
      <w:r w:rsidR="004F6E94" w:rsidRPr="00AE4386">
        <w:rPr>
          <w:rFonts w:ascii="Times New Roman" w:hAnsi="Times New Roman" w:cs="Times New Roman"/>
          <w:szCs w:val="22"/>
        </w:rPr>
        <w:t xml:space="preserve"> in </w:t>
      </w:r>
      <w:proofErr w:type="spellStart"/>
      <w:proofErr w:type="gramStart"/>
      <w:r w:rsidR="004F6E94" w:rsidRPr="00AE4386">
        <w:rPr>
          <w:rFonts w:ascii="Times New Roman" w:hAnsi="Times New Roman" w:cs="Times New Roman"/>
          <w:szCs w:val="22"/>
        </w:rPr>
        <w:t>P.sophore</w:t>
      </w:r>
      <w:proofErr w:type="spellEnd"/>
      <w:proofErr w:type="gramEnd"/>
      <w:r w:rsidR="004F6E94" w:rsidRPr="00AE4386">
        <w:rPr>
          <w:rFonts w:ascii="Times New Roman" w:hAnsi="Times New Roman" w:cs="Times New Roman"/>
          <w:szCs w:val="22"/>
        </w:rPr>
        <w:t xml:space="preserve"> females. The resting Phase (November –February) was marked by the prevalence of immature and spent individuals, depicting the post- spawning recovery and gonadal reorganization period. The</w:t>
      </w:r>
      <w:r w:rsidRPr="00AE4386">
        <w:rPr>
          <w:rFonts w:ascii="Times New Roman" w:hAnsi="Times New Roman" w:cs="Times New Roman"/>
          <w:szCs w:val="22"/>
        </w:rPr>
        <w:t xml:space="preserve"> Preparatory Phase</w:t>
      </w:r>
      <w:r w:rsidR="004F6E94" w:rsidRPr="00AE4386">
        <w:rPr>
          <w:rFonts w:ascii="Times New Roman" w:hAnsi="Times New Roman" w:cs="Times New Roman"/>
          <w:szCs w:val="22"/>
        </w:rPr>
        <w:t xml:space="preserve"> (March–May) shows forward –looking </w:t>
      </w:r>
      <w:r w:rsidRPr="00AE4386">
        <w:rPr>
          <w:rFonts w:ascii="Times New Roman" w:hAnsi="Times New Roman" w:cs="Times New Roman"/>
          <w:szCs w:val="22"/>
        </w:rPr>
        <w:t xml:space="preserve">gonadal development with maturing individuals increasing from 57.14% in March to 62.50% </w:t>
      </w:r>
      <w:r w:rsidR="004F6E94" w:rsidRPr="00AE4386">
        <w:rPr>
          <w:rFonts w:ascii="Times New Roman" w:hAnsi="Times New Roman" w:cs="Times New Roman"/>
          <w:szCs w:val="22"/>
        </w:rPr>
        <w:t>in May, and the first aspect</w:t>
      </w:r>
      <w:r w:rsidRPr="00AE4386">
        <w:rPr>
          <w:rFonts w:ascii="Times New Roman" w:hAnsi="Times New Roman" w:cs="Times New Roman"/>
          <w:szCs w:val="22"/>
        </w:rPr>
        <w:t xml:space="preserve"> of matured and spawning individuals. The Spawn</w:t>
      </w:r>
      <w:r w:rsidR="006F3CBF" w:rsidRPr="00AE4386">
        <w:rPr>
          <w:rFonts w:ascii="Times New Roman" w:hAnsi="Times New Roman" w:cs="Times New Roman"/>
          <w:szCs w:val="22"/>
        </w:rPr>
        <w:t xml:space="preserve">ing Phase (June–July) was notable by the highest </w:t>
      </w:r>
      <w:proofErr w:type="gramStart"/>
      <w:r w:rsidR="006F3CBF" w:rsidRPr="00AE4386">
        <w:rPr>
          <w:rFonts w:ascii="Times New Roman" w:hAnsi="Times New Roman" w:cs="Times New Roman"/>
          <w:szCs w:val="22"/>
        </w:rPr>
        <w:t xml:space="preserve">fraction </w:t>
      </w:r>
      <w:r w:rsidRPr="00AE4386">
        <w:rPr>
          <w:rFonts w:ascii="Times New Roman" w:hAnsi="Times New Roman" w:cs="Times New Roman"/>
          <w:szCs w:val="22"/>
        </w:rPr>
        <w:t xml:space="preserve"> of</w:t>
      </w:r>
      <w:proofErr w:type="gramEnd"/>
      <w:r w:rsidRPr="00AE4386">
        <w:rPr>
          <w:rFonts w:ascii="Times New Roman" w:hAnsi="Times New Roman" w:cs="Times New Roman"/>
          <w:szCs w:val="22"/>
        </w:rPr>
        <w:t xml:space="preserve"> spawning-condition fish (60% in both months), confirming this period as the peak reproductive season. The Post-Spawning Phase (August–Octo</w:t>
      </w:r>
      <w:r w:rsidR="006F3CBF" w:rsidRPr="00AE4386">
        <w:rPr>
          <w:rFonts w:ascii="Times New Roman" w:hAnsi="Times New Roman" w:cs="Times New Roman"/>
          <w:szCs w:val="22"/>
        </w:rPr>
        <w:t>ber) showed the abrupt change</w:t>
      </w:r>
      <w:r w:rsidRPr="00AE4386">
        <w:rPr>
          <w:rFonts w:ascii="Times New Roman" w:hAnsi="Times New Roman" w:cs="Times New Roman"/>
          <w:szCs w:val="22"/>
        </w:rPr>
        <w:t xml:space="preserve"> to spent condition, from 0% in July to 64% in September and 93.75% in October.</w:t>
      </w:r>
    </w:p>
    <w:p w14:paraId="65C55D29" w14:textId="77777777" w:rsidR="00D96CE5" w:rsidRPr="00AE4386" w:rsidRDefault="001D70C0" w:rsidP="00D96CE5">
      <w:pPr>
        <w:ind w:firstLine="720"/>
        <w:jc w:val="both"/>
        <w:rPr>
          <w:rFonts w:ascii="Times New Roman" w:hAnsi="Times New Roman" w:cs="Times New Roman"/>
          <w:szCs w:val="22"/>
        </w:rPr>
      </w:pPr>
      <w:r w:rsidRPr="00AE4386">
        <w:rPr>
          <w:rFonts w:ascii="Times New Roman" w:hAnsi="Times New Roman" w:cs="Times New Roman"/>
          <w:szCs w:val="22"/>
        </w:rPr>
        <w:t xml:space="preserve">The spawning </w:t>
      </w:r>
      <w:proofErr w:type="spellStart"/>
      <w:r w:rsidRPr="00AE4386">
        <w:rPr>
          <w:rFonts w:ascii="Times New Roman" w:hAnsi="Times New Roman" w:cs="Times New Roman"/>
          <w:szCs w:val="22"/>
        </w:rPr>
        <w:t>seson</w:t>
      </w:r>
      <w:proofErr w:type="spellEnd"/>
      <w:r w:rsidRPr="00AE4386">
        <w:rPr>
          <w:rFonts w:ascii="Times New Roman" w:hAnsi="Times New Roman" w:cs="Times New Roman"/>
          <w:szCs w:val="22"/>
        </w:rPr>
        <w:t xml:space="preserve"> of </w:t>
      </w:r>
      <w:proofErr w:type="spellStart"/>
      <w:proofErr w:type="gramStart"/>
      <w:r w:rsidRPr="00AE4386">
        <w:rPr>
          <w:rFonts w:ascii="Times New Roman" w:hAnsi="Times New Roman" w:cs="Times New Roman"/>
          <w:szCs w:val="22"/>
        </w:rPr>
        <w:t>P.sophore</w:t>
      </w:r>
      <w:proofErr w:type="spellEnd"/>
      <w:proofErr w:type="gramEnd"/>
      <w:r w:rsidRPr="00AE4386">
        <w:rPr>
          <w:rFonts w:ascii="Times New Roman" w:hAnsi="Times New Roman" w:cs="Times New Roman"/>
          <w:szCs w:val="22"/>
        </w:rPr>
        <w:t xml:space="preserve"> in Upper Lake, Bhopal was identified from the combined analysis of GSI variations, gonadal maturity stages and the proportion of fishes in spawning condition, indicating June to August as the breeding period with peak spawning activity during June-July</w:t>
      </w:r>
      <w:r w:rsidR="00D96CE5" w:rsidRPr="00AE4386">
        <w:rPr>
          <w:rFonts w:ascii="Times New Roman" w:hAnsi="Times New Roman" w:cs="Times New Roman"/>
          <w:szCs w:val="22"/>
        </w:rPr>
        <w:t xml:space="preserve">. This is consistent with the reports of Choudhury et al. (2015) who identified March–July as the breeding season from Tripura, and </w:t>
      </w:r>
      <w:proofErr w:type="spellStart"/>
      <w:r w:rsidR="00D96CE5" w:rsidRPr="00AE4386">
        <w:rPr>
          <w:rFonts w:ascii="Times New Roman" w:hAnsi="Times New Roman" w:cs="Times New Roman"/>
          <w:szCs w:val="22"/>
        </w:rPr>
        <w:t>Rafiquzzaman</w:t>
      </w:r>
      <w:proofErr w:type="spellEnd"/>
      <w:r w:rsidR="00D96CE5" w:rsidRPr="00AE4386">
        <w:rPr>
          <w:rFonts w:ascii="Times New Roman" w:hAnsi="Times New Roman" w:cs="Times New Roman"/>
          <w:szCs w:val="22"/>
        </w:rPr>
        <w:t xml:space="preserve"> et al. (2018) who documented peak spawning during March–July in Bangladesh. The monsoon-associated spawning of Indian cyprinids is a well-established ecological phenomenon driven by environmental cues including rising water levels, turbidity, temperature, and rainfall (</w:t>
      </w:r>
      <w:proofErr w:type="spellStart"/>
      <w:r w:rsidR="00D96CE5" w:rsidRPr="00AE4386">
        <w:rPr>
          <w:rFonts w:ascii="Times New Roman" w:hAnsi="Times New Roman" w:cs="Times New Roman"/>
          <w:szCs w:val="22"/>
        </w:rPr>
        <w:t>Jhingran</w:t>
      </w:r>
      <w:proofErr w:type="spellEnd"/>
      <w:r w:rsidR="00D96CE5" w:rsidRPr="00AE4386">
        <w:rPr>
          <w:rFonts w:ascii="Times New Roman" w:hAnsi="Times New Roman" w:cs="Times New Roman"/>
          <w:szCs w:val="22"/>
        </w:rPr>
        <w:t>, 1991; Lowe-McConnell, 1987).</w:t>
      </w:r>
    </w:p>
    <w:p w14:paraId="5F93E15C" w14:textId="77777777" w:rsidR="00A3717B" w:rsidRPr="00AE4386" w:rsidRDefault="00000000">
      <w:r w:rsidRPr="00AE4386">
        <w:rPr>
          <w:rFonts w:ascii="Times New Roman" w:hAnsi="Times New Roman"/>
          <w:sz w:val="24"/>
        </w:rPr>
        <w:t xml:space="preserve">The observed June-July peak in P. </w:t>
      </w:r>
      <w:proofErr w:type="spellStart"/>
      <w:r w:rsidRPr="00AE4386">
        <w:rPr>
          <w:rFonts w:ascii="Times New Roman" w:hAnsi="Times New Roman"/>
          <w:sz w:val="24"/>
        </w:rPr>
        <w:t>sophore</w:t>
      </w:r>
      <w:proofErr w:type="spellEnd"/>
      <w:r w:rsidRPr="00AE4386">
        <w:rPr>
          <w:rFonts w:ascii="Times New Roman" w:hAnsi="Times New Roman"/>
          <w:sz w:val="24"/>
        </w:rPr>
        <w:t xml:space="preserve"> therefore appears biologically plausible for a monsoon-influenced population, although the timing is slightly later than some Bangladeshi populations, where histological evidence indicated March-July spawning with regional peaks during April-May or May-July; such variation is consistent with the influence of local temperature, rainfall and water-level regimes on reproductive timing (Hasan et al., 2018; </w:t>
      </w:r>
      <w:proofErr w:type="spellStart"/>
      <w:r w:rsidRPr="00AE4386">
        <w:rPr>
          <w:rFonts w:ascii="Times New Roman" w:hAnsi="Times New Roman"/>
          <w:sz w:val="24"/>
        </w:rPr>
        <w:t>Yamahira</w:t>
      </w:r>
      <w:proofErr w:type="spellEnd"/>
      <w:r w:rsidRPr="00AE4386">
        <w:rPr>
          <w:rFonts w:ascii="Times New Roman" w:hAnsi="Times New Roman"/>
          <w:sz w:val="24"/>
        </w:rPr>
        <w:t>, 2004).</w:t>
      </w:r>
    </w:p>
    <w:p w14:paraId="47395CBD" w14:textId="77777777" w:rsidR="00D96CE5" w:rsidRPr="00AE4386" w:rsidRDefault="00080555" w:rsidP="00D96CE5">
      <w:pPr>
        <w:pStyle w:val="Heading3"/>
        <w:jc w:val="left"/>
        <w:rPr>
          <w:rFonts w:ascii="Times New Roman" w:hAnsi="Times New Roman" w:cs="Times New Roman"/>
          <w:sz w:val="22"/>
        </w:rPr>
      </w:pPr>
      <w:r w:rsidRPr="00AE4386">
        <w:rPr>
          <w:rFonts w:ascii="Times New Roman" w:hAnsi="Times New Roman" w:cs="Times New Roman"/>
          <w:sz w:val="22"/>
        </w:rPr>
        <w:lastRenderedPageBreak/>
        <w:t xml:space="preserve">3.2 </w:t>
      </w:r>
      <w:r w:rsidR="00D96CE5" w:rsidRPr="00AE4386">
        <w:rPr>
          <w:rFonts w:ascii="Times New Roman" w:hAnsi="Times New Roman" w:cs="Times New Roman"/>
          <w:sz w:val="22"/>
        </w:rPr>
        <w:t xml:space="preserve">Rasbora </w:t>
      </w:r>
      <w:proofErr w:type="spellStart"/>
      <w:r w:rsidR="00D96CE5" w:rsidRPr="00AE4386">
        <w:rPr>
          <w:rFonts w:ascii="Times New Roman" w:hAnsi="Times New Roman" w:cs="Times New Roman"/>
          <w:sz w:val="22"/>
        </w:rPr>
        <w:t>daniconius</w:t>
      </w:r>
      <w:proofErr w:type="spellEnd"/>
      <w:r w:rsidR="00D96CE5" w:rsidRPr="00AE4386">
        <w:rPr>
          <w:rFonts w:ascii="Times New Roman" w:hAnsi="Times New Roman" w:cs="Times New Roman"/>
          <w:sz w:val="22"/>
        </w:rPr>
        <w:t xml:space="preserve"> (Female)</w:t>
      </w:r>
    </w:p>
    <w:p w14:paraId="7EA7A216" w14:textId="3E9CBA31" w:rsidR="00D96CE5" w:rsidRPr="00AE4386" w:rsidRDefault="00080555" w:rsidP="00D96CE5">
      <w:pPr>
        <w:spacing w:before="240"/>
        <w:jc w:val="center"/>
        <w:rPr>
          <w:rFonts w:ascii="Times New Roman" w:hAnsi="Times New Roman" w:cs="Times New Roman"/>
          <w:szCs w:val="22"/>
        </w:rPr>
      </w:pPr>
      <w:r w:rsidRPr="00AE4386">
        <w:rPr>
          <w:rFonts w:ascii="Times New Roman" w:hAnsi="Times New Roman" w:cs="Times New Roman"/>
          <w:b/>
          <w:szCs w:val="22"/>
        </w:rPr>
        <w:t>Table 2</w:t>
      </w:r>
      <w:r w:rsidR="00D96CE5" w:rsidRPr="00AE4386">
        <w:rPr>
          <w:rFonts w:ascii="Times New Roman" w:hAnsi="Times New Roman" w:cs="Times New Roman"/>
          <w:b/>
          <w:szCs w:val="22"/>
        </w:rPr>
        <w:t xml:space="preserve">: Monthly frequency distribution (%) of gonadal maturity stages of R. </w:t>
      </w:r>
      <w:proofErr w:type="spellStart"/>
      <w:r w:rsidR="00D96CE5" w:rsidRPr="00AE4386">
        <w:rPr>
          <w:rFonts w:ascii="Times New Roman" w:hAnsi="Times New Roman" w:cs="Times New Roman"/>
          <w:b/>
          <w:szCs w:val="22"/>
        </w:rPr>
        <w:t>daniconius</w:t>
      </w:r>
      <w:proofErr w:type="spellEnd"/>
      <w:r w:rsidR="00D96CE5" w:rsidRPr="00AE4386">
        <w:rPr>
          <w:rFonts w:ascii="Times New Roman" w:hAnsi="Times New Roman" w:cs="Times New Roman"/>
          <w:b/>
          <w:szCs w:val="22"/>
        </w:rPr>
        <w:t xml:space="preserve"> (Female) from Upper Lake, Bhopal</w:t>
      </w:r>
    </w:p>
    <w:tbl>
      <w:tblPr>
        <w:tblStyle w:val="TableGrid"/>
        <w:tblW w:w="0" w:type="auto"/>
        <w:jc w:val="center"/>
        <w:tblLook w:val="04A0" w:firstRow="1" w:lastRow="0" w:firstColumn="1" w:lastColumn="0" w:noHBand="0" w:noVBand="1"/>
      </w:tblPr>
      <w:tblGrid>
        <w:gridCol w:w="1157"/>
        <w:gridCol w:w="1170"/>
        <w:gridCol w:w="1121"/>
        <w:gridCol w:w="1080"/>
        <w:gridCol w:w="1146"/>
        <w:gridCol w:w="1080"/>
        <w:gridCol w:w="1080"/>
        <w:gridCol w:w="1080"/>
      </w:tblGrid>
      <w:tr w:rsidR="00D96CE5" w:rsidRPr="00AE4386" w14:paraId="1AEA9EE1" w14:textId="77777777" w:rsidTr="00CF29B8">
        <w:trPr>
          <w:jc w:val="center"/>
        </w:trPr>
        <w:tc>
          <w:tcPr>
            <w:tcW w:w="1080" w:type="dxa"/>
            <w:shd w:val="clear" w:color="auto" w:fill="D5E8F0"/>
          </w:tcPr>
          <w:p w14:paraId="0002279F"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b/>
              </w:rPr>
              <w:t>Month</w:t>
            </w:r>
          </w:p>
        </w:tc>
        <w:tc>
          <w:tcPr>
            <w:tcW w:w="1080" w:type="dxa"/>
            <w:shd w:val="clear" w:color="auto" w:fill="D5E8F0"/>
          </w:tcPr>
          <w:p w14:paraId="6DB6BB87"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b/>
              </w:rPr>
              <w:t>Immature</w:t>
            </w:r>
          </w:p>
        </w:tc>
        <w:tc>
          <w:tcPr>
            <w:tcW w:w="1080" w:type="dxa"/>
            <w:shd w:val="clear" w:color="auto" w:fill="D5E8F0"/>
          </w:tcPr>
          <w:p w14:paraId="16450FCD"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b/>
              </w:rPr>
              <w:t>Maturing</w:t>
            </w:r>
          </w:p>
        </w:tc>
        <w:tc>
          <w:tcPr>
            <w:tcW w:w="1080" w:type="dxa"/>
            <w:shd w:val="clear" w:color="auto" w:fill="D5E8F0"/>
          </w:tcPr>
          <w:p w14:paraId="727BE02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b/>
              </w:rPr>
              <w:t>Matured</w:t>
            </w:r>
          </w:p>
        </w:tc>
        <w:tc>
          <w:tcPr>
            <w:tcW w:w="1080" w:type="dxa"/>
            <w:shd w:val="clear" w:color="auto" w:fill="D5E8F0"/>
          </w:tcPr>
          <w:p w14:paraId="1552DFE2"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b/>
              </w:rPr>
              <w:t>Spawning</w:t>
            </w:r>
          </w:p>
        </w:tc>
        <w:tc>
          <w:tcPr>
            <w:tcW w:w="1080" w:type="dxa"/>
            <w:shd w:val="clear" w:color="auto" w:fill="D5E8F0"/>
          </w:tcPr>
          <w:p w14:paraId="27639F12"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b/>
              </w:rPr>
              <w:t>Spent</w:t>
            </w:r>
          </w:p>
        </w:tc>
        <w:tc>
          <w:tcPr>
            <w:tcW w:w="1080" w:type="dxa"/>
            <w:shd w:val="clear" w:color="auto" w:fill="D5E8F0"/>
          </w:tcPr>
          <w:p w14:paraId="33DA315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b/>
              </w:rPr>
              <w:t>N</w:t>
            </w:r>
          </w:p>
        </w:tc>
        <w:tc>
          <w:tcPr>
            <w:tcW w:w="1080" w:type="dxa"/>
            <w:shd w:val="clear" w:color="auto" w:fill="D5E8F0"/>
          </w:tcPr>
          <w:p w14:paraId="54A361C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b/>
              </w:rPr>
              <w:t xml:space="preserve">% </w:t>
            </w:r>
            <w:proofErr w:type="spellStart"/>
            <w:r w:rsidRPr="00AE4386">
              <w:rPr>
                <w:rFonts w:ascii="Times New Roman" w:hAnsi="Times New Roman" w:cs="Times New Roman"/>
                <w:b/>
              </w:rPr>
              <w:t>Reprod</w:t>
            </w:r>
            <w:proofErr w:type="spellEnd"/>
            <w:r w:rsidRPr="00AE4386">
              <w:rPr>
                <w:rFonts w:ascii="Times New Roman" w:hAnsi="Times New Roman" w:cs="Times New Roman"/>
                <w:b/>
              </w:rPr>
              <w:t>.</w:t>
            </w:r>
          </w:p>
        </w:tc>
      </w:tr>
      <w:tr w:rsidR="00D96CE5" w:rsidRPr="00AE4386" w14:paraId="6D5AAF17" w14:textId="77777777" w:rsidTr="00CF29B8">
        <w:trPr>
          <w:jc w:val="center"/>
        </w:trPr>
        <w:tc>
          <w:tcPr>
            <w:tcW w:w="1080" w:type="dxa"/>
          </w:tcPr>
          <w:p w14:paraId="35DDEF30"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January</w:t>
            </w:r>
          </w:p>
        </w:tc>
        <w:tc>
          <w:tcPr>
            <w:tcW w:w="1080" w:type="dxa"/>
          </w:tcPr>
          <w:p w14:paraId="1E2DC8ED"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20.00</w:t>
            </w:r>
          </w:p>
        </w:tc>
        <w:tc>
          <w:tcPr>
            <w:tcW w:w="1080" w:type="dxa"/>
          </w:tcPr>
          <w:p w14:paraId="5D81E052"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40.00</w:t>
            </w:r>
          </w:p>
        </w:tc>
        <w:tc>
          <w:tcPr>
            <w:tcW w:w="1080" w:type="dxa"/>
          </w:tcPr>
          <w:p w14:paraId="5A879AC8"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1F49C133"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6B85937F"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40.00</w:t>
            </w:r>
          </w:p>
        </w:tc>
        <w:tc>
          <w:tcPr>
            <w:tcW w:w="1080" w:type="dxa"/>
          </w:tcPr>
          <w:p w14:paraId="7E78646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5</w:t>
            </w:r>
          </w:p>
        </w:tc>
        <w:tc>
          <w:tcPr>
            <w:tcW w:w="1080" w:type="dxa"/>
          </w:tcPr>
          <w:p w14:paraId="6BB0813B"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r>
      <w:tr w:rsidR="00D96CE5" w:rsidRPr="00AE4386" w14:paraId="6B1431B2" w14:textId="77777777" w:rsidTr="00CF29B8">
        <w:trPr>
          <w:jc w:val="center"/>
        </w:trPr>
        <w:tc>
          <w:tcPr>
            <w:tcW w:w="1080" w:type="dxa"/>
            <w:shd w:val="clear" w:color="auto" w:fill="F2F2F2"/>
          </w:tcPr>
          <w:p w14:paraId="4AFBEC88"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February</w:t>
            </w:r>
          </w:p>
        </w:tc>
        <w:tc>
          <w:tcPr>
            <w:tcW w:w="1080" w:type="dxa"/>
            <w:shd w:val="clear" w:color="auto" w:fill="F2F2F2"/>
          </w:tcPr>
          <w:p w14:paraId="3DADFBE4"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60.00</w:t>
            </w:r>
          </w:p>
        </w:tc>
        <w:tc>
          <w:tcPr>
            <w:tcW w:w="1080" w:type="dxa"/>
            <w:shd w:val="clear" w:color="auto" w:fill="F2F2F2"/>
          </w:tcPr>
          <w:p w14:paraId="56A5358A"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20.00</w:t>
            </w:r>
          </w:p>
        </w:tc>
        <w:tc>
          <w:tcPr>
            <w:tcW w:w="1080" w:type="dxa"/>
            <w:shd w:val="clear" w:color="auto" w:fill="F2F2F2"/>
          </w:tcPr>
          <w:p w14:paraId="1B03D590"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7D24B466"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0429AB03"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20.00</w:t>
            </w:r>
          </w:p>
        </w:tc>
        <w:tc>
          <w:tcPr>
            <w:tcW w:w="1080" w:type="dxa"/>
            <w:shd w:val="clear" w:color="auto" w:fill="F2F2F2"/>
          </w:tcPr>
          <w:p w14:paraId="4D92529A"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5</w:t>
            </w:r>
          </w:p>
        </w:tc>
        <w:tc>
          <w:tcPr>
            <w:tcW w:w="1080" w:type="dxa"/>
            <w:shd w:val="clear" w:color="auto" w:fill="F2F2F2"/>
          </w:tcPr>
          <w:p w14:paraId="0177C6D9"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r>
      <w:tr w:rsidR="00D96CE5" w:rsidRPr="00AE4386" w14:paraId="1C665C5C" w14:textId="77777777" w:rsidTr="00CF29B8">
        <w:trPr>
          <w:jc w:val="center"/>
        </w:trPr>
        <w:tc>
          <w:tcPr>
            <w:tcW w:w="1080" w:type="dxa"/>
          </w:tcPr>
          <w:p w14:paraId="00C362B8"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March</w:t>
            </w:r>
          </w:p>
        </w:tc>
        <w:tc>
          <w:tcPr>
            <w:tcW w:w="1080" w:type="dxa"/>
          </w:tcPr>
          <w:p w14:paraId="62AEDED2"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69A6FE0C"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50.00</w:t>
            </w:r>
          </w:p>
        </w:tc>
        <w:tc>
          <w:tcPr>
            <w:tcW w:w="1080" w:type="dxa"/>
          </w:tcPr>
          <w:p w14:paraId="466CFCE8"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50.00</w:t>
            </w:r>
          </w:p>
        </w:tc>
        <w:tc>
          <w:tcPr>
            <w:tcW w:w="1080" w:type="dxa"/>
          </w:tcPr>
          <w:p w14:paraId="5E2F355C"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541EE589"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40588DD0"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6</w:t>
            </w:r>
          </w:p>
        </w:tc>
        <w:tc>
          <w:tcPr>
            <w:tcW w:w="1080" w:type="dxa"/>
          </w:tcPr>
          <w:p w14:paraId="2045449F"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50.00</w:t>
            </w:r>
          </w:p>
        </w:tc>
      </w:tr>
      <w:tr w:rsidR="00D96CE5" w:rsidRPr="00AE4386" w14:paraId="2559ED7C" w14:textId="77777777" w:rsidTr="00CF29B8">
        <w:trPr>
          <w:jc w:val="center"/>
        </w:trPr>
        <w:tc>
          <w:tcPr>
            <w:tcW w:w="1080" w:type="dxa"/>
            <w:shd w:val="clear" w:color="auto" w:fill="F2F2F2"/>
          </w:tcPr>
          <w:p w14:paraId="1DF1EBAC"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April</w:t>
            </w:r>
          </w:p>
        </w:tc>
        <w:tc>
          <w:tcPr>
            <w:tcW w:w="1080" w:type="dxa"/>
            <w:shd w:val="clear" w:color="auto" w:fill="F2F2F2"/>
          </w:tcPr>
          <w:p w14:paraId="64EAEC71"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237D856B"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33.33</w:t>
            </w:r>
          </w:p>
        </w:tc>
        <w:tc>
          <w:tcPr>
            <w:tcW w:w="1080" w:type="dxa"/>
            <w:shd w:val="clear" w:color="auto" w:fill="F2F2F2"/>
          </w:tcPr>
          <w:p w14:paraId="21740F99"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7C871D1F"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66.67</w:t>
            </w:r>
          </w:p>
        </w:tc>
        <w:tc>
          <w:tcPr>
            <w:tcW w:w="1080" w:type="dxa"/>
            <w:shd w:val="clear" w:color="auto" w:fill="F2F2F2"/>
          </w:tcPr>
          <w:p w14:paraId="66752578"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372B6C7F"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6</w:t>
            </w:r>
          </w:p>
        </w:tc>
        <w:tc>
          <w:tcPr>
            <w:tcW w:w="1080" w:type="dxa"/>
            <w:shd w:val="clear" w:color="auto" w:fill="F2F2F2"/>
          </w:tcPr>
          <w:p w14:paraId="17EE204D"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66.67</w:t>
            </w:r>
          </w:p>
        </w:tc>
      </w:tr>
      <w:tr w:rsidR="00D96CE5" w:rsidRPr="00AE4386" w14:paraId="1B44713D" w14:textId="77777777" w:rsidTr="00CF29B8">
        <w:trPr>
          <w:jc w:val="center"/>
        </w:trPr>
        <w:tc>
          <w:tcPr>
            <w:tcW w:w="1080" w:type="dxa"/>
          </w:tcPr>
          <w:p w14:paraId="05F87AC7"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May</w:t>
            </w:r>
          </w:p>
        </w:tc>
        <w:tc>
          <w:tcPr>
            <w:tcW w:w="1080" w:type="dxa"/>
          </w:tcPr>
          <w:p w14:paraId="288AD7C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7184723C"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14.29</w:t>
            </w:r>
          </w:p>
        </w:tc>
        <w:tc>
          <w:tcPr>
            <w:tcW w:w="1080" w:type="dxa"/>
          </w:tcPr>
          <w:p w14:paraId="011F678E"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28.57</w:t>
            </w:r>
          </w:p>
        </w:tc>
        <w:tc>
          <w:tcPr>
            <w:tcW w:w="1080" w:type="dxa"/>
          </w:tcPr>
          <w:p w14:paraId="2CD45A86"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57.14</w:t>
            </w:r>
          </w:p>
        </w:tc>
        <w:tc>
          <w:tcPr>
            <w:tcW w:w="1080" w:type="dxa"/>
          </w:tcPr>
          <w:p w14:paraId="69A19966"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7786D7C6"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7</w:t>
            </w:r>
          </w:p>
        </w:tc>
        <w:tc>
          <w:tcPr>
            <w:tcW w:w="1080" w:type="dxa"/>
          </w:tcPr>
          <w:p w14:paraId="0B10B6E0"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85.71</w:t>
            </w:r>
          </w:p>
        </w:tc>
      </w:tr>
      <w:tr w:rsidR="00D96CE5" w:rsidRPr="00AE4386" w14:paraId="718C3BC4" w14:textId="77777777" w:rsidTr="00CF29B8">
        <w:trPr>
          <w:jc w:val="center"/>
        </w:trPr>
        <w:tc>
          <w:tcPr>
            <w:tcW w:w="1080" w:type="dxa"/>
            <w:shd w:val="clear" w:color="auto" w:fill="F2F2F2"/>
          </w:tcPr>
          <w:p w14:paraId="2BB8FE0A"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June</w:t>
            </w:r>
          </w:p>
        </w:tc>
        <w:tc>
          <w:tcPr>
            <w:tcW w:w="1080" w:type="dxa"/>
            <w:shd w:val="clear" w:color="auto" w:fill="F2F2F2"/>
          </w:tcPr>
          <w:p w14:paraId="72F6870B"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76A7A0C9"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14.29</w:t>
            </w:r>
          </w:p>
        </w:tc>
        <w:tc>
          <w:tcPr>
            <w:tcW w:w="1080" w:type="dxa"/>
            <w:shd w:val="clear" w:color="auto" w:fill="F2F2F2"/>
          </w:tcPr>
          <w:p w14:paraId="17D03F86"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28.57</w:t>
            </w:r>
          </w:p>
        </w:tc>
        <w:tc>
          <w:tcPr>
            <w:tcW w:w="1080" w:type="dxa"/>
            <w:shd w:val="clear" w:color="auto" w:fill="F2F2F2"/>
          </w:tcPr>
          <w:p w14:paraId="2B21BEF0"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57.14</w:t>
            </w:r>
          </w:p>
        </w:tc>
        <w:tc>
          <w:tcPr>
            <w:tcW w:w="1080" w:type="dxa"/>
            <w:shd w:val="clear" w:color="auto" w:fill="F2F2F2"/>
          </w:tcPr>
          <w:p w14:paraId="48A6CD10"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4215AA6A"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7</w:t>
            </w:r>
          </w:p>
        </w:tc>
        <w:tc>
          <w:tcPr>
            <w:tcW w:w="1080" w:type="dxa"/>
            <w:shd w:val="clear" w:color="auto" w:fill="F2F2F2"/>
          </w:tcPr>
          <w:p w14:paraId="543788E9"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85.71</w:t>
            </w:r>
          </w:p>
        </w:tc>
      </w:tr>
      <w:tr w:rsidR="00D96CE5" w:rsidRPr="00AE4386" w14:paraId="76607DF0" w14:textId="77777777" w:rsidTr="00CF29B8">
        <w:trPr>
          <w:jc w:val="center"/>
        </w:trPr>
        <w:tc>
          <w:tcPr>
            <w:tcW w:w="1080" w:type="dxa"/>
          </w:tcPr>
          <w:p w14:paraId="2BDDC856"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July</w:t>
            </w:r>
          </w:p>
        </w:tc>
        <w:tc>
          <w:tcPr>
            <w:tcW w:w="1080" w:type="dxa"/>
          </w:tcPr>
          <w:p w14:paraId="765B6813"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2BB4A321"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4BE2F723"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75.00</w:t>
            </w:r>
          </w:p>
        </w:tc>
        <w:tc>
          <w:tcPr>
            <w:tcW w:w="1080" w:type="dxa"/>
          </w:tcPr>
          <w:p w14:paraId="5D2FE4DC"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25.00</w:t>
            </w:r>
          </w:p>
        </w:tc>
        <w:tc>
          <w:tcPr>
            <w:tcW w:w="1080" w:type="dxa"/>
          </w:tcPr>
          <w:p w14:paraId="116BC263"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6E0D0A1B"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8</w:t>
            </w:r>
          </w:p>
        </w:tc>
        <w:tc>
          <w:tcPr>
            <w:tcW w:w="1080" w:type="dxa"/>
          </w:tcPr>
          <w:p w14:paraId="0549AC37"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100.00</w:t>
            </w:r>
          </w:p>
        </w:tc>
      </w:tr>
      <w:tr w:rsidR="00D96CE5" w:rsidRPr="00AE4386" w14:paraId="16488F94" w14:textId="77777777" w:rsidTr="00CF29B8">
        <w:trPr>
          <w:jc w:val="center"/>
        </w:trPr>
        <w:tc>
          <w:tcPr>
            <w:tcW w:w="1080" w:type="dxa"/>
            <w:shd w:val="clear" w:color="auto" w:fill="F2F2F2"/>
          </w:tcPr>
          <w:p w14:paraId="6ECC56B9"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August</w:t>
            </w:r>
          </w:p>
        </w:tc>
        <w:tc>
          <w:tcPr>
            <w:tcW w:w="1080" w:type="dxa"/>
            <w:shd w:val="clear" w:color="auto" w:fill="F2F2F2"/>
          </w:tcPr>
          <w:p w14:paraId="3027DED6"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049C7350"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14.29</w:t>
            </w:r>
          </w:p>
        </w:tc>
        <w:tc>
          <w:tcPr>
            <w:tcW w:w="1080" w:type="dxa"/>
            <w:shd w:val="clear" w:color="auto" w:fill="F2F2F2"/>
          </w:tcPr>
          <w:p w14:paraId="0100870D"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14.29</w:t>
            </w:r>
          </w:p>
        </w:tc>
        <w:tc>
          <w:tcPr>
            <w:tcW w:w="1080" w:type="dxa"/>
            <w:shd w:val="clear" w:color="auto" w:fill="F2F2F2"/>
          </w:tcPr>
          <w:p w14:paraId="0C49C00A"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14.29</w:t>
            </w:r>
          </w:p>
        </w:tc>
        <w:tc>
          <w:tcPr>
            <w:tcW w:w="1080" w:type="dxa"/>
            <w:shd w:val="clear" w:color="auto" w:fill="F2F2F2"/>
          </w:tcPr>
          <w:p w14:paraId="0458E999"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57.14</w:t>
            </w:r>
          </w:p>
        </w:tc>
        <w:tc>
          <w:tcPr>
            <w:tcW w:w="1080" w:type="dxa"/>
            <w:shd w:val="clear" w:color="auto" w:fill="F2F2F2"/>
          </w:tcPr>
          <w:p w14:paraId="620646C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7</w:t>
            </w:r>
          </w:p>
        </w:tc>
        <w:tc>
          <w:tcPr>
            <w:tcW w:w="1080" w:type="dxa"/>
            <w:shd w:val="clear" w:color="auto" w:fill="F2F2F2"/>
          </w:tcPr>
          <w:p w14:paraId="25D5CDE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28.57</w:t>
            </w:r>
          </w:p>
        </w:tc>
      </w:tr>
      <w:tr w:rsidR="00D96CE5" w:rsidRPr="00AE4386" w14:paraId="4DEE1ECB" w14:textId="77777777" w:rsidTr="00CF29B8">
        <w:trPr>
          <w:jc w:val="center"/>
        </w:trPr>
        <w:tc>
          <w:tcPr>
            <w:tcW w:w="1080" w:type="dxa"/>
          </w:tcPr>
          <w:p w14:paraId="78B8DBE2"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September</w:t>
            </w:r>
          </w:p>
        </w:tc>
        <w:tc>
          <w:tcPr>
            <w:tcW w:w="1080" w:type="dxa"/>
          </w:tcPr>
          <w:p w14:paraId="66D85301"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13F52867"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3F1BC57E"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277456F4"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3538A2DC"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100.00</w:t>
            </w:r>
          </w:p>
        </w:tc>
        <w:tc>
          <w:tcPr>
            <w:tcW w:w="1080" w:type="dxa"/>
          </w:tcPr>
          <w:p w14:paraId="58CCB20E"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w:t>
            </w:r>
          </w:p>
        </w:tc>
        <w:tc>
          <w:tcPr>
            <w:tcW w:w="1080" w:type="dxa"/>
          </w:tcPr>
          <w:p w14:paraId="3FD79EA6"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r>
      <w:tr w:rsidR="00D96CE5" w:rsidRPr="00AE4386" w14:paraId="535C9E42" w14:textId="77777777" w:rsidTr="00CF29B8">
        <w:trPr>
          <w:jc w:val="center"/>
        </w:trPr>
        <w:tc>
          <w:tcPr>
            <w:tcW w:w="1080" w:type="dxa"/>
            <w:shd w:val="clear" w:color="auto" w:fill="F2F2F2"/>
          </w:tcPr>
          <w:p w14:paraId="43203F71"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October</w:t>
            </w:r>
          </w:p>
        </w:tc>
        <w:tc>
          <w:tcPr>
            <w:tcW w:w="1080" w:type="dxa"/>
            <w:shd w:val="clear" w:color="auto" w:fill="F2F2F2"/>
          </w:tcPr>
          <w:p w14:paraId="472EA8E4"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10.00</w:t>
            </w:r>
          </w:p>
        </w:tc>
        <w:tc>
          <w:tcPr>
            <w:tcW w:w="1080" w:type="dxa"/>
            <w:shd w:val="clear" w:color="auto" w:fill="F2F2F2"/>
          </w:tcPr>
          <w:p w14:paraId="641220AC"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10.00</w:t>
            </w:r>
          </w:p>
        </w:tc>
        <w:tc>
          <w:tcPr>
            <w:tcW w:w="1080" w:type="dxa"/>
            <w:shd w:val="clear" w:color="auto" w:fill="F2F2F2"/>
          </w:tcPr>
          <w:p w14:paraId="267C4B44"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09602EF2"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49F5B914"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80.00</w:t>
            </w:r>
          </w:p>
        </w:tc>
        <w:tc>
          <w:tcPr>
            <w:tcW w:w="1080" w:type="dxa"/>
            <w:shd w:val="clear" w:color="auto" w:fill="F2F2F2"/>
          </w:tcPr>
          <w:p w14:paraId="72CA12D3"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10</w:t>
            </w:r>
          </w:p>
        </w:tc>
        <w:tc>
          <w:tcPr>
            <w:tcW w:w="1080" w:type="dxa"/>
            <w:shd w:val="clear" w:color="auto" w:fill="F2F2F2"/>
          </w:tcPr>
          <w:p w14:paraId="4D410B5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r>
      <w:tr w:rsidR="00D96CE5" w:rsidRPr="00AE4386" w14:paraId="0401BDB8" w14:textId="77777777" w:rsidTr="00CF29B8">
        <w:trPr>
          <w:jc w:val="center"/>
        </w:trPr>
        <w:tc>
          <w:tcPr>
            <w:tcW w:w="1080" w:type="dxa"/>
          </w:tcPr>
          <w:p w14:paraId="233036C6"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November</w:t>
            </w:r>
          </w:p>
        </w:tc>
        <w:tc>
          <w:tcPr>
            <w:tcW w:w="1080" w:type="dxa"/>
          </w:tcPr>
          <w:p w14:paraId="0BB219E2"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40.00</w:t>
            </w:r>
          </w:p>
        </w:tc>
        <w:tc>
          <w:tcPr>
            <w:tcW w:w="1080" w:type="dxa"/>
          </w:tcPr>
          <w:p w14:paraId="4A979F4F"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20.00</w:t>
            </w:r>
          </w:p>
        </w:tc>
        <w:tc>
          <w:tcPr>
            <w:tcW w:w="1080" w:type="dxa"/>
          </w:tcPr>
          <w:p w14:paraId="35C779FC"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409F7BAF"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tcPr>
          <w:p w14:paraId="4158B8D3"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40.00</w:t>
            </w:r>
          </w:p>
        </w:tc>
        <w:tc>
          <w:tcPr>
            <w:tcW w:w="1080" w:type="dxa"/>
          </w:tcPr>
          <w:p w14:paraId="03B73EBD"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5</w:t>
            </w:r>
          </w:p>
        </w:tc>
        <w:tc>
          <w:tcPr>
            <w:tcW w:w="1080" w:type="dxa"/>
          </w:tcPr>
          <w:p w14:paraId="27EE8219"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r>
      <w:tr w:rsidR="00D96CE5" w:rsidRPr="00AE4386" w14:paraId="6167675E" w14:textId="77777777" w:rsidTr="00CF29B8">
        <w:trPr>
          <w:jc w:val="center"/>
        </w:trPr>
        <w:tc>
          <w:tcPr>
            <w:tcW w:w="1080" w:type="dxa"/>
            <w:shd w:val="clear" w:color="auto" w:fill="F2F2F2"/>
          </w:tcPr>
          <w:p w14:paraId="51D7FE01"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December</w:t>
            </w:r>
          </w:p>
        </w:tc>
        <w:tc>
          <w:tcPr>
            <w:tcW w:w="1080" w:type="dxa"/>
            <w:shd w:val="clear" w:color="auto" w:fill="F2F2F2"/>
          </w:tcPr>
          <w:p w14:paraId="6638551C"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1A2610D4"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41605FF2"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294D92F8"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c>
          <w:tcPr>
            <w:tcW w:w="1080" w:type="dxa"/>
            <w:shd w:val="clear" w:color="auto" w:fill="F2F2F2"/>
          </w:tcPr>
          <w:p w14:paraId="200BF595"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100.00</w:t>
            </w:r>
          </w:p>
        </w:tc>
        <w:tc>
          <w:tcPr>
            <w:tcW w:w="1080" w:type="dxa"/>
            <w:shd w:val="clear" w:color="auto" w:fill="F2F2F2"/>
          </w:tcPr>
          <w:p w14:paraId="05D92588"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7</w:t>
            </w:r>
          </w:p>
        </w:tc>
        <w:tc>
          <w:tcPr>
            <w:tcW w:w="1080" w:type="dxa"/>
            <w:shd w:val="clear" w:color="auto" w:fill="F2F2F2"/>
          </w:tcPr>
          <w:p w14:paraId="7681820F" w14:textId="77777777" w:rsidR="00D96CE5" w:rsidRPr="00AE4386" w:rsidRDefault="00D96CE5" w:rsidP="00CF29B8">
            <w:pPr>
              <w:jc w:val="center"/>
              <w:rPr>
                <w:rFonts w:ascii="Times New Roman" w:hAnsi="Times New Roman" w:cs="Times New Roman"/>
              </w:rPr>
            </w:pPr>
            <w:r w:rsidRPr="00AE4386">
              <w:rPr>
                <w:rFonts w:ascii="Times New Roman" w:hAnsi="Times New Roman" w:cs="Times New Roman"/>
              </w:rPr>
              <w:t>0.00</w:t>
            </w:r>
          </w:p>
        </w:tc>
      </w:tr>
    </w:tbl>
    <w:p w14:paraId="56F56CF8" w14:textId="77777777" w:rsidR="00D96CE5" w:rsidRPr="00AE4386" w:rsidRDefault="00D96CE5" w:rsidP="00D96CE5">
      <w:pPr>
        <w:jc w:val="center"/>
        <w:rPr>
          <w:rFonts w:ascii="Times New Roman" w:hAnsi="Times New Roman" w:cs="Times New Roman"/>
          <w:szCs w:val="22"/>
        </w:rPr>
      </w:pPr>
      <w:r w:rsidRPr="00AE4386">
        <w:rPr>
          <w:rFonts w:ascii="Times New Roman" w:hAnsi="Times New Roman" w:cs="Times New Roman"/>
          <w:i/>
          <w:szCs w:val="22"/>
        </w:rPr>
        <w:t>% Reproductive = % Matured + % Spawning; Peak: July (100% reproductive); Spawning season: April–July</w:t>
      </w:r>
    </w:p>
    <w:p w14:paraId="20624E8C" w14:textId="77777777" w:rsidR="00D96CE5" w:rsidRPr="00AE4386" w:rsidRDefault="00D96CE5" w:rsidP="00D96CE5">
      <w:pPr>
        <w:spacing w:before="360"/>
        <w:jc w:val="center"/>
        <w:rPr>
          <w:rFonts w:ascii="Times New Roman" w:hAnsi="Times New Roman" w:cs="Times New Roman"/>
          <w:szCs w:val="22"/>
        </w:rPr>
      </w:pPr>
      <w:r w:rsidRPr="00AE4386">
        <w:rPr>
          <w:rFonts w:ascii="Times New Roman" w:hAnsi="Times New Roman" w:cs="Times New Roman"/>
          <w:noProof/>
          <w:szCs w:val="22"/>
          <w:lang w:eastAsia="en-IN"/>
        </w:rPr>
        <w:drawing>
          <wp:inline distT="0" distB="0" distL="0" distR="0" wp14:anchorId="08902B55" wp14:editId="1DDB1906">
            <wp:extent cx="5669280" cy="352779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4_17_Maturity_RDF.png"/>
                    <pic:cNvPicPr/>
                  </pic:nvPicPr>
                  <pic:blipFill>
                    <a:blip r:embed="rId8"/>
                    <a:stretch>
                      <a:fillRect/>
                    </a:stretch>
                  </pic:blipFill>
                  <pic:spPr>
                    <a:xfrm>
                      <a:off x="0" y="0"/>
                      <a:ext cx="5669280" cy="3527798"/>
                    </a:xfrm>
                    <a:prstGeom prst="rect">
                      <a:avLst/>
                    </a:prstGeom>
                  </pic:spPr>
                </pic:pic>
              </a:graphicData>
            </a:graphic>
          </wp:inline>
        </w:drawing>
      </w:r>
    </w:p>
    <w:p w14:paraId="766C0C46" w14:textId="0EEB57BD" w:rsidR="00D96CE5" w:rsidRPr="00AE4386" w:rsidRDefault="00080555" w:rsidP="00D96CE5">
      <w:pPr>
        <w:spacing w:after="240"/>
        <w:jc w:val="center"/>
        <w:rPr>
          <w:rFonts w:ascii="Times New Roman" w:hAnsi="Times New Roman" w:cs="Times New Roman"/>
          <w:szCs w:val="22"/>
        </w:rPr>
      </w:pPr>
      <w:r w:rsidRPr="00AE4386">
        <w:rPr>
          <w:rFonts w:ascii="Times New Roman" w:hAnsi="Times New Roman" w:cs="Times New Roman"/>
          <w:b/>
          <w:szCs w:val="22"/>
        </w:rPr>
        <w:t>Figure 2</w:t>
      </w:r>
      <w:r w:rsidR="00D96CE5" w:rsidRPr="00AE4386">
        <w:rPr>
          <w:rFonts w:ascii="Times New Roman" w:hAnsi="Times New Roman" w:cs="Times New Roman"/>
          <w:b/>
          <w:szCs w:val="22"/>
        </w:rPr>
        <w:t xml:space="preserve">: Stacked bar chart showing monthly percentage distribution of gonadal maturity stages of R. </w:t>
      </w:r>
      <w:proofErr w:type="spellStart"/>
      <w:r w:rsidR="00D96CE5" w:rsidRPr="00AE4386">
        <w:rPr>
          <w:rFonts w:ascii="Times New Roman" w:hAnsi="Times New Roman" w:cs="Times New Roman"/>
          <w:b/>
          <w:szCs w:val="22"/>
        </w:rPr>
        <w:t>daniconius</w:t>
      </w:r>
      <w:proofErr w:type="spellEnd"/>
      <w:r w:rsidR="00D96CE5" w:rsidRPr="00AE4386">
        <w:rPr>
          <w:rFonts w:ascii="Times New Roman" w:hAnsi="Times New Roman" w:cs="Times New Roman"/>
          <w:b/>
          <w:szCs w:val="22"/>
        </w:rPr>
        <w:t xml:space="preserve"> (Female)</w:t>
      </w:r>
    </w:p>
    <w:p w14:paraId="2A1FDB35" w14:textId="77777777" w:rsidR="00D96CE5" w:rsidRPr="00AE4386" w:rsidRDefault="00D96CE5" w:rsidP="00080555">
      <w:pPr>
        <w:ind w:firstLine="720"/>
        <w:jc w:val="both"/>
        <w:rPr>
          <w:rFonts w:ascii="Times New Roman" w:hAnsi="Times New Roman" w:cs="Times New Roman"/>
          <w:szCs w:val="22"/>
        </w:rPr>
      </w:pPr>
      <w:r w:rsidRPr="00AE4386">
        <w:rPr>
          <w:rFonts w:ascii="Times New Roman" w:hAnsi="Times New Roman" w:cs="Times New Roman"/>
          <w:szCs w:val="22"/>
        </w:rPr>
        <w:t xml:space="preserve">In R. </w:t>
      </w:r>
      <w:proofErr w:type="spellStart"/>
      <w:r w:rsidRPr="00AE4386">
        <w:rPr>
          <w:rFonts w:ascii="Times New Roman" w:hAnsi="Times New Roman" w:cs="Times New Roman"/>
          <w:szCs w:val="22"/>
        </w:rPr>
        <w:t>daniconius</w:t>
      </w:r>
      <w:proofErr w:type="spellEnd"/>
      <w:r w:rsidRPr="00AE4386">
        <w:rPr>
          <w:rFonts w:ascii="Times New Roman" w:hAnsi="Times New Roman" w:cs="Times New Roman"/>
          <w:szCs w:val="22"/>
        </w:rPr>
        <w:t xml:space="preserve">, reproductive activity showed an earlier onset compared to P. </w:t>
      </w:r>
      <w:proofErr w:type="spellStart"/>
      <w:r w:rsidRPr="00AE4386">
        <w:rPr>
          <w:rFonts w:ascii="Times New Roman" w:hAnsi="Times New Roman" w:cs="Times New Roman"/>
          <w:szCs w:val="22"/>
        </w:rPr>
        <w:t>sophore</w:t>
      </w:r>
      <w:proofErr w:type="spellEnd"/>
      <w:r w:rsidRPr="00AE4386">
        <w:rPr>
          <w:rFonts w:ascii="Times New Roman" w:hAnsi="Times New Roman" w:cs="Times New Roman"/>
          <w:szCs w:val="22"/>
        </w:rPr>
        <w:t xml:space="preserve">. Matured individuals appeared as early as March (50%), and spawning-condition fish were present from April (66.67%) through August (14.29%). The highest reproductive activity was in July (100%), followed by May and June (85.71% each). The spawning season of R. </w:t>
      </w:r>
      <w:proofErr w:type="spellStart"/>
      <w:r w:rsidRPr="00AE4386">
        <w:rPr>
          <w:rFonts w:ascii="Times New Roman" w:hAnsi="Times New Roman" w:cs="Times New Roman"/>
          <w:szCs w:val="22"/>
        </w:rPr>
        <w:t>daniconius</w:t>
      </w:r>
      <w:proofErr w:type="spellEnd"/>
      <w:r w:rsidRPr="00AE4386">
        <w:rPr>
          <w:rFonts w:ascii="Times New Roman" w:hAnsi="Times New Roman" w:cs="Times New Roman"/>
          <w:szCs w:val="22"/>
        </w:rPr>
        <w:t xml:space="preserve"> was identified as </w:t>
      </w:r>
      <w:r w:rsidRPr="00AE4386">
        <w:rPr>
          <w:rFonts w:ascii="Times New Roman" w:hAnsi="Times New Roman" w:cs="Times New Roman"/>
          <w:szCs w:val="22"/>
        </w:rPr>
        <w:lastRenderedPageBreak/>
        <w:t xml:space="preserve">April–July, which is approximately one month earlier than P. </w:t>
      </w:r>
      <w:proofErr w:type="spellStart"/>
      <w:r w:rsidRPr="00AE4386">
        <w:rPr>
          <w:rFonts w:ascii="Times New Roman" w:hAnsi="Times New Roman" w:cs="Times New Roman"/>
          <w:szCs w:val="22"/>
        </w:rPr>
        <w:t>sophore</w:t>
      </w:r>
      <w:proofErr w:type="spellEnd"/>
      <w:r w:rsidRPr="00AE4386">
        <w:rPr>
          <w:rFonts w:ascii="Times New Roman" w:hAnsi="Times New Roman" w:cs="Times New Roman"/>
          <w:szCs w:val="22"/>
        </w:rPr>
        <w:t xml:space="preserve"> (June–August). This temporal partitioning of spawning activity between the two sympatric species may represent an adaptive mechanism to reduce inter-specific competition for spawning habitat, food resources for early larvae, and nursery grounds (Lowe-McConnell, 1987; Ross, 1986).</w:t>
      </w:r>
    </w:p>
    <w:p w14:paraId="23294ACF" w14:textId="77777777" w:rsidR="00A3717B" w:rsidRPr="00AE4386" w:rsidRDefault="00000000">
      <w:r w:rsidRPr="00AE4386">
        <w:rPr>
          <w:rFonts w:ascii="Times New Roman" w:hAnsi="Times New Roman"/>
          <w:sz w:val="24"/>
        </w:rPr>
        <w:t xml:space="preserve">The earlier reproductive onset in R. </w:t>
      </w:r>
      <w:proofErr w:type="spellStart"/>
      <w:r w:rsidRPr="00AE4386">
        <w:rPr>
          <w:rFonts w:ascii="Times New Roman" w:hAnsi="Times New Roman"/>
          <w:sz w:val="24"/>
        </w:rPr>
        <w:t>daniconius</w:t>
      </w:r>
      <w:proofErr w:type="spellEnd"/>
      <w:r w:rsidRPr="00AE4386">
        <w:rPr>
          <w:rFonts w:ascii="Times New Roman" w:hAnsi="Times New Roman"/>
          <w:sz w:val="24"/>
        </w:rPr>
        <w:t xml:space="preserve"> is also supported by earlier observations that female predominance in July-August coincides with the breeding season of this species, while the temporal separation from P. </w:t>
      </w:r>
      <w:proofErr w:type="spellStart"/>
      <w:r w:rsidRPr="00AE4386">
        <w:rPr>
          <w:rFonts w:ascii="Times New Roman" w:hAnsi="Times New Roman"/>
          <w:sz w:val="24"/>
        </w:rPr>
        <w:t>sophore</w:t>
      </w:r>
      <w:proofErr w:type="spellEnd"/>
      <w:r w:rsidRPr="00AE4386">
        <w:rPr>
          <w:rFonts w:ascii="Times New Roman" w:hAnsi="Times New Roman"/>
          <w:sz w:val="24"/>
        </w:rPr>
        <w:t xml:space="preserve"> may reduce overlap in spawning sites and early-life resource use in sympatric fish assemblages (Nagendran et al., 1981; Ross, 1986).</w:t>
      </w:r>
    </w:p>
    <w:p w14:paraId="0227B6C7" w14:textId="77777777" w:rsidR="00EF79BD" w:rsidRPr="00AE4386" w:rsidRDefault="00236A16" w:rsidP="00EF79BD">
      <w:pPr>
        <w:pStyle w:val="Heading2"/>
        <w:rPr>
          <w:rFonts w:ascii="Times New Roman" w:hAnsi="Times New Roman" w:cs="Times New Roman"/>
          <w:sz w:val="22"/>
          <w:szCs w:val="22"/>
        </w:rPr>
      </w:pPr>
      <w:r w:rsidRPr="00AE4386">
        <w:rPr>
          <w:rFonts w:ascii="Times New Roman" w:hAnsi="Times New Roman" w:cs="Times New Roman"/>
          <w:sz w:val="22"/>
          <w:szCs w:val="22"/>
        </w:rPr>
        <w:t xml:space="preserve">3.3 </w:t>
      </w:r>
      <w:r w:rsidR="00EF79BD" w:rsidRPr="00AE4386">
        <w:rPr>
          <w:rFonts w:ascii="Times New Roman" w:hAnsi="Times New Roman" w:cs="Times New Roman"/>
          <w:sz w:val="22"/>
          <w:szCs w:val="22"/>
        </w:rPr>
        <w:t>Histological Observations of Gonadal Development</w:t>
      </w:r>
    </w:p>
    <w:p w14:paraId="489BA006" w14:textId="14974276" w:rsidR="00EF79BD" w:rsidRPr="00AE4386" w:rsidRDefault="00EF79BD" w:rsidP="00080555">
      <w:pPr>
        <w:ind w:firstLine="720"/>
        <w:jc w:val="both"/>
        <w:rPr>
          <w:rFonts w:ascii="Times New Roman" w:hAnsi="Times New Roman" w:cs="Times New Roman"/>
          <w:szCs w:val="22"/>
        </w:rPr>
      </w:pPr>
      <w:r w:rsidRPr="00AE4386">
        <w:rPr>
          <w:rFonts w:ascii="Times New Roman" w:hAnsi="Times New Roman" w:cs="Times New Roman"/>
          <w:szCs w:val="22"/>
        </w:rPr>
        <w:t>Histological examination of the gonads using standard haematoxylin and eosin (H&amp;E) staining technique provided detailed cellular-level confirmation of the macroscopic maturity staging and offered insights into the dynamics of gametogenesis in both species. The histological features observed at each stage of gonadal development are described below and sum</w:t>
      </w:r>
      <w:r w:rsidR="00236A16" w:rsidRPr="00AE4386">
        <w:rPr>
          <w:rFonts w:ascii="Times New Roman" w:hAnsi="Times New Roman" w:cs="Times New Roman"/>
          <w:szCs w:val="22"/>
        </w:rPr>
        <w:t xml:space="preserve">marized in Tables </w:t>
      </w:r>
      <w:r w:rsidR="004374BA">
        <w:rPr>
          <w:rFonts w:ascii="Times New Roman" w:hAnsi="Times New Roman" w:cs="Times New Roman"/>
          <w:szCs w:val="22"/>
        </w:rPr>
        <w:t>3</w:t>
      </w:r>
      <w:r w:rsidR="00236A16" w:rsidRPr="00AE4386">
        <w:rPr>
          <w:rFonts w:ascii="Times New Roman" w:hAnsi="Times New Roman" w:cs="Times New Roman"/>
          <w:szCs w:val="22"/>
        </w:rPr>
        <w:t xml:space="preserve"> and 4.</w:t>
      </w:r>
    </w:p>
    <w:p w14:paraId="1556D4B6" w14:textId="77777777" w:rsidR="00A3717B" w:rsidRPr="00AE4386" w:rsidRDefault="00000000">
      <w:r w:rsidRPr="00AE4386">
        <w:rPr>
          <w:rFonts w:ascii="Times New Roman" w:hAnsi="Times New Roman"/>
          <w:sz w:val="24"/>
        </w:rPr>
        <w:t>This agreement between gross maturity stages and cellular structure is important because ovarian and testicular histology provides direct evidence of gametogenic progression that cannot be fully resolved by external gonad appearance alone (West, 1990; Murua &amp; Saborido-Rey, 2003; Parenti &amp; Grier, 2004).</w:t>
      </w:r>
    </w:p>
    <w:p w14:paraId="3F2AFC05" w14:textId="77777777" w:rsidR="00EF79BD" w:rsidRPr="00AE4386" w:rsidRDefault="00EF79BD" w:rsidP="00EF79BD">
      <w:pPr>
        <w:pStyle w:val="Heading3"/>
        <w:jc w:val="left"/>
        <w:rPr>
          <w:rFonts w:ascii="Times New Roman" w:hAnsi="Times New Roman" w:cs="Times New Roman"/>
          <w:sz w:val="22"/>
        </w:rPr>
      </w:pPr>
      <w:r w:rsidRPr="00AE4386">
        <w:rPr>
          <w:rFonts w:ascii="Times New Roman" w:hAnsi="Times New Roman" w:cs="Times New Roman"/>
          <w:sz w:val="22"/>
        </w:rPr>
        <w:t xml:space="preserve"> Female Ovarian Histology</w:t>
      </w:r>
    </w:p>
    <w:p w14:paraId="6F13249B" w14:textId="0D012413" w:rsidR="00EF79BD" w:rsidRPr="00AE4386" w:rsidRDefault="00236A16" w:rsidP="00EF79BD">
      <w:pPr>
        <w:spacing w:before="240"/>
        <w:jc w:val="center"/>
        <w:rPr>
          <w:rFonts w:ascii="Times New Roman" w:hAnsi="Times New Roman" w:cs="Times New Roman"/>
          <w:szCs w:val="22"/>
        </w:rPr>
      </w:pPr>
      <w:r w:rsidRPr="00AE4386">
        <w:rPr>
          <w:rFonts w:ascii="Times New Roman" w:hAnsi="Times New Roman" w:cs="Times New Roman"/>
          <w:b/>
          <w:szCs w:val="22"/>
        </w:rPr>
        <w:t>Table 3.</w:t>
      </w:r>
      <w:r w:rsidR="00EF79BD" w:rsidRPr="00AE4386">
        <w:rPr>
          <w:rFonts w:ascii="Times New Roman" w:hAnsi="Times New Roman" w:cs="Times New Roman"/>
          <w:b/>
          <w:szCs w:val="22"/>
        </w:rPr>
        <w:t xml:space="preserve"> Summary of histological features of female gonadal maturity stages in P. </w:t>
      </w:r>
      <w:proofErr w:type="spellStart"/>
      <w:r w:rsidR="00EF79BD" w:rsidRPr="00AE4386">
        <w:rPr>
          <w:rFonts w:ascii="Times New Roman" w:hAnsi="Times New Roman" w:cs="Times New Roman"/>
          <w:b/>
          <w:szCs w:val="22"/>
        </w:rPr>
        <w:t>sophore</w:t>
      </w:r>
      <w:proofErr w:type="spellEnd"/>
      <w:r w:rsidR="00EF79BD" w:rsidRPr="00AE4386">
        <w:rPr>
          <w:rFonts w:ascii="Times New Roman" w:hAnsi="Times New Roman" w:cs="Times New Roman"/>
          <w:b/>
          <w:szCs w:val="22"/>
        </w:rPr>
        <w:t xml:space="preserve"> and R. </w:t>
      </w:r>
      <w:proofErr w:type="spellStart"/>
      <w:r w:rsidR="00EF79BD" w:rsidRPr="00AE4386">
        <w:rPr>
          <w:rFonts w:ascii="Times New Roman" w:hAnsi="Times New Roman" w:cs="Times New Roman"/>
          <w:b/>
          <w:szCs w:val="22"/>
        </w:rPr>
        <w:t>daniconius</w:t>
      </w:r>
      <w:proofErr w:type="spellEnd"/>
    </w:p>
    <w:tbl>
      <w:tblPr>
        <w:tblStyle w:val="TableGrid"/>
        <w:tblW w:w="0" w:type="auto"/>
        <w:jc w:val="center"/>
        <w:tblLook w:val="04A0" w:firstRow="1" w:lastRow="0" w:firstColumn="1" w:lastColumn="0" w:noHBand="0" w:noVBand="1"/>
      </w:tblPr>
      <w:tblGrid>
        <w:gridCol w:w="1728"/>
        <w:gridCol w:w="1728"/>
        <w:gridCol w:w="1728"/>
        <w:gridCol w:w="1728"/>
        <w:gridCol w:w="1728"/>
      </w:tblGrid>
      <w:tr w:rsidR="00EF79BD" w:rsidRPr="00AE4386" w14:paraId="486FB37D" w14:textId="77777777" w:rsidTr="007276CF">
        <w:trPr>
          <w:jc w:val="center"/>
        </w:trPr>
        <w:tc>
          <w:tcPr>
            <w:tcW w:w="1728" w:type="dxa"/>
            <w:shd w:val="clear" w:color="auto" w:fill="D5E8F0"/>
          </w:tcPr>
          <w:p w14:paraId="4C703183"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b/>
              </w:rPr>
              <w:t>Stage</w:t>
            </w:r>
          </w:p>
        </w:tc>
        <w:tc>
          <w:tcPr>
            <w:tcW w:w="1728" w:type="dxa"/>
            <w:shd w:val="clear" w:color="auto" w:fill="D5E8F0"/>
          </w:tcPr>
          <w:p w14:paraId="07285B51"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b/>
              </w:rPr>
              <w:t>Period</w:t>
            </w:r>
          </w:p>
        </w:tc>
        <w:tc>
          <w:tcPr>
            <w:tcW w:w="1728" w:type="dxa"/>
            <w:shd w:val="clear" w:color="auto" w:fill="D5E8F0"/>
          </w:tcPr>
          <w:p w14:paraId="3243D50B"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b/>
              </w:rPr>
              <w:t>Macroscopic</w:t>
            </w:r>
          </w:p>
        </w:tc>
        <w:tc>
          <w:tcPr>
            <w:tcW w:w="1728" w:type="dxa"/>
            <w:shd w:val="clear" w:color="auto" w:fill="D5E8F0"/>
          </w:tcPr>
          <w:p w14:paraId="6F50DDB0"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b/>
              </w:rPr>
              <w:t>Histological</w:t>
            </w:r>
          </w:p>
        </w:tc>
        <w:tc>
          <w:tcPr>
            <w:tcW w:w="1728" w:type="dxa"/>
            <w:shd w:val="clear" w:color="auto" w:fill="D5E8F0"/>
          </w:tcPr>
          <w:p w14:paraId="0C5588D9"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b/>
              </w:rPr>
              <w:t>GSI Range</w:t>
            </w:r>
          </w:p>
        </w:tc>
      </w:tr>
      <w:tr w:rsidR="00EF79BD" w:rsidRPr="00AE4386" w14:paraId="69CC014B" w14:textId="77777777" w:rsidTr="007276CF">
        <w:trPr>
          <w:jc w:val="center"/>
        </w:trPr>
        <w:tc>
          <w:tcPr>
            <w:tcW w:w="1728" w:type="dxa"/>
          </w:tcPr>
          <w:p w14:paraId="0045A745"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I</w:t>
            </w:r>
          </w:p>
        </w:tc>
        <w:tc>
          <w:tcPr>
            <w:tcW w:w="1728" w:type="dxa"/>
          </w:tcPr>
          <w:p w14:paraId="0B2EA1EA"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Immature</w:t>
            </w:r>
          </w:p>
        </w:tc>
        <w:tc>
          <w:tcPr>
            <w:tcW w:w="1728" w:type="dxa"/>
          </w:tcPr>
          <w:p w14:paraId="1706490E"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Small, translucent, &lt;1/4 cavity</w:t>
            </w:r>
          </w:p>
        </w:tc>
        <w:tc>
          <w:tcPr>
            <w:tcW w:w="1728" w:type="dxa"/>
          </w:tcPr>
          <w:p w14:paraId="672D6508"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Oogonia, chromatin nucleolus</w:t>
            </w:r>
          </w:p>
        </w:tc>
        <w:tc>
          <w:tcPr>
            <w:tcW w:w="1728" w:type="dxa"/>
          </w:tcPr>
          <w:p w14:paraId="5389D562"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0.5–1.5%</w:t>
            </w:r>
          </w:p>
        </w:tc>
      </w:tr>
      <w:tr w:rsidR="00EF79BD" w:rsidRPr="00AE4386" w14:paraId="19ED1649" w14:textId="77777777" w:rsidTr="007276CF">
        <w:trPr>
          <w:jc w:val="center"/>
        </w:trPr>
        <w:tc>
          <w:tcPr>
            <w:tcW w:w="1728" w:type="dxa"/>
            <w:shd w:val="clear" w:color="auto" w:fill="F2F2F2"/>
          </w:tcPr>
          <w:p w14:paraId="525A7B47"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II</w:t>
            </w:r>
          </w:p>
        </w:tc>
        <w:tc>
          <w:tcPr>
            <w:tcW w:w="1728" w:type="dxa"/>
            <w:shd w:val="clear" w:color="auto" w:fill="F2F2F2"/>
          </w:tcPr>
          <w:p w14:paraId="7438353F"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Previtellogenesis</w:t>
            </w:r>
          </w:p>
        </w:tc>
        <w:tc>
          <w:tcPr>
            <w:tcW w:w="1728" w:type="dxa"/>
            <w:shd w:val="clear" w:color="auto" w:fill="F2F2F2"/>
          </w:tcPr>
          <w:p w14:paraId="2B5FA5A7"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Larger, pinkish, ~1/3 cavity</w:t>
            </w:r>
          </w:p>
        </w:tc>
        <w:tc>
          <w:tcPr>
            <w:tcW w:w="1728" w:type="dxa"/>
            <w:shd w:val="clear" w:color="auto" w:fill="F2F2F2"/>
          </w:tcPr>
          <w:p w14:paraId="0F62C393" w14:textId="77777777" w:rsidR="00EF79BD" w:rsidRPr="00AE4386" w:rsidRDefault="00EF79BD" w:rsidP="007276CF">
            <w:pPr>
              <w:jc w:val="center"/>
              <w:rPr>
                <w:rFonts w:ascii="Times New Roman" w:hAnsi="Times New Roman" w:cs="Times New Roman"/>
              </w:rPr>
            </w:pPr>
            <w:proofErr w:type="spellStart"/>
            <w:r w:rsidRPr="00AE4386">
              <w:rPr>
                <w:rFonts w:ascii="Times New Roman" w:hAnsi="Times New Roman" w:cs="Times New Roman"/>
              </w:rPr>
              <w:t>Perinucleolus</w:t>
            </w:r>
            <w:proofErr w:type="spellEnd"/>
            <w:r w:rsidRPr="00AE4386">
              <w:rPr>
                <w:rFonts w:ascii="Times New Roman" w:hAnsi="Times New Roman" w:cs="Times New Roman"/>
              </w:rPr>
              <w:t>, follicle forming</w:t>
            </w:r>
          </w:p>
        </w:tc>
        <w:tc>
          <w:tcPr>
            <w:tcW w:w="1728" w:type="dxa"/>
            <w:shd w:val="clear" w:color="auto" w:fill="F2F2F2"/>
          </w:tcPr>
          <w:p w14:paraId="5AF591F4"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1.5–3.0%</w:t>
            </w:r>
          </w:p>
        </w:tc>
      </w:tr>
      <w:tr w:rsidR="00EF79BD" w:rsidRPr="00AE4386" w14:paraId="5CAC20BB" w14:textId="77777777" w:rsidTr="007276CF">
        <w:trPr>
          <w:jc w:val="center"/>
        </w:trPr>
        <w:tc>
          <w:tcPr>
            <w:tcW w:w="1728" w:type="dxa"/>
          </w:tcPr>
          <w:p w14:paraId="377C9D6D"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III</w:t>
            </w:r>
          </w:p>
        </w:tc>
        <w:tc>
          <w:tcPr>
            <w:tcW w:w="1728" w:type="dxa"/>
          </w:tcPr>
          <w:p w14:paraId="42B02D33"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Vitellogenesis</w:t>
            </w:r>
          </w:p>
        </w:tc>
        <w:tc>
          <w:tcPr>
            <w:tcW w:w="1728" w:type="dxa"/>
          </w:tcPr>
          <w:p w14:paraId="7BC2C5C1"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Yellow, 1/3–2/3 cavity</w:t>
            </w:r>
          </w:p>
        </w:tc>
        <w:tc>
          <w:tcPr>
            <w:tcW w:w="1728" w:type="dxa"/>
          </w:tcPr>
          <w:p w14:paraId="7A298135"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Yolk vesicles, cortical alveoli</w:t>
            </w:r>
          </w:p>
        </w:tc>
        <w:tc>
          <w:tcPr>
            <w:tcW w:w="1728" w:type="dxa"/>
          </w:tcPr>
          <w:p w14:paraId="254ED773"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3.0–8.0%</w:t>
            </w:r>
          </w:p>
        </w:tc>
      </w:tr>
      <w:tr w:rsidR="00EF79BD" w:rsidRPr="00AE4386" w14:paraId="5D0B06EE" w14:textId="77777777" w:rsidTr="007276CF">
        <w:trPr>
          <w:jc w:val="center"/>
        </w:trPr>
        <w:tc>
          <w:tcPr>
            <w:tcW w:w="1728" w:type="dxa"/>
            <w:shd w:val="clear" w:color="auto" w:fill="F2F2F2"/>
          </w:tcPr>
          <w:p w14:paraId="52708A7D"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IV</w:t>
            </w:r>
          </w:p>
        </w:tc>
        <w:tc>
          <w:tcPr>
            <w:tcW w:w="1728" w:type="dxa"/>
            <w:shd w:val="clear" w:color="auto" w:fill="F2F2F2"/>
          </w:tcPr>
          <w:p w14:paraId="427DAE1C"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Maturation</w:t>
            </w:r>
          </w:p>
        </w:tc>
        <w:tc>
          <w:tcPr>
            <w:tcW w:w="1728" w:type="dxa"/>
            <w:shd w:val="clear" w:color="auto" w:fill="F2F2F2"/>
          </w:tcPr>
          <w:p w14:paraId="6A8D33B3"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Turgid, fills cavity</w:t>
            </w:r>
          </w:p>
        </w:tc>
        <w:tc>
          <w:tcPr>
            <w:tcW w:w="1728" w:type="dxa"/>
            <w:shd w:val="clear" w:color="auto" w:fill="F2F2F2"/>
          </w:tcPr>
          <w:p w14:paraId="46053776"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Yolk-packed, GVBD, hydration</w:t>
            </w:r>
          </w:p>
        </w:tc>
        <w:tc>
          <w:tcPr>
            <w:tcW w:w="1728" w:type="dxa"/>
            <w:shd w:val="clear" w:color="auto" w:fill="F2F2F2"/>
          </w:tcPr>
          <w:p w14:paraId="512D971D"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8.0–25.0%</w:t>
            </w:r>
          </w:p>
        </w:tc>
      </w:tr>
      <w:tr w:rsidR="00EF79BD" w:rsidRPr="00AE4386" w14:paraId="56ACC956" w14:textId="77777777" w:rsidTr="007276CF">
        <w:trPr>
          <w:jc w:val="center"/>
        </w:trPr>
        <w:tc>
          <w:tcPr>
            <w:tcW w:w="1728" w:type="dxa"/>
          </w:tcPr>
          <w:p w14:paraId="0B15B8AC"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V</w:t>
            </w:r>
          </w:p>
        </w:tc>
        <w:tc>
          <w:tcPr>
            <w:tcW w:w="1728" w:type="dxa"/>
          </w:tcPr>
          <w:p w14:paraId="5B5A5AA7"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Spent</w:t>
            </w:r>
          </w:p>
        </w:tc>
        <w:tc>
          <w:tcPr>
            <w:tcW w:w="1728" w:type="dxa"/>
          </w:tcPr>
          <w:p w14:paraId="34548D0A"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Flaccid, residual ova</w:t>
            </w:r>
          </w:p>
        </w:tc>
        <w:tc>
          <w:tcPr>
            <w:tcW w:w="1728" w:type="dxa"/>
          </w:tcPr>
          <w:p w14:paraId="2AB38057"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Atretic follicles, POFs</w:t>
            </w:r>
          </w:p>
        </w:tc>
        <w:tc>
          <w:tcPr>
            <w:tcW w:w="1728" w:type="dxa"/>
          </w:tcPr>
          <w:p w14:paraId="434F5CED"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0.3–1.0%</w:t>
            </w:r>
          </w:p>
        </w:tc>
      </w:tr>
    </w:tbl>
    <w:p w14:paraId="3DB4CEE5" w14:textId="77777777" w:rsidR="00EF79BD" w:rsidRPr="00AE4386" w:rsidRDefault="00EF79BD" w:rsidP="00EF79BD">
      <w:pPr>
        <w:ind w:firstLine="720"/>
        <w:rPr>
          <w:rFonts w:ascii="Times New Roman" w:hAnsi="Times New Roman" w:cs="Times New Roman"/>
          <w:szCs w:val="22"/>
        </w:rPr>
      </w:pPr>
    </w:p>
    <w:p w14:paraId="5C71FB2F" w14:textId="77777777" w:rsidR="00EF79BD" w:rsidRPr="00AE4386" w:rsidRDefault="00EF79BD" w:rsidP="00A37D30">
      <w:pPr>
        <w:ind w:firstLine="720"/>
        <w:jc w:val="both"/>
        <w:rPr>
          <w:rFonts w:ascii="Times New Roman" w:hAnsi="Times New Roman" w:cs="Times New Roman"/>
          <w:szCs w:val="22"/>
        </w:rPr>
      </w:pPr>
      <w:r w:rsidRPr="00AE4386">
        <w:rPr>
          <w:rFonts w:ascii="Times New Roman" w:hAnsi="Times New Roman" w:cs="Times New Roman"/>
          <w:szCs w:val="22"/>
        </w:rPr>
        <w:t xml:space="preserve">Stage I (Immature/Resting): The ovaries were </w:t>
      </w:r>
      <w:r w:rsidR="00412601" w:rsidRPr="00AE4386">
        <w:rPr>
          <w:rFonts w:ascii="Times New Roman" w:hAnsi="Times New Roman" w:cs="Times New Roman"/>
          <w:szCs w:val="22"/>
        </w:rPr>
        <w:t xml:space="preserve">thin, elongated and translucent, occupying less </w:t>
      </w:r>
      <w:r w:rsidR="00663EAA" w:rsidRPr="00AE4386">
        <w:rPr>
          <w:rFonts w:ascii="Times New Roman" w:hAnsi="Times New Roman" w:cs="Times New Roman"/>
          <w:szCs w:val="22"/>
        </w:rPr>
        <w:t xml:space="preserve">than one-fourth of the body cavity. </w:t>
      </w:r>
      <w:r w:rsidR="0008147A" w:rsidRPr="00AE4386">
        <w:rPr>
          <w:rFonts w:ascii="Times New Roman" w:hAnsi="Times New Roman" w:cs="Times New Roman"/>
          <w:szCs w:val="22"/>
        </w:rPr>
        <w:t>Morphological</w:t>
      </w:r>
      <w:r w:rsidRPr="00AE4386">
        <w:rPr>
          <w:rFonts w:ascii="Times New Roman" w:hAnsi="Times New Roman" w:cs="Times New Roman"/>
          <w:szCs w:val="22"/>
        </w:rPr>
        <w:t xml:space="preserve"> sections revealed predominantly oogonia and chromatin nucleolus stage oocytes embedded in abundant interstitial tissue. This stage was observed predominantly during November–February in both species, corresponding to the gonadal quiescent period following the previous spawning season. The histological appearance of Stage I ovaries is consistent with descriptions provided by West (1990) and Murua et al. (2003) for resting-phase teleost ovaries.</w:t>
      </w:r>
    </w:p>
    <w:p w14:paraId="1BBE2BAB" w14:textId="77777777" w:rsidR="00A3717B" w:rsidRPr="00AE4386" w:rsidRDefault="00000000">
      <w:r w:rsidRPr="00AE4386">
        <w:rPr>
          <w:rFonts w:ascii="Times New Roman" w:hAnsi="Times New Roman"/>
          <w:sz w:val="24"/>
        </w:rPr>
        <w:lastRenderedPageBreak/>
        <w:t>The predominance of oogonia and chromatin-nucleolus oocytes in the resting phase agrees with the general teleost pattern in which early oocytes and germline cysts are retained in the ovary before recruitment into active follicular growth (</w:t>
      </w:r>
      <w:proofErr w:type="spellStart"/>
      <w:r w:rsidRPr="00AE4386">
        <w:rPr>
          <w:rFonts w:ascii="Times New Roman" w:hAnsi="Times New Roman"/>
          <w:sz w:val="24"/>
        </w:rPr>
        <w:t>Lubzens</w:t>
      </w:r>
      <w:proofErr w:type="spellEnd"/>
      <w:r w:rsidRPr="00AE4386">
        <w:rPr>
          <w:rFonts w:ascii="Times New Roman" w:hAnsi="Times New Roman"/>
          <w:sz w:val="24"/>
        </w:rPr>
        <w:t xml:space="preserve"> et al., 2010; Patiño &amp; Sullivan, 2002).</w:t>
      </w:r>
    </w:p>
    <w:p w14:paraId="699E00AE" w14:textId="77777777" w:rsidR="00EF79BD" w:rsidRPr="00AE4386" w:rsidRDefault="00EF79BD" w:rsidP="00A37D30">
      <w:pPr>
        <w:ind w:firstLine="720"/>
        <w:jc w:val="both"/>
        <w:rPr>
          <w:rFonts w:ascii="Times New Roman" w:hAnsi="Times New Roman" w:cs="Times New Roman"/>
          <w:szCs w:val="22"/>
        </w:rPr>
      </w:pPr>
      <w:r w:rsidRPr="00AE4386">
        <w:rPr>
          <w:rFonts w:ascii="Times New Roman" w:hAnsi="Times New Roman" w:cs="Times New Roman"/>
          <w:szCs w:val="22"/>
        </w:rPr>
        <w:t xml:space="preserve">Stage II (Previtellogenesis/Maturing): Ovaries were slightly enlarged, pinkish in colour, and occupied approximately one-third of the body cavity. Histologically, </w:t>
      </w:r>
      <w:proofErr w:type="spellStart"/>
      <w:r w:rsidRPr="00AE4386">
        <w:rPr>
          <w:rFonts w:ascii="Times New Roman" w:hAnsi="Times New Roman" w:cs="Times New Roman"/>
          <w:szCs w:val="22"/>
        </w:rPr>
        <w:t>perinucleolus</w:t>
      </w:r>
      <w:proofErr w:type="spellEnd"/>
      <w:r w:rsidRPr="00AE4386">
        <w:rPr>
          <w:rFonts w:ascii="Times New Roman" w:hAnsi="Times New Roman" w:cs="Times New Roman"/>
          <w:szCs w:val="22"/>
        </w:rPr>
        <w:t xml:space="preserve"> stage oocytes dominated, characterized by large, round nuclei with multiple nucleoli arranged at the nucl</w:t>
      </w:r>
      <w:r w:rsidR="0008147A" w:rsidRPr="00AE4386">
        <w:rPr>
          <w:rFonts w:ascii="Times New Roman" w:hAnsi="Times New Roman" w:cs="Times New Roman"/>
          <w:szCs w:val="22"/>
        </w:rPr>
        <w:t>ear periphery</w:t>
      </w:r>
      <w:r w:rsidRPr="00AE4386">
        <w:rPr>
          <w:rFonts w:ascii="Times New Roman" w:hAnsi="Times New Roman" w:cs="Times New Roman"/>
          <w:szCs w:val="22"/>
        </w:rPr>
        <w:t xml:space="preserve">. This stage was common during February–April in P. </w:t>
      </w:r>
      <w:proofErr w:type="spellStart"/>
      <w:r w:rsidRPr="00AE4386">
        <w:rPr>
          <w:rFonts w:ascii="Times New Roman" w:hAnsi="Times New Roman" w:cs="Times New Roman"/>
          <w:szCs w:val="22"/>
        </w:rPr>
        <w:t>sophore</w:t>
      </w:r>
      <w:proofErr w:type="spellEnd"/>
      <w:r w:rsidRPr="00AE4386">
        <w:rPr>
          <w:rFonts w:ascii="Times New Roman" w:hAnsi="Times New Roman" w:cs="Times New Roman"/>
          <w:szCs w:val="22"/>
        </w:rPr>
        <w:t xml:space="preserve"> and February–March in R. </w:t>
      </w:r>
      <w:proofErr w:type="spellStart"/>
      <w:r w:rsidRPr="00AE4386">
        <w:rPr>
          <w:rFonts w:ascii="Times New Roman" w:hAnsi="Times New Roman" w:cs="Times New Roman"/>
          <w:szCs w:val="22"/>
        </w:rPr>
        <w:t>daniconius</w:t>
      </w:r>
      <w:proofErr w:type="spellEnd"/>
      <w:r w:rsidRPr="00AE4386">
        <w:rPr>
          <w:rFonts w:ascii="Times New Roman" w:hAnsi="Times New Roman" w:cs="Times New Roman"/>
          <w:szCs w:val="22"/>
        </w:rPr>
        <w:t>.</w:t>
      </w:r>
    </w:p>
    <w:p w14:paraId="6D8D10F0" w14:textId="77777777" w:rsidR="00A3717B" w:rsidRPr="00AE4386" w:rsidRDefault="00000000">
      <w:r w:rsidRPr="00AE4386">
        <w:rPr>
          <w:rFonts w:ascii="Times New Roman" w:hAnsi="Times New Roman"/>
          <w:sz w:val="24"/>
        </w:rPr>
        <w:t xml:space="preserve">The </w:t>
      </w:r>
      <w:proofErr w:type="spellStart"/>
      <w:r w:rsidRPr="00AE4386">
        <w:rPr>
          <w:rFonts w:ascii="Times New Roman" w:hAnsi="Times New Roman"/>
          <w:sz w:val="24"/>
        </w:rPr>
        <w:t>perinucleolar</w:t>
      </w:r>
      <w:proofErr w:type="spellEnd"/>
      <w:r w:rsidRPr="00AE4386">
        <w:rPr>
          <w:rFonts w:ascii="Times New Roman" w:hAnsi="Times New Roman"/>
          <w:sz w:val="24"/>
        </w:rPr>
        <w:t xml:space="preserve"> condition observed at this stage indicates early follicular development before major yolk incorporation, which is a typical preparatory phase preceding vitellogenesis in teleost ovaries (</w:t>
      </w:r>
      <w:proofErr w:type="spellStart"/>
      <w:r w:rsidRPr="00AE4386">
        <w:rPr>
          <w:rFonts w:ascii="Times New Roman" w:hAnsi="Times New Roman"/>
          <w:sz w:val="24"/>
        </w:rPr>
        <w:t>Lubzens</w:t>
      </w:r>
      <w:proofErr w:type="spellEnd"/>
      <w:r w:rsidRPr="00AE4386">
        <w:rPr>
          <w:rFonts w:ascii="Times New Roman" w:hAnsi="Times New Roman"/>
          <w:sz w:val="24"/>
        </w:rPr>
        <w:t xml:space="preserve"> et al., 2010; Patiño &amp; Sullivan, 2002).</w:t>
      </w:r>
    </w:p>
    <w:p w14:paraId="57CFBF72" w14:textId="77777777" w:rsidR="00EF79BD" w:rsidRPr="00AE4386" w:rsidRDefault="00EF79BD" w:rsidP="00A37D30">
      <w:pPr>
        <w:ind w:firstLine="720"/>
        <w:jc w:val="both"/>
        <w:rPr>
          <w:rFonts w:ascii="Times New Roman" w:hAnsi="Times New Roman" w:cs="Times New Roman"/>
          <w:szCs w:val="22"/>
        </w:rPr>
      </w:pPr>
      <w:r w:rsidRPr="00AE4386">
        <w:rPr>
          <w:rFonts w:ascii="Times New Roman" w:hAnsi="Times New Roman" w:cs="Times New Roman"/>
          <w:szCs w:val="22"/>
        </w:rPr>
        <w:t xml:space="preserve">Stage III (Vitellogenesis): This was the most prolonged and metabolically active stage of ovarian development. Ovaries occupied one-third to two-thirds of the body cavity and appeared yellowish due to the accumulation of yolk material. Histologically, three sub-stages were distinguishable: early vitellogenesis (yolk vesicle stage with cortical alveoli prominent in the peripheral ooplasm), mid-vitellogenesis (yolk granule stage with proteinaceous yolk granules filling the central ooplasm), and late vitellogenesis (yolk-packed oocytes with oil droplets and fully organized zona radiata). This stage was prevalent from April to August, with the highest proportion observed during May–August in P. </w:t>
      </w:r>
      <w:proofErr w:type="spellStart"/>
      <w:r w:rsidRPr="00AE4386">
        <w:rPr>
          <w:rFonts w:ascii="Times New Roman" w:hAnsi="Times New Roman" w:cs="Times New Roman"/>
          <w:szCs w:val="22"/>
        </w:rPr>
        <w:t>sophore</w:t>
      </w:r>
      <w:proofErr w:type="spellEnd"/>
      <w:r w:rsidRPr="00AE4386">
        <w:rPr>
          <w:rFonts w:ascii="Times New Roman" w:hAnsi="Times New Roman" w:cs="Times New Roman"/>
          <w:szCs w:val="22"/>
        </w:rPr>
        <w:t xml:space="preserve"> and March–July in R. </w:t>
      </w:r>
      <w:proofErr w:type="spellStart"/>
      <w:r w:rsidRPr="00AE4386">
        <w:rPr>
          <w:rFonts w:ascii="Times New Roman" w:hAnsi="Times New Roman" w:cs="Times New Roman"/>
          <w:szCs w:val="22"/>
        </w:rPr>
        <w:t>daniconius</w:t>
      </w:r>
      <w:proofErr w:type="spellEnd"/>
      <w:r w:rsidRPr="00AE4386">
        <w:rPr>
          <w:rFonts w:ascii="Times New Roman" w:hAnsi="Times New Roman" w:cs="Times New Roman"/>
          <w:szCs w:val="22"/>
        </w:rPr>
        <w:t>.</w:t>
      </w:r>
    </w:p>
    <w:p w14:paraId="57F066C8" w14:textId="77777777" w:rsidR="00A3717B" w:rsidRPr="00AE4386" w:rsidRDefault="00000000">
      <w:r w:rsidRPr="00AE4386">
        <w:rPr>
          <w:rFonts w:ascii="Times New Roman" w:hAnsi="Times New Roman"/>
          <w:sz w:val="24"/>
        </w:rPr>
        <w:t xml:space="preserve">The presence of yolk vesicles, cortical alveoli and yolk granules indicates active </w:t>
      </w:r>
      <w:proofErr w:type="spellStart"/>
      <w:r w:rsidRPr="00AE4386">
        <w:rPr>
          <w:rFonts w:ascii="Times New Roman" w:hAnsi="Times New Roman"/>
          <w:sz w:val="24"/>
        </w:rPr>
        <w:t>vitellogenic</w:t>
      </w:r>
      <w:proofErr w:type="spellEnd"/>
      <w:r w:rsidRPr="00AE4386">
        <w:rPr>
          <w:rFonts w:ascii="Times New Roman" w:hAnsi="Times New Roman"/>
          <w:sz w:val="24"/>
        </w:rPr>
        <w:t xml:space="preserve"> growth, a phase regulated by endocrine and hepatic vitellogenin pathways and commonly used as a reliable histological indicator of approaching reproductive readiness (Patiño &amp; Sullivan, 2002; </w:t>
      </w:r>
      <w:proofErr w:type="spellStart"/>
      <w:r w:rsidRPr="00AE4386">
        <w:rPr>
          <w:rFonts w:ascii="Times New Roman" w:hAnsi="Times New Roman"/>
          <w:sz w:val="24"/>
        </w:rPr>
        <w:t>Lubzens</w:t>
      </w:r>
      <w:proofErr w:type="spellEnd"/>
      <w:r w:rsidRPr="00AE4386">
        <w:rPr>
          <w:rFonts w:ascii="Times New Roman" w:hAnsi="Times New Roman"/>
          <w:sz w:val="24"/>
        </w:rPr>
        <w:t xml:space="preserve"> et al., 2010).</w:t>
      </w:r>
    </w:p>
    <w:p w14:paraId="3CA3F5DA" w14:textId="77777777" w:rsidR="00EF79BD" w:rsidRPr="00AE4386" w:rsidRDefault="00EF79BD" w:rsidP="0008147A">
      <w:pPr>
        <w:ind w:firstLine="720"/>
        <w:jc w:val="both"/>
        <w:rPr>
          <w:rFonts w:ascii="Times New Roman" w:hAnsi="Times New Roman" w:cs="Times New Roman"/>
          <w:szCs w:val="22"/>
        </w:rPr>
      </w:pPr>
      <w:r w:rsidRPr="00AE4386">
        <w:rPr>
          <w:rFonts w:ascii="Times New Roman" w:hAnsi="Times New Roman" w:cs="Times New Roman"/>
          <w:szCs w:val="22"/>
        </w:rPr>
        <w:t>Stage IV (Maturation/Ripe): Ovaries were turgid, highly vascularized, and filled the entire body cavity. Histologically, the oocytes were at their maximum diameter with completely packed yolk granules that had undergone partial or complete coalescence (yolk plate formation in some oocytes</w:t>
      </w:r>
      <w:proofErr w:type="gramStart"/>
      <w:r w:rsidRPr="00AE4386">
        <w:rPr>
          <w:rFonts w:ascii="Times New Roman" w:hAnsi="Times New Roman" w:cs="Times New Roman"/>
          <w:szCs w:val="22"/>
        </w:rPr>
        <w:t>).</w:t>
      </w:r>
      <w:r w:rsidR="00663EAA" w:rsidRPr="00AE4386">
        <w:rPr>
          <w:rFonts w:ascii="Times New Roman" w:hAnsi="Times New Roman" w:cs="Times New Roman"/>
          <w:szCs w:val="22"/>
        </w:rPr>
        <w:t>The</w:t>
      </w:r>
      <w:proofErr w:type="gramEnd"/>
      <w:r w:rsidR="00663EAA" w:rsidRPr="00AE4386">
        <w:rPr>
          <w:rFonts w:ascii="Times New Roman" w:hAnsi="Times New Roman" w:cs="Times New Roman"/>
          <w:szCs w:val="22"/>
        </w:rPr>
        <w:t xml:space="preserve"> major histological characteristics observed were germinal vesicle migration (GVM) and subsequent germinal versicle breakdown (GVBD), which signified the onset of final oocyte maturation (Nagahama,1983)</w:t>
      </w:r>
      <w:r w:rsidRPr="00AE4386">
        <w:rPr>
          <w:rFonts w:ascii="Times New Roman" w:hAnsi="Times New Roman" w:cs="Times New Roman"/>
          <w:szCs w:val="22"/>
        </w:rPr>
        <w:t xml:space="preserve">. Oocyte hydration was evident in the most advanced oocytes, resulting in a translucent, swollen appearance. The zona radiata was thinned and the follicular layers were stretched. This stage coincided with the peak spawning period (June–July in P. </w:t>
      </w:r>
      <w:proofErr w:type="spellStart"/>
      <w:r w:rsidRPr="00AE4386">
        <w:rPr>
          <w:rFonts w:ascii="Times New Roman" w:hAnsi="Times New Roman" w:cs="Times New Roman"/>
          <w:szCs w:val="22"/>
        </w:rPr>
        <w:t>sophore</w:t>
      </w:r>
      <w:proofErr w:type="spellEnd"/>
      <w:r w:rsidRPr="00AE4386">
        <w:rPr>
          <w:rFonts w:ascii="Times New Roman" w:hAnsi="Times New Roman" w:cs="Times New Roman"/>
          <w:szCs w:val="22"/>
        </w:rPr>
        <w:t xml:space="preserve">; April–July in R. </w:t>
      </w:r>
      <w:proofErr w:type="spellStart"/>
      <w:r w:rsidRPr="00AE4386">
        <w:rPr>
          <w:rFonts w:ascii="Times New Roman" w:hAnsi="Times New Roman" w:cs="Times New Roman"/>
          <w:szCs w:val="22"/>
        </w:rPr>
        <w:t>daniconius</w:t>
      </w:r>
      <w:proofErr w:type="spellEnd"/>
      <w:r w:rsidRPr="00AE4386">
        <w:rPr>
          <w:rFonts w:ascii="Times New Roman" w:hAnsi="Times New Roman" w:cs="Times New Roman"/>
          <w:szCs w:val="22"/>
        </w:rPr>
        <w:t>).</w:t>
      </w:r>
    </w:p>
    <w:p w14:paraId="791B74F3" w14:textId="77777777" w:rsidR="00A3717B" w:rsidRPr="00AE4386" w:rsidRDefault="00000000">
      <w:r w:rsidRPr="00AE4386">
        <w:rPr>
          <w:rFonts w:ascii="Times New Roman" w:hAnsi="Times New Roman"/>
          <w:sz w:val="24"/>
        </w:rPr>
        <w:t xml:space="preserve">The occurrence of germinal-vesicle migration, germinal-vesicle breakdown and oocyte hydration is consistent with final oocyte maturation and imminent ovulation, processes that are widely recognized as late-stage reproductive markers in teleost fishes (Patiño &amp; Sullivan, 2002; </w:t>
      </w:r>
      <w:proofErr w:type="spellStart"/>
      <w:r w:rsidRPr="00AE4386">
        <w:rPr>
          <w:rFonts w:ascii="Times New Roman" w:hAnsi="Times New Roman"/>
          <w:sz w:val="24"/>
        </w:rPr>
        <w:t>Lubzens</w:t>
      </w:r>
      <w:proofErr w:type="spellEnd"/>
      <w:r w:rsidRPr="00AE4386">
        <w:rPr>
          <w:rFonts w:ascii="Times New Roman" w:hAnsi="Times New Roman"/>
          <w:sz w:val="24"/>
        </w:rPr>
        <w:t xml:space="preserve"> et al., 2010).</w:t>
      </w:r>
    </w:p>
    <w:p w14:paraId="2D62766E" w14:textId="77777777" w:rsidR="00EF79BD" w:rsidRPr="00AE4386" w:rsidRDefault="00EF79BD" w:rsidP="0008147A">
      <w:pPr>
        <w:ind w:firstLine="720"/>
        <w:jc w:val="both"/>
        <w:rPr>
          <w:rFonts w:ascii="Times New Roman" w:hAnsi="Times New Roman" w:cs="Times New Roman"/>
          <w:szCs w:val="22"/>
        </w:rPr>
      </w:pPr>
      <w:r w:rsidRPr="00AE4386">
        <w:rPr>
          <w:rFonts w:ascii="Times New Roman" w:hAnsi="Times New Roman" w:cs="Times New Roman"/>
          <w:szCs w:val="22"/>
        </w:rPr>
        <w:t xml:space="preserve">Stage V (Spent/Post-spawning): </w:t>
      </w:r>
      <w:r w:rsidR="004041C0" w:rsidRPr="00AE4386">
        <w:rPr>
          <w:rFonts w:ascii="Times New Roman" w:hAnsi="Times New Roman" w:cs="Times New Roman"/>
          <w:szCs w:val="22"/>
        </w:rPr>
        <w:t xml:space="preserve">The ovaries became shrunken and flaccid after </w:t>
      </w:r>
      <w:proofErr w:type="gramStart"/>
      <w:r w:rsidR="004041C0" w:rsidRPr="00AE4386">
        <w:rPr>
          <w:rFonts w:ascii="Times New Roman" w:hAnsi="Times New Roman" w:cs="Times New Roman"/>
          <w:szCs w:val="22"/>
        </w:rPr>
        <w:t>spawning ,</w:t>
      </w:r>
      <w:proofErr w:type="gramEnd"/>
      <w:r w:rsidR="004041C0" w:rsidRPr="00AE4386">
        <w:rPr>
          <w:rFonts w:ascii="Times New Roman" w:hAnsi="Times New Roman" w:cs="Times New Roman"/>
          <w:szCs w:val="22"/>
        </w:rPr>
        <w:t xml:space="preserve"> showing a reduced size and a reddish appearance due to vascular congestion and tissue </w:t>
      </w:r>
      <w:proofErr w:type="spellStart"/>
      <w:proofErr w:type="gramStart"/>
      <w:r w:rsidR="004041C0" w:rsidRPr="00AE4386">
        <w:rPr>
          <w:rFonts w:ascii="Times New Roman" w:hAnsi="Times New Roman" w:cs="Times New Roman"/>
          <w:szCs w:val="22"/>
        </w:rPr>
        <w:t>resorption.</w:t>
      </w:r>
      <w:r w:rsidRPr="00AE4386">
        <w:rPr>
          <w:rFonts w:ascii="Times New Roman" w:hAnsi="Times New Roman" w:cs="Times New Roman"/>
          <w:szCs w:val="22"/>
        </w:rPr>
        <w:t>Histologically</w:t>
      </w:r>
      <w:proofErr w:type="spellEnd"/>
      <w:proofErr w:type="gramEnd"/>
      <w:r w:rsidRPr="00AE4386">
        <w:rPr>
          <w:rFonts w:ascii="Times New Roman" w:hAnsi="Times New Roman" w:cs="Times New Roman"/>
          <w:szCs w:val="22"/>
        </w:rPr>
        <w:t xml:space="preserve">, empty follicular envelopes (post-ovulatory follicles, POFs) were the most diagnostic feature, providing direct evidence of recent ovulation. Residual unspawned oocytes at </w:t>
      </w:r>
      <w:r w:rsidRPr="00AE4386">
        <w:rPr>
          <w:rFonts w:ascii="Times New Roman" w:hAnsi="Times New Roman" w:cs="Times New Roman"/>
          <w:szCs w:val="22"/>
        </w:rPr>
        <w:lastRenderedPageBreak/>
        <w:t xml:space="preserve">various stages of atresia (alpha and beta atresia) were scattered throughout the ovarian tissue. Yellow-brown bodies — remnants of atretic oocytes undergoing phagocytic resorption — were present. Early-stage oogonia and chromatin nucleolus oocytes were also observed, indicating the onset of ovarian recovery and preparation for the next reproductive cycle. This stage was dominant from September to November in P. </w:t>
      </w:r>
      <w:proofErr w:type="spellStart"/>
      <w:r w:rsidRPr="00AE4386">
        <w:rPr>
          <w:rFonts w:ascii="Times New Roman" w:hAnsi="Times New Roman" w:cs="Times New Roman"/>
          <w:szCs w:val="22"/>
        </w:rPr>
        <w:t>sophore</w:t>
      </w:r>
      <w:proofErr w:type="spellEnd"/>
      <w:r w:rsidRPr="00AE4386">
        <w:rPr>
          <w:rFonts w:ascii="Times New Roman" w:hAnsi="Times New Roman" w:cs="Times New Roman"/>
          <w:szCs w:val="22"/>
        </w:rPr>
        <w:t xml:space="preserve"> and from August to December in R. </w:t>
      </w:r>
      <w:proofErr w:type="spellStart"/>
      <w:r w:rsidRPr="00AE4386">
        <w:rPr>
          <w:rFonts w:ascii="Times New Roman" w:hAnsi="Times New Roman" w:cs="Times New Roman"/>
          <w:szCs w:val="22"/>
        </w:rPr>
        <w:t>daniconius</w:t>
      </w:r>
      <w:proofErr w:type="spellEnd"/>
      <w:r w:rsidRPr="00AE4386">
        <w:rPr>
          <w:rFonts w:ascii="Times New Roman" w:hAnsi="Times New Roman" w:cs="Times New Roman"/>
          <w:szCs w:val="22"/>
        </w:rPr>
        <w:t>.</w:t>
      </w:r>
    </w:p>
    <w:p w14:paraId="35662005" w14:textId="77777777" w:rsidR="00A3717B" w:rsidRPr="00AE4386" w:rsidRDefault="00000000">
      <w:r w:rsidRPr="00AE4386">
        <w:rPr>
          <w:rFonts w:ascii="Times New Roman" w:hAnsi="Times New Roman"/>
          <w:sz w:val="24"/>
        </w:rPr>
        <w:t>Post-ovulatory follicles and atretic oocytes provide direct evidence of recent spawning and subsequent resorption of residual oocytes; therefore, the high spent-stage frequency after the spawning months supports the proposed reproductive calendar for both species (West, 1990; Murua &amp; Saborido-Rey, 2003).</w:t>
      </w:r>
    </w:p>
    <w:p w14:paraId="29E7334A" w14:textId="77777777" w:rsidR="00EF79BD" w:rsidRPr="00AE4386" w:rsidRDefault="00EF79BD" w:rsidP="00EF79BD">
      <w:pPr>
        <w:pStyle w:val="Heading3"/>
        <w:jc w:val="left"/>
        <w:rPr>
          <w:rFonts w:ascii="Times New Roman" w:hAnsi="Times New Roman" w:cs="Times New Roman"/>
          <w:sz w:val="22"/>
        </w:rPr>
      </w:pPr>
      <w:r w:rsidRPr="00AE4386">
        <w:rPr>
          <w:rFonts w:ascii="Times New Roman" w:hAnsi="Times New Roman" w:cs="Times New Roman"/>
          <w:sz w:val="22"/>
        </w:rPr>
        <w:t>Male Testicular Histology</w:t>
      </w:r>
    </w:p>
    <w:p w14:paraId="25A75EB3" w14:textId="34DBE4AE" w:rsidR="00EF79BD" w:rsidRPr="00AE4386" w:rsidRDefault="00EF79BD" w:rsidP="00EF79BD">
      <w:pPr>
        <w:spacing w:before="240"/>
        <w:jc w:val="center"/>
        <w:rPr>
          <w:rFonts w:ascii="Times New Roman" w:hAnsi="Times New Roman" w:cs="Times New Roman"/>
          <w:szCs w:val="22"/>
        </w:rPr>
      </w:pPr>
      <w:r w:rsidRPr="00AE4386">
        <w:rPr>
          <w:rFonts w:ascii="Times New Roman" w:hAnsi="Times New Roman" w:cs="Times New Roman"/>
          <w:b/>
          <w:szCs w:val="22"/>
        </w:rPr>
        <w:t xml:space="preserve">Table 4: Summary of histological features of male gonadal maturity stages in P. </w:t>
      </w:r>
      <w:proofErr w:type="spellStart"/>
      <w:r w:rsidRPr="00AE4386">
        <w:rPr>
          <w:rFonts w:ascii="Times New Roman" w:hAnsi="Times New Roman" w:cs="Times New Roman"/>
          <w:b/>
          <w:szCs w:val="22"/>
        </w:rPr>
        <w:t>sophore</w:t>
      </w:r>
      <w:proofErr w:type="spellEnd"/>
    </w:p>
    <w:tbl>
      <w:tblPr>
        <w:tblStyle w:val="TableGrid"/>
        <w:tblW w:w="0" w:type="auto"/>
        <w:jc w:val="center"/>
        <w:tblLook w:val="04A0" w:firstRow="1" w:lastRow="0" w:firstColumn="1" w:lastColumn="0" w:noHBand="0" w:noVBand="1"/>
      </w:tblPr>
      <w:tblGrid>
        <w:gridCol w:w="1728"/>
        <w:gridCol w:w="1728"/>
        <w:gridCol w:w="1728"/>
        <w:gridCol w:w="1728"/>
        <w:gridCol w:w="1728"/>
      </w:tblGrid>
      <w:tr w:rsidR="00EF79BD" w:rsidRPr="00AE4386" w14:paraId="74813597" w14:textId="77777777" w:rsidTr="007276CF">
        <w:trPr>
          <w:jc w:val="center"/>
        </w:trPr>
        <w:tc>
          <w:tcPr>
            <w:tcW w:w="1728" w:type="dxa"/>
            <w:shd w:val="clear" w:color="auto" w:fill="D5E8F0"/>
          </w:tcPr>
          <w:p w14:paraId="20E8B113"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b/>
              </w:rPr>
              <w:t>Stage</w:t>
            </w:r>
          </w:p>
        </w:tc>
        <w:tc>
          <w:tcPr>
            <w:tcW w:w="1728" w:type="dxa"/>
            <w:shd w:val="clear" w:color="auto" w:fill="D5E8F0"/>
          </w:tcPr>
          <w:p w14:paraId="19DDFAA6"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b/>
              </w:rPr>
              <w:t>Period</w:t>
            </w:r>
          </w:p>
        </w:tc>
        <w:tc>
          <w:tcPr>
            <w:tcW w:w="1728" w:type="dxa"/>
            <w:shd w:val="clear" w:color="auto" w:fill="D5E8F0"/>
          </w:tcPr>
          <w:p w14:paraId="73E5767D"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b/>
              </w:rPr>
              <w:t>Macroscopic</w:t>
            </w:r>
          </w:p>
        </w:tc>
        <w:tc>
          <w:tcPr>
            <w:tcW w:w="1728" w:type="dxa"/>
            <w:shd w:val="clear" w:color="auto" w:fill="D5E8F0"/>
          </w:tcPr>
          <w:p w14:paraId="44FF7E7D"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b/>
              </w:rPr>
              <w:t>Histological</w:t>
            </w:r>
          </w:p>
        </w:tc>
        <w:tc>
          <w:tcPr>
            <w:tcW w:w="1728" w:type="dxa"/>
            <w:shd w:val="clear" w:color="auto" w:fill="D5E8F0"/>
          </w:tcPr>
          <w:p w14:paraId="18A45C9A"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b/>
              </w:rPr>
              <w:t>GSI Range</w:t>
            </w:r>
          </w:p>
        </w:tc>
      </w:tr>
      <w:tr w:rsidR="00EF79BD" w:rsidRPr="00AE4386" w14:paraId="454F69A4" w14:textId="77777777" w:rsidTr="007276CF">
        <w:trPr>
          <w:jc w:val="center"/>
        </w:trPr>
        <w:tc>
          <w:tcPr>
            <w:tcW w:w="1728" w:type="dxa"/>
          </w:tcPr>
          <w:p w14:paraId="1BF1E429"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I</w:t>
            </w:r>
          </w:p>
        </w:tc>
        <w:tc>
          <w:tcPr>
            <w:tcW w:w="1728" w:type="dxa"/>
          </w:tcPr>
          <w:p w14:paraId="29CAA794"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Immature</w:t>
            </w:r>
          </w:p>
        </w:tc>
        <w:tc>
          <w:tcPr>
            <w:tcW w:w="1728" w:type="dxa"/>
          </w:tcPr>
          <w:p w14:paraId="5E8B9275"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Thin, translucent, &lt;1/4 cavity</w:t>
            </w:r>
          </w:p>
        </w:tc>
        <w:tc>
          <w:tcPr>
            <w:tcW w:w="1728" w:type="dxa"/>
          </w:tcPr>
          <w:p w14:paraId="2B7E8D76"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Spermatogonia only</w:t>
            </w:r>
          </w:p>
        </w:tc>
        <w:tc>
          <w:tcPr>
            <w:tcW w:w="1728" w:type="dxa"/>
          </w:tcPr>
          <w:p w14:paraId="3105C47B"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&lt;0.5%</w:t>
            </w:r>
          </w:p>
        </w:tc>
      </w:tr>
      <w:tr w:rsidR="00EF79BD" w:rsidRPr="00AE4386" w14:paraId="56F6CA47" w14:textId="77777777" w:rsidTr="007276CF">
        <w:trPr>
          <w:jc w:val="center"/>
        </w:trPr>
        <w:tc>
          <w:tcPr>
            <w:tcW w:w="1728" w:type="dxa"/>
            <w:shd w:val="clear" w:color="auto" w:fill="F2F2F2"/>
          </w:tcPr>
          <w:p w14:paraId="129492F2"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II</w:t>
            </w:r>
          </w:p>
        </w:tc>
        <w:tc>
          <w:tcPr>
            <w:tcW w:w="1728" w:type="dxa"/>
            <w:shd w:val="clear" w:color="auto" w:fill="F2F2F2"/>
          </w:tcPr>
          <w:p w14:paraId="68D603A3"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Resting</w:t>
            </w:r>
          </w:p>
        </w:tc>
        <w:tc>
          <w:tcPr>
            <w:tcW w:w="1728" w:type="dxa"/>
            <w:shd w:val="clear" w:color="auto" w:fill="F2F2F2"/>
          </w:tcPr>
          <w:p w14:paraId="7556671E"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Pink, ~1/3 cavity</w:t>
            </w:r>
          </w:p>
        </w:tc>
        <w:tc>
          <w:tcPr>
            <w:tcW w:w="1728" w:type="dxa"/>
            <w:shd w:val="clear" w:color="auto" w:fill="F2F2F2"/>
          </w:tcPr>
          <w:p w14:paraId="0EBEE11D"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Primary spermatocytes</w:t>
            </w:r>
          </w:p>
        </w:tc>
        <w:tc>
          <w:tcPr>
            <w:tcW w:w="1728" w:type="dxa"/>
            <w:shd w:val="clear" w:color="auto" w:fill="F2F2F2"/>
          </w:tcPr>
          <w:p w14:paraId="4BCEC8B6"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0.5–1.0%</w:t>
            </w:r>
          </w:p>
        </w:tc>
      </w:tr>
      <w:tr w:rsidR="00EF79BD" w:rsidRPr="00AE4386" w14:paraId="322FE3F6" w14:textId="77777777" w:rsidTr="007276CF">
        <w:trPr>
          <w:jc w:val="center"/>
        </w:trPr>
        <w:tc>
          <w:tcPr>
            <w:tcW w:w="1728" w:type="dxa"/>
          </w:tcPr>
          <w:p w14:paraId="54BAEFAA"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III</w:t>
            </w:r>
          </w:p>
        </w:tc>
        <w:tc>
          <w:tcPr>
            <w:tcW w:w="1728" w:type="dxa"/>
          </w:tcPr>
          <w:p w14:paraId="22893FDA"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Developing</w:t>
            </w:r>
          </w:p>
        </w:tc>
        <w:tc>
          <w:tcPr>
            <w:tcW w:w="1728" w:type="dxa"/>
          </w:tcPr>
          <w:p w14:paraId="066341AD"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Off-white, ~1/2 cavity</w:t>
            </w:r>
          </w:p>
        </w:tc>
        <w:tc>
          <w:tcPr>
            <w:tcW w:w="1728" w:type="dxa"/>
          </w:tcPr>
          <w:p w14:paraId="28DB3528"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Secondary spermatocytes</w:t>
            </w:r>
          </w:p>
        </w:tc>
        <w:tc>
          <w:tcPr>
            <w:tcW w:w="1728" w:type="dxa"/>
          </w:tcPr>
          <w:p w14:paraId="7C9318EB"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1.0–2.0%</w:t>
            </w:r>
          </w:p>
        </w:tc>
      </w:tr>
      <w:tr w:rsidR="00EF79BD" w:rsidRPr="00AE4386" w14:paraId="0FD68FF6" w14:textId="77777777" w:rsidTr="007276CF">
        <w:trPr>
          <w:jc w:val="center"/>
        </w:trPr>
        <w:tc>
          <w:tcPr>
            <w:tcW w:w="1728" w:type="dxa"/>
            <w:shd w:val="clear" w:color="auto" w:fill="F2F2F2"/>
          </w:tcPr>
          <w:p w14:paraId="7249201E"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IV</w:t>
            </w:r>
          </w:p>
        </w:tc>
        <w:tc>
          <w:tcPr>
            <w:tcW w:w="1728" w:type="dxa"/>
            <w:shd w:val="clear" w:color="auto" w:fill="F2F2F2"/>
          </w:tcPr>
          <w:p w14:paraId="7A62113C"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Maturing</w:t>
            </w:r>
          </w:p>
        </w:tc>
        <w:tc>
          <w:tcPr>
            <w:tcW w:w="1728" w:type="dxa"/>
            <w:shd w:val="clear" w:color="auto" w:fill="F2F2F2"/>
          </w:tcPr>
          <w:p w14:paraId="1F3C3232"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White, firm, &gt;1/2 cavity</w:t>
            </w:r>
          </w:p>
        </w:tc>
        <w:tc>
          <w:tcPr>
            <w:tcW w:w="1728" w:type="dxa"/>
            <w:shd w:val="clear" w:color="auto" w:fill="F2F2F2"/>
          </w:tcPr>
          <w:p w14:paraId="635E6454"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Spermatozoa accumulating</w:t>
            </w:r>
          </w:p>
        </w:tc>
        <w:tc>
          <w:tcPr>
            <w:tcW w:w="1728" w:type="dxa"/>
            <w:shd w:val="clear" w:color="auto" w:fill="F2F2F2"/>
          </w:tcPr>
          <w:p w14:paraId="373BE540"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2.0–4.0%</w:t>
            </w:r>
          </w:p>
        </w:tc>
      </w:tr>
      <w:tr w:rsidR="00EF79BD" w:rsidRPr="00AE4386" w14:paraId="4BD0E71D" w14:textId="77777777" w:rsidTr="007276CF">
        <w:trPr>
          <w:jc w:val="center"/>
        </w:trPr>
        <w:tc>
          <w:tcPr>
            <w:tcW w:w="1728" w:type="dxa"/>
          </w:tcPr>
          <w:p w14:paraId="355D7D53"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V</w:t>
            </w:r>
          </w:p>
        </w:tc>
        <w:tc>
          <w:tcPr>
            <w:tcW w:w="1728" w:type="dxa"/>
          </w:tcPr>
          <w:p w14:paraId="5E9DB264"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Mature</w:t>
            </w:r>
          </w:p>
        </w:tc>
        <w:tc>
          <w:tcPr>
            <w:tcW w:w="1728" w:type="dxa"/>
          </w:tcPr>
          <w:p w14:paraId="62D18CFA"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Soft, full cavity, milt runs</w:t>
            </w:r>
          </w:p>
        </w:tc>
        <w:tc>
          <w:tcPr>
            <w:tcW w:w="1728" w:type="dxa"/>
          </w:tcPr>
          <w:p w14:paraId="1C1A4D2E"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Packed spermatozoa</w:t>
            </w:r>
          </w:p>
        </w:tc>
        <w:tc>
          <w:tcPr>
            <w:tcW w:w="1728" w:type="dxa"/>
          </w:tcPr>
          <w:p w14:paraId="380FA8F1"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4.0–8.0%</w:t>
            </w:r>
          </w:p>
        </w:tc>
      </w:tr>
      <w:tr w:rsidR="00EF79BD" w:rsidRPr="00AE4386" w14:paraId="7B6E06F7" w14:textId="77777777" w:rsidTr="007276CF">
        <w:trPr>
          <w:jc w:val="center"/>
        </w:trPr>
        <w:tc>
          <w:tcPr>
            <w:tcW w:w="1728" w:type="dxa"/>
            <w:shd w:val="clear" w:color="auto" w:fill="F2F2F2"/>
          </w:tcPr>
          <w:p w14:paraId="283F1AE7"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VI</w:t>
            </w:r>
          </w:p>
        </w:tc>
        <w:tc>
          <w:tcPr>
            <w:tcW w:w="1728" w:type="dxa"/>
            <w:shd w:val="clear" w:color="auto" w:fill="F2F2F2"/>
          </w:tcPr>
          <w:p w14:paraId="17F7E1D1"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Spent</w:t>
            </w:r>
          </w:p>
        </w:tc>
        <w:tc>
          <w:tcPr>
            <w:tcW w:w="1728" w:type="dxa"/>
            <w:shd w:val="clear" w:color="auto" w:fill="F2F2F2"/>
          </w:tcPr>
          <w:p w14:paraId="1B9ED6DC"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Flaccid, yellow, &lt;1/2 cavity</w:t>
            </w:r>
          </w:p>
        </w:tc>
        <w:tc>
          <w:tcPr>
            <w:tcW w:w="1728" w:type="dxa"/>
            <w:shd w:val="clear" w:color="auto" w:fill="F2F2F2"/>
          </w:tcPr>
          <w:p w14:paraId="37A577C9"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Residual sperm, collapsed</w:t>
            </w:r>
          </w:p>
        </w:tc>
        <w:tc>
          <w:tcPr>
            <w:tcW w:w="1728" w:type="dxa"/>
            <w:shd w:val="clear" w:color="auto" w:fill="F2F2F2"/>
          </w:tcPr>
          <w:p w14:paraId="61F126E5" w14:textId="77777777" w:rsidR="00EF79BD" w:rsidRPr="00AE4386" w:rsidRDefault="00EF79BD" w:rsidP="007276CF">
            <w:pPr>
              <w:jc w:val="center"/>
              <w:rPr>
                <w:rFonts w:ascii="Times New Roman" w:hAnsi="Times New Roman" w:cs="Times New Roman"/>
              </w:rPr>
            </w:pPr>
            <w:r w:rsidRPr="00AE4386">
              <w:rPr>
                <w:rFonts w:ascii="Times New Roman" w:hAnsi="Times New Roman" w:cs="Times New Roman"/>
              </w:rPr>
              <w:t>0.2–0.5%</w:t>
            </w:r>
          </w:p>
        </w:tc>
      </w:tr>
    </w:tbl>
    <w:p w14:paraId="470E2186" w14:textId="77777777" w:rsidR="0008147A" w:rsidRPr="00AE4386" w:rsidRDefault="0008147A" w:rsidP="00EF79BD">
      <w:pPr>
        <w:ind w:firstLine="720"/>
        <w:rPr>
          <w:rFonts w:ascii="Times New Roman" w:hAnsi="Times New Roman" w:cs="Times New Roman"/>
          <w:szCs w:val="22"/>
        </w:rPr>
      </w:pPr>
    </w:p>
    <w:p w14:paraId="0428EBD3" w14:textId="77777777" w:rsidR="00EF79BD" w:rsidRPr="00AE4386" w:rsidRDefault="00EF79BD" w:rsidP="00A37D30">
      <w:pPr>
        <w:ind w:firstLine="720"/>
        <w:jc w:val="both"/>
        <w:rPr>
          <w:rFonts w:ascii="Times New Roman" w:hAnsi="Times New Roman" w:cs="Times New Roman"/>
          <w:szCs w:val="22"/>
        </w:rPr>
      </w:pPr>
      <w:r w:rsidRPr="00AE4386">
        <w:t xml:space="preserve">Six stages of testicular development were identified in P. </w:t>
      </w:r>
      <w:proofErr w:type="spellStart"/>
      <w:r w:rsidRPr="00AE4386">
        <w:t>sophore</w:t>
      </w:r>
      <w:proofErr w:type="spellEnd"/>
      <w:r w:rsidRPr="00AE4386">
        <w:t xml:space="preserve"> males. The spermatogenic process in </w:t>
      </w:r>
      <w:proofErr w:type="spellStart"/>
      <w:proofErr w:type="gramStart"/>
      <w:r w:rsidRPr="00AE4386">
        <w:t>P.sophore</w:t>
      </w:r>
      <w:proofErr w:type="spellEnd"/>
      <w:proofErr w:type="gramEnd"/>
      <w:r w:rsidRPr="00AE4386">
        <w:t xml:space="preserve"> followed the typical teleost pattern involving </w:t>
      </w:r>
      <w:proofErr w:type="spellStart"/>
      <w:r w:rsidRPr="00AE4386">
        <w:t>spermatogonial</w:t>
      </w:r>
      <w:proofErr w:type="spellEnd"/>
      <w:r w:rsidRPr="00AE4386">
        <w:t xml:space="preserve"> proliferation, formation of primary spermatocytes through meiosis I, secondary spermatocytes through meiosis II, spermatids and finally spermatozoa (Grier, 1981). The testes exhibited an </w:t>
      </w:r>
      <w:proofErr w:type="gramStart"/>
      <w:r w:rsidRPr="00AE4386">
        <w:t>unrestricted lobular types of organization</w:t>
      </w:r>
      <w:proofErr w:type="gramEnd"/>
      <w:r w:rsidRPr="00AE4386">
        <w:t xml:space="preserve"> in which spermatogonia was </w:t>
      </w:r>
      <w:proofErr w:type="spellStart"/>
      <w:r w:rsidRPr="00AE4386">
        <w:t>deistributed</w:t>
      </w:r>
      <w:proofErr w:type="spellEnd"/>
      <w:r w:rsidRPr="00AE4386">
        <w:t xml:space="preserve"> throughout the lobular epithelium, a characteristic feature commonly observed in teleost fishes </w:t>
      </w:r>
      <w:proofErr w:type="gramStart"/>
      <w:r w:rsidRPr="00AE4386">
        <w:t>( Parenti</w:t>
      </w:r>
      <w:proofErr w:type="gramEnd"/>
      <w:r w:rsidRPr="00AE4386">
        <w:t xml:space="preserve"> &amp; Grier, 2004)</w:t>
      </w:r>
    </w:p>
    <w:p w14:paraId="30EB9E79" w14:textId="77777777" w:rsidR="00A3717B" w:rsidRPr="00AE4386" w:rsidRDefault="00000000">
      <w:r w:rsidRPr="00AE4386">
        <w:rPr>
          <w:rFonts w:ascii="Times New Roman" w:hAnsi="Times New Roman"/>
          <w:sz w:val="24"/>
        </w:rPr>
        <w:t xml:space="preserve">The staged testicular pattern reported here is consistent with cystic spermatogenesis in </w:t>
      </w:r>
      <w:proofErr w:type="spellStart"/>
      <w:r w:rsidRPr="00AE4386">
        <w:rPr>
          <w:rFonts w:ascii="Times New Roman" w:hAnsi="Times New Roman"/>
          <w:sz w:val="24"/>
        </w:rPr>
        <w:t>teleosts</w:t>
      </w:r>
      <w:proofErr w:type="spellEnd"/>
      <w:r w:rsidRPr="00AE4386">
        <w:rPr>
          <w:rFonts w:ascii="Times New Roman" w:hAnsi="Times New Roman"/>
          <w:sz w:val="24"/>
        </w:rPr>
        <w:t>, where spermatogonia, spermatocytes, spermatids and spermatozoa occur in organized germ-cell cohorts within lobular testicular tissue (Grier, 1981; Schulz et al., 2010; de Oliveira et al., 2025).</w:t>
      </w:r>
    </w:p>
    <w:p w14:paraId="5A2B50DC" w14:textId="77777777" w:rsidR="00EF79BD" w:rsidRPr="00AE4386" w:rsidRDefault="00EF79BD" w:rsidP="00A37D30">
      <w:pPr>
        <w:jc w:val="both"/>
        <w:rPr>
          <w:rFonts w:ascii="Times New Roman" w:hAnsi="Times New Roman" w:cs="Times New Roman"/>
          <w:szCs w:val="22"/>
        </w:rPr>
      </w:pPr>
    </w:p>
    <w:p w14:paraId="7EA53E68" w14:textId="77777777" w:rsidR="001A2F47" w:rsidRPr="00AE4386" w:rsidRDefault="001A2F47" w:rsidP="001A2F47">
      <w:pPr>
        <w:spacing w:before="100" w:beforeAutospacing="1" w:after="100" w:afterAutospacing="1" w:line="240" w:lineRule="auto"/>
        <w:outlineLvl w:val="1"/>
        <w:rPr>
          <w:rFonts w:ascii="Times New Roman" w:eastAsia="Times New Roman" w:hAnsi="Times New Roman" w:cs="Times New Roman"/>
          <w:b/>
          <w:bCs/>
          <w:sz w:val="36"/>
          <w:szCs w:val="36"/>
          <w:lang w:val="en-US" w:bidi="ar-SA"/>
        </w:rPr>
      </w:pPr>
      <w:r w:rsidRPr="00AE4386">
        <w:rPr>
          <w:rFonts w:ascii="Times New Roman" w:eastAsia="Times New Roman" w:hAnsi="Times New Roman" w:cs="Times New Roman"/>
          <w:b/>
          <w:bCs/>
          <w:sz w:val="36"/>
          <w:szCs w:val="36"/>
          <w:lang w:val="en-US" w:bidi="ar-SA"/>
        </w:rPr>
        <w:t>Conclusions</w:t>
      </w:r>
    </w:p>
    <w:p w14:paraId="24581CF6" w14:textId="77777777" w:rsidR="001A2F47" w:rsidRPr="00AE4386" w:rsidRDefault="001A2F47" w:rsidP="001A2F47">
      <w:pPr>
        <w:spacing w:before="100" w:beforeAutospacing="1" w:after="100" w:afterAutospacing="1" w:line="240" w:lineRule="auto"/>
        <w:rPr>
          <w:rFonts w:ascii="Times New Roman" w:eastAsia="Times New Roman" w:hAnsi="Times New Roman" w:cs="Times New Roman"/>
          <w:sz w:val="24"/>
          <w:szCs w:val="24"/>
          <w:lang w:val="en-US" w:bidi="ar-SA"/>
        </w:rPr>
      </w:pPr>
      <w:r w:rsidRPr="00AE4386">
        <w:rPr>
          <w:rFonts w:ascii="Times New Roman" w:eastAsia="Times New Roman" w:hAnsi="Times New Roman" w:cs="Times New Roman"/>
          <w:sz w:val="24"/>
          <w:szCs w:val="24"/>
          <w:lang w:val="en-US" w:bidi="ar-SA"/>
        </w:rPr>
        <w:t xml:space="preserve">The study indicates that </w:t>
      </w:r>
      <w:r w:rsidRPr="00AE4386">
        <w:rPr>
          <w:rFonts w:ascii="Times New Roman" w:eastAsia="Times New Roman" w:hAnsi="Times New Roman" w:cs="Times New Roman"/>
          <w:i/>
          <w:iCs/>
          <w:sz w:val="24"/>
          <w:szCs w:val="24"/>
          <w:lang w:val="en-US" w:bidi="ar-SA"/>
        </w:rPr>
        <w:t xml:space="preserve">Puntius </w:t>
      </w:r>
      <w:proofErr w:type="spellStart"/>
      <w:r w:rsidRPr="00AE4386">
        <w:rPr>
          <w:rFonts w:ascii="Times New Roman" w:eastAsia="Times New Roman" w:hAnsi="Times New Roman" w:cs="Times New Roman"/>
          <w:i/>
          <w:iCs/>
          <w:sz w:val="24"/>
          <w:szCs w:val="24"/>
          <w:lang w:val="en-US" w:bidi="ar-SA"/>
        </w:rPr>
        <w:t>sophore</w:t>
      </w:r>
      <w:proofErr w:type="spellEnd"/>
      <w:r w:rsidRPr="00AE4386">
        <w:rPr>
          <w:rFonts w:ascii="Times New Roman" w:eastAsia="Times New Roman" w:hAnsi="Times New Roman" w:cs="Times New Roman"/>
          <w:sz w:val="24"/>
          <w:szCs w:val="24"/>
          <w:lang w:val="en-US" w:bidi="ar-SA"/>
        </w:rPr>
        <w:t xml:space="preserve"> and </w:t>
      </w:r>
      <w:r w:rsidRPr="00AE4386">
        <w:rPr>
          <w:rFonts w:ascii="Times New Roman" w:eastAsia="Times New Roman" w:hAnsi="Times New Roman" w:cs="Times New Roman"/>
          <w:i/>
          <w:iCs/>
          <w:sz w:val="24"/>
          <w:szCs w:val="24"/>
          <w:lang w:val="en-US" w:bidi="ar-SA"/>
        </w:rPr>
        <w:t xml:space="preserve">Rasbora </w:t>
      </w:r>
      <w:proofErr w:type="spellStart"/>
      <w:r w:rsidRPr="00AE4386">
        <w:rPr>
          <w:rFonts w:ascii="Times New Roman" w:eastAsia="Times New Roman" w:hAnsi="Times New Roman" w:cs="Times New Roman"/>
          <w:i/>
          <w:iCs/>
          <w:sz w:val="24"/>
          <w:szCs w:val="24"/>
          <w:lang w:val="en-US" w:bidi="ar-SA"/>
        </w:rPr>
        <w:t>daniconius</w:t>
      </w:r>
      <w:proofErr w:type="spellEnd"/>
      <w:r w:rsidRPr="00AE4386">
        <w:rPr>
          <w:rFonts w:ascii="Times New Roman" w:eastAsia="Times New Roman" w:hAnsi="Times New Roman" w:cs="Times New Roman"/>
          <w:sz w:val="24"/>
          <w:szCs w:val="24"/>
          <w:lang w:val="en-US" w:bidi="ar-SA"/>
        </w:rPr>
        <w:t xml:space="preserve"> show distinct seasonal patterns of gonadal development in Upper Lake, Bhopal. In </w:t>
      </w:r>
      <w:r w:rsidRPr="00AE4386">
        <w:rPr>
          <w:rFonts w:ascii="Times New Roman" w:eastAsia="Times New Roman" w:hAnsi="Times New Roman" w:cs="Times New Roman"/>
          <w:i/>
          <w:iCs/>
          <w:sz w:val="24"/>
          <w:szCs w:val="24"/>
          <w:lang w:val="en-US" w:bidi="ar-SA"/>
        </w:rPr>
        <w:t xml:space="preserve">P. </w:t>
      </w:r>
      <w:proofErr w:type="spellStart"/>
      <w:r w:rsidRPr="00AE4386">
        <w:rPr>
          <w:rFonts w:ascii="Times New Roman" w:eastAsia="Times New Roman" w:hAnsi="Times New Roman" w:cs="Times New Roman"/>
          <w:i/>
          <w:iCs/>
          <w:sz w:val="24"/>
          <w:szCs w:val="24"/>
          <w:lang w:val="en-US" w:bidi="ar-SA"/>
        </w:rPr>
        <w:t>sophore</w:t>
      </w:r>
      <w:proofErr w:type="spellEnd"/>
      <w:r w:rsidRPr="00AE4386">
        <w:rPr>
          <w:rFonts w:ascii="Times New Roman" w:eastAsia="Times New Roman" w:hAnsi="Times New Roman" w:cs="Times New Roman"/>
          <w:sz w:val="24"/>
          <w:szCs w:val="24"/>
          <w:lang w:val="en-US" w:bidi="ar-SA"/>
        </w:rPr>
        <w:t xml:space="preserve">, the reproductive </w:t>
      </w:r>
      <w:r w:rsidRPr="00AE4386">
        <w:rPr>
          <w:rFonts w:ascii="Times New Roman" w:eastAsia="Times New Roman" w:hAnsi="Times New Roman" w:cs="Times New Roman"/>
          <w:sz w:val="24"/>
          <w:szCs w:val="24"/>
          <w:lang w:val="en-US" w:bidi="ar-SA"/>
        </w:rPr>
        <w:lastRenderedPageBreak/>
        <w:t xml:space="preserve">cycle showed preparatory development during March–May, peak spawning activity during June–July, and post-spawning recovery during August–October. In </w:t>
      </w:r>
      <w:r w:rsidRPr="00AE4386">
        <w:rPr>
          <w:rFonts w:ascii="Times New Roman" w:eastAsia="Times New Roman" w:hAnsi="Times New Roman" w:cs="Times New Roman"/>
          <w:i/>
          <w:iCs/>
          <w:sz w:val="24"/>
          <w:szCs w:val="24"/>
          <w:lang w:val="en-US" w:bidi="ar-SA"/>
        </w:rPr>
        <w:t xml:space="preserve">R. </w:t>
      </w:r>
      <w:proofErr w:type="spellStart"/>
      <w:r w:rsidRPr="00AE4386">
        <w:rPr>
          <w:rFonts w:ascii="Times New Roman" w:eastAsia="Times New Roman" w:hAnsi="Times New Roman" w:cs="Times New Roman"/>
          <w:i/>
          <w:iCs/>
          <w:sz w:val="24"/>
          <w:szCs w:val="24"/>
          <w:lang w:val="en-US" w:bidi="ar-SA"/>
        </w:rPr>
        <w:t>daniconius</w:t>
      </w:r>
      <w:proofErr w:type="spellEnd"/>
      <w:r w:rsidRPr="00AE4386">
        <w:rPr>
          <w:rFonts w:ascii="Times New Roman" w:eastAsia="Times New Roman" w:hAnsi="Times New Roman" w:cs="Times New Roman"/>
          <w:sz w:val="24"/>
          <w:szCs w:val="24"/>
          <w:lang w:val="en-US" w:bidi="ar-SA"/>
        </w:rPr>
        <w:t xml:space="preserve">, reproductive activity began earlier, with spawning observed mainly from April to July and the highest reproductive condition recorded in July. Histological observations supported the macroscopic maturity stages by demonstrating progressive changes in ovarian and testicular tissues during different reproductive phases. The presence of </w:t>
      </w:r>
      <w:proofErr w:type="spellStart"/>
      <w:r w:rsidRPr="00AE4386">
        <w:rPr>
          <w:rFonts w:ascii="Times New Roman" w:eastAsia="Times New Roman" w:hAnsi="Times New Roman" w:cs="Times New Roman"/>
          <w:sz w:val="24"/>
          <w:szCs w:val="24"/>
          <w:lang w:val="en-US" w:bidi="ar-SA"/>
        </w:rPr>
        <w:t>vitellogenic</w:t>
      </w:r>
      <w:proofErr w:type="spellEnd"/>
      <w:r w:rsidRPr="00AE4386">
        <w:rPr>
          <w:rFonts w:ascii="Times New Roman" w:eastAsia="Times New Roman" w:hAnsi="Times New Roman" w:cs="Times New Roman"/>
          <w:sz w:val="24"/>
          <w:szCs w:val="24"/>
          <w:lang w:val="en-US" w:bidi="ar-SA"/>
        </w:rPr>
        <w:t xml:space="preserve"> and mature oocytes during the breeding period, followed by spent-stage characteristics after spawning, supports the proposed seasonal reproductive calendar. Overall, the results suggest that the two species differ in the timing and duration of reproductive activity, with </w:t>
      </w:r>
      <w:r w:rsidRPr="00AE4386">
        <w:rPr>
          <w:rFonts w:ascii="Times New Roman" w:eastAsia="Times New Roman" w:hAnsi="Times New Roman" w:cs="Times New Roman"/>
          <w:i/>
          <w:iCs/>
          <w:sz w:val="24"/>
          <w:szCs w:val="24"/>
          <w:lang w:val="en-US" w:bidi="ar-SA"/>
        </w:rPr>
        <w:t xml:space="preserve">R. </w:t>
      </w:r>
      <w:proofErr w:type="spellStart"/>
      <w:r w:rsidRPr="00AE4386">
        <w:rPr>
          <w:rFonts w:ascii="Times New Roman" w:eastAsia="Times New Roman" w:hAnsi="Times New Roman" w:cs="Times New Roman"/>
          <w:i/>
          <w:iCs/>
          <w:sz w:val="24"/>
          <w:szCs w:val="24"/>
          <w:lang w:val="en-US" w:bidi="ar-SA"/>
        </w:rPr>
        <w:t>daniconius</w:t>
      </w:r>
      <w:proofErr w:type="spellEnd"/>
      <w:r w:rsidRPr="00AE4386">
        <w:rPr>
          <w:rFonts w:ascii="Times New Roman" w:eastAsia="Times New Roman" w:hAnsi="Times New Roman" w:cs="Times New Roman"/>
          <w:sz w:val="24"/>
          <w:szCs w:val="24"/>
          <w:lang w:val="en-US" w:bidi="ar-SA"/>
        </w:rPr>
        <w:t xml:space="preserve"> showing an earlier reproductive onset than </w:t>
      </w:r>
      <w:r w:rsidRPr="00AE4386">
        <w:rPr>
          <w:rFonts w:ascii="Times New Roman" w:eastAsia="Times New Roman" w:hAnsi="Times New Roman" w:cs="Times New Roman"/>
          <w:i/>
          <w:iCs/>
          <w:sz w:val="24"/>
          <w:szCs w:val="24"/>
          <w:lang w:val="en-US" w:bidi="ar-SA"/>
        </w:rPr>
        <w:t xml:space="preserve">P. </w:t>
      </w:r>
      <w:proofErr w:type="spellStart"/>
      <w:r w:rsidRPr="00AE4386">
        <w:rPr>
          <w:rFonts w:ascii="Times New Roman" w:eastAsia="Times New Roman" w:hAnsi="Times New Roman" w:cs="Times New Roman"/>
          <w:i/>
          <w:iCs/>
          <w:sz w:val="24"/>
          <w:szCs w:val="24"/>
          <w:lang w:val="en-US" w:bidi="ar-SA"/>
        </w:rPr>
        <w:t>sophore</w:t>
      </w:r>
      <w:proofErr w:type="spellEnd"/>
      <w:r w:rsidRPr="00AE4386">
        <w:rPr>
          <w:rFonts w:ascii="Times New Roman" w:eastAsia="Times New Roman" w:hAnsi="Times New Roman" w:cs="Times New Roman"/>
          <w:sz w:val="24"/>
          <w:szCs w:val="24"/>
          <w:lang w:val="en-US" w:bidi="ar-SA"/>
        </w:rPr>
        <w:t>. These observations may assist in planning breeding-season protection and conservation-oriented management of small indigenous fish species.</w:t>
      </w:r>
    </w:p>
    <w:p w14:paraId="635BC289" w14:textId="77777777" w:rsidR="001A2F47" w:rsidRPr="00AE4386" w:rsidRDefault="001A2F47" w:rsidP="001A2F47">
      <w:pPr>
        <w:spacing w:before="100" w:beforeAutospacing="1" w:after="100" w:afterAutospacing="1" w:line="240" w:lineRule="auto"/>
        <w:outlineLvl w:val="1"/>
        <w:rPr>
          <w:rFonts w:ascii="Times New Roman" w:eastAsia="Times New Roman" w:hAnsi="Times New Roman" w:cs="Times New Roman"/>
          <w:b/>
          <w:bCs/>
          <w:sz w:val="36"/>
          <w:szCs w:val="36"/>
          <w:lang w:val="en-US" w:bidi="ar-SA"/>
        </w:rPr>
      </w:pPr>
      <w:r w:rsidRPr="00AE4386">
        <w:rPr>
          <w:rFonts w:ascii="Times New Roman" w:eastAsia="Times New Roman" w:hAnsi="Times New Roman" w:cs="Times New Roman"/>
          <w:b/>
          <w:bCs/>
          <w:sz w:val="36"/>
          <w:szCs w:val="36"/>
          <w:lang w:val="en-US" w:bidi="ar-SA"/>
        </w:rPr>
        <w:t>Limitations</w:t>
      </w:r>
    </w:p>
    <w:p w14:paraId="5242F250" w14:textId="77777777" w:rsidR="001A2F47" w:rsidRPr="00AE4386" w:rsidRDefault="001A2F47" w:rsidP="001A2F47">
      <w:pPr>
        <w:spacing w:before="100" w:beforeAutospacing="1" w:after="100" w:afterAutospacing="1" w:line="240" w:lineRule="auto"/>
        <w:rPr>
          <w:rFonts w:ascii="Times New Roman" w:eastAsia="Times New Roman" w:hAnsi="Times New Roman" w:cs="Times New Roman"/>
          <w:sz w:val="24"/>
          <w:szCs w:val="24"/>
          <w:lang w:val="en-US" w:bidi="ar-SA"/>
        </w:rPr>
      </w:pPr>
      <w:r w:rsidRPr="00AE4386">
        <w:rPr>
          <w:rFonts w:ascii="Times New Roman" w:eastAsia="Times New Roman" w:hAnsi="Times New Roman" w:cs="Times New Roman"/>
          <w:sz w:val="24"/>
          <w:szCs w:val="24"/>
          <w:lang w:val="en-US" w:bidi="ar-SA"/>
        </w:rPr>
        <w:t xml:space="preserve">The study is limited by incomplete presentation of sampling design, total sample size, sex-wise monthly distribution, and statistical procedures. The manuscript reports sex ratio and GSI values, but detailed supporting data are not fully presented. Environmental variables such as water temperature, rainfall, photoperiod, dissolved oxygen, and water level were not systematically </w:t>
      </w:r>
      <w:proofErr w:type="spellStart"/>
      <w:r w:rsidRPr="00AE4386">
        <w:rPr>
          <w:rFonts w:ascii="Times New Roman" w:eastAsia="Times New Roman" w:hAnsi="Times New Roman" w:cs="Times New Roman"/>
          <w:sz w:val="24"/>
          <w:szCs w:val="24"/>
          <w:lang w:val="en-US" w:bidi="ar-SA"/>
        </w:rPr>
        <w:t>analysed</w:t>
      </w:r>
      <w:proofErr w:type="spellEnd"/>
      <w:r w:rsidRPr="00AE4386">
        <w:rPr>
          <w:rFonts w:ascii="Times New Roman" w:eastAsia="Times New Roman" w:hAnsi="Times New Roman" w:cs="Times New Roman"/>
          <w:sz w:val="24"/>
          <w:szCs w:val="24"/>
          <w:lang w:val="en-US" w:bidi="ar-SA"/>
        </w:rPr>
        <w:t>, although these factors may influence reproductive timing. The comparison between the two species is mainly descriptive and requires stronger statistical support. Histological observations are useful, but representative microphotographs and clearer staging criteria would improve reproducibility. Therefore, the findings should be interpreted as preliminary seasonal observations.</w:t>
      </w:r>
    </w:p>
    <w:p w14:paraId="6D56BA28" w14:textId="77777777" w:rsidR="001A2F47" w:rsidRPr="00AE4386" w:rsidRDefault="001A2F47" w:rsidP="001A2F47">
      <w:pPr>
        <w:rPr>
          <w:szCs w:val="22"/>
          <w:lang w:val="en-GB" w:bidi="ar-SA"/>
          <w14:ligatures w14:val="standardContextual"/>
        </w:rPr>
      </w:pPr>
    </w:p>
    <w:p w14:paraId="4489BB88" w14:textId="77777777" w:rsidR="001A2F47" w:rsidRPr="00AE4386" w:rsidRDefault="001A2F47" w:rsidP="001A2F47">
      <w:pPr>
        <w:spacing w:after="0" w:line="240" w:lineRule="auto"/>
        <w:rPr>
          <w:rFonts w:ascii="Times New Roman" w:eastAsia="Calibri" w:hAnsi="Times New Roman" w:cs="Times New Roman"/>
          <w:b/>
          <w:szCs w:val="22"/>
          <w:lang w:val="en-US" w:bidi="ar-SA"/>
        </w:rPr>
      </w:pPr>
      <w:r w:rsidRPr="00AE4386">
        <w:rPr>
          <w:rFonts w:ascii="Times New Roman" w:eastAsia="Calibri" w:hAnsi="Times New Roman" w:cs="Times New Roman"/>
          <w:b/>
          <w:szCs w:val="22"/>
          <w:lang w:val="en-US" w:bidi="ar-SA"/>
        </w:rPr>
        <w:t>Declaration of AI Use</w:t>
      </w:r>
    </w:p>
    <w:p w14:paraId="72EC2A3E" w14:textId="77777777" w:rsidR="001A2F47" w:rsidRPr="00AE4386" w:rsidRDefault="001A2F47" w:rsidP="001A2F47">
      <w:pPr>
        <w:spacing w:after="0" w:line="240" w:lineRule="auto"/>
        <w:rPr>
          <w:rFonts w:ascii="Times New Roman" w:eastAsia="Calibri" w:hAnsi="Times New Roman" w:cs="Times New Roman"/>
          <w:szCs w:val="22"/>
          <w:lang w:val="en-US" w:bidi="ar-SA"/>
        </w:rPr>
      </w:pPr>
    </w:p>
    <w:p w14:paraId="691D848E" w14:textId="77777777" w:rsidR="001A2F47" w:rsidRPr="00AE4386" w:rsidRDefault="001A2F47" w:rsidP="001A2F47">
      <w:pPr>
        <w:spacing w:after="0" w:line="240" w:lineRule="auto"/>
        <w:jc w:val="both"/>
        <w:rPr>
          <w:rFonts w:ascii="Times New Roman" w:eastAsia="Calibri" w:hAnsi="Times New Roman" w:cs="Times New Roman"/>
          <w:szCs w:val="22"/>
          <w:lang w:val="en-US" w:bidi="ar-SA"/>
        </w:rPr>
      </w:pPr>
      <w:r w:rsidRPr="00AE4386">
        <w:rPr>
          <w:rFonts w:ascii="Times New Roman" w:eastAsia="Calibri" w:hAnsi="Times New Roman" w:cs="Times New Roman"/>
          <w:szCs w:val="22"/>
          <w:lang w:val="en-US" w:bidi="ar-SA"/>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4C082E7" w14:textId="77777777" w:rsidR="001A2F47" w:rsidRDefault="001A2F47" w:rsidP="00C31A0C">
      <w:pPr>
        <w:jc w:val="both"/>
      </w:pPr>
    </w:p>
    <w:p w14:paraId="2ABAC242" w14:textId="77777777" w:rsidR="00107B0F" w:rsidRDefault="00107B0F" w:rsidP="00107B0F">
      <w:pPr>
        <w:jc w:val="both"/>
      </w:pPr>
      <w:r>
        <w:t>COMPETING INTERESTS DISCLAIMER:</w:t>
      </w:r>
    </w:p>
    <w:p w14:paraId="4CA5DD5B" w14:textId="59BB1D11" w:rsidR="00107B0F" w:rsidRPr="00AE4386" w:rsidRDefault="00107B0F" w:rsidP="00107B0F">
      <w:pPr>
        <w:jc w:val="both"/>
      </w:pPr>
      <w:r>
        <w:t>Authors have declared that they have no known competing financial interests OR non-financial interests OR personal relationships that could have appeared to influence the work reported in this paper.</w:t>
      </w:r>
    </w:p>
    <w:p w14:paraId="424E98D6" w14:textId="77777777" w:rsidR="001A2F47" w:rsidRPr="00AE4386" w:rsidRDefault="001A2F47" w:rsidP="00C31A0C">
      <w:pPr>
        <w:jc w:val="both"/>
      </w:pPr>
    </w:p>
    <w:p w14:paraId="3F32B6C2" w14:textId="486ABFD8" w:rsidR="00BE64A6" w:rsidRPr="00AE4386" w:rsidRDefault="00BE64A6" w:rsidP="00C31A0C">
      <w:pPr>
        <w:jc w:val="both"/>
      </w:pPr>
      <w:r w:rsidRPr="00AE4386">
        <w:t>References</w:t>
      </w:r>
    </w:p>
    <w:p w14:paraId="179A18DB" w14:textId="77777777" w:rsidR="00A3717B" w:rsidRPr="00AE4386" w:rsidRDefault="00000000">
      <w:r w:rsidRPr="00AE4386">
        <w:rPr>
          <w:rFonts w:ascii="Times New Roman" w:hAnsi="Times New Roman"/>
          <w:sz w:val="24"/>
        </w:rPr>
        <w:t>Biswas, S. P. (1993). Manual of methods in fish biology. South Asian Publishers. https://www.worldcat.org/search?q=Manual+of+methods+in+fish+biology+Biswas</w:t>
      </w:r>
    </w:p>
    <w:p w14:paraId="0DB83E03" w14:textId="77777777" w:rsidR="00A3717B" w:rsidRPr="00AE4386" w:rsidRDefault="00000000">
      <w:r w:rsidRPr="00AE4386">
        <w:rPr>
          <w:rFonts w:ascii="Times New Roman" w:hAnsi="Times New Roman"/>
          <w:sz w:val="24"/>
        </w:rPr>
        <w:lastRenderedPageBreak/>
        <w:t>Chakrabarti, P., &amp; Kulshrestha, S. K. (1996). Reproductive biology of freshwater fishes of India. Journal of Inland Fisheries Society of India, 28(1), 1-10. https://www.worldcat.org/search?q=Reproductive+biology+of+freshwater+fishes+of+India+Chakrabarti+Kulshrestha</w:t>
      </w:r>
    </w:p>
    <w:p w14:paraId="702FB242" w14:textId="77777777" w:rsidR="00A3717B" w:rsidRPr="00AE4386" w:rsidRDefault="00000000">
      <w:r w:rsidRPr="00AE4386">
        <w:rPr>
          <w:rFonts w:ascii="Times New Roman" w:hAnsi="Times New Roman"/>
          <w:sz w:val="24"/>
        </w:rPr>
        <w:t>Das, S. M., &amp; Moitra, S. K. (1955). Studies on the gonadal cycle of Indian freshwater fishes. Proceedings of the National Institute of Sciences of India. https://www.worldcat.org/search?q=Studies+on+the+gonadal+cycle+of+Indian+freshwater+fishes+Das+Moitra</w:t>
      </w:r>
    </w:p>
    <w:p w14:paraId="70D67E84" w14:textId="77777777" w:rsidR="00A3717B" w:rsidRPr="00AE4386" w:rsidRDefault="00000000">
      <w:r w:rsidRPr="00AE4386">
        <w:rPr>
          <w:rFonts w:ascii="Times New Roman" w:hAnsi="Times New Roman"/>
          <w:sz w:val="24"/>
        </w:rPr>
        <w:t xml:space="preserve">de Oliveira, S. M., dos Santos, F. C. A., </w:t>
      </w:r>
      <w:proofErr w:type="spellStart"/>
      <w:r w:rsidRPr="00AE4386">
        <w:rPr>
          <w:rFonts w:ascii="Times New Roman" w:hAnsi="Times New Roman"/>
          <w:sz w:val="24"/>
        </w:rPr>
        <w:t>Taboga</w:t>
      </w:r>
      <w:proofErr w:type="spellEnd"/>
      <w:r w:rsidRPr="00AE4386">
        <w:rPr>
          <w:rFonts w:ascii="Times New Roman" w:hAnsi="Times New Roman"/>
          <w:sz w:val="24"/>
        </w:rPr>
        <w:t xml:space="preserve">, S. R., &amp; Mimura, K. K. O. (2025). Testicular morphology of the teleost fish </w:t>
      </w:r>
      <w:proofErr w:type="spellStart"/>
      <w:r w:rsidRPr="00AE4386">
        <w:rPr>
          <w:rFonts w:ascii="Times New Roman" w:hAnsi="Times New Roman"/>
          <w:sz w:val="24"/>
        </w:rPr>
        <w:t>Psalidodon</w:t>
      </w:r>
      <w:proofErr w:type="spellEnd"/>
      <w:r w:rsidRPr="00AE4386">
        <w:rPr>
          <w:rFonts w:ascii="Times New Roman" w:hAnsi="Times New Roman"/>
          <w:sz w:val="24"/>
        </w:rPr>
        <w:t xml:space="preserve"> </w:t>
      </w:r>
      <w:proofErr w:type="spellStart"/>
      <w:r w:rsidRPr="00AE4386">
        <w:rPr>
          <w:rFonts w:ascii="Times New Roman" w:hAnsi="Times New Roman"/>
          <w:sz w:val="24"/>
        </w:rPr>
        <w:t>xavante</w:t>
      </w:r>
      <w:proofErr w:type="spellEnd"/>
      <w:r w:rsidRPr="00AE4386">
        <w:rPr>
          <w:rFonts w:ascii="Times New Roman" w:hAnsi="Times New Roman"/>
          <w:sz w:val="24"/>
        </w:rPr>
        <w:t xml:space="preserve"> (</w:t>
      </w:r>
      <w:proofErr w:type="spellStart"/>
      <w:r w:rsidRPr="00AE4386">
        <w:rPr>
          <w:rFonts w:ascii="Times New Roman" w:hAnsi="Times New Roman"/>
          <w:sz w:val="24"/>
        </w:rPr>
        <w:t>Garutti</w:t>
      </w:r>
      <w:proofErr w:type="spellEnd"/>
      <w:r w:rsidRPr="00AE4386">
        <w:rPr>
          <w:rFonts w:ascii="Times New Roman" w:hAnsi="Times New Roman"/>
          <w:sz w:val="24"/>
        </w:rPr>
        <w:t xml:space="preserve"> &amp; Venere, 2009): Insights from light and transmission electron microscopy. </w:t>
      </w:r>
      <w:proofErr w:type="spellStart"/>
      <w:r w:rsidRPr="00AE4386">
        <w:rPr>
          <w:rFonts w:ascii="Times New Roman" w:hAnsi="Times New Roman"/>
          <w:sz w:val="24"/>
        </w:rPr>
        <w:t>Zoomorphology</w:t>
      </w:r>
      <w:proofErr w:type="spellEnd"/>
      <w:r w:rsidRPr="00AE4386">
        <w:rPr>
          <w:rFonts w:ascii="Times New Roman" w:hAnsi="Times New Roman"/>
          <w:sz w:val="24"/>
        </w:rPr>
        <w:t>, 144, 65. https://doi.org/10.1007/s00435-025-00749-9</w:t>
      </w:r>
    </w:p>
    <w:p w14:paraId="6FC0878F" w14:textId="77777777" w:rsidR="00A3717B" w:rsidRPr="00AE4386" w:rsidRDefault="00000000">
      <w:r w:rsidRPr="00AE4386">
        <w:rPr>
          <w:rFonts w:ascii="Times New Roman" w:hAnsi="Times New Roman"/>
          <w:sz w:val="24"/>
        </w:rPr>
        <w:t>Grier, H. J. (1981). Cellular organization of the testis and spermatogenesis in fishes. American Zoologist, 21(2), 345-357. https://doi.org/10.1093/icb/21.2.345</w:t>
      </w:r>
    </w:p>
    <w:p w14:paraId="481D71A9" w14:textId="77777777" w:rsidR="00A3717B" w:rsidRPr="00AE4386" w:rsidRDefault="00000000">
      <w:r w:rsidRPr="00AE4386">
        <w:rPr>
          <w:rFonts w:ascii="Times New Roman" w:hAnsi="Times New Roman"/>
          <w:sz w:val="24"/>
        </w:rPr>
        <w:t xml:space="preserve">Hasan, T., Hossain, M. F., Mamun, M., Alam, M. J., Salam, M. A., &amp; </w:t>
      </w:r>
      <w:proofErr w:type="spellStart"/>
      <w:r w:rsidRPr="00AE4386">
        <w:rPr>
          <w:rFonts w:ascii="Times New Roman" w:hAnsi="Times New Roman"/>
          <w:sz w:val="24"/>
        </w:rPr>
        <w:t>Rafiquzzaman</w:t>
      </w:r>
      <w:proofErr w:type="spellEnd"/>
      <w:r w:rsidRPr="00AE4386">
        <w:rPr>
          <w:rFonts w:ascii="Times New Roman" w:hAnsi="Times New Roman"/>
          <w:sz w:val="24"/>
        </w:rPr>
        <w:t xml:space="preserve">, S. M. (2018). Reproductive biology of Puntius </w:t>
      </w:r>
      <w:proofErr w:type="spellStart"/>
      <w:r w:rsidRPr="00AE4386">
        <w:rPr>
          <w:rFonts w:ascii="Times New Roman" w:hAnsi="Times New Roman"/>
          <w:sz w:val="24"/>
        </w:rPr>
        <w:t>sophore</w:t>
      </w:r>
      <w:proofErr w:type="spellEnd"/>
      <w:r w:rsidRPr="00AE4386">
        <w:rPr>
          <w:rFonts w:ascii="Times New Roman" w:hAnsi="Times New Roman"/>
          <w:sz w:val="24"/>
        </w:rPr>
        <w:t xml:space="preserve"> in Bangladesh. Fishes, 3(2), 22. https://doi.org/10.3390/fishes3020022</w:t>
      </w:r>
    </w:p>
    <w:p w14:paraId="2C9E2BD9" w14:textId="77777777" w:rsidR="00A3717B" w:rsidRPr="00AE4386" w:rsidRDefault="00000000">
      <w:r w:rsidRPr="00AE4386">
        <w:rPr>
          <w:rFonts w:ascii="Times New Roman" w:hAnsi="Times New Roman"/>
          <w:sz w:val="24"/>
        </w:rPr>
        <w:t>IUCN Bangladesh. (2015). Red list of Bangladesh: A brief on assessment result 2015. IUCN, International Union for Conservation of Nature, Bangladesh Country Office. https://portals.iucn.org/library/node/46323</w:t>
      </w:r>
    </w:p>
    <w:p w14:paraId="4B04FA4D" w14:textId="77777777" w:rsidR="00A3717B" w:rsidRPr="00AE4386" w:rsidRDefault="00000000">
      <w:proofErr w:type="spellStart"/>
      <w:r w:rsidRPr="00AE4386">
        <w:rPr>
          <w:rFonts w:ascii="Times New Roman" w:hAnsi="Times New Roman"/>
          <w:sz w:val="24"/>
        </w:rPr>
        <w:t>Jhingran</w:t>
      </w:r>
      <w:proofErr w:type="spellEnd"/>
      <w:r w:rsidRPr="00AE4386">
        <w:rPr>
          <w:rFonts w:ascii="Times New Roman" w:hAnsi="Times New Roman"/>
          <w:sz w:val="24"/>
        </w:rPr>
        <w:t>, V. G. (1991). Fish and fisheries of India (3rd ed.). Hindustan Publishing Corporation. https://www.worldcat.org/search?q=Fish+and+fisheries+of+India+Jhingran+1991</w:t>
      </w:r>
    </w:p>
    <w:p w14:paraId="190326FB" w14:textId="77777777" w:rsidR="00A3717B" w:rsidRPr="00AE4386" w:rsidRDefault="00000000">
      <w:r w:rsidRPr="00AE4386">
        <w:rPr>
          <w:rFonts w:ascii="Times New Roman" w:hAnsi="Times New Roman"/>
          <w:sz w:val="24"/>
        </w:rPr>
        <w:t>Lagler, K. F., Bardach, J. E., Miller, R. R., &amp; Passino, D. R. M. (1977). Ichthyology (2nd ed.). John Wiley &amp; Sons. https://www.worldcat.org/search?q=Ichthyology+Lagler+Bardach+Miller+Passino+1977</w:t>
      </w:r>
    </w:p>
    <w:p w14:paraId="28FB17D8" w14:textId="77777777" w:rsidR="00A3717B" w:rsidRPr="00AE4386" w:rsidRDefault="00000000">
      <w:r w:rsidRPr="00AE4386">
        <w:rPr>
          <w:rFonts w:ascii="Times New Roman" w:hAnsi="Times New Roman"/>
          <w:sz w:val="24"/>
        </w:rPr>
        <w:t>Lowe-McConnell, R. H. (1987). Ecological studies in tropical fish communities. Cambridge University Press. https://doi.org/10.1017/CBO9780511721892</w:t>
      </w:r>
    </w:p>
    <w:p w14:paraId="43CE76D6" w14:textId="77777777" w:rsidR="00A3717B" w:rsidRPr="00AE4386" w:rsidRDefault="00000000">
      <w:proofErr w:type="spellStart"/>
      <w:r w:rsidRPr="00AE4386">
        <w:rPr>
          <w:rFonts w:ascii="Times New Roman" w:hAnsi="Times New Roman"/>
          <w:sz w:val="24"/>
        </w:rPr>
        <w:t>Lubzens</w:t>
      </w:r>
      <w:proofErr w:type="spellEnd"/>
      <w:r w:rsidRPr="00AE4386">
        <w:rPr>
          <w:rFonts w:ascii="Times New Roman" w:hAnsi="Times New Roman"/>
          <w:sz w:val="24"/>
        </w:rPr>
        <w:t xml:space="preserve">, E., Young, G., Bobe, J., &amp; </w:t>
      </w:r>
      <w:proofErr w:type="spellStart"/>
      <w:r w:rsidRPr="00AE4386">
        <w:rPr>
          <w:rFonts w:ascii="Times New Roman" w:hAnsi="Times New Roman"/>
          <w:sz w:val="24"/>
        </w:rPr>
        <w:t>Cerdà</w:t>
      </w:r>
      <w:proofErr w:type="spellEnd"/>
      <w:r w:rsidRPr="00AE4386">
        <w:rPr>
          <w:rFonts w:ascii="Times New Roman" w:hAnsi="Times New Roman"/>
          <w:sz w:val="24"/>
        </w:rPr>
        <w:t xml:space="preserve">, J. (2010). Oogenesis in </w:t>
      </w:r>
      <w:proofErr w:type="spellStart"/>
      <w:r w:rsidRPr="00AE4386">
        <w:rPr>
          <w:rFonts w:ascii="Times New Roman" w:hAnsi="Times New Roman"/>
          <w:sz w:val="24"/>
        </w:rPr>
        <w:t>teleosts</w:t>
      </w:r>
      <w:proofErr w:type="spellEnd"/>
      <w:r w:rsidRPr="00AE4386">
        <w:rPr>
          <w:rFonts w:ascii="Times New Roman" w:hAnsi="Times New Roman"/>
          <w:sz w:val="24"/>
        </w:rPr>
        <w:t>: How fish eggs are formed. General and Comparative Endocrinology, 165(3), 367-389. https://doi.org/10.1016/j.ygcen.2009.05.022</w:t>
      </w:r>
    </w:p>
    <w:p w14:paraId="62B1C083" w14:textId="77777777" w:rsidR="00A3717B" w:rsidRPr="00AE4386" w:rsidRDefault="00000000">
      <w:r w:rsidRPr="00AE4386">
        <w:rPr>
          <w:rFonts w:ascii="Times New Roman" w:hAnsi="Times New Roman"/>
          <w:sz w:val="24"/>
        </w:rPr>
        <w:t>Murua, H., &amp; Saborido-Rey, F. (2003). Female reproductive strategies of marine fish species of the North Atlantic. Journal of Northwest Atlantic Fishery Science, 33, 23-31. https://doi.org/10.2960/J.v33.a2</w:t>
      </w:r>
    </w:p>
    <w:p w14:paraId="58335A73" w14:textId="77777777" w:rsidR="00A3717B" w:rsidRPr="00AE4386" w:rsidRDefault="00000000">
      <w:r w:rsidRPr="00AE4386">
        <w:rPr>
          <w:rFonts w:ascii="Times New Roman" w:hAnsi="Times New Roman"/>
          <w:sz w:val="24"/>
        </w:rPr>
        <w:t>Nagahama, Y. (1983). The functional morphology of teleost gonads. In W. S. Hoar, D. J. Randall, &amp; E. M. Donaldson (Eds.), Fish physiology: Reproduction, Part A (Vol. 9, pp. 223-275). Academic Press. https://doi.org/10.1016/S1546-5098(08)60303-7</w:t>
      </w:r>
    </w:p>
    <w:p w14:paraId="4521C718" w14:textId="77777777" w:rsidR="00A3717B" w:rsidRPr="00AE4386" w:rsidRDefault="00000000">
      <w:r w:rsidRPr="00AE4386">
        <w:rPr>
          <w:rFonts w:ascii="Times New Roman" w:hAnsi="Times New Roman"/>
          <w:sz w:val="24"/>
        </w:rPr>
        <w:lastRenderedPageBreak/>
        <w:t xml:space="preserve">Nagendran, R., Shakuntala, K., Natarajan, G. N., &amp; Vasan, H. R. K. (1981). Observations on the fecundity of the cyprinid Rasbora </w:t>
      </w:r>
      <w:proofErr w:type="spellStart"/>
      <w:r w:rsidRPr="00AE4386">
        <w:rPr>
          <w:rFonts w:ascii="Times New Roman" w:hAnsi="Times New Roman"/>
          <w:sz w:val="24"/>
        </w:rPr>
        <w:t>daniconius</w:t>
      </w:r>
      <w:proofErr w:type="spellEnd"/>
      <w:r w:rsidRPr="00AE4386">
        <w:rPr>
          <w:rFonts w:ascii="Times New Roman" w:hAnsi="Times New Roman"/>
          <w:sz w:val="24"/>
        </w:rPr>
        <w:t xml:space="preserve"> (Hamilton). Proceedings: Animal Sciences, 90, 381-388. https://doi.org/10.1007/BF03186016</w:t>
      </w:r>
    </w:p>
    <w:p w14:paraId="3BDFAAFA" w14:textId="77777777" w:rsidR="00A3717B" w:rsidRPr="00AE4386" w:rsidRDefault="00000000">
      <w:r w:rsidRPr="00AE4386">
        <w:rPr>
          <w:rFonts w:ascii="Times New Roman" w:hAnsi="Times New Roman"/>
          <w:sz w:val="24"/>
        </w:rPr>
        <w:t>Nikolsky, G. V. (1963). The ecology of fishes. Academic Press. https://www.worldcat.org/search?q=The+ecology+of+fishes+Nikolsky+1963</w:t>
      </w:r>
    </w:p>
    <w:p w14:paraId="0EAF08B2" w14:textId="77777777" w:rsidR="00A3717B" w:rsidRPr="00AE4386" w:rsidRDefault="00000000">
      <w:r w:rsidRPr="00AE4386">
        <w:rPr>
          <w:rFonts w:ascii="Times New Roman" w:hAnsi="Times New Roman"/>
          <w:sz w:val="24"/>
        </w:rPr>
        <w:t>Parenti, L. R., &amp; Grier, H. J. (2004). Evolution and phylogeny of gonad morphology in bony fishes. Integrative and Comparative Biology, 44(5), 333-348. https://doi.org/10.1093/icb/44.5.333</w:t>
      </w:r>
    </w:p>
    <w:p w14:paraId="6BED6044" w14:textId="77777777" w:rsidR="00A3717B" w:rsidRPr="00AE4386" w:rsidRDefault="00000000">
      <w:r w:rsidRPr="00AE4386">
        <w:rPr>
          <w:rFonts w:ascii="Times New Roman" w:hAnsi="Times New Roman"/>
          <w:sz w:val="24"/>
        </w:rPr>
        <w:t>Patiño, R., &amp; Sullivan, C. V. (2002). Ovarian follicle growth, maturation, and ovulation in teleost fish. Fish Physiology and Biochemistry, 26, 57-70. https://doi.org/10.1023/A:1023311613987</w:t>
      </w:r>
    </w:p>
    <w:p w14:paraId="0C92F51C" w14:textId="77777777" w:rsidR="00A3717B" w:rsidRPr="00AE4386" w:rsidRDefault="00000000">
      <w:r w:rsidRPr="00AE4386">
        <w:rPr>
          <w:rFonts w:ascii="Times New Roman" w:hAnsi="Times New Roman"/>
          <w:sz w:val="24"/>
        </w:rPr>
        <w:t>Qasim, S. Z. (1973). An appraisal of the studies on the growth of fishes. Indian Journal of Fisheries, 20(2), 351-371. http://eprints.cmfri.org.in/id/eprint/1440</w:t>
      </w:r>
    </w:p>
    <w:p w14:paraId="7CD1F5EE" w14:textId="77777777" w:rsidR="00A3717B" w:rsidRPr="00AE4386" w:rsidRDefault="00000000">
      <w:r w:rsidRPr="00AE4386">
        <w:rPr>
          <w:rFonts w:ascii="Times New Roman" w:hAnsi="Times New Roman"/>
          <w:sz w:val="24"/>
        </w:rPr>
        <w:t xml:space="preserve">Ross, S. T. (1986). Resource partitioning in fish assemblages: A review of field studies. </w:t>
      </w:r>
      <w:proofErr w:type="spellStart"/>
      <w:r w:rsidRPr="00AE4386">
        <w:rPr>
          <w:rFonts w:ascii="Times New Roman" w:hAnsi="Times New Roman"/>
          <w:sz w:val="24"/>
        </w:rPr>
        <w:t>Copeia</w:t>
      </w:r>
      <w:proofErr w:type="spellEnd"/>
      <w:r w:rsidRPr="00AE4386">
        <w:rPr>
          <w:rFonts w:ascii="Times New Roman" w:hAnsi="Times New Roman"/>
          <w:sz w:val="24"/>
        </w:rPr>
        <w:t>, 1986(2), 352-388. https://doi.org/10.2307/1444996</w:t>
      </w:r>
    </w:p>
    <w:p w14:paraId="1DD4A599" w14:textId="77777777" w:rsidR="00A3717B" w:rsidRPr="00AE4386" w:rsidRDefault="00000000">
      <w:r w:rsidRPr="00AE4386">
        <w:rPr>
          <w:rFonts w:ascii="Times New Roman" w:hAnsi="Times New Roman"/>
          <w:sz w:val="24"/>
        </w:rPr>
        <w:t xml:space="preserve">Schulz, R. W., de França, L. R., </w:t>
      </w:r>
      <w:proofErr w:type="spellStart"/>
      <w:r w:rsidRPr="00AE4386">
        <w:rPr>
          <w:rFonts w:ascii="Times New Roman" w:hAnsi="Times New Roman"/>
          <w:sz w:val="24"/>
        </w:rPr>
        <w:t>Lareyre</w:t>
      </w:r>
      <w:proofErr w:type="spellEnd"/>
      <w:r w:rsidRPr="00AE4386">
        <w:rPr>
          <w:rFonts w:ascii="Times New Roman" w:hAnsi="Times New Roman"/>
          <w:sz w:val="24"/>
        </w:rPr>
        <w:t>, J. J., Le Gac, F., Chiarini-Garcia, H., Nobrega, R. H., &amp; Miura, T. (2010). Spermatogenesis in fish. General and Comparative Endocrinology, 165(3), 390-411. https://doi.org/10.1016/j.ygcen.2009.02.013</w:t>
      </w:r>
    </w:p>
    <w:p w14:paraId="01E1950F" w14:textId="77777777" w:rsidR="00A3717B" w:rsidRPr="00AE4386" w:rsidRDefault="00000000">
      <w:r w:rsidRPr="00AE4386">
        <w:rPr>
          <w:rFonts w:ascii="Times New Roman" w:hAnsi="Times New Roman"/>
          <w:sz w:val="24"/>
        </w:rPr>
        <w:t xml:space="preserve">Shafi, M., &amp; Quddus, M. M. A. (1982). </w:t>
      </w:r>
      <w:proofErr w:type="spellStart"/>
      <w:r w:rsidRPr="00AE4386">
        <w:rPr>
          <w:rFonts w:ascii="Times New Roman" w:hAnsi="Times New Roman"/>
          <w:sz w:val="24"/>
        </w:rPr>
        <w:t>Bangladesher</w:t>
      </w:r>
      <w:proofErr w:type="spellEnd"/>
      <w:r w:rsidRPr="00AE4386">
        <w:rPr>
          <w:rFonts w:ascii="Times New Roman" w:hAnsi="Times New Roman"/>
          <w:sz w:val="24"/>
        </w:rPr>
        <w:t xml:space="preserve"> </w:t>
      </w:r>
      <w:proofErr w:type="spellStart"/>
      <w:r w:rsidRPr="00AE4386">
        <w:rPr>
          <w:rFonts w:ascii="Times New Roman" w:hAnsi="Times New Roman"/>
          <w:sz w:val="24"/>
        </w:rPr>
        <w:t>matsya</w:t>
      </w:r>
      <w:proofErr w:type="spellEnd"/>
      <w:r w:rsidRPr="00AE4386">
        <w:rPr>
          <w:rFonts w:ascii="Times New Roman" w:hAnsi="Times New Roman"/>
          <w:sz w:val="24"/>
        </w:rPr>
        <w:t xml:space="preserve"> </w:t>
      </w:r>
      <w:proofErr w:type="spellStart"/>
      <w:r w:rsidRPr="00AE4386">
        <w:rPr>
          <w:rFonts w:ascii="Times New Roman" w:hAnsi="Times New Roman"/>
          <w:sz w:val="24"/>
        </w:rPr>
        <w:t>sampad</w:t>
      </w:r>
      <w:proofErr w:type="spellEnd"/>
      <w:r w:rsidRPr="00AE4386">
        <w:rPr>
          <w:rFonts w:ascii="Times New Roman" w:hAnsi="Times New Roman"/>
          <w:sz w:val="24"/>
        </w:rPr>
        <w:t xml:space="preserve"> (Fisheries resources of Bangladesh). Bangla Academy. https://www.worldcat.org/search?q=Shafi+Quddus+Bangladesher+matsya+sampad+1982</w:t>
      </w:r>
    </w:p>
    <w:p w14:paraId="462015F3" w14:textId="77777777" w:rsidR="00A3717B" w:rsidRPr="00AE4386" w:rsidRDefault="00000000">
      <w:r w:rsidRPr="00AE4386">
        <w:rPr>
          <w:rFonts w:ascii="Times New Roman" w:hAnsi="Times New Roman"/>
          <w:sz w:val="24"/>
        </w:rPr>
        <w:t>Weatherley, A. H., &amp; Gill, H. S. (1987). The biology of fish growth. Academic Press. https://www.worldcat.org/search?q=The+biology+of+fish+growth+Weatherley+Gill+1987</w:t>
      </w:r>
    </w:p>
    <w:p w14:paraId="57F6D947" w14:textId="77777777" w:rsidR="00A3717B" w:rsidRPr="00AE4386" w:rsidRDefault="00000000">
      <w:r w:rsidRPr="00AE4386">
        <w:rPr>
          <w:rFonts w:ascii="Times New Roman" w:hAnsi="Times New Roman"/>
          <w:sz w:val="24"/>
        </w:rPr>
        <w:t>West, G. (1990). Methods of assessing ovarian development in fishes: A review. Australian Journal of Marine and Freshwater Research, 41(2), 199-222. https://doi.org/10.1071/MF9900199</w:t>
      </w:r>
    </w:p>
    <w:p w14:paraId="33FA6D02" w14:textId="77777777" w:rsidR="00A3717B" w:rsidRPr="00AE4386" w:rsidRDefault="00000000">
      <w:r w:rsidRPr="00AE4386">
        <w:rPr>
          <w:rFonts w:ascii="Times New Roman" w:hAnsi="Times New Roman"/>
          <w:sz w:val="24"/>
        </w:rPr>
        <w:t>Wootton, R. J. (1990). Ecology of teleost fishes. Chapman &amp; Hall. https://doi.org/10.1007/978-94-009-0829-1</w:t>
      </w:r>
    </w:p>
    <w:p w14:paraId="2934B501" w14:textId="77777777" w:rsidR="00A3717B" w:rsidRDefault="00000000">
      <w:proofErr w:type="spellStart"/>
      <w:r w:rsidRPr="00AE4386">
        <w:rPr>
          <w:rFonts w:ascii="Times New Roman" w:hAnsi="Times New Roman"/>
          <w:sz w:val="24"/>
        </w:rPr>
        <w:t>Yamahira</w:t>
      </w:r>
      <w:proofErr w:type="spellEnd"/>
      <w:r w:rsidRPr="00AE4386">
        <w:rPr>
          <w:rFonts w:ascii="Times New Roman" w:hAnsi="Times New Roman"/>
          <w:sz w:val="24"/>
        </w:rPr>
        <w:t>, K. (2004). How do multiple environmental cycles in combination determine reproductive timing in marine organisms? A model and test. Functional Ecology, 18(1), 4-15. https://doi.org/10.1046/j.0269-8463.2004.00795.x</w:t>
      </w:r>
    </w:p>
    <w:sectPr w:rsidR="00A3717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BF61B" w14:textId="77777777" w:rsidR="00C465DF" w:rsidRDefault="00C465DF" w:rsidP="0032731B">
      <w:pPr>
        <w:spacing w:after="0" w:line="240" w:lineRule="auto"/>
      </w:pPr>
      <w:r>
        <w:separator/>
      </w:r>
    </w:p>
  </w:endnote>
  <w:endnote w:type="continuationSeparator" w:id="0">
    <w:p w14:paraId="4CA793D7" w14:textId="77777777" w:rsidR="00C465DF" w:rsidRDefault="00C465DF" w:rsidP="00327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97CCA" w14:textId="77777777" w:rsidR="0032731B" w:rsidRDefault="003273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81656" w14:textId="77777777" w:rsidR="0032731B" w:rsidRDefault="003273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50621" w14:textId="77777777" w:rsidR="0032731B" w:rsidRDefault="003273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E822D" w14:textId="77777777" w:rsidR="00C465DF" w:rsidRDefault="00C465DF" w:rsidP="0032731B">
      <w:pPr>
        <w:spacing w:after="0" w:line="240" w:lineRule="auto"/>
      </w:pPr>
      <w:r>
        <w:separator/>
      </w:r>
    </w:p>
  </w:footnote>
  <w:footnote w:type="continuationSeparator" w:id="0">
    <w:p w14:paraId="380C5DDA" w14:textId="77777777" w:rsidR="00C465DF" w:rsidRDefault="00C465DF" w:rsidP="003273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B6C0A" w14:textId="4048D86A" w:rsidR="0032731B" w:rsidRDefault="0032731B">
    <w:pPr>
      <w:pStyle w:val="Header"/>
    </w:pPr>
    <w:r>
      <w:rPr>
        <w:noProof/>
      </w:rPr>
      <w:pict w14:anchorId="29B92E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717188"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6044" w14:textId="3C63D049" w:rsidR="0032731B" w:rsidRDefault="0032731B">
    <w:pPr>
      <w:pStyle w:val="Header"/>
    </w:pPr>
    <w:r>
      <w:rPr>
        <w:noProof/>
      </w:rPr>
      <w:pict w14:anchorId="7A5C27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717189"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6D3A0" w14:textId="20129E7C" w:rsidR="0032731B" w:rsidRDefault="0032731B">
    <w:pPr>
      <w:pStyle w:val="Header"/>
    </w:pPr>
    <w:r>
      <w:rPr>
        <w:noProof/>
      </w:rPr>
      <w:pict w14:anchorId="6C0893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717187"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1C42CD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8C67AFF"/>
    <w:multiLevelType w:val="hybridMultilevel"/>
    <w:tmpl w:val="6CB48CB0"/>
    <w:lvl w:ilvl="0" w:tplc="4009000F">
      <w:start w:val="1"/>
      <w:numFmt w:val="decimal"/>
      <w:lvlText w:val="%1."/>
      <w:lvlJc w:val="left"/>
      <w:pPr>
        <w:ind w:left="3600" w:hanging="360"/>
      </w:pPr>
    </w:lvl>
    <w:lvl w:ilvl="1" w:tplc="40090019" w:tentative="1">
      <w:start w:val="1"/>
      <w:numFmt w:val="lowerLetter"/>
      <w:lvlText w:val="%2."/>
      <w:lvlJc w:val="left"/>
      <w:pPr>
        <w:ind w:left="4320" w:hanging="360"/>
      </w:pPr>
    </w:lvl>
    <w:lvl w:ilvl="2" w:tplc="4009001B" w:tentative="1">
      <w:start w:val="1"/>
      <w:numFmt w:val="lowerRoman"/>
      <w:lvlText w:val="%3."/>
      <w:lvlJc w:val="right"/>
      <w:pPr>
        <w:ind w:left="5040" w:hanging="180"/>
      </w:pPr>
    </w:lvl>
    <w:lvl w:ilvl="3" w:tplc="4009000F" w:tentative="1">
      <w:start w:val="1"/>
      <w:numFmt w:val="decimal"/>
      <w:lvlText w:val="%4."/>
      <w:lvlJc w:val="left"/>
      <w:pPr>
        <w:ind w:left="5760" w:hanging="360"/>
      </w:pPr>
    </w:lvl>
    <w:lvl w:ilvl="4" w:tplc="40090019" w:tentative="1">
      <w:start w:val="1"/>
      <w:numFmt w:val="lowerLetter"/>
      <w:lvlText w:val="%5."/>
      <w:lvlJc w:val="left"/>
      <w:pPr>
        <w:ind w:left="6480" w:hanging="360"/>
      </w:pPr>
    </w:lvl>
    <w:lvl w:ilvl="5" w:tplc="4009001B" w:tentative="1">
      <w:start w:val="1"/>
      <w:numFmt w:val="lowerRoman"/>
      <w:lvlText w:val="%6."/>
      <w:lvlJc w:val="right"/>
      <w:pPr>
        <w:ind w:left="7200" w:hanging="180"/>
      </w:pPr>
    </w:lvl>
    <w:lvl w:ilvl="6" w:tplc="4009000F" w:tentative="1">
      <w:start w:val="1"/>
      <w:numFmt w:val="decimal"/>
      <w:lvlText w:val="%7."/>
      <w:lvlJc w:val="left"/>
      <w:pPr>
        <w:ind w:left="7920" w:hanging="360"/>
      </w:pPr>
    </w:lvl>
    <w:lvl w:ilvl="7" w:tplc="40090019" w:tentative="1">
      <w:start w:val="1"/>
      <w:numFmt w:val="lowerLetter"/>
      <w:lvlText w:val="%8."/>
      <w:lvlJc w:val="left"/>
      <w:pPr>
        <w:ind w:left="8640" w:hanging="360"/>
      </w:pPr>
    </w:lvl>
    <w:lvl w:ilvl="8" w:tplc="4009001B" w:tentative="1">
      <w:start w:val="1"/>
      <w:numFmt w:val="lowerRoman"/>
      <w:lvlText w:val="%9."/>
      <w:lvlJc w:val="right"/>
      <w:pPr>
        <w:ind w:left="9360" w:hanging="180"/>
      </w:pPr>
    </w:lvl>
  </w:abstractNum>
  <w:abstractNum w:abstractNumId="2" w15:restartNumberingAfterBreak="0">
    <w:nsid w:val="2BCF53ED"/>
    <w:multiLevelType w:val="hybridMultilevel"/>
    <w:tmpl w:val="F1C4B31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73C51B81"/>
    <w:multiLevelType w:val="multilevel"/>
    <w:tmpl w:val="BAE21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5228082">
    <w:abstractNumId w:val="0"/>
  </w:num>
  <w:num w:numId="2" w16cid:durableId="1477604657">
    <w:abstractNumId w:val="1"/>
  </w:num>
  <w:num w:numId="3" w16cid:durableId="448014981">
    <w:abstractNumId w:val="2"/>
  </w:num>
  <w:num w:numId="4" w16cid:durableId="3301841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24D5"/>
    <w:rsid w:val="00012F15"/>
    <w:rsid w:val="00027E75"/>
    <w:rsid w:val="0007170C"/>
    <w:rsid w:val="00080555"/>
    <w:rsid w:val="0008147A"/>
    <w:rsid w:val="000870AC"/>
    <w:rsid w:val="000A369C"/>
    <w:rsid w:val="00107B0F"/>
    <w:rsid w:val="0013217E"/>
    <w:rsid w:val="00155A8A"/>
    <w:rsid w:val="00186F98"/>
    <w:rsid w:val="001A2F47"/>
    <w:rsid w:val="001D70C0"/>
    <w:rsid w:val="00236A16"/>
    <w:rsid w:val="00257214"/>
    <w:rsid w:val="002824D5"/>
    <w:rsid w:val="002949A0"/>
    <w:rsid w:val="00296144"/>
    <w:rsid w:val="0032196E"/>
    <w:rsid w:val="0032731B"/>
    <w:rsid w:val="00365EB5"/>
    <w:rsid w:val="00373C0A"/>
    <w:rsid w:val="003A7CBD"/>
    <w:rsid w:val="00400836"/>
    <w:rsid w:val="004041C0"/>
    <w:rsid w:val="00412601"/>
    <w:rsid w:val="00416C0C"/>
    <w:rsid w:val="00432BC0"/>
    <w:rsid w:val="004374BA"/>
    <w:rsid w:val="004B276E"/>
    <w:rsid w:val="004D1E67"/>
    <w:rsid w:val="004F6E94"/>
    <w:rsid w:val="00557528"/>
    <w:rsid w:val="00570485"/>
    <w:rsid w:val="005D151C"/>
    <w:rsid w:val="005F7B32"/>
    <w:rsid w:val="00632EB4"/>
    <w:rsid w:val="00661D69"/>
    <w:rsid w:val="00663EAA"/>
    <w:rsid w:val="00675274"/>
    <w:rsid w:val="00693F78"/>
    <w:rsid w:val="006C2C7B"/>
    <w:rsid w:val="006C3093"/>
    <w:rsid w:val="006D000D"/>
    <w:rsid w:val="006E423B"/>
    <w:rsid w:val="006F3CBF"/>
    <w:rsid w:val="007E481F"/>
    <w:rsid w:val="007E4C53"/>
    <w:rsid w:val="00870F20"/>
    <w:rsid w:val="008F54A9"/>
    <w:rsid w:val="009908A4"/>
    <w:rsid w:val="009A0197"/>
    <w:rsid w:val="00A2415A"/>
    <w:rsid w:val="00A244DD"/>
    <w:rsid w:val="00A3717B"/>
    <w:rsid w:val="00A37D30"/>
    <w:rsid w:val="00AE4386"/>
    <w:rsid w:val="00B24DF2"/>
    <w:rsid w:val="00B61D91"/>
    <w:rsid w:val="00BE5BC3"/>
    <w:rsid w:val="00BE64A6"/>
    <w:rsid w:val="00BF1E28"/>
    <w:rsid w:val="00C31A0C"/>
    <w:rsid w:val="00C465DF"/>
    <w:rsid w:val="00CF29B8"/>
    <w:rsid w:val="00D64AC5"/>
    <w:rsid w:val="00D96CE5"/>
    <w:rsid w:val="00E84586"/>
    <w:rsid w:val="00EF79BD"/>
    <w:rsid w:val="00FA4B7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816C0D"/>
  <w15:docId w15:val="{D0A70A73-4356-4788-A37F-F759AF3C4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F79BD"/>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unhideWhenUsed/>
    <w:qFormat/>
    <w:rsid w:val="00D96CE5"/>
    <w:pPr>
      <w:keepNext/>
      <w:keepLines/>
      <w:spacing w:before="360" w:after="240" w:line="360" w:lineRule="auto"/>
      <w:jc w:val="both"/>
      <w:outlineLvl w:val="2"/>
    </w:pPr>
    <w:rPr>
      <w:rFonts w:asciiTheme="majorHAnsi" w:eastAsiaTheme="majorEastAsia" w:hAnsiTheme="majorHAnsi" w:cstheme="majorBidi"/>
      <w:b/>
      <w:bCs/>
      <w:color w:val="000000"/>
      <w:sz w:val="24"/>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96CE5"/>
    <w:rPr>
      <w:rFonts w:asciiTheme="majorHAnsi" w:eastAsiaTheme="majorEastAsia" w:hAnsiTheme="majorHAnsi" w:cstheme="majorBidi"/>
      <w:b/>
      <w:bCs/>
      <w:color w:val="000000"/>
      <w:sz w:val="24"/>
      <w:szCs w:val="22"/>
      <w:lang w:val="en-US" w:bidi="ar-SA"/>
    </w:rPr>
  </w:style>
  <w:style w:type="table" w:styleId="TableGrid">
    <w:name w:val="Table Grid"/>
    <w:basedOn w:val="TableNormal"/>
    <w:uiPriority w:val="59"/>
    <w:rsid w:val="00D96CE5"/>
    <w:pPr>
      <w:spacing w:after="0" w:line="240" w:lineRule="auto"/>
    </w:pPr>
    <w:rPr>
      <w:rFonts w:eastAsiaTheme="minorEastAsia"/>
      <w:szCs w:val="22"/>
      <w:lang w:val="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96CE5"/>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D96CE5"/>
    <w:rPr>
      <w:rFonts w:ascii="Tahoma" w:hAnsi="Tahoma" w:cs="Mangal"/>
      <w:sz w:val="16"/>
      <w:szCs w:val="14"/>
    </w:rPr>
  </w:style>
  <w:style w:type="paragraph" w:styleId="ListBullet">
    <w:name w:val="List Bullet"/>
    <w:basedOn w:val="Normal"/>
    <w:uiPriority w:val="99"/>
    <w:unhideWhenUsed/>
    <w:rsid w:val="00CF29B8"/>
    <w:pPr>
      <w:numPr>
        <w:numId w:val="1"/>
      </w:numPr>
      <w:spacing w:after="120" w:line="360" w:lineRule="auto"/>
      <w:contextualSpacing/>
      <w:jc w:val="both"/>
    </w:pPr>
    <w:rPr>
      <w:rFonts w:ascii="Times New Roman" w:eastAsiaTheme="minorEastAsia" w:hAnsi="Times New Roman"/>
      <w:sz w:val="24"/>
      <w:szCs w:val="22"/>
      <w:lang w:val="en-US" w:bidi="ar-SA"/>
    </w:rPr>
  </w:style>
  <w:style w:type="character" w:customStyle="1" w:styleId="Heading2Char">
    <w:name w:val="Heading 2 Char"/>
    <w:basedOn w:val="DefaultParagraphFont"/>
    <w:link w:val="Heading2"/>
    <w:uiPriority w:val="9"/>
    <w:semiHidden/>
    <w:rsid w:val="00EF79BD"/>
    <w:rPr>
      <w:rFonts w:asciiTheme="majorHAnsi" w:eastAsiaTheme="majorEastAsia" w:hAnsiTheme="majorHAnsi" w:cstheme="majorBidi"/>
      <w:b/>
      <w:bCs/>
      <w:color w:val="4F81BD" w:themeColor="accent1"/>
      <w:sz w:val="26"/>
      <w:szCs w:val="23"/>
    </w:rPr>
  </w:style>
  <w:style w:type="paragraph" w:styleId="ListParagraph">
    <w:name w:val="List Paragraph"/>
    <w:basedOn w:val="Normal"/>
    <w:uiPriority w:val="34"/>
    <w:qFormat/>
    <w:rsid w:val="00BE64A6"/>
    <w:pPr>
      <w:ind w:left="720"/>
      <w:contextualSpacing/>
    </w:pPr>
  </w:style>
  <w:style w:type="character" w:styleId="Emphasis">
    <w:name w:val="Emphasis"/>
    <w:basedOn w:val="DefaultParagraphFont"/>
    <w:uiPriority w:val="20"/>
    <w:qFormat/>
    <w:rsid w:val="00BE64A6"/>
    <w:rPr>
      <w:i/>
      <w:iCs/>
    </w:rPr>
  </w:style>
  <w:style w:type="character" w:styleId="Hyperlink">
    <w:name w:val="Hyperlink"/>
    <w:basedOn w:val="DefaultParagraphFont"/>
    <w:uiPriority w:val="99"/>
    <w:unhideWhenUsed/>
    <w:rsid w:val="00C31A0C"/>
    <w:rPr>
      <w:color w:val="0000FF" w:themeColor="hyperlink"/>
      <w:u w:val="single"/>
    </w:rPr>
  </w:style>
  <w:style w:type="paragraph" w:styleId="NormalWeb">
    <w:name w:val="Normal (Web)"/>
    <w:basedOn w:val="Normal"/>
    <w:uiPriority w:val="99"/>
    <w:semiHidden/>
    <w:unhideWhenUsed/>
    <w:rsid w:val="00A37D3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UnresolvedMention">
    <w:name w:val="Unresolved Mention"/>
    <w:basedOn w:val="DefaultParagraphFont"/>
    <w:uiPriority w:val="99"/>
    <w:semiHidden/>
    <w:unhideWhenUsed/>
    <w:rsid w:val="00027E75"/>
    <w:rPr>
      <w:color w:val="605E5C"/>
      <w:shd w:val="clear" w:color="auto" w:fill="E1DFDD"/>
    </w:rPr>
  </w:style>
  <w:style w:type="paragraph" w:styleId="Header">
    <w:name w:val="header"/>
    <w:basedOn w:val="Normal"/>
    <w:link w:val="HeaderChar"/>
    <w:uiPriority w:val="99"/>
    <w:unhideWhenUsed/>
    <w:rsid w:val="003273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731B"/>
  </w:style>
  <w:style w:type="paragraph" w:styleId="Footer">
    <w:name w:val="footer"/>
    <w:basedOn w:val="Normal"/>
    <w:link w:val="FooterChar"/>
    <w:uiPriority w:val="99"/>
    <w:unhideWhenUsed/>
    <w:rsid w:val="003273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73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635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1476</TotalTime>
  <Pages>10</Pages>
  <Words>3719</Words>
  <Characters>21201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SDI 1166</cp:lastModifiedBy>
  <cp:revision>46</cp:revision>
  <cp:lastPrinted>2026-05-15T07:13:00Z</cp:lastPrinted>
  <dcterms:created xsi:type="dcterms:W3CDTF">2026-04-30T05:05:00Z</dcterms:created>
  <dcterms:modified xsi:type="dcterms:W3CDTF">2026-07-03T09:48:00Z</dcterms:modified>
</cp:coreProperties>
</file>