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D294F" w14:textId="77777777" w:rsidR="00DE06AF" w:rsidRPr="00EA492A" w:rsidRDefault="00DE06AF">
      <w:pPr>
        <w:rPr>
          <w:rFonts w:ascii="Times New Roman" w:hAnsi="Times New Roman" w:cs="Times New Roman"/>
          <w:b/>
          <w:bCs/>
          <w:szCs w:val="22"/>
        </w:rPr>
      </w:pPr>
      <w:r w:rsidRPr="00EA492A">
        <w:rPr>
          <w:rFonts w:ascii="Times New Roman" w:hAnsi="Times New Roman" w:cs="Times New Roman"/>
          <w:b/>
          <w:bCs/>
          <w:szCs w:val="22"/>
        </w:rPr>
        <w:t xml:space="preserve">Reproductive Strategy and Fecundity Patterns of </w:t>
      </w:r>
      <w:r w:rsidRPr="00EA492A">
        <w:rPr>
          <w:rStyle w:val="whitespace-normal"/>
          <w:rFonts w:ascii="Times New Roman" w:hAnsi="Times New Roman" w:cs="Times New Roman"/>
          <w:b/>
          <w:bCs/>
          <w:i/>
          <w:iCs/>
          <w:szCs w:val="22"/>
        </w:rPr>
        <w:t xml:space="preserve">Puntius </w:t>
      </w:r>
      <w:proofErr w:type="spellStart"/>
      <w:r w:rsidRPr="00EA492A">
        <w:rPr>
          <w:rStyle w:val="whitespace-normal"/>
          <w:rFonts w:ascii="Times New Roman" w:hAnsi="Times New Roman" w:cs="Times New Roman"/>
          <w:b/>
          <w:bCs/>
          <w:i/>
          <w:iCs/>
          <w:szCs w:val="22"/>
        </w:rPr>
        <w:t>sophore</w:t>
      </w:r>
      <w:proofErr w:type="spellEnd"/>
      <w:r w:rsidRPr="00EA492A">
        <w:rPr>
          <w:rFonts w:ascii="Times New Roman" w:hAnsi="Times New Roman" w:cs="Times New Roman"/>
          <w:b/>
          <w:bCs/>
          <w:szCs w:val="22"/>
        </w:rPr>
        <w:t xml:space="preserve"> and </w:t>
      </w:r>
      <w:r w:rsidRPr="00EA492A">
        <w:rPr>
          <w:rStyle w:val="whitespace-normal"/>
          <w:rFonts w:ascii="Times New Roman" w:hAnsi="Times New Roman" w:cs="Times New Roman"/>
          <w:b/>
          <w:bCs/>
          <w:i/>
          <w:iCs/>
          <w:szCs w:val="22"/>
        </w:rPr>
        <w:t xml:space="preserve">Rasbora </w:t>
      </w:r>
      <w:proofErr w:type="spellStart"/>
      <w:r w:rsidRPr="00EA492A">
        <w:rPr>
          <w:rStyle w:val="whitespace-normal"/>
          <w:rFonts w:ascii="Times New Roman" w:hAnsi="Times New Roman" w:cs="Times New Roman"/>
          <w:b/>
          <w:bCs/>
          <w:i/>
          <w:iCs/>
          <w:szCs w:val="22"/>
        </w:rPr>
        <w:t>daniconius</w:t>
      </w:r>
      <w:proofErr w:type="spellEnd"/>
      <w:r w:rsidRPr="00EA492A">
        <w:rPr>
          <w:rFonts w:ascii="Times New Roman" w:hAnsi="Times New Roman" w:cs="Times New Roman"/>
          <w:b/>
          <w:bCs/>
          <w:szCs w:val="22"/>
        </w:rPr>
        <w:t>: Implications for Sustainable Fisheries Management</w:t>
      </w:r>
    </w:p>
    <w:p w14:paraId="4084F39C" w14:textId="77777777" w:rsidR="000F5C25" w:rsidRPr="00EA492A" w:rsidRDefault="000F5C25">
      <w:pPr>
        <w:rPr>
          <w:rFonts w:ascii="Times New Roman" w:hAnsi="Times New Roman" w:cs="Times New Roman"/>
          <w:b/>
          <w:bCs/>
          <w:szCs w:val="22"/>
        </w:rPr>
      </w:pPr>
    </w:p>
    <w:p w14:paraId="47827E5D" w14:textId="77777777" w:rsidR="00590AEA" w:rsidRPr="00EA492A" w:rsidRDefault="00171E32" w:rsidP="007C0596">
      <w:pPr>
        <w:jc w:val="both"/>
        <w:rPr>
          <w:rFonts w:ascii="Times New Roman" w:hAnsi="Times New Roman" w:cs="Times New Roman"/>
          <w:b/>
          <w:bCs/>
          <w:szCs w:val="22"/>
        </w:rPr>
      </w:pPr>
      <w:r w:rsidRPr="00EA492A">
        <w:rPr>
          <w:rFonts w:ascii="Times New Roman" w:hAnsi="Times New Roman" w:cs="Times New Roman"/>
          <w:b/>
          <w:bCs/>
          <w:szCs w:val="22"/>
        </w:rPr>
        <w:t>Abstract: -</w:t>
      </w:r>
      <w:r w:rsidR="00AF0F5C" w:rsidRPr="00EA492A">
        <w:rPr>
          <w:rFonts w:ascii="Times New Roman" w:hAnsi="Times New Roman" w:cs="Times New Roman"/>
          <w:szCs w:val="22"/>
        </w:rPr>
        <w:t xml:space="preserve"> The present study reports the fecundity (F) of both species Puntius </w:t>
      </w:r>
      <w:proofErr w:type="spellStart"/>
      <w:r w:rsidR="00AF0F5C" w:rsidRPr="00EA492A">
        <w:rPr>
          <w:rFonts w:ascii="Times New Roman" w:hAnsi="Times New Roman" w:cs="Times New Roman"/>
          <w:szCs w:val="22"/>
        </w:rPr>
        <w:t>sophore</w:t>
      </w:r>
      <w:proofErr w:type="spellEnd"/>
      <w:r w:rsidR="00AF0F5C" w:rsidRPr="00EA492A">
        <w:rPr>
          <w:rFonts w:ascii="Times New Roman" w:hAnsi="Times New Roman" w:cs="Times New Roman"/>
          <w:szCs w:val="22"/>
        </w:rPr>
        <w:t xml:space="preserve"> and </w:t>
      </w:r>
      <w:proofErr w:type="spellStart"/>
      <w:r w:rsidR="00AF0F5C" w:rsidRPr="00EA492A">
        <w:rPr>
          <w:rFonts w:ascii="Times New Roman" w:hAnsi="Times New Roman" w:cs="Times New Roman"/>
          <w:szCs w:val="22"/>
        </w:rPr>
        <w:t>Rasbor</w:t>
      </w:r>
      <w:proofErr w:type="spellEnd"/>
      <w:r w:rsidR="00AF0F5C" w:rsidRPr="00EA492A">
        <w:rPr>
          <w:rFonts w:ascii="Times New Roman" w:hAnsi="Times New Roman" w:cs="Times New Roman"/>
          <w:szCs w:val="22"/>
        </w:rPr>
        <w:t xml:space="preserve"> </w:t>
      </w:r>
      <w:proofErr w:type="spellStart"/>
      <w:r w:rsidR="00AF0F5C" w:rsidRPr="00EA492A">
        <w:rPr>
          <w:rFonts w:ascii="Times New Roman" w:hAnsi="Times New Roman" w:cs="Times New Roman"/>
          <w:szCs w:val="22"/>
        </w:rPr>
        <w:t>daniconius</w:t>
      </w:r>
      <w:proofErr w:type="spellEnd"/>
      <w:r w:rsidR="00AF0F5C" w:rsidRPr="00EA492A">
        <w:rPr>
          <w:rFonts w:ascii="Times New Roman" w:hAnsi="Times New Roman" w:cs="Times New Roman"/>
          <w:szCs w:val="22"/>
        </w:rPr>
        <w:t xml:space="preserve"> in relation to total length (L), total body weight (W), and gonad weight(G) (</w:t>
      </w:r>
      <w:proofErr w:type="spellStart"/>
      <w:r w:rsidR="00AF0F5C" w:rsidRPr="00EA492A">
        <w:rPr>
          <w:rFonts w:ascii="Times New Roman" w:hAnsi="Times New Roman" w:cs="Times New Roman"/>
          <w:szCs w:val="22"/>
        </w:rPr>
        <w:t>Lanler</w:t>
      </w:r>
      <w:proofErr w:type="spellEnd"/>
      <w:r w:rsidR="00AF0F5C" w:rsidRPr="00EA492A">
        <w:rPr>
          <w:rFonts w:ascii="Times New Roman" w:hAnsi="Times New Roman" w:cs="Times New Roman"/>
          <w:szCs w:val="22"/>
        </w:rPr>
        <w:t xml:space="preserve"> et al., 1977; </w:t>
      </w:r>
      <w:proofErr w:type="spellStart"/>
      <w:r w:rsidR="00AF0F5C" w:rsidRPr="00EA492A">
        <w:rPr>
          <w:rFonts w:ascii="Times New Roman" w:hAnsi="Times New Roman" w:cs="Times New Roman"/>
          <w:szCs w:val="22"/>
        </w:rPr>
        <w:t>Bagenal</w:t>
      </w:r>
      <w:proofErr w:type="spellEnd"/>
      <w:r w:rsidR="00AF0F5C" w:rsidRPr="00EA492A">
        <w:rPr>
          <w:rFonts w:ascii="Times New Roman" w:hAnsi="Times New Roman" w:cs="Times New Roman"/>
          <w:szCs w:val="22"/>
        </w:rPr>
        <w:t>, 1978; Nikolsky, 1963)</w:t>
      </w:r>
      <w:r w:rsidR="00A75486" w:rsidRPr="00EA492A">
        <w:rPr>
          <w:rStyle w:val="whitespace-normal"/>
          <w:rFonts w:ascii="Times New Roman" w:hAnsi="Times New Roman" w:cs="Times New Roman"/>
          <w:szCs w:val="22"/>
        </w:rPr>
        <w:t>. Cap</w:t>
      </w:r>
      <w:r w:rsidR="00590AEA" w:rsidRPr="00EA492A">
        <w:rPr>
          <w:rStyle w:val="whitespace-normal"/>
          <w:rFonts w:ascii="Times New Roman" w:hAnsi="Times New Roman" w:cs="Times New Roman"/>
          <w:szCs w:val="22"/>
        </w:rPr>
        <w:t>ture observations demonstrate t</w:t>
      </w:r>
      <w:r w:rsidR="00590AEA" w:rsidRPr="00EA492A">
        <w:rPr>
          <w:rFonts w:ascii="Times New Roman" w:hAnsi="Times New Roman" w:cs="Times New Roman"/>
          <w:szCs w:val="22"/>
        </w:rPr>
        <w:t xml:space="preserve">he spawning season of </w:t>
      </w:r>
      <w:r w:rsidR="00590AEA" w:rsidRPr="00EA492A">
        <w:rPr>
          <w:rFonts w:ascii="Times New Roman" w:hAnsi="Times New Roman" w:cs="Times New Roman"/>
          <w:i/>
          <w:iCs/>
          <w:szCs w:val="22"/>
        </w:rPr>
        <w:t>P. sophore</w:t>
      </w:r>
      <w:r w:rsidR="00590AEA" w:rsidRPr="00EA492A">
        <w:rPr>
          <w:rFonts w:ascii="Times New Roman" w:hAnsi="Times New Roman" w:cs="Times New Roman"/>
          <w:szCs w:val="22"/>
        </w:rPr>
        <w:t xml:space="preserve"> was identified as June–August with peak spawning in June–July (GSI peak in May: 8.46%), while </w:t>
      </w:r>
      <w:r w:rsidR="00590AEA" w:rsidRPr="00EA492A">
        <w:rPr>
          <w:rFonts w:ascii="Times New Roman" w:hAnsi="Times New Roman" w:cs="Times New Roman"/>
          <w:i/>
          <w:iCs/>
          <w:szCs w:val="22"/>
        </w:rPr>
        <w:t xml:space="preserve">R. </w:t>
      </w:r>
      <w:proofErr w:type="spellStart"/>
      <w:r w:rsidR="00590AEA" w:rsidRPr="00EA492A">
        <w:rPr>
          <w:rFonts w:ascii="Times New Roman" w:hAnsi="Times New Roman" w:cs="Times New Roman"/>
          <w:i/>
          <w:iCs/>
          <w:szCs w:val="22"/>
        </w:rPr>
        <w:t>daniconius</w:t>
      </w:r>
      <w:proofErr w:type="spellEnd"/>
      <w:r w:rsidR="00590AEA" w:rsidRPr="00EA492A">
        <w:rPr>
          <w:rFonts w:ascii="Times New Roman" w:hAnsi="Times New Roman" w:cs="Times New Roman"/>
          <w:szCs w:val="22"/>
        </w:rPr>
        <w:t xml:space="preserve"> spawned from April–July with peak in July (GSI: 2.21%). </w:t>
      </w:r>
      <w:r w:rsidR="00F774CD" w:rsidRPr="00EA492A">
        <w:rPr>
          <w:rFonts w:ascii="Times New Roman" w:hAnsi="Times New Roman" w:cs="Times New Roman"/>
          <w:szCs w:val="22"/>
        </w:rPr>
        <w:t xml:space="preserve">In both species, a highly significant positive correlation was found between GSI and fecundity (P. sophore: r = 0.358, p &lt; 0.001; R. </w:t>
      </w:r>
      <w:proofErr w:type="spellStart"/>
      <w:r w:rsidR="00F774CD" w:rsidRPr="00EA492A">
        <w:rPr>
          <w:rFonts w:ascii="Times New Roman" w:hAnsi="Times New Roman" w:cs="Times New Roman"/>
          <w:szCs w:val="22"/>
        </w:rPr>
        <w:t>daniconius</w:t>
      </w:r>
      <w:proofErr w:type="spellEnd"/>
      <w:r w:rsidR="00F774CD" w:rsidRPr="00EA492A">
        <w:rPr>
          <w:rFonts w:ascii="Times New Roman" w:hAnsi="Times New Roman" w:cs="Times New Roman"/>
          <w:szCs w:val="22"/>
        </w:rPr>
        <w:t>: r = 0.361, p = 0.002), confirming that gonadal maturity level directly determines egg production. However,</w:t>
      </w:r>
      <w:r w:rsidR="006C1619" w:rsidRPr="00EA492A">
        <w:rPr>
          <w:rFonts w:ascii="Times New Roman" w:hAnsi="Times New Roman" w:cs="Times New Roman"/>
          <w:szCs w:val="22"/>
        </w:rPr>
        <w:t xml:space="preserve"> the correlations between fecundity and body size (length and weight) were not significant in either species (</w:t>
      </w:r>
      <w:proofErr w:type="spellStart"/>
      <w:r w:rsidR="006C1619" w:rsidRPr="00EA492A">
        <w:rPr>
          <w:rFonts w:ascii="Times New Roman" w:hAnsi="Times New Roman" w:cs="Times New Roman"/>
          <w:szCs w:val="22"/>
        </w:rPr>
        <w:t>Bagenal</w:t>
      </w:r>
      <w:proofErr w:type="spellEnd"/>
      <w:r w:rsidR="006C1619" w:rsidRPr="00EA492A">
        <w:rPr>
          <w:rFonts w:ascii="Times New Roman" w:hAnsi="Times New Roman" w:cs="Times New Roman"/>
          <w:szCs w:val="22"/>
        </w:rPr>
        <w:t>, 1978; Nikolsky, 1963; Langker et al., 1977)</w:t>
      </w:r>
      <w:r w:rsidR="00F774CD" w:rsidRPr="00EA492A">
        <w:rPr>
          <w:rFonts w:ascii="Times New Roman" w:hAnsi="Times New Roman" w:cs="Times New Roman"/>
          <w:szCs w:val="22"/>
        </w:rPr>
        <w:t xml:space="preserve">. </w:t>
      </w:r>
      <w:r w:rsidR="00590AEA" w:rsidRPr="00EA492A">
        <w:rPr>
          <w:rFonts w:ascii="Times New Roman" w:hAnsi="Times New Roman" w:cs="Times New Roman"/>
          <w:i/>
          <w:iCs/>
          <w:szCs w:val="22"/>
        </w:rPr>
        <w:t>P. sophore</w:t>
      </w:r>
      <w:r w:rsidR="00590AEA" w:rsidRPr="00EA492A">
        <w:rPr>
          <w:rFonts w:ascii="Times New Roman" w:hAnsi="Times New Roman" w:cs="Times New Roman"/>
          <w:szCs w:val="22"/>
        </w:rPr>
        <w:t xml:space="preserve"> showed significantly higher GSI and fecundity compared to </w:t>
      </w:r>
      <w:r w:rsidR="00590AEA" w:rsidRPr="00EA492A">
        <w:rPr>
          <w:rFonts w:ascii="Times New Roman" w:hAnsi="Times New Roman" w:cs="Times New Roman"/>
          <w:i/>
          <w:iCs/>
          <w:szCs w:val="22"/>
        </w:rPr>
        <w:t xml:space="preserve">R. </w:t>
      </w:r>
      <w:proofErr w:type="spellStart"/>
      <w:r w:rsidR="00590AEA" w:rsidRPr="00EA492A">
        <w:rPr>
          <w:rFonts w:ascii="Times New Roman" w:hAnsi="Times New Roman" w:cs="Times New Roman"/>
          <w:i/>
          <w:iCs/>
          <w:szCs w:val="22"/>
        </w:rPr>
        <w:t>daniconius</w:t>
      </w:r>
      <w:proofErr w:type="spellEnd"/>
      <w:r w:rsidR="00590AEA" w:rsidRPr="00EA492A">
        <w:rPr>
          <w:rFonts w:ascii="Times New Roman" w:hAnsi="Times New Roman" w:cs="Times New Roman"/>
          <w:szCs w:val="22"/>
        </w:rPr>
        <w:t xml:space="preserve">, indicating greater reproductive investment per spawning event. Fecundity shows a linear relationship between </w:t>
      </w:r>
      <w:proofErr w:type="gramStart"/>
      <w:r w:rsidR="00590AEA" w:rsidRPr="00EA492A">
        <w:rPr>
          <w:rFonts w:ascii="Times New Roman" w:hAnsi="Times New Roman" w:cs="Times New Roman"/>
          <w:szCs w:val="22"/>
        </w:rPr>
        <w:t>L,G</w:t>
      </w:r>
      <w:proofErr w:type="gramEnd"/>
      <w:r w:rsidR="00590AEA" w:rsidRPr="00EA492A">
        <w:rPr>
          <w:rFonts w:ascii="Times New Roman" w:hAnsi="Times New Roman" w:cs="Times New Roman"/>
          <w:szCs w:val="22"/>
        </w:rPr>
        <w:t xml:space="preserve"> and W.</w:t>
      </w:r>
    </w:p>
    <w:p w14:paraId="743695B1" w14:textId="77777777" w:rsidR="00590AEA" w:rsidRPr="00EA492A" w:rsidRDefault="00590AEA" w:rsidP="00590AEA">
      <w:pPr>
        <w:rPr>
          <w:rFonts w:ascii="Times New Roman" w:hAnsi="Times New Roman" w:cs="Times New Roman"/>
          <w:b/>
          <w:bCs/>
          <w:szCs w:val="22"/>
        </w:rPr>
      </w:pPr>
      <w:r w:rsidRPr="00EA492A">
        <w:rPr>
          <w:rFonts w:ascii="Times New Roman" w:hAnsi="Times New Roman" w:cs="Times New Roman"/>
          <w:b/>
          <w:bCs/>
          <w:szCs w:val="22"/>
        </w:rPr>
        <w:t xml:space="preserve">Keywords: </w:t>
      </w:r>
      <w:r w:rsidRPr="00EA492A">
        <w:rPr>
          <w:rStyle w:val="whitespace-normal"/>
          <w:rFonts w:ascii="Times New Roman" w:hAnsi="Times New Roman" w:cs="Times New Roman"/>
          <w:i/>
          <w:iCs/>
          <w:szCs w:val="22"/>
        </w:rPr>
        <w:t xml:space="preserve">Puntius </w:t>
      </w:r>
      <w:proofErr w:type="spellStart"/>
      <w:proofErr w:type="gramStart"/>
      <w:r w:rsidRPr="00EA492A">
        <w:rPr>
          <w:rStyle w:val="whitespace-normal"/>
          <w:rFonts w:ascii="Times New Roman" w:hAnsi="Times New Roman" w:cs="Times New Roman"/>
          <w:i/>
          <w:iCs/>
          <w:szCs w:val="22"/>
        </w:rPr>
        <w:t>sophore</w:t>
      </w:r>
      <w:proofErr w:type="spellEnd"/>
      <w:r w:rsidRPr="00EA492A">
        <w:rPr>
          <w:rStyle w:val="whitespace-normal"/>
          <w:rFonts w:ascii="Times New Roman" w:hAnsi="Times New Roman" w:cs="Times New Roman"/>
          <w:szCs w:val="22"/>
        </w:rPr>
        <w:t xml:space="preserve"> ,</w:t>
      </w:r>
      <w:proofErr w:type="gramEnd"/>
      <w:r w:rsidRPr="00EA492A">
        <w:rPr>
          <w:rStyle w:val="whitespace-normal"/>
          <w:rFonts w:ascii="Times New Roman" w:hAnsi="Times New Roman" w:cs="Times New Roman"/>
          <w:szCs w:val="22"/>
        </w:rPr>
        <w:t xml:space="preserve"> </w:t>
      </w:r>
      <w:r w:rsidRPr="00EA492A">
        <w:rPr>
          <w:rStyle w:val="whitespace-normal"/>
          <w:rFonts w:ascii="Times New Roman" w:hAnsi="Times New Roman" w:cs="Times New Roman"/>
          <w:i/>
          <w:iCs/>
          <w:szCs w:val="22"/>
        </w:rPr>
        <w:t xml:space="preserve">Rasbora </w:t>
      </w:r>
      <w:proofErr w:type="spellStart"/>
      <w:r w:rsidRPr="00EA492A">
        <w:rPr>
          <w:rStyle w:val="whitespace-normal"/>
          <w:rFonts w:ascii="Times New Roman" w:hAnsi="Times New Roman" w:cs="Times New Roman"/>
          <w:i/>
          <w:iCs/>
          <w:szCs w:val="22"/>
        </w:rPr>
        <w:t>daniconius</w:t>
      </w:r>
      <w:proofErr w:type="spellEnd"/>
      <w:r w:rsidRPr="00EA492A">
        <w:rPr>
          <w:rStyle w:val="whitespace-normal"/>
          <w:rFonts w:ascii="Times New Roman" w:hAnsi="Times New Roman" w:cs="Times New Roman"/>
          <w:i/>
          <w:iCs/>
          <w:szCs w:val="22"/>
        </w:rPr>
        <w:t xml:space="preserve">, </w:t>
      </w:r>
      <w:r w:rsidRPr="00EA492A">
        <w:rPr>
          <w:rStyle w:val="whitespace-normal"/>
          <w:rFonts w:ascii="Times New Roman" w:hAnsi="Times New Roman" w:cs="Times New Roman"/>
          <w:szCs w:val="22"/>
        </w:rPr>
        <w:t>fecundity</w:t>
      </w:r>
      <w:r w:rsidR="008D04F6" w:rsidRPr="00EA492A">
        <w:rPr>
          <w:rStyle w:val="whitespace-normal"/>
          <w:rFonts w:ascii="Times New Roman" w:hAnsi="Times New Roman" w:cs="Times New Roman"/>
          <w:szCs w:val="22"/>
        </w:rPr>
        <w:t>, Linear relationship, spawning, gonadal maturity.</w:t>
      </w:r>
    </w:p>
    <w:p w14:paraId="6D199452" w14:textId="77777777" w:rsidR="00590AEA" w:rsidRPr="00EA492A" w:rsidRDefault="00590AEA">
      <w:pPr>
        <w:rPr>
          <w:rFonts w:ascii="Times New Roman" w:hAnsi="Times New Roman" w:cs="Times New Roman"/>
          <w:szCs w:val="22"/>
        </w:rPr>
      </w:pPr>
    </w:p>
    <w:p w14:paraId="095BF2B9" w14:textId="77777777" w:rsidR="00DE06AF" w:rsidRPr="00EA492A" w:rsidRDefault="00DE06AF">
      <w:pPr>
        <w:rPr>
          <w:rFonts w:ascii="Times New Roman" w:hAnsi="Times New Roman" w:cs="Times New Roman"/>
          <w:b/>
          <w:bCs/>
          <w:szCs w:val="22"/>
        </w:rPr>
      </w:pPr>
      <w:r w:rsidRPr="00EA492A">
        <w:rPr>
          <w:rFonts w:ascii="Times New Roman" w:hAnsi="Times New Roman" w:cs="Times New Roman"/>
          <w:b/>
          <w:bCs/>
          <w:szCs w:val="22"/>
        </w:rPr>
        <w:t xml:space="preserve">Introduction </w:t>
      </w:r>
    </w:p>
    <w:p w14:paraId="277B4A19" w14:textId="77777777" w:rsidR="00630AA3" w:rsidRPr="00EA492A" w:rsidRDefault="00DE06AF" w:rsidP="00252A43">
      <w:pPr>
        <w:jc w:val="both"/>
        <w:rPr>
          <w:rFonts w:ascii="Times New Roman" w:hAnsi="Times New Roman" w:cs="Times New Roman"/>
          <w:szCs w:val="22"/>
        </w:rPr>
      </w:pPr>
      <w:r w:rsidRPr="00EA492A">
        <w:rPr>
          <w:rFonts w:ascii="Times New Roman" w:hAnsi="Times New Roman" w:cs="Times New Roman"/>
          <w:szCs w:val="22"/>
        </w:rPr>
        <w:t>Aquaculture is the fastest growing sector and it is the cultivation of aquatic animals, vertebrates, molluscs, shrimps and Prawns.</w:t>
      </w:r>
      <w:r w:rsidR="005D4694" w:rsidRPr="00EA492A">
        <w:rPr>
          <w:rFonts w:ascii="Times New Roman" w:hAnsi="Times New Roman" w:cs="Times New Roman"/>
          <w:szCs w:val="22"/>
        </w:rPr>
        <w:t xml:space="preserve"> A review of reproductive biology is important for understanding the life –history patterns of fish species and plays a key role in their conservation as well as sustainable management</w:t>
      </w:r>
      <w:r w:rsidR="00630AA3" w:rsidRPr="00EA492A">
        <w:rPr>
          <w:rFonts w:ascii="Times New Roman" w:hAnsi="Times New Roman" w:cs="Times New Roman"/>
          <w:szCs w:val="22"/>
        </w:rPr>
        <w:t>. Reproductive biology comprises various parameters including gonadal development, spawning periodicity, fecundity, gonadosomatic index (GSI) and the correlation between reproductive parameters and environmental factors.</w:t>
      </w:r>
      <w:r w:rsidR="00CD5C91" w:rsidRPr="00EA492A">
        <w:rPr>
          <w:rFonts w:ascii="Times New Roman" w:hAnsi="Times New Roman" w:cs="Times New Roman"/>
          <w:szCs w:val="22"/>
        </w:rPr>
        <w:t xml:space="preserve"> The present study focuses on the comparative reproductive biology of two important small indigenous cyprinid species, Puntius </w:t>
      </w:r>
      <w:proofErr w:type="spellStart"/>
      <w:r w:rsidR="00CD5C91" w:rsidRPr="00EA492A">
        <w:rPr>
          <w:rFonts w:ascii="Times New Roman" w:hAnsi="Times New Roman" w:cs="Times New Roman"/>
          <w:szCs w:val="22"/>
        </w:rPr>
        <w:t>sophore</w:t>
      </w:r>
      <w:proofErr w:type="spellEnd"/>
      <w:r w:rsidR="00CD5C91" w:rsidRPr="00EA492A">
        <w:rPr>
          <w:rFonts w:ascii="Times New Roman" w:hAnsi="Times New Roman" w:cs="Times New Roman"/>
          <w:szCs w:val="22"/>
        </w:rPr>
        <w:t xml:space="preserve"> and Rasbora </w:t>
      </w:r>
      <w:proofErr w:type="spellStart"/>
      <w:r w:rsidR="00CD5C91" w:rsidRPr="00EA492A">
        <w:rPr>
          <w:rFonts w:ascii="Times New Roman" w:hAnsi="Times New Roman" w:cs="Times New Roman"/>
          <w:szCs w:val="22"/>
        </w:rPr>
        <w:t>daniconius</w:t>
      </w:r>
      <w:proofErr w:type="spellEnd"/>
      <w:r w:rsidR="00CD5C91" w:rsidRPr="00EA492A">
        <w:rPr>
          <w:rFonts w:ascii="Times New Roman" w:hAnsi="Times New Roman" w:cs="Times New Roman"/>
          <w:szCs w:val="22"/>
        </w:rPr>
        <w:t xml:space="preserve"> (Hamilton,1822), commonly recognized in freshwater biodiversity and fisheries research (</w:t>
      </w:r>
      <w:proofErr w:type="spellStart"/>
      <w:r w:rsidR="00CD5C91" w:rsidRPr="00EA492A">
        <w:rPr>
          <w:rFonts w:ascii="Times New Roman" w:hAnsi="Times New Roman" w:cs="Times New Roman"/>
          <w:szCs w:val="22"/>
        </w:rPr>
        <w:t>Jhingran</w:t>
      </w:r>
      <w:proofErr w:type="spellEnd"/>
      <w:r w:rsidR="00CD5C91" w:rsidRPr="00EA492A">
        <w:rPr>
          <w:rFonts w:ascii="Times New Roman" w:hAnsi="Times New Roman" w:cs="Times New Roman"/>
          <w:szCs w:val="22"/>
        </w:rPr>
        <w:t xml:space="preserve">, 1991; Lowe-McConnell, 1987; Talwar &amp; </w:t>
      </w:r>
      <w:proofErr w:type="spellStart"/>
      <w:r w:rsidR="00CD5C91" w:rsidRPr="00EA492A">
        <w:rPr>
          <w:rFonts w:ascii="Times New Roman" w:hAnsi="Times New Roman" w:cs="Times New Roman"/>
          <w:szCs w:val="22"/>
        </w:rPr>
        <w:t>Jhingran</w:t>
      </w:r>
      <w:proofErr w:type="spellEnd"/>
      <w:r w:rsidR="00CD5C91" w:rsidRPr="00EA492A">
        <w:rPr>
          <w:rFonts w:ascii="Times New Roman" w:hAnsi="Times New Roman" w:cs="Times New Roman"/>
          <w:szCs w:val="22"/>
        </w:rPr>
        <w:t xml:space="preserve">, 1991). </w:t>
      </w:r>
      <w:r w:rsidR="00630AA3" w:rsidRPr="00EA492A">
        <w:rPr>
          <w:rFonts w:ascii="Times New Roman" w:hAnsi="Times New Roman" w:cs="Times New Roman"/>
          <w:szCs w:val="22"/>
        </w:rPr>
        <w:t xml:space="preserve">Such information is critical for developing breeding protocols, stock assessment, and formulating effective management strategies for both wild populations and aquaculture development (Singha </w:t>
      </w:r>
      <w:r w:rsidR="00630AA3" w:rsidRPr="00EA492A">
        <w:rPr>
          <w:rFonts w:ascii="Times New Roman" w:hAnsi="Times New Roman" w:cs="Times New Roman"/>
          <w:i/>
          <w:iCs/>
          <w:szCs w:val="22"/>
        </w:rPr>
        <w:t>et al.</w:t>
      </w:r>
      <w:r w:rsidR="00630AA3" w:rsidRPr="00EA492A">
        <w:rPr>
          <w:rFonts w:ascii="Times New Roman" w:hAnsi="Times New Roman" w:cs="Times New Roman"/>
          <w:szCs w:val="22"/>
        </w:rPr>
        <w:t>, 2024).</w:t>
      </w:r>
    </w:p>
    <w:p w14:paraId="3FD65EF9" w14:textId="77777777" w:rsidR="00252A43" w:rsidRPr="00EA492A" w:rsidRDefault="00252A43" w:rsidP="00252A43">
      <w:pPr>
        <w:jc w:val="both"/>
        <w:rPr>
          <w:rFonts w:ascii="Times New Roman" w:hAnsi="Times New Roman" w:cs="Times New Roman"/>
          <w:szCs w:val="22"/>
        </w:rPr>
      </w:pPr>
      <w:r w:rsidRPr="00EA492A">
        <w:rPr>
          <w:rFonts w:ascii="Times New Roman" w:hAnsi="Times New Roman" w:cs="Times New Roman"/>
          <w:szCs w:val="22"/>
        </w:rPr>
        <w:t xml:space="preserve">   Fecundity refers to the number of eggs developed by a female fish and is a key indicator for evaluating reproductive potential and population variations. Understanding fecundity </w:t>
      </w:r>
      <w:proofErr w:type="gramStart"/>
      <w:r w:rsidRPr="00EA492A">
        <w:rPr>
          <w:rFonts w:ascii="Times New Roman" w:hAnsi="Times New Roman" w:cs="Times New Roman"/>
          <w:szCs w:val="22"/>
        </w:rPr>
        <w:t xml:space="preserve">correlation </w:t>
      </w:r>
      <w:r w:rsidR="00F2501A" w:rsidRPr="00EA492A">
        <w:rPr>
          <w:rFonts w:ascii="Times New Roman" w:hAnsi="Times New Roman" w:cs="Times New Roman"/>
          <w:szCs w:val="22"/>
        </w:rPr>
        <w:t xml:space="preserve"> </w:t>
      </w:r>
      <w:r w:rsidRPr="00EA492A">
        <w:rPr>
          <w:rFonts w:ascii="Times New Roman" w:hAnsi="Times New Roman" w:cs="Times New Roman"/>
          <w:szCs w:val="22"/>
        </w:rPr>
        <w:t>with</w:t>
      </w:r>
      <w:proofErr w:type="gramEnd"/>
      <w:r w:rsidRPr="00EA492A">
        <w:rPr>
          <w:rFonts w:ascii="Times New Roman" w:hAnsi="Times New Roman" w:cs="Times New Roman"/>
          <w:szCs w:val="22"/>
        </w:rPr>
        <w:t xml:space="preserve"> body size parameters (</w:t>
      </w:r>
      <w:r w:rsidR="00357B76" w:rsidRPr="00EA492A">
        <w:rPr>
          <w:rFonts w:ascii="Times New Roman" w:hAnsi="Times New Roman" w:cs="Times New Roman"/>
          <w:szCs w:val="22"/>
        </w:rPr>
        <w:t>length</w:t>
      </w:r>
      <w:r w:rsidRPr="00EA492A">
        <w:rPr>
          <w:rFonts w:ascii="Times New Roman" w:hAnsi="Times New Roman" w:cs="Times New Roman"/>
          <w:szCs w:val="22"/>
        </w:rPr>
        <w:t xml:space="preserve">, weight, </w:t>
      </w:r>
      <w:r w:rsidR="00357B76" w:rsidRPr="00EA492A">
        <w:rPr>
          <w:rFonts w:ascii="Times New Roman" w:hAnsi="Times New Roman" w:cs="Times New Roman"/>
          <w:szCs w:val="22"/>
        </w:rPr>
        <w:t>gonad weight) assists in predicting egg production and evaluate the reproductive capacity of fish population.</w:t>
      </w:r>
    </w:p>
    <w:p w14:paraId="1E0651A6" w14:textId="77777777" w:rsidR="00357B76" w:rsidRPr="00EA492A" w:rsidRDefault="00357B76" w:rsidP="00252A43">
      <w:pPr>
        <w:jc w:val="both"/>
        <w:rPr>
          <w:rFonts w:ascii="Times New Roman" w:hAnsi="Times New Roman" w:cs="Times New Roman"/>
          <w:b/>
          <w:bCs/>
          <w:szCs w:val="22"/>
        </w:rPr>
      </w:pPr>
      <w:r w:rsidRPr="00EA492A">
        <w:rPr>
          <w:rFonts w:ascii="Times New Roman" w:hAnsi="Times New Roman" w:cs="Times New Roman"/>
          <w:b/>
          <w:bCs/>
          <w:szCs w:val="22"/>
        </w:rPr>
        <w:t>2. Material and Method</w:t>
      </w:r>
    </w:p>
    <w:p w14:paraId="737702F3" w14:textId="77777777" w:rsidR="00357B76" w:rsidRPr="00EA492A" w:rsidRDefault="00EB568B" w:rsidP="00252A43">
      <w:pPr>
        <w:jc w:val="both"/>
        <w:rPr>
          <w:rFonts w:ascii="Times New Roman" w:hAnsi="Times New Roman" w:cs="Times New Roman"/>
          <w:szCs w:val="22"/>
        </w:rPr>
      </w:pPr>
      <w:r w:rsidRPr="00EA492A">
        <w:rPr>
          <w:rFonts w:ascii="Times New Roman" w:hAnsi="Times New Roman" w:cs="Times New Roman"/>
          <w:szCs w:val="22"/>
        </w:rPr>
        <w:t xml:space="preserve">Both species </w:t>
      </w:r>
      <w:proofErr w:type="spellStart"/>
      <w:r w:rsidRPr="00EA492A">
        <w:rPr>
          <w:rFonts w:ascii="Times New Roman" w:hAnsi="Times New Roman" w:cs="Times New Roman"/>
          <w:szCs w:val="22"/>
        </w:rPr>
        <w:t>puntius</w:t>
      </w:r>
      <w:proofErr w:type="spellEnd"/>
      <w:r w:rsidRPr="00EA492A">
        <w:rPr>
          <w:rFonts w:ascii="Times New Roman" w:hAnsi="Times New Roman" w:cs="Times New Roman"/>
          <w:szCs w:val="22"/>
        </w:rPr>
        <w:t xml:space="preserve"> </w:t>
      </w:r>
      <w:proofErr w:type="spellStart"/>
      <w:r w:rsidRPr="00EA492A">
        <w:rPr>
          <w:rFonts w:ascii="Times New Roman" w:hAnsi="Times New Roman" w:cs="Times New Roman"/>
          <w:szCs w:val="22"/>
        </w:rPr>
        <w:t>sophore</w:t>
      </w:r>
      <w:proofErr w:type="spellEnd"/>
      <w:r w:rsidRPr="00EA492A">
        <w:rPr>
          <w:rFonts w:ascii="Times New Roman" w:hAnsi="Times New Roman" w:cs="Times New Roman"/>
          <w:szCs w:val="22"/>
        </w:rPr>
        <w:t xml:space="preserve"> and rasbora </w:t>
      </w:r>
      <w:proofErr w:type="spellStart"/>
      <w:r w:rsidRPr="00EA492A">
        <w:rPr>
          <w:rFonts w:ascii="Times New Roman" w:hAnsi="Times New Roman" w:cs="Times New Roman"/>
          <w:szCs w:val="22"/>
        </w:rPr>
        <w:t>daniconius</w:t>
      </w:r>
      <w:proofErr w:type="spellEnd"/>
      <w:r w:rsidRPr="00EA492A">
        <w:rPr>
          <w:rFonts w:ascii="Times New Roman" w:hAnsi="Times New Roman" w:cs="Times New Roman"/>
          <w:szCs w:val="22"/>
        </w:rPr>
        <w:t xml:space="preserve"> are frequently observed occurring cyprinid forage fish in the freshwater of India. </w:t>
      </w:r>
      <w:r w:rsidR="00CA3C29" w:rsidRPr="00EA492A">
        <w:rPr>
          <w:rFonts w:ascii="Times New Roman" w:hAnsi="Times New Roman" w:cs="Times New Roman"/>
          <w:szCs w:val="22"/>
        </w:rPr>
        <w:t xml:space="preserve">Thus, the present study was carried out during July –November the monsoon months at Bhopal, Madhya Pradesh. Fishes were sampled randomly from Upper Lake (Bhopal). After data collection of the total lengths </w:t>
      </w:r>
      <w:r w:rsidR="00402E6C" w:rsidRPr="00EA492A">
        <w:rPr>
          <w:rFonts w:ascii="Times New Roman" w:hAnsi="Times New Roman" w:cs="Times New Roman"/>
          <w:szCs w:val="22"/>
        </w:rPr>
        <w:t xml:space="preserve">and total weight, the fishes were conserved in 5% formalin for further assessment. The egg cross-sectional measurement was measured at its widest region using a calibrated ocular </w:t>
      </w:r>
      <w:proofErr w:type="spellStart"/>
      <w:r w:rsidR="00402E6C" w:rsidRPr="00EA492A">
        <w:rPr>
          <w:rFonts w:ascii="Times New Roman" w:hAnsi="Times New Roman" w:cs="Times New Roman"/>
          <w:szCs w:val="22"/>
        </w:rPr>
        <w:t>micrometer</w:t>
      </w:r>
      <w:proofErr w:type="spellEnd"/>
      <w:r w:rsidR="00402E6C" w:rsidRPr="00EA492A">
        <w:rPr>
          <w:rFonts w:ascii="Times New Roman" w:hAnsi="Times New Roman" w:cs="Times New Roman"/>
          <w:szCs w:val="22"/>
        </w:rPr>
        <w:t>.</w:t>
      </w:r>
    </w:p>
    <w:p w14:paraId="37B92694" w14:textId="77777777" w:rsidR="00DE06AF" w:rsidRPr="00EA492A" w:rsidRDefault="008B197F" w:rsidP="00252A43">
      <w:pPr>
        <w:jc w:val="both"/>
        <w:rPr>
          <w:rFonts w:ascii="Times New Roman" w:hAnsi="Times New Roman" w:cs="Times New Roman"/>
          <w:b/>
          <w:bCs/>
          <w:szCs w:val="22"/>
        </w:rPr>
      </w:pPr>
      <w:r w:rsidRPr="00EA492A">
        <w:rPr>
          <w:rFonts w:ascii="Times New Roman" w:hAnsi="Times New Roman" w:cs="Times New Roman"/>
          <w:b/>
          <w:bCs/>
          <w:szCs w:val="22"/>
        </w:rPr>
        <w:lastRenderedPageBreak/>
        <w:t>Result and Discussion</w:t>
      </w:r>
    </w:p>
    <w:p w14:paraId="5509D0CF" w14:textId="77777777" w:rsidR="008B197F" w:rsidRPr="00EA492A" w:rsidRDefault="008B197F" w:rsidP="008B197F">
      <w:pPr>
        <w:pStyle w:val="Heading2"/>
        <w:jc w:val="left"/>
        <w:rPr>
          <w:rFonts w:ascii="Times New Roman" w:hAnsi="Times New Roman" w:cs="Times New Roman"/>
          <w:sz w:val="22"/>
          <w:szCs w:val="22"/>
        </w:rPr>
      </w:pPr>
      <w:r w:rsidRPr="00EA492A">
        <w:rPr>
          <w:rFonts w:ascii="Times New Roman" w:hAnsi="Times New Roman" w:cs="Times New Roman"/>
          <w:sz w:val="22"/>
          <w:szCs w:val="22"/>
        </w:rPr>
        <w:t>Fecundity</w:t>
      </w:r>
    </w:p>
    <w:p w14:paraId="749C7541" w14:textId="77777777" w:rsidR="008B197F" w:rsidRPr="00EA492A" w:rsidRDefault="008B197F" w:rsidP="004245EB">
      <w:pPr>
        <w:ind w:firstLine="720"/>
        <w:jc w:val="both"/>
        <w:rPr>
          <w:rFonts w:ascii="Times New Roman" w:hAnsi="Times New Roman" w:cs="Times New Roman"/>
          <w:szCs w:val="22"/>
        </w:rPr>
      </w:pPr>
      <w:r w:rsidRPr="00EA492A">
        <w:rPr>
          <w:rFonts w:ascii="Times New Roman" w:hAnsi="Times New Roman" w:cs="Times New Roman"/>
          <w:szCs w:val="22"/>
        </w:rPr>
        <w:t>Fecundity is defined as the number of ripening eggs or ova found in the ovary prior to the next spawning event and constitutes a fundamental measure of the reproductive potential of fish populations (</w:t>
      </w:r>
      <w:proofErr w:type="spellStart"/>
      <w:r w:rsidRPr="00EA492A">
        <w:rPr>
          <w:rFonts w:ascii="Times New Roman" w:hAnsi="Times New Roman" w:cs="Times New Roman"/>
          <w:szCs w:val="22"/>
        </w:rPr>
        <w:t>Bagenal</w:t>
      </w:r>
      <w:proofErr w:type="spellEnd"/>
      <w:r w:rsidRPr="00EA492A">
        <w:rPr>
          <w:rFonts w:ascii="Times New Roman" w:hAnsi="Times New Roman" w:cs="Times New Roman"/>
          <w:szCs w:val="22"/>
        </w:rPr>
        <w:t xml:space="preserve"> and Braum, 1978; Murua et al., 2003). Accurate estimation of fecundity is essential for understanding population dynamics, recruitment potential, and for developing sustainable fisheries management strategies (Nikolsky, 1963; Wootton, 1990). In the present study, fecundity was estimated by the gravimetric method (Lagler, 1956), which involves weighing a representative sub-sample of the ovary, counting the number of mature ova in the sub-sample, and extrapolating to the total ovary weight.</w:t>
      </w:r>
      <w:r w:rsidR="00BB72D0" w:rsidRPr="00EA492A">
        <w:rPr>
          <w:rFonts w:ascii="Times New Roman" w:hAnsi="Times New Roman" w:cs="Times New Roman"/>
          <w:szCs w:val="22"/>
        </w:rPr>
        <w:t xml:space="preserve"> </w:t>
      </w:r>
    </w:p>
    <w:p w14:paraId="314B3992" w14:textId="77777777" w:rsidR="0067758E" w:rsidRPr="00EA492A" w:rsidRDefault="00D15D7D">
      <w:r w:rsidRPr="00EA492A">
        <w:rPr>
          <w:rFonts w:ascii="Times New Roman" w:hAnsi="Times New Roman"/>
        </w:rPr>
        <w:t>The gravimetric approach is appropriate for small-bodied cyprinids when mature oocytes can be separated reliably; however, estimates should be interpreted with consideration of maturity stage, atresia, and spawning strategy because inclusion of immature or spent females can substantially reduce mean fecundity (Murua et al., 2003; West, 1990; Hossain et al., 2012).</w:t>
      </w:r>
    </w:p>
    <w:p w14:paraId="2DEC72BA" w14:textId="77777777" w:rsidR="00BB72D0" w:rsidRPr="00EA492A" w:rsidRDefault="00BB72D0" w:rsidP="00BB72D0">
      <w:pPr>
        <w:pStyle w:val="Heading2"/>
        <w:jc w:val="left"/>
        <w:rPr>
          <w:rFonts w:ascii="Times New Roman" w:hAnsi="Times New Roman" w:cs="Times New Roman"/>
          <w:sz w:val="22"/>
          <w:szCs w:val="22"/>
        </w:rPr>
      </w:pPr>
      <w:r w:rsidRPr="00EA492A">
        <w:rPr>
          <w:rFonts w:ascii="Times New Roman" w:hAnsi="Times New Roman" w:cs="Times New Roman"/>
          <w:sz w:val="22"/>
          <w:szCs w:val="22"/>
        </w:rPr>
        <w:t>Gonadosomatic Index (GSI)</w:t>
      </w:r>
    </w:p>
    <w:p w14:paraId="62FA177E" w14:textId="77777777" w:rsidR="00BB72D0" w:rsidRPr="00EA492A" w:rsidRDefault="00BB72D0" w:rsidP="00BB72D0">
      <w:pPr>
        <w:ind w:firstLine="720"/>
        <w:rPr>
          <w:rFonts w:ascii="Times New Roman" w:hAnsi="Times New Roman" w:cs="Times New Roman"/>
          <w:szCs w:val="22"/>
        </w:rPr>
      </w:pPr>
      <w:r w:rsidRPr="00EA492A">
        <w:rPr>
          <w:rFonts w:ascii="Times New Roman" w:hAnsi="Times New Roman" w:cs="Times New Roman"/>
          <w:szCs w:val="22"/>
        </w:rPr>
        <w:t xml:space="preserve">The </w:t>
      </w:r>
      <w:r w:rsidR="00171E32" w:rsidRPr="00EA492A">
        <w:rPr>
          <w:rFonts w:ascii="Times New Roman" w:hAnsi="Times New Roman" w:cs="Times New Roman"/>
          <w:szCs w:val="22"/>
        </w:rPr>
        <w:t>Gonad somatic</w:t>
      </w:r>
      <w:r w:rsidRPr="00EA492A">
        <w:rPr>
          <w:rFonts w:ascii="Times New Roman" w:hAnsi="Times New Roman" w:cs="Times New Roman"/>
          <w:szCs w:val="22"/>
        </w:rPr>
        <w:t xml:space="preserve"> Index (GSI) is the most widely used and reliable indicator of the reproductive state and spawning readiness of fish (Lagler, 1956; De Vlaming et al., 1982; West, 1990). It quantifies the proportion of body resources allocated to gonadal development and is calculated as GSI (%) = (Gonad Weight / Total Body Weight) × 100. Higher GSI values indicate active gonadal development and approaching spawning, while lower values signify quiescent, immature, or spent reproductive phases</w:t>
      </w:r>
    </w:p>
    <w:p w14:paraId="2F643961" w14:textId="77777777" w:rsidR="0067758E" w:rsidRPr="00EA492A" w:rsidRDefault="00D15D7D">
      <w:r w:rsidRPr="00EA492A">
        <w:rPr>
          <w:rFonts w:ascii="Times New Roman" w:hAnsi="Times New Roman"/>
        </w:rPr>
        <w:t>Although GSI is a practical indicator of reproductive activity, it is best interpreted together with oocyte development and maturity stage because GSI can be affected by body size, ovarian allometry, and partial or protracted spawning patterns (de Vlaming et al., 1982; Somarakis et al., 2004; Flores et al., 2019).</w:t>
      </w:r>
    </w:p>
    <w:p w14:paraId="32FA1AB3" w14:textId="77777777" w:rsidR="00BB72D0" w:rsidRPr="00EA492A" w:rsidRDefault="00BB72D0" w:rsidP="00BB72D0">
      <w:pPr>
        <w:pStyle w:val="Heading3"/>
        <w:jc w:val="left"/>
        <w:rPr>
          <w:rFonts w:ascii="Times New Roman" w:hAnsi="Times New Roman" w:cs="Times New Roman"/>
          <w:sz w:val="22"/>
        </w:rPr>
      </w:pPr>
      <w:r w:rsidRPr="00EA492A">
        <w:rPr>
          <w:rFonts w:ascii="Times New Roman" w:hAnsi="Times New Roman" w:cs="Times New Roman"/>
          <w:sz w:val="22"/>
        </w:rPr>
        <w:t xml:space="preserve"> Comparative GSI Analysis</w:t>
      </w:r>
    </w:p>
    <w:p w14:paraId="3FDF2469" w14:textId="77777777" w:rsidR="00BB72D0" w:rsidRPr="00EA492A" w:rsidRDefault="00BB72D0" w:rsidP="00BB72D0">
      <w:pPr>
        <w:spacing w:before="240"/>
        <w:jc w:val="center"/>
        <w:rPr>
          <w:rFonts w:ascii="Times New Roman" w:hAnsi="Times New Roman" w:cs="Times New Roman"/>
          <w:szCs w:val="22"/>
        </w:rPr>
      </w:pPr>
      <w:r w:rsidRPr="00EA492A">
        <w:rPr>
          <w:rFonts w:ascii="Times New Roman" w:hAnsi="Times New Roman" w:cs="Times New Roman"/>
          <w:b/>
          <w:szCs w:val="22"/>
        </w:rPr>
        <w:t xml:space="preserve">Table 1: Comparative monthly variation in GSI (%) of P. sophore and R. </w:t>
      </w:r>
      <w:proofErr w:type="spellStart"/>
      <w:r w:rsidRPr="00EA492A">
        <w:rPr>
          <w:rFonts w:ascii="Times New Roman" w:hAnsi="Times New Roman" w:cs="Times New Roman"/>
          <w:b/>
          <w:szCs w:val="22"/>
        </w:rPr>
        <w:t>daniconius</w:t>
      </w:r>
      <w:proofErr w:type="spellEnd"/>
      <w:r w:rsidRPr="00EA492A">
        <w:rPr>
          <w:rFonts w:ascii="Times New Roman" w:hAnsi="Times New Roman" w:cs="Times New Roman"/>
          <w:b/>
          <w:szCs w:val="22"/>
        </w:rPr>
        <w:t xml:space="preserve"> from Upper Lake, Bhopal</w:t>
      </w:r>
    </w:p>
    <w:tbl>
      <w:tblPr>
        <w:tblStyle w:val="TableGrid"/>
        <w:tblW w:w="0" w:type="auto"/>
        <w:jc w:val="center"/>
        <w:tblLook w:val="04A0" w:firstRow="1" w:lastRow="0" w:firstColumn="1" w:lastColumn="0" w:noHBand="0" w:noVBand="1"/>
      </w:tblPr>
      <w:tblGrid>
        <w:gridCol w:w="1234"/>
        <w:gridCol w:w="1234"/>
        <w:gridCol w:w="1234"/>
        <w:gridCol w:w="1234"/>
        <w:gridCol w:w="1234"/>
        <w:gridCol w:w="1234"/>
        <w:gridCol w:w="1234"/>
      </w:tblGrid>
      <w:tr w:rsidR="00BB72D0" w:rsidRPr="00EA492A" w14:paraId="5278055B" w14:textId="77777777" w:rsidTr="004265CD">
        <w:trPr>
          <w:jc w:val="center"/>
        </w:trPr>
        <w:tc>
          <w:tcPr>
            <w:tcW w:w="1234" w:type="dxa"/>
            <w:shd w:val="clear" w:color="auto" w:fill="D5E8F0"/>
          </w:tcPr>
          <w:p w14:paraId="6E84B2B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b/>
              </w:rPr>
              <w:t>Month</w:t>
            </w:r>
          </w:p>
        </w:tc>
        <w:tc>
          <w:tcPr>
            <w:tcW w:w="1234" w:type="dxa"/>
            <w:shd w:val="clear" w:color="auto" w:fill="D5E8F0"/>
          </w:tcPr>
          <w:p w14:paraId="73CA4B1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b/>
              </w:rPr>
              <w:t>P.s ♀ (N)</w:t>
            </w:r>
          </w:p>
        </w:tc>
        <w:tc>
          <w:tcPr>
            <w:tcW w:w="1234" w:type="dxa"/>
            <w:shd w:val="clear" w:color="auto" w:fill="D5E8F0"/>
          </w:tcPr>
          <w:p w14:paraId="32AF750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b/>
              </w:rPr>
              <w:t>P.s ♀ GSI</w:t>
            </w:r>
          </w:p>
        </w:tc>
        <w:tc>
          <w:tcPr>
            <w:tcW w:w="1234" w:type="dxa"/>
            <w:shd w:val="clear" w:color="auto" w:fill="D5E8F0"/>
          </w:tcPr>
          <w:p w14:paraId="1028F53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b/>
              </w:rPr>
              <w:t>P.s ♂ (N)</w:t>
            </w:r>
          </w:p>
        </w:tc>
        <w:tc>
          <w:tcPr>
            <w:tcW w:w="1234" w:type="dxa"/>
            <w:shd w:val="clear" w:color="auto" w:fill="D5E8F0"/>
          </w:tcPr>
          <w:p w14:paraId="0E53315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b/>
              </w:rPr>
              <w:t>P.s ♂ GSI</w:t>
            </w:r>
          </w:p>
        </w:tc>
        <w:tc>
          <w:tcPr>
            <w:tcW w:w="1234" w:type="dxa"/>
            <w:shd w:val="clear" w:color="auto" w:fill="D5E8F0"/>
          </w:tcPr>
          <w:p w14:paraId="2899B173" w14:textId="77777777" w:rsidR="00BB72D0" w:rsidRPr="00EA492A" w:rsidRDefault="00BB72D0" w:rsidP="004265CD">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xml:space="preserve"> ♀ (N)</w:t>
            </w:r>
          </w:p>
        </w:tc>
        <w:tc>
          <w:tcPr>
            <w:tcW w:w="1234" w:type="dxa"/>
            <w:shd w:val="clear" w:color="auto" w:fill="D5E8F0"/>
          </w:tcPr>
          <w:p w14:paraId="2B395B80" w14:textId="77777777" w:rsidR="00BB72D0" w:rsidRPr="00EA492A" w:rsidRDefault="00BB72D0" w:rsidP="004265CD">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xml:space="preserve"> ♀ GSI</w:t>
            </w:r>
          </w:p>
        </w:tc>
      </w:tr>
      <w:tr w:rsidR="00BB72D0" w:rsidRPr="00EA492A" w14:paraId="71BC7A9A" w14:textId="77777777" w:rsidTr="004265CD">
        <w:trPr>
          <w:jc w:val="center"/>
        </w:trPr>
        <w:tc>
          <w:tcPr>
            <w:tcW w:w="1234" w:type="dxa"/>
          </w:tcPr>
          <w:p w14:paraId="6172555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Jan</w:t>
            </w:r>
          </w:p>
        </w:tc>
        <w:tc>
          <w:tcPr>
            <w:tcW w:w="1234" w:type="dxa"/>
          </w:tcPr>
          <w:p w14:paraId="7A3FD56C"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w:t>
            </w:r>
          </w:p>
        </w:tc>
        <w:tc>
          <w:tcPr>
            <w:tcW w:w="1234" w:type="dxa"/>
          </w:tcPr>
          <w:p w14:paraId="7DEB77A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1.27±0.69</w:t>
            </w:r>
          </w:p>
        </w:tc>
        <w:tc>
          <w:tcPr>
            <w:tcW w:w="1234" w:type="dxa"/>
          </w:tcPr>
          <w:p w14:paraId="4D59752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w:t>
            </w:r>
          </w:p>
        </w:tc>
        <w:tc>
          <w:tcPr>
            <w:tcW w:w="1234" w:type="dxa"/>
          </w:tcPr>
          <w:p w14:paraId="7BF0BB13"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w:t>
            </w:r>
          </w:p>
        </w:tc>
        <w:tc>
          <w:tcPr>
            <w:tcW w:w="1234" w:type="dxa"/>
          </w:tcPr>
          <w:p w14:paraId="5D45BA8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w:t>
            </w:r>
          </w:p>
        </w:tc>
        <w:tc>
          <w:tcPr>
            <w:tcW w:w="1234" w:type="dxa"/>
          </w:tcPr>
          <w:p w14:paraId="57123D0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0.32±0.10</w:t>
            </w:r>
          </w:p>
        </w:tc>
      </w:tr>
      <w:tr w:rsidR="00BB72D0" w:rsidRPr="00EA492A" w14:paraId="60473DAF" w14:textId="77777777" w:rsidTr="004265CD">
        <w:trPr>
          <w:jc w:val="center"/>
        </w:trPr>
        <w:tc>
          <w:tcPr>
            <w:tcW w:w="1234" w:type="dxa"/>
            <w:shd w:val="clear" w:color="auto" w:fill="F2F2F2"/>
          </w:tcPr>
          <w:p w14:paraId="66B85B35"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Feb</w:t>
            </w:r>
          </w:p>
        </w:tc>
        <w:tc>
          <w:tcPr>
            <w:tcW w:w="1234" w:type="dxa"/>
            <w:shd w:val="clear" w:color="auto" w:fill="F2F2F2"/>
          </w:tcPr>
          <w:p w14:paraId="498FE46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shd w:val="clear" w:color="auto" w:fill="F2F2F2"/>
          </w:tcPr>
          <w:p w14:paraId="303B4A8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0.31±0.08</w:t>
            </w:r>
          </w:p>
        </w:tc>
        <w:tc>
          <w:tcPr>
            <w:tcW w:w="1234" w:type="dxa"/>
            <w:shd w:val="clear" w:color="auto" w:fill="F2F2F2"/>
          </w:tcPr>
          <w:p w14:paraId="6DA796A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4</w:t>
            </w:r>
          </w:p>
        </w:tc>
        <w:tc>
          <w:tcPr>
            <w:tcW w:w="1234" w:type="dxa"/>
            <w:shd w:val="clear" w:color="auto" w:fill="F2F2F2"/>
          </w:tcPr>
          <w:p w14:paraId="514A7A0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0.17±0.02</w:t>
            </w:r>
          </w:p>
        </w:tc>
        <w:tc>
          <w:tcPr>
            <w:tcW w:w="1234" w:type="dxa"/>
            <w:shd w:val="clear" w:color="auto" w:fill="F2F2F2"/>
          </w:tcPr>
          <w:p w14:paraId="31391D5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w:t>
            </w:r>
          </w:p>
        </w:tc>
        <w:tc>
          <w:tcPr>
            <w:tcW w:w="1234" w:type="dxa"/>
            <w:shd w:val="clear" w:color="auto" w:fill="F2F2F2"/>
          </w:tcPr>
          <w:p w14:paraId="77284E0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0.21±0.05</w:t>
            </w:r>
          </w:p>
        </w:tc>
      </w:tr>
      <w:tr w:rsidR="00BB72D0" w:rsidRPr="00EA492A" w14:paraId="390E7818" w14:textId="77777777" w:rsidTr="004265CD">
        <w:trPr>
          <w:jc w:val="center"/>
        </w:trPr>
        <w:tc>
          <w:tcPr>
            <w:tcW w:w="1234" w:type="dxa"/>
          </w:tcPr>
          <w:p w14:paraId="2816513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Mar</w:t>
            </w:r>
          </w:p>
        </w:tc>
        <w:tc>
          <w:tcPr>
            <w:tcW w:w="1234" w:type="dxa"/>
          </w:tcPr>
          <w:p w14:paraId="7B379C39"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tcPr>
          <w:p w14:paraId="1F713BB5"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0.50±0.15</w:t>
            </w:r>
          </w:p>
        </w:tc>
        <w:tc>
          <w:tcPr>
            <w:tcW w:w="1234" w:type="dxa"/>
          </w:tcPr>
          <w:p w14:paraId="560C521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w:t>
            </w:r>
          </w:p>
        </w:tc>
        <w:tc>
          <w:tcPr>
            <w:tcW w:w="1234" w:type="dxa"/>
          </w:tcPr>
          <w:p w14:paraId="31B707B1"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0.20±0.04</w:t>
            </w:r>
          </w:p>
        </w:tc>
        <w:tc>
          <w:tcPr>
            <w:tcW w:w="1234" w:type="dxa"/>
          </w:tcPr>
          <w:p w14:paraId="55AECD05"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tcPr>
          <w:p w14:paraId="2DFC09BE"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0.47±0.15</w:t>
            </w:r>
          </w:p>
        </w:tc>
      </w:tr>
      <w:tr w:rsidR="00BB72D0" w:rsidRPr="00EA492A" w14:paraId="1DB9670B" w14:textId="77777777" w:rsidTr="004265CD">
        <w:trPr>
          <w:jc w:val="center"/>
        </w:trPr>
        <w:tc>
          <w:tcPr>
            <w:tcW w:w="1234" w:type="dxa"/>
            <w:shd w:val="clear" w:color="auto" w:fill="F2F2F2"/>
          </w:tcPr>
          <w:p w14:paraId="7B2201C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Apr</w:t>
            </w:r>
          </w:p>
        </w:tc>
        <w:tc>
          <w:tcPr>
            <w:tcW w:w="1234" w:type="dxa"/>
            <w:shd w:val="clear" w:color="auto" w:fill="F2F2F2"/>
          </w:tcPr>
          <w:p w14:paraId="62AB90C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8</w:t>
            </w:r>
          </w:p>
        </w:tc>
        <w:tc>
          <w:tcPr>
            <w:tcW w:w="1234" w:type="dxa"/>
            <w:shd w:val="clear" w:color="auto" w:fill="F2F2F2"/>
          </w:tcPr>
          <w:p w14:paraId="6ADD050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1.68±0.82</w:t>
            </w:r>
          </w:p>
        </w:tc>
        <w:tc>
          <w:tcPr>
            <w:tcW w:w="1234" w:type="dxa"/>
            <w:shd w:val="clear" w:color="auto" w:fill="F2F2F2"/>
          </w:tcPr>
          <w:p w14:paraId="3C16608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w:t>
            </w:r>
          </w:p>
        </w:tc>
        <w:tc>
          <w:tcPr>
            <w:tcW w:w="1234" w:type="dxa"/>
            <w:shd w:val="clear" w:color="auto" w:fill="F2F2F2"/>
          </w:tcPr>
          <w:p w14:paraId="4182722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0.38±0.05</w:t>
            </w:r>
          </w:p>
        </w:tc>
        <w:tc>
          <w:tcPr>
            <w:tcW w:w="1234" w:type="dxa"/>
            <w:shd w:val="clear" w:color="auto" w:fill="F2F2F2"/>
          </w:tcPr>
          <w:p w14:paraId="44627B8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shd w:val="clear" w:color="auto" w:fill="F2F2F2"/>
          </w:tcPr>
          <w:p w14:paraId="112A4583"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0.96±0.21</w:t>
            </w:r>
          </w:p>
        </w:tc>
      </w:tr>
      <w:tr w:rsidR="00BB72D0" w:rsidRPr="00EA492A" w14:paraId="662F7E4C" w14:textId="77777777" w:rsidTr="004265CD">
        <w:trPr>
          <w:jc w:val="center"/>
        </w:trPr>
        <w:tc>
          <w:tcPr>
            <w:tcW w:w="1234" w:type="dxa"/>
          </w:tcPr>
          <w:p w14:paraId="6CB2CA2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May</w:t>
            </w:r>
          </w:p>
        </w:tc>
        <w:tc>
          <w:tcPr>
            <w:tcW w:w="1234" w:type="dxa"/>
          </w:tcPr>
          <w:p w14:paraId="22029DC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8</w:t>
            </w:r>
          </w:p>
        </w:tc>
        <w:tc>
          <w:tcPr>
            <w:tcW w:w="1234" w:type="dxa"/>
          </w:tcPr>
          <w:p w14:paraId="596C94B7"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8.46±5.03</w:t>
            </w:r>
          </w:p>
        </w:tc>
        <w:tc>
          <w:tcPr>
            <w:tcW w:w="1234" w:type="dxa"/>
          </w:tcPr>
          <w:p w14:paraId="3592291E"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tcPr>
          <w:p w14:paraId="4340284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0.45±0.04</w:t>
            </w:r>
          </w:p>
        </w:tc>
        <w:tc>
          <w:tcPr>
            <w:tcW w:w="1234" w:type="dxa"/>
          </w:tcPr>
          <w:p w14:paraId="0F573253"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tcPr>
          <w:p w14:paraId="1F32428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0.53±0.12</w:t>
            </w:r>
          </w:p>
        </w:tc>
      </w:tr>
      <w:tr w:rsidR="00BB72D0" w:rsidRPr="00EA492A" w14:paraId="62A507D1" w14:textId="77777777" w:rsidTr="004265CD">
        <w:trPr>
          <w:jc w:val="center"/>
        </w:trPr>
        <w:tc>
          <w:tcPr>
            <w:tcW w:w="1234" w:type="dxa"/>
            <w:shd w:val="clear" w:color="auto" w:fill="F2F2F2"/>
          </w:tcPr>
          <w:p w14:paraId="470D2577"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Jun</w:t>
            </w:r>
          </w:p>
        </w:tc>
        <w:tc>
          <w:tcPr>
            <w:tcW w:w="1234" w:type="dxa"/>
            <w:shd w:val="clear" w:color="auto" w:fill="F2F2F2"/>
          </w:tcPr>
          <w:p w14:paraId="5E6329BC"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10</w:t>
            </w:r>
          </w:p>
        </w:tc>
        <w:tc>
          <w:tcPr>
            <w:tcW w:w="1234" w:type="dxa"/>
            <w:shd w:val="clear" w:color="auto" w:fill="F2F2F2"/>
          </w:tcPr>
          <w:p w14:paraId="1D44F38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3.90±2.49</w:t>
            </w:r>
          </w:p>
        </w:tc>
        <w:tc>
          <w:tcPr>
            <w:tcW w:w="1234" w:type="dxa"/>
            <w:shd w:val="clear" w:color="auto" w:fill="F2F2F2"/>
          </w:tcPr>
          <w:p w14:paraId="793F60E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shd w:val="clear" w:color="auto" w:fill="F2F2F2"/>
          </w:tcPr>
          <w:p w14:paraId="0F75561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0.50±0.05</w:t>
            </w:r>
          </w:p>
        </w:tc>
        <w:tc>
          <w:tcPr>
            <w:tcW w:w="1234" w:type="dxa"/>
            <w:shd w:val="clear" w:color="auto" w:fill="F2F2F2"/>
          </w:tcPr>
          <w:p w14:paraId="2375421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6474747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1.36±0.43</w:t>
            </w:r>
          </w:p>
        </w:tc>
      </w:tr>
      <w:tr w:rsidR="00BB72D0" w:rsidRPr="00EA492A" w14:paraId="60EAE752" w14:textId="77777777" w:rsidTr="004265CD">
        <w:trPr>
          <w:jc w:val="center"/>
        </w:trPr>
        <w:tc>
          <w:tcPr>
            <w:tcW w:w="1234" w:type="dxa"/>
          </w:tcPr>
          <w:p w14:paraId="7029D02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Jul</w:t>
            </w:r>
          </w:p>
        </w:tc>
        <w:tc>
          <w:tcPr>
            <w:tcW w:w="1234" w:type="dxa"/>
          </w:tcPr>
          <w:p w14:paraId="0F23C309"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10</w:t>
            </w:r>
          </w:p>
        </w:tc>
        <w:tc>
          <w:tcPr>
            <w:tcW w:w="1234" w:type="dxa"/>
          </w:tcPr>
          <w:p w14:paraId="69FDF9C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4.16±2.15</w:t>
            </w:r>
          </w:p>
        </w:tc>
        <w:tc>
          <w:tcPr>
            <w:tcW w:w="1234" w:type="dxa"/>
          </w:tcPr>
          <w:p w14:paraId="4F640209"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tcPr>
          <w:p w14:paraId="4AAEFCB1"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0.57±0.08</w:t>
            </w:r>
          </w:p>
        </w:tc>
        <w:tc>
          <w:tcPr>
            <w:tcW w:w="1234" w:type="dxa"/>
          </w:tcPr>
          <w:p w14:paraId="362101F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8</w:t>
            </w:r>
          </w:p>
        </w:tc>
        <w:tc>
          <w:tcPr>
            <w:tcW w:w="1234" w:type="dxa"/>
          </w:tcPr>
          <w:p w14:paraId="2B546D1E"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2.21±0.65</w:t>
            </w:r>
          </w:p>
        </w:tc>
      </w:tr>
      <w:tr w:rsidR="00BB72D0" w:rsidRPr="00EA492A" w14:paraId="3F4EE848" w14:textId="77777777" w:rsidTr="004265CD">
        <w:trPr>
          <w:jc w:val="center"/>
        </w:trPr>
        <w:tc>
          <w:tcPr>
            <w:tcW w:w="1234" w:type="dxa"/>
            <w:shd w:val="clear" w:color="auto" w:fill="F2F2F2"/>
          </w:tcPr>
          <w:p w14:paraId="2EB9234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Aug</w:t>
            </w:r>
          </w:p>
        </w:tc>
        <w:tc>
          <w:tcPr>
            <w:tcW w:w="1234" w:type="dxa"/>
            <w:shd w:val="clear" w:color="auto" w:fill="F2F2F2"/>
          </w:tcPr>
          <w:p w14:paraId="0F8C647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11</w:t>
            </w:r>
          </w:p>
        </w:tc>
        <w:tc>
          <w:tcPr>
            <w:tcW w:w="1234" w:type="dxa"/>
            <w:shd w:val="clear" w:color="auto" w:fill="F2F2F2"/>
          </w:tcPr>
          <w:p w14:paraId="17F7101C"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7.03±1.81</w:t>
            </w:r>
          </w:p>
        </w:tc>
        <w:tc>
          <w:tcPr>
            <w:tcW w:w="1234" w:type="dxa"/>
            <w:shd w:val="clear" w:color="auto" w:fill="F2F2F2"/>
          </w:tcPr>
          <w:p w14:paraId="7C31C4B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w:t>
            </w:r>
          </w:p>
        </w:tc>
        <w:tc>
          <w:tcPr>
            <w:tcW w:w="1234" w:type="dxa"/>
            <w:shd w:val="clear" w:color="auto" w:fill="F2F2F2"/>
          </w:tcPr>
          <w:p w14:paraId="1C5438FC"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w:t>
            </w:r>
          </w:p>
        </w:tc>
        <w:tc>
          <w:tcPr>
            <w:tcW w:w="1234" w:type="dxa"/>
            <w:shd w:val="clear" w:color="auto" w:fill="F2F2F2"/>
          </w:tcPr>
          <w:p w14:paraId="661ADE4E"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2FCF507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0.73±0.20</w:t>
            </w:r>
          </w:p>
        </w:tc>
      </w:tr>
      <w:tr w:rsidR="00BB72D0" w:rsidRPr="00EA492A" w14:paraId="55942330" w14:textId="77777777" w:rsidTr="004265CD">
        <w:trPr>
          <w:jc w:val="center"/>
        </w:trPr>
        <w:tc>
          <w:tcPr>
            <w:tcW w:w="1234" w:type="dxa"/>
          </w:tcPr>
          <w:p w14:paraId="5131E015"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Sep</w:t>
            </w:r>
          </w:p>
        </w:tc>
        <w:tc>
          <w:tcPr>
            <w:tcW w:w="1234" w:type="dxa"/>
          </w:tcPr>
          <w:p w14:paraId="016E5BE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25</w:t>
            </w:r>
          </w:p>
        </w:tc>
        <w:tc>
          <w:tcPr>
            <w:tcW w:w="1234" w:type="dxa"/>
          </w:tcPr>
          <w:p w14:paraId="01C7567A"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2.95±1.16</w:t>
            </w:r>
          </w:p>
        </w:tc>
        <w:tc>
          <w:tcPr>
            <w:tcW w:w="1234" w:type="dxa"/>
          </w:tcPr>
          <w:p w14:paraId="574D3F57"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8</w:t>
            </w:r>
          </w:p>
        </w:tc>
        <w:tc>
          <w:tcPr>
            <w:tcW w:w="1234" w:type="dxa"/>
          </w:tcPr>
          <w:p w14:paraId="4983DAB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0.38±0.02</w:t>
            </w:r>
          </w:p>
        </w:tc>
        <w:tc>
          <w:tcPr>
            <w:tcW w:w="1234" w:type="dxa"/>
          </w:tcPr>
          <w:p w14:paraId="626A4B23"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w:t>
            </w:r>
          </w:p>
        </w:tc>
        <w:tc>
          <w:tcPr>
            <w:tcW w:w="1234" w:type="dxa"/>
          </w:tcPr>
          <w:p w14:paraId="22D1617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0.80±0.00</w:t>
            </w:r>
          </w:p>
        </w:tc>
      </w:tr>
      <w:tr w:rsidR="00BB72D0" w:rsidRPr="00EA492A" w14:paraId="0341D3C5" w14:textId="77777777" w:rsidTr="004265CD">
        <w:trPr>
          <w:jc w:val="center"/>
        </w:trPr>
        <w:tc>
          <w:tcPr>
            <w:tcW w:w="1234" w:type="dxa"/>
            <w:shd w:val="clear" w:color="auto" w:fill="F2F2F2"/>
          </w:tcPr>
          <w:p w14:paraId="2F16BAE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Oct</w:t>
            </w:r>
          </w:p>
        </w:tc>
        <w:tc>
          <w:tcPr>
            <w:tcW w:w="1234" w:type="dxa"/>
            <w:shd w:val="clear" w:color="auto" w:fill="F2F2F2"/>
          </w:tcPr>
          <w:p w14:paraId="160E3C2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16</w:t>
            </w:r>
          </w:p>
        </w:tc>
        <w:tc>
          <w:tcPr>
            <w:tcW w:w="1234" w:type="dxa"/>
            <w:shd w:val="clear" w:color="auto" w:fill="F2F2F2"/>
          </w:tcPr>
          <w:p w14:paraId="3B25F85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0.88±0.29</w:t>
            </w:r>
          </w:p>
        </w:tc>
        <w:tc>
          <w:tcPr>
            <w:tcW w:w="1234" w:type="dxa"/>
            <w:shd w:val="clear" w:color="auto" w:fill="F2F2F2"/>
          </w:tcPr>
          <w:p w14:paraId="3AB4CB1E"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11</w:t>
            </w:r>
          </w:p>
        </w:tc>
        <w:tc>
          <w:tcPr>
            <w:tcW w:w="1234" w:type="dxa"/>
            <w:shd w:val="clear" w:color="auto" w:fill="F2F2F2"/>
          </w:tcPr>
          <w:p w14:paraId="44E1098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0.39±0.01</w:t>
            </w:r>
          </w:p>
        </w:tc>
        <w:tc>
          <w:tcPr>
            <w:tcW w:w="1234" w:type="dxa"/>
            <w:shd w:val="clear" w:color="auto" w:fill="F2F2F2"/>
          </w:tcPr>
          <w:p w14:paraId="083657E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10</w:t>
            </w:r>
          </w:p>
        </w:tc>
        <w:tc>
          <w:tcPr>
            <w:tcW w:w="1234" w:type="dxa"/>
            <w:shd w:val="clear" w:color="auto" w:fill="F2F2F2"/>
          </w:tcPr>
          <w:p w14:paraId="27D7220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2.02±0.79</w:t>
            </w:r>
          </w:p>
        </w:tc>
      </w:tr>
      <w:tr w:rsidR="00BB72D0" w:rsidRPr="00EA492A" w14:paraId="4CE7BA89" w14:textId="77777777" w:rsidTr="004265CD">
        <w:trPr>
          <w:jc w:val="center"/>
        </w:trPr>
        <w:tc>
          <w:tcPr>
            <w:tcW w:w="1234" w:type="dxa"/>
          </w:tcPr>
          <w:p w14:paraId="0F65E2E5"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lastRenderedPageBreak/>
              <w:t>Nov</w:t>
            </w:r>
          </w:p>
        </w:tc>
        <w:tc>
          <w:tcPr>
            <w:tcW w:w="1234" w:type="dxa"/>
          </w:tcPr>
          <w:p w14:paraId="52BE12C1"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6</w:t>
            </w:r>
          </w:p>
        </w:tc>
        <w:tc>
          <w:tcPr>
            <w:tcW w:w="1234" w:type="dxa"/>
          </w:tcPr>
          <w:p w14:paraId="60E2635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0.31±0.08</w:t>
            </w:r>
          </w:p>
        </w:tc>
        <w:tc>
          <w:tcPr>
            <w:tcW w:w="1234" w:type="dxa"/>
          </w:tcPr>
          <w:p w14:paraId="680A93D1"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4</w:t>
            </w:r>
          </w:p>
        </w:tc>
        <w:tc>
          <w:tcPr>
            <w:tcW w:w="1234" w:type="dxa"/>
          </w:tcPr>
          <w:p w14:paraId="78D59921"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0.16±0.02</w:t>
            </w:r>
          </w:p>
        </w:tc>
        <w:tc>
          <w:tcPr>
            <w:tcW w:w="1234" w:type="dxa"/>
          </w:tcPr>
          <w:p w14:paraId="35608FE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w:t>
            </w:r>
          </w:p>
        </w:tc>
        <w:tc>
          <w:tcPr>
            <w:tcW w:w="1234" w:type="dxa"/>
          </w:tcPr>
          <w:p w14:paraId="547CA58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0.39±0.13</w:t>
            </w:r>
          </w:p>
        </w:tc>
      </w:tr>
      <w:tr w:rsidR="00BB72D0" w:rsidRPr="00EA492A" w14:paraId="14C66220" w14:textId="77777777" w:rsidTr="004265CD">
        <w:trPr>
          <w:jc w:val="center"/>
        </w:trPr>
        <w:tc>
          <w:tcPr>
            <w:tcW w:w="1234" w:type="dxa"/>
            <w:shd w:val="clear" w:color="auto" w:fill="F2F2F2"/>
          </w:tcPr>
          <w:p w14:paraId="70EBE8F7"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Dec</w:t>
            </w:r>
          </w:p>
        </w:tc>
        <w:tc>
          <w:tcPr>
            <w:tcW w:w="1234" w:type="dxa"/>
            <w:shd w:val="clear" w:color="auto" w:fill="F2F2F2"/>
          </w:tcPr>
          <w:p w14:paraId="25554BB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3</w:t>
            </w:r>
          </w:p>
        </w:tc>
        <w:tc>
          <w:tcPr>
            <w:tcW w:w="1234" w:type="dxa"/>
            <w:shd w:val="clear" w:color="auto" w:fill="F2F2F2"/>
          </w:tcPr>
          <w:p w14:paraId="544641E2"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1.66±0.77</w:t>
            </w:r>
          </w:p>
        </w:tc>
        <w:tc>
          <w:tcPr>
            <w:tcW w:w="1234" w:type="dxa"/>
            <w:shd w:val="clear" w:color="auto" w:fill="F2F2F2"/>
          </w:tcPr>
          <w:p w14:paraId="265A60DB"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2</w:t>
            </w:r>
          </w:p>
        </w:tc>
        <w:tc>
          <w:tcPr>
            <w:tcW w:w="1234" w:type="dxa"/>
            <w:shd w:val="clear" w:color="auto" w:fill="F2F2F2"/>
          </w:tcPr>
          <w:p w14:paraId="74427EA8"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0.37±0.01</w:t>
            </w:r>
          </w:p>
        </w:tc>
        <w:tc>
          <w:tcPr>
            <w:tcW w:w="1234" w:type="dxa"/>
            <w:shd w:val="clear" w:color="auto" w:fill="F2F2F2"/>
          </w:tcPr>
          <w:p w14:paraId="3601EFB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0355FC8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0.75±0.02</w:t>
            </w:r>
          </w:p>
        </w:tc>
      </w:tr>
      <w:tr w:rsidR="00BB72D0" w:rsidRPr="00EA492A" w14:paraId="01258288" w14:textId="77777777" w:rsidTr="004265CD">
        <w:trPr>
          <w:jc w:val="center"/>
        </w:trPr>
        <w:tc>
          <w:tcPr>
            <w:tcW w:w="1234" w:type="dxa"/>
          </w:tcPr>
          <w:p w14:paraId="19AF223F"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Annual</w:t>
            </w:r>
          </w:p>
        </w:tc>
        <w:tc>
          <w:tcPr>
            <w:tcW w:w="1234" w:type="dxa"/>
          </w:tcPr>
          <w:p w14:paraId="6EC17C56"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112</w:t>
            </w:r>
          </w:p>
        </w:tc>
        <w:tc>
          <w:tcPr>
            <w:tcW w:w="1234" w:type="dxa"/>
          </w:tcPr>
          <w:p w14:paraId="0FCBEAF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3.05±0.59</w:t>
            </w:r>
          </w:p>
        </w:tc>
        <w:tc>
          <w:tcPr>
            <w:tcW w:w="1234" w:type="dxa"/>
          </w:tcPr>
          <w:p w14:paraId="1D0141EC"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58</w:t>
            </w:r>
          </w:p>
        </w:tc>
        <w:tc>
          <w:tcPr>
            <w:tcW w:w="1234" w:type="dxa"/>
          </w:tcPr>
          <w:p w14:paraId="544AC5D0"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0.38±0.02</w:t>
            </w:r>
          </w:p>
        </w:tc>
        <w:tc>
          <w:tcPr>
            <w:tcW w:w="1234" w:type="dxa"/>
          </w:tcPr>
          <w:p w14:paraId="5393968D"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74</w:t>
            </w:r>
          </w:p>
        </w:tc>
        <w:tc>
          <w:tcPr>
            <w:tcW w:w="1234" w:type="dxa"/>
          </w:tcPr>
          <w:p w14:paraId="60037ED4" w14:textId="77777777" w:rsidR="00BB72D0" w:rsidRPr="00EA492A" w:rsidRDefault="00BB72D0" w:rsidP="004265CD">
            <w:pPr>
              <w:jc w:val="center"/>
              <w:rPr>
                <w:rFonts w:ascii="Times New Roman" w:hAnsi="Times New Roman" w:cs="Times New Roman"/>
              </w:rPr>
            </w:pPr>
            <w:r w:rsidRPr="00EA492A">
              <w:rPr>
                <w:rFonts w:ascii="Times New Roman" w:hAnsi="Times New Roman" w:cs="Times New Roman"/>
              </w:rPr>
              <w:t>1.02±0.15</w:t>
            </w:r>
          </w:p>
        </w:tc>
      </w:tr>
    </w:tbl>
    <w:p w14:paraId="170D4405" w14:textId="77777777" w:rsidR="00BB72D0" w:rsidRPr="00EA492A" w:rsidRDefault="00BB72D0" w:rsidP="00BB72D0">
      <w:pPr>
        <w:spacing w:before="360"/>
        <w:jc w:val="center"/>
        <w:rPr>
          <w:rFonts w:ascii="Times New Roman" w:hAnsi="Times New Roman" w:cs="Times New Roman"/>
          <w:szCs w:val="22"/>
        </w:rPr>
      </w:pPr>
      <w:r w:rsidRPr="00EA492A">
        <w:rPr>
          <w:rFonts w:ascii="Times New Roman" w:hAnsi="Times New Roman" w:cs="Times New Roman"/>
          <w:noProof/>
          <w:szCs w:val="22"/>
          <w:lang w:eastAsia="en-IN"/>
        </w:rPr>
        <w:drawing>
          <wp:inline distT="0" distB="0" distL="0" distR="0" wp14:anchorId="520FE367" wp14:editId="4693D10A">
            <wp:extent cx="4374489" cy="287850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9_GSI_Comparative.png"/>
                    <pic:cNvPicPr/>
                  </pic:nvPicPr>
                  <pic:blipFill>
                    <a:blip r:embed="rId7"/>
                    <a:stretch>
                      <a:fillRect/>
                    </a:stretch>
                  </pic:blipFill>
                  <pic:spPr>
                    <a:xfrm>
                      <a:off x="0" y="0"/>
                      <a:ext cx="4374489" cy="2878505"/>
                    </a:xfrm>
                    <a:prstGeom prst="rect">
                      <a:avLst/>
                    </a:prstGeom>
                  </pic:spPr>
                </pic:pic>
              </a:graphicData>
            </a:graphic>
          </wp:inline>
        </w:drawing>
      </w:r>
    </w:p>
    <w:p w14:paraId="72F73886" w14:textId="7381B942" w:rsidR="00BB72D0" w:rsidRPr="00EA492A" w:rsidRDefault="00BB72D0" w:rsidP="00BB72D0">
      <w:pPr>
        <w:spacing w:after="240"/>
        <w:jc w:val="center"/>
        <w:rPr>
          <w:rFonts w:ascii="Times New Roman" w:hAnsi="Times New Roman" w:cs="Times New Roman"/>
          <w:szCs w:val="22"/>
        </w:rPr>
      </w:pPr>
      <w:r w:rsidRPr="00EA492A">
        <w:rPr>
          <w:rFonts w:ascii="Times New Roman" w:hAnsi="Times New Roman" w:cs="Times New Roman"/>
          <w:b/>
          <w:szCs w:val="22"/>
        </w:rPr>
        <w:t xml:space="preserve">Figure </w:t>
      </w:r>
      <w:r w:rsidR="005B2C34">
        <w:rPr>
          <w:rFonts w:ascii="Times New Roman" w:hAnsi="Times New Roman" w:cs="Times New Roman"/>
          <w:b/>
          <w:szCs w:val="22"/>
        </w:rPr>
        <w:t>1</w:t>
      </w:r>
      <w:r w:rsidRPr="00EA492A">
        <w:rPr>
          <w:rFonts w:ascii="Times New Roman" w:hAnsi="Times New Roman" w:cs="Times New Roman"/>
          <w:b/>
          <w:szCs w:val="22"/>
        </w:rPr>
        <w:t xml:space="preserve">: Comparative line graph showing monthly GSI trends of P. sophore (♀ and ♂) and R. </w:t>
      </w:r>
      <w:proofErr w:type="spellStart"/>
      <w:r w:rsidRPr="00EA492A">
        <w:rPr>
          <w:rFonts w:ascii="Times New Roman" w:hAnsi="Times New Roman" w:cs="Times New Roman"/>
          <w:b/>
          <w:szCs w:val="22"/>
        </w:rPr>
        <w:t>daniconius</w:t>
      </w:r>
      <w:proofErr w:type="spellEnd"/>
      <w:r w:rsidRPr="00EA492A">
        <w:rPr>
          <w:rFonts w:ascii="Times New Roman" w:hAnsi="Times New Roman" w:cs="Times New Roman"/>
          <w:b/>
          <w:szCs w:val="22"/>
        </w:rPr>
        <w:t xml:space="preserve"> (♀) from Upper Lake, Bhopal</w:t>
      </w:r>
    </w:p>
    <w:p w14:paraId="114067AD" w14:textId="77777777" w:rsidR="00BB72D0" w:rsidRPr="00EA492A" w:rsidRDefault="00BB72D0" w:rsidP="00CD44DC">
      <w:pPr>
        <w:ind w:firstLine="720"/>
        <w:jc w:val="both"/>
        <w:rPr>
          <w:rFonts w:ascii="Times New Roman" w:hAnsi="Times New Roman" w:cs="Times New Roman"/>
          <w:szCs w:val="22"/>
        </w:rPr>
      </w:pPr>
      <w:r w:rsidRPr="00EA492A">
        <w:rPr>
          <w:rFonts w:ascii="Times New Roman" w:hAnsi="Times New Roman" w:cs="Times New Roman"/>
          <w:szCs w:val="22"/>
        </w:rPr>
        <w:t xml:space="preserve">The comparative GSI analysis reveals that while both species exhibit monsoon-associated spawning, their peak GSI months differ slightly. P. sophore females showed the highest GSI in May (8.46%), while R. </w:t>
      </w:r>
      <w:proofErr w:type="spellStart"/>
      <w:r w:rsidRPr="00EA492A">
        <w:rPr>
          <w:rFonts w:ascii="Times New Roman" w:hAnsi="Times New Roman" w:cs="Times New Roman"/>
          <w:szCs w:val="22"/>
        </w:rPr>
        <w:t>daniconius</w:t>
      </w:r>
      <w:proofErr w:type="spellEnd"/>
      <w:r w:rsidRPr="00EA492A">
        <w:rPr>
          <w:rFonts w:ascii="Times New Roman" w:hAnsi="Times New Roman" w:cs="Times New Roman"/>
          <w:szCs w:val="22"/>
        </w:rPr>
        <w:t xml:space="preserve"> peaked in July (2.21%). This temporal offset in peak reproductive activity may represent an adaptive mechanism to reduce inter-specific competition for spawning habitat, food resources for larvae, and nursery grounds — a phenomenon commonly observed in sympatric fish communities in tropical freshwaters (Lowe-McConnell, 1987; </w:t>
      </w:r>
      <w:proofErr w:type="spellStart"/>
      <w:r w:rsidRPr="00EA492A">
        <w:rPr>
          <w:rFonts w:ascii="Times New Roman" w:hAnsi="Times New Roman" w:cs="Times New Roman"/>
          <w:szCs w:val="22"/>
        </w:rPr>
        <w:t>Welcomme</w:t>
      </w:r>
      <w:proofErr w:type="spellEnd"/>
      <w:r w:rsidRPr="00EA492A">
        <w:rPr>
          <w:rFonts w:ascii="Times New Roman" w:hAnsi="Times New Roman" w:cs="Times New Roman"/>
          <w:szCs w:val="22"/>
        </w:rPr>
        <w:t>, 1979).</w:t>
      </w:r>
    </w:p>
    <w:p w14:paraId="6ED624CC" w14:textId="77777777" w:rsidR="0067758E" w:rsidRPr="00EA492A" w:rsidRDefault="00D15D7D">
      <w:r w:rsidRPr="00EA492A">
        <w:rPr>
          <w:rFonts w:ascii="Times New Roman" w:hAnsi="Times New Roman"/>
        </w:rPr>
        <w:t>The higher female GSI of P. sophore during May-August is consistent with reports that the species often shows region-specific breeding peaks during pre-monsoon to monsoon months, and such variation may reflect local temperature, rainfall, water level, and food availability (Hossain et al., 2012; Hasan et al., 2018; Murua et al., 2003).</w:t>
      </w:r>
    </w:p>
    <w:p w14:paraId="284E94DB" w14:textId="5AE63FA2" w:rsidR="008B197F" w:rsidRPr="00EA492A" w:rsidRDefault="008B197F" w:rsidP="00221D19">
      <w:pPr>
        <w:rPr>
          <w:rFonts w:ascii="Times New Roman" w:hAnsi="Times New Roman" w:cs="Times New Roman"/>
          <w:szCs w:val="22"/>
        </w:rPr>
      </w:pPr>
      <w:r w:rsidRPr="00EA492A">
        <w:rPr>
          <w:rFonts w:ascii="Times New Roman" w:hAnsi="Times New Roman" w:cs="Times New Roman"/>
          <w:b/>
          <w:szCs w:val="22"/>
        </w:rPr>
        <w:t xml:space="preserve">Table </w:t>
      </w:r>
      <w:r w:rsidR="00F50B8B">
        <w:rPr>
          <w:rFonts w:ascii="Times New Roman" w:hAnsi="Times New Roman" w:cs="Times New Roman"/>
          <w:b/>
          <w:szCs w:val="22"/>
        </w:rPr>
        <w:t>2</w:t>
      </w:r>
      <w:r w:rsidRPr="00EA492A">
        <w:rPr>
          <w:rFonts w:ascii="Times New Roman" w:hAnsi="Times New Roman" w:cs="Times New Roman"/>
          <w:b/>
          <w:szCs w:val="22"/>
        </w:rPr>
        <w:t xml:space="preserve">: Monthly variation in fecundity (number of ova) of P. sophore and R. </w:t>
      </w:r>
      <w:proofErr w:type="spellStart"/>
      <w:r w:rsidRPr="00EA492A">
        <w:rPr>
          <w:rFonts w:ascii="Times New Roman" w:hAnsi="Times New Roman" w:cs="Times New Roman"/>
          <w:b/>
          <w:szCs w:val="22"/>
        </w:rPr>
        <w:t>daniconius</w:t>
      </w:r>
      <w:proofErr w:type="spellEnd"/>
      <w:r w:rsidRPr="00EA492A">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234"/>
        <w:gridCol w:w="1234"/>
        <w:gridCol w:w="1767"/>
        <w:gridCol w:w="1234"/>
        <w:gridCol w:w="1327"/>
        <w:gridCol w:w="1234"/>
      </w:tblGrid>
      <w:tr w:rsidR="008B197F" w:rsidRPr="00EA492A" w14:paraId="0A9B9F59" w14:textId="77777777" w:rsidTr="00BB72D0">
        <w:trPr>
          <w:trHeight w:val="474"/>
          <w:jc w:val="center"/>
        </w:trPr>
        <w:tc>
          <w:tcPr>
            <w:tcW w:w="1234" w:type="dxa"/>
            <w:shd w:val="clear" w:color="auto" w:fill="D5E8F0"/>
          </w:tcPr>
          <w:p w14:paraId="69B15B0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Month</w:t>
            </w:r>
          </w:p>
        </w:tc>
        <w:tc>
          <w:tcPr>
            <w:tcW w:w="1234" w:type="dxa"/>
            <w:shd w:val="clear" w:color="auto" w:fill="D5E8F0"/>
          </w:tcPr>
          <w:p w14:paraId="53FD90E7" w14:textId="77777777" w:rsidR="008B197F" w:rsidRPr="00EA492A" w:rsidRDefault="008B197F" w:rsidP="008B197F">
            <w:pPr>
              <w:jc w:val="center"/>
              <w:rPr>
                <w:rFonts w:ascii="Times New Roman" w:hAnsi="Times New Roman" w:cs="Times New Roman"/>
              </w:rPr>
            </w:pPr>
            <w:r w:rsidRPr="00EA492A">
              <w:rPr>
                <w:rFonts w:ascii="Times New Roman" w:hAnsi="Times New Roman" w:cs="Times New Roman"/>
                <w:b/>
              </w:rPr>
              <w:t>P.s ♀N</w:t>
            </w:r>
          </w:p>
        </w:tc>
        <w:tc>
          <w:tcPr>
            <w:tcW w:w="1515" w:type="dxa"/>
            <w:shd w:val="clear" w:color="auto" w:fill="D5E8F0"/>
          </w:tcPr>
          <w:p w14:paraId="41ACCFB3"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P.s ♀Fecundity</w:t>
            </w:r>
          </w:p>
        </w:tc>
        <w:tc>
          <w:tcPr>
            <w:tcW w:w="1234" w:type="dxa"/>
            <w:shd w:val="clear" w:color="auto" w:fill="D5E8F0"/>
          </w:tcPr>
          <w:p w14:paraId="1DA8E171" w14:textId="77777777" w:rsidR="008B197F" w:rsidRPr="00EA492A" w:rsidRDefault="008B197F" w:rsidP="001A6238">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N</w:t>
            </w:r>
          </w:p>
        </w:tc>
        <w:tc>
          <w:tcPr>
            <w:tcW w:w="1234" w:type="dxa"/>
            <w:shd w:val="clear" w:color="auto" w:fill="D5E8F0"/>
          </w:tcPr>
          <w:p w14:paraId="72DD769A" w14:textId="77777777" w:rsidR="008B197F" w:rsidRPr="00EA492A" w:rsidRDefault="008B197F" w:rsidP="001A6238">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xml:space="preserve"> ♀</w:t>
            </w:r>
            <w:proofErr w:type="spellStart"/>
            <w:r w:rsidRPr="00EA492A">
              <w:rPr>
                <w:rFonts w:ascii="Times New Roman" w:hAnsi="Times New Roman" w:cs="Times New Roman"/>
                <w:b/>
              </w:rPr>
              <w:t>ecundity</w:t>
            </w:r>
            <w:proofErr w:type="spellEnd"/>
          </w:p>
        </w:tc>
        <w:tc>
          <w:tcPr>
            <w:tcW w:w="1234" w:type="dxa"/>
            <w:shd w:val="clear" w:color="auto" w:fill="D5E8F0"/>
          </w:tcPr>
          <w:p w14:paraId="351BE7E2"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Season</w:t>
            </w:r>
          </w:p>
        </w:tc>
      </w:tr>
      <w:tr w:rsidR="008B197F" w:rsidRPr="00EA492A" w14:paraId="3E8C7DDE" w14:textId="77777777" w:rsidTr="00BB72D0">
        <w:trPr>
          <w:trHeight w:val="236"/>
          <w:jc w:val="center"/>
        </w:trPr>
        <w:tc>
          <w:tcPr>
            <w:tcW w:w="1234" w:type="dxa"/>
          </w:tcPr>
          <w:p w14:paraId="0F3CCF6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January</w:t>
            </w:r>
          </w:p>
        </w:tc>
        <w:tc>
          <w:tcPr>
            <w:tcW w:w="1234" w:type="dxa"/>
          </w:tcPr>
          <w:p w14:paraId="2AEE8E59"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w:t>
            </w:r>
          </w:p>
        </w:tc>
        <w:tc>
          <w:tcPr>
            <w:tcW w:w="1515" w:type="dxa"/>
          </w:tcPr>
          <w:p w14:paraId="1CD7A89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64.80±40.80</w:t>
            </w:r>
          </w:p>
        </w:tc>
        <w:tc>
          <w:tcPr>
            <w:tcW w:w="1234" w:type="dxa"/>
          </w:tcPr>
          <w:p w14:paraId="186AEAB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5</w:t>
            </w:r>
          </w:p>
        </w:tc>
        <w:tc>
          <w:tcPr>
            <w:tcW w:w="1234" w:type="dxa"/>
          </w:tcPr>
          <w:p w14:paraId="58BC3E9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11.80±1.80</w:t>
            </w:r>
          </w:p>
        </w:tc>
        <w:tc>
          <w:tcPr>
            <w:tcW w:w="1234" w:type="dxa"/>
          </w:tcPr>
          <w:p w14:paraId="48BABA5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Winter</w:t>
            </w:r>
          </w:p>
        </w:tc>
      </w:tr>
      <w:tr w:rsidR="008B197F" w:rsidRPr="00EA492A" w14:paraId="3AB5C38A" w14:textId="77777777" w:rsidTr="00BB72D0">
        <w:trPr>
          <w:trHeight w:val="236"/>
          <w:jc w:val="center"/>
        </w:trPr>
        <w:tc>
          <w:tcPr>
            <w:tcW w:w="1234" w:type="dxa"/>
            <w:shd w:val="clear" w:color="auto" w:fill="F2F2F2"/>
          </w:tcPr>
          <w:p w14:paraId="2EC57FB2"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February</w:t>
            </w:r>
          </w:p>
        </w:tc>
        <w:tc>
          <w:tcPr>
            <w:tcW w:w="1234" w:type="dxa"/>
            <w:shd w:val="clear" w:color="auto" w:fill="F2F2F2"/>
          </w:tcPr>
          <w:p w14:paraId="69C0A58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w:t>
            </w:r>
          </w:p>
        </w:tc>
        <w:tc>
          <w:tcPr>
            <w:tcW w:w="1515" w:type="dxa"/>
            <w:shd w:val="clear" w:color="auto" w:fill="F2F2F2"/>
          </w:tcPr>
          <w:p w14:paraId="1E9B326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401.00±349.16</w:t>
            </w:r>
          </w:p>
        </w:tc>
        <w:tc>
          <w:tcPr>
            <w:tcW w:w="1234" w:type="dxa"/>
            <w:shd w:val="clear" w:color="auto" w:fill="F2F2F2"/>
          </w:tcPr>
          <w:p w14:paraId="42E8F3F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5</w:t>
            </w:r>
          </w:p>
        </w:tc>
        <w:tc>
          <w:tcPr>
            <w:tcW w:w="1234" w:type="dxa"/>
            <w:shd w:val="clear" w:color="auto" w:fill="F2F2F2"/>
          </w:tcPr>
          <w:p w14:paraId="7DE3B85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25.20±9.33</w:t>
            </w:r>
          </w:p>
        </w:tc>
        <w:tc>
          <w:tcPr>
            <w:tcW w:w="1234" w:type="dxa"/>
            <w:shd w:val="clear" w:color="auto" w:fill="F2F2F2"/>
          </w:tcPr>
          <w:p w14:paraId="2425017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Winter</w:t>
            </w:r>
          </w:p>
        </w:tc>
      </w:tr>
      <w:tr w:rsidR="008B197F" w:rsidRPr="00EA492A" w14:paraId="70589B22" w14:textId="77777777" w:rsidTr="00BB72D0">
        <w:trPr>
          <w:trHeight w:val="236"/>
          <w:jc w:val="center"/>
        </w:trPr>
        <w:tc>
          <w:tcPr>
            <w:tcW w:w="1234" w:type="dxa"/>
          </w:tcPr>
          <w:p w14:paraId="6A1B5D6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March</w:t>
            </w:r>
          </w:p>
        </w:tc>
        <w:tc>
          <w:tcPr>
            <w:tcW w:w="1234" w:type="dxa"/>
          </w:tcPr>
          <w:p w14:paraId="36DAEAD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w:t>
            </w:r>
          </w:p>
        </w:tc>
        <w:tc>
          <w:tcPr>
            <w:tcW w:w="1515" w:type="dxa"/>
          </w:tcPr>
          <w:p w14:paraId="077043A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143.29±106.33</w:t>
            </w:r>
          </w:p>
        </w:tc>
        <w:tc>
          <w:tcPr>
            <w:tcW w:w="1234" w:type="dxa"/>
          </w:tcPr>
          <w:p w14:paraId="78E10A3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w:t>
            </w:r>
          </w:p>
        </w:tc>
        <w:tc>
          <w:tcPr>
            <w:tcW w:w="1234" w:type="dxa"/>
          </w:tcPr>
          <w:p w14:paraId="6C515C3B"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10.00±0.00</w:t>
            </w:r>
          </w:p>
        </w:tc>
        <w:tc>
          <w:tcPr>
            <w:tcW w:w="1234" w:type="dxa"/>
          </w:tcPr>
          <w:p w14:paraId="084C40A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Pre-Mon.</w:t>
            </w:r>
          </w:p>
        </w:tc>
      </w:tr>
      <w:tr w:rsidR="008B197F" w:rsidRPr="00EA492A" w14:paraId="4D1620C2" w14:textId="77777777" w:rsidTr="00BB72D0">
        <w:trPr>
          <w:trHeight w:val="226"/>
          <w:jc w:val="center"/>
        </w:trPr>
        <w:tc>
          <w:tcPr>
            <w:tcW w:w="1234" w:type="dxa"/>
            <w:shd w:val="clear" w:color="auto" w:fill="F2F2F2"/>
          </w:tcPr>
          <w:p w14:paraId="1244531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April</w:t>
            </w:r>
          </w:p>
        </w:tc>
        <w:tc>
          <w:tcPr>
            <w:tcW w:w="1234" w:type="dxa"/>
            <w:shd w:val="clear" w:color="auto" w:fill="F2F2F2"/>
          </w:tcPr>
          <w:p w14:paraId="6234C7B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8</w:t>
            </w:r>
          </w:p>
        </w:tc>
        <w:tc>
          <w:tcPr>
            <w:tcW w:w="1515" w:type="dxa"/>
            <w:shd w:val="clear" w:color="auto" w:fill="F2F2F2"/>
          </w:tcPr>
          <w:p w14:paraId="1DDE84F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331.62±228.75</w:t>
            </w:r>
          </w:p>
        </w:tc>
        <w:tc>
          <w:tcPr>
            <w:tcW w:w="1234" w:type="dxa"/>
            <w:shd w:val="clear" w:color="auto" w:fill="F2F2F2"/>
          </w:tcPr>
          <w:p w14:paraId="7C9F7DC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w:t>
            </w:r>
          </w:p>
        </w:tc>
        <w:tc>
          <w:tcPr>
            <w:tcW w:w="1234" w:type="dxa"/>
            <w:shd w:val="clear" w:color="auto" w:fill="F2F2F2"/>
          </w:tcPr>
          <w:p w14:paraId="0DA9F04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29.17±12.92</w:t>
            </w:r>
          </w:p>
        </w:tc>
        <w:tc>
          <w:tcPr>
            <w:tcW w:w="1234" w:type="dxa"/>
            <w:shd w:val="clear" w:color="auto" w:fill="F2F2F2"/>
          </w:tcPr>
          <w:p w14:paraId="4B7470B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Pre-Mon.</w:t>
            </w:r>
          </w:p>
        </w:tc>
      </w:tr>
      <w:tr w:rsidR="008B197F" w:rsidRPr="00EA492A" w14:paraId="4BDB710E" w14:textId="77777777" w:rsidTr="00BB72D0">
        <w:trPr>
          <w:trHeight w:val="236"/>
          <w:jc w:val="center"/>
        </w:trPr>
        <w:tc>
          <w:tcPr>
            <w:tcW w:w="1234" w:type="dxa"/>
          </w:tcPr>
          <w:p w14:paraId="64F3965B"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May</w:t>
            </w:r>
          </w:p>
        </w:tc>
        <w:tc>
          <w:tcPr>
            <w:tcW w:w="1234" w:type="dxa"/>
          </w:tcPr>
          <w:p w14:paraId="6FDBFFC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8</w:t>
            </w:r>
          </w:p>
        </w:tc>
        <w:tc>
          <w:tcPr>
            <w:tcW w:w="1515" w:type="dxa"/>
          </w:tcPr>
          <w:p w14:paraId="65EFF2D2"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104.25±47.04</w:t>
            </w:r>
          </w:p>
        </w:tc>
        <w:tc>
          <w:tcPr>
            <w:tcW w:w="1234" w:type="dxa"/>
          </w:tcPr>
          <w:p w14:paraId="41433C6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w:t>
            </w:r>
          </w:p>
        </w:tc>
        <w:tc>
          <w:tcPr>
            <w:tcW w:w="1234" w:type="dxa"/>
          </w:tcPr>
          <w:p w14:paraId="4B720F2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12.43±0.87</w:t>
            </w:r>
          </w:p>
        </w:tc>
        <w:tc>
          <w:tcPr>
            <w:tcW w:w="1234" w:type="dxa"/>
          </w:tcPr>
          <w:p w14:paraId="71BBC75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Pre-Mon.</w:t>
            </w:r>
          </w:p>
        </w:tc>
      </w:tr>
      <w:tr w:rsidR="008B197F" w:rsidRPr="00EA492A" w14:paraId="5AB28B57" w14:textId="77777777" w:rsidTr="00BB72D0">
        <w:trPr>
          <w:trHeight w:val="236"/>
          <w:jc w:val="center"/>
        </w:trPr>
        <w:tc>
          <w:tcPr>
            <w:tcW w:w="1234" w:type="dxa"/>
            <w:shd w:val="clear" w:color="auto" w:fill="F2F2F2"/>
          </w:tcPr>
          <w:p w14:paraId="3C8D0A1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June</w:t>
            </w:r>
          </w:p>
        </w:tc>
        <w:tc>
          <w:tcPr>
            <w:tcW w:w="1234" w:type="dxa"/>
            <w:shd w:val="clear" w:color="auto" w:fill="F2F2F2"/>
          </w:tcPr>
          <w:p w14:paraId="09C9E72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w:t>
            </w:r>
          </w:p>
        </w:tc>
        <w:tc>
          <w:tcPr>
            <w:tcW w:w="1515" w:type="dxa"/>
            <w:shd w:val="clear" w:color="auto" w:fill="F2F2F2"/>
          </w:tcPr>
          <w:p w14:paraId="21B6B817"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837.60±540.31</w:t>
            </w:r>
          </w:p>
        </w:tc>
        <w:tc>
          <w:tcPr>
            <w:tcW w:w="1234" w:type="dxa"/>
            <w:shd w:val="clear" w:color="auto" w:fill="F2F2F2"/>
          </w:tcPr>
          <w:p w14:paraId="79C0FEC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7BFC045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16.00±2.59</w:t>
            </w:r>
          </w:p>
        </w:tc>
        <w:tc>
          <w:tcPr>
            <w:tcW w:w="1234" w:type="dxa"/>
            <w:shd w:val="clear" w:color="auto" w:fill="F2F2F2"/>
          </w:tcPr>
          <w:p w14:paraId="0E407AC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Monsoon</w:t>
            </w:r>
          </w:p>
        </w:tc>
      </w:tr>
      <w:tr w:rsidR="008B197F" w:rsidRPr="00EA492A" w14:paraId="583CAE00" w14:textId="77777777" w:rsidTr="00BB72D0">
        <w:trPr>
          <w:trHeight w:val="236"/>
          <w:jc w:val="center"/>
        </w:trPr>
        <w:tc>
          <w:tcPr>
            <w:tcW w:w="1234" w:type="dxa"/>
          </w:tcPr>
          <w:p w14:paraId="0E987627"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July</w:t>
            </w:r>
          </w:p>
        </w:tc>
        <w:tc>
          <w:tcPr>
            <w:tcW w:w="1234" w:type="dxa"/>
          </w:tcPr>
          <w:p w14:paraId="09F97F1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w:t>
            </w:r>
          </w:p>
        </w:tc>
        <w:tc>
          <w:tcPr>
            <w:tcW w:w="1515" w:type="dxa"/>
          </w:tcPr>
          <w:p w14:paraId="438CCBA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1548.40±1036.34</w:t>
            </w:r>
          </w:p>
        </w:tc>
        <w:tc>
          <w:tcPr>
            <w:tcW w:w="1234" w:type="dxa"/>
          </w:tcPr>
          <w:p w14:paraId="0B6C9D2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8</w:t>
            </w:r>
          </w:p>
        </w:tc>
        <w:tc>
          <w:tcPr>
            <w:tcW w:w="1234" w:type="dxa"/>
          </w:tcPr>
          <w:p w14:paraId="60D5CDD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25.12±3.55</w:t>
            </w:r>
          </w:p>
        </w:tc>
        <w:tc>
          <w:tcPr>
            <w:tcW w:w="1234" w:type="dxa"/>
          </w:tcPr>
          <w:p w14:paraId="05458CF1"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Monsoon</w:t>
            </w:r>
          </w:p>
        </w:tc>
      </w:tr>
      <w:tr w:rsidR="008B197F" w:rsidRPr="00EA492A" w14:paraId="429B4FFB" w14:textId="77777777" w:rsidTr="00BB72D0">
        <w:trPr>
          <w:trHeight w:val="236"/>
          <w:jc w:val="center"/>
        </w:trPr>
        <w:tc>
          <w:tcPr>
            <w:tcW w:w="1234" w:type="dxa"/>
            <w:shd w:val="clear" w:color="auto" w:fill="F2F2F2"/>
          </w:tcPr>
          <w:p w14:paraId="2AEC1589"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August</w:t>
            </w:r>
          </w:p>
        </w:tc>
        <w:tc>
          <w:tcPr>
            <w:tcW w:w="1234" w:type="dxa"/>
            <w:shd w:val="clear" w:color="auto" w:fill="F2F2F2"/>
          </w:tcPr>
          <w:p w14:paraId="3E02F2F3"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11</w:t>
            </w:r>
          </w:p>
        </w:tc>
        <w:tc>
          <w:tcPr>
            <w:tcW w:w="1515" w:type="dxa"/>
            <w:shd w:val="clear" w:color="auto" w:fill="F2F2F2"/>
          </w:tcPr>
          <w:p w14:paraId="122F276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721.09±288.98</w:t>
            </w:r>
          </w:p>
        </w:tc>
        <w:tc>
          <w:tcPr>
            <w:tcW w:w="1234" w:type="dxa"/>
            <w:shd w:val="clear" w:color="auto" w:fill="F2F2F2"/>
          </w:tcPr>
          <w:p w14:paraId="3606523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2B8CAE4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20.00±2.48</w:t>
            </w:r>
          </w:p>
        </w:tc>
        <w:tc>
          <w:tcPr>
            <w:tcW w:w="1234" w:type="dxa"/>
            <w:shd w:val="clear" w:color="auto" w:fill="F2F2F2"/>
          </w:tcPr>
          <w:p w14:paraId="4F065FF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Monsoon</w:t>
            </w:r>
          </w:p>
        </w:tc>
      </w:tr>
      <w:tr w:rsidR="008B197F" w:rsidRPr="00EA492A" w14:paraId="0CCDC123" w14:textId="77777777" w:rsidTr="00BB72D0">
        <w:trPr>
          <w:trHeight w:val="236"/>
          <w:jc w:val="center"/>
        </w:trPr>
        <w:tc>
          <w:tcPr>
            <w:tcW w:w="1234" w:type="dxa"/>
          </w:tcPr>
          <w:p w14:paraId="5B582932"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September</w:t>
            </w:r>
          </w:p>
        </w:tc>
        <w:tc>
          <w:tcPr>
            <w:tcW w:w="1234" w:type="dxa"/>
          </w:tcPr>
          <w:p w14:paraId="60315B4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25</w:t>
            </w:r>
          </w:p>
        </w:tc>
        <w:tc>
          <w:tcPr>
            <w:tcW w:w="1515" w:type="dxa"/>
          </w:tcPr>
          <w:p w14:paraId="60876CC9"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1195.68±714.91</w:t>
            </w:r>
          </w:p>
        </w:tc>
        <w:tc>
          <w:tcPr>
            <w:tcW w:w="1234" w:type="dxa"/>
          </w:tcPr>
          <w:p w14:paraId="46654B7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w:t>
            </w:r>
          </w:p>
        </w:tc>
        <w:tc>
          <w:tcPr>
            <w:tcW w:w="1234" w:type="dxa"/>
          </w:tcPr>
          <w:p w14:paraId="370DC68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15.00±0.00</w:t>
            </w:r>
          </w:p>
        </w:tc>
        <w:tc>
          <w:tcPr>
            <w:tcW w:w="1234" w:type="dxa"/>
          </w:tcPr>
          <w:p w14:paraId="26866497"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Monsoon</w:t>
            </w:r>
          </w:p>
        </w:tc>
      </w:tr>
      <w:tr w:rsidR="008B197F" w:rsidRPr="00EA492A" w14:paraId="3285CCED" w14:textId="77777777" w:rsidTr="00BB72D0">
        <w:trPr>
          <w:trHeight w:val="226"/>
          <w:jc w:val="center"/>
        </w:trPr>
        <w:tc>
          <w:tcPr>
            <w:tcW w:w="1234" w:type="dxa"/>
            <w:shd w:val="clear" w:color="auto" w:fill="F2F2F2"/>
          </w:tcPr>
          <w:p w14:paraId="4C770BB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lastRenderedPageBreak/>
              <w:t>October</w:t>
            </w:r>
          </w:p>
        </w:tc>
        <w:tc>
          <w:tcPr>
            <w:tcW w:w="1234" w:type="dxa"/>
            <w:shd w:val="clear" w:color="auto" w:fill="F2F2F2"/>
          </w:tcPr>
          <w:p w14:paraId="0E0A626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16</w:t>
            </w:r>
          </w:p>
        </w:tc>
        <w:tc>
          <w:tcPr>
            <w:tcW w:w="1515" w:type="dxa"/>
            <w:shd w:val="clear" w:color="auto" w:fill="F2F2F2"/>
          </w:tcPr>
          <w:p w14:paraId="3F6EA06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186.36±160.16</w:t>
            </w:r>
          </w:p>
        </w:tc>
        <w:tc>
          <w:tcPr>
            <w:tcW w:w="1234" w:type="dxa"/>
            <w:shd w:val="clear" w:color="auto" w:fill="F2F2F2"/>
          </w:tcPr>
          <w:p w14:paraId="120B663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w:t>
            </w:r>
          </w:p>
        </w:tc>
        <w:tc>
          <w:tcPr>
            <w:tcW w:w="1234" w:type="dxa"/>
            <w:shd w:val="clear" w:color="auto" w:fill="F2F2F2"/>
          </w:tcPr>
          <w:p w14:paraId="5A5DB9B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23.02±10.65</w:t>
            </w:r>
          </w:p>
        </w:tc>
        <w:tc>
          <w:tcPr>
            <w:tcW w:w="1234" w:type="dxa"/>
            <w:shd w:val="clear" w:color="auto" w:fill="F2F2F2"/>
          </w:tcPr>
          <w:p w14:paraId="58AAFBA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Post-Mon.</w:t>
            </w:r>
          </w:p>
        </w:tc>
      </w:tr>
      <w:tr w:rsidR="008B197F" w:rsidRPr="00EA492A" w14:paraId="5C6F2EAC" w14:textId="77777777" w:rsidTr="00BB72D0">
        <w:trPr>
          <w:trHeight w:val="236"/>
          <w:jc w:val="center"/>
        </w:trPr>
        <w:tc>
          <w:tcPr>
            <w:tcW w:w="1234" w:type="dxa"/>
          </w:tcPr>
          <w:p w14:paraId="521378F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November</w:t>
            </w:r>
          </w:p>
        </w:tc>
        <w:tc>
          <w:tcPr>
            <w:tcW w:w="1234" w:type="dxa"/>
          </w:tcPr>
          <w:p w14:paraId="50145F8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w:t>
            </w:r>
          </w:p>
        </w:tc>
        <w:tc>
          <w:tcPr>
            <w:tcW w:w="1515" w:type="dxa"/>
          </w:tcPr>
          <w:p w14:paraId="38A219B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34.33±24.33</w:t>
            </w:r>
          </w:p>
        </w:tc>
        <w:tc>
          <w:tcPr>
            <w:tcW w:w="1234" w:type="dxa"/>
          </w:tcPr>
          <w:p w14:paraId="3DC20AA7"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5</w:t>
            </w:r>
          </w:p>
        </w:tc>
        <w:tc>
          <w:tcPr>
            <w:tcW w:w="1234" w:type="dxa"/>
          </w:tcPr>
          <w:p w14:paraId="581F7BD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10.00±0.00</w:t>
            </w:r>
          </w:p>
        </w:tc>
        <w:tc>
          <w:tcPr>
            <w:tcW w:w="1234" w:type="dxa"/>
          </w:tcPr>
          <w:p w14:paraId="4ADEB26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Post-Mon.</w:t>
            </w:r>
          </w:p>
        </w:tc>
      </w:tr>
      <w:tr w:rsidR="008B197F" w:rsidRPr="00EA492A" w14:paraId="62AD07B6" w14:textId="77777777" w:rsidTr="00BB72D0">
        <w:trPr>
          <w:trHeight w:val="236"/>
          <w:jc w:val="center"/>
        </w:trPr>
        <w:tc>
          <w:tcPr>
            <w:tcW w:w="1234" w:type="dxa"/>
            <w:shd w:val="clear" w:color="auto" w:fill="F2F2F2"/>
          </w:tcPr>
          <w:p w14:paraId="305E761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December</w:t>
            </w:r>
          </w:p>
        </w:tc>
        <w:tc>
          <w:tcPr>
            <w:tcW w:w="1234" w:type="dxa"/>
            <w:shd w:val="clear" w:color="auto" w:fill="F2F2F2"/>
          </w:tcPr>
          <w:p w14:paraId="32E548F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3</w:t>
            </w:r>
          </w:p>
        </w:tc>
        <w:tc>
          <w:tcPr>
            <w:tcW w:w="1515" w:type="dxa"/>
            <w:shd w:val="clear" w:color="auto" w:fill="F2F2F2"/>
          </w:tcPr>
          <w:p w14:paraId="212DFCA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712.43±441.35</w:t>
            </w:r>
          </w:p>
        </w:tc>
        <w:tc>
          <w:tcPr>
            <w:tcW w:w="1234" w:type="dxa"/>
            <w:shd w:val="clear" w:color="auto" w:fill="F2F2F2"/>
          </w:tcPr>
          <w:p w14:paraId="7C439931"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w:t>
            </w:r>
          </w:p>
        </w:tc>
        <w:tc>
          <w:tcPr>
            <w:tcW w:w="1234" w:type="dxa"/>
            <w:shd w:val="clear" w:color="auto" w:fill="F2F2F2"/>
          </w:tcPr>
          <w:p w14:paraId="4858E1E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14.86±1.22</w:t>
            </w:r>
          </w:p>
        </w:tc>
        <w:tc>
          <w:tcPr>
            <w:tcW w:w="1234" w:type="dxa"/>
            <w:shd w:val="clear" w:color="auto" w:fill="F2F2F2"/>
          </w:tcPr>
          <w:p w14:paraId="14DFA441"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Winter</w:t>
            </w:r>
          </w:p>
        </w:tc>
      </w:tr>
      <w:tr w:rsidR="008B197F" w:rsidRPr="00EA492A" w14:paraId="5458559A" w14:textId="77777777" w:rsidTr="00BB72D0">
        <w:trPr>
          <w:trHeight w:val="248"/>
          <w:jc w:val="center"/>
        </w:trPr>
        <w:tc>
          <w:tcPr>
            <w:tcW w:w="1234" w:type="dxa"/>
          </w:tcPr>
          <w:p w14:paraId="230DB081"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Annual</w:t>
            </w:r>
          </w:p>
        </w:tc>
        <w:tc>
          <w:tcPr>
            <w:tcW w:w="1234" w:type="dxa"/>
          </w:tcPr>
          <w:p w14:paraId="5F39011B"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112</w:t>
            </w:r>
          </w:p>
        </w:tc>
        <w:tc>
          <w:tcPr>
            <w:tcW w:w="1515" w:type="dxa"/>
          </w:tcPr>
          <w:p w14:paraId="28EC442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661.02±196.70</w:t>
            </w:r>
          </w:p>
        </w:tc>
        <w:tc>
          <w:tcPr>
            <w:tcW w:w="1234" w:type="dxa"/>
          </w:tcPr>
          <w:p w14:paraId="0AFF296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74</w:t>
            </w:r>
          </w:p>
        </w:tc>
        <w:tc>
          <w:tcPr>
            <w:tcW w:w="1234" w:type="dxa"/>
          </w:tcPr>
          <w:p w14:paraId="79E3B505"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18.37±1.98</w:t>
            </w:r>
          </w:p>
        </w:tc>
        <w:tc>
          <w:tcPr>
            <w:tcW w:w="1234" w:type="dxa"/>
          </w:tcPr>
          <w:p w14:paraId="2FA47CE6"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w:t>
            </w:r>
          </w:p>
        </w:tc>
      </w:tr>
    </w:tbl>
    <w:p w14:paraId="5BD8CAD0" w14:textId="77777777" w:rsidR="008B197F" w:rsidRPr="00EA492A" w:rsidRDefault="00BC7A93" w:rsidP="008B197F">
      <w:pPr>
        <w:jc w:val="center"/>
        <w:rPr>
          <w:rFonts w:ascii="Times New Roman" w:hAnsi="Times New Roman" w:cs="Times New Roman"/>
          <w:szCs w:val="22"/>
        </w:rPr>
      </w:pPr>
      <w:r w:rsidRPr="00EA492A">
        <w:rPr>
          <w:rFonts w:ascii="Times New Roman" w:hAnsi="Times New Roman" w:cs="Times New Roman"/>
          <w:i/>
          <w:szCs w:val="22"/>
        </w:rPr>
        <w:t>P.s ♀</w:t>
      </w:r>
      <w:r w:rsidR="008B197F" w:rsidRPr="00EA492A">
        <w:rPr>
          <w:rFonts w:ascii="Times New Roman" w:hAnsi="Times New Roman" w:cs="Times New Roman"/>
          <w:i/>
          <w:szCs w:val="22"/>
        </w:rPr>
        <w:t>AN</w:t>
      </w:r>
      <w:r w:rsidRPr="00EA492A">
        <w:rPr>
          <w:rFonts w:ascii="Times New Roman" w:hAnsi="Times New Roman" w:cs="Times New Roman"/>
          <w:i/>
          <w:szCs w:val="22"/>
        </w:rPr>
        <w:t xml:space="preserve">OVA: F=0.555, p=0.860 NS; </w:t>
      </w:r>
      <w:proofErr w:type="spellStart"/>
      <w:r w:rsidRPr="00EA492A">
        <w:rPr>
          <w:rFonts w:ascii="Times New Roman" w:hAnsi="Times New Roman" w:cs="Times New Roman"/>
          <w:i/>
          <w:szCs w:val="22"/>
        </w:rPr>
        <w:t>R.d</w:t>
      </w:r>
      <w:proofErr w:type="spellEnd"/>
      <w:r w:rsidRPr="00EA492A">
        <w:rPr>
          <w:rFonts w:ascii="Times New Roman" w:hAnsi="Times New Roman" w:cs="Times New Roman"/>
          <w:i/>
          <w:szCs w:val="22"/>
        </w:rPr>
        <w:t xml:space="preserve"> ♀</w:t>
      </w:r>
      <w:r w:rsidR="008B197F" w:rsidRPr="00EA492A">
        <w:rPr>
          <w:rFonts w:ascii="Times New Roman" w:hAnsi="Times New Roman" w:cs="Times New Roman"/>
          <w:i/>
          <w:szCs w:val="22"/>
        </w:rPr>
        <w:t xml:space="preserve">ANOVA: F=0.976, p=0.473 NS; Values: </w:t>
      </w:r>
      <w:proofErr w:type="spellStart"/>
      <w:r w:rsidR="008B197F" w:rsidRPr="00EA492A">
        <w:rPr>
          <w:rFonts w:ascii="Times New Roman" w:hAnsi="Times New Roman" w:cs="Times New Roman"/>
          <w:i/>
          <w:szCs w:val="22"/>
        </w:rPr>
        <w:t>Mean±SE</w:t>
      </w:r>
      <w:proofErr w:type="spellEnd"/>
    </w:p>
    <w:p w14:paraId="26E96D8C" w14:textId="77777777" w:rsidR="008B197F" w:rsidRPr="00EA492A" w:rsidRDefault="008B197F" w:rsidP="008B197F">
      <w:pPr>
        <w:spacing w:before="360"/>
        <w:jc w:val="center"/>
        <w:rPr>
          <w:rFonts w:ascii="Times New Roman" w:hAnsi="Times New Roman" w:cs="Times New Roman"/>
          <w:szCs w:val="22"/>
        </w:rPr>
      </w:pPr>
      <w:r w:rsidRPr="00EA492A">
        <w:rPr>
          <w:rFonts w:ascii="Times New Roman" w:hAnsi="Times New Roman" w:cs="Times New Roman"/>
          <w:noProof/>
          <w:szCs w:val="22"/>
          <w:lang w:eastAsia="en-IN"/>
        </w:rPr>
        <w:drawing>
          <wp:inline distT="0" distB="0" distL="0" distR="0" wp14:anchorId="2FC758AE" wp14:editId="0DA1E235">
            <wp:extent cx="5486400" cy="30083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3_Fecundity_PS.png"/>
                    <pic:cNvPicPr/>
                  </pic:nvPicPr>
                  <pic:blipFill>
                    <a:blip r:embed="rId8"/>
                    <a:stretch>
                      <a:fillRect/>
                    </a:stretch>
                  </pic:blipFill>
                  <pic:spPr>
                    <a:xfrm>
                      <a:off x="0" y="0"/>
                      <a:ext cx="5486400" cy="3008398"/>
                    </a:xfrm>
                    <a:prstGeom prst="rect">
                      <a:avLst/>
                    </a:prstGeom>
                  </pic:spPr>
                </pic:pic>
              </a:graphicData>
            </a:graphic>
          </wp:inline>
        </w:drawing>
      </w:r>
    </w:p>
    <w:p w14:paraId="641C617C" w14:textId="47213551" w:rsidR="008B197F" w:rsidRPr="00EA492A" w:rsidRDefault="008B197F" w:rsidP="008B197F">
      <w:pPr>
        <w:spacing w:after="240"/>
        <w:jc w:val="center"/>
        <w:rPr>
          <w:rFonts w:ascii="Times New Roman" w:hAnsi="Times New Roman" w:cs="Times New Roman"/>
          <w:szCs w:val="22"/>
        </w:rPr>
      </w:pPr>
      <w:r w:rsidRPr="00EA492A">
        <w:rPr>
          <w:rFonts w:ascii="Times New Roman" w:hAnsi="Times New Roman" w:cs="Times New Roman"/>
          <w:b/>
          <w:szCs w:val="22"/>
        </w:rPr>
        <w:t xml:space="preserve">Figure </w:t>
      </w:r>
      <w:r w:rsidR="005B2C34">
        <w:rPr>
          <w:rFonts w:ascii="Times New Roman" w:hAnsi="Times New Roman" w:cs="Times New Roman"/>
          <w:b/>
          <w:szCs w:val="22"/>
        </w:rPr>
        <w:t>2</w:t>
      </w:r>
      <w:r w:rsidRPr="00EA492A">
        <w:rPr>
          <w:rFonts w:ascii="Times New Roman" w:hAnsi="Times New Roman" w:cs="Times New Roman"/>
          <w:b/>
          <w:szCs w:val="22"/>
        </w:rPr>
        <w:t>: Bar graph showing monthly fecundity of P. sophore (Female) from Upper Lake, Bhopal with error bars (±SE)</w:t>
      </w:r>
    </w:p>
    <w:p w14:paraId="2FD4B2C8" w14:textId="77777777" w:rsidR="008B197F" w:rsidRPr="00EA492A" w:rsidRDefault="008B197F" w:rsidP="008B197F">
      <w:pPr>
        <w:spacing w:before="360"/>
        <w:jc w:val="center"/>
        <w:rPr>
          <w:rFonts w:ascii="Times New Roman" w:hAnsi="Times New Roman" w:cs="Times New Roman"/>
          <w:szCs w:val="22"/>
        </w:rPr>
      </w:pPr>
      <w:r w:rsidRPr="00EA492A">
        <w:rPr>
          <w:rFonts w:ascii="Times New Roman" w:hAnsi="Times New Roman" w:cs="Times New Roman"/>
          <w:noProof/>
          <w:szCs w:val="22"/>
          <w:lang w:eastAsia="en-IN"/>
        </w:rPr>
        <w:drawing>
          <wp:inline distT="0" distB="0" distL="0" distR="0" wp14:anchorId="166FBA50" wp14:editId="574B453C">
            <wp:extent cx="5486400" cy="3071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4_Fecundity_RD.png"/>
                    <pic:cNvPicPr/>
                  </pic:nvPicPr>
                  <pic:blipFill>
                    <a:blip r:embed="rId9"/>
                    <a:stretch>
                      <a:fillRect/>
                    </a:stretch>
                  </pic:blipFill>
                  <pic:spPr>
                    <a:xfrm>
                      <a:off x="0" y="0"/>
                      <a:ext cx="5486400" cy="3071344"/>
                    </a:xfrm>
                    <a:prstGeom prst="rect">
                      <a:avLst/>
                    </a:prstGeom>
                  </pic:spPr>
                </pic:pic>
              </a:graphicData>
            </a:graphic>
          </wp:inline>
        </w:drawing>
      </w:r>
    </w:p>
    <w:p w14:paraId="0DDB693E" w14:textId="39E9E969" w:rsidR="008B197F" w:rsidRPr="00EA492A" w:rsidRDefault="008B197F" w:rsidP="008B197F">
      <w:pPr>
        <w:spacing w:after="240"/>
        <w:jc w:val="center"/>
        <w:rPr>
          <w:rFonts w:ascii="Times New Roman" w:hAnsi="Times New Roman" w:cs="Times New Roman"/>
          <w:szCs w:val="22"/>
        </w:rPr>
      </w:pPr>
      <w:r w:rsidRPr="00EA492A">
        <w:rPr>
          <w:rFonts w:ascii="Times New Roman" w:hAnsi="Times New Roman" w:cs="Times New Roman"/>
          <w:b/>
          <w:szCs w:val="22"/>
        </w:rPr>
        <w:t xml:space="preserve">Figure </w:t>
      </w:r>
      <w:r w:rsidR="005B2C34">
        <w:rPr>
          <w:rFonts w:ascii="Times New Roman" w:hAnsi="Times New Roman" w:cs="Times New Roman"/>
          <w:b/>
          <w:szCs w:val="22"/>
        </w:rPr>
        <w:t>3</w:t>
      </w:r>
      <w:r w:rsidRPr="00EA492A">
        <w:rPr>
          <w:rFonts w:ascii="Times New Roman" w:hAnsi="Times New Roman" w:cs="Times New Roman"/>
          <w:b/>
          <w:szCs w:val="22"/>
        </w:rPr>
        <w:t xml:space="preserve">: Bar graph showing monthly fecundity of R. </w:t>
      </w:r>
      <w:proofErr w:type="spellStart"/>
      <w:r w:rsidRPr="00EA492A">
        <w:rPr>
          <w:rFonts w:ascii="Times New Roman" w:hAnsi="Times New Roman" w:cs="Times New Roman"/>
          <w:b/>
          <w:szCs w:val="22"/>
        </w:rPr>
        <w:t>daniconius</w:t>
      </w:r>
      <w:proofErr w:type="spellEnd"/>
      <w:r w:rsidRPr="00EA492A">
        <w:rPr>
          <w:rFonts w:ascii="Times New Roman" w:hAnsi="Times New Roman" w:cs="Times New Roman"/>
          <w:b/>
          <w:szCs w:val="22"/>
        </w:rPr>
        <w:t xml:space="preserve"> (Female) from Upper Lake, Bhopal with error bars (±SE)</w:t>
      </w:r>
    </w:p>
    <w:p w14:paraId="3561270C" w14:textId="77777777" w:rsidR="008B197F" w:rsidRPr="00EA492A" w:rsidRDefault="008B197F" w:rsidP="00BC7A93">
      <w:pPr>
        <w:ind w:firstLine="720"/>
        <w:jc w:val="both"/>
        <w:rPr>
          <w:rFonts w:ascii="Times New Roman" w:hAnsi="Times New Roman" w:cs="Times New Roman"/>
          <w:szCs w:val="22"/>
        </w:rPr>
      </w:pPr>
      <w:r w:rsidRPr="00EA492A">
        <w:rPr>
          <w:rFonts w:ascii="Times New Roman" w:hAnsi="Times New Roman" w:cs="Times New Roman"/>
          <w:szCs w:val="22"/>
        </w:rPr>
        <w:lastRenderedPageBreak/>
        <w:t>The annual mean fecundity of P. sophore females was 661.02 ± 196.70 ova (SD = 2081.65, range: 10 to 17,052). The highest mean fecundity was recorded in July (1548.40 ± 1036.34), followed by September (1195.68 ± 714.91) and June (837.60 ± 540.31). The lowest fecundity was in November (34.33 ± 24.33). ANOVA showed no significant monthly variation (F = 0.555, p = 0.860), which is attributable to the enormous inter-individual variability within months — the presence of both immature fish (with very low fecundity) and fully mature fish (with high fecundity) in the same monthly sample.</w:t>
      </w:r>
    </w:p>
    <w:p w14:paraId="6B23C1B0" w14:textId="77777777" w:rsidR="008B197F" w:rsidRPr="00EA492A" w:rsidRDefault="008B197F" w:rsidP="00BC7A93">
      <w:pPr>
        <w:ind w:firstLine="720"/>
        <w:jc w:val="both"/>
        <w:rPr>
          <w:rFonts w:ascii="Times New Roman" w:hAnsi="Times New Roman" w:cs="Times New Roman"/>
          <w:szCs w:val="22"/>
        </w:rPr>
      </w:pPr>
      <w:r w:rsidRPr="00EA492A">
        <w:rPr>
          <w:rFonts w:ascii="Times New Roman" w:hAnsi="Times New Roman" w:cs="Times New Roman"/>
          <w:szCs w:val="22"/>
        </w:rPr>
        <w:t xml:space="preserve">Published fecundity values for P. sophore vary widely across studies. Kant et al. (2016) reported fecundity ranging from 1,560 to 2,314 eggs from Jammu, India. Hossain et al. (2006) from the Padma River, Bangladesh reported a much wider range of 1,488 to 18,708 ova (mean: 5,682 ± 3,703). </w:t>
      </w:r>
      <w:proofErr w:type="spellStart"/>
      <w:r w:rsidRPr="00EA492A">
        <w:rPr>
          <w:rFonts w:ascii="Times New Roman" w:hAnsi="Times New Roman" w:cs="Times New Roman"/>
          <w:szCs w:val="22"/>
        </w:rPr>
        <w:t>Bithy</w:t>
      </w:r>
      <w:proofErr w:type="spellEnd"/>
      <w:r w:rsidRPr="00EA492A">
        <w:rPr>
          <w:rFonts w:ascii="Times New Roman" w:hAnsi="Times New Roman" w:cs="Times New Roman"/>
          <w:szCs w:val="22"/>
        </w:rPr>
        <w:t xml:space="preserve"> et al. (2012) documented fecundity of 7,951 to 23,053 from Bangladesh. </w:t>
      </w:r>
      <w:proofErr w:type="spellStart"/>
      <w:r w:rsidRPr="00EA492A">
        <w:rPr>
          <w:rFonts w:ascii="Times New Roman" w:hAnsi="Times New Roman" w:cs="Times New Roman"/>
          <w:szCs w:val="22"/>
        </w:rPr>
        <w:t>Rafiquzzaman</w:t>
      </w:r>
      <w:proofErr w:type="spellEnd"/>
      <w:r w:rsidRPr="00EA492A">
        <w:rPr>
          <w:rFonts w:ascii="Times New Roman" w:hAnsi="Times New Roman" w:cs="Times New Roman"/>
          <w:szCs w:val="22"/>
        </w:rPr>
        <w:t xml:space="preserve"> et al. (2018) recorded the highest fecundity of 5,053 ± 878.27 (Gazipur) and 5,433 ± 968.26 (Jessore). The present mean fecundity (661.02) is lower than most published reports, likely because the analysis included all maturity stages rather than only gravid females, and because of the generally smaller body size of the Upper Lake population.</w:t>
      </w:r>
    </w:p>
    <w:p w14:paraId="55CA5DF8" w14:textId="77777777" w:rsidR="0067758E" w:rsidRPr="00EA492A" w:rsidRDefault="00D15D7D">
      <w:r w:rsidRPr="00EA492A">
        <w:rPr>
          <w:rFonts w:ascii="Times New Roman" w:hAnsi="Times New Roman"/>
        </w:rPr>
        <w:t>Therefore, the lower fecundity observed in Upper Lake should not be interpreted as inherently poor reproductive capacity; rather, it may reflect population size structure, sampling across maturity stages, and local environmental conditions affecting gonadal development (Hossain et al., 2012; Hasan et al., 2018; Murua et al., 2003).</w:t>
      </w:r>
    </w:p>
    <w:p w14:paraId="4F83D5A0" w14:textId="77777777" w:rsidR="008B197F" w:rsidRPr="00EA492A" w:rsidRDefault="008B197F" w:rsidP="00BC7A93">
      <w:pPr>
        <w:ind w:firstLine="720"/>
        <w:jc w:val="both"/>
        <w:rPr>
          <w:rFonts w:ascii="Times New Roman" w:hAnsi="Times New Roman" w:cs="Times New Roman"/>
          <w:szCs w:val="22"/>
        </w:rPr>
      </w:pPr>
      <w:r w:rsidRPr="00EA492A">
        <w:rPr>
          <w:rFonts w:ascii="Times New Roman" w:hAnsi="Times New Roman" w:cs="Times New Roman"/>
          <w:szCs w:val="22"/>
        </w:rPr>
        <w:t xml:space="preserve">R. </w:t>
      </w:r>
      <w:proofErr w:type="spellStart"/>
      <w:r w:rsidRPr="00EA492A">
        <w:rPr>
          <w:rFonts w:ascii="Times New Roman" w:hAnsi="Times New Roman" w:cs="Times New Roman"/>
          <w:szCs w:val="22"/>
        </w:rPr>
        <w:t>daniconius</w:t>
      </w:r>
      <w:proofErr w:type="spellEnd"/>
      <w:r w:rsidRPr="00EA492A">
        <w:rPr>
          <w:rFonts w:ascii="Times New Roman" w:hAnsi="Times New Roman" w:cs="Times New Roman"/>
          <w:szCs w:val="22"/>
        </w:rPr>
        <w:t xml:space="preserve"> females exhibited considerably lower fecundity with an annual mean of 18.37 ± 1.98 ova (SD = 17.08, range: 5 to 80). The highest fecundity was in April (29.17 ± 12.92) and July (25.12 ± 3.55). This low fecundity is consistent with the species' reproductive strategy — R. </w:t>
      </w:r>
      <w:proofErr w:type="spellStart"/>
      <w:r w:rsidRPr="00EA492A">
        <w:rPr>
          <w:rFonts w:ascii="Times New Roman" w:hAnsi="Times New Roman" w:cs="Times New Roman"/>
          <w:szCs w:val="22"/>
        </w:rPr>
        <w:t>daniconius</w:t>
      </w:r>
      <w:proofErr w:type="spellEnd"/>
      <w:r w:rsidRPr="00EA492A">
        <w:rPr>
          <w:rFonts w:ascii="Times New Roman" w:hAnsi="Times New Roman" w:cs="Times New Roman"/>
          <w:szCs w:val="22"/>
        </w:rPr>
        <w:t xml:space="preserve"> is known to produce small clutches of relatively large eggs, reflecting a K-selected reproductive strategy favouring offspring quality over quantity (Pianka, 1970; Nagendran and Shakuntala, 19</w:t>
      </w:r>
      <w:r w:rsidR="00171E32" w:rsidRPr="00EA492A">
        <w:rPr>
          <w:rFonts w:ascii="Times New Roman" w:hAnsi="Times New Roman" w:cs="Times New Roman"/>
          <w:szCs w:val="22"/>
        </w:rPr>
        <w:t>79). According to Paul and Sarmah</w:t>
      </w:r>
      <w:r w:rsidRPr="00EA492A">
        <w:rPr>
          <w:rFonts w:ascii="Times New Roman" w:hAnsi="Times New Roman" w:cs="Times New Roman"/>
          <w:szCs w:val="22"/>
        </w:rPr>
        <w:t>,</w:t>
      </w:r>
      <w:r w:rsidR="00171E32" w:rsidRPr="00EA492A">
        <w:rPr>
          <w:rFonts w:ascii="Times New Roman" w:hAnsi="Times New Roman" w:cs="Times New Roman"/>
          <w:szCs w:val="22"/>
        </w:rPr>
        <w:t xml:space="preserve"> the fertilized eggs are semi- adhesive in nature and measure approximately 0.8-1.0 mm in diameter, </w:t>
      </w:r>
      <w:r w:rsidRPr="00EA492A">
        <w:rPr>
          <w:rFonts w:ascii="Times New Roman" w:hAnsi="Times New Roman" w:cs="Times New Roman"/>
          <w:szCs w:val="22"/>
        </w:rPr>
        <w:t>which is considerably larger than the eggs of P. sophore.</w:t>
      </w:r>
    </w:p>
    <w:p w14:paraId="0FA72F7F" w14:textId="77777777" w:rsidR="0067758E" w:rsidRPr="00EA492A" w:rsidRDefault="00D15D7D">
      <w:r w:rsidRPr="00EA492A">
        <w:rPr>
          <w:rFonts w:ascii="Times New Roman" w:hAnsi="Times New Roman"/>
        </w:rPr>
        <w:t>Earlier work on R. daniconius reported fecundity to be positively related to body length, body weight, and gonad weight, which indicates that the very low values in the present samples may require careful interpretation in relation to sampling period, maturity status, and possible differences in egg-counting criteria (Nagendran et al., 1981; West, 1990; Murua et al., 2003).</w:t>
      </w:r>
    </w:p>
    <w:p w14:paraId="1BD5E2D8" w14:textId="77777777" w:rsidR="008B197F" w:rsidRPr="00EA492A" w:rsidRDefault="008B197F" w:rsidP="008B197F">
      <w:pPr>
        <w:pStyle w:val="Heading3"/>
        <w:jc w:val="left"/>
        <w:rPr>
          <w:rFonts w:ascii="Times New Roman" w:hAnsi="Times New Roman" w:cs="Times New Roman"/>
          <w:sz w:val="22"/>
        </w:rPr>
      </w:pPr>
      <w:r w:rsidRPr="00EA492A">
        <w:rPr>
          <w:rFonts w:ascii="Times New Roman" w:hAnsi="Times New Roman" w:cs="Times New Roman"/>
          <w:sz w:val="22"/>
        </w:rPr>
        <w:t>4.8.1 Fecundity Relationships with Morphometric Parameters</w:t>
      </w:r>
    </w:p>
    <w:p w14:paraId="776C4BC9" w14:textId="6E9EE3BF" w:rsidR="008B197F" w:rsidRPr="00EA492A" w:rsidRDefault="008B197F" w:rsidP="008B197F">
      <w:pPr>
        <w:spacing w:before="240"/>
        <w:jc w:val="center"/>
        <w:rPr>
          <w:rFonts w:ascii="Times New Roman" w:hAnsi="Times New Roman" w:cs="Times New Roman"/>
          <w:szCs w:val="22"/>
        </w:rPr>
      </w:pPr>
      <w:r w:rsidRPr="00EA492A">
        <w:rPr>
          <w:rFonts w:ascii="Times New Roman" w:hAnsi="Times New Roman" w:cs="Times New Roman"/>
          <w:b/>
          <w:szCs w:val="22"/>
        </w:rPr>
        <w:t xml:space="preserve">Table </w:t>
      </w:r>
      <w:r w:rsidR="00F50B8B">
        <w:rPr>
          <w:rFonts w:ascii="Times New Roman" w:hAnsi="Times New Roman" w:cs="Times New Roman"/>
          <w:b/>
          <w:szCs w:val="22"/>
        </w:rPr>
        <w:t>3</w:t>
      </w:r>
      <w:r w:rsidRPr="00EA492A">
        <w:rPr>
          <w:rFonts w:ascii="Times New Roman" w:hAnsi="Times New Roman" w:cs="Times New Roman"/>
          <w:b/>
          <w:szCs w:val="22"/>
        </w:rPr>
        <w:t xml:space="preserve">: Pearson correlation coefficients for fecundity relationships in P. sophore and R. </w:t>
      </w:r>
      <w:proofErr w:type="spellStart"/>
      <w:r w:rsidRPr="00EA492A">
        <w:rPr>
          <w:rFonts w:ascii="Times New Roman" w:hAnsi="Times New Roman" w:cs="Times New Roman"/>
          <w:b/>
          <w:szCs w:val="22"/>
        </w:rPr>
        <w:t>daniconius</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8B197F" w:rsidRPr="00EA492A" w14:paraId="41E5CBE4" w14:textId="77777777" w:rsidTr="001A6238">
        <w:trPr>
          <w:jc w:val="center"/>
        </w:trPr>
        <w:tc>
          <w:tcPr>
            <w:tcW w:w="1728" w:type="dxa"/>
            <w:shd w:val="clear" w:color="auto" w:fill="D5E8F0"/>
          </w:tcPr>
          <w:p w14:paraId="10A45DA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Relationship</w:t>
            </w:r>
          </w:p>
        </w:tc>
        <w:tc>
          <w:tcPr>
            <w:tcW w:w="1728" w:type="dxa"/>
            <w:shd w:val="clear" w:color="auto" w:fill="D5E8F0"/>
          </w:tcPr>
          <w:p w14:paraId="0CA8837E"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P.s ♀</w:t>
            </w:r>
          </w:p>
        </w:tc>
        <w:tc>
          <w:tcPr>
            <w:tcW w:w="1728" w:type="dxa"/>
            <w:shd w:val="clear" w:color="auto" w:fill="D5E8F0"/>
          </w:tcPr>
          <w:p w14:paraId="37C92D6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b/>
              </w:rPr>
              <w:t>P.s ♀p</w:t>
            </w:r>
          </w:p>
        </w:tc>
        <w:tc>
          <w:tcPr>
            <w:tcW w:w="1728" w:type="dxa"/>
            <w:shd w:val="clear" w:color="auto" w:fill="D5E8F0"/>
          </w:tcPr>
          <w:p w14:paraId="3BDE82FC" w14:textId="77777777" w:rsidR="008B197F" w:rsidRPr="00EA492A" w:rsidRDefault="008B197F" w:rsidP="001A6238">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xml:space="preserve"> ♀</w:t>
            </w:r>
          </w:p>
        </w:tc>
        <w:tc>
          <w:tcPr>
            <w:tcW w:w="1728" w:type="dxa"/>
            <w:shd w:val="clear" w:color="auto" w:fill="D5E8F0"/>
          </w:tcPr>
          <w:p w14:paraId="6253BF7B" w14:textId="77777777" w:rsidR="008B197F" w:rsidRPr="00EA492A" w:rsidRDefault="008B197F" w:rsidP="001A6238">
            <w:pPr>
              <w:jc w:val="center"/>
              <w:rPr>
                <w:rFonts w:ascii="Times New Roman" w:hAnsi="Times New Roman" w:cs="Times New Roman"/>
              </w:rPr>
            </w:pPr>
            <w:proofErr w:type="spellStart"/>
            <w:r w:rsidRPr="00EA492A">
              <w:rPr>
                <w:rFonts w:ascii="Times New Roman" w:hAnsi="Times New Roman" w:cs="Times New Roman"/>
                <w:b/>
              </w:rPr>
              <w:t>R.d</w:t>
            </w:r>
            <w:proofErr w:type="spellEnd"/>
            <w:r w:rsidRPr="00EA492A">
              <w:rPr>
                <w:rFonts w:ascii="Times New Roman" w:hAnsi="Times New Roman" w:cs="Times New Roman"/>
                <w:b/>
              </w:rPr>
              <w:t xml:space="preserve"> ♀p</w:t>
            </w:r>
          </w:p>
        </w:tc>
      </w:tr>
      <w:tr w:rsidR="008B197F" w:rsidRPr="00EA492A" w14:paraId="4E3FEB0E" w14:textId="77777777" w:rsidTr="001A6238">
        <w:trPr>
          <w:jc w:val="center"/>
        </w:trPr>
        <w:tc>
          <w:tcPr>
            <w:tcW w:w="1728" w:type="dxa"/>
          </w:tcPr>
          <w:p w14:paraId="27CBCD7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Fecundity vs TL</w:t>
            </w:r>
          </w:p>
        </w:tc>
        <w:tc>
          <w:tcPr>
            <w:tcW w:w="1728" w:type="dxa"/>
          </w:tcPr>
          <w:p w14:paraId="5096D7DA"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0.131</w:t>
            </w:r>
          </w:p>
        </w:tc>
        <w:tc>
          <w:tcPr>
            <w:tcW w:w="1728" w:type="dxa"/>
          </w:tcPr>
          <w:p w14:paraId="45E39CD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0.167 NS</w:t>
            </w:r>
          </w:p>
        </w:tc>
        <w:tc>
          <w:tcPr>
            <w:tcW w:w="1728" w:type="dxa"/>
          </w:tcPr>
          <w:p w14:paraId="4803B081"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-0.015</w:t>
            </w:r>
          </w:p>
        </w:tc>
        <w:tc>
          <w:tcPr>
            <w:tcW w:w="1728" w:type="dxa"/>
          </w:tcPr>
          <w:p w14:paraId="50970FA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0.896 NS</w:t>
            </w:r>
          </w:p>
        </w:tc>
      </w:tr>
      <w:tr w:rsidR="008B197F" w:rsidRPr="00EA492A" w14:paraId="578078A0" w14:textId="77777777" w:rsidTr="001A6238">
        <w:trPr>
          <w:jc w:val="center"/>
        </w:trPr>
        <w:tc>
          <w:tcPr>
            <w:tcW w:w="1728" w:type="dxa"/>
            <w:shd w:val="clear" w:color="auto" w:fill="F2F2F2"/>
          </w:tcPr>
          <w:p w14:paraId="0529682F"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Fecundity vs BW</w:t>
            </w:r>
          </w:p>
        </w:tc>
        <w:tc>
          <w:tcPr>
            <w:tcW w:w="1728" w:type="dxa"/>
            <w:shd w:val="clear" w:color="auto" w:fill="F2F2F2"/>
          </w:tcPr>
          <w:p w14:paraId="208E7C5D"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0.153</w:t>
            </w:r>
          </w:p>
        </w:tc>
        <w:tc>
          <w:tcPr>
            <w:tcW w:w="1728" w:type="dxa"/>
            <w:shd w:val="clear" w:color="auto" w:fill="F2F2F2"/>
          </w:tcPr>
          <w:p w14:paraId="1545B27C"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0.107 NS</w:t>
            </w:r>
          </w:p>
        </w:tc>
        <w:tc>
          <w:tcPr>
            <w:tcW w:w="1728" w:type="dxa"/>
            <w:shd w:val="clear" w:color="auto" w:fill="F2F2F2"/>
          </w:tcPr>
          <w:p w14:paraId="2DDD0974"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0.022</w:t>
            </w:r>
          </w:p>
        </w:tc>
        <w:tc>
          <w:tcPr>
            <w:tcW w:w="1728" w:type="dxa"/>
            <w:shd w:val="clear" w:color="auto" w:fill="F2F2F2"/>
          </w:tcPr>
          <w:p w14:paraId="13C068C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0.855 NS</w:t>
            </w:r>
          </w:p>
        </w:tc>
      </w:tr>
      <w:tr w:rsidR="008B197F" w:rsidRPr="00EA492A" w14:paraId="5F8D5909" w14:textId="77777777" w:rsidTr="001A6238">
        <w:trPr>
          <w:jc w:val="center"/>
        </w:trPr>
        <w:tc>
          <w:tcPr>
            <w:tcW w:w="1728" w:type="dxa"/>
          </w:tcPr>
          <w:p w14:paraId="76A08643"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Fecundity vs GSI</w:t>
            </w:r>
          </w:p>
        </w:tc>
        <w:tc>
          <w:tcPr>
            <w:tcW w:w="1728" w:type="dxa"/>
          </w:tcPr>
          <w:p w14:paraId="074BA703"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0.358</w:t>
            </w:r>
          </w:p>
        </w:tc>
        <w:tc>
          <w:tcPr>
            <w:tcW w:w="1728" w:type="dxa"/>
          </w:tcPr>
          <w:p w14:paraId="7C52DC80"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&lt;0.001 **</w:t>
            </w:r>
          </w:p>
        </w:tc>
        <w:tc>
          <w:tcPr>
            <w:tcW w:w="1728" w:type="dxa"/>
          </w:tcPr>
          <w:p w14:paraId="11E22678"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0.361</w:t>
            </w:r>
          </w:p>
        </w:tc>
        <w:tc>
          <w:tcPr>
            <w:tcW w:w="1728" w:type="dxa"/>
          </w:tcPr>
          <w:p w14:paraId="2BEA88C3" w14:textId="77777777" w:rsidR="008B197F" w:rsidRPr="00EA492A" w:rsidRDefault="008B197F" w:rsidP="001A6238">
            <w:pPr>
              <w:jc w:val="center"/>
              <w:rPr>
                <w:rFonts w:ascii="Times New Roman" w:hAnsi="Times New Roman" w:cs="Times New Roman"/>
              </w:rPr>
            </w:pPr>
            <w:r w:rsidRPr="00EA492A">
              <w:rPr>
                <w:rFonts w:ascii="Times New Roman" w:hAnsi="Times New Roman" w:cs="Times New Roman"/>
              </w:rPr>
              <w:t>0.002 **</w:t>
            </w:r>
          </w:p>
        </w:tc>
      </w:tr>
    </w:tbl>
    <w:p w14:paraId="4C9D90F3" w14:textId="77777777" w:rsidR="008B197F" w:rsidRPr="00EA492A" w:rsidRDefault="008B197F" w:rsidP="008B197F">
      <w:pPr>
        <w:jc w:val="center"/>
        <w:rPr>
          <w:rFonts w:ascii="Times New Roman" w:hAnsi="Times New Roman" w:cs="Times New Roman"/>
          <w:szCs w:val="22"/>
        </w:rPr>
      </w:pPr>
      <w:r w:rsidRPr="00EA492A">
        <w:rPr>
          <w:rFonts w:ascii="Times New Roman" w:hAnsi="Times New Roman" w:cs="Times New Roman"/>
          <w:i/>
          <w:szCs w:val="22"/>
        </w:rPr>
        <w:t>** p &lt; 0.01; NS = Not Significant; TL = Total Length; BW = Body Weight; GSI = Gonadosomatic Index</w:t>
      </w:r>
    </w:p>
    <w:p w14:paraId="53CE9C95" w14:textId="77777777" w:rsidR="008B197F" w:rsidRPr="00EA492A" w:rsidRDefault="008B197F" w:rsidP="00CD44DC">
      <w:pPr>
        <w:ind w:firstLine="720"/>
        <w:jc w:val="both"/>
        <w:rPr>
          <w:rFonts w:ascii="Times New Roman" w:hAnsi="Times New Roman" w:cs="Times New Roman"/>
          <w:szCs w:val="22"/>
        </w:rPr>
      </w:pPr>
      <w:r w:rsidRPr="00EA492A">
        <w:rPr>
          <w:rFonts w:ascii="Times New Roman" w:hAnsi="Times New Roman" w:cs="Times New Roman"/>
          <w:szCs w:val="22"/>
        </w:rPr>
        <w:lastRenderedPageBreak/>
        <w:t>In both species, a highly significant positive correlation was found between GSI and fecundity (</w:t>
      </w:r>
      <w:r w:rsidRPr="00EA492A">
        <w:rPr>
          <w:rFonts w:ascii="Times New Roman" w:hAnsi="Times New Roman" w:cs="Times New Roman"/>
          <w:i/>
          <w:iCs/>
          <w:szCs w:val="22"/>
        </w:rPr>
        <w:t>P. sophore</w:t>
      </w:r>
      <w:r w:rsidRPr="00EA492A">
        <w:rPr>
          <w:rFonts w:ascii="Times New Roman" w:hAnsi="Times New Roman" w:cs="Times New Roman"/>
          <w:szCs w:val="22"/>
        </w:rPr>
        <w:t xml:space="preserve">: r = 0.358, p &lt; 0.001; </w:t>
      </w:r>
      <w:r w:rsidRPr="00EA492A">
        <w:rPr>
          <w:rFonts w:ascii="Times New Roman" w:hAnsi="Times New Roman" w:cs="Times New Roman"/>
          <w:i/>
          <w:iCs/>
          <w:szCs w:val="22"/>
        </w:rPr>
        <w:t xml:space="preserve">R. </w:t>
      </w:r>
      <w:proofErr w:type="spellStart"/>
      <w:r w:rsidRPr="00EA492A">
        <w:rPr>
          <w:rFonts w:ascii="Times New Roman" w:hAnsi="Times New Roman" w:cs="Times New Roman"/>
          <w:i/>
          <w:iCs/>
          <w:szCs w:val="22"/>
        </w:rPr>
        <w:t>daniconius</w:t>
      </w:r>
      <w:proofErr w:type="spellEnd"/>
      <w:r w:rsidRPr="00EA492A">
        <w:rPr>
          <w:rFonts w:ascii="Times New Roman" w:hAnsi="Times New Roman" w:cs="Times New Roman"/>
          <w:szCs w:val="22"/>
        </w:rPr>
        <w:t>: r = 0.361, p = 0.002), confirming that gonadal maturity level directly determines egg production. However, the correlations between fecundity and body size (length and weight) were not significant in either species. This contrasts with several published reports where fecundity was positively correlated with body size (Kant et al., 2016; Hossain et al., 2006). The non-significant relationship in the present study is likely because all maturity stages were included in the analysis — in immature and spent fish, fecundity is minimal regardless of body size, which weakens the overall correlation.</w:t>
      </w:r>
    </w:p>
    <w:p w14:paraId="3859E5F5" w14:textId="77777777" w:rsidR="0067758E" w:rsidRPr="00EA492A" w:rsidRDefault="00D15D7D">
      <w:r w:rsidRPr="00EA492A">
        <w:rPr>
          <w:rFonts w:ascii="Times New Roman" w:hAnsi="Times New Roman"/>
        </w:rPr>
        <w:t>The significant association between fecundity and GSI in both species supports the use of GSI as a field-level proxy for reproductive investment; however, the weak relationship with body size suggests that future analyses should separate mature, immature, and spent females, because pooled maturity stages can mask size-fecundity relationships (de Vlaming et al., 1982; Flores et al., 2019; West, 1990).</w:t>
      </w:r>
    </w:p>
    <w:p w14:paraId="6957D755" w14:textId="77777777" w:rsidR="002F51CD" w:rsidRPr="00EA492A" w:rsidRDefault="002F51CD" w:rsidP="002F51CD">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EA492A">
        <w:rPr>
          <w:rFonts w:ascii="Times New Roman" w:eastAsia="Times New Roman" w:hAnsi="Times New Roman" w:cs="Times New Roman"/>
          <w:b/>
          <w:bCs/>
          <w:sz w:val="36"/>
          <w:szCs w:val="36"/>
          <w:lang w:val="en-US" w:bidi="ar-SA"/>
        </w:rPr>
        <w:t>Conclusions</w:t>
      </w:r>
    </w:p>
    <w:p w14:paraId="69ECD54E" w14:textId="77777777" w:rsidR="002F51CD" w:rsidRPr="00EA492A" w:rsidRDefault="002F51CD" w:rsidP="002F51CD">
      <w:pPr>
        <w:spacing w:before="100" w:beforeAutospacing="1" w:after="100" w:afterAutospacing="1" w:line="240" w:lineRule="auto"/>
        <w:rPr>
          <w:rFonts w:ascii="Times New Roman" w:eastAsia="Times New Roman" w:hAnsi="Times New Roman" w:cs="Times New Roman"/>
          <w:sz w:val="24"/>
          <w:szCs w:val="24"/>
          <w:lang w:val="en-US" w:bidi="ar-SA"/>
        </w:rPr>
      </w:pPr>
      <w:r w:rsidRPr="00EA492A">
        <w:rPr>
          <w:rFonts w:ascii="Times New Roman" w:eastAsia="Times New Roman" w:hAnsi="Times New Roman" w:cs="Times New Roman"/>
          <w:sz w:val="24"/>
          <w:szCs w:val="24"/>
          <w:lang w:val="en-US" w:bidi="ar-SA"/>
        </w:rPr>
        <w:t xml:space="preserve">The study indicates that </w:t>
      </w:r>
      <w:r w:rsidRPr="00EA492A">
        <w:rPr>
          <w:rFonts w:ascii="Times New Roman" w:eastAsia="Times New Roman" w:hAnsi="Times New Roman" w:cs="Times New Roman"/>
          <w:i/>
          <w:iCs/>
          <w:sz w:val="24"/>
          <w:szCs w:val="24"/>
          <w:lang w:val="en-US" w:bidi="ar-SA"/>
        </w:rPr>
        <w:t xml:space="preserve">Puntius </w:t>
      </w:r>
      <w:proofErr w:type="spellStart"/>
      <w:r w:rsidRPr="00EA492A">
        <w:rPr>
          <w:rFonts w:ascii="Times New Roman" w:eastAsia="Times New Roman" w:hAnsi="Times New Roman" w:cs="Times New Roman"/>
          <w:i/>
          <w:iCs/>
          <w:sz w:val="24"/>
          <w:szCs w:val="24"/>
          <w:lang w:val="en-US" w:bidi="ar-SA"/>
        </w:rPr>
        <w:t>sophore</w:t>
      </w:r>
      <w:proofErr w:type="spellEnd"/>
      <w:r w:rsidRPr="00EA492A">
        <w:rPr>
          <w:rFonts w:ascii="Times New Roman" w:eastAsia="Times New Roman" w:hAnsi="Times New Roman" w:cs="Times New Roman"/>
          <w:sz w:val="24"/>
          <w:szCs w:val="24"/>
          <w:lang w:val="en-US" w:bidi="ar-SA"/>
        </w:rPr>
        <w:t xml:space="preserve"> and </w:t>
      </w:r>
      <w:r w:rsidRPr="00EA492A">
        <w:rPr>
          <w:rFonts w:ascii="Times New Roman" w:eastAsia="Times New Roman" w:hAnsi="Times New Roman" w:cs="Times New Roman"/>
          <w:i/>
          <w:iCs/>
          <w:sz w:val="24"/>
          <w:szCs w:val="24"/>
          <w:lang w:val="en-US" w:bidi="ar-SA"/>
        </w:rPr>
        <w:t xml:space="preserve">Rasbora </w:t>
      </w:r>
      <w:proofErr w:type="spellStart"/>
      <w:r w:rsidRPr="00EA492A">
        <w:rPr>
          <w:rFonts w:ascii="Times New Roman" w:eastAsia="Times New Roman" w:hAnsi="Times New Roman" w:cs="Times New Roman"/>
          <w:i/>
          <w:iCs/>
          <w:sz w:val="24"/>
          <w:szCs w:val="24"/>
          <w:lang w:val="en-US" w:bidi="ar-SA"/>
        </w:rPr>
        <w:t>daniconius</w:t>
      </w:r>
      <w:proofErr w:type="spellEnd"/>
      <w:r w:rsidRPr="00EA492A">
        <w:rPr>
          <w:rFonts w:ascii="Times New Roman" w:eastAsia="Times New Roman" w:hAnsi="Times New Roman" w:cs="Times New Roman"/>
          <w:sz w:val="24"/>
          <w:szCs w:val="24"/>
          <w:lang w:val="en-US" w:bidi="ar-SA"/>
        </w:rPr>
        <w:t xml:space="preserve"> differ in reproductive timing, gonadosomatic index pattern, and fecundity level in Upper Lake, Bhopal. </w:t>
      </w:r>
      <w:r w:rsidRPr="00EA492A">
        <w:rPr>
          <w:rFonts w:ascii="Times New Roman" w:eastAsia="Times New Roman" w:hAnsi="Times New Roman" w:cs="Times New Roman"/>
          <w:i/>
          <w:iCs/>
          <w:sz w:val="24"/>
          <w:szCs w:val="24"/>
          <w:lang w:val="en-US" w:bidi="ar-SA"/>
        </w:rPr>
        <w:t xml:space="preserve">P. </w:t>
      </w:r>
      <w:proofErr w:type="spellStart"/>
      <w:r w:rsidRPr="00EA492A">
        <w:rPr>
          <w:rFonts w:ascii="Times New Roman" w:eastAsia="Times New Roman" w:hAnsi="Times New Roman" w:cs="Times New Roman"/>
          <w:i/>
          <w:iCs/>
          <w:sz w:val="24"/>
          <w:szCs w:val="24"/>
          <w:lang w:val="en-US" w:bidi="ar-SA"/>
        </w:rPr>
        <w:t>sophore</w:t>
      </w:r>
      <w:proofErr w:type="spellEnd"/>
      <w:r w:rsidRPr="00EA492A">
        <w:rPr>
          <w:rFonts w:ascii="Times New Roman" w:eastAsia="Times New Roman" w:hAnsi="Times New Roman" w:cs="Times New Roman"/>
          <w:sz w:val="24"/>
          <w:szCs w:val="24"/>
          <w:lang w:val="en-US" w:bidi="ar-SA"/>
        </w:rPr>
        <w:t xml:space="preserve"> showed higher female GSI and higher mean fecundity than </w:t>
      </w:r>
      <w:r w:rsidRPr="00EA492A">
        <w:rPr>
          <w:rFonts w:ascii="Times New Roman" w:eastAsia="Times New Roman" w:hAnsi="Times New Roman" w:cs="Times New Roman"/>
          <w:i/>
          <w:iCs/>
          <w:sz w:val="24"/>
          <w:szCs w:val="24"/>
          <w:lang w:val="en-US" w:bidi="ar-SA"/>
        </w:rPr>
        <w:t xml:space="preserve">R. </w:t>
      </w:r>
      <w:proofErr w:type="spellStart"/>
      <w:r w:rsidRPr="00EA492A">
        <w:rPr>
          <w:rFonts w:ascii="Times New Roman" w:eastAsia="Times New Roman" w:hAnsi="Times New Roman" w:cs="Times New Roman"/>
          <w:i/>
          <w:iCs/>
          <w:sz w:val="24"/>
          <w:szCs w:val="24"/>
          <w:lang w:val="en-US" w:bidi="ar-SA"/>
        </w:rPr>
        <w:t>daniconius</w:t>
      </w:r>
      <w:proofErr w:type="spellEnd"/>
      <w:r w:rsidRPr="00EA492A">
        <w:rPr>
          <w:rFonts w:ascii="Times New Roman" w:eastAsia="Times New Roman" w:hAnsi="Times New Roman" w:cs="Times New Roman"/>
          <w:sz w:val="24"/>
          <w:szCs w:val="24"/>
          <w:lang w:val="en-US" w:bidi="ar-SA"/>
        </w:rPr>
        <w:t xml:space="preserve">, suggesting greater reproductive investment per spawning event. The spawning period of </w:t>
      </w:r>
      <w:r w:rsidRPr="00EA492A">
        <w:rPr>
          <w:rFonts w:ascii="Times New Roman" w:eastAsia="Times New Roman" w:hAnsi="Times New Roman" w:cs="Times New Roman"/>
          <w:i/>
          <w:iCs/>
          <w:sz w:val="24"/>
          <w:szCs w:val="24"/>
          <w:lang w:val="en-US" w:bidi="ar-SA"/>
        </w:rPr>
        <w:t xml:space="preserve">P. </w:t>
      </w:r>
      <w:proofErr w:type="spellStart"/>
      <w:r w:rsidRPr="00EA492A">
        <w:rPr>
          <w:rFonts w:ascii="Times New Roman" w:eastAsia="Times New Roman" w:hAnsi="Times New Roman" w:cs="Times New Roman"/>
          <w:i/>
          <w:iCs/>
          <w:sz w:val="24"/>
          <w:szCs w:val="24"/>
          <w:lang w:val="en-US" w:bidi="ar-SA"/>
        </w:rPr>
        <w:t>sophore</w:t>
      </w:r>
      <w:proofErr w:type="spellEnd"/>
      <w:r w:rsidRPr="00EA492A">
        <w:rPr>
          <w:rFonts w:ascii="Times New Roman" w:eastAsia="Times New Roman" w:hAnsi="Times New Roman" w:cs="Times New Roman"/>
          <w:sz w:val="24"/>
          <w:szCs w:val="24"/>
          <w:lang w:val="en-US" w:bidi="ar-SA"/>
        </w:rPr>
        <w:t xml:space="preserve"> was identified mainly from June to August, with peak spawning during June–July, while </w:t>
      </w:r>
      <w:r w:rsidRPr="00EA492A">
        <w:rPr>
          <w:rFonts w:ascii="Times New Roman" w:eastAsia="Times New Roman" w:hAnsi="Times New Roman" w:cs="Times New Roman"/>
          <w:i/>
          <w:iCs/>
          <w:sz w:val="24"/>
          <w:szCs w:val="24"/>
          <w:lang w:val="en-US" w:bidi="ar-SA"/>
        </w:rPr>
        <w:t xml:space="preserve">R. </w:t>
      </w:r>
      <w:proofErr w:type="spellStart"/>
      <w:r w:rsidRPr="00EA492A">
        <w:rPr>
          <w:rFonts w:ascii="Times New Roman" w:eastAsia="Times New Roman" w:hAnsi="Times New Roman" w:cs="Times New Roman"/>
          <w:i/>
          <w:iCs/>
          <w:sz w:val="24"/>
          <w:szCs w:val="24"/>
          <w:lang w:val="en-US" w:bidi="ar-SA"/>
        </w:rPr>
        <w:t>daniconius</w:t>
      </w:r>
      <w:proofErr w:type="spellEnd"/>
      <w:r w:rsidRPr="00EA492A">
        <w:rPr>
          <w:rFonts w:ascii="Times New Roman" w:eastAsia="Times New Roman" w:hAnsi="Times New Roman" w:cs="Times New Roman"/>
          <w:sz w:val="24"/>
          <w:szCs w:val="24"/>
          <w:lang w:val="en-US" w:bidi="ar-SA"/>
        </w:rPr>
        <w:t xml:space="preserve"> showed an earlier reproductive period from April to July, with peak activity in July. Fecundity was significantly associated with GSI in both species, indicating that gonadal development is closely linked with egg production. However, fecundity was not significantly related to total length or body weight when all maturity stages were pooled. This suggests that maturity stage should be considered carefully when assessing fecundity relationships. Overall, the findings provide preliminary information on reproductive patterns of these two cyprinid fishes and may help in planning breeding-season protection and sustainable fisheries management.</w:t>
      </w:r>
    </w:p>
    <w:p w14:paraId="3DC01416" w14:textId="77777777" w:rsidR="002F51CD" w:rsidRPr="00EA492A" w:rsidRDefault="002F51CD" w:rsidP="002F51CD">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EA492A">
        <w:rPr>
          <w:rFonts w:ascii="Times New Roman" w:eastAsia="Times New Roman" w:hAnsi="Times New Roman" w:cs="Times New Roman"/>
          <w:b/>
          <w:bCs/>
          <w:sz w:val="36"/>
          <w:szCs w:val="36"/>
          <w:lang w:val="en-US" w:bidi="ar-SA"/>
        </w:rPr>
        <w:t>Limitations</w:t>
      </w:r>
    </w:p>
    <w:p w14:paraId="0CCF6869" w14:textId="77777777" w:rsidR="002F51CD" w:rsidRPr="00EA492A" w:rsidRDefault="002F51CD" w:rsidP="002F51CD">
      <w:pPr>
        <w:spacing w:before="100" w:beforeAutospacing="1" w:after="100" w:afterAutospacing="1" w:line="240" w:lineRule="auto"/>
        <w:rPr>
          <w:rFonts w:ascii="Times New Roman" w:eastAsia="Times New Roman" w:hAnsi="Times New Roman" w:cs="Times New Roman"/>
          <w:sz w:val="24"/>
          <w:szCs w:val="24"/>
          <w:lang w:val="en-US" w:bidi="ar-SA"/>
        </w:rPr>
      </w:pPr>
      <w:r w:rsidRPr="00EA492A">
        <w:rPr>
          <w:rFonts w:ascii="Times New Roman" w:eastAsia="Times New Roman" w:hAnsi="Times New Roman" w:cs="Times New Roman"/>
          <w:sz w:val="24"/>
          <w:szCs w:val="24"/>
          <w:lang w:val="en-US" w:bidi="ar-SA"/>
        </w:rPr>
        <w:t xml:space="preserve">The study is limited by insufficient detail on sampling design, sampling duration, sex-wise sample size, maturity-stage selection, and statistical methods. The manuscript reports monthly data across the year, but the methods state that sampling was conducted during July–November, which requires clarification. Fecundity estimates may be affected by inclusion of immature, mature, and spent females in the same analysis. Environmental variables such as temperature, rainfall, water level, dissolved oxygen, and food availability were not </w:t>
      </w:r>
      <w:proofErr w:type="spellStart"/>
      <w:r w:rsidRPr="00EA492A">
        <w:rPr>
          <w:rFonts w:ascii="Times New Roman" w:eastAsia="Times New Roman" w:hAnsi="Times New Roman" w:cs="Times New Roman"/>
          <w:sz w:val="24"/>
          <w:szCs w:val="24"/>
          <w:lang w:val="en-US" w:bidi="ar-SA"/>
        </w:rPr>
        <w:t>analysed</w:t>
      </w:r>
      <w:proofErr w:type="spellEnd"/>
      <w:r w:rsidRPr="00EA492A">
        <w:rPr>
          <w:rFonts w:ascii="Times New Roman" w:eastAsia="Times New Roman" w:hAnsi="Times New Roman" w:cs="Times New Roman"/>
          <w:sz w:val="24"/>
          <w:szCs w:val="24"/>
          <w:lang w:val="en-US" w:bidi="ar-SA"/>
        </w:rPr>
        <w:t xml:space="preserve">. The comparison between species is mainly descriptive, and the unusually low fecundity values for </w:t>
      </w:r>
      <w:r w:rsidRPr="00EA492A">
        <w:rPr>
          <w:rFonts w:ascii="Times New Roman" w:eastAsia="Times New Roman" w:hAnsi="Times New Roman" w:cs="Times New Roman"/>
          <w:i/>
          <w:iCs/>
          <w:sz w:val="24"/>
          <w:szCs w:val="24"/>
          <w:lang w:val="en-US" w:bidi="ar-SA"/>
        </w:rPr>
        <w:t xml:space="preserve">Rasbora </w:t>
      </w:r>
      <w:proofErr w:type="spellStart"/>
      <w:r w:rsidRPr="00EA492A">
        <w:rPr>
          <w:rFonts w:ascii="Times New Roman" w:eastAsia="Times New Roman" w:hAnsi="Times New Roman" w:cs="Times New Roman"/>
          <w:i/>
          <w:iCs/>
          <w:sz w:val="24"/>
          <w:szCs w:val="24"/>
          <w:lang w:val="en-US" w:bidi="ar-SA"/>
        </w:rPr>
        <w:t>daniconius</w:t>
      </w:r>
      <w:proofErr w:type="spellEnd"/>
      <w:r w:rsidRPr="00EA492A">
        <w:rPr>
          <w:rFonts w:ascii="Times New Roman" w:eastAsia="Times New Roman" w:hAnsi="Times New Roman" w:cs="Times New Roman"/>
          <w:sz w:val="24"/>
          <w:szCs w:val="24"/>
          <w:lang w:val="en-US" w:bidi="ar-SA"/>
        </w:rPr>
        <w:t xml:space="preserve"> require further verification.</w:t>
      </w:r>
    </w:p>
    <w:p w14:paraId="0BE54483" w14:textId="77777777" w:rsidR="002F51CD" w:rsidRPr="00EA492A" w:rsidRDefault="002F51CD" w:rsidP="002F51CD">
      <w:pPr>
        <w:pBdr>
          <w:bottom w:val="single" w:sz="6" w:space="1" w:color="auto"/>
        </w:pBdr>
        <w:spacing w:after="0" w:line="240" w:lineRule="auto"/>
        <w:jc w:val="center"/>
        <w:rPr>
          <w:rFonts w:ascii="Arial" w:eastAsia="Times New Roman" w:hAnsi="Arial" w:cs="Arial"/>
          <w:vanish/>
          <w:sz w:val="16"/>
          <w:szCs w:val="16"/>
          <w:lang w:val="en-US" w:bidi="ar-SA"/>
        </w:rPr>
      </w:pPr>
      <w:r w:rsidRPr="00EA492A">
        <w:rPr>
          <w:rFonts w:ascii="Arial" w:eastAsia="Times New Roman" w:hAnsi="Arial" w:cs="Arial"/>
          <w:vanish/>
          <w:sz w:val="16"/>
          <w:szCs w:val="16"/>
          <w:lang w:val="en-US" w:bidi="ar-SA"/>
        </w:rPr>
        <w:t>Top of Form</w:t>
      </w:r>
    </w:p>
    <w:p w14:paraId="75820A30" w14:textId="77777777" w:rsidR="002F51CD" w:rsidRPr="00EA492A" w:rsidRDefault="002F51CD" w:rsidP="002F51CD">
      <w:pPr>
        <w:spacing w:before="100" w:beforeAutospacing="1" w:after="100" w:afterAutospacing="1" w:line="240" w:lineRule="auto"/>
        <w:rPr>
          <w:rFonts w:ascii="Times New Roman" w:eastAsia="Times New Roman" w:hAnsi="Times New Roman" w:cs="Times New Roman"/>
          <w:sz w:val="24"/>
          <w:szCs w:val="24"/>
          <w:lang w:val="en-US" w:bidi="ar-SA"/>
        </w:rPr>
      </w:pPr>
    </w:p>
    <w:p w14:paraId="13DE9347" w14:textId="77777777" w:rsidR="002F51CD" w:rsidRPr="00EA492A" w:rsidRDefault="002F51CD" w:rsidP="002F51CD">
      <w:pPr>
        <w:spacing w:after="0" w:line="240" w:lineRule="auto"/>
        <w:rPr>
          <w:rFonts w:ascii="Times New Roman" w:eastAsia="Calibri" w:hAnsi="Times New Roman" w:cs="Times New Roman"/>
          <w:b/>
          <w:szCs w:val="22"/>
          <w:lang w:val="en-US" w:bidi="ar-SA"/>
        </w:rPr>
      </w:pPr>
      <w:r w:rsidRPr="00EA492A">
        <w:rPr>
          <w:rFonts w:ascii="Times New Roman" w:eastAsia="Calibri" w:hAnsi="Times New Roman" w:cs="Times New Roman"/>
          <w:b/>
          <w:szCs w:val="22"/>
          <w:lang w:val="en-US" w:bidi="ar-SA"/>
        </w:rPr>
        <w:t>Declaration of AI Use</w:t>
      </w:r>
    </w:p>
    <w:p w14:paraId="5CC4BABF" w14:textId="77777777" w:rsidR="002F51CD" w:rsidRPr="00EA492A" w:rsidRDefault="002F51CD" w:rsidP="002F51CD">
      <w:pPr>
        <w:spacing w:after="0" w:line="240" w:lineRule="auto"/>
        <w:rPr>
          <w:rFonts w:ascii="Times New Roman" w:eastAsia="Calibri" w:hAnsi="Times New Roman" w:cs="Times New Roman"/>
          <w:szCs w:val="22"/>
          <w:lang w:val="en-US" w:bidi="ar-SA"/>
        </w:rPr>
      </w:pPr>
    </w:p>
    <w:p w14:paraId="023D14D2" w14:textId="77777777" w:rsidR="002F51CD" w:rsidRDefault="002F51CD" w:rsidP="002F51CD">
      <w:pPr>
        <w:spacing w:after="0" w:line="240" w:lineRule="auto"/>
        <w:jc w:val="both"/>
        <w:rPr>
          <w:rFonts w:ascii="Times New Roman" w:eastAsia="Calibri" w:hAnsi="Times New Roman" w:cs="Times New Roman"/>
          <w:szCs w:val="22"/>
          <w:lang w:val="en-US" w:bidi="ar-SA"/>
        </w:rPr>
      </w:pPr>
      <w:r w:rsidRPr="00EA492A">
        <w:rPr>
          <w:rFonts w:ascii="Times New Roman" w:eastAsia="Calibri" w:hAnsi="Times New Roman" w:cs="Times New Roman"/>
          <w:szCs w:val="22"/>
          <w:lang w:val="en-US" w:bidi="ar-SA"/>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w:t>
      </w:r>
      <w:r w:rsidRPr="00EA492A">
        <w:rPr>
          <w:rFonts w:ascii="Times New Roman" w:eastAsia="Calibri" w:hAnsi="Times New Roman" w:cs="Times New Roman"/>
          <w:szCs w:val="22"/>
          <w:lang w:val="en-US" w:bidi="ar-SA"/>
        </w:rPr>
        <w:lastRenderedPageBreak/>
        <w:t>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B08574" w14:textId="77777777" w:rsidR="00887754" w:rsidRDefault="00887754" w:rsidP="002F51CD">
      <w:pPr>
        <w:spacing w:after="0" w:line="240" w:lineRule="auto"/>
        <w:jc w:val="both"/>
        <w:rPr>
          <w:rFonts w:ascii="Times New Roman" w:eastAsia="Calibri" w:hAnsi="Times New Roman" w:cs="Times New Roman"/>
          <w:szCs w:val="22"/>
          <w:lang w:val="en-US" w:bidi="ar-SA"/>
        </w:rPr>
      </w:pPr>
    </w:p>
    <w:p w14:paraId="1469A808" w14:textId="77777777" w:rsidR="00887754" w:rsidRDefault="00887754" w:rsidP="002F51CD">
      <w:pPr>
        <w:spacing w:after="0" w:line="240" w:lineRule="auto"/>
        <w:jc w:val="both"/>
        <w:rPr>
          <w:rFonts w:ascii="Times New Roman" w:eastAsia="Calibri" w:hAnsi="Times New Roman" w:cs="Times New Roman"/>
          <w:szCs w:val="22"/>
          <w:lang w:val="en-US" w:bidi="ar-SA"/>
        </w:rPr>
      </w:pPr>
    </w:p>
    <w:p w14:paraId="09CF2DCB" w14:textId="77777777" w:rsidR="00887754" w:rsidRPr="00887754" w:rsidRDefault="00887754" w:rsidP="00887754">
      <w:pPr>
        <w:rPr>
          <w:rFonts w:ascii="Arial" w:eastAsia="Times New Roman" w:hAnsi="Arial" w:cs="Arial"/>
          <w:b/>
          <w:bCs/>
          <w:szCs w:val="22"/>
          <w:lang w:val="en-GB" w:eastAsia="en-GB" w:bidi="ar-SA"/>
        </w:rPr>
      </w:pPr>
      <w:r w:rsidRPr="00887754">
        <w:rPr>
          <w:rFonts w:ascii="Arial" w:eastAsia="Times New Roman" w:hAnsi="Arial" w:cs="Arial"/>
          <w:b/>
          <w:bCs/>
          <w:szCs w:val="22"/>
          <w:lang w:val="en-GB" w:eastAsia="en-GB" w:bidi="ar-SA"/>
        </w:rPr>
        <w:t>COMPETING INTERESTS DISCLAIMER:</w:t>
      </w:r>
    </w:p>
    <w:p w14:paraId="6C1C8D33" w14:textId="77777777" w:rsidR="00887754" w:rsidRPr="00887754" w:rsidRDefault="00887754" w:rsidP="00887754">
      <w:pPr>
        <w:rPr>
          <w:rFonts w:ascii="Calibri" w:eastAsia="Times New Roman" w:hAnsi="Calibri" w:cs="Times New Roman"/>
          <w:szCs w:val="22"/>
          <w:lang w:val="en-GB" w:eastAsia="en-GB" w:bidi="ar-SA"/>
        </w:rPr>
      </w:pPr>
      <w:r w:rsidRPr="00887754">
        <w:rPr>
          <w:rFonts w:ascii="Arial" w:eastAsia="Times New Roman" w:hAnsi="Arial" w:cs="Arial"/>
          <w:b/>
          <w:bCs/>
          <w:szCs w:val="22"/>
          <w:lang w:val="en-GB" w:eastAsia="en-GB" w:bidi="ar-SA"/>
        </w:rPr>
        <w:t>Authors have declared that they have no known competing financial interests OR non-financial interests OR personal relationships that could have appeared to influence the work reported in this paper.</w:t>
      </w:r>
    </w:p>
    <w:p w14:paraId="5E20E498" w14:textId="77777777" w:rsidR="00887754" w:rsidRDefault="00887754" w:rsidP="002F51CD">
      <w:pPr>
        <w:spacing w:after="0" w:line="240" w:lineRule="auto"/>
        <w:jc w:val="both"/>
        <w:rPr>
          <w:rFonts w:ascii="Times New Roman" w:eastAsia="Calibri" w:hAnsi="Times New Roman" w:cs="Times New Roman"/>
          <w:szCs w:val="22"/>
          <w:lang w:val="en-US" w:bidi="ar-SA"/>
        </w:rPr>
      </w:pPr>
    </w:p>
    <w:p w14:paraId="60A21496" w14:textId="77777777" w:rsidR="00EA492A" w:rsidRPr="00EA492A" w:rsidRDefault="00EA492A" w:rsidP="002F51CD">
      <w:pPr>
        <w:spacing w:after="0" w:line="240" w:lineRule="auto"/>
        <w:jc w:val="both"/>
        <w:rPr>
          <w:rFonts w:ascii="Times New Roman" w:eastAsia="Calibri" w:hAnsi="Times New Roman" w:cs="Times New Roman"/>
          <w:szCs w:val="22"/>
          <w:lang w:val="en-US" w:bidi="ar-SA"/>
        </w:rPr>
      </w:pPr>
    </w:p>
    <w:p w14:paraId="18CDC0E9" w14:textId="77777777" w:rsidR="002F51CD" w:rsidRPr="00EA492A" w:rsidRDefault="002F51CD" w:rsidP="002F51CD">
      <w:pPr>
        <w:pBdr>
          <w:top w:val="single" w:sz="6" w:space="1" w:color="auto"/>
        </w:pBdr>
        <w:spacing w:after="0" w:line="240" w:lineRule="auto"/>
        <w:jc w:val="center"/>
        <w:rPr>
          <w:rFonts w:ascii="Arial" w:eastAsia="Times New Roman" w:hAnsi="Arial" w:cs="Arial"/>
          <w:sz w:val="16"/>
          <w:szCs w:val="16"/>
          <w:lang w:val="en-US" w:bidi="ar-SA"/>
        </w:rPr>
      </w:pPr>
      <w:r w:rsidRPr="00EA492A">
        <w:rPr>
          <w:rFonts w:ascii="Arial" w:eastAsia="Times New Roman" w:hAnsi="Arial" w:cs="Arial"/>
          <w:vanish/>
          <w:sz w:val="16"/>
          <w:szCs w:val="16"/>
          <w:lang w:val="en-US" w:bidi="ar-SA"/>
        </w:rPr>
        <w:t>Bottom of Form</w:t>
      </w:r>
    </w:p>
    <w:p w14:paraId="3A0F6C15" w14:textId="77777777" w:rsidR="002F51CD" w:rsidRPr="00EA492A" w:rsidRDefault="002F51CD" w:rsidP="002F51CD">
      <w:pPr>
        <w:pBdr>
          <w:top w:val="single" w:sz="6" w:space="1" w:color="auto"/>
        </w:pBdr>
        <w:spacing w:after="0" w:line="240" w:lineRule="auto"/>
        <w:jc w:val="center"/>
        <w:rPr>
          <w:rFonts w:ascii="Arial" w:eastAsia="Times New Roman" w:hAnsi="Arial" w:cs="Arial"/>
          <w:vanish/>
          <w:sz w:val="16"/>
          <w:szCs w:val="16"/>
          <w:lang w:val="en-US" w:bidi="ar-SA"/>
        </w:rPr>
      </w:pPr>
    </w:p>
    <w:p w14:paraId="286E6CA8" w14:textId="77777777" w:rsidR="002F51CD" w:rsidRPr="00EA492A" w:rsidRDefault="002F51CD" w:rsidP="002F51CD">
      <w:pPr>
        <w:rPr>
          <w:szCs w:val="22"/>
          <w:lang w:val="en-GB" w:bidi="ar-SA"/>
          <w14:ligatures w14:val="standardContextual"/>
        </w:rPr>
      </w:pPr>
    </w:p>
    <w:p w14:paraId="515D1A85" w14:textId="77777777" w:rsidR="00402E6C" w:rsidRPr="00EA492A" w:rsidRDefault="00402E6C" w:rsidP="008B197F">
      <w:pPr>
        <w:rPr>
          <w:rFonts w:ascii="Times New Roman" w:hAnsi="Times New Roman" w:cs="Times New Roman"/>
          <w:b/>
          <w:bCs/>
          <w:szCs w:val="22"/>
        </w:rPr>
      </w:pPr>
      <w:r w:rsidRPr="00EA492A">
        <w:rPr>
          <w:rFonts w:ascii="Times New Roman" w:hAnsi="Times New Roman" w:cs="Times New Roman"/>
          <w:b/>
          <w:bCs/>
          <w:szCs w:val="22"/>
        </w:rPr>
        <w:t xml:space="preserve">Reference </w:t>
      </w:r>
    </w:p>
    <w:p w14:paraId="7BCF3A60" w14:textId="77777777" w:rsidR="00402E6C" w:rsidRPr="00EA492A" w:rsidRDefault="00402E6C" w:rsidP="00F2501A">
      <w:pPr>
        <w:pStyle w:val="ListParagraph"/>
        <w:numPr>
          <w:ilvl w:val="0"/>
          <w:numId w:val="1"/>
        </w:numPr>
        <w:rPr>
          <w:rFonts w:ascii="Times New Roman" w:hAnsi="Times New Roman" w:cs="Times New Roman"/>
          <w:szCs w:val="22"/>
        </w:rPr>
      </w:pPr>
      <w:r w:rsidRPr="00EA492A">
        <w:rPr>
          <w:rFonts w:ascii="Times New Roman" w:hAnsi="Times New Roman" w:cs="Times New Roman"/>
          <w:szCs w:val="22"/>
        </w:rPr>
        <w:t xml:space="preserve">Singha, S., Kumar, S., Gogoi, K., </w:t>
      </w:r>
      <w:proofErr w:type="spellStart"/>
      <w:r w:rsidRPr="00EA492A">
        <w:rPr>
          <w:rFonts w:ascii="Times New Roman" w:hAnsi="Times New Roman" w:cs="Times New Roman"/>
          <w:szCs w:val="22"/>
        </w:rPr>
        <w:t>Saharia</w:t>
      </w:r>
      <w:proofErr w:type="spellEnd"/>
      <w:r w:rsidRPr="00EA492A">
        <w:rPr>
          <w:rFonts w:ascii="Times New Roman" w:hAnsi="Times New Roman" w:cs="Times New Roman"/>
          <w:szCs w:val="22"/>
        </w:rPr>
        <w:t xml:space="preserve">, P. K., Dutta, R., </w:t>
      </w:r>
      <w:proofErr w:type="spellStart"/>
      <w:r w:rsidRPr="00EA492A">
        <w:rPr>
          <w:rFonts w:ascii="Times New Roman" w:hAnsi="Times New Roman" w:cs="Times New Roman"/>
          <w:szCs w:val="22"/>
        </w:rPr>
        <w:t>Patowary</w:t>
      </w:r>
      <w:proofErr w:type="spellEnd"/>
      <w:r w:rsidRPr="00EA492A">
        <w:rPr>
          <w:rFonts w:ascii="Times New Roman" w:hAnsi="Times New Roman" w:cs="Times New Roman"/>
          <w:szCs w:val="22"/>
        </w:rPr>
        <w:t xml:space="preserve">, A. N., Baishya, S., </w:t>
      </w:r>
      <w:proofErr w:type="spellStart"/>
      <w:r w:rsidRPr="00EA492A">
        <w:rPr>
          <w:rFonts w:ascii="Times New Roman" w:hAnsi="Times New Roman" w:cs="Times New Roman"/>
          <w:szCs w:val="22"/>
        </w:rPr>
        <w:t>Bhagawati</w:t>
      </w:r>
      <w:proofErr w:type="spellEnd"/>
      <w:r w:rsidRPr="00EA492A">
        <w:rPr>
          <w:rFonts w:ascii="Times New Roman" w:hAnsi="Times New Roman" w:cs="Times New Roman"/>
          <w:szCs w:val="22"/>
        </w:rPr>
        <w:t xml:space="preserve">, K., Bordoloi, B., &amp; Sarma, D. K. (2024). </w:t>
      </w:r>
      <w:r w:rsidRPr="00EA492A">
        <w:rPr>
          <w:rStyle w:val="Emphasis"/>
          <w:rFonts w:ascii="Times New Roman" w:hAnsi="Times New Roman" w:cs="Times New Roman"/>
          <w:szCs w:val="22"/>
        </w:rPr>
        <w:t xml:space="preserve">Can sympathetic induction be a convenient technique for breeding </w:t>
      </w:r>
      <w:proofErr w:type="spellStart"/>
      <w:r w:rsidRPr="00EA492A">
        <w:rPr>
          <w:rStyle w:val="Emphasis"/>
          <w:rFonts w:ascii="Times New Roman" w:hAnsi="Times New Roman" w:cs="Times New Roman"/>
          <w:szCs w:val="22"/>
        </w:rPr>
        <w:t>Amblypharyngodon</w:t>
      </w:r>
      <w:proofErr w:type="spellEnd"/>
      <w:r w:rsidRPr="00EA492A">
        <w:rPr>
          <w:rStyle w:val="Emphasis"/>
          <w:rFonts w:ascii="Times New Roman" w:hAnsi="Times New Roman" w:cs="Times New Roman"/>
          <w:szCs w:val="22"/>
        </w:rPr>
        <w:t xml:space="preserve"> mola (Hamilton, 1822)?</w:t>
      </w:r>
      <w:r w:rsidRPr="00EA492A">
        <w:rPr>
          <w:rFonts w:ascii="Times New Roman" w:hAnsi="Times New Roman" w:cs="Times New Roman"/>
          <w:szCs w:val="22"/>
        </w:rPr>
        <w:t xml:space="preserve"> </w:t>
      </w:r>
      <w:r w:rsidRPr="00EA492A">
        <w:rPr>
          <w:rStyle w:val="Strong"/>
          <w:rFonts w:ascii="Times New Roman" w:hAnsi="Times New Roman" w:cs="Times New Roman"/>
          <w:szCs w:val="22"/>
        </w:rPr>
        <w:t>Animal Reproduction Science, 264</w:t>
      </w:r>
      <w:r w:rsidRPr="00EA492A">
        <w:rPr>
          <w:rFonts w:ascii="Times New Roman" w:hAnsi="Times New Roman" w:cs="Times New Roman"/>
          <w:szCs w:val="22"/>
        </w:rPr>
        <w:t xml:space="preserve">, 107473. </w:t>
      </w:r>
      <w:hyperlink r:id="rId10" w:history="1">
        <w:r w:rsidRPr="00EA492A">
          <w:rPr>
            <w:rStyle w:val="Hyperlink"/>
            <w:rFonts w:ascii="Times New Roman" w:hAnsi="Times New Roman" w:cs="Times New Roman"/>
            <w:szCs w:val="22"/>
          </w:rPr>
          <w:t>https://doi.org/10.1016/j.anireprosci.2024.107473</w:t>
        </w:r>
      </w:hyperlink>
      <w:r w:rsidRPr="00EA492A">
        <w:rPr>
          <w:rFonts w:ascii="Times New Roman" w:hAnsi="Times New Roman" w:cs="Times New Roman"/>
          <w:szCs w:val="22"/>
        </w:rPr>
        <w:t>.</w:t>
      </w:r>
    </w:p>
    <w:p w14:paraId="57FF81D0" w14:textId="77777777" w:rsidR="00F2501A" w:rsidRPr="00EA492A" w:rsidRDefault="00F2501A" w:rsidP="00F2501A">
      <w:pPr>
        <w:pStyle w:val="ListParagraph"/>
        <w:numPr>
          <w:ilvl w:val="0"/>
          <w:numId w:val="1"/>
        </w:numPr>
        <w:rPr>
          <w:rFonts w:ascii="Times New Roman" w:hAnsi="Times New Roman" w:cs="Times New Roman"/>
          <w:szCs w:val="22"/>
        </w:rPr>
      </w:pPr>
      <w:proofErr w:type="spellStart"/>
      <w:r w:rsidRPr="00EA492A">
        <w:rPr>
          <w:rStyle w:val="Strong"/>
          <w:rFonts w:ascii="Times New Roman" w:hAnsi="Times New Roman" w:cs="Times New Roman"/>
          <w:szCs w:val="22"/>
        </w:rPr>
        <w:t>Bagenal</w:t>
      </w:r>
      <w:proofErr w:type="spellEnd"/>
      <w:r w:rsidRPr="00EA492A">
        <w:rPr>
          <w:rStyle w:val="Strong"/>
          <w:rFonts w:ascii="Times New Roman" w:hAnsi="Times New Roman" w:cs="Times New Roman"/>
          <w:szCs w:val="22"/>
        </w:rPr>
        <w:t xml:space="preserve"> and Braum (1978):</w:t>
      </w:r>
      <w:r w:rsidRPr="00EA492A">
        <w:rPr>
          <w:rFonts w:ascii="Times New Roman" w:hAnsi="Times New Roman" w:cs="Times New Roman"/>
          <w:szCs w:val="22"/>
        </w:rPr>
        <w:br/>
      </w:r>
      <w:proofErr w:type="spellStart"/>
      <w:r w:rsidRPr="00EA492A">
        <w:rPr>
          <w:rFonts w:ascii="Times New Roman" w:hAnsi="Times New Roman" w:cs="Times New Roman"/>
          <w:szCs w:val="22"/>
        </w:rPr>
        <w:t>Bagenal</w:t>
      </w:r>
      <w:proofErr w:type="spellEnd"/>
      <w:r w:rsidRPr="00EA492A">
        <w:rPr>
          <w:rFonts w:ascii="Times New Roman" w:hAnsi="Times New Roman" w:cs="Times New Roman"/>
          <w:szCs w:val="22"/>
        </w:rPr>
        <w:t xml:space="preserve">, T. B., &amp; Braum, E. (1978). </w:t>
      </w:r>
      <w:r w:rsidRPr="00EA492A">
        <w:rPr>
          <w:rStyle w:val="Emphasis"/>
          <w:rFonts w:ascii="Times New Roman" w:hAnsi="Times New Roman" w:cs="Times New Roman"/>
          <w:szCs w:val="22"/>
        </w:rPr>
        <w:t>Eggs and early life history</w:t>
      </w:r>
      <w:r w:rsidRPr="00EA492A">
        <w:rPr>
          <w:rFonts w:ascii="Times New Roman" w:hAnsi="Times New Roman" w:cs="Times New Roman"/>
          <w:szCs w:val="22"/>
        </w:rPr>
        <w:t xml:space="preserve">. In T. B. </w:t>
      </w:r>
      <w:proofErr w:type="spellStart"/>
      <w:r w:rsidRPr="00EA492A">
        <w:rPr>
          <w:rFonts w:ascii="Times New Roman" w:hAnsi="Times New Roman" w:cs="Times New Roman"/>
          <w:szCs w:val="22"/>
        </w:rPr>
        <w:t>Bagenal</w:t>
      </w:r>
      <w:proofErr w:type="spellEnd"/>
      <w:r w:rsidRPr="00EA492A">
        <w:rPr>
          <w:rFonts w:ascii="Times New Roman" w:hAnsi="Times New Roman" w:cs="Times New Roman"/>
          <w:szCs w:val="22"/>
        </w:rPr>
        <w:t xml:space="preserve"> (Ed.), </w:t>
      </w:r>
      <w:r w:rsidRPr="00EA492A">
        <w:rPr>
          <w:rStyle w:val="Strong"/>
          <w:rFonts w:ascii="Times New Roman" w:hAnsi="Times New Roman" w:cs="Times New Roman"/>
          <w:szCs w:val="22"/>
        </w:rPr>
        <w:t>Methods for Assessment of Fish Production in Fresh Waters</w:t>
      </w:r>
      <w:r w:rsidRPr="00EA492A">
        <w:rPr>
          <w:rFonts w:ascii="Times New Roman" w:hAnsi="Times New Roman" w:cs="Times New Roman"/>
          <w:szCs w:val="22"/>
        </w:rPr>
        <w:t xml:space="preserve"> (3rd ed., pp. 165–201). Blackwell Scientific Publications.</w:t>
      </w:r>
    </w:p>
    <w:p w14:paraId="0023FC08"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Fonts w:ascii="Times New Roman" w:hAnsi="Times New Roman" w:cs="Times New Roman"/>
          <w:szCs w:val="22"/>
        </w:rPr>
        <w:t xml:space="preserve">Murua, H., Kraus, G., Saborido-Rey, F., </w:t>
      </w:r>
      <w:proofErr w:type="spellStart"/>
      <w:r w:rsidRPr="00EA492A">
        <w:rPr>
          <w:rFonts w:ascii="Times New Roman" w:hAnsi="Times New Roman" w:cs="Times New Roman"/>
          <w:szCs w:val="22"/>
        </w:rPr>
        <w:t>Witthames</w:t>
      </w:r>
      <w:proofErr w:type="spellEnd"/>
      <w:r w:rsidRPr="00EA492A">
        <w:rPr>
          <w:rFonts w:ascii="Times New Roman" w:hAnsi="Times New Roman" w:cs="Times New Roman"/>
          <w:szCs w:val="22"/>
        </w:rPr>
        <w:t xml:space="preserve">, P. R., Thorsen, A., &amp; Junquera, S. (2003). Procedures to estimate fecundity of marine fish species in relation to their reproductive strategy. </w:t>
      </w:r>
      <w:r w:rsidRPr="00EA492A">
        <w:rPr>
          <w:rStyle w:val="Strong"/>
          <w:rFonts w:ascii="Times New Roman" w:hAnsi="Times New Roman" w:cs="Times New Roman"/>
          <w:szCs w:val="22"/>
        </w:rPr>
        <w:t>Journal of Northwest Atlantic Fishery Science, 33</w:t>
      </w:r>
      <w:r w:rsidRPr="00EA492A">
        <w:rPr>
          <w:rFonts w:ascii="Times New Roman" w:hAnsi="Times New Roman" w:cs="Times New Roman"/>
          <w:szCs w:val="22"/>
        </w:rPr>
        <w:t>, 33–54.</w:t>
      </w:r>
    </w:p>
    <w:p w14:paraId="7F886EDB"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Style w:val="Strong"/>
          <w:rFonts w:ascii="Times New Roman" w:hAnsi="Times New Roman" w:cs="Times New Roman"/>
          <w:szCs w:val="22"/>
        </w:rPr>
        <w:t>Nikolsky (1963):</w:t>
      </w:r>
      <w:r w:rsidRPr="00EA492A">
        <w:rPr>
          <w:rFonts w:ascii="Times New Roman" w:hAnsi="Times New Roman" w:cs="Times New Roman"/>
          <w:szCs w:val="22"/>
        </w:rPr>
        <w:br/>
        <w:t xml:space="preserve">Nikolsky, G. V. (1963). </w:t>
      </w:r>
      <w:r w:rsidRPr="00EA492A">
        <w:rPr>
          <w:rStyle w:val="Emphasis"/>
          <w:rFonts w:ascii="Times New Roman" w:hAnsi="Times New Roman" w:cs="Times New Roman"/>
          <w:szCs w:val="22"/>
        </w:rPr>
        <w:t>The ecology of fishes</w:t>
      </w:r>
      <w:r w:rsidRPr="00EA492A">
        <w:rPr>
          <w:rFonts w:ascii="Times New Roman" w:hAnsi="Times New Roman" w:cs="Times New Roman"/>
          <w:szCs w:val="22"/>
        </w:rPr>
        <w:t>. Academic Press.</w:t>
      </w:r>
    </w:p>
    <w:p w14:paraId="3011D15B"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Style w:val="Strong"/>
          <w:rFonts w:ascii="Times New Roman" w:hAnsi="Times New Roman" w:cs="Times New Roman"/>
          <w:szCs w:val="22"/>
        </w:rPr>
        <w:t>Wootton (1990):</w:t>
      </w:r>
      <w:r w:rsidRPr="00EA492A">
        <w:rPr>
          <w:rFonts w:ascii="Times New Roman" w:hAnsi="Times New Roman" w:cs="Times New Roman"/>
          <w:szCs w:val="22"/>
        </w:rPr>
        <w:br/>
        <w:t xml:space="preserve">Wootton, R. J. (1990). </w:t>
      </w:r>
      <w:r w:rsidRPr="00EA492A">
        <w:rPr>
          <w:rStyle w:val="Emphasis"/>
          <w:rFonts w:ascii="Times New Roman" w:hAnsi="Times New Roman" w:cs="Times New Roman"/>
          <w:szCs w:val="22"/>
        </w:rPr>
        <w:t>Ecology of teleost fishes</w:t>
      </w:r>
      <w:r w:rsidRPr="00EA492A">
        <w:rPr>
          <w:rFonts w:ascii="Times New Roman" w:hAnsi="Times New Roman" w:cs="Times New Roman"/>
          <w:szCs w:val="22"/>
        </w:rPr>
        <w:t>. Chapman &amp; Hall.</w:t>
      </w:r>
    </w:p>
    <w:p w14:paraId="3699536C"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Fonts w:ascii="Times New Roman" w:hAnsi="Times New Roman" w:cs="Times New Roman"/>
          <w:szCs w:val="22"/>
        </w:rPr>
        <w:t xml:space="preserve">Lagler, K. F. (1956). </w:t>
      </w:r>
      <w:r w:rsidRPr="00EA492A">
        <w:rPr>
          <w:rStyle w:val="Emphasis"/>
          <w:rFonts w:ascii="Times New Roman" w:hAnsi="Times New Roman" w:cs="Times New Roman"/>
          <w:szCs w:val="22"/>
        </w:rPr>
        <w:t>Freshwater fishery biology</w:t>
      </w:r>
      <w:r w:rsidRPr="00EA492A">
        <w:rPr>
          <w:rFonts w:ascii="Times New Roman" w:hAnsi="Times New Roman" w:cs="Times New Roman"/>
          <w:szCs w:val="22"/>
        </w:rPr>
        <w:t>. Wm. C. Brown Company.</w:t>
      </w:r>
    </w:p>
    <w:p w14:paraId="33221507"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Fonts w:ascii="Times New Roman" w:hAnsi="Times New Roman" w:cs="Times New Roman"/>
          <w:szCs w:val="22"/>
        </w:rPr>
        <w:t xml:space="preserve">Bithi, U. H., Hossain, M. A. R., &amp; Rahman, M. M. (2012). Studies on the fecundity and gonadosomatic index (GSI) of </w:t>
      </w:r>
      <w:r w:rsidRPr="00EA492A">
        <w:rPr>
          <w:rStyle w:val="Emphasis"/>
          <w:rFonts w:ascii="Times New Roman" w:hAnsi="Times New Roman" w:cs="Times New Roman"/>
          <w:szCs w:val="22"/>
        </w:rPr>
        <w:t xml:space="preserve">Puntius </w:t>
      </w:r>
      <w:proofErr w:type="spellStart"/>
      <w:r w:rsidRPr="00EA492A">
        <w:rPr>
          <w:rStyle w:val="Emphasis"/>
          <w:rFonts w:ascii="Times New Roman" w:hAnsi="Times New Roman" w:cs="Times New Roman"/>
          <w:szCs w:val="22"/>
        </w:rPr>
        <w:t>sophore</w:t>
      </w:r>
      <w:proofErr w:type="spellEnd"/>
      <w:r w:rsidRPr="00EA492A">
        <w:rPr>
          <w:rFonts w:ascii="Times New Roman" w:hAnsi="Times New Roman" w:cs="Times New Roman"/>
          <w:szCs w:val="22"/>
        </w:rPr>
        <w:t xml:space="preserve"> (Hamilton, 1822). </w:t>
      </w:r>
      <w:r w:rsidRPr="00EA492A">
        <w:rPr>
          <w:rStyle w:val="Emphasis"/>
          <w:rFonts w:ascii="Times New Roman" w:hAnsi="Times New Roman" w:cs="Times New Roman"/>
          <w:szCs w:val="22"/>
        </w:rPr>
        <w:t>Journal of Fisheries and Aquatic Science, 7</w:t>
      </w:r>
      <w:r w:rsidRPr="00EA492A">
        <w:rPr>
          <w:rFonts w:ascii="Times New Roman" w:hAnsi="Times New Roman" w:cs="Times New Roman"/>
          <w:szCs w:val="22"/>
        </w:rPr>
        <w:t>(2), 138–145.</w:t>
      </w:r>
    </w:p>
    <w:p w14:paraId="3D8D6943" w14:textId="77777777" w:rsidR="00F2501A" w:rsidRPr="00EA492A" w:rsidRDefault="00F2501A" w:rsidP="00F2501A">
      <w:pPr>
        <w:pStyle w:val="ListParagraph"/>
        <w:numPr>
          <w:ilvl w:val="0"/>
          <w:numId w:val="1"/>
        </w:numPr>
        <w:rPr>
          <w:rFonts w:ascii="Times New Roman" w:hAnsi="Times New Roman" w:cs="Times New Roman"/>
          <w:szCs w:val="22"/>
        </w:rPr>
      </w:pPr>
      <w:proofErr w:type="spellStart"/>
      <w:r w:rsidRPr="00EA492A">
        <w:rPr>
          <w:rFonts w:ascii="Times New Roman" w:hAnsi="Times New Roman" w:cs="Times New Roman"/>
          <w:szCs w:val="22"/>
        </w:rPr>
        <w:t>Rafiquzzaman</w:t>
      </w:r>
      <w:proofErr w:type="spellEnd"/>
      <w:r w:rsidRPr="00EA492A">
        <w:rPr>
          <w:rFonts w:ascii="Times New Roman" w:hAnsi="Times New Roman" w:cs="Times New Roman"/>
          <w:szCs w:val="22"/>
        </w:rPr>
        <w:t xml:space="preserve">, S. M., Hossain, M. Y., Islam, M. A., Hossain, M. A., &amp; Rahman, M. M. (2018). Reproductive biology and fecundity of </w:t>
      </w:r>
      <w:r w:rsidRPr="00EA492A">
        <w:rPr>
          <w:rStyle w:val="Emphasis"/>
          <w:rFonts w:ascii="Times New Roman" w:hAnsi="Times New Roman" w:cs="Times New Roman"/>
          <w:szCs w:val="22"/>
        </w:rPr>
        <w:t xml:space="preserve">Puntius </w:t>
      </w:r>
      <w:proofErr w:type="spellStart"/>
      <w:r w:rsidRPr="00EA492A">
        <w:rPr>
          <w:rStyle w:val="Emphasis"/>
          <w:rFonts w:ascii="Times New Roman" w:hAnsi="Times New Roman" w:cs="Times New Roman"/>
          <w:szCs w:val="22"/>
        </w:rPr>
        <w:t>sophore</w:t>
      </w:r>
      <w:proofErr w:type="spellEnd"/>
      <w:r w:rsidRPr="00EA492A">
        <w:rPr>
          <w:rFonts w:ascii="Times New Roman" w:hAnsi="Times New Roman" w:cs="Times New Roman"/>
          <w:szCs w:val="22"/>
        </w:rPr>
        <w:t xml:space="preserve"> (Hamilton, 1822) from Bangladesh waters. </w:t>
      </w:r>
      <w:r w:rsidRPr="00EA492A">
        <w:rPr>
          <w:rStyle w:val="Emphasis"/>
          <w:rFonts w:ascii="Times New Roman" w:hAnsi="Times New Roman" w:cs="Times New Roman"/>
          <w:szCs w:val="22"/>
        </w:rPr>
        <w:t>Journal of Fisheries and Aquatic Science, 13</w:t>
      </w:r>
      <w:r w:rsidRPr="00EA492A">
        <w:rPr>
          <w:rFonts w:ascii="Times New Roman" w:hAnsi="Times New Roman" w:cs="Times New Roman"/>
          <w:szCs w:val="22"/>
        </w:rPr>
        <w:t>(2), 75–83.</w:t>
      </w:r>
    </w:p>
    <w:p w14:paraId="750C0042"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Style w:val="Strong"/>
          <w:rFonts w:ascii="Times New Roman" w:hAnsi="Times New Roman" w:cs="Times New Roman"/>
          <w:szCs w:val="22"/>
        </w:rPr>
        <w:t>Pianka (1970):</w:t>
      </w:r>
      <w:r w:rsidRPr="00EA492A">
        <w:rPr>
          <w:rFonts w:ascii="Times New Roman" w:hAnsi="Times New Roman" w:cs="Times New Roman"/>
          <w:szCs w:val="22"/>
        </w:rPr>
        <w:br/>
        <w:t xml:space="preserve">Pianka, E. R. (1970). On r- and K-selection. </w:t>
      </w:r>
      <w:r w:rsidRPr="00EA492A">
        <w:rPr>
          <w:rStyle w:val="Emphasis"/>
          <w:rFonts w:ascii="Times New Roman" w:hAnsi="Times New Roman" w:cs="Times New Roman"/>
          <w:szCs w:val="22"/>
        </w:rPr>
        <w:t>The American Naturalist, 104</w:t>
      </w:r>
      <w:r w:rsidRPr="00EA492A">
        <w:rPr>
          <w:rFonts w:ascii="Times New Roman" w:hAnsi="Times New Roman" w:cs="Times New Roman"/>
          <w:szCs w:val="22"/>
        </w:rPr>
        <w:t>(940), 592–597.</w:t>
      </w:r>
    </w:p>
    <w:p w14:paraId="6872EAC5" w14:textId="77777777" w:rsidR="00F2501A" w:rsidRPr="00EA492A" w:rsidRDefault="00F2501A" w:rsidP="00F2501A">
      <w:pPr>
        <w:pStyle w:val="NormalWeb"/>
        <w:numPr>
          <w:ilvl w:val="0"/>
          <w:numId w:val="1"/>
        </w:numPr>
        <w:rPr>
          <w:sz w:val="22"/>
          <w:szCs w:val="22"/>
        </w:rPr>
      </w:pPr>
      <w:r w:rsidRPr="00EA492A">
        <w:rPr>
          <w:rStyle w:val="Strong"/>
          <w:rFonts w:eastAsiaTheme="majorEastAsia"/>
          <w:sz w:val="22"/>
          <w:szCs w:val="22"/>
        </w:rPr>
        <w:t>Nagendran and Shakuntala (1979):</w:t>
      </w:r>
      <w:r w:rsidRPr="00EA492A">
        <w:rPr>
          <w:sz w:val="22"/>
          <w:szCs w:val="22"/>
        </w:rPr>
        <w:br/>
        <w:t xml:space="preserve">Nagendran, N. A., &amp; Shakuntala, K. (1979). Studies on the fecundity of </w:t>
      </w:r>
      <w:r w:rsidRPr="00EA492A">
        <w:rPr>
          <w:rStyle w:val="Emphasis"/>
          <w:rFonts w:eastAsiaTheme="majorEastAsia"/>
          <w:sz w:val="22"/>
          <w:szCs w:val="22"/>
        </w:rPr>
        <w:t xml:space="preserve">Rasbora </w:t>
      </w:r>
      <w:proofErr w:type="spellStart"/>
      <w:r w:rsidRPr="00EA492A">
        <w:rPr>
          <w:rStyle w:val="Emphasis"/>
          <w:rFonts w:eastAsiaTheme="majorEastAsia"/>
          <w:sz w:val="22"/>
          <w:szCs w:val="22"/>
        </w:rPr>
        <w:t>daniconius</w:t>
      </w:r>
      <w:proofErr w:type="spellEnd"/>
      <w:r w:rsidRPr="00EA492A">
        <w:rPr>
          <w:sz w:val="22"/>
          <w:szCs w:val="22"/>
        </w:rPr>
        <w:t xml:space="preserve"> (Hamilton). </w:t>
      </w:r>
      <w:r w:rsidRPr="00EA492A">
        <w:rPr>
          <w:rStyle w:val="Emphasis"/>
          <w:rFonts w:eastAsiaTheme="majorEastAsia"/>
          <w:sz w:val="22"/>
          <w:szCs w:val="22"/>
        </w:rPr>
        <w:t>Matsya, 5</w:t>
      </w:r>
      <w:r w:rsidRPr="00EA492A">
        <w:rPr>
          <w:sz w:val="22"/>
          <w:szCs w:val="22"/>
        </w:rPr>
        <w:t>, 45–50.</w:t>
      </w:r>
    </w:p>
    <w:p w14:paraId="1BA57F14" w14:textId="77777777" w:rsidR="00F2501A" w:rsidRPr="00EA492A" w:rsidRDefault="00F2501A" w:rsidP="00F2501A">
      <w:pPr>
        <w:pStyle w:val="ListParagraph"/>
        <w:numPr>
          <w:ilvl w:val="0"/>
          <w:numId w:val="1"/>
        </w:numPr>
        <w:rPr>
          <w:rFonts w:ascii="Times New Roman" w:hAnsi="Times New Roman" w:cs="Times New Roman"/>
          <w:szCs w:val="22"/>
        </w:rPr>
      </w:pPr>
      <w:r w:rsidRPr="00EA492A">
        <w:rPr>
          <w:rFonts w:ascii="Times New Roman" w:hAnsi="Times New Roman" w:cs="Times New Roman"/>
          <w:szCs w:val="22"/>
        </w:rPr>
        <w:t xml:space="preserve">Paul, S., and Sarmah, S.K. (2011). </w:t>
      </w:r>
      <w:r w:rsidRPr="00EA492A">
        <w:rPr>
          <w:rStyle w:val="Emphasis"/>
          <w:rFonts w:ascii="Times New Roman" w:hAnsi="Times New Roman" w:cs="Times New Roman"/>
          <w:szCs w:val="22"/>
        </w:rPr>
        <w:t xml:space="preserve">Mass propagation of ornamental fish species in North Eastern India – A case study on Nandus </w:t>
      </w:r>
      <w:proofErr w:type="spellStart"/>
      <w:r w:rsidRPr="00EA492A">
        <w:rPr>
          <w:rStyle w:val="Emphasis"/>
          <w:rFonts w:ascii="Times New Roman" w:hAnsi="Times New Roman" w:cs="Times New Roman"/>
          <w:szCs w:val="22"/>
        </w:rPr>
        <w:t>nandus</w:t>
      </w:r>
      <w:proofErr w:type="spellEnd"/>
      <w:r w:rsidRPr="00EA492A">
        <w:rPr>
          <w:rStyle w:val="Emphasis"/>
          <w:rFonts w:ascii="Times New Roman" w:hAnsi="Times New Roman" w:cs="Times New Roman"/>
          <w:szCs w:val="22"/>
        </w:rPr>
        <w:t>.</w:t>
      </w:r>
      <w:r w:rsidRPr="00EA492A">
        <w:rPr>
          <w:rFonts w:ascii="Times New Roman" w:hAnsi="Times New Roman" w:cs="Times New Roman"/>
          <w:szCs w:val="22"/>
        </w:rPr>
        <w:t xml:space="preserve"> Journal of Inland Fisheries Society of India, 43(1): 107–110.</w:t>
      </w:r>
    </w:p>
    <w:p w14:paraId="3708F13E" w14:textId="77777777" w:rsidR="00F2501A" w:rsidRPr="00EA492A" w:rsidRDefault="00F2501A" w:rsidP="008B197F">
      <w:pPr>
        <w:rPr>
          <w:rFonts w:ascii="Times New Roman" w:hAnsi="Times New Roman" w:cs="Times New Roman"/>
          <w:szCs w:val="22"/>
        </w:rPr>
      </w:pPr>
    </w:p>
    <w:p w14:paraId="6D1B9C3B" w14:textId="77777777" w:rsidR="00630AA3" w:rsidRPr="00EA492A" w:rsidRDefault="00630AA3" w:rsidP="00252A43">
      <w:pPr>
        <w:jc w:val="both"/>
        <w:rPr>
          <w:rFonts w:ascii="Times New Roman" w:hAnsi="Times New Roman" w:cs="Times New Roman"/>
          <w:szCs w:val="22"/>
        </w:rPr>
      </w:pPr>
    </w:p>
    <w:p w14:paraId="574572ED" w14:textId="77777777" w:rsidR="00DE06AF" w:rsidRPr="00EA492A" w:rsidRDefault="00DE06AF">
      <w:pPr>
        <w:rPr>
          <w:rFonts w:ascii="Times New Roman" w:hAnsi="Times New Roman" w:cs="Times New Roman"/>
          <w:szCs w:val="22"/>
        </w:rPr>
      </w:pPr>
    </w:p>
    <w:p w14:paraId="1E56D2BB" w14:textId="77777777" w:rsidR="0067758E" w:rsidRPr="00EA492A" w:rsidRDefault="00D15D7D">
      <w:r w:rsidRPr="00EA492A">
        <w:t>de Vlaming, V., Grossman, G., &amp; Chapman, F. (1982). On the use of the gonosomatic index. Comparative Biochemistry and Physiology Part A: Physiology, 73(1), 31-39. https://doi.org/10.1016/0300-9629(82)90088-3</w:t>
      </w:r>
    </w:p>
    <w:p w14:paraId="03DF013E" w14:textId="77777777" w:rsidR="0067758E" w:rsidRPr="00EA492A" w:rsidRDefault="00D15D7D">
      <w:r w:rsidRPr="00EA492A">
        <w:t>Flores, A., Wiff, R., Ganias, K., &amp; Marshall, C. T. (2019). Accuracy of gonadosomatic index in maturity classification and estimation of maturity ogive. Fisheries Research, 210, 50-62. https://doi.org/10.1016/j.fishres.2018.10.009</w:t>
      </w:r>
    </w:p>
    <w:p w14:paraId="1D3F4892" w14:textId="77777777" w:rsidR="0067758E" w:rsidRPr="00EA492A" w:rsidRDefault="00D15D7D">
      <w:r w:rsidRPr="00EA492A">
        <w:t>Hasan, T., Hossain, M. F., Mamun, M., Alam, M. J., Salam, M. A., &amp; Rafiquzzaman, S. M. (2018). Reproductive biology of Puntius sophore in Bangladesh. Fishes, 3(2), 22. https://doi.org/10.3390/fishes3020022</w:t>
      </w:r>
    </w:p>
    <w:p w14:paraId="1FCFC07D" w14:textId="77777777" w:rsidR="0067758E" w:rsidRPr="00EA492A" w:rsidRDefault="00D15D7D">
      <w:r w:rsidRPr="00EA492A">
        <w:t>Hossain, M. Y., Rahman, M. M., Miranda, R., Leunda, P. M., Oscoz, J., Jewel, M. A. S., Naif, A., &amp; Ohtomi, J. (2012). Size at first sexual maturity, fecundity, length-weight and length-length relationships of Puntius sophore (Cyprinidae) in Bangladeshi waters. Journal of Applied Ichthyology, 28(5), 818-822. https://doi.org/10.1111/j.1439-0426.2012.02020.x</w:t>
      </w:r>
    </w:p>
    <w:p w14:paraId="00183EC6" w14:textId="77777777" w:rsidR="0067758E" w:rsidRPr="00EA492A" w:rsidRDefault="00D15D7D">
      <w:r w:rsidRPr="00EA492A">
        <w:t>Nagendran, R., Shakuntala, K., Natarajan, G. N., &amp; Vasan, H. R. K. (1981). Observations on the fecundity of the cyprinid Rasbora daniconius (Hamilton). Proceedings: Animal Sciences, 90, 381-388. https://doi.org/10.1007/BF03186016</w:t>
      </w:r>
    </w:p>
    <w:p w14:paraId="3D2CF0B8" w14:textId="77777777" w:rsidR="0067758E" w:rsidRPr="00EA492A" w:rsidRDefault="00D15D7D">
      <w:r w:rsidRPr="00EA492A">
        <w:t>Somarakis, S., Ganias, K., Tserpes, G., &amp; Koutsikopoulos, C. (2004). Ovarian allometry and the use of the gonosomatic index: A case study in the Mediterranean sardine, Sardina pilchardus. Marine Biology, 146, 181-189. https://doi.org/10.1007/s00227-004-1419-2</w:t>
      </w:r>
    </w:p>
    <w:p w14:paraId="001BA4EE" w14:textId="77777777" w:rsidR="0067758E" w:rsidRDefault="00D15D7D">
      <w:r w:rsidRPr="00EA492A">
        <w:t>West, G. (1990). Methods of assessing ovarian development in fishes: A review. Australian Journal of Marine and Freshwater Research, 41(2), 199-222. https://doi.org/10.1071/MF9900199</w:t>
      </w:r>
    </w:p>
    <w:sectPr w:rsidR="0067758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BD7A" w14:textId="77777777" w:rsidR="00B37200" w:rsidRDefault="00B37200" w:rsidP="003D1842">
      <w:pPr>
        <w:spacing w:after="0" w:line="240" w:lineRule="auto"/>
      </w:pPr>
      <w:r>
        <w:separator/>
      </w:r>
    </w:p>
  </w:endnote>
  <w:endnote w:type="continuationSeparator" w:id="0">
    <w:p w14:paraId="0897350E" w14:textId="77777777" w:rsidR="00B37200" w:rsidRDefault="00B37200" w:rsidP="003D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A5C6" w14:textId="77777777" w:rsidR="003D1842" w:rsidRDefault="003D1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78A0" w14:textId="77777777" w:rsidR="003D1842" w:rsidRDefault="003D1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3CE9" w14:textId="77777777" w:rsidR="003D1842" w:rsidRDefault="003D1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E490" w14:textId="77777777" w:rsidR="00B37200" w:rsidRDefault="00B37200" w:rsidP="003D1842">
      <w:pPr>
        <w:spacing w:after="0" w:line="240" w:lineRule="auto"/>
      </w:pPr>
      <w:r>
        <w:separator/>
      </w:r>
    </w:p>
  </w:footnote>
  <w:footnote w:type="continuationSeparator" w:id="0">
    <w:p w14:paraId="4C29CD39" w14:textId="77777777" w:rsidR="00B37200" w:rsidRDefault="00B37200" w:rsidP="003D1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CB3" w14:textId="02FC2642" w:rsidR="003D1842" w:rsidRDefault="003D1842">
    <w:pPr>
      <w:pStyle w:val="Header"/>
    </w:pPr>
    <w:r>
      <w:rPr>
        <w:noProof/>
      </w:rPr>
      <w:pict w14:anchorId="65DDA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38DB" w14:textId="65AB0458" w:rsidR="003D1842" w:rsidRDefault="003D1842">
    <w:pPr>
      <w:pStyle w:val="Header"/>
    </w:pPr>
    <w:r>
      <w:rPr>
        <w:noProof/>
      </w:rPr>
      <w:pict w14:anchorId="373AC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C949" w14:textId="349EC163" w:rsidR="003D1842" w:rsidRDefault="003D1842">
    <w:pPr>
      <w:pStyle w:val="Header"/>
    </w:pPr>
    <w:r>
      <w:rPr>
        <w:noProof/>
      </w:rPr>
      <w:pict w14:anchorId="3E6B47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4866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85E4FAF"/>
    <w:multiLevelType w:val="hybridMultilevel"/>
    <w:tmpl w:val="62BE6D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40987645">
    <w:abstractNumId w:val="1"/>
  </w:num>
  <w:num w:numId="2" w16cid:durableId="39898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6AF"/>
    <w:rsid w:val="000F5C25"/>
    <w:rsid w:val="00104053"/>
    <w:rsid w:val="00171E32"/>
    <w:rsid w:val="001748E8"/>
    <w:rsid w:val="001935AD"/>
    <w:rsid w:val="001A3F25"/>
    <w:rsid w:val="00221D19"/>
    <w:rsid w:val="00252A43"/>
    <w:rsid w:val="00254E39"/>
    <w:rsid w:val="002F51CD"/>
    <w:rsid w:val="00304B0C"/>
    <w:rsid w:val="00357B76"/>
    <w:rsid w:val="003A55F8"/>
    <w:rsid w:val="003D1842"/>
    <w:rsid w:val="00402E6C"/>
    <w:rsid w:val="004245EB"/>
    <w:rsid w:val="00590AEA"/>
    <w:rsid w:val="005B2C34"/>
    <w:rsid w:val="005D4694"/>
    <w:rsid w:val="00630AA3"/>
    <w:rsid w:val="00632EB4"/>
    <w:rsid w:val="00657727"/>
    <w:rsid w:val="00661D69"/>
    <w:rsid w:val="0067758E"/>
    <w:rsid w:val="006C1619"/>
    <w:rsid w:val="006E423B"/>
    <w:rsid w:val="007345E1"/>
    <w:rsid w:val="00756522"/>
    <w:rsid w:val="007C0596"/>
    <w:rsid w:val="00874691"/>
    <w:rsid w:val="00887754"/>
    <w:rsid w:val="008B197F"/>
    <w:rsid w:val="008D04F6"/>
    <w:rsid w:val="009A3793"/>
    <w:rsid w:val="00A2415A"/>
    <w:rsid w:val="00A53C59"/>
    <w:rsid w:val="00A75486"/>
    <w:rsid w:val="00A83C1D"/>
    <w:rsid w:val="00AF0F5C"/>
    <w:rsid w:val="00B028B2"/>
    <w:rsid w:val="00B37200"/>
    <w:rsid w:val="00B56DD5"/>
    <w:rsid w:val="00BB72D0"/>
    <w:rsid w:val="00BC7A93"/>
    <w:rsid w:val="00C73FCF"/>
    <w:rsid w:val="00CA3C29"/>
    <w:rsid w:val="00CD44DC"/>
    <w:rsid w:val="00CD5C91"/>
    <w:rsid w:val="00D15D7D"/>
    <w:rsid w:val="00D706CB"/>
    <w:rsid w:val="00D8381B"/>
    <w:rsid w:val="00DE06AF"/>
    <w:rsid w:val="00E5562E"/>
    <w:rsid w:val="00E6578D"/>
    <w:rsid w:val="00EA492A"/>
    <w:rsid w:val="00EB568B"/>
    <w:rsid w:val="00F2501A"/>
    <w:rsid w:val="00F50B8B"/>
    <w:rsid w:val="00F72B79"/>
    <w:rsid w:val="00F774C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F193B"/>
  <w15:docId w15:val="{D0A70A73-4356-4788-A37F-F759AF3C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B197F"/>
    <w:pPr>
      <w:keepNext/>
      <w:keepLines/>
      <w:spacing w:before="360" w:after="240" w:line="360" w:lineRule="auto"/>
      <w:jc w:val="both"/>
      <w:outlineLvl w:val="1"/>
    </w:pPr>
    <w:rPr>
      <w:rFonts w:asciiTheme="majorHAnsi" w:eastAsiaTheme="majorEastAsia" w:hAnsiTheme="majorHAnsi" w:cstheme="majorBidi"/>
      <w:b/>
      <w:bCs/>
      <w:color w:val="000000"/>
      <w:sz w:val="28"/>
      <w:szCs w:val="26"/>
      <w:lang w:val="en-US" w:bidi="ar-SA"/>
    </w:rPr>
  </w:style>
  <w:style w:type="paragraph" w:styleId="Heading3">
    <w:name w:val="heading 3"/>
    <w:basedOn w:val="Normal"/>
    <w:next w:val="Normal"/>
    <w:link w:val="Heading3Char"/>
    <w:uiPriority w:val="9"/>
    <w:unhideWhenUsed/>
    <w:qFormat/>
    <w:rsid w:val="008B197F"/>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hitespace-normal">
    <w:name w:val="whitespace-normal"/>
    <w:basedOn w:val="DefaultParagraphFont"/>
    <w:rsid w:val="00DE06AF"/>
  </w:style>
  <w:style w:type="character" w:customStyle="1" w:styleId="Heading2Char">
    <w:name w:val="Heading 2 Char"/>
    <w:basedOn w:val="DefaultParagraphFont"/>
    <w:link w:val="Heading2"/>
    <w:uiPriority w:val="9"/>
    <w:rsid w:val="008B197F"/>
    <w:rPr>
      <w:rFonts w:asciiTheme="majorHAnsi" w:eastAsiaTheme="majorEastAsia" w:hAnsiTheme="majorHAnsi" w:cstheme="majorBidi"/>
      <w:b/>
      <w:bCs/>
      <w:color w:val="000000"/>
      <w:sz w:val="28"/>
      <w:szCs w:val="26"/>
      <w:lang w:val="en-US" w:bidi="ar-SA"/>
    </w:rPr>
  </w:style>
  <w:style w:type="character" w:customStyle="1" w:styleId="Heading3Char">
    <w:name w:val="Heading 3 Char"/>
    <w:basedOn w:val="DefaultParagraphFont"/>
    <w:link w:val="Heading3"/>
    <w:uiPriority w:val="9"/>
    <w:rsid w:val="008B197F"/>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8B197F"/>
    <w:pPr>
      <w:spacing w:after="0" w:line="240" w:lineRule="auto"/>
    </w:pPr>
    <w:rPr>
      <w:rFonts w:eastAsiaTheme="minorEastAsia"/>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97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B197F"/>
    <w:rPr>
      <w:rFonts w:ascii="Tahoma" w:hAnsi="Tahoma" w:cs="Mangal"/>
      <w:sz w:val="16"/>
      <w:szCs w:val="14"/>
    </w:rPr>
  </w:style>
  <w:style w:type="character" w:styleId="Emphasis">
    <w:name w:val="Emphasis"/>
    <w:basedOn w:val="DefaultParagraphFont"/>
    <w:uiPriority w:val="20"/>
    <w:qFormat/>
    <w:rsid w:val="00402E6C"/>
    <w:rPr>
      <w:i/>
      <w:iCs/>
    </w:rPr>
  </w:style>
  <w:style w:type="character" w:styleId="Strong">
    <w:name w:val="Strong"/>
    <w:basedOn w:val="DefaultParagraphFont"/>
    <w:uiPriority w:val="22"/>
    <w:qFormat/>
    <w:rsid w:val="00402E6C"/>
    <w:rPr>
      <w:b/>
      <w:bCs/>
    </w:rPr>
  </w:style>
  <w:style w:type="character" w:styleId="Hyperlink">
    <w:name w:val="Hyperlink"/>
    <w:basedOn w:val="DefaultParagraphFont"/>
    <w:uiPriority w:val="99"/>
    <w:unhideWhenUsed/>
    <w:rsid w:val="00402E6C"/>
    <w:rPr>
      <w:color w:val="0000FF" w:themeColor="hyperlink"/>
      <w:u w:val="single"/>
    </w:rPr>
  </w:style>
  <w:style w:type="paragraph" w:styleId="NormalWeb">
    <w:name w:val="Normal (Web)"/>
    <w:basedOn w:val="Normal"/>
    <w:uiPriority w:val="99"/>
    <w:semiHidden/>
    <w:unhideWhenUsed/>
    <w:rsid w:val="00F250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2501A"/>
    <w:pPr>
      <w:ind w:left="720"/>
      <w:contextualSpacing/>
    </w:pPr>
  </w:style>
  <w:style w:type="paragraph" w:styleId="ListBullet">
    <w:name w:val="List Bullet"/>
    <w:basedOn w:val="Normal"/>
    <w:uiPriority w:val="99"/>
    <w:unhideWhenUsed/>
    <w:rsid w:val="00590AEA"/>
    <w:pPr>
      <w:numPr>
        <w:numId w:val="2"/>
      </w:numPr>
      <w:spacing w:after="120" w:line="360" w:lineRule="auto"/>
      <w:contextualSpacing/>
      <w:jc w:val="both"/>
    </w:pPr>
    <w:rPr>
      <w:rFonts w:ascii="Times New Roman" w:eastAsiaTheme="minorEastAsia" w:hAnsi="Times New Roman"/>
      <w:sz w:val="24"/>
      <w:szCs w:val="22"/>
      <w:lang w:val="en-US" w:bidi="ar-SA"/>
    </w:rPr>
  </w:style>
  <w:style w:type="character" w:styleId="UnresolvedMention">
    <w:name w:val="Unresolved Mention"/>
    <w:basedOn w:val="DefaultParagraphFont"/>
    <w:uiPriority w:val="99"/>
    <w:semiHidden/>
    <w:unhideWhenUsed/>
    <w:rsid w:val="00A83C1D"/>
    <w:rPr>
      <w:color w:val="605E5C"/>
      <w:shd w:val="clear" w:color="auto" w:fill="E1DFDD"/>
    </w:rPr>
  </w:style>
  <w:style w:type="paragraph" w:styleId="Header">
    <w:name w:val="header"/>
    <w:basedOn w:val="Normal"/>
    <w:link w:val="HeaderChar"/>
    <w:uiPriority w:val="99"/>
    <w:unhideWhenUsed/>
    <w:rsid w:val="003D18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842"/>
  </w:style>
  <w:style w:type="paragraph" w:styleId="Footer">
    <w:name w:val="footer"/>
    <w:basedOn w:val="Normal"/>
    <w:link w:val="FooterChar"/>
    <w:uiPriority w:val="99"/>
    <w:unhideWhenUsed/>
    <w:rsid w:val="003D18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2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016/j.anireprosci.2024.10747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8</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SDI 1166</cp:lastModifiedBy>
  <cp:revision>51</cp:revision>
  <cp:lastPrinted>2026-05-07T08:40:00Z</cp:lastPrinted>
  <dcterms:created xsi:type="dcterms:W3CDTF">2026-05-01T06:54:00Z</dcterms:created>
  <dcterms:modified xsi:type="dcterms:W3CDTF">2026-07-03T09:46:00Z</dcterms:modified>
</cp:coreProperties>
</file>