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ECC1F" w14:textId="2E193F5E" w:rsidR="00203285" w:rsidRPr="00203285" w:rsidRDefault="00203285" w:rsidP="00C8757A">
      <w:pPr>
        <w:pStyle w:val="Heading1"/>
        <w:rPr>
          <w:u w:val="single"/>
        </w:rPr>
      </w:pPr>
      <w:r w:rsidRPr="00203285">
        <w:rPr>
          <w:u w:val="single"/>
        </w:rPr>
        <w:t>Review Article</w:t>
      </w:r>
    </w:p>
    <w:p w14:paraId="011AECFC" w14:textId="3F347B66" w:rsidR="00C8757A" w:rsidRDefault="00C8757A" w:rsidP="00C8757A">
      <w:pPr>
        <w:pStyle w:val="Heading1"/>
      </w:pPr>
      <w:r>
        <w:t>Impact of Climate Change on Metamorphosis and Reproduction of Arthropods: A Comprehensive Review</w:t>
      </w:r>
    </w:p>
    <w:p w14:paraId="0102381F" w14:textId="77777777" w:rsidR="00C8757A" w:rsidRDefault="00C8757A" w:rsidP="00C8757A">
      <w:pPr>
        <w:pStyle w:val="Heading3"/>
      </w:pPr>
    </w:p>
    <w:p w14:paraId="4D2FB60F" w14:textId="77777777" w:rsidR="00C8757A" w:rsidRDefault="00C8757A" w:rsidP="00C8757A">
      <w:pPr>
        <w:pStyle w:val="Heading3"/>
      </w:pPr>
      <w:r>
        <w:t>Abstract</w:t>
      </w:r>
    </w:p>
    <w:p w14:paraId="3A6836A6"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Arthropods constitute the most diverse animal phylum on Earth, and the majority of their species pass through a metamorphic life cycle in which temperature, moisture and photoperiod govern the timing of moulting, pupation and reproductive maturation. Anthropogenic climate change is altering each of these cues simultaneously, with consequences that extend from individual development to population persistence. This review synthesises evidence on how rising mean temperatures, more frequent heatwaves, shifting precipitation regimes and ocean warming and acidification affect metamorphic development, voltinism, diapause, body size, fecundity and sex allocation across insects, crustaceans, arachnids and myriapods. Warming generally accelerates larval and nymphal development up to a thermal optimum, beyond which performance declines sharply, producing smaller adults through the temperature–size rule, altered generation number, and disrupted synchrony between diapause induction and seasonal cues. Reproductive consequences include shifts in fecundity, mating phenology, sperm viability under heat stress and, in some taxa, skewed offspring sex ratios. Marine and freshwater crustaceans show parallel sensitivity of larval moulting and embryo development to warming and acidification, while terrestrial arthropods face compounding effects of drought and altered host-plant or prey phenology. The review identifies marked taxonomic and geographic unevenness in the evidence base, a shortage of multigenerational and multifactorial experiments, and limited integration between physiological and population-level models. Future research priorities include long-term field monitoring of voltinism shifts, experiments combining thermal and hydric stressors, and trait-based forecasting frameworks capable of informing conservation and pest management policy under projected warming scenarios.</w:t>
      </w:r>
    </w:p>
    <w:p w14:paraId="4B055DB0"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Keywords:</w:t>
      </w:r>
      <w:r w:rsidRPr="00C8757A">
        <w:rPr>
          <w:rFonts w:ascii="Times New Roman" w:eastAsia="Times New Roman" w:hAnsi="Times New Roman" w:cs="Times New Roman"/>
          <w:sz w:val="24"/>
          <w:szCs w:val="24"/>
          <w:lang w:eastAsia="en-GB"/>
        </w:rPr>
        <w:t xml:space="preserve"> climate change, arthropod metamorphosis, insect reproduction, voltinism, diapause, temperature–size rule, phenological mismatch</w:t>
      </w:r>
    </w:p>
    <w:p w14:paraId="27E80B8C"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0C0FAED6"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 Introduction</w:t>
      </w:r>
    </w:p>
    <w:p w14:paraId="50B30B54"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1.1 Arthropods as ectothermic indicators of environmental change</w:t>
      </w:r>
    </w:p>
    <w:p w14:paraId="7FC66935"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Arthropods, comprising insects, crustaceans, arachnids and myriapods, represent more than three-quarters of described animal species and underpin essential ecosystem functions including pollination, decomposition, nutrient cycling and the structuring of food webs (Harvey et al., 2023). Almost all arthropods are ectothermic: their body temperature, metabolic rate and developmental progression track ambient thermal conditions closely rather </w:t>
      </w:r>
      <w:r w:rsidRPr="00C8757A">
        <w:rPr>
          <w:rFonts w:ascii="Times New Roman" w:eastAsia="Times New Roman" w:hAnsi="Times New Roman" w:cs="Times New Roman"/>
          <w:sz w:val="24"/>
          <w:szCs w:val="24"/>
          <w:lang w:eastAsia="en-GB"/>
        </w:rPr>
        <w:lastRenderedPageBreak/>
        <w:t>than being internally regulated. This thermal dependence makes arthropods unusually sensitive recorders of environmental change, which is why their development, growth and reproduction are now widely used as early indicators of the biological consequences of a warming planet (Harvey et al., 2023).</w:t>
      </w:r>
    </w:p>
    <w:p w14:paraId="79BF1255"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1.2 Metamorphosis as a climate-sensitive developmental strategy</w:t>
      </w:r>
    </w:p>
    <w:p w14:paraId="322F3F4A"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Metamorphosis, the post-embryonic transformation between morphologically and ecologically distinct life stages, is central to arthropod success and takes several forms: the gradual nymphal development of hemimetabolous insects, the complete holometabolous transformation through larval and pupal stages, and the moult-based growth of crustaceans, arachnids and myriapods, in which an inextensible exoskeleton is periodically shed to permit further growth. Each transition is timed by an interaction of temperature, photoperiod, food availability and, in aquatic taxa, water chemistry. Developmental rate in ectotherms typically rises with temperature up to a species-specific optimum and then falls precipitously beyond it, so even modest shifts in mean or extreme temperature can compress or extend developmental windows, alter the number of moults completed, and change the size and condition of the resulting adult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w:t>
      </w:r>
    </w:p>
    <w:p w14:paraId="599BCFD3"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1.3 Reproduction as a climate-coupled life-history trait</w:t>
      </w:r>
    </w:p>
    <w:p w14:paraId="4980B89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Reproductive output in arthropods is tightly coupled to the conditions experienced during the preceding developmental stage. Adult body size, itself temperature dependent, frequently predicts fecundity, while the timing of adult emergence determines whether mating, oviposition and offspring development coincide with favourable resource windows. Climate-driven shifts in diapause induction, overwintering survival and voltinism (the number of generations completed per year) therefore feed directly into reproductive success at the population level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xml:space="preserve">, 2019). In species with environmentally cued offspring sex allocation, even small temperature anomalies can skew sex ratios, with consequences for effective population size (Lockley &amp; </w:t>
      </w:r>
      <w:proofErr w:type="spellStart"/>
      <w:r w:rsidRPr="00C8757A">
        <w:rPr>
          <w:rFonts w:ascii="Times New Roman" w:eastAsia="Times New Roman" w:hAnsi="Times New Roman" w:cs="Times New Roman"/>
          <w:sz w:val="24"/>
          <w:szCs w:val="24"/>
          <w:lang w:eastAsia="en-GB"/>
        </w:rPr>
        <w:t>Eizaguirre</w:t>
      </w:r>
      <w:proofErr w:type="spellEnd"/>
      <w:r w:rsidRPr="00C8757A">
        <w:rPr>
          <w:rFonts w:ascii="Times New Roman" w:eastAsia="Times New Roman" w:hAnsi="Times New Roman" w:cs="Times New Roman"/>
          <w:sz w:val="24"/>
          <w:szCs w:val="24"/>
          <w:lang w:eastAsia="en-GB"/>
        </w:rPr>
        <w:t>, 2021).</w:t>
      </w:r>
    </w:p>
    <w:p w14:paraId="6A36DBD0"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1.4 Why a review of this scope is needed</w:t>
      </w:r>
    </w:p>
    <w:p w14:paraId="559B9BA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Despite a substantial body of single-species and single-stressor experiments, no recent synthesis has drawn together evidence spanning terrestrial insects, freshwater and marine crustaceans, and arachnids to compare how climate variables act on metamorphosis and reproduction across these lineages. Existing reviews have tended to focus narrowly on agricultural pest insects (</w:t>
      </w: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 on pollinator phenology (Kudo &amp; Cooper, 2019), or on marine invertebrate larvae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leaving the broader arthropod picture fragmented. An integrative treatment is timely given the accumulation, over the past decade, of multigenerational laboratory studies, long-term phenological datasets and marine heatwave experiments that together permit comparison of response patterns across very different arthropod lineages.</w:t>
      </w:r>
    </w:p>
    <w:p w14:paraId="4DAFD88B"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1.5 Scope, research gap and objectives</w:t>
      </w:r>
    </w:p>
    <w:p w14:paraId="6E133C23"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This review covers literature on the effects of temperature, precipitation, ocean warming and ocean acidification on arthropod metamorphic development and reproductive performance, drawing on terrestrial, freshwater and marine taxa. It does not address the genetics of thermal adaptation in detail, nor does it cover arthropod-vectored disease transmission, both of which </w:t>
      </w:r>
      <w:r w:rsidRPr="00C8757A">
        <w:rPr>
          <w:rFonts w:ascii="Times New Roman" w:eastAsia="Times New Roman" w:hAnsi="Times New Roman" w:cs="Times New Roman"/>
          <w:sz w:val="24"/>
          <w:szCs w:val="24"/>
          <w:lang w:eastAsia="en-GB"/>
        </w:rPr>
        <w:lastRenderedPageBreak/>
        <w:t>fall outside its remit and have been reviewed elsewhere. The principal research gap addressed here is the absence of a cross-taxon synthesis linking metamorphic and reproductive responses to climate variables within a single conceptual framework, and the corresponding difficulty this creates for predicting which arthropod groups are most vulnerable to ongoing warming. The objectives of the review are threefold: first, to summarise the physiological and life-history mechanisms by which climate variables alter metamorphosis and reproduction in arthropods; second, to compare response patterns across terrestrial, freshwater and marine lineages; and third, to identify methodological gaps and priority directions for future research.</w:t>
      </w:r>
    </w:p>
    <w:p w14:paraId="72F6FD47"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085F82A9"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2. Methods for Literature Selection</w:t>
      </w:r>
    </w:p>
    <w:p w14:paraId="5324363B"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2.1 Search strategy and databases</w:t>
      </w:r>
    </w:p>
    <w:p w14:paraId="2F414F0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This review adopted a narrative rather than a systematic review design, reflecting the breadth of taxa, climate variables and disciplinary perspectives (physiology, ecology, entomology, fisheries science) that needed to be integrated into a coherent synthesis rather than answering a single, narrowly defined question. Narrative reviews are recognised as an appropriate format for providing broad, interpretative overviews of heterogeneous literature, where meta-analytic pooling of effect sizes across such different taxa and experimental designs would not be meaningful (</w:t>
      </w:r>
      <w:proofErr w:type="spellStart"/>
      <w:r w:rsidRPr="00C8757A">
        <w:rPr>
          <w:rFonts w:ascii="Times New Roman" w:eastAsia="Times New Roman" w:hAnsi="Times New Roman" w:cs="Times New Roman"/>
          <w:sz w:val="24"/>
          <w:szCs w:val="24"/>
          <w:lang w:eastAsia="en-GB"/>
        </w:rPr>
        <w:t>Baethge</w:t>
      </w:r>
      <w:proofErr w:type="spellEnd"/>
      <w:r w:rsidRPr="00C8757A">
        <w:rPr>
          <w:rFonts w:ascii="Times New Roman" w:eastAsia="Times New Roman" w:hAnsi="Times New Roman" w:cs="Times New Roman"/>
          <w:sz w:val="24"/>
          <w:szCs w:val="24"/>
          <w:lang w:eastAsia="en-GB"/>
        </w:rPr>
        <w:t xml:space="preserve"> et al., 2019). Systematic and narrative reviews are increasingly viewed as complementary rather than hierarchically ranked formats: systematic reviews suit narrowly focused questions, while narrative reviews are better placed to deepen interpretation and critique across a heterogeneous evidence base of the kind addressed here (Greenhalgh et al., 2018). The structure and reporting of this review followed the general principles set out in the Scale for the Assessment of Narrative Review Articles, which emphasises explicit justification of scope, transparent description of the literature search, and balanced presentation of evidence (</w:t>
      </w:r>
      <w:proofErr w:type="spellStart"/>
      <w:r w:rsidRPr="00C8757A">
        <w:rPr>
          <w:rFonts w:ascii="Times New Roman" w:eastAsia="Times New Roman" w:hAnsi="Times New Roman" w:cs="Times New Roman"/>
          <w:sz w:val="24"/>
          <w:szCs w:val="24"/>
          <w:lang w:eastAsia="en-GB"/>
        </w:rPr>
        <w:t>Baethge</w:t>
      </w:r>
      <w:proofErr w:type="spellEnd"/>
      <w:r w:rsidRPr="00C8757A">
        <w:rPr>
          <w:rFonts w:ascii="Times New Roman" w:eastAsia="Times New Roman" w:hAnsi="Times New Roman" w:cs="Times New Roman"/>
          <w:sz w:val="24"/>
          <w:szCs w:val="24"/>
          <w:lang w:eastAsia="en-GB"/>
        </w:rPr>
        <w:t xml:space="preserve"> et al., 2019).</w:t>
      </w:r>
    </w:p>
    <w:p w14:paraId="7782627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Literature searches were conducted in Web of Science, Scopus, Google Scholar and PubMed, supplemented by the field-specific indexing databases CAB Abstracts, BIOSIS Citation Index, Aquatic Sciences and Fisheries Abstracts (ASFA), Zoological Record and AGRICOLA, selected because they index entomological, crustacean and agricultural pest literature not always fully captured by the general databases.</w:t>
      </w:r>
    </w:p>
    <w:p w14:paraId="60093B29"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2.2 Search terms and date range</w:t>
      </w:r>
    </w:p>
    <w:p w14:paraId="5D2F8782"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Search strings combined arthropod taxon terms (insect*, crustacean*, arachnid*, myriapod*, arthropod*) with developmental and reproductive terms (metamorphosis, </w:t>
      </w:r>
      <w:proofErr w:type="spellStart"/>
      <w:r w:rsidRPr="00C8757A">
        <w:rPr>
          <w:rFonts w:ascii="Times New Roman" w:eastAsia="Times New Roman" w:hAnsi="Times New Roman" w:cs="Times New Roman"/>
          <w:sz w:val="24"/>
          <w:szCs w:val="24"/>
          <w:lang w:eastAsia="en-GB"/>
        </w:rPr>
        <w:t>larv</w:t>
      </w:r>
      <w:proofErr w:type="spellEnd"/>
      <w:r w:rsidRPr="00C8757A">
        <w:rPr>
          <w:rFonts w:ascii="Times New Roman" w:eastAsia="Times New Roman" w:hAnsi="Times New Roman" w:cs="Times New Roman"/>
          <w:sz w:val="24"/>
          <w:szCs w:val="24"/>
          <w:lang w:eastAsia="en-GB"/>
        </w:rPr>
        <w:t xml:space="preserve">*, pupa*, moult* OR </w:t>
      </w:r>
      <w:proofErr w:type="spellStart"/>
      <w:r w:rsidRPr="00C8757A">
        <w:rPr>
          <w:rFonts w:ascii="Times New Roman" w:eastAsia="Times New Roman" w:hAnsi="Times New Roman" w:cs="Times New Roman"/>
          <w:sz w:val="24"/>
          <w:szCs w:val="24"/>
          <w:lang w:eastAsia="en-GB"/>
        </w:rPr>
        <w:t>molt</w:t>
      </w:r>
      <w:proofErr w:type="spellEnd"/>
      <w:r w:rsidRPr="00C8757A">
        <w:rPr>
          <w:rFonts w:ascii="Times New Roman" w:eastAsia="Times New Roman" w:hAnsi="Times New Roman" w:cs="Times New Roman"/>
          <w:sz w:val="24"/>
          <w:szCs w:val="24"/>
          <w:lang w:eastAsia="en-GB"/>
        </w:rPr>
        <w:t xml:space="preserve">*, diapause, voltinism, fecundity, </w:t>
      </w:r>
      <w:proofErr w:type="spellStart"/>
      <w:r w:rsidRPr="00C8757A">
        <w:rPr>
          <w:rFonts w:ascii="Times New Roman" w:eastAsia="Times New Roman" w:hAnsi="Times New Roman" w:cs="Times New Roman"/>
          <w:sz w:val="24"/>
          <w:szCs w:val="24"/>
          <w:lang w:eastAsia="en-GB"/>
        </w:rPr>
        <w:t>reproduct</w:t>
      </w:r>
      <w:proofErr w:type="spellEnd"/>
      <w:r w:rsidRPr="00C8757A">
        <w:rPr>
          <w:rFonts w:ascii="Times New Roman" w:eastAsia="Times New Roman" w:hAnsi="Times New Roman" w:cs="Times New Roman"/>
          <w:sz w:val="24"/>
          <w:szCs w:val="24"/>
          <w:lang w:eastAsia="en-GB"/>
        </w:rPr>
        <w:t>*, sex ratio) and climate terms (climate change, global warming, temperature, ocean acidification, heatwave, drought, precipitation). Boolean combinations such as ("insect*" OR "crustacean*") AND ("metamorphosis" OR "diapause" OR "voltinism") AND ("climate change" OR "warming") were applied iteratively, narrowing or broadening terms depending on retrieval volume. The search covered material published between 1994 and 1 April 2026. The year 1994 was chosen as a practical starting point because it post-dates the foundational temperature–size rule literature and captures the period over which climate-impact research on arthropods has accumulated most substantially, while earlier classic papers establishing core physiological concepts were retained as supplementary citations where directly relevant.</w:t>
      </w:r>
    </w:p>
    <w:p w14:paraId="036E6A7C"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lastRenderedPageBreak/>
        <w:t>2.3 Inclusion and exclusion criteria</w:t>
      </w:r>
    </w:p>
    <w:p w14:paraId="3DF7CBDF"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Eligible sources were peer-reviewed primary research articles and reviews published in indexed scientific journals, reporting empirical, experimental or modelling evidence on the effects of temperature, precipitation, ocean warming or ocean acidification on arthropod metamorphosis, development, voltinism, diapause or reproduction. Authoritative institutional reports from bodies such as the Intergovernmental Panel on Climate Change, the Food and Agriculture Organization or equivalent agencies were eligible where they provided contextual climate projections, provided a verifiable uniform resource locator was available. Excluded sources comprised books, grey literature, conference proceedings, trade publications, preprints, patents and non-peer-reviewed material. Studies addressing arthropod-vectored disease epidemiology, genomic mechanisms of thermal adaptation in isolation from life-history outcomes, and studies on non-arthropod taxa were excluded unless cited briefly for comparative context.</w:t>
      </w:r>
    </w:p>
    <w:p w14:paraId="66550606"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2.4 Screening, duplicate handling and language restriction</w:t>
      </w:r>
    </w:p>
    <w:p w14:paraId="66D4F01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Search results retrieved from each database were combined and de-duplicated using reference-management software prior to title and abstract screening against the inclusion criteria above. Full texts of records passing this initial screen were then assessed for relevance to metamorphosis or reproduction specifically, rather than to climate effects on arthropods in general terms such as distribution shifts alone. Screening was restricted to English-language publications, a limitation acknowledged in Section 12. Influential or highly cited studies identified through citation tracking of retrieved articles were considered for inclusion even where they predated the primary search window, provided they remained directly relevant to the mechanisms under review.</w:t>
      </w:r>
    </w:p>
    <w:p w14:paraId="120C83DF"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2.5 Summary of search strategy</w:t>
      </w:r>
    </w:p>
    <w:p w14:paraId="052BB4B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overall search and screening process, including the databases consulted, the date range applied and the criteria used to admit or exclude sources, is summarised in Table 1.</w:t>
      </w:r>
    </w:p>
    <w:p w14:paraId="78C18F5F"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1.</w:t>
      </w:r>
      <w:r w:rsidRPr="00C8757A">
        <w:rPr>
          <w:rFonts w:ascii="Times New Roman" w:eastAsia="Times New Roman" w:hAnsi="Times New Roman" w:cs="Times New Roman"/>
          <w:sz w:val="24"/>
          <w:szCs w:val="24"/>
          <w:lang w:eastAsia="en-GB"/>
        </w:rPr>
        <w:t xml:space="preserve"> Summary of the literature search strategy applied in this review.</w:t>
      </w:r>
    </w:p>
    <w:tbl>
      <w:tblPr>
        <w:tblStyle w:val="TableGrid"/>
        <w:tblW w:w="0" w:type="auto"/>
        <w:tblLook w:val="04A0" w:firstRow="1" w:lastRow="0" w:firstColumn="1" w:lastColumn="0" w:noHBand="0" w:noVBand="1"/>
      </w:tblPr>
      <w:tblGrid>
        <w:gridCol w:w="1653"/>
        <w:gridCol w:w="7589"/>
      </w:tblGrid>
      <w:tr w:rsidR="00C8757A" w:rsidRPr="00C8757A" w14:paraId="52E33AEE" w14:textId="77777777" w:rsidTr="00C8757A">
        <w:tc>
          <w:tcPr>
            <w:tcW w:w="0" w:type="auto"/>
            <w:hideMark/>
          </w:tcPr>
          <w:p w14:paraId="34A6321D" w14:textId="77777777" w:rsidR="00C8757A" w:rsidRPr="00C8757A" w:rsidRDefault="00C8757A" w:rsidP="00C8757A">
            <w:pPr>
              <w:jc w:val="center"/>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Element</w:t>
            </w:r>
          </w:p>
        </w:tc>
        <w:tc>
          <w:tcPr>
            <w:tcW w:w="0" w:type="auto"/>
            <w:hideMark/>
          </w:tcPr>
          <w:p w14:paraId="66DD4D16" w14:textId="77777777" w:rsidR="00C8757A" w:rsidRPr="00C8757A" w:rsidRDefault="00C8757A" w:rsidP="00C8757A">
            <w:pPr>
              <w:jc w:val="center"/>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Specification</w:t>
            </w:r>
          </w:p>
        </w:tc>
      </w:tr>
      <w:tr w:rsidR="00C8757A" w:rsidRPr="00C8757A" w14:paraId="1F0BB9CD" w14:textId="77777777" w:rsidTr="00C8757A">
        <w:tc>
          <w:tcPr>
            <w:tcW w:w="0" w:type="auto"/>
            <w:hideMark/>
          </w:tcPr>
          <w:p w14:paraId="7258928D"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Databases searched</w:t>
            </w:r>
          </w:p>
        </w:tc>
        <w:tc>
          <w:tcPr>
            <w:tcW w:w="0" w:type="auto"/>
            <w:hideMark/>
          </w:tcPr>
          <w:p w14:paraId="4AFB201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Web of Science, Scopus, Google Scholar, PubMed, CAB Abstracts, BIOSIS Citation Index, ASFA, Zoological Record, AGRICOLA</w:t>
            </w:r>
          </w:p>
        </w:tc>
      </w:tr>
      <w:tr w:rsidR="00C8757A" w:rsidRPr="00C8757A" w14:paraId="591C94F7" w14:textId="77777777" w:rsidTr="00C8757A">
        <w:tc>
          <w:tcPr>
            <w:tcW w:w="0" w:type="auto"/>
            <w:hideMark/>
          </w:tcPr>
          <w:p w14:paraId="1FE3A8F8"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Date range</w:t>
            </w:r>
          </w:p>
        </w:tc>
        <w:tc>
          <w:tcPr>
            <w:tcW w:w="0" w:type="auto"/>
            <w:hideMark/>
          </w:tcPr>
          <w:p w14:paraId="7BD5EE1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1994 to 1 April 2026</w:t>
            </w:r>
          </w:p>
        </w:tc>
      </w:tr>
      <w:tr w:rsidR="00C8757A" w:rsidRPr="00C8757A" w14:paraId="683260F5" w14:textId="77777777" w:rsidTr="00C8757A">
        <w:tc>
          <w:tcPr>
            <w:tcW w:w="0" w:type="auto"/>
            <w:hideMark/>
          </w:tcPr>
          <w:p w14:paraId="388BBE0B"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Core search terms</w:t>
            </w:r>
          </w:p>
        </w:tc>
        <w:tc>
          <w:tcPr>
            <w:tcW w:w="0" w:type="auto"/>
            <w:hideMark/>
          </w:tcPr>
          <w:p w14:paraId="64067E91"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Arthropod taxon terms combined with metamorphosis/reproduction terms and climate terms</w:t>
            </w:r>
          </w:p>
        </w:tc>
      </w:tr>
      <w:tr w:rsidR="00C8757A" w:rsidRPr="00C8757A" w14:paraId="1C4F11B2" w14:textId="77777777" w:rsidTr="00C8757A">
        <w:tc>
          <w:tcPr>
            <w:tcW w:w="0" w:type="auto"/>
            <w:hideMark/>
          </w:tcPr>
          <w:p w14:paraId="6FBE8080"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Review type</w:t>
            </w:r>
          </w:p>
        </w:tc>
        <w:tc>
          <w:tcPr>
            <w:tcW w:w="0" w:type="auto"/>
            <w:hideMark/>
          </w:tcPr>
          <w:p w14:paraId="7A54A51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Narrative review (SANRA-informed structure)</w:t>
            </w:r>
          </w:p>
        </w:tc>
      </w:tr>
      <w:tr w:rsidR="00C8757A" w:rsidRPr="00C8757A" w14:paraId="43686683" w14:textId="77777777" w:rsidTr="00C8757A">
        <w:tc>
          <w:tcPr>
            <w:tcW w:w="0" w:type="auto"/>
            <w:hideMark/>
          </w:tcPr>
          <w:p w14:paraId="20668A25"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Inclusion</w:t>
            </w:r>
          </w:p>
        </w:tc>
        <w:tc>
          <w:tcPr>
            <w:tcW w:w="0" w:type="auto"/>
            <w:hideMark/>
          </w:tcPr>
          <w:p w14:paraId="18CE74ED"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Peer-reviewed primary research and reviews; authoritative institutional reports with verifiable URL</w:t>
            </w:r>
          </w:p>
        </w:tc>
      </w:tr>
      <w:tr w:rsidR="00C8757A" w:rsidRPr="00C8757A" w14:paraId="6E709B13" w14:textId="77777777" w:rsidTr="00C8757A">
        <w:tc>
          <w:tcPr>
            <w:tcW w:w="0" w:type="auto"/>
            <w:hideMark/>
          </w:tcPr>
          <w:p w14:paraId="17319532"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Exclusion</w:t>
            </w:r>
          </w:p>
        </w:tc>
        <w:tc>
          <w:tcPr>
            <w:tcW w:w="0" w:type="auto"/>
            <w:hideMark/>
          </w:tcPr>
          <w:p w14:paraId="64355E54"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Books, grey literature, conference papers, trade publications, preprints, patents</w:t>
            </w:r>
          </w:p>
        </w:tc>
      </w:tr>
      <w:tr w:rsidR="00C8757A" w:rsidRPr="00C8757A" w14:paraId="74A2E018" w14:textId="77777777" w:rsidTr="00C8757A">
        <w:tc>
          <w:tcPr>
            <w:tcW w:w="0" w:type="auto"/>
            <w:hideMark/>
          </w:tcPr>
          <w:p w14:paraId="70FA0A95"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Language restriction</w:t>
            </w:r>
          </w:p>
        </w:tc>
        <w:tc>
          <w:tcPr>
            <w:tcW w:w="0" w:type="auto"/>
            <w:hideMark/>
          </w:tcPr>
          <w:p w14:paraId="4374D883"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English only</w:t>
            </w:r>
          </w:p>
        </w:tc>
      </w:tr>
      <w:tr w:rsidR="00C8757A" w:rsidRPr="00C8757A" w14:paraId="644B186F" w14:textId="77777777" w:rsidTr="00C8757A">
        <w:tc>
          <w:tcPr>
            <w:tcW w:w="0" w:type="auto"/>
            <w:hideMark/>
          </w:tcPr>
          <w:p w14:paraId="277BF600"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Screening</w:t>
            </w:r>
          </w:p>
        </w:tc>
        <w:tc>
          <w:tcPr>
            <w:tcW w:w="0" w:type="auto"/>
            <w:hideMark/>
          </w:tcPr>
          <w:p w14:paraId="59992C73"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Title/abstract screening, full-text assessment for relevance to metamorphosis or reproduction</w:t>
            </w:r>
          </w:p>
        </w:tc>
      </w:tr>
    </w:tbl>
    <w:p w14:paraId="2FF5404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i/>
          <w:iCs/>
          <w:sz w:val="24"/>
          <w:szCs w:val="24"/>
          <w:lang w:eastAsia="en-GB"/>
        </w:rPr>
        <w:lastRenderedPageBreak/>
        <w:t>Source: (</w:t>
      </w:r>
      <w:proofErr w:type="spellStart"/>
      <w:r w:rsidRPr="00C8757A">
        <w:rPr>
          <w:rFonts w:ascii="Times New Roman" w:eastAsia="Times New Roman" w:hAnsi="Times New Roman" w:cs="Times New Roman"/>
          <w:i/>
          <w:iCs/>
          <w:sz w:val="24"/>
          <w:szCs w:val="24"/>
          <w:lang w:eastAsia="en-GB"/>
        </w:rPr>
        <w:t>Baethge</w:t>
      </w:r>
      <w:proofErr w:type="spellEnd"/>
      <w:r w:rsidRPr="00C8757A">
        <w:rPr>
          <w:rFonts w:ascii="Times New Roman" w:eastAsia="Times New Roman" w:hAnsi="Times New Roman" w:cs="Times New Roman"/>
          <w:i/>
          <w:iCs/>
          <w:sz w:val="24"/>
          <w:szCs w:val="24"/>
          <w:lang w:eastAsia="en-GB"/>
        </w:rPr>
        <w:t xml:space="preserve"> et al., 2019; Greenhalgh et al., 2018).</w:t>
      </w:r>
    </w:p>
    <w:p w14:paraId="6EB0ABFA"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0AC28624"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3. Thermal Effects on Developmental Rate and Metamorphic Timing</w:t>
      </w:r>
    </w:p>
    <w:p w14:paraId="63A0D157"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3.1 General thermal performance relationships</w:t>
      </w:r>
    </w:p>
    <w:p w14:paraId="2B8BF4A3"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Across ectothermic arthropods, developmental rate typically increases approximately linearly with temperature over an intermediate range before plateauing and then declining sharply near the upper thermal limit, producing the characteristic asymmetric thermal performance curve. This relationship underlies projections that moderate warming will shorten larval and nymphal stage durations in many insect and crustacean species, while temperatures exceeding the thermal optimum will impair survival and slow development (Harvey et al., 2023). In agricultural pest insects, accelerated development under warming has already been associated with shorter generation times and an increased number of generations completed annually in regions where seasonal warmth was previously limiting (</w:t>
      </w: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w:t>
      </w:r>
    </w:p>
    <w:p w14:paraId="3334D89F"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3.2 Marine and freshwater crustacean larval development</w:t>
      </w:r>
    </w:p>
    <w:p w14:paraId="0D672993"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In marine decapod crustaceans, larval development is frequently the life stage most exposed to thermal stress because planktonic zoeal and </w:t>
      </w:r>
      <w:proofErr w:type="spellStart"/>
      <w:r w:rsidRPr="00C8757A">
        <w:rPr>
          <w:rFonts w:ascii="Times New Roman" w:eastAsia="Times New Roman" w:hAnsi="Times New Roman" w:cs="Times New Roman"/>
          <w:sz w:val="24"/>
          <w:szCs w:val="24"/>
          <w:lang w:eastAsia="en-GB"/>
        </w:rPr>
        <w:t>megalopal</w:t>
      </w:r>
      <w:proofErr w:type="spellEnd"/>
      <w:r w:rsidRPr="00C8757A">
        <w:rPr>
          <w:rFonts w:ascii="Times New Roman" w:eastAsia="Times New Roman" w:hAnsi="Times New Roman" w:cs="Times New Roman"/>
          <w:sz w:val="24"/>
          <w:szCs w:val="24"/>
          <w:lang w:eastAsia="en-GB"/>
        </w:rPr>
        <w:t xml:space="preserve"> stages cannot behaviourally avoid surface-water warming. Projections for tropical and subtropical Atlantic crab populations indicate that ocean warming will shorten development time from the zoea I to megalopa stage while simultaneously reducing survival probability, with the steepest declines expected at lower latitudes where mean sea temperatures already approach upper thermal limits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Subsequent experimental work on the same and related species shows that marine heatwave events occurring early in larval development tend to produce comparatively better survival and shorter development times than heatwaves occurring later in the developmental sequence, indicating that vulnerability to thermal extremes is stage-specific rather than uniform across the larval period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 Thermal tolerance assays on zoea larvae of several brachyuran species confirm that survival and developmental progression decline once rearing temperatures exceed species-specific critical thresholds, with physiological costs evident in oxygen consumption and moulting success even before outright mortality occurs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2024).</w:t>
      </w:r>
    </w:p>
    <w:p w14:paraId="49B2AFC3"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3.3 The temperature–size rule and its mechanistic basis</w:t>
      </w:r>
    </w:p>
    <w:p w14:paraId="670DB0F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near-universal pattern among ectotherms, including the great majority of arthropods studied to date, is the temperature–size rule, whereby individuals reared at warmer temperatures mature faster but at a smaller final body size than conspecifics reared under cooler conditions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The leading mechanistic explanation implicates oxygen limitation: warming increases metabolic oxygen demand disproportionately relative to the capacity of tracheal or gill systems to supply it, particularly in aquatic ectotherms where oxygen diffuses far more slowly than in air, favouring earlier maturation at smaller size as a means of reducing oxygen-supply constraints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Controlled experiments manipulating temperature and dissolved oxygen independently in the freshwater isopod </w:t>
      </w:r>
      <w:r w:rsidRPr="00C8757A">
        <w:rPr>
          <w:rFonts w:ascii="Times New Roman" w:eastAsia="Times New Roman" w:hAnsi="Times New Roman" w:cs="Times New Roman"/>
          <w:i/>
          <w:iCs/>
          <w:sz w:val="24"/>
          <w:szCs w:val="24"/>
          <w:lang w:eastAsia="en-GB"/>
        </w:rPr>
        <w:t>Asellus aquaticus</w:t>
      </w:r>
      <w:r w:rsidRPr="00C8757A">
        <w:rPr>
          <w:rFonts w:ascii="Times New Roman" w:eastAsia="Times New Roman" w:hAnsi="Times New Roman" w:cs="Times New Roman"/>
          <w:sz w:val="24"/>
          <w:szCs w:val="24"/>
          <w:lang w:eastAsia="en-GB"/>
        </w:rPr>
        <w:t xml:space="preserve"> provide direct support for this mechanism, showing that size reductions under warming are more pronounced under low oxygen availability than under </w:t>
      </w:r>
      <w:proofErr w:type="spellStart"/>
      <w:r w:rsidRPr="00C8757A">
        <w:rPr>
          <w:rFonts w:ascii="Times New Roman" w:eastAsia="Times New Roman" w:hAnsi="Times New Roman" w:cs="Times New Roman"/>
          <w:sz w:val="24"/>
          <w:szCs w:val="24"/>
          <w:lang w:eastAsia="en-GB"/>
        </w:rPr>
        <w:t>normoxic</w:t>
      </w:r>
      <w:proofErr w:type="spellEnd"/>
      <w:r w:rsidRPr="00C8757A">
        <w:rPr>
          <w:rFonts w:ascii="Times New Roman" w:eastAsia="Times New Roman" w:hAnsi="Times New Roman" w:cs="Times New Roman"/>
          <w:sz w:val="24"/>
          <w:szCs w:val="24"/>
          <w:lang w:eastAsia="en-GB"/>
        </w:rPr>
        <w:t xml:space="preserve"> or </w:t>
      </w:r>
      <w:proofErr w:type="spellStart"/>
      <w:r w:rsidRPr="00C8757A">
        <w:rPr>
          <w:rFonts w:ascii="Times New Roman" w:eastAsia="Times New Roman" w:hAnsi="Times New Roman" w:cs="Times New Roman"/>
          <w:sz w:val="24"/>
          <w:szCs w:val="24"/>
          <w:lang w:eastAsia="en-GB"/>
        </w:rPr>
        <w:t>hyperoxic</w:t>
      </w:r>
      <w:proofErr w:type="spellEnd"/>
      <w:r w:rsidRPr="00C8757A">
        <w:rPr>
          <w:rFonts w:ascii="Times New Roman" w:eastAsia="Times New Roman" w:hAnsi="Times New Roman" w:cs="Times New Roman"/>
          <w:sz w:val="24"/>
          <w:szCs w:val="24"/>
          <w:lang w:eastAsia="en-GB"/>
        </w:rPr>
        <w:t xml:space="preserve"> conditions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 Comparative analyses </w:t>
      </w:r>
      <w:r w:rsidRPr="00C8757A">
        <w:rPr>
          <w:rFonts w:ascii="Times New Roman" w:eastAsia="Times New Roman" w:hAnsi="Times New Roman" w:cs="Times New Roman"/>
          <w:sz w:val="24"/>
          <w:szCs w:val="24"/>
          <w:lang w:eastAsia="en-GB"/>
        </w:rPr>
        <w:lastRenderedPageBreak/>
        <w:t xml:space="preserve">further show that warming-induced body-size reductions are systematically greater in aquatic arthropods than in terrestrial ones, consistent with the relatively greater physiological cost of oxygen uptake in water (Forster et al., 2012), and that temperature–size responses observed within a single generation broadly match latitudinal body-size clines across arthropod species, pointing to a shared underlying thermal-oxygen mechanism operating across both plastic and evolutionary timescales (Horne et al., 2015). In terrestrial insects, however, this oxygen-limitation pathway appears considerably weaker, since many species can compensate through increased tracheal ventilation capacity, a form of functional hypoxia management that buffers, though does not eliminate, the link between warming and reduced body size on land (Harrison et al., 2018). The rule also shows numerous taxon-specific exceptions, including instances where nutritional quality of the diet modifies or reverses the expected size response under warming, as demonstrated by rearing experiments on the blowfly </w:t>
      </w:r>
      <w:proofErr w:type="spellStart"/>
      <w:r w:rsidRPr="00C8757A">
        <w:rPr>
          <w:rFonts w:ascii="Times New Roman" w:eastAsia="Times New Roman" w:hAnsi="Times New Roman" w:cs="Times New Roman"/>
          <w:i/>
          <w:iCs/>
          <w:sz w:val="24"/>
          <w:szCs w:val="24"/>
          <w:lang w:eastAsia="en-GB"/>
        </w:rPr>
        <w:t>Aldrichina</w:t>
      </w:r>
      <w:proofErr w:type="spellEnd"/>
      <w:r w:rsidRPr="00C8757A">
        <w:rPr>
          <w:rFonts w:ascii="Times New Roman" w:eastAsia="Times New Roman" w:hAnsi="Times New Roman" w:cs="Times New Roman"/>
          <w:i/>
          <w:iCs/>
          <w:sz w:val="24"/>
          <w:szCs w:val="24"/>
          <w:lang w:eastAsia="en-GB"/>
        </w:rPr>
        <w:t xml:space="preserve"> grahami</w:t>
      </w:r>
      <w:r w:rsidRPr="00C8757A">
        <w:rPr>
          <w:rFonts w:ascii="Times New Roman" w:eastAsia="Times New Roman" w:hAnsi="Times New Roman" w:cs="Times New Roman"/>
          <w:sz w:val="24"/>
          <w:szCs w:val="24"/>
          <w:lang w:eastAsia="en-GB"/>
        </w:rPr>
        <w:t xml:space="preserve"> across a temperature and diet-quality gradient (</w:t>
      </w:r>
      <w:r w:rsidRPr="00C8757A">
        <w:rPr>
          <w:rFonts w:ascii="Times New Roman" w:eastAsia="Times New Roman" w:hAnsi="Times New Roman" w:cs="Times New Roman"/>
          <w:bCs/>
          <w:sz w:val="24"/>
          <w:szCs w:val="24"/>
          <w:lang w:eastAsia="en-GB"/>
        </w:rPr>
        <w:t>Yan et al., 2024</w:t>
      </w:r>
      <w:r w:rsidRPr="00C8757A">
        <w:rPr>
          <w:rFonts w:ascii="Times New Roman" w:eastAsia="Times New Roman" w:hAnsi="Times New Roman" w:cs="Times New Roman"/>
          <w:sz w:val="24"/>
          <w:szCs w:val="24"/>
          <w:lang w:eastAsia="en-GB"/>
        </w:rPr>
        <w:t>).</w:t>
      </w:r>
    </w:p>
    <w:p w14:paraId="134BE25C"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3.4 Synthesis: developmental timing under warming</w:t>
      </w:r>
    </w:p>
    <w:p w14:paraId="61378DF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patterns described above, spanning terrestrial insects, marine crab larvae and freshwater crustaceans, are summarised comparatively in Table 2.</w:t>
      </w:r>
    </w:p>
    <w:p w14:paraId="2B4EB69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2.</w:t>
      </w:r>
      <w:r w:rsidRPr="00C8757A">
        <w:rPr>
          <w:rFonts w:ascii="Times New Roman" w:eastAsia="Times New Roman" w:hAnsi="Times New Roman" w:cs="Times New Roman"/>
          <w:sz w:val="24"/>
          <w:szCs w:val="24"/>
          <w:lang w:eastAsia="en-GB"/>
        </w:rPr>
        <w:t xml:space="preserve"> Summary of documented effects of warming on metamorphic development across arthropod groups.</w:t>
      </w:r>
    </w:p>
    <w:tbl>
      <w:tblPr>
        <w:tblStyle w:val="TableGrid"/>
        <w:tblW w:w="0" w:type="auto"/>
        <w:tblLook w:val="04A0" w:firstRow="1" w:lastRow="0" w:firstColumn="1" w:lastColumn="0" w:noHBand="0" w:noVBand="1"/>
      </w:tblPr>
      <w:tblGrid>
        <w:gridCol w:w="2334"/>
        <w:gridCol w:w="4118"/>
        <w:gridCol w:w="2790"/>
      </w:tblGrid>
      <w:tr w:rsidR="00C8757A" w:rsidRPr="00C8757A" w14:paraId="7F6E7610" w14:textId="77777777" w:rsidTr="00C8757A">
        <w:tc>
          <w:tcPr>
            <w:tcW w:w="0" w:type="auto"/>
            <w:hideMark/>
          </w:tcPr>
          <w:p w14:paraId="05C09C7A" w14:textId="77777777" w:rsidR="00C8757A" w:rsidRPr="00C8757A" w:rsidRDefault="00C8757A" w:rsidP="00C8757A">
            <w:pPr>
              <w:jc w:val="center"/>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Taxonomic group</w:t>
            </w:r>
          </w:p>
        </w:tc>
        <w:tc>
          <w:tcPr>
            <w:tcW w:w="0" w:type="auto"/>
            <w:hideMark/>
          </w:tcPr>
          <w:p w14:paraId="493F95F6" w14:textId="77777777" w:rsidR="00C8757A" w:rsidRPr="00C8757A" w:rsidRDefault="00C8757A" w:rsidP="00C8757A">
            <w:pPr>
              <w:jc w:val="center"/>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Documented effect of warming</w:t>
            </w:r>
          </w:p>
        </w:tc>
        <w:tc>
          <w:tcPr>
            <w:tcW w:w="0" w:type="auto"/>
            <w:hideMark/>
          </w:tcPr>
          <w:p w14:paraId="2768ED90" w14:textId="77777777" w:rsidR="00C8757A" w:rsidRPr="00C8757A" w:rsidRDefault="00C8757A" w:rsidP="00C8757A">
            <w:pPr>
              <w:jc w:val="center"/>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Representative source</w:t>
            </w:r>
          </w:p>
        </w:tc>
      </w:tr>
      <w:tr w:rsidR="00C8757A" w:rsidRPr="00C8757A" w14:paraId="379E5A30" w14:textId="77777777" w:rsidTr="00C8757A">
        <w:tc>
          <w:tcPr>
            <w:tcW w:w="0" w:type="auto"/>
            <w:hideMark/>
          </w:tcPr>
          <w:p w14:paraId="4BB45253"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Terrestrial insects (general)</w:t>
            </w:r>
          </w:p>
        </w:tc>
        <w:tc>
          <w:tcPr>
            <w:tcW w:w="0" w:type="auto"/>
            <w:hideMark/>
          </w:tcPr>
          <w:p w14:paraId="5FC72692"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Faster development to thermal optimum; increased voltinism; smaller adult size</w:t>
            </w:r>
          </w:p>
        </w:tc>
        <w:tc>
          <w:tcPr>
            <w:tcW w:w="0" w:type="auto"/>
            <w:hideMark/>
          </w:tcPr>
          <w:p w14:paraId="761FA8DF"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Harvey et al. (2023);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50DED28F" w14:textId="77777777" w:rsidTr="00C8757A">
        <w:tc>
          <w:tcPr>
            <w:tcW w:w="0" w:type="auto"/>
            <w:hideMark/>
          </w:tcPr>
          <w:p w14:paraId="50F6C1E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Agricultural pest insects</w:t>
            </w:r>
          </w:p>
        </w:tc>
        <w:tc>
          <w:tcPr>
            <w:tcW w:w="0" w:type="auto"/>
            <w:hideMark/>
          </w:tcPr>
          <w:p w14:paraId="257A5673"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Shortened generation time; expanded number of annual generations</w:t>
            </w:r>
          </w:p>
        </w:tc>
        <w:tc>
          <w:tcPr>
            <w:tcW w:w="0" w:type="auto"/>
            <w:hideMark/>
          </w:tcPr>
          <w:p w14:paraId="615339D7"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52E27E76" w14:textId="77777777" w:rsidTr="00C8757A">
        <w:tc>
          <w:tcPr>
            <w:tcW w:w="0" w:type="auto"/>
            <w:hideMark/>
          </w:tcPr>
          <w:p w14:paraId="0F408F8B"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Marine brachyuran crab larvae</w:t>
            </w:r>
          </w:p>
        </w:tc>
        <w:tc>
          <w:tcPr>
            <w:tcW w:w="0" w:type="auto"/>
            <w:hideMark/>
          </w:tcPr>
          <w:p w14:paraId="3ACF87EF"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Faster zoeal development but reduced survival, especially at lower latitudes</w:t>
            </w:r>
          </w:p>
        </w:tc>
        <w:tc>
          <w:tcPr>
            <w:tcW w:w="0" w:type="auto"/>
            <w:hideMark/>
          </w:tcPr>
          <w:p w14:paraId="469EBDC1"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7A633548" w14:textId="77777777" w:rsidTr="00C8757A">
        <w:tc>
          <w:tcPr>
            <w:tcW w:w="0" w:type="auto"/>
            <w:hideMark/>
          </w:tcPr>
          <w:p w14:paraId="561A5D8A"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Marine crab larvae under heatwaves</w:t>
            </w:r>
          </w:p>
        </w:tc>
        <w:tc>
          <w:tcPr>
            <w:tcW w:w="0" w:type="auto"/>
            <w:hideMark/>
          </w:tcPr>
          <w:p w14:paraId="4C836DD2"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Stage-specific vulnerability; later-stage exposure more damaging</w:t>
            </w:r>
          </w:p>
        </w:tc>
        <w:tc>
          <w:tcPr>
            <w:tcW w:w="0" w:type="auto"/>
            <w:hideMark/>
          </w:tcPr>
          <w:p w14:paraId="6918E056"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w:t>
            </w:r>
          </w:p>
        </w:tc>
      </w:tr>
      <w:tr w:rsidR="00C8757A" w:rsidRPr="00C8757A" w14:paraId="5C48A5EB" w14:textId="77777777" w:rsidTr="00C8757A">
        <w:tc>
          <w:tcPr>
            <w:tcW w:w="0" w:type="auto"/>
            <w:hideMark/>
          </w:tcPr>
          <w:p w14:paraId="4AFFF687"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Freshwater crustaceans (isopods)</w:t>
            </w:r>
          </w:p>
        </w:tc>
        <w:tc>
          <w:tcPr>
            <w:tcW w:w="0" w:type="auto"/>
            <w:hideMark/>
          </w:tcPr>
          <w:p w14:paraId="58A17E1F"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Oxygen-mediated size reduction under warming</w:t>
            </w:r>
          </w:p>
        </w:tc>
        <w:tc>
          <w:tcPr>
            <w:tcW w:w="0" w:type="auto"/>
            <w:hideMark/>
          </w:tcPr>
          <w:p w14:paraId="46704660"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w:t>
            </w:r>
          </w:p>
        </w:tc>
      </w:tr>
      <w:tr w:rsidR="00C8757A" w:rsidRPr="00C8757A" w14:paraId="6681777B" w14:textId="77777777" w:rsidTr="00C8757A">
        <w:tc>
          <w:tcPr>
            <w:tcW w:w="0" w:type="auto"/>
            <w:hideMark/>
          </w:tcPr>
          <w:p w14:paraId="6A12086D"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Cross-arthropod comparison</w:t>
            </w:r>
          </w:p>
        </w:tc>
        <w:tc>
          <w:tcPr>
            <w:tcW w:w="0" w:type="auto"/>
            <w:hideMark/>
          </w:tcPr>
          <w:p w14:paraId="50DA388E"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Greater size reduction in aquatic than terrestrial species</w:t>
            </w:r>
          </w:p>
        </w:tc>
        <w:tc>
          <w:tcPr>
            <w:tcW w:w="0" w:type="auto"/>
            <w:hideMark/>
          </w:tcPr>
          <w:p w14:paraId="5EB87C32"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Forster et al. (2012); Horne et al. (2015)</w:t>
            </w:r>
          </w:p>
        </w:tc>
      </w:tr>
    </w:tbl>
    <w:p w14:paraId="0FD1AA6A"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i/>
          <w:iCs/>
          <w:sz w:val="24"/>
          <w:szCs w:val="24"/>
          <w:lang w:eastAsia="en-GB"/>
        </w:rPr>
        <w:t xml:space="preserve">Source references: Harvey et al. (2023); </w:t>
      </w:r>
      <w:proofErr w:type="spellStart"/>
      <w:r w:rsidRPr="00C8757A">
        <w:rPr>
          <w:rFonts w:ascii="Times New Roman" w:eastAsia="Times New Roman" w:hAnsi="Times New Roman" w:cs="Times New Roman"/>
          <w:i/>
          <w:iCs/>
          <w:sz w:val="24"/>
          <w:szCs w:val="24"/>
          <w:lang w:eastAsia="en-GB"/>
        </w:rPr>
        <w:t>Verberk</w:t>
      </w:r>
      <w:proofErr w:type="spellEnd"/>
      <w:r w:rsidRPr="00C8757A">
        <w:rPr>
          <w:rFonts w:ascii="Times New Roman" w:eastAsia="Times New Roman" w:hAnsi="Times New Roman" w:cs="Times New Roman"/>
          <w:i/>
          <w:iCs/>
          <w:sz w:val="24"/>
          <w:szCs w:val="24"/>
          <w:lang w:eastAsia="en-GB"/>
        </w:rPr>
        <w:t xml:space="preserve"> et al. (2021); </w:t>
      </w:r>
      <w:proofErr w:type="spellStart"/>
      <w:r w:rsidRPr="00C8757A">
        <w:rPr>
          <w:rFonts w:ascii="Times New Roman" w:eastAsia="Times New Roman" w:hAnsi="Times New Roman" w:cs="Times New Roman"/>
          <w:i/>
          <w:iCs/>
          <w:sz w:val="24"/>
          <w:szCs w:val="24"/>
          <w:lang w:eastAsia="en-GB"/>
        </w:rPr>
        <w:t>Skendžić</w:t>
      </w:r>
      <w:proofErr w:type="spellEnd"/>
      <w:r w:rsidRPr="00C8757A">
        <w:rPr>
          <w:rFonts w:ascii="Times New Roman" w:eastAsia="Times New Roman" w:hAnsi="Times New Roman" w:cs="Times New Roman"/>
          <w:i/>
          <w:iCs/>
          <w:sz w:val="24"/>
          <w:szCs w:val="24"/>
          <w:lang w:eastAsia="en-GB"/>
        </w:rPr>
        <w:t xml:space="preserve"> et al. (2021); </w:t>
      </w:r>
      <w:proofErr w:type="spellStart"/>
      <w:r w:rsidRPr="00C8757A">
        <w:rPr>
          <w:rFonts w:ascii="Times New Roman" w:eastAsia="Times New Roman" w:hAnsi="Times New Roman" w:cs="Times New Roman"/>
          <w:i/>
          <w:iCs/>
          <w:sz w:val="24"/>
          <w:szCs w:val="24"/>
          <w:lang w:eastAsia="en-GB"/>
        </w:rPr>
        <w:t>Marochi</w:t>
      </w:r>
      <w:proofErr w:type="spellEnd"/>
      <w:r w:rsidRPr="00C8757A">
        <w:rPr>
          <w:rFonts w:ascii="Times New Roman" w:eastAsia="Times New Roman" w:hAnsi="Times New Roman" w:cs="Times New Roman"/>
          <w:i/>
          <w:iCs/>
          <w:sz w:val="24"/>
          <w:szCs w:val="24"/>
          <w:lang w:eastAsia="en-GB"/>
        </w:rPr>
        <w:t xml:space="preserve"> et al. (2021, 2022); </w:t>
      </w:r>
      <w:proofErr w:type="spellStart"/>
      <w:r w:rsidRPr="00C8757A">
        <w:rPr>
          <w:rFonts w:ascii="Times New Roman" w:eastAsia="Times New Roman" w:hAnsi="Times New Roman" w:cs="Times New Roman"/>
          <w:i/>
          <w:iCs/>
          <w:sz w:val="24"/>
          <w:szCs w:val="24"/>
          <w:lang w:eastAsia="en-GB"/>
        </w:rPr>
        <w:t>Hoefnagel</w:t>
      </w:r>
      <w:proofErr w:type="spellEnd"/>
      <w:r w:rsidRPr="00C8757A">
        <w:rPr>
          <w:rFonts w:ascii="Times New Roman" w:eastAsia="Times New Roman" w:hAnsi="Times New Roman" w:cs="Times New Roman"/>
          <w:i/>
          <w:iCs/>
          <w:sz w:val="24"/>
          <w:szCs w:val="24"/>
          <w:lang w:eastAsia="en-GB"/>
        </w:rPr>
        <w:t xml:space="preserve"> &amp; </w:t>
      </w:r>
      <w:proofErr w:type="spellStart"/>
      <w:r w:rsidRPr="00C8757A">
        <w:rPr>
          <w:rFonts w:ascii="Times New Roman" w:eastAsia="Times New Roman" w:hAnsi="Times New Roman" w:cs="Times New Roman"/>
          <w:i/>
          <w:iCs/>
          <w:sz w:val="24"/>
          <w:szCs w:val="24"/>
          <w:lang w:eastAsia="en-GB"/>
        </w:rPr>
        <w:t>Verberk</w:t>
      </w:r>
      <w:proofErr w:type="spellEnd"/>
      <w:r w:rsidRPr="00C8757A">
        <w:rPr>
          <w:rFonts w:ascii="Times New Roman" w:eastAsia="Times New Roman" w:hAnsi="Times New Roman" w:cs="Times New Roman"/>
          <w:i/>
          <w:iCs/>
          <w:sz w:val="24"/>
          <w:szCs w:val="24"/>
          <w:lang w:eastAsia="en-GB"/>
        </w:rPr>
        <w:t xml:space="preserve"> (2015); Forster et al. (2012); Horne et al. (2015).</w:t>
      </w:r>
    </w:p>
    <w:p w14:paraId="79835A3A"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As Table 2 illustrates, the magnitude and even the direction of size change under warming depend strongly on whether a species develops in water or on land, a distinction that recurs throughout the remainder of this review.</w:t>
      </w:r>
    </w:p>
    <w:p w14:paraId="3F296C57"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332E1674"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4. Diapause, Overwintering and Voltinism Under a Warming Climate</w:t>
      </w:r>
    </w:p>
    <w:p w14:paraId="0A20399C"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4.1 The function and regulation of diapause</w:t>
      </w:r>
    </w:p>
    <w:p w14:paraId="114EC481"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lastRenderedPageBreak/>
        <w:t>Diapause is a programmed state of developmental arrest, metabolic suppression and enhanced stress resistance that allows insects and other arthropods to survive predictably unfavourable seasons, most commonly winter cold but also summer drought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2019). Diapause induction, maintenance and termination are governed by an interacting set of environmental cues, principally photoperiod and temperature, with the diapause state itself conferring increased cold hardiness independent of acute cold acclimation (Bale &amp; Hayward, 2010). Because diapause is so tightly tuned to historical seasonal cues, it is considered one of the life-history traits most likely to be disrupted by rapid climate change: photoperiod remains fixed by latitude while temperature shifts independently of it, creating the potential for mismatched cue combinations (Bale &amp; Hayward, 2010).</w:t>
      </w:r>
    </w:p>
    <w:p w14:paraId="15D5507F"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4.2 Voltinism shifts under warming</w:t>
      </w:r>
    </w:p>
    <w:p w14:paraId="337DE47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Where diapause is facultative rather than obligate, warmer growing-season temperatures frequently permit an additional generation to be completed before the onset of diapause-inducing conditions, a shift termed an increase in voltinism. Long-term field and modelling studies of the codling moth, a major global pest of pome fruit, project that the risk of a pronounced second generation occurring within a single season will rise from below twenty per cent under historical conditions to between seventy and one hundred per cent under mid-century warming scenarios in parts of Europe, with the risk of a third generation increasing correspondingly from near zero to effectively certain at some sites (</w:t>
      </w:r>
      <w:proofErr w:type="spellStart"/>
      <w:r w:rsidRPr="00C8757A">
        <w:rPr>
          <w:rFonts w:ascii="Times New Roman" w:eastAsia="Times New Roman" w:hAnsi="Times New Roman" w:cs="Times New Roman"/>
          <w:sz w:val="24"/>
          <w:szCs w:val="24"/>
          <w:lang w:eastAsia="en-GB"/>
        </w:rPr>
        <w:t>Stoeckli</w:t>
      </w:r>
      <w:proofErr w:type="spellEnd"/>
      <w:r w:rsidRPr="00C8757A">
        <w:rPr>
          <w:rFonts w:ascii="Times New Roman" w:eastAsia="Times New Roman" w:hAnsi="Times New Roman" w:cs="Times New Roman"/>
          <w:sz w:val="24"/>
          <w:szCs w:val="24"/>
          <w:lang w:eastAsia="en-GB"/>
        </w:rPr>
        <w:t xml:space="preserve"> et al., 2012). Similar facultative shifts toward bivoltine or </w:t>
      </w:r>
      <w:proofErr w:type="spellStart"/>
      <w:r w:rsidRPr="00C8757A">
        <w:rPr>
          <w:rFonts w:ascii="Times New Roman" w:eastAsia="Times New Roman" w:hAnsi="Times New Roman" w:cs="Times New Roman"/>
          <w:sz w:val="24"/>
          <w:szCs w:val="24"/>
          <w:lang w:eastAsia="en-GB"/>
        </w:rPr>
        <w:t>trivoltine</w:t>
      </w:r>
      <w:proofErr w:type="spellEnd"/>
      <w:r w:rsidRPr="00C8757A">
        <w:rPr>
          <w:rFonts w:ascii="Times New Roman" w:eastAsia="Times New Roman" w:hAnsi="Times New Roman" w:cs="Times New Roman"/>
          <w:sz w:val="24"/>
          <w:szCs w:val="24"/>
          <w:lang w:eastAsia="en-GB"/>
        </w:rPr>
        <w:t xml:space="preserve"> life cycles have been documented in the Asian corn borer, where intra-population evolutionary change in the proportion of individuals entering diapause has accompanied recent warming trends, with non-diapausing and facultatively diapausing genotypes increasing in frequency relative to historically dominant obligate diapause genotypes (</w:t>
      </w:r>
      <w:r w:rsidRPr="00C8757A">
        <w:rPr>
          <w:rFonts w:ascii="Times New Roman" w:eastAsia="Times New Roman" w:hAnsi="Times New Roman" w:cs="Times New Roman"/>
          <w:b/>
          <w:bCs/>
          <w:sz w:val="24"/>
          <w:szCs w:val="24"/>
          <w:lang w:eastAsia="en-GB"/>
        </w:rPr>
        <w:t>Wang et al., 2023</w:t>
      </w:r>
      <w:r w:rsidRPr="00C8757A">
        <w:rPr>
          <w:rFonts w:ascii="Times New Roman" w:eastAsia="Times New Roman" w:hAnsi="Times New Roman" w:cs="Times New Roman"/>
          <w:sz w:val="24"/>
          <w:szCs w:val="24"/>
          <w:lang w:eastAsia="en-GB"/>
        </w:rPr>
        <w:t xml:space="preserve">). In bark beetles, the balance between obligate and facultative diapause strategies similarly determines whether populations remain </w:t>
      </w:r>
      <w:proofErr w:type="spellStart"/>
      <w:r w:rsidRPr="00C8757A">
        <w:rPr>
          <w:rFonts w:ascii="Times New Roman" w:eastAsia="Times New Roman" w:hAnsi="Times New Roman" w:cs="Times New Roman"/>
          <w:sz w:val="24"/>
          <w:szCs w:val="24"/>
          <w:lang w:eastAsia="en-GB"/>
        </w:rPr>
        <w:t>univoltine</w:t>
      </w:r>
      <w:proofErr w:type="spellEnd"/>
      <w:r w:rsidRPr="00C8757A">
        <w:rPr>
          <w:rFonts w:ascii="Times New Roman" w:eastAsia="Times New Roman" w:hAnsi="Times New Roman" w:cs="Times New Roman"/>
          <w:sz w:val="24"/>
          <w:szCs w:val="24"/>
          <w:lang w:eastAsia="en-GB"/>
        </w:rPr>
        <w:t xml:space="preserve"> or shift toward semivoltine or multivoltine cycles, with direct consequences for outbreak potential and tree mortality in spruce-dominated forests (</w:t>
      </w:r>
      <w:proofErr w:type="spellStart"/>
      <w:r w:rsidRPr="00C8757A">
        <w:rPr>
          <w:rFonts w:ascii="Times New Roman" w:eastAsia="Times New Roman" w:hAnsi="Times New Roman" w:cs="Times New Roman"/>
          <w:sz w:val="24"/>
          <w:szCs w:val="24"/>
          <w:lang w:eastAsia="en-GB"/>
        </w:rPr>
        <w:t>Schebeck</w:t>
      </w:r>
      <w:proofErr w:type="spellEnd"/>
      <w:r w:rsidRPr="00C8757A">
        <w:rPr>
          <w:rFonts w:ascii="Times New Roman" w:eastAsia="Times New Roman" w:hAnsi="Times New Roman" w:cs="Times New Roman"/>
          <w:sz w:val="24"/>
          <w:szCs w:val="24"/>
          <w:lang w:eastAsia="en-GB"/>
        </w:rPr>
        <w:t xml:space="preserve"> et al., 2017).</w:t>
      </w:r>
    </w:p>
    <w:p w14:paraId="7FB36CC4"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4.3 Diapause disruption in aphids and other taxa</w:t>
      </w:r>
    </w:p>
    <w:p w14:paraId="2160A7D9"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In aphids, embryonic diapause in overwintering eggs is induced primarily by photoperiodic cues but is modulated by temperature and food availability, and rising temperatures are expected to alter both the proportion of the population entering diapause and the timing of egg hatching the following spring, with consequences for the synchrony between aphid emergence and the phenology of host plants (</w:t>
      </w:r>
      <w:r w:rsidRPr="00C8757A">
        <w:rPr>
          <w:rFonts w:ascii="Times New Roman" w:eastAsia="Times New Roman" w:hAnsi="Times New Roman" w:cs="Times New Roman"/>
          <w:b/>
          <w:bCs/>
          <w:sz w:val="24"/>
          <w:szCs w:val="24"/>
          <w:lang w:eastAsia="en-GB"/>
        </w:rPr>
        <w:t>Durak et al., 2026</w:t>
      </w:r>
      <w:r w:rsidRPr="00C8757A">
        <w:rPr>
          <w:rFonts w:ascii="Times New Roman" w:eastAsia="Times New Roman" w:hAnsi="Times New Roman" w:cs="Times New Roman"/>
          <w:sz w:val="24"/>
          <w:szCs w:val="24"/>
          <w:lang w:eastAsia="en-GB"/>
        </w:rPr>
        <w:t>). This temperature-dependent regulation of diapause and hatching success illustrates that even taxa with strongly photoperiod-cued diapause are not insulated from warming effects, since the post-diapause developmental rate and the threshold temperatures required for termination remain thermally sensitive.</w:t>
      </w:r>
    </w:p>
    <w:p w14:paraId="1413E110"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4.4 Trade-offs and energetic costs of warming during overwintering</w:t>
      </w:r>
    </w:p>
    <w:p w14:paraId="59ADE340"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A further consequence of warmer winters is increased metabolic expenditure during the diapause period itself. Overwintering insects typically operate on a fixed energy budget accumulated prior to diapause onset and lack the capacity to replenish reserves while dormant, so elevated winter temperatures that raise metabolic rate without permitting feeding can deplete energy stores before spring, reducing post-diapause survival and reproductive </w:t>
      </w:r>
      <w:r w:rsidRPr="00C8757A">
        <w:rPr>
          <w:rFonts w:ascii="Times New Roman" w:eastAsia="Times New Roman" w:hAnsi="Times New Roman" w:cs="Times New Roman"/>
          <w:sz w:val="24"/>
          <w:szCs w:val="24"/>
          <w:lang w:eastAsia="en-GB"/>
        </w:rPr>
        <w:lastRenderedPageBreak/>
        <w:t>readiness even where direct cold mortality is avoided (Bale &amp; Hayward, 2010). This energetic trade-off shows that warming does not uniformly benefit overwintering arthropods, and that the relationship between winter temperature and population performance is frequently non-monotonic.</w:t>
      </w:r>
    </w:p>
    <w:p w14:paraId="7EF3F02E"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6F51FE0F"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5. Body Size, Fecundity and Reproductive Output</w:t>
      </w:r>
    </w:p>
    <w:p w14:paraId="378C6E46"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5.1 Linking the temperature–size rule to fecundity</w:t>
      </w:r>
    </w:p>
    <w:p w14:paraId="216F51C4"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Because fecundity in most arthropods scales positively with adult body size, the widespread reduction in size associated with the temperature–size rule under warming carries a direct, if often modest, cost to individual reproductive output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This relationship is complicated, however, by the so-called life-history puzzle, in which warming simultaneously accelerates growth and developmental rate, which would be expected on its own to favour maturation at a larger size. Experiments on the blowfly </w:t>
      </w:r>
      <w:proofErr w:type="spellStart"/>
      <w:r w:rsidRPr="00C8757A">
        <w:rPr>
          <w:rFonts w:ascii="Times New Roman" w:eastAsia="Times New Roman" w:hAnsi="Times New Roman" w:cs="Times New Roman"/>
          <w:i/>
          <w:iCs/>
          <w:sz w:val="24"/>
          <w:szCs w:val="24"/>
          <w:lang w:eastAsia="en-GB"/>
        </w:rPr>
        <w:t>Aldrichina</w:t>
      </w:r>
      <w:proofErr w:type="spellEnd"/>
      <w:r w:rsidRPr="00C8757A">
        <w:rPr>
          <w:rFonts w:ascii="Times New Roman" w:eastAsia="Times New Roman" w:hAnsi="Times New Roman" w:cs="Times New Roman"/>
          <w:i/>
          <w:iCs/>
          <w:sz w:val="24"/>
          <w:szCs w:val="24"/>
          <w:lang w:eastAsia="en-GB"/>
        </w:rPr>
        <w:t xml:space="preserve"> grahami</w:t>
      </w:r>
      <w:r w:rsidRPr="00C8757A">
        <w:rPr>
          <w:rFonts w:ascii="Times New Roman" w:eastAsia="Times New Roman" w:hAnsi="Times New Roman" w:cs="Times New Roman"/>
          <w:sz w:val="24"/>
          <w:szCs w:val="24"/>
          <w:lang w:eastAsia="en-GB"/>
        </w:rPr>
        <w:t xml:space="preserve"> show that the net outcome depends strongly on interacting nutritional conditions, with poor diet quality exacerbating size reduction under warming while a high-quality diet partially offsets it (</w:t>
      </w:r>
      <w:r w:rsidRPr="00C8757A">
        <w:rPr>
          <w:rFonts w:ascii="Times New Roman" w:eastAsia="Times New Roman" w:hAnsi="Times New Roman" w:cs="Times New Roman"/>
          <w:b/>
          <w:bCs/>
          <w:sz w:val="24"/>
          <w:szCs w:val="24"/>
          <w:lang w:eastAsia="en-GB"/>
        </w:rPr>
        <w:t>Yan et al., 2024</w:t>
      </w:r>
      <w:r w:rsidRPr="00C8757A">
        <w:rPr>
          <w:rFonts w:ascii="Times New Roman" w:eastAsia="Times New Roman" w:hAnsi="Times New Roman" w:cs="Times New Roman"/>
          <w:sz w:val="24"/>
          <w:szCs w:val="24"/>
          <w:lang w:eastAsia="en-GB"/>
        </w:rPr>
        <w:t>). Projections of warming-driven fecundity loss based on temperature alone are therefore likely to be incomplete without consideration of concurrent resource availability.</w:t>
      </w:r>
    </w:p>
    <w:p w14:paraId="46A099FB"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5.2 Marine invertebrate fecundity and larval condition</w:t>
      </w:r>
    </w:p>
    <w:p w14:paraId="1A3FFA7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In marine crustaceans, maternal thermal experience can carry over into offspring performance through transgenerational and latent effects, meaning that warming experienced by reproductive females can influence larval survival and developmental success independently of the temperature larvae themselves subsequently experience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Marine heatwave exposure timed around hatching has been shown to reduce both survival and dry mass of newly released larvae, with effects compounding when heatwaves occur later in the vulnerable early developmental window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2022).</w:t>
      </w:r>
    </w:p>
    <w:p w14:paraId="2379721E"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5.3 Pollinator reproduction and colony-level consequences</w:t>
      </w:r>
    </w:p>
    <w:p w14:paraId="051BA12C"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In social Hymenoptera such as bumblebees, the reproductive consequences of climate-driven phenological shifts operate at the colony level as well as the individual level. The timing of overwintered queen emergence in spring strongly influences colony founding success, and because subsequent colony growth determines the number of new queens and males produced later in the season, any disruption to the synchrony between queen emergence and floral resource availability propagates through the entire reproductive cycle of the colony (Kudo &amp; Cooper, 2019). Long-term monitoring in northern Japan demonstrated that early snowmelt advanced the flowering of a spring ephemeral plant more steeply than it advanced bumblebee queen emergence, producing a phenological mismatch of up to seven days that reduced plant seed-set from approximately sixty per cent to around thirty per cent, with corresponding implications for the floral resources available to founding queens (Kudo &amp; Cooper, 2019). A comparable pattern of asynchronous thermal sensitivity between a ground-nesting solitary bee and its host plant has been documented along the Pacific coast of North America, where the two partners' nesting and flowering </w:t>
      </w:r>
      <w:proofErr w:type="spellStart"/>
      <w:r w:rsidRPr="00C8757A">
        <w:rPr>
          <w:rFonts w:ascii="Times New Roman" w:eastAsia="Times New Roman" w:hAnsi="Times New Roman" w:cs="Times New Roman"/>
          <w:sz w:val="24"/>
          <w:szCs w:val="24"/>
          <w:lang w:eastAsia="en-GB"/>
        </w:rPr>
        <w:t>phenologies</w:t>
      </w:r>
      <w:proofErr w:type="spellEnd"/>
      <w:r w:rsidRPr="00C8757A">
        <w:rPr>
          <w:rFonts w:ascii="Times New Roman" w:eastAsia="Times New Roman" w:hAnsi="Times New Roman" w:cs="Times New Roman"/>
          <w:sz w:val="24"/>
          <w:szCs w:val="24"/>
          <w:lang w:eastAsia="en-GB"/>
        </w:rPr>
        <w:t xml:space="preserve"> responded differently to temperature, </w:t>
      </w:r>
      <w:r w:rsidRPr="00C8757A">
        <w:rPr>
          <w:rFonts w:ascii="Times New Roman" w:eastAsia="Times New Roman" w:hAnsi="Times New Roman" w:cs="Times New Roman"/>
          <w:sz w:val="24"/>
          <w:szCs w:val="24"/>
          <w:lang w:eastAsia="en-GB"/>
        </w:rPr>
        <w:lastRenderedPageBreak/>
        <w:t>raising the prospect of declining overlap under continued warming despite high overlap under present conditions (Olliff-Yang &amp; Mesler, 2018).</w:t>
      </w:r>
    </w:p>
    <w:p w14:paraId="1002D846"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5.4 Summary of reproductive effects</w:t>
      </w:r>
    </w:p>
    <w:p w14:paraId="582FAD40"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The mechanisms discussed in this section, and the reproductive consequences they produce, are brought together in Table 3.</w:t>
      </w:r>
    </w:p>
    <w:p w14:paraId="38165674"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
          <w:bCs/>
          <w:sz w:val="24"/>
          <w:szCs w:val="24"/>
          <w:lang w:eastAsia="en-GB"/>
        </w:rPr>
        <w:t>Table 3.</w:t>
      </w:r>
      <w:r w:rsidRPr="00C8757A">
        <w:rPr>
          <w:rFonts w:ascii="Times New Roman" w:eastAsia="Times New Roman" w:hAnsi="Times New Roman" w:cs="Times New Roman"/>
          <w:sz w:val="24"/>
          <w:szCs w:val="24"/>
          <w:lang w:eastAsia="en-GB"/>
        </w:rPr>
        <w:t xml:space="preserve"> Documented reproductive consequences of climate-driven developmental change in arthropods.</w:t>
      </w:r>
    </w:p>
    <w:tbl>
      <w:tblPr>
        <w:tblStyle w:val="TableGrid"/>
        <w:tblW w:w="0" w:type="auto"/>
        <w:tblLook w:val="04A0" w:firstRow="1" w:lastRow="0" w:firstColumn="1" w:lastColumn="0" w:noHBand="0" w:noVBand="1"/>
      </w:tblPr>
      <w:tblGrid>
        <w:gridCol w:w="2986"/>
        <w:gridCol w:w="4136"/>
        <w:gridCol w:w="2120"/>
      </w:tblGrid>
      <w:tr w:rsidR="00C8757A" w:rsidRPr="00C8757A" w14:paraId="1E60DC5D" w14:textId="77777777" w:rsidTr="00C8757A">
        <w:tc>
          <w:tcPr>
            <w:tcW w:w="0" w:type="auto"/>
            <w:hideMark/>
          </w:tcPr>
          <w:p w14:paraId="4BFF70B0" w14:textId="77777777" w:rsidR="00C8757A" w:rsidRPr="00C8757A" w:rsidRDefault="00C8757A" w:rsidP="00C8757A">
            <w:pPr>
              <w:jc w:val="center"/>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Mechanism</w:t>
            </w:r>
          </w:p>
        </w:tc>
        <w:tc>
          <w:tcPr>
            <w:tcW w:w="0" w:type="auto"/>
            <w:hideMark/>
          </w:tcPr>
          <w:p w14:paraId="2192F3E5" w14:textId="77777777" w:rsidR="00C8757A" w:rsidRPr="00C8757A" w:rsidRDefault="00C8757A" w:rsidP="00C8757A">
            <w:pPr>
              <w:jc w:val="center"/>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Reproductive consequence</w:t>
            </w:r>
          </w:p>
        </w:tc>
        <w:tc>
          <w:tcPr>
            <w:tcW w:w="0" w:type="auto"/>
            <w:hideMark/>
          </w:tcPr>
          <w:p w14:paraId="1DA35782" w14:textId="77777777" w:rsidR="00C8757A" w:rsidRPr="00C8757A" w:rsidRDefault="00C8757A" w:rsidP="00C8757A">
            <w:pPr>
              <w:jc w:val="center"/>
              <w:rPr>
                <w:rFonts w:ascii="Times New Roman" w:eastAsia="Times New Roman" w:hAnsi="Times New Roman" w:cs="Times New Roman"/>
                <w:bCs/>
                <w:sz w:val="24"/>
                <w:szCs w:val="24"/>
                <w:lang w:eastAsia="en-GB"/>
              </w:rPr>
            </w:pPr>
            <w:r w:rsidRPr="00C8757A">
              <w:rPr>
                <w:rFonts w:ascii="Times New Roman" w:eastAsia="Times New Roman" w:hAnsi="Times New Roman" w:cs="Times New Roman"/>
                <w:bCs/>
                <w:sz w:val="24"/>
                <w:szCs w:val="24"/>
                <w:lang w:eastAsia="en-GB"/>
              </w:rPr>
              <w:t>Representative source</w:t>
            </w:r>
          </w:p>
        </w:tc>
      </w:tr>
      <w:tr w:rsidR="00C8757A" w:rsidRPr="00C8757A" w14:paraId="4171E188" w14:textId="77777777" w:rsidTr="00C8757A">
        <w:tc>
          <w:tcPr>
            <w:tcW w:w="0" w:type="auto"/>
            <w:hideMark/>
          </w:tcPr>
          <w:p w14:paraId="04F28FDD"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Temperature–size rule</w:t>
            </w:r>
          </w:p>
        </w:tc>
        <w:tc>
          <w:tcPr>
            <w:tcW w:w="0" w:type="auto"/>
            <w:hideMark/>
          </w:tcPr>
          <w:p w14:paraId="6885CDFA"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Reduced fecundity via smaller adult body size</w:t>
            </w:r>
          </w:p>
        </w:tc>
        <w:tc>
          <w:tcPr>
            <w:tcW w:w="0" w:type="auto"/>
            <w:hideMark/>
          </w:tcPr>
          <w:p w14:paraId="703BCE9A"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w:t>
            </w:r>
          </w:p>
        </w:tc>
      </w:tr>
      <w:tr w:rsidR="00C8757A" w:rsidRPr="00C8757A" w14:paraId="51090249" w14:textId="77777777" w:rsidTr="00C8757A">
        <w:tc>
          <w:tcPr>
            <w:tcW w:w="0" w:type="auto"/>
            <w:hideMark/>
          </w:tcPr>
          <w:p w14:paraId="48E5F459"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Diet–temperature interaction</w:t>
            </w:r>
          </w:p>
        </w:tc>
        <w:tc>
          <w:tcPr>
            <w:tcW w:w="0" w:type="auto"/>
            <w:hideMark/>
          </w:tcPr>
          <w:p w14:paraId="38DBE149"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Size and fecundity outcomes modified by nutritional quality</w:t>
            </w:r>
          </w:p>
        </w:tc>
        <w:tc>
          <w:tcPr>
            <w:tcW w:w="0" w:type="auto"/>
            <w:hideMark/>
          </w:tcPr>
          <w:p w14:paraId="665E7706"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Yan et al. (2024)</w:t>
            </w:r>
          </w:p>
        </w:tc>
      </w:tr>
      <w:tr w:rsidR="00C8757A" w:rsidRPr="00C8757A" w14:paraId="43B9DB93" w14:textId="77777777" w:rsidTr="00C8757A">
        <w:tc>
          <w:tcPr>
            <w:tcW w:w="0" w:type="auto"/>
            <w:hideMark/>
          </w:tcPr>
          <w:p w14:paraId="61A993F1"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Maternal thermal carry-over</w:t>
            </w:r>
          </w:p>
        </w:tc>
        <w:tc>
          <w:tcPr>
            <w:tcW w:w="0" w:type="auto"/>
            <w:hideMark/>
          </w:tcPr>
          <w:p w14:paraId="419D7432"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Altered larval survival and condition independent of larval temperature</w:t>
            </w:r>
          </w:p>
        </w:tc>
        <w:tc>
          <w:tcPr>
            <w:tcW w:w="0" w:type="auto"/>
            <w:hideMark/>
          </w:tcPr>
          <w:p w14:paraId="507F6E5E" w14:textId="77777777" w:rsidR="00C8757A" w:rsidRPr="00C8757A" w:rsidRDefault="00C8757A" w:rsidP="00C8757A">
            <w:pPr>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2022)</w:t>
            </w:r>
          </w:p>
        </w:tc>
      </w:tr>
      <w:tr w:rsidR="00C8757A" w:rsidRPr="00C8757A" w14:paraId="136CECF6" w14:textId="77777777" w:rsidTr="00C8757A">
        <w:tc>
          <w:tcPr>
            <w:tcW w:w="0" w:type="auto"/>
            <w:hideMark/>
          </w:tcPr>
          <w:p w14:paraId="4C295E8F"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Phenological mismatch (queen emergence vs. flowering)</w:t>
            </w:r>
          </w:p>
        </w:tc>
        <w:tc>
          <w:tcPr>
            <w:tcW w:w="0" w:type="auto"/>
            <w:hideMark/>
          </w:tcPr>
          <w:p w14:paraId="6A1D6AB7"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Reduced floral resource access at colony founding; cascading colony-level reproductive cost</w:t>
            </w:r>
          </w:p>
        </w:tc>
        <w:tc>
          <w:tcPr>
            <w:tcW w:w="0" w:type="auto"/>
            <w:hideMark/>
          </w:tcPr>
          <w:p w14:paraId="0593D55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Kudo &amp; Cooper (2019)</w:t>
            </w:r>
          </w:p>
        </w:tc>
      </w:tr>
      <w:tr w:rsidR="00C8757A" w:rsidRPr="00C8757A" w14:paraId="3D861AA4" w14:textId="77777777" w:rsidTr="00C8757A">
        <w:tc>
          <w:tcPr>
            <w:tcW w:w="0" w:type="auto"/>
            <w:hideMark/>
          </w:tcPr>
          <w:p w14:paraId="54CB583B"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Nesting-biology-dependent thermal sensitivity</w:t>
            </w:r>
          </w:p>
        </w:tc>
        <w:tc>
          <w:tcPr>
            <w:tcW w:w="0" w:type="auto"/>
            <w:hideMark/>
          </w:tcPr>
          <w:p w14:paraId="1804B87C"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Differential phenological response risks declining plant–pollinator overlap</w:t>
            </w:r>
          </w:p>
        </w:tc>
        <w:tc>
          <w:tcPr>
            <w:tcW w:w="0" w:type="auto"/>
            <w:hideMark/>
          </w:tcPr>
          <w:p w14:paraId="082639DA" w14:textId="77777777" w:rsidR="00C8757A" w:rsidRPr="00C8757A" w:rsidRDefault="00C8757A" w:rsidP="00C8757A">
            <w:pPr>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Olliff-Yang &amp; Mesler (2018)</w:t>
            </w:r>
          </w:p>
        </w:tc>
      </w:tr>
    </w:tbl>
    <w:p w14:paraId="5CB8D321"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i/>
          <w:iCs/>
          <w:sz w:val="24"/>
          <w:szCs w:val="24"/>
          <w:lang w:eastAsia="en-GB"/>
        </w:rPr>
        <w:t xml:space="preserve">Source references: </w:t>
      </w:r>
      <w:proofErr w:type="spellStart"/>
      <w:r w:rsidRPr="00C8757A">
        <w:rPr>
          <w:rFonts w:ascii="Times New Roman" w:eastAsia="Times New Roman" w:hAnsi="Times New Roman" w:cs="Times New Roman"/>
          <w:i/>
          <w:iCs/>
          <w:sz w:val="24"/>
          <w:szCs w:val="24"/>
          <w:lang w:eastAsia="en-GB"/>
        </w:rPr>
        <w:t>Verberk</w:t>
      </w:r>
      <w:proofErr w:type="spellEnd"/>
      <w:r w:rsidRPr="00C8757A">
        <w:rPr>
          <w:rFonts w:ascii="Times New Roman" w:eastAsia="Times New Roman" w:hAnsi="Times New Roman" w:cs="Times New Roman"/>
          <w:i/>
          <w:iCs/>
          <w:sz w:val="24"/>
          <w:szCs w:val="24"/>
          <w:lang w:eastAsia="en-GB"/>
        </w:rPr>
        <w:t xml:space="preserve"> et al. (2021); </w:t>
      </w:r>
      <w:r w:rsidRPr="00C8757A">
        <w:rPr>
          <w:rFonts w:ascii="Times New Roman" w:eastAsia="Times New Roman" w:hAnsi="Times New Roman" w:cs="Times New Roman"/>
          <w:bCs/>
          <w:i/>
          <w:iCs/>
          <w:sz w:val="24"/>
          <w:szCs w:val="24"/>
          <w:lang w:eastAsia="en-GB"/>
        </w:rPr>
        <w:t>Yan et al. (2024)</w:t>
      </w:r>
      <w:r w:rsidRPr="00C8757A">
        <w:rPr>
          <w:rFonts w:ascii="Times New Roman" w:eastAsia="Times New Roman" w:hAnsi="Times New Roman" w:cs="Times New Roman"/>
          <w:i/>
          <w:iCs/>
          <w:sz w:val="24"/>
          <w:szCs w:val="24"/>
          <w:lang w:eastAsia="en-GB"/>
        </w:rPr>
        <w:t xml:space="preserve">; </w:t>
      </w:r>
      <w:proofErr w:type="spellStart"/>
      <w:r w:rsidRPr="00C8757A">
        <w:rPr>
          <w:rFonts w:ascii="Times New Roman" w:eastAsia="Times New Roman" w:hAnsi="Times New Roman" w:cs="Times New Roman"/>
          <w:i/>
          <w:iCs/>
          <w:sz w:val="24"/>
          <w:szCs w:val="24"/>
          <w:lang w:eastAsia="en-GB"/>
        </w:rPr>
        <w:t>Marochi</w:t>
      </w:r>
      <w:proofErr w:type="spellEnd"/>
      <w:r w:rsidRPr="00C8757A">
        <w:rPr>
          <w:rFonts w:ascii="Times New Roman" w:eastAsia="Times New Roman" w:hAnsi="Times New Roman" w:cs="Times New Roman"/>
          <w:i/>
          <w:iCs/>
          <w:sz w:val="24"/>
          <w:szCs w:val="24"/>
          <w:lang w:eastAsia="en-GB"/>
        </w:rPr>
        <w:t xml:space="preserve"> et al. (2021, 2022); Kudo &amp; Cooper (2019); Olliff-Yang &amp; Mesler (2018).</w:t>
      </w:r>
    </w:p>
    <w:p w14:paraId="398872C1"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Taken together, the entries in Table 3 indicate that reproductive costs of warming in arthropods arise through at least two distinct pathways: direct physiological effects on the reproducing individual, and indirect effects transmitted through mismatched timing with mutualists or resources.</w:t>
      </w:r>
    </w:p>
    <w:p w14:paraId="42A720D1"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20A2CF70"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6. Phenological Mismatch and Trophic Synchrony</w:t>
      </w:r>
    </w:p>
    <w:p w14:paraId="20FCC98A"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6.1 Mechanisms of mismatch</w:t>
      </w:r>
    </w:p>
    <w:p w14:paraId="1CCC8269"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Phenological mismatch arises when interacting species respond to climate warming at different rates or via different environmental cues, such that previously synchronous life-history events become temporally offset. For plant–pollinator systems, flowering is frequently cued primarily by temperature and photoperiod, while insect emergence may depend on a combination of soil temperature, air temperature and accumulated degree-days, producing differential sensitivity to the same warming trend (</w:t>
      </w:r>
      <w:proofErr w:type="spellStart"/>
      <w:r w:rsidRPr="00C8757A">
        <w:rPr>
          <w:rFonts w:ascii="Times New Roman" w:eastAsia="Times New Roman" w:hAnsi="Times New Roman" w:cs="Times New Roman"/>
          <w:b/>
          <w:bCs/>
          <w:sz w:val="24"/>
          <w:szCs w:val="24"/>
          <w:lang w:eastAsia="en-GB"/>
        </w:rPr>
        <w:t>Fisogni</w:t>
      </w:r>
      <w:proofErr w:type="spellEnd"/>
      <w:r w:rsidRPr="00C8757A">
        <w:rPr>
          <w:rFonts w:ascii="Times New Roman" w:eastAsia="Times New Roman" w:hAnsi="Times New Roman" w:cs="Times New Roman"/>
          <w:b/>
          <w:bCs/>
          <w:sz w:val="24"/>
          <w:szCs w:val="24"/>
          <w:lang w:eastAsia="en-GB"/>
        </w:rPr>
        <w:t xml:space="preserve"> et al., 2025</w:t>
      </w:r>
      <w:r w:rsidRPr="00C8757A">
        <w:rPr>
          <w:rFonts w:ascii="Times New Roman" w:eastAsia="Times New Roman" w:hAnsi="Times New Roman" w:cs="Times New Roman"/>
          <w:sz w:val="24"/>
          <w:szCs w:val="24"/>
          <w:lang w:eastAsia="en-GB"/>
        </w:rPr>
        <w:t xml:space="preserve">). Nesting biology can further modulate this sensitivity, as shown by contrasting thermal responses between ground-nesting and other bee species relative to their floral hosts (Olliff-Yang &amp; Mesler, 2018). Because these differing thermal dependencies are rarely identical between interacting species, warming can either increase or decrease synchrony depending on the relative steepness of each species' phenological response, and long-term observational studies </w:t>
      </w:r>
      <w:r w:rsidRPr="00C8757A">
        <w:rPr>
          <w:rFonts w:ascii="Times New Roman" w:eastAsia="Times New Roman" w:hAnsi="Times New Roman" w:cs="Times New Roman"/>
          <w:sz w:val="24"/>
          <w:szCs w:val="24"/>
          <w:lang w:eastAsia="en-GB"/>
        </w:rPr>
        <w:lastRenderedPageBreak/>
        <w:t>of plant–pollinator networks have documented both outcomes within the same community over different time periods (</w:t>
      </w:r>
      <w:r w:rsidRPr="00C8757A">
        <w:rPr>
          <w:rFonts w:ascii="Times New Roman" w:eastAsia="Times New Roman" w:hAnsi="Times New Roman" w:cs="Times New Roman"/>
          <w:bCs/>
          <w:sz w:val="24"/>
          <w:szCs w:val="24"/>
          <w:lang w:eastAsia="en-GB"/>
        </w:rPr>
        <w:t>Freimuth et al., 2022</w:t>
      </w:r>
      <w:r w:rsidRPr="00C8757A">
        <w:rPr>
          <w:rFonts w:ascii="Times New Roman" w:eastAsia="Times New Roman" w:hAnsi="Times New Roman" w:cs="Times New Roman"/>
          <w:sz w:val="24"/>
          <w:szCs w:val="24"/>
          <w:lang w:eastAsia="en-GB"/>
        </w:rPr>
        <w:t>).</w:t>
      </w:r>
    </w:p>
    <w:p w14:paraId="6CB3B05D"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6.2 Evidence of intensifying mismatch under continued warming</w:t>
      </w:r>
    </w:p>
    <w:p w14:paraId="4481BEC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global synthesis of climate-driven changes in plant reproductive traits and pollinator phenology compiled several hundred phenological responses across bees, butterflies and flies, predominantly from temperate biomes, and found that drought reduced both the number of blooming plant species and pollinator abundance within affected systems, indicating that mismatch risk is compounded by precipitation change as well as by temperature shifts acting on timing alone (</w:t>
      </w:r>
      <w:proofErr w:type="spellStart"/>
      <w:r w:rsidRPr="00C8757A">
        <w:rPr>
          <w:rFonts w:ascii="Times New Roman" w:eastAsia="Times New Roman" w:hAnsi="Times New Roman" w:cs="Times New Roman"/>
          <w:b/>
          <w:bCs/>
          <w:sz w:val="24"/>
          <w:szCs w:val="24"/>
          <w:lang w:eastAsia="en-GB"/>
        </w:rPr>
        <w:t>Martén</w:t>
      </w:r>
      <w:proofErr w:type="spellEnd"/>
      <w:r w:rsidRPr="00C8757A">
        <w:rPr>
          <w:rFonts w:ascii="Times New Roman" w:eastAsia="Times New Roman" w:hAnsi="Times New Roman" w:cs="Times New Roman"/>
          <w:b/>
          <w:bCs/>
          <w:sz w:val="24"/>
          <w:szCs w:val="24"/>
          <w:lang w:eastAsia="en-GB"/>
        </w:rPr>
        <w:t>-Rodríguez et al., 2025</w:t>
      </w:r>
      <w:r w:rsidRPr="00C8757A">
        <w:rPr>
          <w:rFonts w:ascii="Times New Roman" w:eastAsia="Times New Roman" w:hAnsi="Times New Roman" w:cs="Times New Roman"/>
          <w:sz w:val="24"/>
          <w:szCs w:val="24"/>
          <w:lang w:eastAsia="en-GB"/>
        </w:rPr>
        <w:t>). This synthesis underscores that mismatch is not solely a phenological timing problem but is also mediated by resource abundance, since reduced flowering under drought can constrain pollinator reproduction even where timing remains synchronised.</w:t>
      </w:r>
    </w:p>
    <w:p w14:paraId="408157E0"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6.3 Consequences for insect reproductive success</w:t>
      </w:r>
    </w:p>
    <w:p w14:paraId="3D14F5F5"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Where mismatch reduces access to floral or host resources during the period in which reproductive maturation or oviposition would normally occur, the reproductive cost is transmitted directly to the insect population, as demonstrated in the bumblebee–</w:t>
      </w:r>
      <w:r w:rsidRPr="00C8757A">
        <w:rPr>
          <w:rFonts w:ascii="Times New Roman" w:eastAsia="Times New Roman" w:hAnsi="Times New Roman" w:cs="Times New Roman"/>
          <w:i/>
          <w:iCs/>
          <w:sz w:val="24"/>
          <w:szCs w:val="24"/>
          <w:lang w:eastAsia="en-GB"/>
        </w:rPr>
        <w:t>Corydalis</w:t>
      </w:r>
      <w:r w:rsidRPr="00C8757A">
        <w:rPr>
          <w:rFonts w:ascii="Times New Roman" w:eastAsia="Times New Roman" w:hAnsi="Times New Roman" w:cs="Times New Roman"/>
          <w:sz w:val="24"/>
          <w:szCs w:val="24"/>
          <w:lang w:eastAsia="en-GB"/>
        </w:rPr>
        <w:t xml:space="preserve"> system described in Section 5.3 (Kudo &amp; Cooper, 2019). Equivalent mechanisms operate in herbivorous and </w:t>
      </w:r>
      <w:proofErr w:type="spellStart"/>
      <w:r w:rsidRPr="00C8757A">
        <w:rPr>
          <w:rFonts w:ascii="Times New Roman" w:eastAsia="Times New Roman" w:hAnsi="Times New Roman" w:cs="Times New Roman"/>
          <w:sz w:val="24"/>
          <w:szCs w:val="24"/>
          <w:lang w:eastAsia="en-GB"/>
        </w:rPr>
        <w:t>parasitoid</w:t>
      </w:r>
      <w:proofErr w:type="spellEnd"/>
      <w:r w:rsidRPr="00C8757A">
        <w:rPr>
          <w:rFonts w:ascii="Times New Roman" w:eastAsia="Times New Roman" w:hAnsi="Times New Roman" w:cs="Times New Roman"/>
          <w:sz w:val="24"/>
          <w:szCs w:val="24"/>
          <w:lang w:eastAsia="en-GB"/>
        </w:rPr>
        <w:t xml:space="preserve"> insects whose larval development depends on synchrony with host plant phenology or host insect availability, although the magnitude of fitness cost varies depending on the degree of dietary or host specialisation: specialist species are generally considered more vulnerable to mismatch than generalists able to shift among alternative resources (</w:t>
      </w:r>
      <w:proofErr w:type="spellStart"/>
      <w:r w:rsidRPr="00C8757A">
        <w:rPr>
          <w:rFonts w:ascii="Times New Roman" w:eastAsia="Times New Roman" w:hAnsi="Times New Roman" w:cs="Times New Roman"/>
          <w:bCs/>
          <w:sz w:val="24"/>
          <w:szCs w:val="24"/>
          <w:lang w:eastAsia="en-GB"/>
        </w:rPr>
        <w:t>Fisogni</w:t>
      </w:r>
      <w:proofErr w:type="spellEnd"/>
      <w:r w:rsidRPr="00C8757A">
        <w:rPr>
          <w:rFonts w:ascii="Times New Roman" w:eastAsia="Times New Roman" w:hAnsi="Times New Roman" w:cs="Times New Roman"/>
          <w:bCs/>
          <w:sz w:val="24"/>
          <w:szCs w:val="24"/>
          <w:lang w:eastAsia="en-GB"/>
        </w:rPr>
        <w:t xml:space="preserve"> et al., 2025</w:t>
      </w:r>
      <w:r w:rsidRPr="00C8757A">
        <w:rPr>
          <w:rFonts w:ascii="Times New Roman" w:eastAsia="Times New Roman" w:hAnsi="Times New Roman" w:cs="Times New Roman"/>
          <w:sz w:val="24"/>
          <w:szCs w:val="24"/>
          <w:lang w:eastAsia="en-GB"/>
        </w:rPr>
        <w:t>).</w:t>
      </w:r>
    </w:p>
    <w:p w14:paraId="682C79B7"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0D4646C9"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7. Ocean Warming, Acidification and Aquatic Arthropod Life Cycles</w:t>
      </w:r>
    </w:p>
    <w:p w14:paraId="5C1656AC"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7.1 Combined thermal and chemical stressors in marine systems</w:t>
      </w:r>
    </w:p>
    <w:p w14:paraId="6007F38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Marine crustaceans face the combined and sometimes interacting pressures of ocean warming and ocean acidification, both consequences of rising atmospheric carbon dioxide concentrations. While the present review focuses primarily on thermal effects, acidification frequently acts in tandem with temperature to influence moulting, exoskeleton calcification and larval condition, and several crustacean studies report that the direction and magnitude of acidification effects can be modified by concurrent warming, such that the two stressors are not simply additive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w:t>
      </w:r>
    </w:p>
    <w:p w14:paraId="2C16633A"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7.2 Latitudinal variation in vulnerability</w:t>
      </w:r>
    </w:p>
    <w:p w14:paraId="71E97219"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Projections for tropical and subtropical crab populations along the Atlantic coast indicate that the negative effects of warming on larval survival and development time are expected to be more pronounced at lower latitudes, where mean sea temperatures already lie closer to upper thermal limits, than at higher latitudes where some warming may initially fall within a more favourable thermal range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This latitudinal asymmetry implies that climate vulnerability in marine arthropods is unlikely to be uniform across a species' range, with range-edge or low-latitude populations facing disproportionate risk.</w:t>
      </w:r>
    </w:p>
    <w:p w14:paraId="23CB149B"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lastRenderedPageBreak/>
        <w:t>7.3 Freshwater crustacean and arachnid considerations</w:t>
      </w:r>
    </w:p>
    <w:p w14:paraId="40E24AF6"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Although the marine literature on crustacean larval thermal sensitivity is comparatively well developed, freshwater crustaceans and aquatic arachnids such as water mites remain comparatively understudied with respect to climate-driven reproductive change, despite playing comparably important roles in freshwater food webs. The temperature–size rule and its oxygen-limitation mechanism, established in part from direct manipulative experiments on the freshwater isopod </w:t>
      </w:r>
      <w:r w:rsidRPr="00C8757A">
        <w:rPr>
          <w:rFonts w:ascii="Times New Roman" w:eastAsia="Times New Roman" w:hAnsi="Times New Roman" w:cs="Times New Roman"/>
          <w:i/>
          <w:iCs/>
          <w:sz w:val="24"/>
          <w:szCs w:val="24"/>
          <w:lang w:eastAsia="en-GB"/>
        </w:rPr>
        <w:t>Asellus aquaticus</w:t>
      </w:r>
      <w:r w:rsidRPr="00C8757A">
        <w:rPr>
          <w:rFonts w:ascii="Times New Roman" w:eastAsia="Times New Roman" w:hAnsi="Times New Roman" w:cs="Times New Roman"/>
          <w:sz w:val="24"/>
          <w:szCs w:val="24"/>
          <w:lang w:eastAsia="en-GB"/>
        </w:rPr>
        <w:t xml:space="preserve">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2015) and supported by cross-species comparisons showing systematically stronger size responses in aquatic than terrestrial arthropods (Forster et al., 2012; Horne et al., 2015), are expected to apply broadly to freshwater crustaceans. Direct experimental confirmation across a wider range of freshwater taxa, and corresponding data on freshwater arachnid reproduction specifically, nonetheless remains a priority research gap.</w:t>
      </w:r>
    </w:p>
    <w:p w14:paraId="4462923D"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149103F5"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8. Drought, Precipitation Change and Terrestrial Arthropod Reproduction</w:t>
      </w:r>
    </w:p>
    <w:p w14:paraId="1A5180A8"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8.1 Direct and indirect drought effects</w:t>
      </w:r>
    </w:p>
    <w:p w14:paraId="43C17EC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For terrestrial arthropods, altered precipitation regimes affect reproduction both directly, through desiccation stress on eggs, larvae and adults, and indirectly, through reductions in host-plant quality, floral resource abundance and prey availability. The global synthesis of climate effects on plant–pollinator systems found that drought reduced the number of blooming plant species in both temperate and tropical biomes, with corresponding reductions in pollinator and flower abundance recorded in pollination network studies (</w:t>
      </w:r>
      <w:proofErr w:type="spellStart"/>
      <w:r w:rsidRPr="00C8757A">
        <w:rPr>
          <w:rFonts w:ascii="Times New Roman" w:eastAsia="Times New Roman" w:hAnsi="Times New Roman" w:cs="Times New Roman"/>
          <w:b/>
          <w:bCs/>
          <w:sz w:val="24"/>
          <w:szCs w:val="24"/>
          <w:lang w:eastAsia="en-GB"/>
        </w:rPr>
        <w:t>Martén</w:t>
      </w:r>
      <w:proofErr w:type="spellEnd"/>
      <w:r w:rsidRPr="00C8757A">
        <w:rPr>
          <w:rFonts w:ascii="Times New Roman" w:eastAsia="Times New Roman" w:hAnsi="Times New Roman" w:cs="Times New Roman"/>
          <w:b/>
          <w:bCs/>
          <w:sz w:val="24"/>
          <w:szCs w:val="24"/>
          <w:lang w:eastAsia="en-GB"/>
        </w:rPr>
        <w:t>-Rodríguez et al., 2025</w:t>
      </w:r>
      <w:r w:rsidRPr="00C8757A">
        <w:rPr>
          <w:rFonts w:ascii="Times New Roman" w:eastAsia="Times New Roman" w:hAnsi="Times New Roman" w:cs="Times New Roman"/>
          <w:sz w:val="24"/>
          <w:szCs w:val="24"/>
          <w:lang w:eastAsia="en-GB"/>
        </w:rPr>
        <w:t>). Because many terrestrial arthropods depend on plant phenology for oviposition cues or larval food, drought-driven reductions in host-plant condition can constrain reproduction even where temperature alone would not be limiting.</w:t>
      </w:r>
    </w:p>
    <w:p w14:paraId="712978A6" w14:textId="77777777" w:rsidR="00C8757A" w:rsidRPr="00C8757A" w:rsidRDefault="00C8757A" w:rsidP="00C8757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8757A">
        <w:rPr>
          <w:rFonts w:ascii="Times New Roman" w:eastAsia="Times New Roman" w:hAnsi="Times New Roman" w:cs="Times New Roman"/>
          <w:b/>
          <w:bCs/>
          <w:sz w:val="24"/>
          <w:szCs w:val="24"/>
          <w:lang w:eastAsia="en-GB"/>
        </w:rPr>
        <w:t>8.2 Interaction between drought and thermal stress</w:t>
      </w:r>
    </w:p>
    <w:p w14:paraId="5F0668C5"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Drought and elevated temperature frequently co-occur during heatwave events, and their combined physiological cost to arthropods, through accelerated desiccation alongside heat stress, is generally greater than either stressor acting alone. This compounding relationship is particularly relevant for ground-dwelling arachnids and soil-dwelling arthropod larvae, whose reproductive success depends on maintaining adequate hydration during otherwise temperature-favourable development.</w:t>
      </w:r>
    </w:p>
    <w:p w14:paraId="13EE4023"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361F27C7"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9. Discussion: Cross-Taxon Patterns and Vulnerability</w:t>
      </w:r>
    </w:p>
    <w:p w14:paraId="6445C572"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Drawing together the evidence reviewed above, several patterns recur across very different arthropod lineages. Developmental rate responses to warming are broadly unimodal, with acceleration toward an optimum followed by sharp decline, a pattern documented consistently from terrestrial insects to marine crab larvae (Harvey et al., 2023; </w:t>
      </w: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et al., 2021). The temperature–size rule, while not universal, represents a dominant and mechanistically grounded response linking warming to reduced adult body size and, by extension, reduced fecundity, with the strength of this linkage modified by oxygen </w:t>
      </w:r>
      <w:r w:rsidRPr="00C8757A">
        <w:rPr>
          <w:rFonts w:ascii="Times New Roman" w:eastAsia="Times New Roman" w:hAnsi="Times New Roman" w:cs="Times New Roman"/>
          <w:sz w:val="24"/>
          <w:szCs w:val="24"/>
          <w:lang w:eastAsia="en-GB"/>
        </w:rPr>
        <w:lastRenderedPageBreak/>
        <w:t>availability, nutritional context and the relative aquatic or terrestrial habit of the species concerned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et al., 2021;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2015; Forster et al., 2012; Horne et al., 2015; Harrison et al., 2018; </w:t>
      </w:r>
      <w:r w:rsidRPr="00C8757A">
        <w:rPr>
          <w:rFonts w:ascii="Times New Roman" w:eastAsia="Times New Roman" w:hAnsi="Times New Roman" w:cs="Times New Roman"/>
          <w:bCs/>
          <w:sz w:val="24"/>
          <w:szCs w:val="24"/>
          <w:lang w:eastAsia="en-GB"/>
        </w:rPr>
        <w:t>Yan et al., 2024</w:t>
      </w:r>
      <w:r w:rsidRPr="00C8757A">
        <w:rPr>
          <w:rFonts w:ascii="Times New Roman" w:eastAsia="Times New Roman" w:hAnsi="Times New Roman" w:cs="Times New Roman"/>
          <w:sz w:val="24"/>
          <w:szCs w:val="24"/>
          <w:lang w:eastAsia="en-GB"/>
        </w:rPr>
        <w:t xml:space="preserve">). Diapause and voltinism stand out as particularly sensitive nodes in the arthropod life cycle precisely because they depend on the alignment of multiple, independently shifting environmental cues; disruption here can manifest as beneficial range or generation expansion in pest species, or as energetically costly desynchronisation in others (Bale &amp; Hayward, 2010; </w:t>
      </w: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xml:space="preserve">, 2019; </w:t>
      </w:r>
      <w:proofErr w:type="spellStart"/>
      <w:r w:rsidRPr="00C8757A">
        <w:rPr>
          <w:rFonts w:ascii="Times New Roman" w:eastAsia="Times New Roman" w:hAnsi="Times New Roman" w:cs="Times New Roman"/>
          <w:sz w:val="24"/>
          <w:szCs w:val="24"/>
          <w:lang w:eastAsia="en-GB"/>
        </w:rPr>
        <w:t>Stoeckli</w:t>
      </w:r>
      <w:proofErr w:type="spellEnd"/>
      <w:r w:rsidRPr="00C8757A">
        <w:rPr>
          <w:rFonts w:ascii="Times New Roman" w:eastAsia="Times New Roman" w:hAnsi="Times New Roman" w:cs="Times New Roman"/>
          <w:sz w:val="24"/>
          <w:szCs w:val="24"/>
          <w:lang w:eastAsia="en-GB"/>
        </w:rPr>
        <w:t xml:space="preserve"> et al., 2012). Reproductive consequences, finally, frequently propagate through interspecific interactions, particularly in pollination systems, such that the climate sensitivity of one partner can determine reproductive outcomes for both (Kudo &amp; Cooper, 2019; Olliff-Yang &amp; Mesler, 2018; </w:t>
      </w:r>
      <w:proofErr w:type="spellStart"/>
      <w:r w:rsidRPr="00C8757A">
        <w:rPr>
          <w:rFonts w:ascii="Times New Roman" w:eastAsia="Times New Roman" w:hAnsi="Times New Roman" w:cs="Times New Roman"/>
          <w:bCs/>
          <w:sz w:val="24"/>
          <w:szCs w:val="24"/>
          <w:lang w:eastAsia="en-GB"/>
        </w:rPr>
        <w:t>Martén</w:t>
      </w:r>
      <w:proofErr w:type="spellEnd"/>
      <w:r w:rsidRPr="00C8757A">
        <w:rPr>
          <w:rFonts w:ascii="Times New Roman" w:eastAsia="Times New Roman" w:hAnsi="Times New Roman" w:cs="Times New Roman"/>
          <w:bCs/>
          <w:sz w:val="24"/>
          <w:szCs w:val="24"/>
          <w:lang w:eastAsia="en-GB"/>
        </w:rPr>
        <w:t>-Rodríguez et al., 2025</w:t>
      </w:r>
      <w:r w:rsidRPr="00C8757A">
        <w:rPr>
          <w:rFonts w:ascii="Times New Roman" w:eastAsia="Times New Roman" w:hAnsi="Times New Roman" w:cs="Times New Roman"/>
          <w:sz w:val="24"/>
          <w:szCs w:val="24"/>
          <w:lang w:eastAsia="en-GB"/>
        </w:rPr>
        <w:t>).</w:t>
      </w:r>
    </w:p>
    <w:p w14:paraId="63B4A38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A notable asymmetry in the evidence base is the comparative depth of research on agricultural pest insects and commercially important marine crustaceans relative to non-pest terrestrial insects, freshwater arthropods and most arachnid and myriapod groups. This bias likely reflects funding priorities tied to economic interest rather than ecological importance, and it constrains the generality of conclusions that can currently be drawn about arthropod responses to climate change as a whole.</w:t>
      </w:r>
    </w:p>
    <w:p w14:paraId="23F2F260"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3A490F69"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10. Future Directions</w:t>
      </w:r>
    </w:p>
    <w:p w14:paraId="1FE11460"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Future research would benefit from multigenerational experimental designs that track fecundity, sex allocation and offspring viability across several successive generations under realistic warming scenarios, since most current evidence derives from single-generation exposures that may understate or overstate longer-term reproductive consequences. Greater integration of thermal stress with concurrent drought, precipitation variability and, in aquatic systems, acidification would better reflect the multifactorial nature of climate change as experienced by arthropod populations in the field. Long-term phenological monitoring programmes, particularly for non-pest insects, freshwater crustaceans and arachnids, would help close the substantial taxonomic gap identified in this review. Trait-based and mechanistic models linking individual thermal performance curves to population-level voltinism and fecundity outcomes offer a promising route toward more reliable forecasting, provided they are parameterised with data from a broader range of taxa than currently available. Closer collaboration between entomological, crustacean and pollination-ecology research communities would, finally, help develop a genuinely cross-taxon predictive framework rather than the currently fragmented, lineage-specific body of evidence.</w:t>
      </w:r>
    </w:p>
    <w:p w14:paraId="18D76990"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11. Conclusions</w:t>
      </w:r>
    </w:p>
    <w:p w14:paraId="1AF9861E"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Climate change is altering the metamorphosis and reproduction of arthropods through interacting effects on developmental rate, body size, diapause timing, voltinism and the synchrony of interspecific interactions. Warming generally accelerates development up to a thermal optimum before impairing it, frequently reduces adult body size through the temperature–size rule with consequent costs to fecundity, and disrupts the photoperiod–temperature cue combinations that govern diapause induction and termination, producing shifts toward increased voltinism in many facultatively diapausing species. Reproductive consequences are evident across terrestrial insects, marine and presumably freshwater crustaceans, and pollination systems, where phenological mismatch between interacting </w:t>
      </w:r>
      <w:r w:rsidRPr="00C8757A">
        <w:rPr>
          <w:rFonts w:ascii="Times New Roman" w:eastAsia="Times New Roman" w:hAnsi="Times New Roman" w:cs="Times New Roman"/>
          <w:sz w:val="24"/>
          <w:szCs w:val="24"/>
          <w:lang w:eastAsia="en-GB"/>
        </w:rPr>
        <w:lastRenderedPageBreak/>
        <w:t>species can transmit climate sensitivity from one partner to another. The evidence base, while substantial for agricultural pests and commercially important marine crustaceans, remains markedly thinner for the majority of non-pest terrestrial arthropods, freshwater taxa and arachnids, limiting the confidence with which broad cross-taxon predictions can currently be made.</w:t>
      </w:r>
    </w:p>
    <w:p w14:paraId="719AE757"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12. Limitations</w:t>
      </w:r>
    </w:p>
    <w:p w14:paraId="5EA9E885" w14:textId="77777777" w:rsid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This review is narrative rather than systematic in design, and although a structured search strategy was applied, it did not involve formal risk-of-bias assessment or quantitative effect-size pooling, meaning that the relative strength of evidence across studies could not be statistically weighted. The restriction to English-language, peer-reviewed sources will have excluded relevant findings published in other languages or in grey literature. The evidence synthesised is also unevenly distributed across taxa, with agricultural pest insects and commercially significant marine crustaceans considerably overrepresented relative to most other arthropod groups, a bias that reflects the underlying literature rather than a deliberate choice in this review and that constrains the generality of the conclusions drawn.</w:t>
      </w:r>
    </w:p>
    <w:p w14:paraId="06CD5152" w14:textId="77777777" w:rsidR="00D61849" w:rsidRDefault="00D61849" w:rsidP="00C8757A">
      <w:pPr>
        <w:spacing w:before="100" w:beforeAutospacing="1" w:after="100" w:afterAutospacing="1" w:line="240" w:lineRule="auto"/>
        <w:rPr>
          <w:rFonts w:ascii="Times New Roman" w:eastAsia="Times New Roman" w:hAnsi="Times New Roman" w:cs="Times New Roman"/>
          <w:sz w:val="24"/>
          <w:szCs w:val="24"/>
          <w:lang w:eastAsia="en-GB"/>
        </w:rPr>
      </w:pPr>
    </w:p>
    <w:p w14:paraId="291EAA47" w14:textId="77777777" w:rsidR="00D61849" w:rsidRPr="00C04DA0" w:rsidRDefault="00D61849" w:rsidP="00D61849">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187727BC" w14:textId="77777777" w:rsidR="00D61849" w:rsidRPr="00C04DA0" w:rsidRDefault="00D61849" w:rsidP="00D61849">
      <w:pPr>
        <w:spacing w:after="0" w:line="240" w:lineRule="auto"/>
        <w:rPr>
          <w:rFonts w:ascii="Times New Roman" w:eastAsia="Calibri" w:hAnsi="Times New Roman" w:cs="Times New Roman"/>
        </w:rPr>
      </w:pPr>
    </w:p>
    <w:p w14:paraId="2E3C1BC8" w14:textId="77777777" w:rsidR="00D61849" w:rsidRDefault="00D61849" w:rsidP="00D61849">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C033A2" w14:textId="77777777" w:rsidR="00D61849" w:rsidRPr="00C04DA0" w:rsidRDefault="00D61849" w:rsidP="00D61849">
      <w:pPr>
        <w:spacing w:after="0" w:line="240" w:lineRule="auto"/>
        <w:jc w:val="both"/>
        <w:rPr>
          <w:rFonts w:ascii="Times New Roman" w:eastAsia="Calibri" w:hAnsi="Times New Roman" w:cs="Times New Roman"/>
        </w:rPr>
      </w:pPr>
    </w:p>
    <w:p w14:paraId="3FB28E8F" w14:textId="77777777" w:rsidR="00D61849" w:rsidRPr="00D61849" w:rsidRDefault="00D61849" w:rsidP="00D61849">
      <w:pPr>
        <w:rPr>
          <w:rFonts w:ascii="Times New Roman" w:eastAsiaTheme="minorEastAsia" w:hAnsi="Times New Roman" w:cs="Times New Roman"/>
          <w:b/>
          <w:bCs/>
          <w:lang w:eastAsia="en-GB"/>
        </w:rPr>
      </w:pPr>
      <w:r w:rsidRPr="00D61849">
        <w:rPr>
          <w:rFonts w:ascii="Times New Roman" w:eastAsiaTheme="minorEastAsia" w:hAnsi="Times New Roman" w:cs="Times New Roman"/>
          <w:b/>
          <w:bCs/>
          <w:lang w:eastAsia="en-GB"/>
        </w:rPr>
        <w:t>COMPETING INTERESTS DISCLAIMER:</w:t>
      </w:r>
    </w:p>
    <w:p w14:paraId="4013D0E7" w14:textId="77777777" w:rsidR="00D61849" w:rsidRPr="00D61849" w:rsidRDefault="00D61849" w:rsidP="00D61849">
      <w:pPr>
        <w:rPr>
          <w:rFonts w:ascii="Times New Roman" w:eastAsiaTheme="minorEastAsia" w:hAnsi="Times New Roman" w:cs="Times New Roman"/>
          <w:lang w:eastAsia="en-GB"/>
        </w:rPr>
      </w:pPr>
      <w:r w:rsidRPr="00D61849">
        <w:rPr>
          <w:rFonts w:ascii="Times New Roman" w:eastAsiaTheme="minorEastAsia" w:hAnsi="Times New Roman" w:cs="Times New Roman"/>
          <w:lang w:eastAsia="en-GB"/>
        </w:rPr>
        <w:t>Authors have declared that they have no known competing financial interests OR non-financial interests OR personal relationships that could have appeared to influence the work reported in this paper.</w:t>
      </w:r>
    </w:p>
    <w:p w14:paraId="0686442D" w14:textId="77777777" w:rsidR="00D61849" w:rsidRPr="00D61849" w:rsidRDefault="00D61849" w:rsidP="00C8757A">
      <w:pPr>
        <w:spacing w:before="100" w:beforeAutospacing="1" w:after="100" w:afterAutospacing="1" w:line="240" w:lineRule="auto"/>
        <w:rPr>
          <w:rFonts w:ascii="Times New Roman" w:eastAsia="Times New Roman" w:hAnsi="Times New Roman" w:cs="Times New Roman"/>
          <w:sz w:val="24"/>
          <w:szCs w:val="24"/>
          <w:lang w:eastAsia="en-GB"/>
        </w:rPr>
      </w:pPr>
    </w:p>
    <w:p w14:paraId="374A1028" w14:textId="77777777" w:rsidR="00C8757A" w:rsidRPr="00C8757A" w:rsidRDefault="00C8757A" w:rsidP="00C8757A">
      <w:pPr>
        <w:spacing w:after="0" w:line="240" w:lineRule="auto"/>
        <w:rPr>
          <w:rFonts w:ascii="Times New Roman" w:eastAsia="Times New Roman" w:hAnsi="Times New Roman" w:cs="Times New Roman"/>
          <w:sz w:val="24"/>
          <w:szCs w:val="24"/>
          <w:lang w:eastAsia="en-GB"/>
        </w:rPr>
      </w:pPr>
    </w:p>
    <w:p w14:paraId="2F5AA034" w14:textId="77777777" w:rsidR="00C8757A" w:rsidRPr="00C8757A" w:rsidRDefault="00C8757A" w:rsidP="00C8757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8757A">
        <w:rPr>
          <w:rFonts w:ascii="Times New Roman" w:eastAsia="Times New Roman" w:hAnsi="Times New Roman" w:cs="Times New Roman"/>
          <w:b/>
          <w:bCs/>
          <w:sz w:val="27"/>
          <w:szCs w:val="27"/>
          <w:lang w:eastAsia="en-GB"/>
        </w:rPr>
        <w:t>References</w:t>
      </w:r>
    </w:p>
    <w:p w14:paraId="42C0C448"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Bale, J. S., &amp; Hayward, S. A. L. (2010). Insect overwintering in a changing climate. </w:t>
      </w:r>
      <w:r w:rsidRPr="00C8757A">
        <w:rPr>
          <w:rFonts w:ascii="Times New Roman" w:eastAsia="Times New Roman" w:hAnsi="Times New Roman" w:cs="Times New Roman"/>
          <w:i/>
          <w:iCs/>
          <w:sz w:val="24"/>
          <w:szCs w:val="24"/>
          <w:lang w:eastAsia="en-GB"/>
        </w:rPr>
        <w:t>Journal of Experimental Biology, 213</w:t>
      </w:r>
      <w:r w:rsidRPr="00C8757A">
        <w:rPr>
          <w:rFonts w:ascii="Times New Roman" w:eastAsia="Times New Roman" w:hAnsi="Times New Roman" w:cs="Times New Roman"/>
          <w:sz w:val="24"/>
          <w:szCs w:val="24"/>
          <w:lang w:eastAsia="en-GB"/>
        </w:rPr>
        <w:t xml:space="preserve">(6), 980–994. </w:t>
      </w:r>
      <w:r w:rsidRPr="00C8757A">
        <w:rPr>
          <w:rFonts w:ascii="Times New Roman" w:eastAsia="Times New Roman" w:hAnsi="Times New Roman" w:cs="Times New Roman"/>
          <w:color w:val="0000FF"/>
          <w:sz w:val="24"/>
          <w:szCs w:val="24"/>
          <w:u w:val="single"/>
          <w:lang w:eastAsia="en-GB"/>
        </w:rPr>
        <w:t>https://doi.org/10.1242/jeb.037911</w:t>
      </w:r>
    </w:p>
    <w:p w14:paraId="7836CC61"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Baethge</w:t>
      </w:r>
      <w:proofErr w:type="spellEnd"/>
      <w:r w:rsidRPr="00C8757A">
        <w:rPr>
          <w:rFonts w:ascii="Times New Roman" w:eastAsia="Times New Roman" w:hAnsi="Times New Roman" w:cs="Times New Roman"/>
          <w:sz w:val="24"/>
          <w:szCs w:val="24"/>
          <w:lang w:eastAsia="en-GB"/>
        </w:rPr>
        <w:t xml:space="preserve">, C., Goldbeck-Wood, S., &amp; Mertens, S. (2019). SANRA—a scale for the quality assessment of narrative review articles. </w:t>
      </w:r>
      <w:r w:rsidRPr="00C8757A">
        <w:rPr>
          <w:rFonts w:ascii="Times New Roman" w:eastAsia="Times New Roman" w:hAnsi="Times New Roman" w:cs="Times New Roman"/>
          <w:i/>
          <w:iCs/>
          <w:sz w:val="24"/>
          <w:szCs w:val="24"/>
          <w:lang w:eastAsia="en-GB"/>
        </w:rPr>
        <w:t>Research Integrity and Peer Review, 4</w:t>
      </w:r>
      <w:r w:rsidRPr="00C8757A">
        <w:rPr>
          <w:rFonts w:ascii="Times New Roman" w:eastAsia="Times New Roman" w:hAnsi="Times New Roman" w:cs="Times New Roman"/>
          <w:sz w:val="24"/>
          <w:szCs w:val="24"/>
          <w:lang w:eastAsia="en-GB"/>
        </w:rPr>
        <w:t xml:space="preserve">(1), 5. </w:t>
      </w:r>
      <w:r w:rsidRPr="00C8757A">
        <w:rPr>
          <w:rFonts w:ascii="Times New Roman" w:eastAsia="Times New Roman" w:hAnsi="Times New Roman" w:cs="Times New Roman"/>
          <w:color w:val="0000FF"/>
          <w:sz w:val="24"/>
          <w:szCs w:val="24"/>
          <w:u w:val="single"/>
          <w:lang w:eastAsia="en-GB"/>
        </w:rPr>
        <w:t>https://doi.org/10.1186/s41073-019-0064-8</w:t>
      </w:r>
    </w:p>
    <w:p w14:paraId="694B975A"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lastRenderedPageBreak/>
        <w:t xml:space="preserve">Durak, R., </w:t>
      </w:r>
      <w:proofErr w:type="spellStart"/>
      <w:r w:rsidRPr="00C8757A">
        <w:rPr>
          <w:rFonts w:ascii="Times New Roman" w:eastAsia="Times New Roman" w:hAnsi="Times New Roman" w:cs="Times New Roman"/>
          <w:bCs/>
          <w:sz w:val="24"/>
          <w:szCs w:val="24"/>
          <w:lang w:eastAsia="en-GB"/>
        </w:rPr>
        <w:t>Materowska</w:t>
      </w:r>
      <w:proofErr w:type="spellEnd"/>
      <w:r w:rsidRPr="00C8757A">
        <w:rPr>
          <w:rFonts w:ascii="Times New Roman" w:eastAsia="Times New Roman" w:hAnsi="Times New Roman" w:cs="Times New Roman"/>
          <w:bCs/>
          <w:sz w:val="24"/>
          <w:szCs w:val="24"/>
          <w:lang w:eastAsia="en-GB"/>
        </w:rPr>
        <w:t xml:space="preserve">, M., Bartoszewski, S., &amp; </w:t>
      </w:r>
      <w:proofErr w:type="spellStart"/>
      <w:r w:rsidRPr="00C8757A">
        <w:rPr>
          <w:rFonts w:ascii="Times New Roman" w:eastAsia="Times New Roman" w:hAnsi="Times New Roman" w:cs="Times New Roman"/>
          <w:bCs/>
          <w:sz w:val="24"/>
          <w:szCs w:val="24"/>
          <w:lang w:eastAsia="en-GB"/>
        </w:rPr>
        <w:t>Misiorek</w:t>
      </w:r>
      <w:proofErr w:type="spellEnd"/>
      <w:r w:rsidRPr="00C8757A">
        <w:rPr>
          <w:rFonts w:ascii="Times New Roman" w:eastAsia="Times New Roman" w:hAnsi="Times New Roman" w:cs="Times New Roman"/>
          <w:bCs/>
          <w:sz w:val="24"/>
          <w:szCs w:val="24"/>
          <w:lang w:eastAsia="en-GB"/>
        </w:rPr>
        <w:t>, M. (2026). Temperature-dependent regulation of diapause and hatching success in aphids: Implications for climate change.</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Environmental Entomology, 55</w:t>
      </w:r>
      <w:r w:rsidRPr="00C8757A">
        <w:rPr>
          <w:rFonts w:ascii="Times New Roman" w:eastAsia="Times New Roman" w:hAnsi="Times New Roman" w:cs="Times New Roman"/>
          <w:sz w:val="24"/>
          <w:szCs w:val="24"/>
          <w:lang w:eastAsia="en-GB"/>
        </w:rPr>
        <w:t xml:space="preserve">(2), nvag013. </w:t>
      </w:r>
      <w:r w:rsidRPr="00C8757A">
        <w:rPr>
          <w:rFonts w:ascii="Times New Roman" w:eastAsia="Times New Roman" w:hAnsi="Times New Roman" w:cs="Times New Roman"/>
          <w:color w:val="0000FF"/>
          <w:sz w:val="24"/>
          <w:szCs w:val="24"/>
          <w:u w:val="single"/>
          <w:lang w:eastAsia="en-GB"/>
        </w:rPr>
        <w:t>https://doi.org/10.1093/ee/nvag013</w:t>
      </w:r>
    </w:p>
    <w:p w14:paraId="13FA4A1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 xml:space="preserve">Fisogni, A., de </w:t>
      </w:r>
      <w:proofErr w:type="spellStart"/>
      <w:r w:rsidRPr="00C8757A">
        <w:rPr>
          <w:rFonts w:ascii="Times New Roman" w:eastAsia="Times New Roman" w:hAnsi="Times New Roman" w:cs="Times New Roman"/>
          <w:bCs/>
          <w:sz w:val="24"/>
          <w:szCs w:val="24"/>
          <w:lang w:eastAsia="en-GB"/>
        </w:rPr>
        <w:t>Manincor</w:t>
      </w:r>
      <w:proofErr w:type="spellEnd"/>
      <w:r w:rsidRPr="00C8757A">
        <w:rPr>
          <w:rFonts w:ascii="Times New Roman" w:eastAsia="Times New Roman" w:hAnsi="Times New Roman" w:cs="Times New Roman"/>
          <w:bCs/>
          <w:sz w:val="24"/>
          <w:szCs w:val="24"/>
          <w:lang w:eastAsia="en-GB"/>
        </w:rPr>
        <w:t xml:space="preserve">, N., </w:t>
      </w:r>
      <w:proofErr w:type="spellStart"/>
      <w:r w:rsidRPr="00C8757A">
        <w:rPr>
          <w:rFonts w:ascii="Times New Roman" w:eastAsia="Times New Roman" w:hAnsi="Times New Roman" w:cs="Times New Roman"/>
          <w:bCs/>
          <w:sz w:val="24"/>
          <w:szCs w:val="24"/>
          <w:lang w:eastAsia="en-GB"/>
        </w:rPr>
        <w:t>Kaminskaia</w:t>
      </w:r>
      <w:proofErr w:type="spellEnd"/>
      <w:r w:rsidRPr="00C8757A">
        <w:rPr>
          <w:rFonts w:ascii="Times New Roman" w:eastAsia="Times New Roman" w:hAnsi="Times New Roman" w:cs="Times New Roman"/>
          <w:bCs/>
          <w:sz w:val="24"/>
          <w:szCs w:val="24"/>
          <w:lang w:eastAsia="en-GB"/>
        </w:rPr>
        <w:t>, E., &amp; Rafferty, N. E. (2025). Complexities of phenological shifts for plant–pollinator interactions and ways forward.</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Integrative and Comparative Biology, 65</w:t>
      </w:r>
      <w:r w:rsidRPr="00C8757A">
        <w:rPr>
          <w:rFonts w:ascii="Times New Roman" w:eastAsia="Times New Roman" w:hAnsi="Times New Roman" w:cs="Times New Roman"/>
          <w:sz w:val="24"/>
          <w:szCs w:val="24"/>
          <w:lang w:eastAsia="en-GB"/>
        </w:rPr>
        <w:t xml:space="preserve">(4), 932–945. </w:t>
      </w:r>
      <w:r w:rsidRPr="00C8757A">
        <w:rPr>
          <w:rFonts w:ascii="Times New Roman" w:eastAsia="Times New Roman" w:hAnsi="Times New Roman" w:cs="Times New Roman"/>
          <w:color w:val="0000FF"/>
          <w:sz w:val="24"/>
          <w:szCs w:val="24"/>
          <w:u w:val="single"/>
          <w:lang w:eastAsia="en-GB"/>
        </w:rPr>
        <w:t>https://doi.org/10.1093/icb/icaf034</w:t>
      </w:r>
    </w:p>
    <w:p w14:paraId="03F9FC0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Forster, J., Hirst, A. G., &amp; Atkinson, D. (2012). Warming-induced reductions in body size are greater in aquatic than terrestrial species. </w:t>
      </w:r>
      <w:r w:rsidRPr="00C8757A">
        <w:rPr>
          <w:rFonts w:ascii="Times New Roman" w:eastAsia="Times New Roman" w:hAnsi="Times New Roman" w:cs="Times New Roman"/>
          <w:i/>
          <w:iCs/>
          <w:sz w:val="24"/>
          <w:szCs w:val="24"/>
          <w:lang w:eastAsia="en-GB"/>
        </w:rPr>
        <w:t>Proceedings of the National Academy of Sciences, 109</w:t>
      </w:r>
      <w:r w:rsidRPr="00C8757A">
        <w:rPr>
          <w:rFonts w:ascii="Times New Roman" w:eastAsia="Times New Roman" w:hAnsi="Times New Roman" w:cs="Times New Roman"/>
          <w:sz w:val="24"/>
          <w:szCs w:val="24"/>
          <w:lang w:eastAsia="en-GB"/>
        </w:rPr>
        <w:t xml:space="preserve">(47), 19310–19314. </w:t>
      </w:r>
      <w:r w:rsidRPr="00C8757A">
        <w:rPr>
          <w:rFonts w:ascii="Times New Roman" w:eastAsia="Times New Roman" w:hAnsi="Times New Roman" w:cs="Times New Roman"/>
          <w:color w:val="0000FF"/>
          <w:sz w:val="24"/>
          <w:szCs w:val="24"/>
          <w:u w:val="single"/>
          <w:lang w:eastAsia="en-GB"/>
        </w:rPr>
        <w:t>https://doi.org/10.1073/pnas.1210460109</w:t>
      </w:r>
    </w:p>
    <w:p w14:paraId="28464294"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 xml:space="preserve">Freimuth, J., </w:t>
      </w:r>
      <w:proofErr w:type="spellStart"/>
      <w:r w:rsidRPr="00C8757A">
        <w:rPr>
          <w:rFonts w:ascii="Times New Roman" w:eastAsia="Times New Roman" w:hAnsi="Times New Roman" w:cs="Times New Roman"/>
          <w:bCs/>
          <w:sz w:val="24"/>
          <w:szCs w:val="24"/>
          <w:lang w:eastAsia="en-GB"/>
        </w:rPr>
        <w:t>Bossdorf</w:t>
      </w:r>
      <w:proofErr w:type="spellEnd"/>
      <w:r w:rsidRPr="00C8757A">
        <w:rPr>
          <w:rFonts w:ascii="Times New Roman" w:eastAsia="Times New Roman" w:hAnsi="Times New Roman" w:cs="Times New Roman"/>
          <w:bCs/>
          <w:sz w:val="24"/>
          <w:szCs w:val="24"/>
          <w:lang w:eastAsia="en-GB"/>
        </w:rPr>
        <w:t>, O., Scheepens, J. F., &amp; Willems, F. M. (2022). Climate warming changes synchrony of plants and pollinators.</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Proceedings of the Royal Society B: Biological Sciences, 289</w:t>
      </w:r>
      <w:r w:rsidRPr="00C8757A">
        <w:rPr>
          <w:rFonts w:ascii="Times New Roman" w:eastAsia="Times New Roman" w:hAnsi="Times New Roman" w:cs="Times New Roman"/>
          <w:sz w:val="24"/>
          <w:szCs w:val="24"/>
          <w:lang w:eastAsia="en-GB"/>
        </w:rPr>
        <w:t xml:space="preserve">(1971), 20212142. </w:t>
      </w:r>
      <w:r w:rsidRPr="00C8757A">
        <w:rPr>
          <w:rFonts w:ascii="Times New Roman" w:eastAsia="Times New Roman" w:hAnsi="Times New Roman" w:cs="Times New Roman"/>
          <w:color w:val="0000FF"/>
          <w:sz w:val="24"/>
          <w:szCs w:val="24"/>
          <w:u w:val="single"/>
          <w:lang w:eastAsia="en-GB"/>
        </w:rPr>
        <w:t>https://doi.org/10.1098/rspb.2021.2142</w:t>
      </w:r>
    </w:p>
    <w:p w14:paraId="2A74FDC9"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Greenhalgh, T., Thorne, S., &amp; </w:t>
      </w:r>
      <w:proofErr w:type="spellStart"/>
      <w:r w:rsidRPr="00C8757A">
        <w:rPr>
          <w:rFonts w:ascii="Times New Roman" w:eastAsia="Times New Roman" w:hAnsi="Times New Roman" w:cs="Times New Roman"/>
          <w:sz w:val="24"/>
          <w:szCs w:val="24"/>
          <w:lang w:eastAsia="en-GB"/>
        </w:rPr>
        <w:t>Malterud</w:t>
      </w:r>
      <w:proofErr w:type="spellEnd"/>
      <w:r w:rsidRPr="00C8757A">
        <w:rPr>
          <w:rFonts w:ascii="Times New Roman" w:eastAsia="Times New Roman" w:hAnsi="Times New Roman" w:cs="Times New Roman"/>
          <w:sz w:val="24"/>
          <w:szCs w:val="24"/>
          <w:lang w:eastAsia="en-GB"/>
        </w:rPr>
        <w:t xml:space="preserve">, K. (2018). Time to challenge the spurious hierarchy of systematic over narrative reviews? </w:t>
      </w:r>
      <w:r w:rsidRPr="00C8757A">
        <w:rPr>
          <w:rFonts w:ascii="Times New Roman" w:eastAsia="Times New Roman" w:hAnsi="Times New Roman" w:cs="Times New Roman"/>
          <w:i/>
          <w:iCs/>
          <w:sz w:val="24"/>
          <w:szCs w:val="24"/>
          <w:lang w:eastAsia="en-GB"/>
        </w:rPr>
        <w:t>European Journal of Clinical Investigation, 48</w:t>
      </w:r>
      <w:r w:rsidRPr="00C8757A">
        <w:rPr>
          <w:rFonts w:ascii="Times New Roman" w:eastAsia="Times New Roman" w:hAnsi="Times New Roman" w:cs="Times New Roman"/>
          <w:sz w:val="24"/>
          <w:szCs w:val="24"/>
          <w:lang w:eastAsia="en-GB"/>
        </w:rPr>
        <w:t xml:space="preserve">(6), e12931. </w:t>
      </w:r>
      <w:r w:rsidRPr="00C8757A">
        <w:rPr>
          <w:rFonts w:ascii="Times New Roman" w:eastAsia="Times New Roman" w:hAnsi="Times New Roman" w:cs="Times New Roman"/>
          <w:color w:val="0000FF"/>
          <w:sz w:val="24"/>
          <w:szCs w:val="24"/>
          <w:u w:val="single"/>
          <w:lang w:eastAsia="en-GB"/>
        </w:rPr>
        <w:t>https://doi.org/10.1111/eci.12931</w:t>
      </w:r>
    </w:p>
    <w:p w14:paraId="6538CF93"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Harrison, J. F., Greenlee, K. J.,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W. C. E. P. (2018). Functional hypoxia in insects: Definition, assessment, and consequences for physiology, ecology and evolution. </w:t>
      </w:r>
      <w:r w:rsidRPr="00C8757A">
        <w:rPr>
          <w:rFonts w:ascii="Times New Roman" w:eastAsia="Times New Roman" w:hAnsi="Times New Roman" w:cs="Times New Roman"/>
          <w:i/>
          <w:iCs/>
          <w:sz w:val="24"/>
          <w:szCs w:val="24"/>
          <w:lang w:eastAsia="en-GB"/>
        </w:rPr>
        <w:t>Annual Review of Entomology, 63</w:t>
      </w:r>
      <w:r w:rsidRPr="00C8757A">
        <w:rPr>
          <w:rFonts w:ascii="Times New Roman" w:eastAsia="Times New Roman" w:hAnsi="Times New Roman" w:cs="Times New Roman"/>
          <w:sz w:val="24"/>
          <w:szCs w:val="24"/>
          <w:lang w:eastAsia="en-GB"/>
        </w:rPr>
        <w:t xml:space="preserve">, 303–325. </w:t>
      </w:r>
      <w:r w:rsidRPr="00C8757A">
        <w:rPr>
          <w:rFonts w:ascii="Times New Roman" w:eastAsia="Times New Roman" w:hAnsi="Times New Roman" w:cs="Times New Roman"/>
          <w:color w:val="0000FF"/>
          <w:sz w:val="24"/>
          <w:szCs w:val="24"/>
          <w:u w:val="single"/>
          <w:lang w:eastAsia="en-GB"/>
        </w:rPr>
        <w:t>https://doi.org/10.1146/annurev-ento-020117-043145</w:t>
      </w:r>
    </w:p>
    <w:p w14:paraId="4F802626"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 xml:space="preserve">Harvey, J. A., </w:t>
      </w:r>
      <w:proofErr w:type="spellStart"/>
      <w:r w:rsidRPr="00C8757A">
        <w:rPr>
          <w:rFonts w:ascii="Times New Roman" w:eastAsia="Times New Roman" w:hAnsi="Times New Roman" w:cs="Times New Roman"/>
          <w:bCs/>
          <w:sz w:val="24"/>
          <w:szCs w:val="24"/>
          <w:lang w:eastAsia="en-GB"/>
        </w:rPr>
        <w:t>Tougeron</w:t>
      </w:r>
      <w:proofErr w:type="spellEnd"/>
      <w:r w:rsidRPr="00C8757A">
        <w:rPr>
          <w:rFonts w:ascii="Times New Roman" w:eastAsia="Times New Roman" w:hAnsi="Times New Roman" w:cs="Times New Roman"/>
          <w:bCs/>
          <w:sz w:val="24"/>
          <w:szCs w:val="24"/>
          <w:lang w:eastAsia="en-GB"/>
        </w:rPr>
        <w:t xml:space="preserve">, K., </w:t>
      </w:r>
      <w:proofErr w:type="spellStart"/>
      <w:r w:rsidRPr="00C8757A">
        <w:rPr>
          <w:rFonts w:ascii="Times New Roman" w:eastAsia="Times New Roman" w:hAnsi="Times New Roman" w:cs="Times New Roman"/>
          <w:bCs/>
          <w:sz w:val="24"/>
          <w:szCs w:val="24"/>
          <w:lang w:eastAsia="en-GB"/>
        </w:rPr>
        <w:t>Gols</w:t>
      </w:r>
      <w:proofErr w:type="spellEnd"/>
      <w:r w:rsidRPr="00C8757A">
        <w:rPr>
          <w:rFonts w:ascii="Times New Roman" w:eastAsia="Times New Roman" w:hAnsi="Times New Roman" w:cs="Times New Roman"/>
          <w:bCs/>
          <w:sz w:val="24"/>
          <w:szCs w:val="24"/>
          <w:lang w:eastAsia="en-GB"/>
        </w:rPr>
        <w:t xml:space="preserve">, R., Heinen, R., Abarca, M., Abram, P. K., Basset, Y., Berg, M., Boggs, C., Brodeur, J., Cardoso, P., de Boer, J. G., De Snoo, G. R., Deacon, C., Dell, J. E., </w:t>
      </w:r>
      <w:proofErr w:type="spellStart"/>
      <w:r w:rsidRPr="00C8757A">
        <w:rPr>
          <w:rFonts w:ascii="Times New Roman" w:eastAsia="Times New Roman" w:hAnsi="Times New Roman" w:cs="Times New Roman"/>
          <w:bCs/>
          <w:sz w:val="24"/>
          <w:szCs w:val="24"/>
          <w:lang w:eastAsia="en-GB"/>
        </w:rPr>
        <w:t>Desneux</w:t>
      </w:r>
      <w:proofErr w:type="spellEnd"/>
      <w:r w:rsidRPr="00C8757A">
        <w:rPr>
          <w:rFonts w:ascii="Times New Roman" w:eastAsia="Times New Roman" w:hAnsi="Times New Roman" w:cs="Times New Roman"/>
          <w:bCs/>
          <w:sz w:val="24"/>
          <w:szCs w:val="24"/>
          <w:lang w:eastAsia="en-GB"/>
        </w:rPr>
        <w:t>, N., Dillon, M. E., Duffy, G. A., Dyer, L. A., . . . Chown, S. L. (2023). Scientists' warning on climate change and insects.</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Ecological Monographs, 93</w:t>
      </w:r>
      <w:r w:rsidRPr="00C8757A">
        <w:rPr>
          <w:rFonts w:ascii="Times New Roman" w:eastAsia="Times New Roman" w:hAnsi="Times New Roman" w:cs="Times New Roman"/>
          <w:sz w:val="24"/>
          <w:szCs w:val="24"/>
          <w:lang w:eastAsia="en-GB"/>
        </w:rPr>
        <w:t xml:space="preserve">(1), e1553. </w:t>
      </w:r>
      <w:r w:rsidRPr="00C8757A">
        <w:rPr>
          <w:rFonts w:ascii="Times New Roman" w:eastAsia="Times New Roman" w:hAnsi="Times New Roman" w:cs="Times New Roman"/>
          <w:color w:val="0000FF"/>
          <w:sz w:val="24"/>
          <w:szCs w:val="24"/>
          <w:u w:val="single"/>
          <w:lang w:eastAsia="en-GB"/>
        </w:rPr>
        <w:t>https://doi.org/10.1002/ecm.1553</w:t>
      </w:r>
    </w:p>
    <w:p w14:paraId="0244614A"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K. N., &amp; </w:t>
      </w: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W. C. E. P. (2015). Is the temperature-size rule mediated by oxygen in aquatic ectotherms? </w:t>
      </w:r>
      <w:r w:rsidRPr="00C8757A">
        <w:rPr>
          <w:rFonts w:ascii="Times New Roman" w:eastAsia="Times New Roman" w:hAnsi="Times New Roman" w:cs="Times New Roman"/>
          <w:i/>
          <w:iCs/>
          <w:sz w:val="24"/>
          <w:szCs w:val="24"/>
          <w:lang w:eastAsia="en-GB"/>
        </w:rPr>
        <w:t>Journal of Thermal Biology, 54</w:t>
      </w:r>
      <w:r w:rsidRPr="00C8757A">
        <w:rPr>
          <w:rFonts w:ascii="Times New Roman" w:eastAsia="Times New Roman" w:hAnsi="Times New Roman" w:cs="Times New Roman"/>
          <w:sz w:val="24"/>
          <w:szCs w:val="24"/>
          <w:lang w:eastAsia="en-GB"/>
        </w:rPr>
        <w:t xml:space="preserve">, 56–65. </w:t>
      </w:r>
      <w:r w:rsidRPr="00C8757A">
        <w:rPr>
          <w:rFonts w:ascii="Times New Roman" w:eastAsia="Times New Roman" w:hAnsi="Times New Roman" w:cs="Times New Roman"/>
          <w:color w:val="0000FF"/>
          <w:sz w:val="24"/>
          <w:szCs w:val="24"/>
          <w:u w:val="single"/>
          <w:lang w:eastAsia="en-GB"/>
        </w:rPr>
        <w:t>https://doi.org/10.1016/j.jtherbio.2014.12.003</w:t>
      </w:r>
    </w:p>
    <w:p w14:paraId="1455136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Horne, C. R., Hirst, A. G., &amp; Atkinson, D. (2015). Temperature-size responses match latitudinal-size clines in arthropods, revealing critical differences between aquatic and terrestrial species. </w:t>
      </w:r>
      <w:r w:rsidRPr="00C8757A">
        <w:rPr>
          <w:rFonts w:ascii="Times New Roman" w:eastAsia="Times New Roman" w:hAnsi="Times New Roman" w:cs="Times New Roman"/>
          <w:i/>
          <w:iCs/>
          <w:sz w:val="24"/>
          <w:szCs w:val="24"/>
          <w:lang w:eastAsia="en-GB"/>
        </w:rPr>
        <w:t>Ecology Letters, 18</w:t>
      </w:r>
      <w:r w:rsidRPr="00C8757A">
        <w:rPr>
          <w:rFonts w:ascii="Times New Roman" w:eastAsia="Times New Roman" w:hAnsi="Times New Roman" w:cs="Times New Roman"/>
          <w:sz w:val="24"/>
          <w:szCs w:val="24"/>
          <w:lang w:eastAsia="en-GB"/>
        </w:rPr>
        <w:t xml:space="preserve">(4), 327–335. </w:t>
      </w:r>
      <w:r w:rsidRPr="00C8757A">
        <w:rPr>
          <w:rFonts w:ascii="Times New Roman" w:eastAsia="Times New Roman" w:hAnsi="Times New Roman" w:cs="Times New Roman"/>
          <w:color w:val="0000FF"/>
          <w:sz w:val="24"/>
          <w:szCs w:val="24"/>
          <w:u w:val="single"/>
          <w:lang w:eastAsia="en-GB"/>
        </w:rPr>
        <w:t>https://doi.org/10.1111/ele.12413</w:t>
      </w:r>
    </w:p>
    <w:p w14:paraId="1ED6F14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Kudo, G., &amp; Cooper, E. J. (2019). When spring ephemerals fail to meet pollinators: Mechanism of phenological mismatch and its impact on plant reproduction. </w:t>
      </w:r>
      <w:r w:rsidRPr="00C8757A">
        <w:rPr>
          <w:rFonts w:ascii="Times New Roman" w:eastAsia="Times New Roman" w:hAnsi="Times New Roman" w:cs="Times New Roman"/>
          <w:i/>
          <w:iCs/>
          <w:sz w:val="24"/>
          <w:szCs w:val="24"/>
          <w:lang w:eastAsia="en-GB"/>
        </w:rPr>
        <w:t>Proceedings of the Royal Society B: Biological Sciences, 286</w:t>
      </w:r>
      <w:r w:rsidRPr="00C8757A">
        <w:rPr>
          <w:rFonts w:ascii="Times New Roman" w:eastAsia="Times New Roman" w:hAnsi="Times New Roman" w:cs="Times New Roman"/>
          <w:sz w:val="24"/>
          <w:szCs w:val="24"/>
          <w:lang w:eastAsia="en-GB"/>
        </w:rPr>
        <w:t xml:space="preserve">(1904), 20190573. </w:t>
      </w:r>
      <w:r w:rsidRPr="00C8757A">
        <w:rPr>
          <w:rFonts w:ascii="Times New Roman" w:eastAsia="Times New Roman" w:hAnsi="Times New Roman" w:cs="Times New Roman"/>
          <w:color w:val="0000FF"/>
          <w:sz w:val="24"/>
          <w:szCs w:val="24"/>
          <w:u w:val="single"/>
          <w:lang w:eastAsia="en-GB"/>
        </w:rPr>
        <w:t>https://doi.org/10.1098/rspb.2019.0573</w:t>
      </w:r>
    </w:p>
    <w:p w14:paraId="36F2EF82"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Lockley, E. C., &amp; </w:t>
      </w:r>
      <w:proofErr w:type="spellStart"/>
      <w:r w:rsidRPr="00C8757A">
        <w:rPr>
          <w:rFonts w:ascii="Times New Roman" w:eastAsia="Times New Roman" w:hAnsi="Times New Roman" w:cs="Times New Roman"/>
          <w:sz w:val="24"/>
          <w:szCs w:val="24"/>
          <w:lang w:eastAsia="en-GB"/>
        </w:rPr>
        <w:t>Eizaguirre</w:t>
      </w:r>
      <w:proofErr w:type="spellEnd"/>
      <w:r w:rsidRPr="00C8757A">
        <w:rPr>
          <w:rFonts w:ascii="Times New Roman" w:eastAsia="Times New Roman" w:hAnsi="Times New Roman" w:cs="Times New Roman"/>
          <w:sz w:val="24"/>
          <w:szCs w:val="24"/>
          <w:lang w:eastAsia="en-GB"/>
        </w:rPr>
        <w:t xml:space="preserve">, C. (2021). Effects of global warming on species with temperature-dependent sex determination: Bridging the gap between empirical research and management. </w:t>
      </w:r>
      <w:r w:rsidRPr="00C8757A">
        <w:rPr>
          <w:rFonts w:ascii="Times New Roman" w:eastAsia="Times New Roman" w:hAnsi="Times New Roman" w:cs="Times New Roman"/>
          <w:i/>
          <w:iCs/>
          <w:sz w:val="24"/>
          <w:szCs w:val="24"/>
          <w:lang w:eastAsia="en-GB"/>
        </w:rPr>
        <w:t>Evolutionary Applications, 14</w:t>
      </w:r>
      <w:r w:rsidRPr="00C8757A">
        <w:rPr>
          <w:rFonts w:ascii="Times New Roman" w:eastAsia="Times New Roman" w:hAnsi="Times New Roman" w:cs="Times New Roman"/>
          <w:sz w:val="24"/>
          <w:szCs w:val="24"/>
          <w:lang w:eastAsia="en-GB"/>
        </w:rPr>
        <w:t xml:space="preserve">(10), 2361–2377. </w:t>
      </w:r>
      <w:r w:rsidRPr="00C8757A">
        <w:rPr>
          <w:rFonts w:ascii="Times New Roman" w:eastAsia="Times New Roman" w:hAnsi="Times New Roman" w:cs="Times New Roman"/>
          <w:color w:val="0000FF"/>
          <w:sz w:val="24"/>
          <w:szCs w:val="24"/>
          <w:u w:val="single"/>
          <w:lang w:eastAsia="en-GB"/>
        </w:rPr>
        <w:t>https://doi.org/10.1111/eva.13226</w:t>
      </w:r>
    </w:p>
    <w:p w14:paraId="20DB295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lastRenderedPageBreak/>
        <w:t>Marochi</w:t>
      </w:r>
      <w:proofErr w:type="spellEnd"/>
      <w:r w:rsidRPr="00C8757A">
        <w:rPr>
          <w:rFonts w:ascii="Times New Roman" w:eastAsia="Times New Roman" w:hAnsi="Times New Roman" w:cs="Times New Roman"/>
          <w:sz w:val="24"/>
          <w:szCs w:val="24"/>
          <w:lang w:eastAsia="en-GB"/>
        </w:rPr>
        <w:t xml:space="preserve">, M. Z., Costa, T. M., &amp; Buckley, L. B. (2021). Ocean warming is projected to speed development and decrease survival of crab larvae. </w:t>
      </w:r>
      <w:r w:rsidRPr="00C8757A">
        <w:rPr>
          <w:rFonts w:ascii="Times New Roman" w:eastAsia="Times New Roman" w:hAnsi="Times New Roman" w:cs="Times New Roman"/>
          <w:i/>
          <w:iCs/>
          <w:sz w:val="24"/>
          <w:szCs w:val="24"/>
          <w:lang w:eastAsia="en-GB"/>
        </w:rPr>
        <w:t>Estuarine, Coastal and Shelf Science, 259</w:t>
      </w:r>
      <w:r w:rsidRPr="00C8757A">
        <w:rPr>
          <w:rFonts w:ascii="Times New Roman" w:eastAsia="Times New Roman" w:hAnsi="Times New Roman" w:cs="Times New Roman"/>
          <w:sz w:val="24"/>
          <w:szCs w:val="24"/>
          <w:lang w:eastAsia="en-GB"/>
        </w:rPr>
        <w:t xml:space="preserve">, 107478. </w:t>
      </w:r>
      <w:r w:rsidRPr="00C8757A">
        <w:rPr>
          <w:rFonts w:ascii="Times New Roman" w:eastAsia="Times New Roman" w:hAnsi="Times New Roman" w:cs="Times New Roman"/>
          <w:color w:val="0000FF"/>
          <w:sz w:val="24"/>
          <w:szCs w:val="24"/>
          <w:u w:val="single"/>
          <w:lang w:eastAsia="en-GB"/>
        </w:rPr>
        <w:t>https://doi.org/10.1016/j.ecss.2021.107478</w:t>
      </w:r>
    </w:p>
    <w:p w14:paraId="12CDC3A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M. Z., De Grande, F. R., Pardo, J. C. F., Montenegro, Á., &amp; Costa, T. M. (2022). Marine heatwave impacts on newly-hatched planktonic larvae of an estuarine crab. </w:t>
      </w:r>
      <w:r w:rsidRPr="00C8757A">
        <w:rPr>
          <w:rFonts w:ascii="Times New Roman" w:eastAsia="Times New Roman" w:hAnsi="Times New Roman" w:cs="Times New Roman"/>
          <w:i/>
          <w:iCs/>
          <w:sz w:val="24"/>
          <w:szCs w:val="24"/>
          <w:lang w:eastAsia="en-GB"/>
        </w:rPr>
        <w:t>Estuarine, Coastal and Shelf Science, 278</w:t>
      </w:r>
      <w:r w:rsidRPr="00C8757A">
        <w:rPr>
          <w:rFonts w:ascii="Times New Roman" w:eastAsia="Times New Roman" w:hAnsi="Times New Roman" w:cs="Times New Roman"/>
          <w:sz w:val="24"/>
          <w:szCs w:val="24"/>
          <w:lang w:eastAsia="en-GB"/>
        </w:rPr>
        <w:t xml:space="preserve">, 108122. </w:t>
      </w:r>
      <w:r w:rsidRPr="00C8757A">
        <w:rPr>
          <w:rFonts w:ascii="Times New Roman" w:eastAsia="Times New Roman" w:hAnsi="Times New Roman" w:cs="Times New Roman"/>
          <w:color w:val="0000FF"/>
          <w:sz w:val="24"/>
          <w:szCs w:val="24"/>
          <w:u w:val="single"/>
          <w:lang w:eastAsia="en-GB"/>
        </w:rPr>
        <w:t>https://doi.org/10.1016/j.ecss.2022.108122</w:t>
      </w:r>
    </w:p>
    <w:p w14:paraId="7AD7975C"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Marochi</w:t>
      </w:r>
      <w:proofErr w:type="spellEnd"/>
      <w:r w:rsidRPr="00C8757A">
        <w:rPr>
          <w:rFonts w:ascii="Times New Roman" w:eastAsia="Times New Roman" w:hAnsi="Times New Roman" w:cs="Times New Roman"/>
          <w:sz w:val="24"/>
          <w:szCs w:val="24"/>
          <w:lang w:eastAsia="en-GB"/>
        </w:rPr>
        <w:t xml:space="preserve">, M. Z., Duarte, R. M., &amp; Costa, T. M. (2024). Thermal tolerance, development, and physiological impacts of climate warming on zoea larvae of brachyuran crabs. </w:t>
      </w:r>
      <w:r w:rsidRPr="00C8757A">
        <w:rPr>
          <w:rFonts w:ascii="Times New Roman" w:eastAsia="Times New Roman" w:hAnsi="Times New Roman" w:cs="Times New Roman"/>
          <w:i/>
          <w:iCs/>
          <w:sz w:val="24"/>
          <w:szCs w:val="24"/>
          <w:lang w:eastAsia="en-GB"/>
        </w:rPr>
        <w:t>Estuarine, Coastal and Shelf Science, 303</w:t>
      </w:r>
      <w:r w:rsidRPr="00C8757A">
        <w:rPr>
          <w:rFonts w:ascii="Times New Roman" w:eastAsia="Times New Roman" w:hAnsi="Times New Roman" w:cs="Times New Roman"/>
          <w:sz w:val="24"/>
          <w:szCs w:val="24"/>
          <w:lang w:eastAsia="en-GB"/>
        </w:rPr>
        <w:t xml:space="preserve">, 108817. </w:t>
      </w:r>
      <w:r w:rsidRPr="00C8757A">
        <w:rPr>
          <w:rFonts w:ascii="Times New Roman" w:eastAsia="Times New Roman" w:hAnsi="Times New Roman" w:cs="Times New Roman"/>
          <w:color w:val="0000FF"/>
          <w:sz w:val="24"/>
          <w:szCs w:val="24"/>
          <w:u w:val="single"/>
          <w:lang w:eastAsia="en-GB"/>
        </w:rPr>
        <w:t>https://doi.org/10.1016/j.ecss.2024.108817</w:t>
      </w:r>
    </w:p>
    <w:p w14:paraId="3BD69F61"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bCs/>
          <w:sz w:val="24"/>
          <w:szCs w:val="24"/>
          <w:lang w:eastAsia="en-GB"/>
        </w:rPr>
        <w:t>Martén</w:t>
      </w:r>
      <w:proofErr w:type="spellEnd"/>
      <w:r w:rsidRPr="00C8757A">
        <w:rPr>
          <w:rFonts w:ascii="Times New Roman" w:eastAsia="Times New Roman" w:hAnsi="Times New Roman" w:cs="Times New Roman"/>
          <w:bCs/>
          <w:sz w:val="24"/>
          <w:szCs w:val="24"/>
          <w:lang w:eastAsia="en-GB"/>
        </w:rPr>
        <w:t>-Rodríguez, S., et al. (2025). Untangling the complexity of climate change effects on plant reproductive traits and pollinators: A systematic global synthesis.</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Global Change Biology, 31</w:t>
      </w:r>
      <w:r w:rsidRPr="00C8757A">
        <w:rPr>
          <w:rFonts w:ascii="Times New Roman" w:eastAsia="Times New Roman" w:hAnsi="Times New Roman" w:cs="Times New Roman"/>
          <w:sz w:val="24"/>
          <w:szCs w:val="24"/>
          <w:lang w:eastAsia="en-GB"/>
        </w:rPr>
        <w:t xml:space="preserve">(2), e70081. </w:t>
      </w:r>
      <w:r w:rsidRPr="00C8757A">
        <w:rPr>
          <w:rFonts w:ascii="Times New Roman" w:eastAsia="Times New Roman" w:hAnsi="Times New Roman" w:cs="Times New Roman"/>
          <w:color w:val="0000FF"/>
          <w:sz w:val="24"/>
          <w:szCs w:val="24"/>
          <w:u w:val="single"/>
          <w:lang w:eastAsia="en-GB"/>
        </w:rPr>
        <w:t>https://doi.org/10.1111/gcb.70081</w:t>
      </w:r>
    </w:p>
    <w:p w14:paraId="33AD28E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Nufio, C. R., Sheffer, M. M., Smith, J. M., Troutman, M. T., Bawa, S. J., Taylor, E. D., Schoville, S. D., Williams, C. M., &amp; Buckley, L. B. (2025). Insect size responses to climate change vary across elevations according to seasonal timing.</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PLOS Biology, 23</w:t>
      </w:r>
      <w:r w:rsidRPr="00C8757A">
        <w:rPr>
          <w:rFonts w:ascii="Times New Roman" w:eastAsia="Times New Roman" w:hAnsi="Times New Roman" w:cs="Times New Roman"/>
          <w:sz w:val="24"/>
          <w:szCs w:val="24"/>
          <w:lang w:eastAsia="en-GB"/>
        </w:rPr>
        <w:t xml:space="preserve">(1), e3002805. </w:t>
      </w:r>
      <w:r w:rsidRPr="00C8757A">
        <w:rPr>
          <w:rFonts w:ascii="Times New Roman" w:eastAsia="Times New Roman" w:hAnsi="Times New Roman" w:cs="Times New Roman"/>
          <w:color w:val="0000FF"/>
          <w:sz w:val="24"/>
          <w:szCs w:val="24"/>
          <w:u w:val="single"/>
          <w:lang w:eastAsia="en-GB"/>
        </w:rPr>
        <w:t>https://doi.org/10.1371/journal.pbio.3002805</w:t>
      </w:r>
    </w:p>
    <w:p w14:paraId="1507DA07"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sz w:val="24"/>
          <w:szCs w:val="24"/>
          <w:lang w:eastAsia="en-GB"/>
        </w:rPr>
        <w:t xml:space="preserve">Olliff-Yang, R. L., &amp; Mesler, M. R. (2018). The potential for phenological mismatch between a perennial herb and its ground-nesting bee pollinator. </w:t>
      </w:r>
      <w:proofErr w:type="spellStart"/>
      <w:r w:rsidRPr="00C8757A">
        <w:rPr>
          <w:rFonts w:ascii="Times New Roman" w:eastAsia="Times New Roman" w:hAnsi="Times New Roman" w:cs="Times New Roman"/>
          <w:i/>
          <w:iCs/>
          <w:sz w:val="24"/>
          <w:szCs w:val="24"/>
          <w:lang w:eastAsia="en-GB"/>
        </w:rPr>
        <w:t>AoB</w:t>
      </w:r>
      <w:proofErr w:type="spellEnd"/>
      <w:r w:rsidRPr="00C8757A">
        <w:rPr>
          <w:rFonts w:ascii="Times New Roman" w:eastAsia="Times New Roman" w:hAnsi="Times New Roman" w:cs="Times New Roman"/>
          <w:i/>
          <w:iCs/>
          <w:sz w:val="24"/>
          <w:szCs w:val="24"/>
          <w:lang w:eastAsia="en-GB"/>
        </w:rPr>
        <w:t xml:space="preserve"> Plants, 10</w:t>
      </w:r>
      <w:r w:rsidRPr="00C8757A">
        <w:rPr>
          <w:rFonts w:ascii="Times New Roman" w:eastAsia="Times New Roman" w:hAnsi="Times New Roman" w:cs="Times New Roman"/>
          <w:sz w:val="24"/>
          <w:szCs w:val="24"/>
          <w:lang w:eastAsia="en-GB"/>
        </w:rPr>
        <w:t xml:space="preserve">(4), ply040. </w:t>
      </w:r>
      <w:r w:rsidRPr="00C8757A">
        <w:rPr>
          <w:rFonts w:ascii="Times New Roman" w:eastAsia="Times New Roman" w:hAnsi="Times New Roman" w:cs="Times New Roman"/>
          <w:color w:val="0000FF"/>
          <w:sz w:val="24"/>
          <w:szCs w:val="24"/>
          <w:u w:val="single"/>
          <w:lang w:eastAsia="en-GB"/>
        </w:rPr>
        <w:t>https://doi.org/10.1093/aobpla/ply040</w:t>
      </w:r>
    </w:p>
    <w:p w14:paraId="6943EE6C"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Schebeck</w:t>
      </w:r>
      <w:proofErr w:type="spellEnd"/>
      <w:r w:rsidRPr="00C8757A">
        <w:rPr>
          <w:rFonts w:ascii="Times New Roman" w:eastAsia="Times New Roman" w:hAnsi="Times New Roman" w:cs="Times New Roman"/>
          <w:sz w:val="24"/>
          <w:szCs w:val="24"/>
          <w:lang w:eastAsia="en-GB"/>
        </w:rPr>
        <w:t xml:space="preserve">, M., Hansen, E. M., Schopf, A., Ragland, G. J., Stauffer, C., &amp; Bentz, B. J. (2017). Diapause and overwintering of two spruce bark beetle species. </w:t>
      </w:r>
      <w:r w:rsidRPr="00C8757A">
        <w:rPr>
          <w:rFonts w:ascii="Times New Roman" w:eastAsia="Times New Roman" w:hAnsi="Times New Roman" w:cs="Times New Roman"/>
          <w:i/>
          <w:iCs/>
          <w:sz w:val="24"/>
          <w:szCs w:val="24"/>
          <w:lang w:eastAsia="en-GB"/>
        </w:rPr>
        <w:t>Physiological Entomology, 42</w:t>
      </w:r>
      <w:r w:rsidRPr="00C8757A">
        <w:rPr>
          <w:rFonts w:ascii="Times New Roman" w:eastAsia="Times New Roman" w:hAnsi="Times New Roman" w:cs="Times New Roman"/>
          <w:sz w:val="24"/>
          <w:szCs w:val="24"/>
          <w:lang w:eastAsia="en-GB"/>
        </w:rPr>
        <w:t xml:space="preserve">(3), 200–210. </w:t>
      </w:r>
      <w:r w:rsidRPr="00C8757A">
        <w:rPr>
          <w:rFonts w:ascii="Times New Roman" w:eastAsia="Times New Roman" w:hAnsi="Times New Roman" w:cs="Times New Roman"/>
          <w:color w:val="0000FF"/>
          <w:sz w:val="24"/>
          <w:szCs w:val="24"/>
          <w:u w:val="single"/>
          <w:lang w:eastAsia="en-GB"/>
        </w:rPr>
        <w:t>https://doi.org/10.1111/phen.12200</w:t>
      </w:r>
    </w:p>
    <w:p w14:paraId="6E1E81B2"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Skendžić</w:t>
      </w:r>
      <w:proofErr w:type="spellEnd"/>
      <w:r w:rsidRPr="00C8757A">
        <w:rPr>
          <w:rFonts w:ascii="Times New Roman" w:eastAsia="Times New Roman" w:hAnsi="Times New Roman" w:cs="Times New Roman"/>
          <w:sz w:val="24"/>
          <w:szCs w:val="24"/>
          <w:lang w:eastAsia="en-GB"/>
        </w:rPr>
        <w:t xml:space="preserve">, S., Zovko, M., Živković, I. P., </w:t>
      </w:r>
      <w:proofErr w:type="spellStart"/>
      <w:r w:rsidRPr="00C8757A">
        <w:rPr>
          <w:rFonts w:ascii="Times New Roman" w:eastAsia="Times New Roman" w:hAnsi="Times New Roman" w:cs="Times New Roman"/>
          <w:sz w:val="24"/>
          <w:szCs w:val="24"/>
          <w:lang w:eastAsia="en-GB"/>
        </w:rPr>
        <w:t>Lešić</w:t>
      </w:r>
      <w:proofErr w:type="spellEnd"/>
      <w:r w:rsidRPr="00C8757A">
        <w:rPr>
          <w:rFonts w:ascii="Times New Roman" w:eastAsia="Times New Roman" w:hAnsi="Times New Roman" w:cs="Times New Roman"/>
          <w:sz w:val="24"/>
          <w:szCs w:val="24"/>
          <w:lang w:eastAsia="en-GB"/>
        </w:rPr>
        <w:t xml:space="preserve">, V., &amp; </w:t>
      </w:r>
      <w:proofErr w:type="spellStart"/>
      <w:r w:rsidRPr="00C8757A">
        <w:rPr>
          <w:rFonts w:ascii="Times New Roman" w:eastAsia="Times New Roman" w:hAnsi="Times New Roman" w:cs="Times New Roman"/>
          <w:sz w:val="24"/>
          <w:szCs w:val="24"/>
          <w:lang w:eastAsia="en-GB"/>
        </w:rPr>
        <w:t>Lemić</w:t>
      </w:r>
      <w:proofErr w:type="spellEnd"/>
      <w:r w:rsidRPr="00C8757A">
        <w:rPr>
          <w:rFonts w:ascii="Times New Roman" w:eastAsia="Times New Roman" w:hAnsi="Times New Roman" w:cs="Times New Roman"/>
          <w:sz w:val="24"/>
          <w:szCs w:val="24"/>
          <w:lang w:eastAsia="en-GB"/>
        </w:rPr>
        <w:t xml:space="preserve">, D. (2021). The impact of climate change on agricultural insect pests. </w:t>
      </w:r>
      <w:r w:rsidRPr="00C8757A">
        <w:rPr>
          <w:rFonts w:ascii="Times New Roman" w:eastAsia="Times New Roman" w:hAnsi="Times New Roman" w:cs="Times New Roman"/>
          <w:i/>
          <w:iCs/>
          <w:sz w:val="24"/>
          <w:szCs w:val="24"/>
          <w:lang w:eastAsia="en-GB"/>
        </w:rPr>
        <w:t>Insects, 12</w:t>
      </w:r>
      <w:r w:rsidRPr="00C8757A">
        <w:rPr>
          <w:rFonts w:ascii="Times New Roman" w:eastAsia="Times New Roman" w:hAnsi="Times New Roman" w:cs="Times New Roman"/>
          <w:sz w:val="24"/>
          <w:szCs w:val="24"/>
          <w:lang w:eastAsia="en-GB"/>
        </w:rPr>
        <w:t xml:space="preserve">(5), 440. </w:t>
      </w:r>
      <w:r w:rsidRPr="00C8757A">
        <w:rPr>
          <w:rFonts w:ascii="Times New Roman" w:eastAsia="Times New Roman" w:hAnsi="Times New Roman" w:cs="Times New Roman"/>
          <w:color w:val="0000FF"/>
          <w:sz w:val="24"/>
          <w:szCs w:val="24"/>
          <w:u w:val="single"/>
          <w:lang w:eastAsia="en-GB"/>
        </w:rPr>
        <w:t>https://doi.org/10.3390/insects12050440</w:t>
      </w:r>
    </w:p>
    <w:p w14:paraId="2362690D"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Stoeckli</w:t>
      </w:r>
      <w:proofErr w:type="spellEnd"/>
      <w:r w:rsidRPr="00C8757A">
        <w:rPr>
          <w:rFonts w:ascii="Times New Roman" w:eastAsia="Times New Roman" w:hAnsi="Times New Roman" w:cs="Times New Roman"/>
          <w:sz w:val="24"/>
          <w:szCs w:val="24"/>
          <w:lang w:eastAsia="en-GB"/>
        </w:rPr>
        <w:t xml:space="preserve">, S., Hirschi, M., Spirig, C., </w:t>
      </w:r>
      <w:proofErr w:type="spellStart"/>
      <w:r w:rsidRPr="00C8757A">
        <w:rPr>
          <w:rFonts w:ascii="Times New Roman" w:eastAsia="Times New Roman" w:hAnsi="Times New Roman" w:cs="Times New Roman"/>
          <w:sz w:val="24"/>
          <w:szCs w:val="24"/>
          <w:lang w:eastAsia="en-GB"/>
        </w:rPr>
        <w:t>Calanca</w:t>
      </w:r>
      <w:proofErr w:type="spellEnd"/>
      <w:r w:rsidRPr="00C8757A">
        <w:rPr>
          <w:rFonts w:ascii="Times New Roman" w:eastAsia="Times New Roman" w:hAnsi="Times New Roman" w:cs="Times New Roman"/>
          <w:sz w:val="24"/>
          <w:szCs w:val="24"/>
          <w:lang w:eastAsia="en-GB"/>
        </w:rPr>
        <w:t xml:space="preserve">, P., Rotach, M. W., &amp; </w:t>
      </w:r>
      <w:proofErr w:type="spellStart"/>
      <w:r w:rsidRPr="00C8757A">
        <w:rPr>
          <w:rFonts w:ascii="Times New Roman" w:eastAsia="Times New Roman" w:hAnsi="Times New Roman" w:cs="Times New Roman"/>
          <w:sz w:val="24"/>
          <w:szCs w:val="24"/>
          <w:lang w:eastAsia="en-GB"/>
        </w:rPr>
        <w:t>Samietz</w:t>
      </w:r>
      <w:proofErr w:type="spellEnd"/>
      <w:r w:rsidRPr="00C8757A">
        <w:rPr>
          <w:rFonts w:ascii="Times New Roman" w:eastAsia="Times New Roman" w:hAnsi="Times New Roman" w:cs="Times New Roman"/>
          <w:sz w:val="24"/>
          <w:szCs w:val="24"/>
          <w:lang w:eastAsia="en-GB"/>
        </w:rPr>
        <w:t>, J. (2012). Impact of climate change on voltinism and prospective diapause induction of a global pest insect—</w:t>
      </w:r>
      <w:r w:rsidRPr="00C8757A">
        <w:rPr>
          <w:rFonts w:ascii="Times New Roman" w:eastAsia="Times New Roman" w:hAnsi="Times New Roman" w:cs="Times New Roman"/>
          <w:i/>
          <w:iCs/>
          <w:sz w:val="24"/>
          <w:szCs w:val="24"/>
          <w:lang w:eastAsia="en-GB"/>
        </w:rPr>
        <w:t xml:space="preserve">Cydia </w:t>
      </w:r>
      <w:proofErr w:type="spellStart"/>
      <w:r w:rsidRPr="00C8757A">
        <w:rPr>
          <w:rFonts w:ascii="Times New Roman" w:eastAsia="Times New Roman" w:hAnsi="Times New Roman" w:cs="Times New Roman"/>
          <w:i/>
          <w:iCs/>
          <w:sz w:val="24"/>
          <w:szCs w:val="24"/>
          <w:lang w:eastAsia="en-GB"/>
        </w:rPr>
        <w:t>pomonella</w:t>
      </w:r>
      <w:proofErr w:type="spellEnd"/>
      <w:r w:rsidRPr="00C8757A">
        <w:rPr>
          <w:rFonts w:ascii="Times New Roman" w:eastAsia="Times New Roman" w:hAnsi="Times New Roman" w:cs="Times New Roman"/>
          <w:sz w:val="24"/>
          <w:szCs w:val="24"/>
          <w:lang w:eastAsia="en-GB"/>
        </w:rPr>
        <w:t xml:space="preserve"> (L.). </w:t>
      </w:r>
      <w:r w:rsidRPr="00C8757A">
        <w:rPr>
          <w:rFonts w:ascii="Times New Roman" w:eastAsia="Times New Roman" w:hAnsi="Times New Roman" w:cs="Times New Roman"/>
          <w:i/>
          <w:iCs/>
          <w:sz w:val="24"/>
          <w:szCs w:val="24"/>
          <w:lang w:eastAsia="en-GB"/>
        </w:rPr>
        <w:t>PLOS ONE, 7</w:t>
      </w:r>
      <w:r w:rsidRPr="00C8757A">
        <w:rPr>
          <w:rFonts w:ascii="Times New Roman" w:eastAsia="Times New Roman" w:hAnsi="Times New Roman" w:cs="Times New Roman"/>
          <w:sz w:val="24"/>
          <w:szCs w:val="24"/>
          <w:lang w:eastAsia="en-GB"/>
        </w:rPr>
        <w:t xml:space="preserve">(4), e35723. </w:t>
      </w:r>
      <w:r w:rsidRPr="00C8757A">
        <w:rPr>
          <w:rFonts w:ascii="Times New Roman" w:eastAsia="Times New Roman" w:hAnsi="Times New Roman" w:cs="Times New Roman"/>
          <w:color w:val="0000FF"/>
          <w:sz w:val="24"/>
          <w:szCs w:val="24"/>
          <w:u w:val="single"/>
          <w:lang w:eastAsia="en-GB"/>
        </w:rPr>
        <w:t>https://doi.org/10.1371/journal.pone.0035723</w:t>
      </w:r>
    </w:p>
    <w:p w14:paraId="1164D40B"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Tougeron</w:t>
      </w:r>
      <w:proofErr w:type="spellEnd"/>
      <w:r w:rsidRPr="00C8757A">
        <w:rPr>
          <w:rFonts w:ascii="Times New Roman" w:eastAsia="Times New Roman" w:hAnsi="Times New Roman" w:cs="Times New Roman"/>
          <w:sz w:val="24"/>
          <w:szCs w:val="24"/>
          <w:lang w:eastAsia="en-GB"/>
        </w:rPr>
        <w:t xml:space="preserve">, K. (2019). Diapause research in insects: Historical review and recent work perspectives. </w:t>
      </w:r>
      <w:proofErr w:type="spellStart"/>
      <w:r w:rsidRPr="00C8757A">
        <w:rPr>
          <w:rFonts w:ascii="Times New Roman" w:eastAsia="Times New Roman" w:hAnsi="Times New Roman" w:cs="Times New Roman"/>
          <w:i/>
          <w:iCs/>
          <w:sz w:val="24"/>
          <w:szCs w:val="24"/>
          <w:lang w:eastAsia="en-GB"/>
        </w:rPr>
        <w:t>Entomologia</w:t>
      </w:r>
      <w:proofErr w:type="spellEnd"/>
      <w:r w:rsidRPr="00C8757A">
        <w:rPr>
          <w:rFonts w:ascii="Times New Roman" w:eastAsia="Times New Roman" w:hAnsi="Times New Roman" w:cs="Times New Roman"/>
          <w:i/>
          <w:iCs/>
          <w:sz w:val="24"/>
          <w:szCs w:val="24"/>
          <w:lang w:eastAsia="en-GB"/>
        </w:rPr>
        <w:t xml:space="preserve"> </w:t>
      </w:r>
      <w:proofErr w:type="spellStart"/>
      <w:r w:rsidRPr="00C8757A">
        <w:rPr>
          <w:rFonts w:ascii="Times New Roman" w:eastAsia="Times New Roman" w:hAnsi="Times New Roman" w:cs="Times New Roman"/>
          <w:i/>
          <w:iCs/>
          <w:sz w:val="24"/>
          <w:szCs w:val="24"/>
          <w:lang w:eastAsia="en-GB"/>
        </w:rPr>
        <w:t>Experimentalis</w:t>
      </w:r>
      <w:proofErr w:type="spellEnd"/>
      <w:r w:rsidRPr="00C8757A">
        <w:rPr>
          <w:rFonts w:ascii="Times New Roman" w:eastAsia="Times New Roman" w:hAnsi="Times New Roman" w:cs="Times New Roman"/>
          <w:i/>
          <w:iCs/>
          <w:sz w:val="24"/>
          <w:szCs w:val="24"/>
          <w:lang w:eastAsia="en-GB"/>
        </w:rPr>
        <w:t xml:space="preserve"> et </w:t>
      </w:r>
      <w:proofErr w:type="spellStart"/>
      <w:r w:rsidRPr="00C8757A">
        <w:rPr>
          <w:rFonts w:ascii="Times New Roman" w:eastAsia="Times New Roman" w:hAnsi="Times New Roman" w:cs="Times New Roman"/>
          <w:i/>
          <w:iCs/>
          <w:sz w:val="24"/>
          <w:szCs w:val="24"/>
          <w:lang w:eastAsia="en-GB"/>
        </w:rPr>
        <w:t>Applicata</w:t>
      </w:r>
      <w:proofErr w:type="spellEnd"/>
      <w:r w:rsidRPr="00C8757A">
        <w:rPr>
          <w:rFonts w:ascii="Times New Roman" w:eastAsia="Times New Roman" w:hAnsi="Times New Roman" w:cs="Times New Roman"/>
          <w:i/>
          <w:iCs/>
          <w:sz w:val="24"/>
          <w:szCs w:val="24"/>
          <w:lang w:eastAsia="en-GB"/>
        </w:rPr>
        <w:t>, 167</w:t>
      </w:r>
      <w:r w:rsidRPr="00C8757A">
        <w:rPr>
          <w:rFonts w:ascii="Times New Roman" w:eastAsia="Times New Roman" w:hAnsi="Times New Roman" w:cs="Times New Roman"/>
          <w:sz w:val="24"/>
          <w:szCs w:val="24"/>
          <w:lang w:eastAsia="en-GB"/>
        </w:rPr>
        <w:t xml:space="preserve">(1), 27–43. </w:t>
      </w:r>
      <w:r w:rsidRPr="00C8757A">
        <w:rPr>
          <w:rFonts w:ascii="Times New Roman" w:eastAsia="Times New Roman" w:hAnsi="Times New Roman" w:cs="Times New Roman"/>
          <w:color w:val="0000FF"/>
          <w:sz w:val="24"/>
          <w:szCs w:val="24"/>
          <w:u w:val="single"/>
          <w:lang w:eastAsia="en-GB"/>
        </w:rPr>
        <w:t>https://doi.org/10.1111/eea.12753</w:t>
      </w:r>
    </w:p>
    <w:p w14:paraId="642765F0"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C8757A">
        <w:rPr>
          <w:rFonts w:ascii="Times New Roman" w:eastAsia="Times New Roman" w:hAnsi="Times New Roman" w:cs="Times New Roman"/>
          <w:sz w:val="24"/>
          <w:szCs w:val="24"/>
          <w:lang w:eastAsia="en-GB"/>
        </w:rPr>
        <w:t>Verberk</w:t>
      </w:r>
      <w:proofErr w:type="spellEnd"/>
      <w:r w:rsidRPr="00C8757A">
        <w:rPr>
          <w:rFonts w:ascii="Times New Roman" w:eastAsia="Times New Roman" w:hAnsi="Times New Roman" w:cs="Times New Roman"/>
          <w:sz w:val="24"/>
          <w:szCs w:val="24"/>
          <w:lang w:eastAsia="en-GB"/>
        </w:rPr>
        <w:t xml:space="preserve">, W. C. E. P., Atkinson, D., </w:t>
      </w:r>
      <w:proofErr w:type="spellStart"/>
      <w:r w:rsidRPr="00C8757A">
        <w:rPr>
          <w:rFonts w:ascii="Times New Roman" w:eastAsia="Times New Roman" w:hAnsi="Times New Roman" w:cs="Times New Roman"/>
          <w:sz w:val="24"/>
          <w:szCs w:val="24"/>
          <w:lang w:eastAsia="en-GB"/>
        </w:rPr>
        <w:t>Hoefnagel</w:t>
      </w:r>
      <w:proofErr w:type="spellEnd"/>
      <w:r w:rsidRPr="00C8757A">
        <w:rPr>
          <w:rFonts w:ascii="Times New Roman" w:eastAsia="Times New Roman" w:hAnsi="Times New Roman" w:cs="Times New Roman"/>
          <w:sz w:val="24"/>
          <w:szCs w:val="24"/>
          <w:lang w:eastAsia="en-GB"/>
        </w:rPr>
        <w:t xml:space="preserve">, K. N., Hirst, A. G., Horne, C. R., &amp; </w:t>
      </w:r>
      <w:proofErr w:type="spellStart"/>
      <w:r w:rsidRPr="00C8757A">
        <w:rPr>
          <w:rFonts w:ascii="Times New Roman" w:eastAsia="Times New Roman" w:hAnsi="Times New Roman" w:cs="Times New Roman"/>
          <w:sz w:val="24"/>
          <w:szCs w:val="24"/>
          <w:lang w:eastAsia="en-GB"/>
        </w:rPr>
        <w:t>Siepel</w:t>
      </w:r>
      <w:proofErr w:type="spellEnd"/>
      <w:r w:rsidRPr="00C8757A">
        <w:rPr>
          <w:rFonts w:ascii="Times New Roman" w:eastAsia="Times New Roman" w:hAnsi="Times New Roman" w:cs="Times New Roman"/>
          <w:sz w:val="24"/>
          <w:szCs w:val="24"/>
          <w:lang w:eastAsia="en-GB"/>
        </w:rPr>
        <w:t xml:space="preserve">, H. (2021). Shrinking body sizes in response to warming: Explanations for the temperature–size rule with special emphasis on the role of oxygen. </w:t>
      </w:r>
      <w:r w:rsidRPr="00C8757A">
        <w:rPr>
          <w:rFonts w:ascii="Times New Roman" w:eastAsia="Times New Roman" w:hAnsi="Times New Roman" w:cs="Times New Roman"/>
          <w:i/>
          <w:iCs/>
          <w:sz w:val="24"/>
          <w:szCs w:val="24"/>
          <w:lang w:eastAsia="en-GB"/>
        </w:rPr>
        <w:t>Biological Reviews, 96</w:t>
      </w:r>
      <w:r w:rsidRPr="00C8757A">
        <w:rPr>
          <w:rFonts w:ascii="Times New Roman" w:eastAsia="Times New Roman" w:hAnsi="Times New Roman" w:cs="Times New Roman"/>
          <w:sz w:val="24"/>
          <w:szCs w:val="24"/>
          <w:lang w:eastAsia="en-GB"/>
        </w:rPr>
        <w:t xml:space="preserve">(1), 247–268. </w:t>
      </w:r>
      <w:r w:rsidRPr="00C8757A">
        <w:rPr>
          <w:rFonts w:ascii="Times New Roman" w:eastAsia="Times New Roman" w:hAnsi="Times New Roman" w:cs="Times New Roman"/>
          <w:color w:val="0000FF"/>
          <w:sz w:val="24"/>
          <w:szCs w:val="24"/>
          <w:u w:val="single"/>
          <w:lang w:eastAsia="en-GB"/>
        </w:rPr>
        <w:t>https://doi.org/10.1111/brv.12653</w:t>
      </w:r>
    </w:p>
    <w:p w14:paraId="567E8E04"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t xml:space="preserve">Wang, L., Liu, K., Zhao, X., Zhang, T., Yuan, M., &amp; He, K. (2023). Evolutionary shift of insect diapause strategy in a warming climate: </w:t>
      </w:r>
      <w:proofErr w:type="gramStart"/>
      <w:r w:rsidRPr="00C8757A">
        <w:rPr>
          <w:rFonts w:ascii="Times New Roman" w:eastAsia="Times New Roman" w:hAnsi="Times New Roman" w:cs="Times New Roman"/>
          <w:bCs/>
          <w:sz w:val="24"/>
          <w:szCs w:val="24"/>
          <w:lang w:eastAsia="en-GB"/>
        </w:rPr>
        <w:t>An intra-population evidence</w:t>
      </w:r>
      <w:proofErr w:type="gramEnd"/>
      <w:r w:rsidRPr="00C8757A">
        <w:rPr>
          <w:rFonts w:ascii="Times New Roman" w:eastAsia="Times New Roman" w:hAnsi="Times New Roman" w:cs="Times New Roman"/>
          <w:bCs/>
          <w:sz w:val="24"/>
          <w:szCs w:val="24"/>
          <w:lang w:eastAsia="en-GB"/>
        </w:rPr>
        <w:t xml:space="preserve"> from Asian corn borer.</w:t>
      </w:r>
      <w:r w:rsidRPr="00C8757A">
        <w:rPr>
          <w:rFonts w:ascii="Times New Roman" w:eastAsia="Times New Roman" w:hAnsi="Times New Roman" w:cs="Times New Roman"/>
          <w:sz w:val="24"/>
          <w:szCs w:val="24"/>
          <w:lang w:eastAsia="en-GB"/>
        </w:rPr>
        <w:t xml:space="preserve"> </w:t>
      </w:r>
      <w:r w:rsidRPr="00C8757A">
        <w:rPr>
          <w:rFonts w:ascii="Times New Roman" w:eastAsia="Times New Roman" w:hAnsi="Times New Roman" w:cs="Times New Roman"/>
          <w:i/>
          <w:iCs/>
          <w:sz w:val="24"/>
          <w:szCs w:val="24"/>
          <w:lang w:eastAsia="en-GB"/>
        </w:rPr>
        <w:t>Biology, 12</w:t>
      </w:r>
      <w:r w:rsidRPr="00C8757A">
        <w:rPr>
          <w:rFonts w:ascii="Times New Roman" w:eastAsia="Times New Roman" w:hAnsi="Times New Roman" w:cs="Times New Roman"/>
          <w:sz w:val="24"/>
          <w:szCs w:val="24"/>
          <w:lang w:eastAsia="en-GB"/>
        </w:rPr>
        <w:t xml:space="preserve">(6), 762. </w:t>
      </w:r>
      <w:r w:rsidRPr="00C8757A">
        <w:rPr>
          <w:rFonts w:ascii="Times New Roman" w:eastAsia="Times New Roman" w:hAnsi="Times New Roman" w:cs="Times New Roman"/>
          <w:color w:val="0000FF"/>
          <w:sz w:val="24"/>
          <w:szCs w:val="24"/>
          <w:u w:val="single"/>
          <w:lang w:eastAsia="en-GB"/>
        </w:rPr>
        <w:t>https://doi.org/10.3390/biology12060762</w:t>
      </w:r>
    </w:p>
    <w:p w14:paraId="501B0386" w14:textId="77777777" w:rsidR="00C8757A" w:rsidRPr="00C8757A" w:rsidRDefault="00C8757A" w:rsidP="00C8757A">
      <w:pPr>
        <w:spacing w:before="100" w:beforeAutospacing="1" w:after="100" w:afterAutospacing="1" w:line="240" w:lineRule="auto"/>
        <w:rPr>
          <w:rFonts w:ascii="Times New Roman" w:eastAsia="Times New Roman" w:hAnsi="Times New Roman" w:cs="Times New Roman"/>
          <w:sz w:val="24"/>
          <w:szCs w:val="24"/>
          <w:lang w:eastAsia="en-GB"/>
        </w:rPr>
      </w:pPr>
      <w:r w:rsidRPr="00C8757A">
        <w:rPr>
          <w:rFonts w:ascii="Times New Roman" w:eastAsia="Times New Roman" w:hAnsi="Times New Roman" w:cs="Times New Roman"/>
          <w:bCs/>
          <w:sz w:val="24"/>
          <w:szCs w:val="24"/>
          <w:lang w:eastAsia="en-GB"/>
        </w:rPr>
        <w:lastRenderedPageBreak/>
        <w:t>Yan, G., Li, D., Wang, G., &amp; Wu, L. (2024). Diet affects the temperature–size relationship in the blowfly</w:t>
      </w:r>
      <w:r w:rsidRPr="00C8757A">
        <w:rPr>
          <w:rFonts w:ascii="Times New Roman" w:eastAsia="Times New Roman" w:hAnsi="Times New Roman" w:cs="Times New Roman"/>
          <w:sz w:val="24"/>
          <w:szCs w:val="24"/>
          <w:lang w:eastAsia="en-GB"/>
        </w:rPr>
        <w:t xml:space="preserve"> </w:t>
      </w:r>
      <w:proofErr w:type="spellStart"/>
      <w:r w:rsidRPr="00C8757A">
        <w:rPr>
          <w:rFonts w:ascii="Times New Roman" w:eastAsia="Times New Roman" w:hAnsi="Times New Roman" w:cs="Times New Roman"/>
          <w:i/>
          <w:iCs/>
          <w:sz w:val="24"/>
          <w:szCs w:val="24"/>
          <w:lang w:eastAsia="en-GB"/>
        </w:rPr>
        <w:t>Aldrichina</w:t>
      </w:r>
      <w:proofErr w:type="spellEnd"/>
      <w:r w:rsidRPr="00C8757A">
        <w:rPr>
          <w:rFonts w:ascii="Times New Roman" w:eastAsia="Times New Roman" w:hAnsi="Times New Roman" w:cs="Times New Roman"/>
          <w:i/>
          <w:iCs/>
          <w:sz w:val="24"/>
          <w:szCs w:val="24"/>
          <w:lang w:eastAsia="en-GB"/>
        </w:rPr>
        <w:t xml:space="preserve"> grahami. Insects, 15</w:t>
      </w:r>
      <w:r w:rsidRPr="00C8757A">
        <w:rPr>
          <w:rFonts w:ascii="Times New Roman" w:eastAsia="Times New Roman" w:hAnsi="Times New Roman" w:cs="Times New Roman"/>
          <w:sz w:val="24"/>
          <w:szCs w:val="24"/>
          <w:lang w:eastAsia="en-GB"/>
        </w:rPr>
        <w:t xml:space="preserve">(4), 246. </w:t>
      </w:r>
      <w:r w:rsidRPr="00C8757A">
        <w:rPr>
          <w:rFonts w:ascii="Times New Roman" w:eastAsia="Times New Roman" w:hAnsi="Times New Roman" w:cs="Times New Roman"/>
          <w:color w:val="0000FF"/>
          <w:sz w:val="24"/>
          <w:szCs w:val="24"/>
          <w:u w:val="single"/>
          <w:lang w:eastAsia="en-GB"/>
        </w:rPr>
        <w:t>https://doi.org/10.3390/insects15040246</w:t>
      </w:r>
    </w:p>
    <w:p w14:paraId="3762FDE0" w14:textId="77777777" w:rsidR="00C8757A" w:rsidRPr="00C8757A" w:rsidRDefault="00C8757A">
      <w:pPr>
        <w:rPr>
          <w:lang w:val="en-IN"/>
        </w:rPr>
      </w:pPr>
    </w:p>
    <w:sectPr w:rsidR="00C8757A" w:rsidRPr="00C8757A"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AEDD" w14:textId="77777777" w:rsidR="00D503BD" w:rsidRDefault="00D503BD" w:rsidP="003C6EE2">
      <w:pPr>
        <w:spacing w:after="0" w:line="240" w:lineRule="auto"/>
      </w:pPr>
      <w:r>
        <w:separator/>
      </w:r>
    </w:p>
  </w:endnote>
  <w:endnote w:type="continuationSeparator" w:id="0">
    <w:p w14:paraId="6F99A131" w14:textId="77777777" w:rsidR="00D503BD" w:rsidRDefault="00D503BD" w:rsidP="003C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BF58" w14:textId="77777777" w:rsidR="003C6EE2" w:rsidRDefault="003C6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EC7B" w14:textId="77777777" w:rsidR="003C6EE2" w:rsidRDefault="003C6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F52B" w14:textId="77777777" w:rsidR="003C6EE2" w:rsidRDefault="003C6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DE517" w14:textId="77777777" w:rsidR="00D503BD" w:rsidRDefault="00D503BD" w:rsidP="003C6EE2">
      <w:pPr>
        <w:spacing w:after="0" w:line="240" w:lineRule="auto"/>
      </w:pPr>
      <w:r>
        <w:separator/>
      </w:r>
    </w:p>
  </w:footnote>
  <w:footnote w:type="continuationSeparator" w:id="0">
    <w:p w14:paraId="2D003F73" w14:textId="77777777" w:rsidR="00D503BD" w:rsidRDefault="00D503BD" w:rsidP="003C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2F05" w14:textId="63D0FA64" w:rsidR="003C6EE2" w:rsidRDefault="003C6EE2">
    <w:pPr>
      <w:pStyle w:val="Header"/>
    </w:pPr>
    <w:r>
      <w:rPr>
        <w:noProof/>
      </w:rPr>
      <w:pict w14:anchorId="09FA5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B7DC" w14:textId="737D04FE" w:rsidR="003C6EE2" w:rsidRDefault="003C6EE2">
    <w:pPr>
      <w:pStyle w:val="Header"/>
    </w:pPr>
    <w:r>
      <w:rPr>
        <w:noProof/>
      </w:rPr>
      <w:pict w14:anchorId="03767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0B7F" w14:textId="42E42FAF" w:rsidR="003C6EE2" w:rsidRDefault="003C6EE2">
    <w:pPr>
      <w:pStyle w:val="Header"/>
    </w:pPr>
    <w:r>
      <w:rPr>
        <w:noProof/>
      </w:rPr>
      <w:pict w14:anchorId="2B2844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3643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73FA2"/>
    <w:multiLevelType w:val="hybridMultilevel"/>
    <w:tmpl w:val="FA9AA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83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757A"/>
    <w:rsid w:val="00203285"/>
    <w:rsid w:val="003217CF"/>
    <w:rsid w:val="00345F3B"/>
    <w:rsid w:val="003C6EE2"/>
    <w:rsid w:val="004841B3"/>
    <w:rsid w:val="007D4595"/>
    <w:rsid w:val="00824882"/>
    <w:rsid w:val="008D4523"/>
    <w:rsid w:val="00965255"/>
    <w:rsid w:val="00C8757A"/>
    <w:rsid w:val="00D503BD"/>
    <w:rsid w:val="00D61849"/>
    <w:rsid w:val="00D62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16383"/>
  <w15:docId w15:val="{1EFA3314-B3BE-4961-A3DC-7B42B036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C87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75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757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8757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C8757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8757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87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757A"/>
    <w:rPr>
      <w:b/>
      <w:bCs/>
    </w:rPr>
  </w:style>
  <w:style w:type="character" w:styleId="Emphasis">
    <w:name w:val="Emphasis"/>
    <w:basedOn w:val="DefaultParagraphFont"/>
    <w:uiPriority w:val="20"/>
    <w:qFormat/>
    <w:rsid w:val="00C8757A"/>
    <w:rPr>
      <w:i/>
      <w:iCs/>
    </w:rPr>
  </w:style>
  <w:style w:type="character" w:styleId="Hyperlink">
    <w:name w:val="Hyperlink"/>
    <w:basedOn w:val="DefaultParagraphFont"/>
    <w:uiPriority w:val="99"/>
    <w:semiHidden/>
    <w:unhideWhenUsed/>
    <w:rsid w:val="00C8757A"/>
    <w:rPr>
      <w:color w:val="0000FF"/>
      <w:u w:val="single"/>
    </w:rPr>
  </w:style>
  <w:style w:type="character" w:customStyle="1" w:styleId="Heading2Char">
    <w:name w:val="Heading 2 Char"/>
    <w:basedOn w:val="DefaultParagraphFont"/>
    <w:link w:val="Heading2"/>
    <w:uiPriority w:val="9"/>
    <w:semiHidden/>
    <w:rsid w:val="00C8757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8757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8757A"/>
    <w:pPr>
      <w:ind w:left="720"/>
      <w:contextualSpacing/>
    </w:pPr>
  </w:style>
  <w:style w:type="table" w:styleId="TableGrid">
    <w:name w:val="Table Grid"/>
    <w:basedOn w:val="TableNormal"/>
    <w:uiPriority w:val="59"/>
    <w:rsid w:val="00C8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EE2"/>
  </w:style>
  <w:style w:type="paragraph" w:styleId="Footer">
    <w:name w:val="footer"/>
    <w:basedOn w:val="Normal"/>
    <w:link w:val="FooterChar"/>
    <w:uiPriority w:val="99"/>
    <w:unhideWhenUsed/>
    <w:rsid w:val="003C6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67336">
      <w:bodyDiv w:val="1"/>
      <w:marLeft w:val="0"/>
      <w:marRight w:val="0"/>
      <w:marTop w:val="0"/>
      <w:marBottom w:val="0"/>
      <w:divBdr>
        <w:top w:val="none" w:sz="0" w:space="0" w:color="auto"/>
        <w:left w:val="none" w:sz="0" w:space="0" w:color="auto"/>
        <w:bottom w:val="none" w:sz="0" w:space="0" w:color="auto"/>
        <w:right w:val="none" w:sz="0" w:space="0" w:color="auto"/>
      </w:divBdr>
      <w:divsChild>
        <w:div w:id="1029262241">
          <w:marLeft w:val="0"/>
          <w:marRight w:val="0"/>
          <w:marTop w:val="0"/>
          <w:marBottom w:val="0"/>
          <w:divBdr>
            <w:top w:val="none" w:sz="0" w:space="0" w:color="auto"/>
            <w:left w:val="none" w:sz="0" w:space="0" w:color="auto"/>
            <w:bottom w:val="none" w:sz="0" w:space="0" w:color="auto"/>
            <w:right w:val="none" w:sz="0" w:space="0" w:color="auto"/>
          </w:divBdr>
        </w:div>
        <w:div w:id="2174160">
          <w:marLeft w:val="0"/>
          <w:marRight w:val="0"/>
          <w:marTop w:val="0"/>
          <w:marBottom w:val="0"/>
          <w:divBdr>
            <w:top w:val="none" w:sz="0" w:space="0" w:color="auto"/>
            <w:left w:val="none" w:sz="0" w:space="0" w:color="auto"/>
            <w:bottom w:val="none" w:sz="0" w:space="0" w:color="auto"/>
            <w:right w:val="none" w:sz="0" w:space="0" w:color="auto"/>
          </w:divBdr>
        </w:div>
        <w:div w:id="817694167">
          <w:marLeft w:val="0"/>
          <w:marRight w:val="0"/>
          <w:marTop w:val="0"/>
          <w:marBottom w:val="0"/>
          <w:divBdr>
            <w:top w:val="none" w:sz="0" w:space="0" w:color="auto"/>
            <w:left w:val="none" w:sz="0" w:space="0" w:color="auto"/>
            <w:bottom w:val="none" w:sz="0" w:space="0" w:color="auto"/>
            <w:right w:val="none" w:sz="0" w:space="0" w:color="auto"/>
          </w:divBdr>
        </w:div>
      </w:divsChild>
    </w:div>
    <w:div w:id="13963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6974</Words>
  <Characters>39753</Characters>
  <Application>Microsoft Office Word</Application>
  <DocSecurity>0</DocSecurity>
  <Lines>331</Lines>
  <Paragraphs>93</Paragraphs>
  <ScaleCrop>false</ScaleCrop>
  <Company>HP</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13</cp:revision>
  <dcterms:created xsi:type="dcterms:W3CDTF">2026-06-30T16:15:00Z</dcterms:created>
  <dcterms:modified xsi:type="dcterms:W3CDTF">2026-07-01T13:39:00Z</dcterms:modified>
</cp:coreProperties>
</file>