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A591" w14:textId="646AC164" w:rsidR="00E97080" w:rsidRPr="00E97080" w:rsidRDefault="00E97080" w:rsidP="00E97080">
      <w:pPr>
        <w:spacing w:after="0" w:line="480" w:lineRule="auto"/>
        <w:outlineLvl w:val="1"/>
        <w:rPr>
          <w:rFonts w:ascii="Times New Roman" w:eastAsia="Times New Roman" w:hAnsi="Times New Roman" w:cs="Times New Roman"/>
          <w:b/>
          <w:bCs/>
          <w:color w:val="000000" w:themeColor="text1"/>
          <w:sz w:val="24"/>
          <w:szCs w:val="24"/>
          <w:u w:val="single"/>
          <w:lang w:eastAsia="en-IN"/>
        </w:rPr>
      </w:pPr>
      <w:r w:rsidRPr="00E97080">
        <w:rPr>
          <w:rFonts w:ascii="Times New Roman" w:eastAsia="Times New Roman" w:hAnsi="Times New Roman" w:cs="Times New Roman"/>
          <w:b/>
          <w:bCs/>
          <w:color w:val="000000" w:themeColor="text1"/>
          <w:sz w:val="24"/>
          <w:szCs w:val="24"/>
          <w:u w:val="single"/>
          <w:lang w:eastAsia="en-IN"/>
        </w:rPr>
        <w:t>Original Research Article</w:t>
      </w:r>
    </w:p>
    <w:p w14:paraId="6F97C41E" w14:textId="77777777" w:rsidR="00E97080" w:rsidRDefault="00E97080" w:rsidP="003126C1">
      <w:pPr>
        <w:spacing w:after="0" w:line="480" w:lineRule="auto"/>
        <w:jc w:val="center"/>
        <w:outlineLvl w:val="1"/>
        <w:rPr>
          <w:rFonts w:ascii="Times New Roman" w:eastAsia="Times New Roman" w:hAnsi="Times New Roman" w:cs="Times New Roman"/>
          <w:b/>
          <w:bCs/>
          <w:color w:val="000000" w:themeColor="text1"/>
          <w:sz w:val="24"/>
          <w:szCs w:val="24"/>
          <w:lang w:eastAsia="en-IN"/>
        </w:rPr>
      </w:pPr>
    </w:p>
    <w:p w14:paraId="01F3E0B9" w14:textId="08A651AB" w:rsidR="005F61C1" w:rsidRPr="00E97080" w:rsidRDefault="005F61C1" w:rsidP="003126C1">
      <w:pPr>
        <w:spacing w:after="0" w:line="480" w:lineRule="auto"/>
        <w:jc w:val="center"/>
        <w:outlineLvl w:val="1"/>
        <w:rPr>
          <w:rFonts w:ascii="Times New Roman" w:eastAsia="Times New Roman" w:hAnsi="Times New Roman" w:cs="Times New Roman"/>
          <w:b/>
          <w:bCs/>
          <w:color w:val="000000" w:themeColor="text1"/>
          <w:sz w:val="24"/>
          <w:szCs w:val="24"/>
          <w:lang w:eastAsia="en-IN"/>
        </w:rPr>
      </w:pPr>
      <w:r w:rsidRPr="00E97080">
        <w:rPr>
          <w:rFonts w:ascii="Times New Roman" w:eastAsia="Times New Roman" w:hAnsi="Times New Roman" w:cs="Times New Roman"/>
          <w:b/>
          <w:bCs/>
          <w:color w:val="000000" w:themeColor="text1"/>
          <w:sz w:val="24"/>
          <w:szCs w:val="24"/>
          <w:lang w:eastAsia="en-IN"/>
        </w:rPr>
        <w:t>A Study on the Comparative Effect of Silkworm Pupal Oil Fortification of Mulberry Leaves on Growth Performance of Bivoltine Silkworm (Bombyx mori L. bivoltine hybrid variety NB4D2 X SH6) in different larval stages under Subtropical Conditions of Meerut District, Uttar Pradesh, India</w:t>
      </w:r>
    </w:p>
    <w:p w14:paraId="2E3D614D" w14:textId="77777777" w:rsidR="005F61C1" w:rsidRDefault="005F61C1" w:rsidP="003126C1">
      <w:pPr>
        <w:spacing w:after="0" w:line="480" w:lineRule="auto"/>
        <w:jc w:val="center"/>
        <w:outlineLvl w:val="1"/>
        <w:rPr>
          <w:rFonts w:ascii="Times New Roman" w:eastAsia="Times New Roman" w:hAnsi="Times New Roman" w:cs="Times New Roman"/>
          <w:color w:val="000000" w:themeColor="text1"/>
          <w:sz w:val="24"/>
          <w:szCs w:val="24"/>
          <w:lang w:eastAsia="en-IN"/>
        </w:rPr>
      </w:pPr>
    </w:p>
    <w:p w14:paraId="44086FD0" w14:textId="3A8CE489" w:rsidR="00DA08E9" w:rsidRPr="004D3ED1" w:rsidRDefault="00DA08E9" w:rsidP="0032319B">
      <w:pPr>
        <w:pStyle w:val="NormalWeb"/>
        <w:spacing w:line="480" w:lineRule="auto"/>
        <w:jc w:val="center"/>
        <w:rPr>
          <w:b/>
          <w:bCs/>
        </w:rPr>
      </w:pPr>
    </w:p>
    <w:p w14:paraId="3D573552" w14:textId="77777777" w:rsidR="00DA08E9" w:rsidRPr="004D3ED1" w:rsidRDefault="00DA08E9" w:rsidP="00DA08E9">
      <w:pPr>
        <w:spacing w:before="100" w:beforeAutospacing="1" w:after="100" w:afterAutospacing="1" w:line="480" w:lineRule="auto"/>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ABSTRACT</w:t>
      </w:r>
    </w:p>
    <w:p w14:paraId="55A55019" w14:textId="77777777" w:rsidR="0032319B" w:rsidRDefault="00DA08E9" w:rsidP="00DA08E9">
      <w:pPr>
        <w:pStyle w:val="NormalWeb"/>
        <w:spacing w:line="480" w:lineRule="auto"/>
        <w:jc w:val="both"/>
      </w:pPr>
      <w:r w:rsidRPr="004D3ED1">
        <w:t>The present study evaluated the effect of silkworm pupal oil fortification on the growth performance of bivoltine silkworm larvae (</w:t>
      </w:r>
      <w:r w:rsidRPr="004D3ED1">
        <w:rPr>
          <w:rStyle w:val="Emphasis"/>
        </w:rPr>
        <w:t>Bombyx mori</w:t>
      </w:r>
      <w:r w:rsidRPr="004D3ED1">
        <w:t xml:space="preserve"> L.; NB4D2 × SH6) under subtropical conditions of Meerut, Uttar Pradesh. Fresh </w:t>
      </w:r>
      <w:r w:rsidRPr="004D3ED1">
        <w:rPr>
          <w:rStyle w:val="Emphasis"/>
        </w:rPr>
        <w:t>Morus alba</w:t>
      </w:r>
      <w:r w:rsidRPr="004D3ED1">
        <w:t xml:space="preserve"> leaves were fortified with silkworm pupal oil at 3000, 6000, and 9000 ppm, while untreated leaves served as the control. Growth parameters including larval length, weight, perimeter, Overall Growth Rate (OGR), Compound Periodical Growth Rate (CPGR), and Gland-Body Ratio (GBR) were assessed during the fourth and fifth instars. Fortified treatments significantly improved larval growth compared with the control. The </w:t>
      </w:r>
      <w:proofErr w:type="gramStart"/>
      <w:r w:rsidRPr="004D3ED1">
        <w:t>3000 ppm</w:t>
      </w:r>
      <w:proofErr w:type="gramEnd"/>
      <w:r w:rsidRPr="004D3ED1">
        <w:t xml:space="preserve"> treatment performed best during the fourth instar, whereas 9000 ppm produced superior growth during the fifth instar, enhancing larval weight by approximately 26%. These findings indicate that silkworm pupal oil is a promising nutritional </w:t>
      </w:r>
      <w:proofErr w:type="spellStart"/>
      <w:r w:rsidRPr="004D3ED1">
        <w:t>fortificant</w:t>
      </w:r>
      <w:proofErr w:type="spellEnd"/>
      <w:r w:rsidRPr="004D3ED1">
        <w:t xml:space="preserve"> for improving silkworm growth.</w:t>
      </w:r>
    </w:p>
    <w:p w14:paraId="41FEA998" w14:textId="77777777" w:rsidR="00DA08E9" w:rsidRDefault="00DA08E9" w:rsidP="00DA08E9">
      <w:pPr>
        <w:pStyle w:val="NormalWeb"/>
        <w:spacing w:line="480" w:lineRule="auto"/>
        <w:jc w:val="both"/>
      </w:pPr>
      <w:r w:rsidRPr="004D3ED1">
        <w:rPr>
          <w:b/>
          <w:bCs/>
        </w:rPr>
        <w:t>KEYWORDS:</w:t>
      </w:r>
      <w:r w:rsidRPr="004D3ED1">
        <w:t xml:space="preserve"> </w:t>
      </w:r>
      <w:r w:rsidRPr="004D3ED1">
        <w:rPr>
          <w:rStyle w:val="Emphasis"/>
        </w:rPr>
        <w:t>Bombyx mori</w:t>
      </w:r>
      <w:r w:rsidRPr="004D3ED1">
        <w:t xml:space="preserve">, silkworm pupal oil, </w:t>
      </w:r>
      <w:r w:rsidRPr="004D3ED1">
        <w:rPr>
          <w:rStyle w:val="Emphasis"/>
        </w:rPr>
        <w:t>Morus alba</w:t>
      </w:r>
      <w:r w:rsidRPr="004D3ED1">
        <w:t>, larval growth, OGR, CPGR, sericulture, nutritional fortification.</w:t>
      </w:r>
    </w:p>
    <w:p w14:paraId="2E0B2330" w14:textId="77777777" w:rsidR="00DA08E9" w:rsidRPr="004D3ED1" w:rsidRDefault="00DA08E9" w:rsidP="00DA08E9">
      <w:pPr>
        <w:pStyle w:val="NormalWeb"/>
        <w:spacing w:line="480" w:lineRule="auto"/>
        <w:jc w:val="both"/>
      </w:pPr>
      <w:r w:rsidRPr="004D3ED1">
        <w:rPr>
          <w:b/>
          <w:bCs/>
        </w:rPr>
        <w:br w:type="column"/>
      </w:r>
      <w:r w:rsidRPr="004D3ED1">
        <w:rPr>
          <w:b/>
          <w:bCs/>
        </w:rPr>
        <w:lastRenderedPageBreak/>
        <w:t>INTRODUCTION</w:t>
      </w:r>
    </w:p>
    <w:p w14:paraId="7C51BA08" w14:textId="77777777" w:rsidR="00DA08E9" w:rsidRPr="004D3ED1" w:rsidRDefault="00DA08E9" w:rsidP="00DA08E9">
      <w:pPr>
        <w:pStyle w:val="NormalWeb"/>
        <w:spacing w:line="480" w:lineRule="auto"/>
        <w:jc w:val="both"/>
      </w:pPr>
      <w:r w:rsidRPr="004D3ED1">
        <w:t xml:space="preserve">Sericulture is an important </w:t>
      </w:r>
      <w:proofErr w:type="spellStart"/>
      <w:r w:rsidRPr="004D3ED1">
        <w:t>agro</w:t>
      </w:r>
      <w:proofErr w:type="spellEnd"/>
      <w:r w:rsidRPr="004D3ED1">
        <w:t xml:space="preserve">-based industry that provides livelihood opportunities to millions of rural households in India and contributes significantly to rural employment and income generation (Ekka &amp; Bais, 2023; </w:t>
      </w:r>
      <w:r w:rsidRPr="004D3ED1">
        <w:rPr>
          <w:rStyle w:val="whitespace-normal"/>
        </w:rPr>
        <w:t>Central Silk Board</w:t>
      </w:r>
      <w:r w:rsidRPr="004D3ED1">
        <w:t xml:space="preserve">). The success of silkworm rearing largely depends upon the quality and nutritional composition of mulberry leaves, which constitute the sole food source of </w:t>
      </w:r>
      <w:r w:rsidRPr="004D3ED1">
        <w:rPr>
          <w:rStyle w:val="Emphasis"/>
        </w:rPr>
        <w:t>Bombyx mori</w:t>
      </w:r>
      <w:r w:rsidRPr="004D3ED1">
        <w:t xml:space="preserve"> L. (Nath et al., 2025; Ito, 1978). Enhancement of leaf nutritional quality through supplementation and fortification has been widely investigated as a strategy to improve silkworm growth, cocoon productivity, and silk yield (Hamano et al., 1986; </w:t>
      </w:r>
      <w:proofErr w:type="spellStart"/>
      <w:r w:rsidRPr="004D3ED1">
        <w:t>Etebari</w:t>
      </w:r>
      <w:proofErr w:type="spellEnd"/>
      <w:r w:rsidRPr="004D3ED1">
        <w:t xml:space="preserve"> &amp; </w:t>
      </w:r>
      <w:proofErr w:type="spellStart"/>
      <w:r w:rsidRPr="004D3ED1">
        <w:t>Matindoost</w:t>
      </w:r>
      <w:proofErr w:type="spellEnd"/>
      <w:r w:rsidRPr="004D3ED1">
        <w:t>, 2005).</w:t>
      </w:r>
    </w:p>
    <w:p w14:paraId="665ABDB0" w14:textId="77777777" w:rsidR="00DA08E9" w:rsidRPr="004D3ED1" w:rsidRDefault="00DA08E9" w:rsidP="00DA08E9">
      <w:pPr>
        <w:pStyle w:val="NormalWeb"/>
        <w:spacing w:line="480" w:lineRule="auto"/>
        <w:jc w:val="both"/>
      </w:pPr>
      <w:r w:rsidRPr="004D3ED1">
        <w:t>Nutritional supplements such as proteins, amino acids, vitamins, minerals, probiotics, and plant extracts have been reported to improve silkworm performance (</w:t>
      </w:r>
      <w:proofErr w:type="spellStart"/>
      <w:r w:rsidRPr="004D3ED1">
        <w:t>Kanafi</w:t>
      </w:r>
      <w:proofErr w:type="spellEnd"/>
      <w:r w:rsidRPr="004D3ED1">
        <w:t xml:space="preserve"> et al., 2007; Ramesha et al., 2010). In recent years, attention has shifted toward lipid-based nutritional supplements because of their involvement in energy metabolism, membrane synthesis, hormone regulation, and physiological development (Stanley-Samuelson et al., 1988). Silkworm pupal oil is a valuable nutritional supplement due to its high content of essential fatty acids (omega-3, omega-6, and omega-9) and natural antioxidants such as vitamin E (</w:t>
      </w:r>
      <w:proofErr w:type="spellStart"/>
      <w:r w:rsidRPr="004D3ED1">
        <w:t>Longvah</w:t>
      </w:r>
      <w:proofErr w:type="spellEnd"/>
      <w:r w:rsidRPr="004D3ED1">
        <w:t xml:space="preserve"> et al., 2011; Tomotake et al., 2010). Previous studies have shown that linoleic and linolenic acids are essential for normal growth and development of </w:t>
      </w:r>
      <w:r w:rsidRPr="004D3ED1">
        <w:rPr>
          <w:rStyle w:val="Emphasis"/>
        </w:rPr>
        <w:t>Bombyx mori</w:t>
      </w:r>
      <w:r w:rsidRPr="004D3ED1">
        <w:t xml:space="preserve"> (Ito &amp; Arai, 1965; Hamamura, 1972). These fatty acids </w:t>
      </w:r>
      <w:proofErr w:type="gramStart"/>
      <w:r w:rsidRPr="004D3ED1">
        <w:t>helps</w:t>
      </w:r>
      <w:proofErr w:type="gramEnd"/>
      <w:r w:rsidRPr="004D3ED1">
        <w:t xml:space="preserve"> in supporting energy metabolism, nutrient utilization, and physiological functions, which may explain the improved larval growth observed in the present study, particularly during the fifth instar.</w:t>
      </w:r>
    </w:p>
    <w:p w14:paraId="422C01A6" w14:textId="77777777" w:rsidR="00A219A5" w:rsidRDefault="00DA08E9" w:rsidP="00DA08E9">
      <w:pPr>
        <w:pStyle w:val="NormalWeb"/>
        <w:spacing w:line="480" w:lineRule="auto"/>
        <w:jc w:val="both"/>
      </w:pPr>
      <w:r w:rsidRPr="004D3ED1">
        <w:t xml:space="preserve">To minimize lipid oxidation and rancidity, fresh Silkworm pupal oil solutions were prepared immediately before application, and fortified mulberry leaves were fed to larvae shortly after preparation without prolonged storage. No additional antioxidant stabilizers were used, as the </w:t>
      </w:r>
      <w:r w:rsidRPr="004D3ED1">
        <w:lastRenderedPageBreak/>
        <w:t>commercial Silkworm pupal oil formulation contained vitamin E. The absence of adverse effects on larval growth and survival infers that oxidation-related toxicity was negligible under the experimental conditions.</w:t>
      </w:r>
    </w:p>
    <w:p w14:paraId="2D4808AF" w14:textId="77777777" w:rsidR="00DA08E9" w:rsidRPr="004D3ED1" w:rsidRDefault="00DA08E9" w:rsidP="00DA08E9">
      <w:pPr>
        <w:pStyle w:val="NormalWeb"/>
        <w:spacing w:line="480" w:lineRule="auto"/>
        <w:jc w:val="both"/>
      </w:pPr>
      <w:r w:rsidRPr="004D3ED1">
        <w:t xml:space="preserve">Although silkworm pupal oil is recognized as a valuable by-product of the sericulture industry, information regarding its application as a </w:t>
      </w:r>
      <w:proofErr w:type="spellStart"/>
      <w:r w:rsidRPr="004D3ED1">
        <w:t>fortificant</w:t>
      </w:r>
      <w:proofErr w:type="spellEnd"/>
      <w:r w:rsidRPr="004D3ED1">
        <w:t xml:space="preserve"> for mulberry leaves remains limited (Dong et al., 2017; Mishra et al., 2021). The utilization of silkworm pupal oil as a nutritional supplement could provide an economical and sustainable approach for improving silkworm performance while simultaneously promoting value addition of sericultural waste products and supporting circular bioeconomy principles (Yue et al., 2022).</w:t>
      </w:r>
    </w:p>
    <w:p w14:paraId="3F81F113" w14:textId="77777777" w:rsidR="00DA08E9" w:rsidRPr="004D3ED1" w:rsidRDefault="00DA08E9" w:rsidP="00DA08E9">
      <w:pPr>
        <w:pStyle w:val="NormalWeb"/>
        <w:spacing w:line="480" w:lineRule="auto"/>
        <w:jc w:val="both"/>
      </w:pPr>
      <w:r w:rsidRPr="004D3ED1">
        <w:t>Therefore, the present study was undertaken to evaluate the influence of different concentrations of silkworm pupal oil on the growth performance of fourth and fifth instar larvae of bivoltine silkworm (NB4D2 × SH6) under the subtropical environmental conditions of Meerut district, Uttar Pradesh.</w:t>
      </w:r>
    </w:p>
    <w:p w14:paraId="770A3506" w14:textId="77777777" w:rsidR="00DA08E9" w:rsidRPr="004D3ED1" w:rsidRDefault="00DA08E9" w:rsidP="00DA08E9">
      <w:pPr>
        <w:pStyle w:val="NormalWeb"/>
        <w:spacing w:before="0" w:beforeAutospacing="0" w:line="480" w:lineRule="auto"/>
        <w:jc w:val="both"/>
        <w:rPr>
          <w:b/>
          <w:bCs/>
        </w:rPr>
      </w:pPr>
      <w:r w:rsidRPr="004D3ED1">
        <w:rPr>
          <w:b/>
          <w:bCs/>
        </w:rPr>
        <w:t>MATERIALS AND METHODS</w:t>
      </w:r>
    </w:p>
    <w:p w14:paraId="5DA12030" w14:textId="77777777" w:rsidR="00DA08E9" w:rsidRPr="004D3ED1" w:rsidRDefault="00DA08E9" w:rsidP="00DA08E9">
      <w:pPr>
        <w:spacing w:after="100" w:afterAutospacing="1" w:line="480" w:lineRule="auto"/>
        <w:rPr>
          <w:rFonts w:ascii="Times New Roman" w:eastAsia="Times New Roman" w:hAnsi="Times New Roman" w:cs="Times New Roman"/>
          <w:sz w:val="24"/>
          <w:szCs w:val="24"/>
          <w:lang w:eastAsia="en-IN"/>
        </w:rPr>
      </w:pPr>
      <w:r w:rsidRPr="004D3ED1">
        <w:rPr>
          <w:rFonts w:ascii="Times New Roman" w:eastAsia="Times New Roman" w:hAnsi="Times New Roman" w:cs="Times New Roman"/>
          <w:b/>
          <w:bCs/>
          <w:sz w:val="24"/>
          <w:szCs w:val="24"/>
          <w:lang w:eastAsia="en-IN"/>
        </w:rPr>
        <w:t>Experimental Site</w:t>
      </w:r>
      <w:r w:rsidRPr="004D3ED1">
        <w:rPr>
          <w:rFonts w:ascii="Times New Roman" w:eastAsia="Times New Roman" w:hAnsi="Times New Roman" w:cs="Times New Roman"/>
          <w:sz w:val="24"/>
          <w:szCs w:val="24"/>
          <w:lang w:eastAsia="en-IN"/>
        </w:rPr>
        <w:t>: The experiment was conducted in the Sericulture Development Farm, Meerut, Uttar Pradesh, India, during September under subtropical climatic conditions.</w:t>
      </w:r>
    </w:p>
    <w:p w14:paraId="095CB8C4"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Silkworm Breed: </w:t>
      </w:r>
      <w:r w:rsidRPr="004D3ED1">
        <w:rPr>
          <w:rFonts w:ascii="Times New Roman" w:eastAsia="Times New Roman" w:hAnsi="Times New Roman" w:cs="Times New Roman"/>
          <w:sz w:val="24"/>
          <w:szCs w:val="24"/>
          <w:lang w:eastAsia="en-IN"/>
        </w:rPr>
        <w:t>Bivoltine silkworm hybrid NB4D2 × SH6 was utilized for the experiment.</w:t>
      </w:r>
    </w:p>
    <w:p w14:paraId="4528FD30"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Mulberry Variety: </w:t>
      </w:r>
      <w:r w:rsidRPr="004D3ED1">
        <w:rPr>
          <w:rFonts w:ascii="Times New Roman" w:eastAsia="Times New Roman" w:hAnsi="Times New Roman" w:cs="Times New Roman"/>
          <w:sz w:val="24"/>
          <w:szCs w:val="24"/>
          <w:lang w:eastAsia="en-IN"/>
        </w:rPr>
        <w:t xml:space="preserve">Fresh leaves of </w:t>
      </w:r>
      <w:r w:rsidRPr="004D3ED1">
        <w:rPr>
          <w:rFonts w:ascii="Times New Roman" w:eastAsia="Times New Roman" w:hAnsi="Times New Roman" w:cs="Times New Roman"/>
          <w:i/>
          <w:iCs/>
          <w:sz w:val="24"/>
          <w:szCs w:val="24"/>
          <w:lang w:eastAsia="en-IN"/>
        </w:rPr>
        <w:t>Morus alba</w:t>
      </w:r>
      <w:r w:rsidRPr="004D3ED1">
        <w:rPr>
          <w:rFonts w:ascii="Times New Roman" w:eastAsia="Times New Roman" w:hAnsi="Times New Roman" w:cs="Times New Roman"/>
          <w:sz w:val="24"/>
          <w:szCs w:val="24"/>
          <w:lang w:eastAsia="en-IN"/>
        </w:rPr>
        <w:t xml:space="preserve"> were used throughout the study as the sole food source for the silkworm larvae (Krishnaswami, 1978; Dandin &amp; Giridhar, 2014).</w:t>
      </w:r>
    </w:p>
    <w:p w14:paraId="5085E6F0"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Rearing Conditions: </w:t>
      </w:r>
      <w:r w:rsidRPr="004D3ED1">
        <w:rPr>
          <w:rFonts w:ascii="Times New Roman" w:eastAsia="Times New Roman" w:hAnsi="Times New Roman" w:cs="Times New Roman"/>
          <w:sz w:val="24"/>
          <w:szCs w:val="24"/>
          <w:lang w:eastAsia="en-IN"/>
        </w:rPr>
        <w:t xml:space="preserve">Silkworm larvae were reared under controlled environmental conditions maintained at 28 ± 1°C temperature and 75 ± 5% relative humidity. Standard rearing </w:t>
      </w:r>
      <w:r w:rsidRPr="004D3ED1">
        <w:rPr>
          <w:rFonts w:ascii="Times New Roman" w:eastAsia="Times New Roman" w:hAnsi="Times New Roman" w:cs="Times New Roman"/>
          <w:sz w:val="24"/>
          <w:szCs w:val="24"/>
          <w:lang w:eastAsia="en-IN"/>
        </w:rPr>
        <w:lastRenderedPageBreak/>
        <w:t>procedures recommended for bivoltine silkworms were followed throughout the experimental period (Krishnaswami, 1978; Dandin &amp; Jayaswal, 2010).</w:t>
      </w:r>
    </w:p>
    <w:p w14:paraId="3BF9707C" w14:textId="77777777" w:rsidR="00DA08E9" w:rsidRPr="004D3ED1" w:rsidRDefault="00DA08E9" w:rsidP="00DA08E9">
      <w:pPr>
        <w:spacing w:before="100" w:beforeAutospacing="1" w:after="100" w:afterAutospacing="1" w:line="480" w:lineRule="auto"/>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Experimental Design: </w:t>
      </w:r>
      <w:r w:rsidRPr="004D3ED1">
        <w:rPr>
          <w:rFonts w:ascii="Times New Roman" w:eastAsia="Times New Roman" w:hAnsi="Times New Roman" w:cs="Times New Roman"/>
          <w:sz w:val="24"/>
          <w:szCs w:val="24"/>
          <w:lang w:eastAsia="en-IN"/>
        </w:rPr>
        <w:t>The experiment consisted of four treatments with 03 replications of each and per replication 60 worms were reared:</w:t>
      </w:r>
    </w:p>
    <w:p w14:paraId="6B5D2314" w14:textId="77777777" w:rsidR="00DA08E9" w:rsidRPr="004D3ED1" w:rsidRDefault="00DA08E9" w:rsidP="00DA08E9">
      <w:pPr>
        <w:spacing w:after="0" w:line="480" w:lineRule="auto"/>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T1 – Silkworm pupal </w:t>
      </w:r>
      <w:proofErr w:type="gramStart"/>
      <w:r w:rsidRPr="004D3ED1">
        <w:rPr>
          <w:rFonts w:ascii="Times New Roman" w:eastAsia="Times New Roman" w:hAnsi="Times New Roman" w:cs="Times New Roman"/>
          <w:sz w:val="24"/>
          <w:szCs w:val="24"/>
          <w:lang w:eastAsia="en-IN"/>
        </w:rPr>
        <w:t>oil  3000</w:t>
      </w:r>
      <w:proofErr w:type="gramEnd"/>
      <w:r w:rsidRPr="004D3ED1">
        <w:rPr>
          <w:rFonts w:ascii="Times New Roman" w:eastAsia="Times New Roman" w:hAnsi="Times New Roman" w:cs="Times New Roman"/>
          <w:sz w:val="24"/>
          <w:szCs w:val="24"/>
          <w:lang w:eastAsia="en-IN"/>
        </w:rPr>
        <w:t xml:space="preserve"> ppm</w:t>
      </w:r>
    </w:p>
    <w:p w14:paraId="6F17B4E4" w14:textId="77777777" w:rsidR="00DA08E9" w:rsidRPr="004D3ED1" w:rsidRDefault="00DA08E9" w:rsidP="00DA08E9">
      <w:pPr>
        <w:spacing w:after="0" w:line="480" w:lineRule="auto"/>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sz w:val="24"/>
          <w:szCs w:val="24"/>
          <w:lang w:eastAsia="en-IN"/>
        </w:rPr>
        <w:t xml:space="preserve">T2 – Silkworm pupal </w:t>
      </w:r>
      <w:proofErr w:type="gramStart"/>
      <w:r w:rsidRPr="004D3ED1">
        <w:rPr>
          <w:rFonts w:ascii="Times New Roman" w:eastAsia="Times New Roman" w:hAnsi="Times New Roman" w:cs="Times New Roman"/>
          <w:sz w:val="24"/>
          <w:szCs w:val="24"/>
          <w:lang w:eastAsia="en-IN"/>
        </w:rPr>
        <w:t>oil  6000</w:t>
      </w:r>
      <w:proofErr w:type="gramEnd"/>
      <w:r w:rsidRPr="004D3ED1">
        <w:rPr>
          <w:rFonts w:ascii="Times New Roman" w:eastAsia="Times New Roman" w:hAnsi="Times New Roman" w:cs="Times New Roman"/>
          <w:sz w:val="24"/>
          <w:szCs w:val="24"/>
          <w:lang w:eastAsia="en-IN"/>
        </w:rPr>
        <w:t xml:space="preserve"> ppm</w:t>
      </w:r>
    </w:p>
    <w:p w14:paraId="7B838E21" w14:textId="77777777" w:rsidR="00DA08E9" w:rsidRPr="004D3ED1" w:rsidRDefault="00DA08E9" w:rsidP="00DA08E9">
      <w:pPr>
        <w:spacing w:after="0"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T3 – Silkworm pupal </w:t>
      </w:r>
      <w:proofErr w:type="gramStart"/>
      <w:r w:rsidRPr="004D3ED1">
        <w:rPr>
          <w:rFonts w:ascii="Times New Roman" w:eastAsia="Times New Roman" w:hAnsi="Times New Roman" w:cs="Times New Roman"/>
          <w:sz w:val="24"/>
          <w:szCs w:val="24"/>
          <w:lang w:eastAsia="en-IN"/>
        </w:rPr>
        <w:t>oil  9000</w:t>
      </w:r>
      <w:proofErr w:type="gramEnd"/>
      <w:r w:rsidRPr="004D3ED1">
        <w:rPr>
          <w:rFonts w:ascii="Times New Roman" w:eastAsia="Times New Roman" w:hAnsi="Times New Roman" w:cs="Times New Roman"/>
          <w:sz w:val="24"/>
          <w:szCs w:val="24"/>
          <w:lang w:eastAsia="en-IN"/>
        </w:rPr>
        <w:t xml:space="preserve"> ppm</w:t>
      </w:r>
    </w:p>
    <w:p w14:paraId="00F07936" w14:textId="77777777" w:rsidR="00DA08E9" w:rsidRPr="004D3ED1" w:rsidRDefault="00DA08E9" w:rsidP="00DA08E9">
      <w:pPr>
        <w:spacing w:after="0"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T4 – Control</w:t>
      </w:r>
    </w:p>
    <w:p w14:paraId="2466AB6A" w14:textId="77777777" w:rsidR="00DA08E9" w:rsidRPr="004D3ED1" w:rsidRDefault="00DA08E9" w:rsidP="00A219A5">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Preparation of Fortified Leaves: </w:t>
      </w:r>
      <w:r w:rsidRPr="004D3ED1">
        <w:rPr>
          <w:rFonts w:ascii="Times New Roman" w:eastAsia="Times New Roman" w:hAnsi="Times New Roman" w:cs="Times New Roman"/>
          <w:sz w:val="24"/>
          <w:szCs w:val="24"/>
          <w:lang w:eastAsia="en-IN"/>
        </w:rPr>
        <w:t>Freshly prepared Silkworm pupal oil solutions were applied to mulberry leaves immediately before feeding. Fortified leaves were shade-dried and supplied to larvae without prolonged storage in order to minimize oxidative degradation of fatty acids. Control larvae received untreated mulberry leaves (Tomotake et al., 2010).</w:t>
      </w:r>
    </w:p>
    <w:p w14:paraId="11CACE17" w14:textId="77777777" w:rsidR="00DA08E9" w:rsidRPr="004D3ED1" w:rsidRDefault="00DA08E9" w:rsidP="00DA08E9">
      <w:pPr>
        <w:spacing w:after="0"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Growth Parameters</w:t>
      </w:r>
    </w:p>
    <w:p w14:paraId="2C50F966" w14:textId="77777777" w:rsidR="00DA08E9" w:rsidRPr="004D3ED1" w:rsidRDefault="00DA08E9" w:rsidP="00DA08E9">
      <w:pPr>
        <w:spacing w:after="0"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sz w:val="24"/>
          <w:szCs w:val="24"/>
          <w:lang w:eastAsia="en-IN"/>
        </w:rPr>
        <w:t>The following parameters were recorded:</w:t>
      </w:r>
    </w:p>
    <w:p w14:paraId="397C8041"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 xml:space="preserve">Larval body weight (grams): </w:t>
      </w:r>
      <w:r w:rsidRPr="004D3ED1">
        <w:rPr>
          <w:rFonts w:ascii="Times New Roman" w:hAnsi="Times New Roman" w:cs="Times New Roman"/>
          <w:color w:val="000000" w:themeColor="text1"/>
          <w:sz w:val="24"/>
          <w:szCs w:val="24"/>
        </w:rPr>
        <w:t>Mean body weight was determined by measuring the weight of 20 randomly selected larvae using a digital electronic balance on the first and last day of the instar. The recorded values were considered as initial and final larval body weight, respectively (Krishnaswami, 1978).</w:t>
      </w:r>
    </w:p>
    <w:p w14:paraId="785116AA"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Larval Body length (</w:t>
      </w:r>
      <w:proofErr w:type="spellStart"/>
      <w:r w:rsidRPr="004D3ED1">
        <w:rPr>
          <w:rFonts w:ascii="Times New Roman" w:hAnsi="Times New Roman" w:cs="Times New Roman"/>
          <w:b/>
          <w:bCs/>
          <w:color w:val="000000" w:themeColor="text1"/>
          <w:sz w:val="24"/>
          <w:szCs w:val="24"/>
        </w:rPr>
        <w:t>centimeters</w:t>
      </w:r>
      <w:proofErr w:type="spellEnd"/>
      <w:r w:rsidRPr="004D3ED1">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 xml:space="preserve"> </w:t>
      </w:r>
      <w:r w:rsidRPr="004D3ED1">
        <w:rPr>
          <w:rFonts w:ascii="Times New Roman" w:hAnsi="Times New Roman" w:cs="Times New Roman"/>
          <w:sz w:val="24"/>
          <w:szCs w:val="24"/>
        </w:rPr>
        <w:t xml:space="preserve">Mean body length was determined by measuring the length of 20 randomly selected larvae using a Vernier </w:t>
      </w:r>
      <w:proofErr w:type="spellStart"/>
      <w:r w:rsidRPr="004D3ED1">
        <w:rPr>
          <w:rFonts w:ascii="Times New Roman" w:hAnsi="Times New Roman" w:cs="Times New Roman"/>
          <w:sz w:val="24"/>
          <w:szCs w:val="24"/>
        </w:rPr>
        <w:t>caliper</w:t>
      </w:r>
      <w:proofErr w:type="spellEnd"/>
      <w:r w:rsidRPr="004D3ED1">
        <w:rPr>
          <w:rFonts w:ascii="Times New Roman" w:hAnsi="Times New Roman" w:cs="Times New Roman"/>
          <w:sz w:val="24"/>
          <w:szCs w:val="24"/>
        </w:rPr>
        <w:t xml:space="preserve"> on the first and last day of the instar and was recorded as initial and final body length (</w:t>
      </w:r>
      <w:proofErr w:type="spellStart"/>
      <w:r w:rsidRPr="004D3ED1">
        <w:rPr>
          <w:rFonts w:ascii="Times New Roman" w:hAnsi="Times New Roman" w:cs="Times New Roman"/>
          <w:sz w:val="24"/>
          <w:szCs w:val="24"/>
        </w:rPr>
        <w:t>Sivaprasad</w:t>
      </w:r>
      <w:proofErr w:type="spellEnd"/>
      <w:r w:rsidRPr="004D3ED1">
        <w:rPr>
          <w:rFonts w:ascii="Times New Roman" w:hAnsi="Times New Roman" w:cs="Times New Roman"/>
          <w:sz w:val="24"/>
          <w:szCs w:val="24"/>
        </w:rPr>
        <w:t>, 2012)</w:t>
      </w:r>
      <w:r w:rsidRPr="004D3ED1">
        <w:rPr>
          <w:rFonts w:ascii="Times New Roman" w:hAnsi="Times New Roman" w:cs="Times New Roman"/>
          <w:color w:val="000000" w:themeColor="text1"/>
          <w:sz w:val="24"/>
          <w:szCs w:val="24"/>
        </w:rPr>
        <w:t>.</w:t>
      </w:r>
    </w:p>
    <w:p w14:paraId="59DF6035"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lastRenderedPageBreak/>
        <w:t>Larval Body perimeter (</w:t>
      </w:r>
      <w:proofErr w:type="spellStart"/>
      <w:r w:rsidRPr="004D3ED1">
        <w:rPr>
          <w:rFonts w:ascii="Times New Roman" w:hAnsi="Times New Roman" w:cs="Times New Roman"/>
          <w:b/>
          <w:bCs/>
          <w:color w:val="000000" w:themeColor="text1"/>
          <w:sz w:val="24"/>
          <w:szCs w:val="24"/>
        </w:rPr>
        <w:t>centimeters</w:t>
      </w:r>
      <w:proofErr w:type="spellEnd"/>
      <w:r w:rsidRPr="004D3ED1">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 xml:space="preserve"> </w:t>
      </w:r>
      <w:r w:rsidRPr="004D3ED1">
        <w:rPr>
          <w:rFonts w:ascii="Times New Roman" w:hAnsi="Times New Roman" w:cs="Times New Roman"/>
          <w:sz w:val="24"/>
          <w:szCs w:val="24"/>
        </w:rPr>
        <w:t xml:space="preserve">Mean body perimeter was determined by measuring the external circumference of 20 randomly selected larvae using a Vernier </w:t>
      </w:r>
      <w:proofErr w:type="spellStart"/>
      <w:r w:rsidRPr="004D3ED1">
        <w:rPr>
          <w:rFonts w:ascii="Times New Roman" w:hAnsi="Times New Roman" w:cs="Times New Roman"/>
          <w:sz w:val="24"/>
          <w:szCs w:val="24"/>
        </w:rPr>
        <w:t>caliper</w:t>
      </w:r>
      <w:proofErr w:type="spellEnd"/>
      <w:r w:rsidRPr="004D3ED1">
        <w:rPr>
          <w:rFonts w:ascii="Times New Roman" w:hAnsi="Times New Roman" w:cs="Times New Roman"/>
          <w:sz w:val="24"/>
          <w:szCs w:val="24"/>
        </w:rPr>
        <w:t xml:space="preserve"> on the first and last day of the instar (</w:t>
      </w:r>
      <w:proofErr w:type="spellStart"/>
      <w:r w:rsidRPr="004D3ED1">
        <w:rPr>
          <w:rFonts w:ascii="Times New Roman" w:hAnsi="Times New Roman" w:cs="Times New Roman"/>
          <w:sz w:val="24"/>
          <w:szCs w:val="24"/>
        </w:rPr>
        <w:t>Sivaprasad</w:t>
      </w:r>
      <w:proofErr w:type="spellEnd"/>
      <w:r w:rsidRPr="004D3ED1">
        <w:rPr>
          <w:rFonts w:ascii="Times New Roman" w:hAnsi="Times New Roman" w:cs="Times New Roman"/>
          <w:sz w:val="24"/>
          <w:szCs w:val="24"/>
        </w:rPr>
        <w:t>, 2012).</w:t>
      </w:r>
    </w:p>
    <w:p w14:paraId="697AB32F"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Gland-Body Ratio (%):</w:t>
      </w:r>
      <w:r w:rsidRPr="004D3ED1">
        <w:rPr>
          <w:rFonts w:ascii="Times New Roman" w:hAnsi="Times New Roman" w:cs="Times New Roman"/>
          <w:color w:val="000000" w:themeColor="text1"/>
          <w:sz w:val="24"/>
          <w:szCs w:val="24"/>
        </w:rPr>
        <w:t xml:space="preserve"> The growth of the silk gland relative to body growth was assessed through the gland-body ratio. On the fifth day of the fifth instar, ten larvae were randomly selected from each replication, weighed, and dissected for isolation of silk glands. The gland-body ratio was calculated by dividing silk gland weight by larval body weight and expressing the value as a percentage (</w:t>
      </w:r>
      <w:proofErr w:type="spellStart"/>
      <w:r w:rsidRPr="004D3ED1">
        <w:rPr>
          <w:rFonts w:ascii="Times New Roman" w:hAnsi="Times New Roman" w:cs="Times New Roman"/>
          <w:color w:val="000000" w:themeColor="text1"/>
          <w:sz w:val="24"/>
          <w:szCs w:val="24"/>
        </w:rPr>
        <w:t>Benchamin</w:t>
      </w:r>
      <w:proofErr w:type="spellEnd"/>
      <w:r w:rsidRPr="004D3ED1">
        <w:rPr>
          <w:rFonts w:ascii="Times New Roman" w:hAnsi="Times New Roman" w:cs="Times New Roman"/>
          <w:color w:val="000000" w:themeColor="text1"/>
          <w:sz w:val="24"/>
          <w:szCs w:val="24"/>
        </w:rPr>
        <w:t xml:space="preserve"> &amp; Jolly, 1986; </w:t>
      </w:r>
      <w:proofErr w:type="spellStart"/>
      <w:r w:rsidRPr="004D3ED1">
        <w:rPr>
          <w:rFonts w:ascii="Times New Roman" w:hAnsi="Times New Roman" w:cs="Times New Roman"/>
          <w:color w:val="000000" w:themeColor="text1"/>
          <w:sz w:val="24"/>
          <w:szCs w:val="24"/>
        </w:rPr>
        <w:t>Sivaprasad</w:t>
      </w:r>
      <w:proofErr w:type="spellEnd"/>
      <w:r w:rsidRPr="004D3ED1">
        <w:rPr>
          <w:rFonts w:ascii="Times New Roman" w:hAnsi="Times New Roman" w:cs="Times New Roman"/>
          <w:color w:val="000000" w:themeColor="text1"/>
          <w:sz w:val="24"/>
          <w:szCs w:val="24"/>
        </w:rPr>
        <w:t>, 2012).</w:t>
      </w:r>
    </w:p>
    <w:p w14:paraId="2338FB6D"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Overall Growth Rate (%</w:t>
      </w:r>
      <w:proofErr w:type="gramStart"/>
      <w:r w:rsidRPr="004D3ED1">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Overall</w:t>
      </w:r>
      <w:proofErr w:type="gramEnd"/>
      <w:r w:rsidRPr="004D3ED1">
        <w:rPr>
          <w:rFonts w:ascii="Times New Roman" w:hAnsi="Times New Roman" w:cs="Times New Roman"/>
          <w:color w:val="000000" w:themeColor="text1"/>
          <w:sz w:val="24"/>
          <w:szCs w:val="24"/>
        </w:rPr>
        <w:t xml:space="preserve"> Growth Rate (OGR) was used to determine instar-wise growth performance and was calculated according to the formula described by </w:t>
      </w:r>
      <w:proofErr w:type="spellStart"/>
      <w:r w:rsidRPr="004D3ED1">
        <w:rPr>
          <w:rFonts w:ascii="Times New Roman" w:hAnsi="Times New Roman" w:cs="Times New Roman"/>
          <w:color w:val="000000" w:themeColor="text1"/>
          <w:sz w:val="24"/>
          <w:szCs w:val="24"/>
        </w:rPr>
        <w:t>Sivaprasad</w:t>
      </w:r>
      <w:proofErr w:type="spellEnd"/>
      <w:r w:rsidRPr="004D3ED1">
        <w:rPr>
          <w:rFonts w:ascii="Times New Roman" w:hAnsi="Times New Roman" w:cs="Times New Roman"/>
          <w:color w:val="000000" w:themeColor="text1"/>
          <w:sz w:val="24"/>
          <w:szCs w:val="24"/>
        </w:rPr>
        <w:t xml:space="preserve"> (2012): </w:t>
      </w:r>
    </w:p>
    <w:p w14:paraId="5C1246E8" w14:textId="77777777" w:rsidR="00DA08E9" w:rsidRPr="004D3ED1" w:rsidRDefault="00DA08E9" w:rsidP="00DA08E9">
      <w:pPr>
        <w:spacing w:after="0" w:line="480" w:lineRule="auto"/>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 xml:space="preserve">OGR = </w:t>
      </w:r>
      <w:r w:rsidRPr="004D3ED1">
        <w:rPr>
          <w:rFonts w:ascii="Times New Roman" w:hAnsi="Times New Roman" w:cs="Times New Roman"/>
          <w:color w:val="000000" w:themeColor="text1"/>
          <w:sz w:val="24"/>
          <w:szCs w:val="24"/>
          <w:u w:val="single"/>
        </w:rPr>
        <w:t xml:space="preserve">Final </w:t>
      </w:r>
      <w:proofErr w:type="gramStart"/>
      <w:r w:rsidRPr="004D3ED1">
        <w:rPr>
          <w:rFonts w:ascii="Times New Roman" w:hAnsi="Times New Roman" w:cs="Times New Roman"/>
          <w:color w:val="000000" w:themeColor="text1"/>
          <w:sz w:val="24"/>
          <w:szCs w:val="24"/>
          <w:u w:val="single"/>
        </w:rPr>
        <w:t>value</w:t>
      </w:r>
      <w:proofErr w:type="gramEnd"/>
      <w:r w:rsidRPr="004D3ED1">
        <w:rPr>
          <w:rFonts w:ascii="Times New Roman" w:hAnsi="Times New Roman" w:cs="Times New Roman"/>
          <w:color w:val="000000" w:themeColor="text1"/>
          <w:sz w:val="24"/>
          <w:szCs w:val="24"/>
          <w:u w:val="single"/>
        </w:rPr>
        <w:t>−Initial value</w:t>
      </w:r>
      <w:r w:rsidRPr="004D3ED1">
        <w:rPr>
          <w:rFonts w:ascii="Times New Roman" w:hAnsi="Times New Roman" w:cs="Times New Roman"/>
          <w:color w:val="000000" w:themeColor="text1"/>
          <w:sz w:val="24"/>
          <w:szCs w:val="24"/>
        </w:rPr>
        <w:t xml:space="preserve"> × 100</w:t>
      </w:r>
    </w:p>
    <w:p w14:paraId="443728F8" w14:textId="77777777" w:rsidR="00DA08E9" w:rsidRPr="004D3ED1" w:rsidRDefault="00DA08E9" w:rsidP="00DA08E9">
      <w:pPr>
        <w:spacing w:after="0" w:line="480" w:lineRule="auto"/>
        <w:ind w:left="720"/>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Initial value</w:t>
      </w:r>
    </w:p>
    <w:p w14:paraId="132B8125" w14:textId="77777777" w:rsidR="00DA08E9" w:rsidRPr="004D3ED1" w:rsidRDefault="00DA08E9" w:rsidP="00DA08E9">
      <w:pPr>
        <w:pStyle w:val="ListParagraph"/>
        <w:numPr>
          <w:ilvl w:val="0"/>
          <w:numId w:val="2"/>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Compound Periodical Growth Rate (%</w:t>
      </w:r>
      <w:proofErr w:type="gramStart"/>
      <w:r w:rsidRPr="004D3ED1">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Compound</w:t>
      </w:r>
      <w:proofErr w:type="gramEnd"/>
      <w:r w:rsidRPr="004D3ED1">
        <w:rPr>
          <w:rFonts w:ascii="Times New Roman" w:hAnsi="Times New Roman" w:cs="Times New Roman"/>
          <w:color w:val="000000" w:themeColor="text1"/>
          <w:sz w:val="24"/>
          <w:szCs w:val="24"/>
        </w:rPr>
        <w:t xml:space="preserve"> Periodical Growth Rate (CPGR) was used to determine day-wise growth performance and was calculated according to the method of Thulasi and </w:t>
      </w:r>
      <w:proofErr w:type="spellStart"/>
      <w:r w:rsidRPr="004D3ED1">
        <w:rPr>
          <w:rFonts w:ascii="Times New Roman" w:hAnsi="Times New Roman" w:cs="Times New Roman"/>
          <w:color w:val="000000" w:themeColor="text1"/>
          <w:sz w:val="24"/>
          <w:szCs w:val="24"/>
        </w:rPr>
        <w:t>Sivaprasad</w:t>
      </w:r>
      <w:proofErr w:type="spellEnd"/>
      <w:r w:rsidRPr="004D3ED1">
        <w:rPr>
          <w:rFonts w:ascii="Times New Roman" w:hAnsi="Times New Roman" w:cs="Times New Roman"/>
          <w:color w:val="000000" w:themeColor="text1"/>
          <w:sz w:val="24"/>
          <w:szCs w:val="24"/>
        </w:rPr>
        <w:t xml:space="preserve"> (2012):</w:t>
      </w:r>
    </w:p>
    <w:p w14:paraId="0706341F" w14:textId="77777777" w:rsidR="00DA08E9" w:rsidRPr="004D3ED1" w:rsidRDefault="00DA08E9" w:rsidP="00DA08E9">
      <w:pPr>
        <w:spacing w:before="100" w:beforeAutospacing="1" w:after="100" w:afterAutospacing="1" w:line="480" w:lineRule="auto"/>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 xml:space="preserve">CPGR = (End value/Start value) </w:t>
      </w:r>
      <w:r w:rsidRPr="004D3ED1">
        <w:rPr>
          <w:rFonts w:ascii="Times New Roman" w:hAnsi="Times New Roman" w:cs="Times New Roman"/>
          <w:color w:val="000000" w:themeColor="text1"/>
          <w:sz w:val="24"/>
          <w:szCs w:val="24"/>
          <w:vertAlign w:val="superscript"/>
        </w:rPr>
        <w:t>1/n-1</w:t>
      </w:r>
      <w:r w:rsidRPr="004D3ED1">
        <w:rPr>
          <w:rFonts w:ascii="Times New Roman" w:hAnsi="Times New Roman" w:cs="Times New Roman"/>
          <w:color w:val="000000" w:themeColor="text1"/>
          <w:sz w:val="24"/>
          <w:szCs w:val="24"/>
        </w:rPr>
        <w:t xml:space="preserve"> – 1</w:t>
      </w:r>
    </w:p>
    <w:p w14:paraId="140A4E46" w14:textId="77777777" w:rsidR="00DA08E9" w:rsidRPr="004D3ED1" w:rsidRDefault="00DA08E9" w:rsidP="00DA08E9">
      <w:p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where n represents the number of days between observations. The value obtained was multiplied by 100 and expressed as percentage.</w:t>
      </w:r>
    </w:p>
    <w:p w14:paraId="6A699211" w14:textId="77777777" w:rsidR="00DA08E9" w:rsidRPr="004D3ED1" w:rsidRDefault="00DA08E9" w:rsidP="00A219A5">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Statistical Analysis</w:t>
      </w:r>
    </w:p>
    <w:p w14:paraId="6F1590AE"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lastRenderedPageBreak/>
        <w:t xml:space="preserve">Data were </w:t>
      </w:r>
      <w:proofErr w:type="spellStart"/>
      <w:r w:rsidRPr="004D3ED1">
        <w:rPr>
          <w:rFonts w:ascii="Times New Roman" w:eastAsia="Times New Roman" w:hAnsi="Times New Roman" w:cs="Times New Roman"/>
          <w:sz w:val="24"/>
          <w:szCs w:val="24"/>
          <w:lang w:eastAsia="en-IN"/>
        </w:rPr>
        <w:t>analyzed</w:t>
      </w:r>
      <w:proofErr w:type="spellEnd"/>
      <w:r w:rsidRPr="004D3ED1">
        <w:rPr>
          <w:rFonts w:ascii="Times New Roman" w:eastAsia="Times New Roman" w:hAnsi="Times New Roman" w:cs="Times New Roman"/>
          <w:sz w:val="24"/>
          <w:szCs w:val="24"/>
          <w:lang w:eastAsia="en-IN"/>
        </w:rPr>
        <w:t xml:space="preserve"> using SPSS version 16.0. One-way analysis of variance (ANOVA) was employed to determine treatment effects. Significant differences among treatment means were separated using Tukey's Honestly Significant Difference (HSD) test at P &lt; 0.05.</w:t>
      </w:r>
    </w:p>
    <w:p w14:paraId="295C62BE"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RESULTS</w:t>
      </w:r>
    </w:p>
    <w:p w14:paraId="5844CC7E"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Effect of Silkworm pupal oil on Fourth Instar Larval Growth</w:t>
      </w:r>
    </w:p>
    <w:p w14:paraId="6265E3D3"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Silkworm pupal oil fortification significantly improved larval growth during the fourth instar. The </w:t>
      </w:r>
      <w:proofErr w:type="gramStart"/>
      <w:r w:rsidRPr="004D3ED1">
        <w:rPr>
          <w:rFonts w:ascii="Times New Roman" w:eastAsia="Times New Roman" w:hAnsi="Times New Roman" w:cs="Times New Roman"/>
          <w:sz w:val="24"/>
          <w:szCs w:val="24"/>
          <w:lang w:eastAsia="en-IN"/>
        </w:rPr>
        <w:t>3000 ppm</w:t>
      </w:r>
      <w:proofErr w:type="gramEnd"/>
      <w:r w:rsidRPr="004D3ED1">
        <w:rPr>
          <w:rFonts w:ascii="Times New Roman" w:eastAsia="Times New Roman" w:hAnsi="Times New Roman" w:cs="Times New Roman"/>
          <w:sz w:val="24"/>
          <w:szCs w:val="24"/>
          <w:lang w:eastAsia="en-IN"/>
        </w:rPr>
        <w:t xml:space="preserve"> treatment recorded the highest final larval length, larval weight, and larval perimeter compared with the other treatments and the control. All fortified treatments exhibited superior growth performance relative to the control group.</w:t>
      </w:r>
    </w:p>
    <w:p w14:paraId="79E1FEA0" w14:textId="77777777" w:rsidR="00DA08E9" w:rsidRPr="004D3ED1" w:rsidRDefault="00DA08E9" w:rsidP="00DA08E9">
      <w:pPr>
        <w:spacing w:before="100" w:beforeAutospacing="1" w:after="100" w:afterAutospacing="1" w:line="480" w:lineRule="auto"/>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Effect of Silkworm pupal oil on Fifth Instar Larval Growth</w:t>
      </w:r>
    </w:p>
    <w:p w14:paraId="6DF22C52"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The growth-promoting effect of Silkworm pupal oil was more pronounced during the fifth instar. Larvae receiving 9000 ppm Silkworm pupal oil exhibited the highest final larval length, weight, and perimeter. The control treatment consistently recorded the lowest values across all measured traits.</w:t>
      </w:r>
    </w:p>
    <w:p w14:paraId="7E9B2AB7"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Overall Growth Rate (OGR)</w:t>
      </w:r>
    </w:p>
    <w:p w14:paraId="21C2A219"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The OGR analysis revealed that growth performance increased substantially during the fifth instar compared with the fourth instar. Silkworm pupal oil treated groups recorded higher OGR values than the control, particularly for larval weight. The highest OGR values were generally observed in the </w:t>
      </w:r>
      <w:proofErr w:type="gramStart"/>
      <w:r w:rsidRPr="004D3ED1">
        <w:rPr>
          <w:rFonts w:ascii="Times New Roman" w:eastAsia="Times New Roman" w:hAnsi="Times New Roman" w:cs="Times New Roman"/>
          <w:sz w:val="24"/>
          <w:szCs w:val="24"/>
          <w:lang w:eastAsia="en-IN"/>
        </w:rPr>
        <w:t>9000 ppm</w:t>
      </w:r>
      <w:proofErr w:type="gramEnd"/>
      <w:r w:rsidRPr="004D3ED1">
        <w:rPr>
          <w:rFonts w:ascii="Times New Roman" w:eastAsia="Times New Roman" w:hAnsi="Times New Roman" w:cs="Times New Roman"/>
          <w:sz w:val="24"/>
          <w:szCs w:val="24"/>
          <w:lang w:eastAsia="en-IN"/>
        </w:rPr>
        <w:t xml:space="preserve"> treatment.</w:t>
      </w:r>
    </w:p>
    <w:p w14:paraId="42D1570C"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Compound Periodical Growth Rate (CPGR)</w:t>
      </w:r>
    </w:p>
    <w:p w14:paraId="74054983"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lastRenderedPageBreak/>
        <w:t xml:space="preserve">CPGR values were significantly influenced by Silkworm pupal oil fortification. Treated larvae recorded higher CPGR values than the control in both instars. The effect was especially evident during the fifth instar, where the </w:t>
      </w:r>
      <w:proofErr w:type="gramStart"/>
      <w:r w:rsidRPr="004D3ED1">
        <w:rPr>
          <w:rFonts w:ascii="Times New Roman" w:eastAsia="Times New Roman" w:hAnsi="Times New Roman" w:cs="Times New Roman"/>
          <w:sz w:val="24"/>
          <w:szCs w:val="24"/>
          <w:lang w:eastAsia="en-IN"/>
        </w:rPr>
        <w:t>9000 ppm</w:t>
      </w:r>
      <w:proofErr w:type="gramEnd"/>
      <w:r w:rsidRPr="004D3ED1">
        <w:rPr>
          <w:rFonts w:ascii="Times New Roman" w:eastAsia="Times New Roman" w:hAnsi="Times New Roman" w:cs="Times New Roman"/>
          <w:sz w:val="24"/>
          <w:szCs w:val="24"/>
          <w:lang w:eastAsia="en-IN"/>
        </w:rPr>
        <w:t xml:space="preserve"> treatment demonstrated the highest growth efficiency.</w:t>
      </w:r>
    </w:p>
    <w:p w14:paraId="09E224D9"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Comparative Evaluation of Treatments</w:t>
      </w:r>
    </w:p>
    <w:p w14:paraId="43AC4EDB"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The combined analysis of growth parameters, OGR, and CPGR indicated that Silkworm pupal oil fortification positively affected larval development. While 3000 ppm produced the best response during the fourth instar, 9000 ppm emerged as the most effective treatment during the fifth instar. The control treatment consistently exhibited the lowest growth response.</w:t>
      </w:r>
    </w:p>
    <w:p w14:paraId="4459FFF9"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DISCUSSION</w:t>
      </w:r>
    </w:p>
    <w:p w14:paraId="4BBDDA2F" w14:textId="77777777" w:rsidR="00DA08E9" w:rsidRPr="004D3ED1" w:rsidRDefault="00DA08E9" w:rsidP="00DA08E9">
      <w:pPr>
        <w:pStyle w:val="isselectedend"/>
        <w:spacing w:line="480" w:lineRule="auto"/>
        <w:jc w:val="both"/>
      </w:pPr>
      <w:r w:rsidRPr="004D3ED1">
        <w:t xml:space="preserve">The present study demonstrated that fortification of mulberry leaves with silkworm pupal oil significantly enhanced the growth performance of </w:t>
      </w:r>
      <w:r w:rsidRPr="004D3ED1">
        <w:rPr>
          <w:rStyle w:val="Emphasis"/>
        </w:rPr>
        <w:t>Bombyx mori</w:t>
      </w:r>
      <w:r w:rsidRPr="004D3ED1">
        <w:t xml:space="preserve"> larvae during both the fourth and fifth instars. Larvae receiving Silkworm pupal oil fortification exhibited higher larval length, body weight, body perimeter, OGR, and CPGR than the control, suggesting improved nutrient utilization and growth efficiency under subtropical rearing conditions.</w:t>
      </w:r>
    </w:p>
    <w:p w14:paraId="4D681809" w14:textId="77777777" w:rsidR="00DA08E9" w:rsidRPr="004D3ED1" w:rsidRDefault="00DA08E9" w:rsidP="00DA08E9">
      <w:pPr>
        <w:pStyle w:val="isselectedend"/>
        <w:spacing w:line="480" w:lineRule="auto"/>
        <w:jc w:val="both"/>
      </w:pPr>
      <w:r w:rsidRPr="004D3ED1">
        <w:t xml:space="preserve">The growth-promoting effect of Silkworm pupal </w:t>
      </w:r>
      <w:proofErr w:type="gramStart"/>
      <w:r w:rsidRPr="004D3ED1">
        <w:t>oil  may</w:t>
      </w:r>
      <w:proofErr w:type="gramEnd"/>
      <w:r w:rsidRPr="004D3ED1">
        <w:t xml:space="preserve"> be attributed to its rich composition of essential fatty acids, including linoleic, α-linolenic, and oleic acids, along with natural antioxidants such as vitamin E (Tomotake et al., 2010; </w:t>
      </w:r>
      <w:proofErr w:type="spellStart"/>
      <w:r w:rsidRPr="004D3ED1">
        <w:t>Longvah</w:t>
      </w:r>
      <w:proofErr w:type="spellEnd"/>
      <w:r w:rsidRPr="004D3ED1">
        <w:t xml:space="preserve"> et al., 2011). Essential fatty acids are known to play important roles in membrane formation, cellular metabolism, energy utilization, and physiological regulation in insects (Stanley-Samuelson et al., 1988). Earlier studies have also reported that linoleic and linolenic acids are indispensable for normal growth and development of </w:t>
      </w:r>
      <w:r w:rsidRPr="004D3ED1">
        <w:rPr>
          <w:rStyle w:val="Emphasis"/>
        </w:rPr>
        <w:t>Bombyx mori</w:t>
      </w:r>
      <w:r w:rsidRPr="004D3ED1">
        <w:t xml:space="preserve"> (Ito &amp; Arai, 1965; Hamamura, 1972). Therefore, the </w:t>
      </w:r>
      <w:r w:rsidRPr="004D3ED1">
        <w:lastRenderedPageBreak/>
        <w:t>enhanced larval growth observed in the present study may be associated with improved metabolic efficiency and nutrient assimilation.</w:t>
      </w:r>
    </w:p>
    <w:p w14:paraId="2D6EFEBE" w14:textId="77777777" w:rsidR="00DA08E9" w:rsidRPr="004D3ED1" w:rsidRDefault="00DA08E9" w:rsidP="00DA08E9">
      <w:pPr>
        <w:pStyle w:val="isselectedend"/>
        <w:spacing w:line="480" w:lineRule="auto"/>
        <w:jc w:val="both"/>
      </w:pPr>
      <w:r w:rsidRPr="004D3ED1">
        <w:t>The results are consistent with previous findings that nutritional enrichment of mulberry leaves improves silkworm growth and productivity (</w:t>
      </w:r>
      <w:proofErr w:type="spellStart"/>
      <w:r w:rsidRPr="004D3ED1">
        <w:t>Etebari</w:t>
      </w:r>
      <w:proofErr w:type="spellEnd"/>
      <w:r w:rsidRPr="004D3ED1">
        <w:t xml:space="preserve"> &amp; </w:t>
      </w:r>
      <w:proofErr w:type="spellStart"/>
      <w:r w:rsidRPr="004D3ED1">
        <w:t>Matindoost</w:t>
      </w:r>
      <w:proofErr w:type="spellEnd"/>
      <w:r w:rsidRPr="004D3ED1">
        <w:t xml:space="preserve">, 2005; </w:t>
      </w:r>
      <w:proofErr w:type="spellStart"/>
      <w:r w:rsidRPr="004D3ED1">
        <w:t>Kanafi</w:t>
      </w:r>
      <w:proofErr w:type="spellEnd"/>
      <w:r w:rsidRPr="004D3ED1">
        <w:t xml:space="preserve"> et al., 2007; Ramesha et al., 2010). A notable observation was the differential response among developmental stages, where the </w:t>
      </w:r>
      <w:proofErr w:type="gramStart"/>
      <w:r w:rsidRPr="004D3ED1">
        <w:t>3000 ppm</w:t>
      </w:r>
      <w:proofErr w:type="gramEnd"/>
      <w:r w:rsidRPr="004D3ED1">
        <w:t xml:space="preserve"> treatment was most effective during the fourth instar, whereas the </w:t>
      </w:r>
      <w:proofErr w:type="gramStart"/>
      <w:r w:rsidRPr="004D3ED1">
        <w:t>9000 ppm</w:t>
      </w:r>
      <w:proofErr w:type="gramEnd"/>
      <w:r w:rsidRPr="004D3ED1">
        <w:t xml:space="preserve"> treatment produced superior growth during the fifth instar. This may be attributed to the greater nutritional requirements of fifth instar larvae, a period characterized by rapid tissue growth and silk gland development (Krishnaswami, 1978).</w:t>
      </w:r>
    </w:p>
    <w:p w14:paraId="162F80F7" w14:textId="77777777" w:rsidR="00DA08E9" w:rsidRPr="004D3ED1" w:rsidRDefault="00DA08E9" w:rsidP="00DA08E9">
      <w:pPr>
        <w:pStyle w:val="NormalWeb"/>
        <w:spacing w:line="480" w:lineRule="auto"/>
        <w:jc w:val="both"/>
      </w:pPr>
      <w:r w:rsidRPr="004D3ED1">
        <w:t xml:space="preserve">Higher OGR and CPGR values in the fortified treatments further confirmed the positive influence of Silkworm pupal oil fortification on larval growth and biomass accumulation. Moreover, the utilization of silkworm pupal oil as a feed </w:t>
      </w:r>
      <w:proofErr w:type="spellStart"/>
      <w:r w:rsidRPr="004D3ED1">
        <w:t>fortificant</w:t>
      </w:r>
      <w:proofErr w:type="spellEnd"/>
      <w:r w:rsidRPr="004D3ED1">
        <w:t xml:space="preserve"> offers an additional advantage by promoting value addition of sericultural by-products and supporting sustainable resource utilization (Dong et al., 2017; Yue et al., 2022).</w:t>
      </w:r>
    </w:p>
    <w:p w14:paraId="09AA39D8" w14:textId="77777777" w:rsidR="005126F8" w:rsidRPr="005126F8" w:rsidRDefault="005126F8" w:rsidP="005126F8">
      <w:pPr>
        <w:spacing w:before="100" w:beforeAutospacing="1" w:after="100" w:afterAutospacing="1" w:line="240" w:lineRule="auto"/>
        <w:rPr>
          <w:rFonts w:ascii="Times New Roman" w:eastAsia="Times New Roman" w:hAnsi="Times New Roman" w:cs="Times New Roman"/>
          <w:sz w:val="24"/>
          <w:szCs w:val="24"/>
          <w:lang w:val="en-GB" w:eastAsia="en-GB" w:bidi="ar-SA"/>
        </w:rPr>
      </w:pPr>
      <w:r w:rsidRPr="005126F8">
        <w:rPr>
          <w:rFonts w:ascii="Times New Roman" w:eastAsia="Times New Roman" w:hAnsi="Times New Roman" w:cs="Times New Roman"/>
          <w:sz w:val="24"/>
          <w:szCs w:val="24"/>
          <w:lang w:val="en-GB" w:eastAsia="en-GB" w:bidi="ar-SA"/>
        </w:rPr>
        <w:t>Conclusion:</w:t>
      </w:r>
    </w:p>
    <w:p w14:paraId="6279BEDA" w14:textId="77777777" w:rsidR="005126F8" w:rsidRPr="005126F8" w:rsidRDefault="005126F8" w:rsidP="005126F8">
      <w:pPr>
        <w:spacing w:before="100" w:beforeAutospacing="1" w:after="100" w:afterAutospacing="1" w:line="240" w:lineRule="auto"/>
        <w:rPr>
          <w:rFonts w:ascii="Times New Roman" w:eastAsia="Times New Roman" w:hAnsi="Times New Roman" w:cs="Times New Roman"/>
          <w:sz w:val="24"/>
          <w:szCs w:val="24"/>
          <w:lang w:val="en-GB" w:eastAsia="en-GB" w:bidi="ar-SA"/>
        </w:rPr>
      </w:pPr>
      <w:r w:rsidRPr="005126F8">
        <w:rPr>
          <w:rFonts w:ascii="Times New Roman" w:eastAsia="Times New Roman" w:hAnsi="Times New Roman" w:cs="Times New Roman"/>
          <w:sz w:val="24"/>
          <w:szCs w:val="24"/>
          <w:lang w:val="en-GB" w:eastAsia="en-GB" w:bidi="ar-SA"/>
        </w:rPr>
        <w:t xml:space="preserve">The study showed that fortification of mulberry leaves with silkworm pupal oil influenced the growth performance of bivoltine silkworm larvae, Bombyx mori L. hybrid NB4D2 × SH6, during the fourth and fifth instars under the subtropical conditions of Meerut district. Larvae fed fortified leaves generally recorded higher larval length, body weight, body perimeter, overall growth rate and compound periodical growth rate than the untreated control. The response varied with larval stage and concentration. In the fourth instar, 3000 ppm produced the highest final values for larval length, weight and perimeter, whereas in the fifth instar, 9000 ppm gave the highest values for these growth parameters. The </w:t>
      </w:r>
      <w:proofErr w:type="gramStart"/>
      <w:r w:rsidRPr="005126F8">
        <w:rPr>
          <w:rFonts w:ascii="Times New Roman" w:eastAsia="Times New Roman" w:hAnsi="Times New Roman" w:cs="Times New Roman"/>
          <w:sz w:val="24"/>
          <w:szCs w:val="24"/>
          <w:lang w:val="en-GB" w:eastAsia="en-GB" w:bidi="ar-SA"/>
        </w:rPr>
        <w:t>9000 ppm</w:t>
      </w:r>
      <w:proofErr w:type="gramEnd"/>
      <w:r w:rsidRPr="005126F8">
        <w:rPr>
          <w:rFonts w:ascii="Times New Roman" w:eastAsia="Times New Roman" w:hAnsi="Times New Roman" w:cs="Times New Roman"/>
          <w:sz w:val="24"/>
          <w:szCs w:val="24"/>
          <w:lang w:val="en-GB" w:eastAsia="en-GB" w:bidi="ar-SA"/>
        </w:rPr>
        <w:t xml:space="preserve"> treatment also recorded the highest gland-body ratio during the fifth instar. These results suggest that silkworm pupal oil can act as a nutritional </w:t>
      </w:r>
      <w:proofErr w:type="spellStart"/>
      <w:r w:rsidRPr="005126F8">
        <w:rPr>
          <w:rFonts w:ascii="Times New Roman" w:eastAsia="Times New Roman" w:hAnsi="Times New Roman" w:cs="Times New Roman"/>
          <w:sz w:val="24"/>
          <w:szCs w:val="24"/>
          <w:lang w:val="en-GB" w:eastAsia="en-GB" w:bidi="ar-SA"/>
        </w:rPr>
        <w:t>fortificant</w:t>
      </w:r>
      <w:proofErr w:type="spellEnd"/>
      <w:r w:rsidRPr="005126F8">
        <w:rPr>
          <w:rFonts w:ascii="Times New Roman" w:eastAsia="Times New Roman" w:hAnsi="Times New Roman" w:cs="Times New Roman"/>
          <w:sz w:val="24"/>
          <w:szCs w:val="24"/>
          <w:lang w:val="en-GB" w:eastAsia="en-GB" w:bidi="ar-SA"/>
        </w:rPr>
        <w:t xml:space="preserve"> for mulberry leaves and may help improve larval growth when used at appropriate concentrations. However, the present investigation was limited to larval growth parameters only. Additional studies including cocoon traits, shell ratio, silk quality, survivability, cost effectiveness and seasonal validation are necessary to confirm the practical value of this supplementation approach in sericulture and to determine its field-level applicability under different rearing conditions.</w:t>
      </w:r>
    </w:p>
    <w:p w14:paraId="739B918D" w14:textId="77777777" w:rsidR="005126F8" w:rsidRPr="005126F8" w:rsidRDefault="005126F8" w:rsidP="005126F8">
      <w:pPr>
        <w:spacing w:before="100" w:beforeAutospacing="1" w:after="100" w:afterAutospacing="1" w:line="240" w:lineRule="auto"/>
        <w:rPr>
          <w:rFonts w:ascii="Times New Roman" w:eastAsia="Times New Roman" w:hAnsi="Times New Roman" w:cs="Times New Roman"/>
          <w:sz w:val="24"/>
          <w:szCs w:val="24"/>
          <w:lang w:val="en-GB" w:eastAsia="en-GB" w:bidi="ar-SA"/>
        </w:rPr>
      </w:pPr>
      <w:r w:rsidRPr="005126F8">
        <w:rPr>
          <w:rFonts w:ascii="Times New Roman" w:eastAsia="Times New Roman" w:hAnsi="Times New Roman" w:cs="Times New Roman"/>
          <w:sz w:val="24"/>
          <w:szCs w:val="24"/>
          <w:lang w:val="en-GB" w:eastAsia="en-GB" w:bidi="ar-SA"/>
        </w:rPr>
        <w:t>Limitations:</w:t>
      </w:r>
    </w:p>
    <w:p w14:paraId="322BBEB1" w14:textId="77777777" w:rsidR="005126F8" w:rsidRPr="005126F8" w:rsidRDefault="005126F8" w:rsidP="005126F8">
      <w:pPr>
        <w:spacing w:before="100" w:beforeAutospacing="1" w:after="100" w:afterAutospacing="1" w:line="240" w:lineRule="auto"/>
        <w:rPr>
          <w:rFonts w:ascii="Times New Roman" w:eastAsia="Times New Roman" w:hAnsi="Times New Roman" w:cs="Times New Roman"/>
          <w:sz w:val="24"/>
          <w:szCs w:val="24"/>
          <w:lang w:val="en-GB" w:eastAsia="en-GB" w:bidi="ar-SA"/>
        </w:rPr>
      </w:pPr>
      <w:r w:rsidRPr="005126F8">
        <w:rPr>
          <w:rFonts w:ascii="Times New Roman" w:eastAsia="Times New Roman" w:hAnsi="Times New Roman" w:cs="Times New Roman"/>
          <w:sz w:val="24"/>
          <w:szCs w:val="24"/>
          <w:lang w:val="en-GB" w:eastAsia="en-GB" w:bidi="ar-SA"/>
        </w:rPr>
        <w:lastRenderedPageBreak/>
        <w:t>The present study was restricted to the evaluation of larval growth parameters during the fourth and fifth instars of bivoltine silkworm hybrid NB4D2 × SH6. The experiment was conducted during September under the subtropical conditions of Meerut district; therefore, the results may not fully represent other seasons, locations or rearing environments. Although larval length, weight, perimeter, overall growth rate, compound periodical growth rate and gland-body ratio were recorded, cocoon traits, shell ratio, silk quality, survivability and economic returns were not assessed. The study also did not include detailed biochemical characterization of the silkworm pupal oil used for leaf fortification. Information on oil application rate per unit leaf quantity, method of uniform coating and long-term stability of the fortified leaves was limited. Therefore, further experiments with larger datasets, different seasons and complete cocoon and post-cocoon evaluation are required before practical recommendations can be made for field use.</w:t>
      </w:r>
    </w:p>
    <w:p w14:paraId="533F5881" w14:textId="77777777" w:rsidR="005126F8" w:rsidRPr="005126F8" w:rsidRDefault="005126F8" w:rsidP="005126F8">
      <w:pPr>
        <w:spacing w:after="0" w:line="240" w:lineRule="auto"/>
        <w:rPr>
          <w:rFonts w:ascii="Times New Roman" w:eastAsia="Times New Roman" w:hAnsi="Times New Roman" w:cs="Times New Roman"/>
          <w:sz w:val="14"/>
          <w:szCs w:val="16"/>
          <w:lang w:val="en-GB" w:eastAsia="en-GB" w:bidi="ar-SA"/>
        </w:rPr>
      </w:pPr>
    </w:p>
    <w:p w14:paraId="714BBF4C" w14:textId="77777777" w:rsidR="008C5770" w:rsidRPr="008C5770" w:rsidRDefault="008C5770" w:rsidP="008C5770">
      <w:pPr>
        <w:spacing w:after="0" w:line="240" w:lineRule="auto"/>
        <w:rPr>
          <w:rFonts w:ascii="Times New Roman" w:eastAsia="Calibri" w:hAnsi="Times New Roman" w:cs="Times New Roman"/>
          <w:b/>
          <w:szCs w:val="22"/>
          <w:lang w:val="en-US" w:bidi="ar-SA"/>
        </w:rPr>
      </w:pPr>
      <w:r w:rsidRPr="008C5770">
        <w:rPr>
          <w:rFonts w:ascii="Times New Roman" w:eastAsia="Calibri" w:hAnsi="Times New Roman" w:cs="Times New Roman"/>
          <w:b/>
          <w:szCs w:val="22"/>
          <w:lang w:val="en-US" w:bidi="ar-SA"/>
        </w:rPr>
        <w:t>Declaration of AI Use</w:t>
      </w:r>
    </w:p>
    <w:p w14:paraId="01F6BA4E" w14:textId="77777777" w:rsidR="008C5770" w:rsidRPr="008C5770" w:rsidRDefault="008C5770" w:rsidP="008C5770">
      <w:pPr>
        <w:spacing w:after="0" w:line="240" w:lineRule="auto"/>
        <w:rPr>
          <w:rFonts w:ascii="Times New Roman" w:eastAsia="Calibri" w:hAnsi="Times New Roman" w:cs="Times New Roman"/>
          <w:szCs w:val="22"/>
          <w:lang w:val="en-US" w:bidi="ar-SA"/>
        </w:rPr>
      </w:pPr>
    </w:p>
    <w:p w14:paraId="7155E0D4" w14:textId="77777777" w:rsidR="008C5770" w:rsidRPr="008C5770" w:rsidRDefault="008C5770" w:rsidP="008C5770">
      <w:pPr>
        <w:spacing w:after="0" w:line="240" w:lineRule="auto"/>
        <w:jc w:val="both"/>
        <w:rPr>
          <w:rFonts w:ascii="Times New Roman" w:eastAsia="Calibri" w:hAnsi="Times New Roman" w:cs="Times New Roman"/>
          <w:szCs w:val="22"/>
          <w:lang w:val="en-US" w:bidi="ar-SA"/>
        </w:rPr>
      </w:pPr>
      <w:r w:rsidRPr="008C5770">
        <w:rPr>
          <w:rFonts w:ascii="Times New Roman" w:eastAsia="Calibri" w:hAnsi="Times New Roman" w:cs="Times New Roman"/>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905C26" w14:textId="77777777" w:rsidR="008C5770" w:rsidRDefault="008C5770" w:rsidP="008C5770">
      <w:pPr>
        <w:spacing w:before="100" w:beforeAutospacing="1" w:after="100" w:afterAutospacing="1" w:line="480" w:lineRule="auto"/>
        <w:jc w:val="both"/>
        <w:rPr>
          <w:rFonts w:ascii="Times New Roman" w:eastAsia="Times New Roman" w:hAnsi="Times New Roman" w:cs="Times New Roman"/>
          <w:sz w:val="24"/>
          <w:szCs w:val="24"/>
          <w:lang w:val="en-GB" w:eastAsia="en-GB" w:bidi="ar-SA"/>
        </w:rPr>
      </w:pPr>
    </w:p>
    <w:p w14:paraId="4E62FD24" w14:textId="77777777" w:rsidR="00984D70" w:rsidRDefault="00984D70" w:rsidP="00DC474B">
      <w:pPr>
        <w:spacing w:before="100" w:beforeAutospacing="1" w:after="100" w:afterAutospacing="1" w:line="480" w:lineRule="auto"/>
        <w:jc w:val="both"/>
        <w:rPr>
          <w:rFonts w:ascii="Times New Roman" w:eastAsia="Times New Roman" w:hAnsi="Times New Roman" w:cs="Times New Roman"/>
          <w:sz w:val="24"/>
          <w:szCs w:val="24"/>
          <w:lang w:eastAsia="en-IN"/>
        </w:rPr>
      </w:pPr>
    </w:p>
    <w:p w14:paraId="27E67EEC" w14:textId="77777777" w:rsidR="00984D70" w:rsidRPr="00984D70" w:rsidRDefault="00984D70" w:rsidP="00984D70">
      <w:pPr>
        <w:spacing w:after="200" w:line="276" w:lineRule="auto"/>
        <w:rPr>
          <w:rFonts w:ascii="Arial" w:eastAsia="Times New Roman" w:hAnsi="Arial" w:cs="Arial"/>
          <w:b/>
          <w:bCs/>
          <w:szCs w:val="22"/>
          <w:lang w:val="en-GB" w:eastAsia="en-GB" w:bidi="ar-SA"/>
        </w:rPr>
      </w:pPr>
      <w:r w:rsidRPr="00984D70">
        <w:rPr>
          <w:rFonts w:ascii="Arial" w:eastAsia="Times New Roman" w:hAnsi="Arial" w:cs="Arial"/>
          <w:b/>
          <w:bCs/>
          <w:szCs w:val="22"/>
          <w:lang w:val="en-GB" w:eastAsia="en-GB" w:bidi="ar-SA"/>
        </w:rPr>
        <w:t>COMPETING INTERESTS DISCLAIMER:</w:t>
      </w:r>
    </w:p>
    <w:p w14:paraId="509FDC28" w14:textId="77777777" w:rsidR="00984D70" w:rsidRPr="00984D70" w:rsidRDefault="00984D70" w:rsidP="00984D70">
      <w:pPr>
        <w:spacing w:after="200" w:line="276" w:lineRule="auto"/>
        <w:rPr>
          <w:rFonts w:ascii="Calibri" w:eastAsia="Times New Roman" w:hAnsi="Calibri" w:cs="Times New Roman"/>
          <w:szCs w:val="22"/>
          <w:lang w:val="en-GB" w:eastAsia="en-GB" w:bidi="ar-SA"/>
        </w:rPr>
      </w:pPr>
      <w:r w:rsidRPr="00984D70">
        <w:rPr>
          <w:rFonts w:ascii="Arial" w:eastAsia="Times New Roman" w:hAnsi="Arial" w:cs="Arial"/>
          <w:b/>
          <w:bCs/>
          <w:szCs w:val="22"/>
          <w:lang w:val="en-GB" w:eastAsia="en-GB" w:bidi="ar-SA"/>
        </w:rPr>
        <w:t>Authors have declared that they have no known competing financial interests OR non-financial interests OR personal relationships that could have appeared to influence the work reported in this paper.</w:t>
      </w:r>
    </w:p>
    <w:p w14:paraId="0BB3DAF5" w14:textId="77777777" w:rsidR="00984D70" w:rsidRPr="00DC474B" w:rsidRDefault="00984D70" w:rsidP="00DC474B">
      <w:pPr>
        <w:spacing w:before="100" w:beforeAutospacing="1" w:after="100" w:afterAutospacing="1" w:line="480" w:lineRule="auto"/>
        <w:jc w:val="both"/>
        <w:rPr>
          <w:rFonts w:ascii="Times New Roman" w:eastAsia="Times New Roman" w:hAnsi="Times New Roman" w:cs="Times New Roman"/>
          <w:sz w:val="24"/>
          <w:szCs w:val="24"/>
          <w:lang w:eastAsia="en-IN"/>
        </w:rPr>
      </w:pPr>
    </w:p>
    <w:p w14:paraId="0FEC15D4" w14:textId="77777777" w:rsidR="00DA08E9" w:rsidRPr="004D3ED1" w:rsidRDefault="00DC474B"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br w:type="column"/>
      </w:r>
      <w:r w:rsidR="00DA08E9" w:rsidRPr="004D3ED1">
        <w:rPr>
          <w:rFonts w:ascii="Times New Roman" w:eastAsia="Times New Roman" w:hAnsi="Times New Roman" w:cs="Times New Roman"/>
          <w:b/>
          <w:bCs/>
          <w:sz w:val="24"/>
          <w:szCs w:val="24"/>
          <w:lang w:eastAsia="en-IN"/>
        </w:rPr>
        <w:lastRenderedPageBreak/>
        <w:t>REFERENCES</w:t>
      </w:r>
    </w:p>
    <w:p w14:paraId="6F0E0D6D"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4"/>
          <w:szCs w:val="24"/>
          <w:lang w:eastAsia="en-IN"/>
        </w:rPr>
      </w:pPr>
      <w:proofErr w:type="spellStart"/>
      <w:r w:rsidRPr="004D3ED1">
        <w:rPr>
          <w:rFonts w:ascii="Times New Roman" w:hAnsi="Times New Roman" w:cs="Times New Roman"/>
          <w:sz w:val="24"/>
          <w:szCs w:val="24"/>
        </w:rPr>
        <w:t>Benchamin</w:t>
      </w:r>
      <w:proofErr w:type="spellEnd"/>
      <w:r w:rsidRPr="004D3ED1">
        <w:rPr>
          <w:rFonts w:ascii="Times New Roman" w:hAnsi="Times New Roman" w:cs="Times New Roman"/>
          <w:sz w:val="24"/>
          <w:szCs w:val="24"/>
        </w:rPr>
        <w:t xml:space="preserve">, K. V., &amp; Jolly, M. S. (1986). </w:t>
      </w:r>
      <w:r w:rsidRPr="004D3ED1">
        <w:rPr>
          <w:rStyle w:val="Emphasis"/>
          <w:rFonts w:ascii="Times New Roman" w:hAnsi="Times New Roman" w:cs="Times New Roman"/>
          <w:sz w:val="24"/>
          <w:szCs w:val="24"/>
        </w:rPr>
        <w:t>Principles of silkworm rearing</w:t>
      </w:r>
      <w:r w:rsidRPr="004D3ED1">
        <w:rPr>
          <w:rFonts w:ascii="Times New Roman" w:hAnsi="Times New Roman" w:cs="Times New Roman"/>
          <w:sz w:val="24"/>
          <w:szCs w:val="24"/>
        </w:rPr>
        <w:t xml:space="preserve">. In </w:t>
      </w:r>
      <w:r w:rsidRPr="004D3ED1">
        <w:rPr>
          <w:rStyle w:val="Emphasis"/>
          <w:rFonts w:ascii="Times New Roman" w:hAnsi="Times New Roman" w:cs="Times New Roman"/>
          <w:sz w:val="24"/>
          <w:szCs w:val="24"/>
        </w:rPr>
        <w:t>Proceedings of Seminar on Problems and Prospects of Sericulture</w:t>
      </w:r>
      <w:r w:rsidRPr="004D3ED1">
        <w:rPr>
          <w:rFonts w:ascii="Times New Roman" w:hAnsi="Times New Roman" w:cs="Times New Roman"/>
          <w:sz w:val="24"/>
          <w:szCs w:val="24"/>
        </w:rPr>
        <w:t xml:space="preserve"> (pp. 63–106). S. Mahalingam Memorial Trust.</w:t>
      </w:r>
    </w:p>
    <w:p w14:paraId="0925FD45"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hAnsi="Times New Roman" w:cs="Times New Roman"/>
          <w:sz w:val="24"/>
          <w:szCs w:val="24"/>
        </w:rPr>
        <w:t xml:space="preserve">Dandin, S. B., &amp; Giridhar, K. (2014). </w:t>
      </w:r>
      <w:r w:rsidRPr="004D3ED1">
        <w:rPr>
          <w:rStyle w:val="Emphasis"/>
          <w:rFonts w:ascii="Times New Roman" w:hAnsi="Times New Roman" w:cs="Times New Roman"/>
          <w:sz w:val="24"/>
          <w:szCs w:val="24"/>
        </w:rPr>
        <w:t>Handbook of sericulture technologies</w:t>
      </w:r>
      <w:r w:rsidRPr="004D3ED1">
        <w:rPr>
          <w:rFonts w:ascii="Times New Roman" w:hAnsi="Times New Roman" w:cs="Times New Roman"/>
          <w:sz w:val="24"/>
          <w:szCs w:val="24"/>
        </w:rPr>
        <w:t>. Central Silk Board.</w:t>
      </w:r>
    </w:p>
    <w:p w14:paraId="1171FE7C"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hAnsi="Times New Roman" w:cs="Times New Roman"/>
          <w:sz w:val="24"/>
          <w:szCs w:val="24"/>
        </w:rPr>
        <w:t xml:space="preserve">Dandin, S. B., &amp; Jayaswal, J. (2010). </w:t>
      </w:r>
      <w:r w:rsidRPr="004D3ED1">
        <w:rPr>
          <w:rStyle w:val="Emphasis"/>
          <w:rFonts w:ascii="Times New Roman" w:hAnsi="Times New Roman" w:cs="Times New Roman"/>
          <w:sz w:val="24"/>
          <w:szCs w:val="24"/>
        </w:rPr>
        <w:t>Handbook of sericulture technologies</w:t>
      </w:r>
      <w:r w:rsidRPr="004D3ED1">
        <w:rPr>
          <w:rFonts w:ascii="Times New Roman" w:hAnsi="Times New Roman" w:cs="Times New Roman"/>
          <w:sz w:val="24"/>
          <w:szCs w:val="24"/>
        </w:rPr>
        <w:t>. Central Silk Board.</w:t>
      </w:r>
    </w:p>
    <w:p w14:paraId="5D3C9A49"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Dong, Z., Choi, J. Y., &amp; Wu, Q. (2017). Nutritional composition and utilization of silkworm pupae as a food resource: A review. </w:t>
      </w:r>
      <w:r w:rsidRPr="004D3ED1">
        <w:rPr>
          <w:rStyle w:val="Emphasis"/>
          <w:rFonts w:ascii="Times New Roman" w:hAnsi="Times New Roman" w:cs="Times New Roman"/>
          <w:sz w:val="24"/>
          <w:szCs w:val="24"/>
        </w:rPr>
        <w:t>Food Chemistry, 231</w:t>
      </w:r>
      <w:r w:rsidRPr="004D3ED1">
        <w:rPr>
          <w:rFonts w:ascii="Times New Roman" w:hAnsi="Times New Roman" w:cs="Times New Roman"/>
          <w:sz w:val="24"/>
          <w:szCs w:val="24"/>
        </w:rPr>
        <w:t>, 129–136.</w:t>
      </w:r>
    </w:p>
    <w:p w14:paraId="78F7C80B"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Ekka, A., &amp; Bais, B. (2023). </w:t>
      </w:r>
      <w:r w:rsidRPr="004D3ED1">
        <w:rPr>
          <w:rStyle w:val="Emphasis"/>
          <w:rFonts w:ascii="Times New Roman" w:hAnsi="Times New Roman" w:cs="Times New Roman"/>
          <w:sz w:val="24"/>
          <w:szCs w:val="24"/>
        </w:rPr>
        <w:t>Socio-economic importance of sericulture in India</w:t>
      </w:r>
      <w:r w:rsidRPr="004D3ED1">
        <w:rPr>
          <w:rFonts w:ascii="Times New Roman" w:hAnsi="Times New Roman" w:cs="Times New Roman"/>
          <w:sz w:val="24"/>
          <w:szCs w:val="24"/>
        </w:rPr>
        <w:t xml:space="preserve">. </w:t>
      </w:r>
    </w:p>
    <w:p w14:paraId="54C252EB"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proofErr w:type="spellStart"/>
      <w:r w:rsidRPr="004D3ED1">
        <w:rPr>
          <w:rFonts w:ascii="Times New Roman" w:hAnsi="Times New Roman" w:cs="Times New Roman"/>
          <w:sz w:val="24"/>
          <w:szCs w:val="24"/>
        </w:rPr>
        <w:t>Etebari</w:t>
      </w:r>
      <w:proofErr w:type="spellEnd"/>
      <w:r w:rsidRPr="004D3ED1">
        <w:rPr>
          <w:rFonts w:ascii="Times New Roman" w:hAnsi="Times New Roman" w:cs="Times New Roman"/>
          <w:sz w:val="24"/>
          <w:szCs w:val="24"/>
        </w:rPr>
        <w:t xml:space="preserve">, K., Ebadi, R., &amp; </w:t>
      </w:r>
      <w:proofErr w:type="spellStart"/>
      <w:r w:rsidRPr="004D3ED1">
        <w:rPr>
          <w:rFonts w:ascii="Times New Roman" w:hAnsi="Times New Roman" w:cs="Times New Roman"/>
          <w:sz w:val="24"/>
          <w:szCs w:val="24"/>
        </w:rPr>
        <w:t>Matindoost</w:t>
      </w:r>
      <w:proofErr w:type="spellEnd"/>
      <w:r w:rsidRPr="004D3ED1">
        <w:rPr>
          <w:rFonts w:ascii="Times New Roman" w:hAnsi="Times New Roman" w:cs="Times New Roman"/>
          <w:sz w:val="24"/>
          <w:szCs w:val="24"/>
        </w:rPr>
        <w:t xml:space="preserve">, L. (2004). Effect of supplementation of mulberry leaves with vitamins on biological and economical characteristics of silkworm </w:t>
      </w:r>
      <w:r w:rsidRPr="004D3ED1">
        <w:rPr>
          <w:rStyle w:val="Emphasis"/>
          <w:rFonts w:ascii="Times New Roman" w:hAnsi="Times New Roman" w:cs="Times New Roman"/>
          <w:sz w:val="24"/>
          <w:szCs w:val="24"/>
        </w:rPr>
        <w:t>Bombyx mori</w:t>
      </w:r>
      <w:r w:rsidRPr="004D3ED1">
        <w:rPr>
          <w:rFonts w:ascii="Times New Roman" w:hAnsi="Times New Roman" w:cs="Times New Roman"/>
          <w:sz w:val="24"/>
          <w:szCs w:val="24"/>
        </w:rPr>
        <w:t xml:space="preserve">. </w:t>
      </w:r>
      <w:r w:rsidRPr="004D3ED1">
        <w:rPr>
          <w:rStyle w:val="Emphasis"/>
          <w:rFonts w:ascii="Times New Roman" w:hAnsi="Times New Roman" w:cs="Times New Roman"/>
          <w:sz w:val="24"/>
          <w:szCs w:val="24"/>
        </w:rPr>
        <w:t>Journal of Asia-Pacific Entomology, 7</w:t>
      </w:r>
      <w:r w:rsidRPr="004D3ED1">
        <w:rPr>
          <w:rFonts w:ascii="Times New Roman" w:hAnsi="Times New Roman" w:cs="Times New Roman"/>
          <w:sz w:val="24"/>
          <w:szCs w:val="24"/>
        </w:rPr>
        <w:t>(1), 107–111.</w:t>
      </w:r>
      <w:r w:rsidRPr="004D3ED1">
        <w:rPr>
          <w:rFonts w:ascii="Times New Roman" w:hAnsi="Times New Roman" w:cs="Times New Roman"/>
          <w:sz w:val="24"/>
          <w:szCs w:val="24"/>
        </w:rPr>
        <w:br/>
      </w:r>
      <w:hyperlink r:id="rId8" w:history="1">
        <w:r w:rsidRPr="004D3ED1">
          <w:rPr>
            <w:rStyle w:val="Hyperlink"/>
            <w:rFonts w:ascii="Times New Roman" w:hAnsi="Times New Roman" w:cs="Times New Roman"/>
            <w:sz w:val="24"/>
            <w:szCs w:val="24"/>
          </w:rPr>
          <w:t>https://doi.org/10.1016/S1226-8615(08)60207-3</w:t>
        </w:r>
      </w:hyperlink>
    </w:p>
    <w:p w14:paraId="3DF3E434"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proofErr w:type="spellStart"/>
      <w:r w:rsidRPr="004D3ED1">
        <w:rPr>
          <w:rFonts w:ascii="Times New Roman" w:hAnsi="Times New Roman" w:cs="Times New Roman"/>
          <w:sz w:val="24"/>
          <w:szCs w:val="24"/>
        </w:rPr>
        <w:t>Etebari</w:t>
      </w:r>
      <w:proofErr w:type="spellEnd"/>
      <w:r w:rsidRPr="004D3ED1">
        <w:rPr>
          <w:rFonts w:ascii="Times New Roman" w:hAnsi="Times New Roman" w:cs="Times New Roman"/>
          <w:sz w:val="24"/>
          <w:szCs w:val="24"/>
        </w:rPr>
        <w:t xml:space="preserve">, K., &amp; </w:t>
      </w:r>
      <w:proofErr w:type="spellStart"/>
      <w:r w:rsidRPr="004D3ED1">
        <w:rPr>
          <w:rFonts w:ascii="Times New Roman" w:hAnsi="Times New Roman" w:cs="Times New Roman"/>
          <w:sz w:val="24"/>
          <w:szCs w:val="24"/>
        </w:rPr>
        <w:t>Matindoost</w:t>
      </w:r>
      <w:proofErr w:type="spellEnd"/>
      <w:r w:rsidRPr="004D3ED1">
        <w:rPr>
          <w:rFonts w:ascii="Times New Roman" w:hAnsi="Times New Roman" w:cs="Times New Roman"/>
          <w:sz w:val="24"/>
          <w:szCs w:val="24"/>
        </w:rPr>
        <w:t xml:space="preserve">, L. (2005). Application of multi-vitamins as supplementary nutrients on biological and economical characteristics of silkworm </w:t>
      </w:r>
      <w:r w:rsidRPr="004D3ED1">
        <w:rPr>
          <w:rStyle w:val="Emphasis"/>
          <w:rFonts w:ascii="Times New Roman" w:hAnsi="Times New Roman" w:cs="Times New Roman"/>
          <w:sz w:val="24"/>
          <w:szCs w:val="24"/>
        </w:rPr>
        <w:t>Bombyx mori</w:t>
      </w:r>
      <w:r w:rsidRPr="004D3ED1">
        <w:rPr>
          <w:rFonts w:ascii="Times New Roman" w:hAnsi="Times New Roman" w:cs="Times New Roman"/>
          <w:sz w:val="24"/>
          <w:szCs w:val="24"/>
        </w:rPr>
        <w:t xml:space="preserve">. </w:t>
      </w:r>
      <w:r w:rsidRPr="004D3ED1">
        <w:rPr>
          <w:rStyle w:val="Emphasis"/>
          <w:rFonts w:ascii="Times New Roman" w:hAnsi="Times New Roman" w:cs="Times New Roman"/>
          <w:sz w:val="24"/>
          <w:szCs w:val="24"/>
        </w:rPr>
        <w:t>Journal of Asia-Pacific Entomology, 8</w:t>
      </w:r>
      <w:r w:rsidRPr="004D3ED1">
        <w:rPr>
          <w:rFonts w:ascii="Times New Roman" w:hAnsi="Times New Roman" w:cs="Times New Roman"/>
          <w:sz w:val="24"/>
          <w:szCs w:val="24"/>
        </w:rPr>
        <w:t>(1), 107–112.</w:t>
      </w:r>
      <w:r w:rsidRPr="004D3ED1">
        <w:rPr>
          <w:rFonts w:ascii="Times New Roman" w:hAnsi="Times New Roman" w:cs="Times New Roman"/>
          <w:sz w:val="24"/>
          <w:szCs w:val="24"/>
        </w:rPr>
        <w:br/>
      </w:r>
      <w:hyperlink r:id="rId9" w:history="1">
        <w:r w:rsidRPr="004D3ED1">
          <w:rPr>
            <w:rStyle w:val="Hyperlink"/>
            <w:rFonts w:ascii="Times New Roman" w:hAnsi="Times New Roman" w:cs="Times New Roman"/>
            <w:sz w:val="24"/>
            <w:szCs w:val="24"/>
          </w:rPr>
          <w:t>https://doi.org/10.1016/S1226-8615(08)60239-5</w:t>
        </w:r>
      </w:hyperlink>
    </w:p>
    <w:p w14:paraId="508668C5"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r w:rsidRPr="004D3ED1">
        <w:rPr>
          <w:rFonts w:ascii="Times New Roman" w:hAnsi="Times New Roman" w:cs="Times New Roman"/>
          <w:sz w:val="24"/>
          <w:szCs w:val="24"/>
        </w:rPr>
        <w:t xml:space="preserve">Hajam, O. A., Malik, S. A., &amp; Bashir, A. (2026). Silkworm nutrition and its impact on growth, cocoon yield and silk quality. </w:t>
      </w:r>
      <w:r w:rsidRPr="004D3ED1">
        <w:rPr>
          <w:rStyle w:val="Emphasis"/>
          <w:rFonts w:ascii="Times New Roman" w:hAnsi="Times New Roman" w:cs="Times New Roman"/>
          <w:sz w:val="24"/>
          <w:szCs w:val="24"/>
        </w:rPr>
        <w:t>International Journal of Agriculture and Food Science, 8</w:t>
      </w:r>
      <w:r w:rsidRPr="004D3ED1">
        <w:rPr>
          <w:rFonts w:ascii="Times New Roman" w:hAnsi="Times New Roman" w:cs="Times New Roman"/>
          <w:sz w:val="24"/>
          <w:szCs w:val="24"/>
        </w:rPr>
        <w:t>(3), 294–303.</w:t>
      </w:r>
      <w:r w:rsidRPr="004D3ED1">
        <w:rPr>
          <w:rFonts w:ascii="Times New Roman" w:hAnsi="Times New Roman" w:cs="Times New Roman"/>
          <w:sz w:val="24"/>
          <w:szCs w:val="24"/>
        </w:rPr>
        <w:br/>
      </w:r>
      <w:hyperlink r:id="rId10" w:history="1">
        <w:r w:rsidRPr="004D3ED1">
          <w:rPr>
            <w:rStyle w:val="Hyperlink"/>
            <w:rFonts w:ascii="Times New Roman" w:hAnsi="Times New Roman" w:cs="Times New Roman"/>
            <w:sz w:val="24"/>
            <w:szCs w:val="24"/>
          </w:rPr>
          <w:t>https://doi.org/10.33545/2664844X.2026.v8.i3d.1263</w:t>
        </w:r>
      </w:hyperlink>
    </w:p>
    <w:p w14:paraId="4F6E2B27"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Hamamura, Y. (1972). Nutritional requirements of the silkworm, </w:t>
      </w:r>
      <w:r w:rsidRPr="004D3ED1">
        <w:rPr>
          <w:rStyle w:val="Emphasis"/>
          <w:rFonts w:ascii="Times New Roman" w:hAnsi="Times New Roman" w:cs="Times New Roman"/>
          <w:sz w:val="24"/>
          <w:szCs w:val="24"/>
        </w:rPr>
        <w:t>Bombyx mori</w:t>
      </w:r>
      <w:r w:rsidRPr="004D3ED1">
        <w:rPr>
          <w:rFonts w:ascii="Times New Roman" w:hAnsi="Times New Roman" w:cs="Times New Roman"/>
          <w:sz w:val="24"/>
          <w:szCs w:val="24"/>
        </w:rPr>
        <w:t xml:space="preserve">. In </w:t>
      </w:r>
      <w:r w:rsidRPr="004D3ED1">
        <w:rPr>
          <w:rStyle w:val="Emphasis"/>
          <w:rFonts w:ascii="Times New Roman" w:hAnsi="Times New Roman" w:cs="Times New Roman"/>
          <w:sz w:val="24"/>
          <w:szCs w:val="24"/>
        </w:rPr>
        <w:t>Insect and mite nutrition</w:t>
      </w:r>
      <w:r w:rsidRPr="004D3ED1">
        <w:rPr>
          <w:rFonts w:ascii="Times New Roman" w:hAnsi="Times New Roman" w:cs="Times New Roman"/>
          <w:sz w:val="24"/>
          <w:szCs w:val="24"/>
        </w:rPr>
        <w:t xml:space="preserve"> (pp. 127–140). North-Holland Publishing Company.</w:t>
      </w:r>
    </w:p>
    <w:p w14:paraId="507A4BFC"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lastRenderedPageBreak/>
        <w:t xml:space="preserve">Hamano, K., et al. (1986). </w:t>
      </w:r>
      <w:r w:rsidRPr="004D3ED1">
        <w:rPr>
          <w:rStyle w:val="Emphasis"/>
          <w:rFonts w:ascii="Times New Roman" w:hAnsi="Times New Roman" w:cs="Times New Roman"/>
          <w:sz w:val="24"/>
          <w:szCs w:val="24"/>
        </w:rPr>
        <w:t>Nutritional physiology of the silkworm</w:t>
      </w:r>
      <w:r w:rsidRPr="004D3ED1">
        <w:rPr>
          <w:rFonts w:ascii="Times New Roman" w:hAnsi="Times New Roman" w:cs="Times New Roman"/>
          <w:sz w:val="24"/>
          <w:szCs w:val="24"/>
        </w:rPr>
        <w:t>.</w:t>
      </w:r>
    </w:p>
    <w:p w14:paraId="7EC1F40F"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Ito, T. (1978). </w:t>
      </w:r>
      <w:r w:rsidRPr="004D3ED1">
        <w:rPr>
          <w:rStyle w:val="Emphasis"/>
          <w:rFonts w:ascii="Times New Roman" w:hAnsi="Times New Roman" w:cs="Times New Roman"/>
          <w:sz w:val="24"/>
          <w:szCs w:val="24"/>
        </w:rPr>
        <w:t>Silkworm nutrition and physiology</w:t>
      </w:r>
      <w:r w:rsidRPr="004D3ED1">
        <w:rPr>
          <w:rFonts w:ascii="Times New Roman" w:hAnsi="Times New Roman" w:cs="Times New Roman"/>
          <w:sz w:val="24"/>
          <w:szCs w:val="24"/>
        </w:rPr>
        <w:t>.</w:t>
      </w:r>
    </w:p>
    <w:p w14:paraId="71BCEAC4"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Ito, T., &amp; Arai, N. (1965). Nutrition of silkworm larvae with special reference to essential fatty acids. </w:t>
      </w:r>
      <w:r w:rsidRPr="004D3ED1">
        <w:rPr>
          <w:rStyle w:val="Emphasis"/>
          <w:rFonts w:ascii="Times New Roman" w:hAnsi="Times New Roman" w:cs="Times New Roman"/>
          <w:sz w:val="24"/>
          <w:szCs w:val="24"/>
        </w:rPr>
        <w:t>Bulletin of the Sericultural Experiment Station of Japan, 19</w:t>
      </w:r>
      <w:r w:rsidRPr="004D3ED1">
        <w:rPr>
          <w:rFonts w:ascii="Times New Roman" w:hAnsi="Times New Roman" w:cs="Times New Roman"/>
          <w:sz w:val="24"/>
          <w:szCs w:val="24"/>
        </w:rPr>
        <w:t>, 345–373.</w:t>
      </w:r>
    </w:p>
    <w:p w14:paraId="77876333"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r w:rsidRPr="004D3ED1">
        <w:rPr>
          <w:rFonts w:ascii="Times New Roman" w:hAnsi="Times New Roman" w:cs="Times New Roman"/>
          <w:sz w:val="24"/>
          <w:szCs w:val="24"/>
        </w:rPr>
        <w:t xml:space="preserve">Kanafi, R. R., Ebadi, R., </w:t>
      </w:r>
      <w:proofErr w:type="spellStart"/>
      <w:r w:rsidRPr="004D3ED1">
        <w:rPr>
          <w:rFonts w:ascii="Times New Roman" w:hAnsi="Times New Roman" w:cs="Times New Roman"/>
          <w:sz w:val="24"/>
          <w:szCs w:val="24"/>
        </w:rPr>
        <w:t>Mirhosseini</w:t>
      </w:r>
      <w:proofErr w:type="spellEnd"/>
      <w:r w:rsidRPr="004D3ED1">
        <w:rPr>
          <w:rFonts w:ascii="Times New Roman" w:hAnsi="Times New Roman" w:cs="Times New Roman"/>
          <w:sz w:val="24"/>
          <w:szCs w:val="24"/>
        </w:rPr>
        <w:t xml:space="preserve">, S. Z., </w:t>
      </w:r>
      <w:proofErr w:type="spellStart"/>
      <w:r w:rsidRPr="004D3ED1">
        <w:rPr>
          <w:rFonts w:ascii="Times New Roman" w:hAnsi="Times New Roman" w:cs="Times New Roman"/>
          <w:sz w:val="24"/>
          <w:szCs w:val="24"/>
        </w:rPr>
        <w:t>Seidavi</w:t>
      </w:r>
      <w:proofErr w:type="spellEnd"/>
      <w:r w:rsidRPr="004D3ED1">
        <w:rPr>
          <w:rFonts w:ascii="Times New Roman" w:hAnsi="Times New Roman" w:cs="Times New Roman"/>
          <w:sz w:val="24"/>
          <w:szCs w:val="24"/>
        </w:rPr>
        <w:t xml:space="preserve">, A. R., Zolfaghari, M., &amp; </w:t>
      </w:r>
      <w:proofErr w:type="spellStart"/>
      <w:r w:rsidRPr="004D3ED1">
        <w:rPr>
          <w:rFonts w:ascii="Times New Roman" w:hAnsi="Times New Roman" w:cs="Times New Roman"/>
          <w:sz w:val="24"/>
          <w:szCs w:val="24"/>
        </w:rPr>
        <w:t>Etebari</w:t>
      </w:r>
      <w:proofErr w:type="spellEnd"/>
      <w:r w:rsidRPr="004D3ED1">
        <w:rPr>
          <w:rFonts w:ascii="Times New Roman" w:hAnsi="Times New Roman" w:cs="Times New Roman"/>
          <w:sz w:val="24"/>
          <w:szCs w:val="24"/>
        </w:rPr>
        <w:t xml:space="preserve">, K. (2007). A review on nutritive effects of mulberry leaf enrichment on silkworm performance. </w:t>
      </w:r>
      <w:r w:rsidRPr="004D3ED1">
        <w:rPr>
          <w:rStyle w:val="Emphasis"/>
          <w:rFonts w:ascii="Times New Roman" w:hAnsi="Times New Roman" w:cs="Times New Roman"/>
          <w:sz w:val="24"/>
          <w:szCs w:val="24"/>
        </w:rPr>
        <w:t>Journal of Applied Animal Research, 31</w:t>
      </w:r>
      <w:r w:rsidRPr="004D3ED1">
        <w:rPr>
          <w:rFonts w:ascii="Times New Roman" w:hAnsi="Times New Roman" w:cs="Times New Roman"/>
          <w:sz w:val="24"/>
          <w:szCs w:val="24"/>
        </w:rPr>
        <w:t>(1), 1–8.</w:t>
      </w:r>
      <w:r w:rsidRPr="004D3ED1">
        <w:rPr>
          <w:rFonts w:ascii="Times New Roman" w:hAnsi="Times New Roman" w:cs="Times New Roman"/>
          <w:sz w:val="24"/>
          <w:szCs w:val="24"/>
        </w:rPr>
        <w:br/>
      </w:r>
      <w:hyperlink r:id="rId11" w:history="1">
        <w:r w:rsidRPr="004D3ED1">
          <w:rPr>
            <w:rStyle w:val="Hyperlink"/>
            <w:rFonts w:ascii="Times New Roman" w:hAnsi="Times New Roman" w:cs="Times New Roman"/>
            <w:sz w:val="24"/>
            <w:szCs w:val="24"/>
          </w:rPr>
          <w:t>https://doi.org/10.1080/09712119.2007.9706629</w:t>
        </w:r>
      </w:hyperlink>
    </w:p>
    <w:p w14:paraId="1FF5A16D"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Krishnaswami, S. (1978). </w:t>
      </w:r>
      <w:r w:rsidRPr="004D3ED1">
        <w:rPr>
          <w:rStyle w:val="Emphasis"/>
          <w:rFonts w:ascii="Times New Roman" w:hAnsi="Times New Roman" w:cs="Times New Roman"/>
          <w:sz w:val="24"/>
          <w:szCs w:val="24"/>
        </w:rPr>
        <w:t>New technology of silkworm rearing</w:t>
      </w:r>
      <w:r w:rsidRPr="004D3ED1">
        <w:rPr>
          <w:rFonts w:ascii="Times New Roman" w:hAnsi="Times New Roman" w:cs="Times New Roman"/>
          <w:sz w:val="24"/>
          <w:szCs w:val="24"/>
        </w:rPr>
        <w:t>. Central Sericultural Research and Training Institute.</w:t>
      </w:r>
    </w:p>
    <w:p w14:paraId="2D3E9CDA"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proofErr w:type="spellStart"/>
      <w:r w:rsidRPr="004D3ED1">
        <w:rPr>
          <w:rFonts w:ascii="Times New Roman" w:hAnsi="Times New Roman" w:cs="Times New Roman"/>
          <w:sz w:val="24"/>
          <w:szCs w:val="24"/>
        </w:rPr>
        <w:t>Longvah</w:t>
      </w:r>
      <w:proofErr w:type="spellEnd"/>
      <w:r w:rsidRPr="004D3ED1">
        <w:rPr>
          <w:rFonts w:ascii="Times New Roman" w:hAnsi="Times New Roman" w:cs="Times New Roman"/>
          <w:sz w:val="24"/>
          <w:szCs w:val="24"/>
        </w:rPr>
        <w:t xml:space="preserve">, T., </w:t>
      </w:r>
      <w:proofErr w:type="spellStart"/>
      <w:r w:rsidRPr="004D3ED1">
        <w:rPr>
          <w:rFonts w:ascii="Times New Roman" w:hAnsi="Times New Roman" w:cs="Times New Roman"/>
          <w:sz w:val="24"/>
          <w:szCs w:val="24"/>
        </w:rPr>
        <w:t>Mangthya</w:t>
      </w:r>
      <w:proofErr w:type="spellEnd"/>
      <w:r w:rsidRPr="004D3ED1">
        <w:rPr>
          <w:rFonts w:ascii="Times New Roman" w:hAnsi="Times New Roman" w:cs="Times New Roman"/>
          <w:sz w:val="24"/>
          <w:szCs w:val="24"/>
        </w:rPr>
        <w:t xml:space="preserve">, K., &amp; Qadri, S. S. (2011). Eaten insects of northeast India: Their nutritional and functional properties. </w:t>
      </w:r>
      <w:r w:rsidRPr="004D3ED1">
        <w:rPr>
          <w:rStyle w:val="Emphasis"/>
          <w:rFonts w:ascii="Times New Roman" w:hAnsi="Times New Roman" w:cs="Times New Roman"/>
          <w:sz w:val="24"/>
          <w:szCs w:val="24"/>
        </w:rPr>
        <w:t>Indian Journal of Traditional Knowledge, 10</w:t>
      </w:r>
      <w:r w:rsidRPr="004D3ED1">
        <w:rPr>
          <w:rFonts w:ascii="Times New Roman" w:hAnsi="Times New Roman" w:cs="Times New Roman"/>
          <w:sz w:val="24"/>
          <w:szCs w:val="24"/>
        </w:rPr>
        <w:t>(1), 170–174.</w:t>
      </w:r>
    </w:p>
    <w:p w14:paraId="56143142"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Mishra, N., et al. (2021). Value addition and utilization of silkworm pupal products.</w:t>
      </w:r>
    </w:p>
    <w:p w14:paraId="5FB2978D"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Nath, et al. (2025). Mulberry leaf nutrition and silkworm growth.</w:t>
      </w:r>
    </w:p>
    <w:p w14:paraId="616CEF9C"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r w:rsidRPr="004D3ED1">
        <w:rPr>
          <w:rFonts w:ascii="Times New Roman" w:hAnsi="Times New Roman" w:cs="Times New Roman"/>
          <w:sz w:val="24"/>
          <w:szCs w:val="24"/>
        </w:rPr>
        <w:t xml:space="preserve">Ramesha, C., Seshagiri, S. V., Rao, C. G. P., &amp; </w:t>
      </w:r>
      <w:proofErr w:type="spellStart"/>
      <w:r w:rsidRPr="004D3ED1">
        <w:rPr>
          <w:rFonts w:ascii="Times New Roman" w:hAnsi="Times New Roman" w:cs="Times New Roman"/>
          <w:sz w:val="24"/>
          <w:szCs w:val="24"/>
        </w:rPr>
        <w:t>Sannappa</w:t>
      </w:r>
      <w:proofErr w:type="spellEnd"/>
      <w:r w:rsidRPr="004D3ED1">
        <w:rPr>
          <w:rFonts w:ascii="Times New Roman" w:hAnsi="Times New Roman" w:cs="Times New Roman"/>
          <w:sz w:val="24"/>
          <w:szCs w:val="24"/>
        </w:rPr>
        <w:t xml:space="preserve">, B. (2010). Nutritional supplementation of mulberry leaves and its influence on growth and economic traits of silkworm </w:t>
      </w:r>
      <w:r w:rsidRPr="004D3ED1">
        <w:rPr>
          <w:rStyle w:val="Emphasis"/>
          <w:rFonts w:ascii="Times New Roman" w:hAnsi="Times New Roman" w:cs="Times New Roman"/>
          <w:sz w:val="24"/>
          <w:szCs w:val="24"/>
        </w:rPr>
        <w:t>Bombyx mori</w:t>
      </w:r>
      <w:r w:rsidRPr="004D3ED1">
        <w:rPr>
          <w:rFonts w:ascii="Times New Roman" w:hAnsi="Times New Roman" w:cs="Times New Roman"/>
          <w:sz w:val="24"/>
          <w:szCs w:val="24"/>
        </w:rPr>
        <w:t xml:space="preserve"> L. </w:t>
      </w:r>
      <w:r w:rsidRPr="004D3ED1">
        <w:rPr>
          <w:rStyle w:val="Emphasis"/>
          <w:rFonts w:ascii="Times New Roman" w:hAnsi="Times New Roman" w:cs="Times New Roman"/>
          <w:sz w:val="24"/>
          <w:szCs w:val="24"/>
        </w:rPr>
        <w:t>World Journal of Agricultural Sciences, 6</w:t>
      </w:r>
      <w:r w:rsidRPr="004D3ED1">
        <w:rPr>
          <w:rFonts w:ascii="Times New Roman" w:hAnsi="Times New Roman" w:cs="Times New Roman"/>
          <w:sz w:val="24"/>
          <w:szCs w:val="24"/>
        </w:rPr>
        <w:t>(2), 201–208.</w:t>
      </w:r>
    </w:p>
    <w:p w14:paraId="2B312963" w14:textId="77777777" w:rsidR="00DA08E9" w:rsidRPr="004D3ED1" w:rsidRDefault="00DA08E9" w:rsidP="00DA08E9">
      <w:pPr>
        <w:pStyle w:val="ListParagraph"/>
        <w:numPr>
          <w:ilvl w:val="0"/>
          <w:numId w:val="3"/>
        </w:numPr>
        <w:spacing w:before="100" w:beforeAutospacing="1" w:after="100" w:afterAutospacing="1" w:line="480" w:lineRule="auto"/>
        <w:jc w:val="both"/>
        <w:rPr>
          <w:rFonts w:ascii="Times New Roman" w:hAnsi="Times New Roman" w:cs="Times New Roman"/>
          <w:sz w:val="24"/>
          <w:szCs w:val="24"/>
        </w:rPr>
      </w:pPr>
      <w:proofErr w:type="spellStart"/>
      <w:r w:rsidRPr="004D3ED1">
        <w:rPr>
          <w:rFonts w:ascii="Times New Roman" w:hAnsi="Times New Roman" w:cs="Times New Roman"/>
          <w:sz w:val="24"/>
          <w:szCs w:val="24"/>
        </w:rPr>
        <w:t>Sivaprasad</w:t>
      </w:r>
      <w:proofErr w:type="spellEnd"/>
      <w:r w:rsidRPr="004D3ED1">
        <w:rPr>
          <w:rFonts w:ascii="Times New Roman" w:hAnsi="Times New Roman" w:cs="Times New Roman"/>
          <w:sz w:val="24"/>
          <w:szCs w:val="24"/>
        </w:rPr>
        <w:t xml:space="preserve">, V. (2012). </w:t>
      </w:r>
      <w:r w:rsidRPr="004D3ED1">
        <w:rPr>
          <w:rStyle w:val="Emphasis"/>
          <w:rFonts w:ascii="Times New Roman" w:hAnsi="Times New Roman" w:cs="Times New Roman"/>
          <w:sz w:val="24"/>
          <w:szCs w:val="24"/>
        </w:rPr>
        <w:t>Growth analysis and nutritional evaluation in Bombyx mori</w:t>
      </w:r>
      <w:r w:rsidRPr="004D3ED1">
        <w:rPr>
          <w:rFonts w:ascii="Times New Roman" w:hAnsi="Times New Roman" w:cs="Times New Roman"/>
          <w:sz w:val="24"/>
          <w:szCs w:val="24"/>
        </w:rPr>
        <w:t>.</w:t>
      </w:r>
    </w:p>
    <w:p w14:paraId="180D7C28"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r w:rsidRPr="004D3ED1">
        <w:rPr>
          <w:rFonts w:ascii="Times New Roman" w:hAnsi="Times New Roman" w:cs="Times New Roman"/>
          <w:sz w:val="24"/>
          <w:szCs w:val="24"/>
        </w:rPr>
        <w:t xml:space="preserve">Stanley-Samuelson, D. W., Jurenka, R. A., Cripps, C., Blomquist, G. J., &amp; de </w:t>
      </w:r>
      <w:proofErr w:type="spellStart"/>
      <w:r w:rsidRPr="004D3ED1">
        <w:rPr>
          <w:rFonts w:ascii="Times New Roman" w:hAnsi="Times New Roman" w:cs="Times New Roman"/>
          <w:sz w:val="24"/>
          <w:szCs w:val="24"/>
        </w:rPr>
        <w:t>Renobales</w:t>
      </w:r>
      <w:proofErr w:type="spellEnd"/>
      <w:r w:rsidRPr="004D3ED1">
        <w:rPr>
          <w:rFonts w:ascii="Times New Roman" w:hAnsi="Times New Roman" w:cs="Times New Roman"/>
          <w:sz w:val="24"/>
          <w:szCs w:val="24"/>
        </w:rPr>
        <w:t xml:space="preserve">, M. (1988). Fatty acids in insects: Composition, metabolism and biological significance. </w:t>
      </w:r>
      <w:r w:rsidRPr="004D3ED1">
        <w:rPr>
          <w:rStyle w:val="Emphasis"/>
          <w:rFonts w:ascii="Times New Roman" w:hAnsi="Times New Roman" w:cs="Times New Roman"/>
          <w:sz w:val="24"/>
          <w:szCs w:val="24"/>
        </w:rPr>
        <w:t>Archives of Insect Biochemistry and Physiology, 9</w:t>
      </w:r>
      <w:r w:rsidRPr="004D3ED1">
        <w:rPr>
          <w:rFonts w:ascii="Times New Roman" w:hAnsi="Times New Roman" w:cs="Times New Roman"/>
          <w:sz w:val="24"/>
          <w:szCs w:val="24"/>
        </w:rPr>
        <w:t>(1), 1–33.</w:t>
      </w:r>
      <w:r w:rsidRPr="004D3ED1">
        <w:rPr>
          <w:rFonts w:ascii="Times New Roman" w:hAnsi="Times New Roman" w:cs="Times New Roman"/>
          <w:sz w:val="24"/>
          <w:szCs w:val="24"/>
        </w:rPr>
        <w:br/>
      </w:r>
      <w:hyperlink r:id="rId12" w:history="1">
        <w:r w:rsidRPr="004D3ED1">
          <w:rPr>
            <w:rStyle w:val="Hyperlink"/>
            <w:rFonts w:ascii="Times New Roman" w:hAnsi="Times New Roman" w:cs="Times New Roman"/>
            <w:sz w:val="24"/>
            <w:szCs w:val="24"/>
          </w:rPr>
          <w:t>https://doi.org/10.1002/arch.940090102</w:t>
        </w:r>
      </w:hyperlink>
    </w:p>
    <w:p w14:paraId="5860BF0E" w14:textId="77777777" w:rsidR="00DA08E9" w:rsidRPr="004D3ED1"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r w:rsidRPr="004D3ED1">
        <w:rPr>
          <w:rFonts w:ascii="Times New Roman" w:hAnsi="Times New Roman" w:cs="Times New Roman"/>
          <w:sz w:val="24"/>
          <w:szCs w:val="24"/>
        </w:rPr>
        <w:lastRenderedPageBreak/>
        <w:t>Tomotake, H., Katagiri, M., &amp; Yamato, M. (2010). Silkworm pupae (</w:t>
      </w:r>
      <w:r w:rsidRPr="004D3ED1">
        <w:rPr>
          <w:rStyle w:val="Emphasis"/>
          <w:rFonts w:ascii="Times New Roman" w:hAnsi="Times New Roman" w:cs="Times New Roman"/>
          <w:sz w:val="24"/>
          <w:szCs w:val="24"/>
        </w:rPr>
        <w:t>Bombyx mori</w:t>
      </w:r>
      <w:r w:rsidRPr="004D3ED1">
        <w:rPr>
          <w:rFonts w:ascii="Times New Roman" w:hAnsi="Times New Roman" w:cs="Times New Roman"/>
          <w:sz w:val="24"/>
          <w:szCs w:val="24"/>
        </w:rPr>
        <w:t xml:space="preserve">) are new sources of high-quality protein and lipid. </w:t>
      </w:r>
      <w:r w:rsidRPr="004D3ED1">
        <w:rPr>
          <w:rStyle w:val="Emphasis"/>
          <w:rFonts w:ascii="Times New Roman" w:hAnsi="Times New Roman" w:cs="Times New Roman"/>
          <w:sz w:val="24"/>
          <w:szCs w:val="24"/>
        </w:rPr>
        <w:t>Nutrition Research, 30</w:t>
      </w:r>
      <w:r w:rsidRPr="004D3ED1">
        <w:rPr>
          <w:rFonts w:ascii="Times New Roman" w:hAnsi="Times New Roman" w:cs="Times New Roman"/>
          <w:sz w:val="24"/>
          <w:szCs w:val="24"/>
        </w:rPr>
        <w:t>(6), 408–414.</w:t>
      </w:r>
      <w:r w:rsidRPr="004D3ED1">
        <w:rPr>
          <w:rFonts w:ascii="Times New Roman" w:hAnsi="Times New Roman" w:cs="Times New Roman"/>
          <w:sz w:val="24"/>
          <w:szCs w:val="24"/>
        </w:rPr>
        <w:br/>
      </w:r>
      <w:hyperlink r:id="rId13" w:history="1">
        <w:r w:rsidRPr="004D3ED1">
          <w:rPr>
            <w:rStyle w:val="Hyperlink"/>
            <w:rFonts w:ascii="Times New Roman" w:hAnsi="Times New Roman" w:cs="Times New Roman"/>
            <w:sz w:val="24"/>
            <w:szCs w:val="24"/>
          </w:rPr>
          <w:t>https://doi.org/10.1016/j.nutres.2010.06.005</w:t>
        </w:r>
      </w:hyperlink>
    </w:p>
    <w:p w14:paraId="128E6297" w14:textId="77777777" w:rsidR="00DA08E9" w:rsidRDefault="00DA08E9" w:rsidP="00DA08E9">
      <w:pPr>
        <w:pStyle w:val="ListParagraph"/>
        <w:numPr>
          <w:ilvl w:val="0"/>
          <w:numId w:val="3"/>
        </w:numPr>
        <w:spacing w:before="100" w:beforeAutospacing="1" w:after="100" w:afterAutospacing="1" w:line="480" w:lineRule="auto"/>
        <w:jc w:val="both"/>
        <w:rPr>
          <w:rStyle w:val="Strong"/>
          <w:rFonts w:ascii="Times New Roman" w:hAnsi="Times New Roman" w:cs="Times New Roman"/>
          <w:b w:val="0"/>
          <w:bCs w:val="0"/>
          <w:sz w:val="24"/>
          <w:szCs w:val="24"/>
        </w:rPr>
      </w:pPr>
      <w:r w:rsidRPr="004D3ED1">
        <w:rPr>
          <w:rFonts w:ascii="Times New Roman" w:hAnsi="Times New Roman" w:cs="Times New Roman"/>
          <w:sz w:val="24"/>
          <w:szCs w:val="24"/>
        </w:rPr>
        <w:t xml:space="preserve">Yue, Y., Zhao, D., &amp; Li, Y. (2022). Sustainable utilization and value addition of sericultural by-products: Opportunities for circular bioeconomy development. </w:t>
      </w:r>
      <w:r w:rsidRPr="004D3ED1">
        <w:rPr>
          <w:rStyle w:val="Emphasis"/>
          <w:rFonts w:ascii="Times New Roman" w:hAnsi="Times New Roman" w:cs="Times New Roman"/>
          <w:sz w:val="24"/>
          <w:szCs w:val="24"/>
        </w:rPr>
        <w:t>Sustainability,</w:t>
      </w:r>
      <w:proofErr w:type="gramStart"/>
      <w:r w:rsidRPr="004D3ED1">
        <w:rPr>
          <w:rStyle w:val="Emphasis"/>
          <w:rFonts w:ascii="Times New Roman" w:hAnsi="Times New Roman" w:cs="Times New Roman"/>
          <w:sz w:val="24"/>
          <w:szCs w:val="24"/>
        </w:rPr>
        <w:t xml:space="preserve">14 </w:t>
      </w:r>
      <w:r w:rsidRPr="004D3ED1">
        <w:rPr>
          <w:rFonts w:ascii="Times New Roman" w:hAnsi="Times New Roman" w:cs="Times New Roman"/>
          <w:sz w:val="24"/>
          <w:szCs w:val="24"/>
        </w:rPr>
        <w:t>,</w:t>
      </w:r>
      <w:proofErr w:type="gramEnd"/>
      <w:r w:rsidRPr="004D3ED1">
        <w:rPr>
          <w:rFonts w:ascii="Times New Roman" w:hAnsi="Times New Roman" w:cs="Times New Roman"/>
          <w:sz w:val="24"/>
          <w:szCs w:val="24"/>
        </w:rPr>
        <w:t xml:space="preserve"> 11245 </w:t>
      </w:r>
      <w:hyperlink r:id="rId14" w:history="1">
        <w:r w:rsidRPr="00FB243D">
          <w:rPr>
            <w:rStyle w:val="Hyperlink"/>
            <w:rFonts w:ascii="Times New Roman" w:hAnsi="Times New Roman" w:cs="Times New Roman"/>
            <w:sz w:val="24"/>
            <w:szCs w:val="24"/>
          </w:rPr>
          <w:t>https://doi.org/10.3390/su141811245</w:t>
        </w:r>
      </w:hyperlink>
    </w:p>
    <w:p w14:paraId="7B6900E9" w14:textId="77777777" w:rsidR="00DA08E9" w:rsidRDefault="00DA08E9" w:rsidP="00DA08E9">
      <w:pPr>
        <w:pStyle w:val="ListParagraph"/>
        <w:spacing w:before="100" w:beforeAutospacing="1" w:after="100" w:afterAutospacing="1" w:line="480" w:lineRule="auto"/>
        <w:jc w:val="both"/>
        <w:rPr>
          <w:rStyle w:val="Strong"/>
          <w:rFonts w:ascii="Times New Roman" w:hAnsi="Times New Roman" w:cs="Times New Roman"/>
          <w:b w:val="0"/>
          <w:bCs w:val="0"/>
          <w:sz w:val="24"/>
          <w:szCs w:val="24"/>
        </w:rPr>
      </w:pPr>
    </w:p>
    <w:p w14:paraId="0654E47B" w14:textId="77777777" w:rsidR="00DA08E9" w:rsidRDefault="00DA08E9" w:rsidP="00DA08E9">
      <w:pPr>
        <w:pStyle w:val="ListParagraph"/>
        <w:spacing w:before="100" w:beforeAutospacing="1" w:after="100" w:afterAutospacing="1" w:line="480" w:lineRule="auto"/>
        <w:jc w:val="both"/>
        <w:rPr>
          <w:rFonts w:ascii="Times New Roman" w:hAnsi="Times New Roman" w:cs="Times New Roman"/>
          <w:sz w:val="24"/>
          <w:szCs w:val="24"/>
        </w:rPr>
        <w:sectPr w:rsidR="00DA08E9" w:rsidSect="00A219A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720" w:gutter="0"/>
          <w:cols w:space="720"/>
          <w:docGrid w:linePitch="360"/>
        </w:sectPr>
      </w:pPr>
    </w:p>
    <w:tbl>
      <w:tblPr>
        <w:tblStyle w:val="TableGrid"/>
        <w:tblpPr w:leftFromText="180" w:rightFromText="180" w:vertAnchor="text" w:horzAnchor="margin" w:tblpXSpec="center" w:tblpY="225"/>
        <w:tblW w:w="14833" w:type="dxa"/>
        <w:tblLook w:val="04A0" w:firstRow="1" w:lastRow="0" w:firstColumn="1" w:lastColumn="0" w:noHBand="0" w:noVBand="1"/>
      </w:tblPr>
      <w:tblGrid>
        <w:gridCol w:w="2245"/>
        <w:gridCol w:w="1448"/>
        <w:gridCol w:w="1236"/>
        <w:gridCol w:w="764"/>
        <w:gridCol w:w="897"/>
        <w:gridCol w:w="1166"/>
        <w:gridCol w:w="1235"/>
        <w:gridCol w:w="877"/>
        <w:gridCol w:w="897"/>
        <w:gridCol w:w="1166"/>
        <w:gridCol w:w="1235"/>
        <w:gridCol w:w="764"/>
        <w:gridCol w:w="897"/>
        <w:gridCol w:w="6"/>
      </w:tblGrid>
      <w:tr w:rsidR="00DA08E9" w:rsidRPr="004D3ED1" w14:paraId="4E608C63" w14:textId="77777777" w:rsidTr="00972419">
        <w:trPr>
          <w:trHeight w:val="318"/>
        </w:trPr>
        <w:tc>
          <w:tcPr>
            <w:tcW w:w="2245" w:type="dxa"/>
            <w:vMerge w:val="restart"/>
            <w:noWrap/>
            <w:hideMark/>
          </w:tcPr>
          <w:p w14:paraId="01CE03A7"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lastRenderedPageBreak/>
              <w:t>Fortification of mulberry leaves with</w:t>
            </w:r>
          </w:p>
        </w:tc>
        <w:tc>
          <w:tcPr>
            <w:tcW w:w="12588" w:type="dxa"/>
            <w:gridSpan w:val="13"/>
            <w:noWrap/>
            <w:hideMark/>
          </w:tcPr>
          <w:p w14:paraId="576EBD49"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Growth </w:t>
            </w:r>
            <w:proofErr w:type="gramStart"/>
            <w:r w:rsidRPr="004D3ED1">
              <w:rPr>
                <w:rFonts w:ascii="Times New Roman" w:eastAsia="Times New Roman" w:hAnsi="Times New Roman" w:cs="Times New Roman"/>
                <w:b/>
                <w:bCs/>
                <w:sz w:val="24"/>
                <w:szCs w:val="24"/>
                <w:lang w:eastAsia="en-IN"/>
              </w:rPr>
              <w:t>Parameters  4</w:t>
            </w:r>
            <w:proofErr w:type="gramEnd"/>
            <w:r w:rsidRPr="004D3ED1">
              <w:rPr>
                <w:rFonts w:ascii="Times New Roman" w:eastAsia="Times New Roman" w:hAnsi="Times New Roman" w:cs="Times New Roman"/>
                <w:b/>
                <w:bCs/>
                <w:sz w:val="24"/>
                <w:szCs w:val="24"/>
                <w:lang w:eastAsia="en-IN"/>
              </w:rPr>
              <w:t>th instar</w:t>
            </w:r>
          </w:p>
        </w:tc>
      </w:tr>
      <w:tr w:rsidR="00DA08E9" w:rsidRPr="004D3ED1" w14:paraId="68336B05" w14:textId="77777777" w:rsidTr="00972419">
        <w:trPr>
          <w:gridAfter w:val="1"/>
          <w:wAfter w:w="6" w:type="dxa"/>
          <w:trHeight w:val="318"/>
        </w:trPr>
        <w:tc>
          <w:tcPr>
            <w:tcW w:w="2245" w:type="dxa"/>
            <w:vMerge/>
            <w:hideMark/>
          </w:tcPr>
          <w:p w14:paraId="68F68DE6"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2684" w:type="dxa"/>
            <w:gridSpan w:val="2"/>
            <w:noWrap/>
            <w:hideMark/>
          </w:tcPr>
          <w:p w14:paraId="55AEABE3"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Length (cm)</w:t>
            </w:r>
          </w:p>
        </w:tc>
        <w:tc>
          <w:tcPr>
            <w:tcW w:w="764" w:type="dxa"/>
            <w:vMerge w:val="restart"/>
            <w:noWrap/>
            <w:hideMark/>
          </w:tcPr>
          <w:p w14:paraId="2904FC8E"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3F59AC4D"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2401" w:type="dxa"/>
            <w:gridSpan w:val="2"/>
            <w:noWrap/>
            <w:hideMark/>
          </w:tcPr>
          <w:p w14:paraId="6E33E235"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Weight (gm)</w:t>
            </w:r>
          </w:p>
        </w:tc>
        <w:tc>
          <w:tcPr>
            <w:tcW w:w="877" w:type="dxa"/>
            <w:vMerge w:val="restart"/>
            <w:noWrap/>
            <w:hideMark/>
          </w:tcPr>
          <w:p w14:paraId="5779FC18"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7DC913D5"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2401" w:type="dxa"/>
            <w:gridSpan w:val="2"/>
            <w:noWrap/>
            <w:hideMark/>
          </w:tcPr>
          <w:p w14:paraId="260AE0E5"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Perimeter (cm)</w:t>
            </w:r>
          </w:p>
        </w:tc>
        <w:tc>
          <w:tcPr>
            <w:tcW w:w="764" w:type="dxa"/>
            <w:vMerge w:val="restart"/>
            <w:noWrap/>
            <w:hideMark/>
          </w:tcPr>
          <w:p w14:paraId="0A627741"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7E85A5B7"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r>
      <w:tr w:rsidR="00DA08E9" w:rsidRPr="004D3ED1" w14:paraId="3F5F4CEB" w14:textId="77777777" w:rsidTr="00972419">
        <w:trPr>
          <w:gridAfter w:val="1"/>
          <w:wAfter w:w="6" w:type="dxa"/>
          <w:trHeight w:val="318"/>
        </w:trPr>
        <w:tc>
          <w:tcPr>
            <w:tcW w:w="2245" w:type="dxa"/>
            <w:vMerge/>
            <w:hideMark/>
          </w:tcPr>
          <w:p w14:paraId="179D7D4E"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1448" w:type="dxa"/>
            <w:noWrap/>
            <w:hideMark/>
          </w:tcPr>
          <w:p w14:paraId="0FDCCEB0"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6" w:type="dxa"/>
            <w:noWrap/>
            <w:hideMark/>
          </w:tcPr>
          <w:p w14:paraId="24F1F601"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4" w:type="dxa"/>
            <w:vMerge/>
            <w:hideMark/>
          </w:tcPr>
          <w:p w14:paraId="71774373"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897" w:type="dxa"/>
            <w:vMerge/>
            <w:hideMark/>
          </w:tcPr>
          <w:p w14:paraId="076390BC"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1166" w:type="dxa"/>
            <w:noWrap/>
            <w:hideMark/>
          </w:tcPr>
          <w:p w14:paraId="11B43CD0"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5" w:type="dxa"/>
            <w:noWrap/>
            <w:hideMark/>
          </w:tcPr>
          <w:p w14:paraId="4A8DBA19"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7" w:type="dxa"/>
            <w:vMerge/>
            <w:hideMark/>
          </w:tcPr>
          <w:p w14:paraId="3A293650"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897" w:type="dxa"/>
            <w:vMerge/>
            <w:hideMark/>
          </w:tcPr>
          <w:p w14:paraId="5A155DBF"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1166" w:type="dxa"/>
            <w:noWrap/>
            <w:hideMark/>
          </w:tcPr>
          <w:p w14:paraId="00BA5B8E"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5" w:type="dxa"/>
            <w:noWrap/>
            <w:hideMark/>
          </w:tcPr>
          <w:p w14:paraId="08571109"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4" w:type="dxa"/>
            <w:vMerge/>
            <w:hideMark/>
          </w:tcPr>
          <w:p w14:paraId="0F352D76" w14:textId="77777777" w:rsidR="00DA08E9" w:rsidRPr="004D3ED1" w:rsidRDefault="00DA08E9" w:rsidP="00972419">
            <w:pPr>
              <w:rPr>
                <w:rFonts w:ascii="Times New Roman" w:eastAsia="Times New Roman" w:hAnsi="Times New Roman" w:cs="Times New Roman"/>
                <w:b/>
                <w:bCs/>
                <w:sz w:val="24"/>
                <w:szCs w:val="24"/>
                <w:lang w:eastAsia="en-IN"/>
              </w:rPr>
            </w:pPr>
          </w:p>
        </w:tc>
        <w:tc>
          <w:tcPr>
            <w:tcW w:w="897" w:type="dxa"/>
            <w:vMerge/>
            <w:hideMark/>
          </w:tcPr>
          <w:p w14:paraId="061DC6C6" w14:textId="77777777" w:rsidR="00DA08E9" w:rsidRPr="004D3ED1" w:rsidRDefault="00DA08E9" w:rsidP="00972419">
            <w:pPr>
              <w:rPr>
                <w:rFonts w:ascii="Times New Roman" w:eastAsia="Times New Roman" w:hAnsi="Times New Roman" w:cs="Times New Roman"/>
                <w:b/>
                <w:bCs/>
                <w:sz w:val="24"/>
                <w:szCs w:val="24"/>
                <w:lang w:eastAsia="en-IN"/>
              </w:rPr>
            </w:pPr>
          </w:p>
        </w:tc>
      </w:tr>
      <w:tr w:rsidR="00DA08E9" w:rsidRPr="004D3ED1" w14:paraId="167F5108" w14:textId="77777777" w:rsidTr="00972419">
        <w:trPr>
          <w:gridAfter w:val="1"/>
          <w:wAfter w:w="6" w:type="dxa"/>
          <w:trHeight w:val="380"/>
        </w:trPr>
        <w:tc>
          <w:tcPr>
            <w:tcW w:w="2245" w:type="dxa"/>
            <w:noWrap/>
            <w:hideMark/>
          </w:tcPr>
          <w:p w14:paraId="4616B14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1 (Silkworm pupal </w:t>
            </w:r>
            <w:proofErr w:type="gramStart"/>
            <w:r w:rsidRPr="004D3ED1">
              <w:rPr>
                <w:rFonts w:ascii="Times New Roman" w:eastAsia="Times New Roman" w:hAnsi="Times New Roman" w:cs="Times New Roman"/>
                <w:sz w:val="24"/>
                <w:szCs w:val="24"/>
                <w:lang w:eastAsia="en-IN"/>
              </w:rPr>
              <w:t>oil  3000</w:t>
            </w:r>
            <w:proofErr w:type="gramEnd"/>
            <w:r w:rsidRPr="004D3ED1">
              <w:rPr>
                <w:rFonts w:ascii="Times New Roman" w:eastAsia="Times New Roman" w:hAnsi="Times New Roman" w:cs="Times New Roman"/>
                <w:sz w:val="24"/>
                <w:szCs w:val="24"/>
                <w:lang w:eastAsia="en-IN"/>
              </w:rPr>
              <w:t xml:space="preserve"> ppm)</w:t>
            </w:r>
          </w:p>
        </w:tc>
        <w:tc>
          <w:tcPr>
            <w:tcW w:w="1448" w:type="dxa"/>
            <w:noWrap/>
            <w:hideMark/>
          </w:tcPr>
          <w:p w14:paraId="6F9C6B3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0.0003</w:t>
            </w:r>
          </w:p>
        </w:tc>
        <w:tc>
          <w:tcPr>
            <w:tcW w:w="1236" w:type="dxa"/>
            <w:noWrap/>
            <w:hideMark/>
          </w:tcPr>
          <w:p w14:paraId="5EC98560"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1.34 ± 0.0003</w:t>
            </w:r>
            <w:r w:rsidRPr="004D3ED1">
              <w:rPr>
                <w:rFonts w:ascii="Times New Roman" w:eastAsia="Times New Roman" w:hAnsi="Times New Roman" w:cs="Times New Roman"/>
                <w:sz w:val="24"/>
                <w:szCs w:val="24"/>
                <w:vertAlign w:val="superscript"/>
                <w:lang w:eastAsia="en-IN"/>
              </w:rPr>
              <w:t>a</w:t>
            </w:r>
          </w:p>
        </w:tc>
        <w:tc>
          <w:tcPr>
            <w:tcW w:w="764" w:type="dxa"/>
            <w:noWrap/>
            <w:hideMark/>
          </w:tcPr>
          <w:p w14:paraId="740EABD5"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26.42</w:t>
            </w:r>
          </w:p>
        </w:tc>
        <w:tc>
          <w:tcPr>
            <w:tcW w:w="897" w:type="dxa"/>
            <w:noWrap/>
            <w:hideMark/>
          </w:tcPr>
          <w:p w14:paraId="71E3032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2.37</w:t>
            </w:r>
          </w:p>
        </w:tc>
        <w:tc>
          <w:tcPr>
            <w:tcW w:w="1166" w:type="dxa"/>
            <w:noWrap/>
            <w:hideMark/>
          </w:tcPr>
          <w:p w14:paraId="2CFD349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08D7E9C4"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0.54 ± 0.0004</w:t>
            </w:r>
            <w:r w:rsidRPr="004D3ED1">
              <w:rPr>
                <w:rFonts w:ascii="Times New Roman" w:eastAsia="Times New Roman" w:hAnsi="Times New Roman" w:cs="Times New Roman"/>
                <w:sz w:val="24"/>
                <w:szCs w:val="24"/>
                <w:vertAlign w:val="superscript"/>
                <w:lang w:eastAsia="en-IN"/>
              </w:rPr>
              <w:t>a</w:t>
            </w:r>
          </w:p>
        </w:tc>
        <w:tc>
          <w:tcPr>
            <w:tcW w:w="877" w:type="dxa"/>
            <w:noWrap/>
            <w:hideMark/>
          </w:tcPr>
          <w:p w14:paraId="5E2FB44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145.45</w:t>
            </w:r>
          </w:p>
        </w:tc>
        <w:tc>
          <w:tcPr>
            <w:tcW w:w="897" w:type="dxa"/>
            <w:noWrap/>
            <w:hideMark/>
          </w:tcPr>
          <w:p w14:paraId="672505B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9.39</w:t>
            </w:r>
          </w:p>
        </w:tc>
        <w:tc>
          <w:tcPr>
            <w:tcW w:w="1166" w:type="dxa"/>
            <w:noWrap/>
            <w:hideMark/>
          </w:tcPr>
          <w:p w14:paraId="12589D6A"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1.61 ± 0.0012</w:t>
            </w:r>
          </w:p>
        </w:tc>
        <w:tc>
          <w:tcPr>
            <w:tcW w:w="1235" w:type="dxa"/>
            <w:noWrap/>
            <w:hideMark/>
          </w:tcPr>
          <w:p w14:paraId="6C9BA8DF"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2.25 ± 0.0005</w:t>
            </w:r>
            <w:r w:rsidRPr="004D3ED1">
              <w:rPr>
                <w:rFonts w:ascii="Times New Roman" w:eastAsia="Times New Roman" w:hAnsi="Times New Roman" w:cs="Times New Roman"/>
                <w:sz w:val="24"/>
                <w:szCs w:val="24"/>
                <w:vertAlign w:val="superscript"/>
                <w:lang w:eastAsia="en-IN"/>
              </w:rPr>
              <w:t>a</w:t>
            </w:r>
          </w:p>
        </w:tc>
        <w:tc>
          <w:tcPr>
            <w:tcW w:w="764" w:type="dxa"/>
            <w:noWrap/>
            <w:hideMark/>
          </w:tcPr>
          <w:p w14:paraId="2AAA6A26"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39.75</w:t>
            </w:r>
          </w:p>
        </w:tc>
        <w:tc>
          <w:tcPr>
            <w:tcW w:w="897" w:type="dxa"/>
            <w:noWrap/>
            <w:hideMark/>
          </w:tcPr>
          <w:p w14:paraId="66B7067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3.40</w:t>
            </w:r>
          </w:p>
        </w:tc>
      </w:tr>
      <w:tr w:rsidR="00DA08E9" w:rsidRPr="004D3ED1" w14:paraId="0D7E1302" w14:textId="77777777" w:rsidTr="00972419">
        <w:trPr>
          <w:gridAfter w:val="1"/>
          <w:wAfter w:w="6" w:type="dxa"/>
          <w:trHeight w:val="380"/>
        </w:trPr>
        <w:tc>
          <w:tcPr>
            <w:tcW w:w="2245" w:type="dxa"/>
            <w:noWrap/>
            <w:hideMark/>
          </w:tcPr>
          <w:p w14:paraId="2D545EE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2 (Silkworm pupal </w:t>
            </w:r>
            <w:proofErr w:type="gramStart"/>
            <w:r w:rsidRPr="004D3ED1">
              <w:rPr>
                <w:rFonts w:ascii="Times New Roman" w:eastAsia="Times New Roman" w:hAnsi="Times New Roman" w:cs="Times New Roman"/>
                <w:sz w:val="24"/>
                <w:szCs w:val="24"/>
                <w:lang w:eastAsia="en-IN"/>
              </w:rPr>
              <w:t>oil  6000</w:t>
            </w:r>
            <w:proofErr w:type="gramEnd"/>
            <w:r w:rsidRPr="004D3ED1">
              <w:rPr>
                <w:rFonts w:ascii="Times New Roman" w:eastAsia="Times New Roman" w:hAnsi="Times New Roman" w:cs="Times New Roman"/>
                <w:sz w:val="24"/>
                <w:szCs w:val="24"/>
                <w:lang w:eastAsia="en-IN"/>
              </w:rPr>
              <w:t xml:space="preserve"> ppm)</w:t>
            </w:r>
          </w:p>
        </w:tc>
        <w:tc>
          <w:tcPr>
            <w:tcW w:w="1448" w:type="dxa"/>
            <w:noWrap/>
            <w:hideMark/>
          </w:tcPr>
          <w:p w14:paraId="18CA545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0.0004</w:t>
            </w:r>
          </w:p>
        </w:tc>
        <w:tc>
          <w:tcPr>
            <w:tcW w:w="1236" w:type="dxa"/>
            <w:noWrap/>
            <w:hideMark/>
          </w:tcPr>
          <w:p w14:paraId="251311F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1.32 ± 0.0004</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67A5ABB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24.53</w:t>
            </w:r>
          </w:p>
        </w:tc>
        <w:tc>
          <w:tcPr>
            <w:tcW w:w="897" w:type="dxa"/>
            <w:noWrap/>
            <w:hideMark/>
          </w:tcPr>
          <w:p w14:paraId="59BA5E88"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w:t>
            </w:r>
          </w:p>
        </w:tc>
        <w:tc>
          <w:tcPr>
            <w:tcW w:w="1166" w:type="dxa"/>
            <w:noWrap/>
            <w:hideMark/>
          </w:tcPr>
          <w:p w14:paraId="5DC95E5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1134649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0.52 ± 0.0004</w:t>
            </w:r>
            <w:r w:rsidRPr="004D3ED1">
              <w:rPr>
                <w:rFonts w:ascii="Times New Roman" w:eastAsia="Times New Roman" w:hAnsi="Times New Roman" w:cs="Times New Roman"/>
                <w:sz w:val="24"/>
                <w:szCs w:val="24"/>
                <w:vertAlign w:val="superscript"/>
                <w:lang w:eastAsia="en-IN"/>
              </w:rPr>
              <w:t>b</w:t>
            </w:r>
          </w:p>
        </w:tc>
        <w:tc>
          <w:tcPr>
            <w:tcW w:w="877" w:type="dxa"/>
            <w:noWrap/>
            <w:hideMark/>
          </w:tcPr>
          <w:p w14:paraId="2204489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136.36</w:t>
            </w:r>
          </w:p>
        </w:tc>
        <w:tc>
          <w:tcPr>
            <w:tcW w:w="897" w:type="dxa"/>
            <w:noWrap/>
            <w:hideMark/>
          </w:tcPr>
          <w:p w14:paraId="196221E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8.98</w:t>
            </w:r>
          </w:p>
        </w:tc>
        <w:tc>
          <w:tcPr>
            <w:tcW w:w="1166" w:type="dxa"/>
            <w:noWrap/>
            <w:hideMark/>
          </w:tcPr>
          <w:p w14:paraId="64BC3CB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1.60 ± 0.0013</w:t>
            </w:r>
          </w:p>
        </w:tc>
        <w:tc>
          <w:tcPr>
            <w:tcW w:w="1235" w:type="dxa"/>
            <w:noWrap/>
            <w:hideMark/>
          </w:tcPr>
          <w:p w14:paraId="24730EF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2.23 ± 0.0006</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6D12715F"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39.38</w:t>
            </w:r>
          </w:p>
        </w:tc>
        <w:tc>
          <w:tcPr>
            <w:tcW w:w="897" w:type="dxa"/>
            <w:noWrap/>
            <w:hideMark/>
          </w:tcPr>
          <w:p w14:paraId="7794409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3.38</w:t>
            </w:r>
          </w:p>
        </w:tc>
      </w:tr>
      <w:tr w:rsidR="00DA08E9" w:rsidRPr="004D3ED1" w14:paraId="4E7D7BBD" w14:textId="77777777" w:rsidTr="00972419">
        <w:trPr>
          <w:gridAfter w:val="1"/>
          <w:wAfter w:w="6" w:type="dxa"/>
          <w:trHeight w:val="380"/>
        </w:trPr>
        <w:tc>
          <w:tcPr>
            <w:tcW w:w="2245" w:type="dxa"/>
            <w:noWrap/>
            <w:hideMark/>
          </w:tcPr>
          <w:p w14:paraId="38ABF1D8"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3 (Silkworm pupal </w:t>
            </w:r>
            <w:proofErr w:type="gramStart"/>
            <w:r w:rsidRPr="004D3ED1">
              <w:rPr>
                <w:rFonts w:ascii="Times New Roman" w:eastAsia="Times New Roman" w:hAnsi="Times New Roman" w:cs="Times New Roman"/>
                <w:sz w:val="24"/>
                <w:szCs w:val="24"/>
                <w:lang w:eastAsia="en-IN"/>
              </w:rPr>
              <w:t>oil  9000</w:t>
            </w:r>
            <w:proofErr w:type="gramEnd"/>
            <w:r w:rsidRPr="004D3ED1">
              <w:rPr>
                <w:rFonts w:ascii="Times New Roman" w:eastAsia="Times New Roman" w:hAnsi="Times New Roman" w:cs="Times New Roman"/>
                <w:sz w:val="24"/>
                <w:szCs w:val="24"/>
                <w:lang w:eastAsia="en-IN"/>
              </w:rPr>
              <w:t xml:space="preserve"> ppm)</w:t>
            </w:r>
          </w:p>
        </w:tc>
        <w:tc>
          <w:tcPr>
            <w:tcW w:w="1448" w:type="dxa"/>
            <w:noWrap/>
            <w:hideMark/>
          </w:tcPr>
          <w:p w14:paraId="3769B53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0.0003</w:t>
            </w:r>
          </w:p>
        </w:tc>
        <w:tc>
          <w:tcPr>
            <w:tcW w:w="1236" w:type="dxa"/>
            <w:noWrap/>
            <w:hideMark/>
          </w:tcPr>
          <w:p w14:paraId="6D59352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1.32 ± 0.0003</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1259DC6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24.53</w:t>
            </w:r>
          </w:p>
        </w:tc>
        <w:tc>
          <w:tcPr>
            <w:tcW w:w="897" w:type="dxa"/>
            <w:noWrap/>
            <w:hideMark/>
          </w:tcPr>
          <w:p w14:paraId="1C6972B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w:t>
            </w:r>
          </w:p>
        </w:tc>
        <w:tc>
          <w:tcPr>
            <w:tcW w:w="1166" w:type="dxa"/>
            <w:noWrap/>
            <w:hideMark/>
          </w:tcPr>
          <w:p w14:paraId="14620C9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108A460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0.52 ± 0.0004</w:t>
            </w:r>
            <w:r w:rsidRPr="004D3ED1">
              <w:rPr>
                <w:rFonts w:ascii="Times New Roman" w:eastAsia="Times New Roman" w:hAnsi="Times New Roman" w:cs="Times New Roman"/>
                <w:sz w:val="24"/>
                <w:szCs w:val="24"/>
                <w:vertAlign w:val="superscript"/>
                <w:lang w:eastAsia="en-IN"/>
              </w:rPr>
              <w:t>b</w:t>
            </w:r>
          </w:p>
        </w:tc>
        <w:tc>
          <w:tcPr>
            <w:tcW w:w="877" w:type="dxa"/>
            <w:noWrap/>
            <w:hideMark/>
          </w:tcPr>
          <w:p w14:paraId="23ADBC2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136.36</w:t>
            </w:r>
          </w:p>
        </w:tc>
        <w:tc>
          <w:tcPr>
            <w:tcW w:w="897" w:type="dxa"/>
            <w:noWrap/>
            <w:hideMark/>
          </w:tcPr>
          <w:p w14:paraId="5B183228"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8.98</w:t>
            </w:r>
          </w:p>
        </w:tc>
        <w:tc>
          <w:tcPr>
            <w:tcW w:w="1166" w:type="dxa"/>
            <w:noWrap/>
            <w:hideMark/>
          </w:tcPr>
          <w:p w14:paraId="4A490A6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1.61 ± 0.0011</w:t>
            </w:r>
          </w:p>
        </w:tc>
        <w:tc>
          <w:tcPr>
            <w:tcW w:w="1235" w:type="dxa"/>
            <w:noWrap/>
            <w:hideMark/>
          </w:tcPr>
          <w:p w14:paraId="6F205A58"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 ± 0.0005</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4736CEC4"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37.89</w:t>
            </w:r>
          </w:p>
        </w:tc>
        <w:tc>
          <w:tcPr>
            <w:tcW w:w="897" w:type="dxa"/>
            <w:noWrap/>
            <w:hideMark/>
          </w:tcPr>
          <w:p w14:paraId="1CA7052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3.26</w:t>
            </w:r>
          </w:p>
        </w:tc>
      </w:tr>
      <w:tr w:rsidR="00DA08E9" w:rsidRPr="004D3ED1" w14:paraId="2C21EFA1" w14:textId="77777777" w:rsidTr="00972419">
        <w:trPr>
          <w:gridAfter w:val="1"/>
          <w:wAfter w:w="6" w:type="dxa"/>
          <w:trHeight w:val="380"/>
        </w:trPr>
        <w:tc>
          <w:tcPr>
            <w:tcW w:w="2245" w:type="dxa"/>
            <w:noWrap/>
            <w:hideMark/>
          </w:tcPr>
          <w:p w14:paraId="3F00E1F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4 (Control)</w:t>
            </w:r>
          </w:p>
        </w:tc>
        <w:tc>
          <w:tcPr>
            <w:tcW w:w="1448" w:type="dxa"/>
            <w:noWrap/>
            <w:hideMark/>
          </w:tcPr>
          <w:p w14:paraId="1FE8C40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1.01 ± 0.0003</w:t>
            </w:r>
          </w:p>
        </w:tc>
        <w:tc>
          <w:tcPr>
            <w:tcW w:w="1236" w:type="dxa"/>
            <w:noWrap/>
            <w:hideMark/>
          </w:tcPr>
          <w:p w14:paraId="3FB5F6F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1.20 ± 0.0003</w:t>
            </w:r>
            <w:r w:rsidRPr="004D3ED1">
              <w:rPr>
                <w:rFonts w:ascii="Times New Roman" w:eastAsia="Times New Roman" w:hAnsi="Times New Roman" w:cs="Times New Roman"/>
                <w:sz w:val="24"/>
                <w:szCs w:val="24"/>
                <w:vertAlign w:val="superscript"/>
                <w:lang w:eastAsia="en-IN"/>
              </w:rPr>
              <w:t>c</w:t>
            </w:r>
          </w:p>
        </w:tc>
        <w:tc>
          <w:tcPr>
            <w:tcW w:w="764" w:type="dxa"/>
            <w:noWrap/>
            <w:hideMark/>
          </w:tcPr>
          <w:p w14:paraId="42D0768A"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18.82</w:t>
            </w:r>
          </w:p>
        </w:tc>
        <w:tc>
          <w:tcPr>
            <w:tcW w:w="897" w:type="dxa"/>
            <w:noWrap/>
            <w:hideMark/>
          </w:tcPr>
          <w:p w14:paraId="52605BE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1.74</w:t>
            </w:r>
          </w:p>
        </w:tc>
        <w:tc>
          <w:tcPr>
            <w:tcW w:w="1166" w:type="dxa"/>
            <w:noWrap/>
            <w:hideMark/>
          </w:tcPr>
          <w:p w14:paraId="55B3A475"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0.20 ± 0.0004</w:t>
            </w:r>
          </w:p>
        </w:tc>
        <w:tc>
          <w:tcPr>
            <w:tcW w:w="1235" w:type="dxa"/>
            <w:noWrap/>
            <w:hideMark/>
          </w:tcPr>
          <w:p w14:paraId="67B9050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0.45 ± 0.0004</w:t>
            </w:r>
            <w:r w:rsidRPr="004D3ED1">
              <w:rPr>
                <w:rFonts w:ascii="Times New Roman" w:eastAsia="Times New Roman" w:hAnsi="Times New Roman" w:cs="Times New Roman"/>
                <w:sz w:val="24"/>
                <w:szCs w:val="24"/>
                <w:vertAlign w:val="superscript"/>
                <w:lang w:eastAsia="en-IN"/>
              </w:rPr>
              <w:t>c</w:t>
            </w:r>
          </w:p>
        </w:tc>
        <w:tc>
          <w:tcPr>
            <w:tcW w:w="877" w:type="dxa"/>
            <w:noWrap/>
            <w:hideMark/>
          </w:tcPr>
          <w:p w14:paraId="4002C64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125.00</w:t>
            </w:r>
          </w:p>
        </w:tc>
        <w:tc>
          <w:tcPr>
            <w:tcW w:w="897" w:type="dxa"/>
            <w:noWrap/>
            <w:hideMark/>
          </w:tcPr>
          <w:p w14:paraId="457E028A"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8.45</w:t>
            </w:r>
          </w:p>
        </w:tc>
        <w:tc>
          <w:tcPr>
            <w:tcW w:w="1166" w:type="dxa"/>
            <w:noWrap/>
            <w:hideMark/>
          </w:tcPr>
          <w:p w14:paraId="0E343311"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1.62 ± 0.0012</w:t>
            </w:r>
          </w:p>
        </w:tc>
        <w:tc>
          <w:tcPr>
            <w:tcW w:w="1235" w:type="dxa"/>
            <w:noWrap/>
            <w:hideMark/>
          </w:tcPr>
          <w:p w14:paraId="0397B8D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2.19 ± 0.0005</w:t>
            </w:r>
            <w:r w:rsidRPr="004D3ED1">
              <w:rPr>
                <w:rFonts w:ascii="Times New Roman" w:eastAsia="Times New Roman" w:hAnsi="Times New Roman" w:cs="Times New Roman"/>
                <w:sz w:val="24"/>
                <w:szCs w:val="24"/>
                <w:vertAlign w:val="superscript"/>
                <w:lang w:eastAsia="en-IN"/>
              </w:rPr>
              <w:t>c</w:t>
            </w:r>
          </w:p>
        </w:tc>
        <w:tc>
          <w:tcPr>
            <w:tcW w:w="764" w:type="dxa"/>
            <w:noWrap/>
            <w:hideMark/>
          </w:tcPr>
          <w:p w14:paraId="6E9BDE2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35.19</w:t>
            </w:r>
          </w:p>
        </w:tc>
        <w:tc>
          <w:tcPr>
            <w:tcW w:w="897" w:type="dxa"/>
            <w:noWrap/>
            <w:hideMark/>
          </w:tcPr>
          <w:p w14:paraId="6CA5B51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3.06</w:t>
            </w:r>
          </w:p>
        </w:tc>
      </w:tr>
    </w:tbl>
    <w:p w14:paraId="2CF2C217" w14:textId="77777777" w:rsidR="00DA08E9" w:rsidRPr="004D3ED1" w:rsidRDefault="00DA08E9" w:rsidP="00DA08E9">
      <w:pPr>
        <w:rPr>
          <w:rFonts w:ascii="Times New Roman" w:eastAsia="Times New Roman" w:hAnsi="Times New Roman" w:cs="Times New Roman"/>
          <w:sz w:val="24"/>
          <w:szCs w:val="24"/>
          <w:lang w:eastAsia="en-IN"/>
        </w:rPr>
      </w:pPr>
      <w:r w:rsidRPr="004D3ED1">
        <w:rPr>
          <w:rFonts w:ascii="Times New Roman" w:hAnsi="Times New Roman" w:cs="Times New Roman"/>
          <w:spacing w:val="-2"/>
          <w:sz w:val="24"/>
          <w:szCs w:val="24"/>
        </w:rPr>
        <w:t xml:space="preserve">TABLE 1: Effect of Silkworm pupal </w:t>
      </w:r>
      <w:proofErr w:type="gramStart"/>
      <w:r w:rsidRPr="004D3ED1">
        <w:rPr>
          <w:rFonts w:ascii="Times New Roman" w:hAnsi="Times New Roman" w:cs="Times New Roman"/>
          <w:spacing w:val="-2"/>
          <w:sz w:val="24"/>
          <w:szCs w:val="24"/>
        </w:rPr>
        <w:t>oil  fortification</w:t>
      </w:r>
      <w:proofErr w:type="gramEnd"/>
      <w:r w:rsidRPr="004D3ED1">
        <w:rPr>
          <w:rFonts w:ascii="Times New Roman" w:hAnsi="Times New Roman" w:cs="Times New Roman"/>
          <w:spacing w:val="-2"/>
          <w:sz w:val="24"/>
          <w:szCs w:val="24"/>
        </w:rPr>
        <w:t xml:space="preserve"> of mulberry leaves on larval growth parameters, overall growth rate (OGR), compound periodical growth rate (CPGR), of 4</w:t>
      </w:r>
      <w:r w:rsidRPr="004D3ED1">
        <w:rPr>
          <w:rFonts w:ascii="Times New Roman" w:hAnsi="Times New Roman" w:cs="Times New Roman"/>
          <w:spacing w:val="-2"/>
          <w:sz w:val="24"/>
          <w:szCs w:val="24"/>
          <w:vertAlign w:val="superscript"/>
        </w:rPr>
        <w:t>th</w:t>
      </w:r>
      <w:r w:rsidRPr="004D3ED1">
        <w:rPr>
          <w:rFonts w:ascii="Times New Roman" w:hAnsi="Times New Roman" w:cs="Times New Roman"/>
          <w:spacing w:val="-2"/>
          <w:sz w:val="24"/>
          <w:szCs w:val="24"/>
        </w:rPr>
        <w:t xml:space="preserve"> instar of silkworm larvae (Bivoltine hybrid variety NB4D2 X SH6) under different concentration.</w:t>
      </w:r>
      <w:r w:rsidRPr="004D3ED1">
        <w:rPr>
          <w:rFonts w:ascii="Times New Roman" w:eastAsia="Times New Roman" w:hAnsi="Times New Roman" w:cs="Times New Roman"/>
          <w:sz w:val="24"/>
          <w:szCs w:val="24"/>
          <w:lang w:eastAsia="en-IN"/>
        </w:rPr>
        <w:t xml:space="preserve"> </w:t>
      </w:r>
    </w:p>
    <w:tbl>
      <w:tblPr>
        <w:tblStyle w:val="TableGrid"/>
        <w:tblpPr w:leftFromText="180" w:rightFromText="180" w:vertAnchor="text" w:horzAnchor="margin" w:tblpXSpec="center" w:tblpY="11"/>
        <w:tblW w:w="14845" w:type="dxa"/>
        <w:tblLook w:val="04A0" w:firstRow="1" w:lastRow="0" w:firstColumn="1" w:lastColumn="0" w:noHBand="0" w:noVBand="1"/>
      </w:tblPr>
      <w:tblGrid>
        <w:gridCol w:w="2245"/>
        <w:gridCol w:w="1196"/>
        <w:gridCol w:w="999"/>
        <w:gridCol w:w="876"/>
        <w:gridCol w:w="896"/>
        <w:gridCol w:w="942"/>
        <w:gridCol w:w="1000"/>
        <w:gridCol w:w="876"/>
        <w:gridCol w:w="896"/>
        <w:gridCol w:w="942"/>
        <w:gridCol w:w="1000"/>
        <w:gridCol w:w="763"/>
        <w:gridCol w:w="896"/>
        <w:gridCol w:w="1318"/>
      </w:tblGrid>
      <w:tr w:rsidR="00DA08E9" w:rsidRPr="004D3ED1" w14:paraId="2E60F1B2" w14:textId="77777777" w:rsidTr="00972419">
        <w:trPr>
          <w:trHeight w:val="260"/>
        </w:trPr>
        <w:tc>
          <w:tcPr>
            <w:tcW w:w="2245" w:type="dxa"/>
            <w:vMerge w:val="restart"/>
            <w:hideMark/>
          </w:tcPr>
          <w:p w14:paraId="780CB495"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Fortification of mulberry leaves with</w:t>
            </w:r>
          </w:p>
        </w:tc>
        <w:tc>
          <w:tcPr>
            <w:tcW w:w="11282" w:type="dxa"/>
            <w:gridSpan w:val="12"/>
            <w:noWrap/>
            <w:hideMark/>
          </w:tcPr>
          <w:p w14:paraId="1A78BC3B"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 xml:space="preserve">Growth </w:t>
            </w:r>
            <w:proofErr w:type="gramStart"/>
            <w:r w:rsidRPr="004D3ED1">
              <w:rPr>
                <w:rFonts w:ascii="Times New Roman" w:eastAsia="Times New Roman" w:hAnsi="Times New Roman" w:cs="Times New Roman"/>
                <w:b/>
                <w:bCs/>
                <w:sz w:val="24"/>
                <w:szCs w:val="24"/>
                <w:lang w:eastAsia="en-IN"/>
              </w:rPr>
              <w:t>Parameters  5</w:t>
            </w:r>
            <w:proofErr w:type="gramEnd"/>
            <w:r w:rsidRPr="004D3ED1">
              <w:rPr>
                <w:rFonts w:ascii="Times New Roman" w:eastAsia="Times New Roman" w:hAnsi="Times New Roman" w:cs="Times New Roman"/>
                <w:b/>
                <w:bCs/>
                <w:sz w:val="24"/>
                <w:szCs w:val="24"/>
                <w:lang w:eastAsia="en-IN"/>
              </w:rPr>
              <w:t>th instar</w:t>
            </w:r>
          </w:p>
        </w:tc>
        <w:tc>
          <w:tcPr>
            <w:tcW w:w="1318" w:type="dxa"/>
            <w:vMerge w:val="restart"/>
          </w:tcPr>
          <w:p w14:paraId="24D9DFE7"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Gland-Body Ratio</w:t>
            </w:r>
          </w:p>
          <w:p w14:paraId="556F6ACC" w14:textId="77777777" w:rsidR="00DA08E9" w:rsidRPr="004D3ED1" w:rsidRDefault="00DA08E9" w:rsidP="0097241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b/>
                <w:bCs/>
                <w:sz w:val="24"/>
                <w:szCs w:val="24"/>
                <w:lang w:eastAsia="en-IN"/>
              </w:rPr>
              <w:t>(GBR)</w:t>
            </w:r>
          </w:p>
        </w:tc>
      </w:tr>
      <w:tr w:rsidR="00DA08E9" w:rsidRPr="004D3ED1" w14:paraId="53C61FBD" w14:textId="77777777" w:rsidTr="00972419">
        <w:trPr>
          <w:trHeight w:val="260"/>
        </w:trPr>
        <w:tc>
          <w:tcPr>
            <w:tcW w:w="2245" w:type="dxa"/>
            <w:vMerge/>
            <w:hideMark/>
          </w:tcPr>
          <w:p w14:paraId="58250E7B"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2195" w:type="dxa"/>
            <w:gridSpan w:val="2"/>
            <w:noWrap/>
            <w:hideMark/>
          </w:tcPr>
          <w:p w14:paraId="20A97634"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Length (cm)</w:t>
            </w:r>
          </w:p>
        </w:tc>
        <w:tc>
          <w:tcPr>
            <w:tcW w:w="876" w:type="dxa"/>
            <w:vMerge w:val="restart"/>
            <w:noWrap/>
            <w:hideMark/>
          </w:tcPr>
          <w:p w14:paraId="2028637D"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487D6789"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942" w:type="dxa"/>
            <w:gridSpan w:val="2"/>
            <w:noWrap/>
            <w:hideMark/>
          </w:tcPr>
          <w:p w14:paraId="0DF9C44B"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Weight (gm)</w:t>
            </w:r>
          </w:p>
        </w:tc>
        <w:tc>
          <w:tcPr>
            <w:tcW w:w="876" w:type="dxa"/>
            <w:vMerge w:val="restart"/>
            <w:noWrap/>
            <w:hideMark/>
          </w:tcPr>
          <w:p w14:paraId="41EC3CB3"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1EE1757F"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942" w:type="dxa"/>
            <w:gridSpan w:val="2"/>
            <w:noWrap/>
            <w:hideMark/>
          </w:tcPr>
          <w:p w14:paraId="4A655424"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Perimeter (cm)</w:t>
            </w:r>
          </w:p>
        </w:tc>
        <w:tc>
          <w:tcPr>
            <w:tcW w:w="763" w:type="dxa"/>
            <w:vMerge w:val="restart"/>
            <w:noWrap/>
            <w:hideMark/>
          </w:tcPr>
          <w:p w14:paraId="2C59BC1A"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0991EED1"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318" w:type="dxa"/>
            <w:vMerge/>
          </w:tcPr>
          <w:p w14:paraId="3E837256" w14:textId="77777777" w:rsidR="00DA08E9" w:rsidRPr="004D3ED1" w:rsidRDefault="00DA08E9" w:rsidP="00972419">
            <w:pPr>
              <w:rPr>
                <w:rFonts w:ascii="Times New Roman" w:eastAsia="Times New Roman" w:hAnsi="Times New Roman" w:cs="Times New Roman"/>
                <w:sz w:val="24"/>
                <w:szCs w:val="24"/>
                <w:lang w:eastAsia="en-IN"/>
              </w:rPr>
            </w:pPr>
          </w:p>
        </w:tc>
      </w:tr>
      <w:tr w:rsidR="00DA08E9" w:rsidRPr="004D3ED1" w14:paraId="66628DCC" w14:textId="77777777" w:rsidTr="00972419">
        <w:trPr>
          <w:trHeight w:val="260"/>
        </w:trPr>
        <w:tc>
          <w:tcPr>
            <w:tcW w:w="2245" w:type="dxa"/>
            <w:vMerge/>
            <w:hideMark/>
          </w:tcPr>
          <w:p w14:paraId="72BC6EF9" w14:textId="77777777" w:rsidR="00DA08E9" w:rsidRPr="004D3ED1" w:rsidRDefault="00DA08E9" w:rsidP="00972419">
            <w:pPr>
              <w:rPr>
                <w:rFonts w:ascii="Times New Roman" w:eastAsia="Times New Roman" w:hAnsi="Times New Roman" w:cs="Times New Roman"/>
                <w:b/>
                <w:bCs/>
                <w:sz w:val="24"/>
                <w:szCs w:val="24"/>
                <w:lang w:eastAsia="en-IN"/>
              </w:rPr>
            </w:pPr>
          </w:p>
        </w:tc>
        <w:tc>
          <w:tcPr>
            <w:tcW w:w="1196" w:type="dxa"/>
            <w:noWrap/>
            <w:hideMark/>
          </w:tcPr>
          <w:p w14:paraId="41FA3414"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999" w:type="dxa"/>
            <w:noWrap/>
            <w:hideMark/>
          </w:tcPr>
          <w:p w14:paraId="36ACB337"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6" w:type="dxa"/>
            <w:vMerge/>
            <w:hideMark/>
          </w:tcPr>
          <w:p w14:paraId="1A64178E"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896" w:type="dxa"/>
            <w:vMerge/>
            <w:hideMark/>
          </w:tcPr>
          <w:p w14:paraId="0CE85C82"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942" w:type="dxa"/>
            <w:noWrap/>
            <w:hideMark/>
          </w:tcPr>
          <w:p w14:paraId="4931AA5D"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000" w:type="dxa"/>
            <w:noWrap/>
            <w:hideMark/>
          </w:tcPr>
          <w:p w14:paraId="11618209"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6" w:type="dxa"/>
            <w:vMerge/>
            <w:hideMark/>
          </w:tcPr>
          <w:p w14:paraId="64C65B59"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896" w:type="dxa"/>
            <w:vMerge/>
            <w:hideMark/>
          </w:tcPr>
          <w:p w14:paraId="28AB5B7F" w14:textId="77777777" w:rsidR="00DA08E9" w:rsidRPr="004D3ED1" w:rsidRDefault="00DA08E9" w:rsidP="00972419">
            <w:pPr>
              <w:jc w:val="center"/>
              <w:rPr>
                <w:rFonts w:ascii="Times New Roman" w:eastAsia="Times New Roman" w:hAnsi="Times New Roman" w:cs="Times New Roman"/>
                <w:b/>
                <w:bCs/>
                <w:sz w:val="24"/>
                <w:szCs w:val="24"/>
                <w:lang w:eastAsia="en-IN"/>
              </w:rPr>
            </w:pPr>
          </w:p>
        </w:tc>
        <w:tc>
          <w:tcPr>
            <w:tcW w:w="942" w:type="dxa"/>
            <w:noWrap/>
            <w:hideMark/>
          </w:tcPr>
          <w:p w14:paraId="50E1DBC5"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000" w:type="dxa"/>
            <w:noWrap/>
            <w:hideMark/>
          </w:tcPr>
          <w:p w14:paraId="03B8FD18" w14:textId="77777777" w:rsidR="00DA08E9" w:rsidRPr="004D3ED1" w:rsidRDefault="00DA08E9" w:rsidP="00972419">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3" w:type="dxa"/>
            <w:vMerge/>
            <w:hideMark/>
          </w:tcPr>
          <w:p w14:paraId="6AD2441A" w14:textId="77777777" w:rsidR="00DA08E9" w:rsidRPr="004D3ED1" w:rsidRDefault="00DA08E9" w:rsidP="00972419">
            <w:pPr>
              <w:rPr>
                <w:rFonts w:ascii="Times New Roman" w:eastAsia="Times New Roman" w:hAnsi="Times New Roman" w:cs="Times New Roman"/>
                <w:b/>
                <w:bCs/>
                <w:sz w:val="24"/>
                <w:szCs w:val="24"/>
                <w:lang w:eastAsia="en-IN"/>
              </w:rPr>
            </w:pPr>
          </w:p>
        </w:tc>
        <w:tc>
          <w:tcPr>
            <w:tcW w:w="896" w:type="dxa"/>
            <w:vMerge/>
            <w:hideMark/>
          </w:tcPr>
          <w:p w14:paraId="1F8B971A" w14:textId="77777777" w:rsidR="00DA08E9" w:rsidRPr="004D3ED1" w:rsidRDefault="00DA08E9" w:rsidP="00972419">
            <w:pPr>
              <w:rPr>
                <w:rFonts w:ascii="Times New Roman" w:eastAsia="Times New Roman" w:hAnsi="Times New Roman" w:cs="Times New Roman"/>
                <w:b/>
                <w:bCs/>
                <w:sz w:val="24"/>
                <w:szCs w:val="24"/>
                <w:lang w:eastAsia="en-IN"/>
              </w:rPr>
            </w:pPr>
          </w:p>
        </w:tc>
        <w:tc>
          <w:tcPr>
            <w:tcW w:w="1318" w:type="dxa"/>
            <w:vMerge/>
          </w:tcPr>
          <w:p w14:paraId="49308B73" w14:textId="77777777" w:rsidR="00DA08E9" w:rsidRPr="004D3ED1" w:rsidRDefault="00DA08E9" w:rsidP="00972419">
            <w:pPr>
              <w:rPr>
                <w:rFonts w:ascii="Times New Roman" w:eastAsia="Times New Roman" w:hAnsi="Times New Roman" w:cs="Times New Roman"/>
                <w:sz w:val="24"/>
                <w:szCs w:val="24"/>
                <w:lang w:eastAsia="en-IN"/>
              </w:rPr>
            </w:pPr>
          </w:p>
        </w:tc>
      </w:tr>
      <w:tr w:rsidR="00DA08E9" w:rsidRPr="004D3ED1" w14:paraId="3E238341" w14:textId="77777777" w:rsidTr="00972419">
        <w:trPr>
          <w:trHeight w:val="310"/>
        </w:trPr>
        <w:tc>
          <w:tcPr>
            <w:tcW w:w="2245" w:type="dxa"/>
            <w:noWrap/>
            <w:hideMark/>
          </w:tcPr>
          <w:p w14:paraId="6DE6AED6"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1 (Silkworm pupal </w:t>
            </w:r>
            <w:proofErr w:type="gramStart"/>
            <w:r w:rsidRPr="004D3ED1">
              <w:rPr>
                <w:rFonts w:ascii="Times New Roman" w:eastAsia="Times New Roman" w:hAnsi="Times New Roman" w:cs="Times New Roman"/>
                <w:sz w:val="24"/>
                <w:szCs w:val="24"/>
                <w:lang w:eastAsia="en-IN"/>
              </w:rPr>
              <w:t>oil  3000</w:t>
            </w:r>
            <w:proofErr w:type="gramEnd"/>
            <w:r w:rsidRPr="004D3ED1">
              <w:rPr>
                <w:rFonts w:ascii="Times New Roman" w:eastAsia="Times New Roman" w:hAnsi="Times New Roman" w:cs="Times New Roman"/>
                <w:sz w:val="24"/>
                <w:szCs w:val="24"/>
                <w:lang w:eastAsia="en-IN"/>
              </w:rPr>
              <w:t xml:space="preserve"> ppm)</w:t>
            </w:r>
          </w:p>
        </w:tc>
        <w:tc>
          <w:tcPr>
            <w:tcW w:w="1196" w:type="dxa"/>
            <w:noWrap/>
            <w:hideMark/>
          </w:tcPr>
          <w:p w14:paraId="45CE3EE1"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1.67 ± 0.0003</w:t>
            </w:r>
          </w:p>
        </w:tc>
        <w:tc>
          <w:tcPr>
            <w:tcW w:w="999" w:type="dxa"/>
            <w:noWrap/>
            <w:hideMark/>
          </w:tcPr>
          <w:p w14:paraId="144F106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3.37 ± 0.0003</w:t>
            </w:r>
            <w:r w:rsidRPr="004D3ED1">
              <w:rPr>
                <w:rFonts w:ascii="Times New Roman" w:eastAsia="Times New Roman" w:hAnsi="Times New Roman" w:cs="Times New Roman"/>
                <w:sz w:val="24"/>
                <w:szCs w:val="24"/>
                <w:vertAlign w:val="superscript"/>
                <w:lang w:eastAsia="en-IN"/>
              </w:rPr>
              <w:t>c</w:t>
            </w:r>
          </w:p>
        </w:tc>
        <w:tc>
          <w:tcPr>
            <w:tcW w:w="876" w:type="dxa"/>
            <w:noWrap/>
            <w:hideMark/>
          </w:tcPr>
          <w:p w14:paraId="383466D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101.80</w:t>
            </w:r>
          </w:p>
        </w:tc>
        <w:tc>
          <w:tcPr>
            <w:tcW w:w="896" w:type="dxa"/>
            <w:noWrap/>
            <w:hideMark/>
          </w:tcPr>
          <w:p w14:paraId="4D5A9E9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11.89</w:t>
            </w:r>
          </w:p>
        </w:tc>
        <w:tc>
          <w:tcPr>
            <w:tcW w:w="942" w:type="dxa"/>
            <w:noWrap/>
            <w:hideMark/>
          </w:tcPr>
          <w:p w14:paraId="28823E0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0.94 ± 0.0004</w:t>
            </w:r>
          </w:p>
        </w:tc>
        <w:tc>
          <w:tcPr>
            <w:tcW w:w="1000" w:type="dxa"/>
            <w:noWrap/>
            <w:hideMark/>
          </w:tcPr>
          <w:p w14:paraId="2792571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2.94 ± 0.0004</w:t>
            </w:r>
            <w:r w:rsidRPr="004D3ED1">
              <w:rPr>
                <w:rFonts w:ascii="Times New Roman" w:eastAsia="Times New Roman" w:hAnsi="Times New Roman" w:cs="Times New Roman"/>
                <w:sz w:val="24"/>
                <w:szCs w:val="24"/>
                <w:vertAlign w:val="superscript"/>
                <w:lang w:eastAsia="en-IN"/>
              </w:rPr>
              <w:t>c</w:t>
            </w:r>
          </w:p>
        </w:tc>
        <w:tc>
          <w:tcPr>
            <w:tcW w:w="876" w:type="dxa"/>
            <w:noWrap/>
            <w:hideMark/>
          </w:tcPr>
          <w:p w14:paraId="34246201"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212.77</w:t>
            </w:r>
          </w:p>
        </w:tc>
        <w:tc>
          <w:tcPr>
            <w:tcW w:w="896" w:type="dxa"/>
            <w:noWrap/>
            <w:hideMark/>
          </w:tcPr>
          <w:p w14:paraId="72D086D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20.01</w:t>
            </w:r>
          </w:p>
        </w:tc>
        <w:tc>
          <w:tcPr>
            <w:tcW w:w="942" w:type="dxa"/>
            <w:noWrap/>
            <w:hideMark/>
          </w:tcPr>
          <w:p w14:paraId="44D2EFE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2.65 ± 0.0003</w:t>
            </w:r>
          </w:p>
        </w:tc>
        <w:tc>
          <w:tcPr>
            <w:tcW w:w="1000" w:type="dxa"/>
            <w:noWrap/>
            <w:hideMark/>
          </w:tcPr>
          <w:p w14:paraId="6B4B4BE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3.31 ± 0.0001</w:t>
            </w:r>
            <w:r w:rsidRPr="004D3ED1">
              <w:rPr>
                <w:rFonts w:ascii="Times New Roman" w:eastAsia="Times New Roman" w:hAnsi="Times New Roman" w:cs="Times New Roman"/>
                <w:sz w:val="24"/>
                <w:szCs w:val="24"/>
                <w:vertAlign w:val="superscript"/>
                <w:lang w:eastAsia="en-IN"/>
              </w:rPr>
              <w:t>c</w:t>
            </w:r>
          </w:p>
        </w:tc>
        <w:tc>
          <w:tcPr>
            <w:tcW w:w="763" w:type="dxa"/>
            <w:noWrap/>
            <w:hideMark/>
          </w:tcPr>
          <w:p w14:paraId="42AC0A4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24.91</w:t>
            </w:r>
          </w:p>
        </w:tc>
        <w:tc>
          <w:tcPr>
            <w:tcW w:w="896" w:type="dxa"/>
            <w:noWrap/>
            <w:hideMark/>
          </w:tcPr>
          <w:p w14:paraId="5D14121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3.62</w:t>
            </w:r>
          </w:p>
        </w:tc>
        <w:tc>
          <w:tcPr>
            <w:tcW w:w="1318" w:type="dxa"/>
            <w:vAlign w:val="center"/>
          </w:tcPr>
          <w:p w14:paraId="66073906" w14:textId="77777777" w:rsidR="00DA08E9" w:rsidRPr="004D3ED1" w:rsidRDefault="00DA08E9" w:rsidP="00DA08E9">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35.25 ± 0.007</w:t>
            </w:r>
            <w:r w:rsidRPr="004D3ED1">
              <w:rPr>
                <w:rFonts w:ascii="Times New Roman" w:hAnsi="Times New Roman" w:cs="Times New Roman"/>
                <w:color w:val="000000"/>
                <w:sz w:val="24"/>
                <w:szCs w:val="24"/>
                <w:vertAlign w:val="superscript"/>
              </w:rPr>
              <w:t>c</w:t>
            </w:r>
          </w:p>
        </w:tc>
      </w:tr>
      <w:tr w:rsidR="00DA08E9" w:rsidRPr="004D3ED1" w14:paraId="40EC8D15" w14:textId="77777777" w:rsidTr="00972419">
        <w:trPr>
          <w:trHeight w:val="310"/>
        </w:trPr>
        <w:tc>
          <w:tcPr>
            <w:tcW w:w="2245" w:type="dxa"/>
            <w:noWrap/>
            <w:hideMark/>
          </w:tcPr>
          <w:p w14:paraId="736F39EA"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2 (Silkworm pupal </w:t>
            </w:r>
            <w:proofErr w:type="gramStart"/>
            <w:r w:rsidRPr="004D3ED1">
              <w:rPr>
                <w:rFonts w:ascii="Times New Roman" w:eastAsia="Times New Roman" w:hAnsi="Times New Roman" w:cs="Times New Roman"/>
                <w:sz w:val="24"/>
                <w:szCs w:val="24"/>
                <w:lang w:eastAsia="en-IN"/>
              </w:rPr>
              <w:t>oil  6000</w:t>
            </w:r>
            <w:proofErr w:type="gramEnd"/>
            <w:r w:rsidRPr="004D3ED1">
              <w:rPr>
                <w:rFonts w:ascii="Times New Roman" w:eastAsia="Times New Roman" w:hAnsi="Times New Roman" w:cs="Times New Roman"/>
                <w:sz w:val="24"/>
                <w:szCs w:val="24"/>
                <w:lang w:eastAsia="en-IN"/>
              </w:rPr>
              <w:t xml:space="preserve"> ppm)</w:t>
            </w:r>
          </w:p>
        </w:tc>
        <w:tc>
          <w:tcPr>
            <w:tcW w:w="1196" w:type="dxa"/>
            <w:noWrap/>
            <w:hideMark/>
          </w:tcPr>
          <w:p w14:paraId="0D0DB60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1.72 ± 0.0003</w:t>
            </w:r>
          </w:p>
        </w:tc>
        <w:tc>
          <w:tcPr>
            <w:tcW w:w="999" w:type="dxa"/>
            <w:noWrap/>
            <w:hideMark/>
          </w:tcPr>
          <w:p w14:paraId="620CF34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3.42 ± 0.0004</w:t>
            </w:r>
            <w:r w:rsidRPr="004D3ED1">
              <w:rPr>
                <w:rFonts w:ascii="Times New Roman" w:eastAsia="Times New Roman" w:hAnsi="Times New Roman" w:cs="Times New Roman"/>
                <w:sz w:val="24"/>
                <w:szCs w:val="24"/>
                <w:vertAlign w:val="superscript"/>
                <w:lang w:eastAsia="en-IN"/>
              </w:rPr>
              <w:t>b</w:t>
            </w:r>
          </w:p>
        </w:tc>
        <w:tc>
          <w:tcPr>
            <w:tcW w:w="876" w:type="dxa"/>
            <w:noWrap/>
            <w:hideMark/>
          </w:tcPr>
          <w:p w14:paraId="25DE92C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98.84</w:t>
            </w:r>
          </w:p>
        </w:tc>
        <w:tc>
          <w:tcPr>
            <w:tcW w:w="896" w:type="dxa"/>
            <w:noWrap/>
            <w:hideMark/>
          </w:tcPr>
          <w:p w14:paraId="66B108BF"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11.62</w:t>
            </w:r>
          </w:p>
        </w:tc>
        <w:tc>
          <w:tcPr>
            <w:tcW w:w="942" w:type="dxa"/>
            <w:noWrap/>
            <w:hideMark/>
          </w:tcPr>
          <w:p w14:paraId="30A97349"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1.00 ± 0.0004</w:t>
            </w:r>
          </w:p>
        </w:tc>
        <w:tc>
          <w:tcPr>
            <w:tcW w:w="1000" w:type="dxa"/>
            <w:noWrap/>
            <w:hideMark/>
          </w:tcPr>
          <w:p w14:paraId="6FB8809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3.00 ± 0.0004</w:t>
            </w:r>
            <w:r w:rsidRPr="004D3ED1">
              <w:rPr>
                <w:rFonts w:ascii="Times New Roman" w:eastAsia="Times New Roman" w:hAnsi="Times New Roman" w:cs="Times New Roman"/>
                <w:sz w:val="24"/>
                <w:szCs w:val="24"/>
                <w:vertAlign w:val="superscript"/>
                <w:lang w:eastAsia="en-IN"/>
              </w:rPr>
              <w:t>b</w:t>
            </w:r>
          </w:p>
        </w:tc>
        <w:tc>
          <w:tcPr>
            <w:tcW w:w="876" w:type="dxa"/>
            <w:noWrap/>
            <w:hideMark/>
          </w:tcPr>
          <w:p w14:paraId="14296511"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200.00</w:t>
            </w:r>
          </w:p>
        </w:tc>
        <w:tc>
          <w:tcPr>
            <w:tcW w:w="896" w:type="dxa"/>
            <w:noWrap/>
            <w:hideMark/>
          </w:tcPr>
          <w:p w14:paraId="1316F2C1"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19.22</w:t>
            </w:r>
          </w:p>
        </w:tc>
        <w:tc>
          <w:tcPr>
            <w:tcW w:w="942" w:type="dxa"/>
            <w:noWrap/>
            <w:hideMark/>
          </w:tcPr>
          <w:p w14:paraId="726B84B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2.70 ± 0.0003</w:t>
            </w:r>
          </w:p>
        </w:tc>
        <w:tc>
          <w:tcPr>
            <w:tcW w:w="1000" w:type="dxa"/>
            <w:noWrap/>
            <w:hideMark/>
          </w:tcPr>
          <w:p w14:paraId="21CF5FF0"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3.32 ± 0.0001</w:t>
            </w:r>
            <w:r w:rsidRPr="004D3ED1">
              <w:rPr>
                <w:rFonts w:ascii="Times New Roman" w:eastAsia="Times New Roman" w:hAnsi="Times New Roman" w:cs="Times New Roman"/>
                <w:sz w:val="24"/>
                <w:szCs w:val="24"/>
                <w:vertAlign w:val="superscript"/>
                <w:lang w:eastAsia="en-IN"/>
              </w:rPr>
              <w:t>b</w:t>
            </w:r>
          </w:p>
        </w:tc>
        <w:tc>
          <w:tcPr>
            <w:tcW w:w="763" w:type="dxa"/>
            <w:noWrap/>
            <w:hideMark/>
          </w:tcPr>
          <w:p w14:paraId="2BA02C9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22.96</w:t>
            </w:r>
          </w:p>
        </w:tc>
        <w:tc>
          <w:tcPr>
            <w:tcW w:w="896" w:type="dxa"/>
            <w:noWrap/>
            <w:hideMark/>
          </w:tcPr>
          <w:p w14:paraId="3ADC663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3.36</w:t>
            </w:r>
          </w:p>
        </w:tc>
        <w:tc>
          <w:tcPr>
            <w:tcW w:w="1318" w:type="dxa"/>
            <w:vAlign w:val="center"/>
          </w:tcPr>
          <w:p w14:paraId="344B1EE2" w14:textId="77777777" w:rsidR="00DA08E9" w:rsidRPr="004D3ED1" w:rsidRDefault="00DA08E9" w:rsidP="00DA08E9">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36 ± 0.007</w:t>
            </w:r>
            <w:r w:rsidRPr="004D3ED1">
              <w:rPr>
                <w:rFonts w:ascii="Times New Roman" w:hAnsi="Times New Roman" w:cs="Times New Roman"/>
                <w:color w:val="000000"/>
                <w:sz w:val="24"/>
                <w:szCs w:val="24"/>
                <w:vertAlign w:val="superscript"/>
              </w:rPr>
              <w:t>b</w:t>
            </w:r>
          </w:p>
        </w:tc>
      </w:tr>
      <w:tr w:rsidR="00DA08E9" w:rsidRPr="004D3ED1" w14:paraId="079C3C50" w14:textId="77777777" w:rsidTr="00972419">
        <w:trPr>
          <w:trHeight w:val="310"/>
        </w:trPr>
        <w:tc>
          <w:tcPr>
            <w:tcW w:w="2245" w:type="dxa"/>
            <w:noWrap/>
            <w:hideMark/>
          </w:tcPr>
          <w:p w14:paraId="4DED355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 xml:space="preserve">T 3 (Silkworm pupal </w:t>
            </w:r>
            <w:proofErr w:type="gramStart"/>
            <w:r w:rsidRPr="004D3ED1">
              <w:rPr>
                <w:rFonts w:ascii="Times New Roman" w:eastAsia="Times New Roman" w:hAnsi="Times New Roman" w:cs="Times New Roman"/>
                <w:sz w:val="24"/>
                <w:szCs w:val="24"/>
                <w:lang w:eastAsia="en-IN"/>
              </w:rPr>
              <w:t>oil  9000</w:t>
            </w:r>
            <w:proofErr w:type="gramEnd"/>
            <w:r w:rsidRPr="004D3ED1">
              <w:rPr>
                <w:rFonts w:ascii="Times New Roman" w:eastAsia="Times New Roman" w:hAnsi="Times New Roman" w:cs="Times New Roman"/>
                <w:sz w:val="24"/>
                <w:szCs w:val="24"/>
                <w:lang w:eastAsia="en-IN"/>
              </w:rPr>
              <w:t xml:space="preserve"> ppm)</w:t>
            </w:r>
          </w:p>
        </w:tc>
        <w:tc>
          <w:tcPr>
            <w:tcW w:w="1196" w:type="dxa"/>
            <w:noWrap/>
            <w:hideMark/>
          </w:tcPr>
          <w:p w14:paraId="20236AB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1.70 ± 0.0003</w:t>
            </w:r>
          </w:p>
        </w:tc>
        <w:tc>
          <w:tcPr>
            <w:tcW w:w="999" w:type="dxa"/>
            <w:noWrap/>
            <w:hideMark/>
          </w:tcPr>
          <w:p w14:paraId="09C11BB0"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3.47 ± 0.0003</w:t>
            </w:r>
            <w:r w:rsidRPr="004D3ED1">
              <w:rPr>
                <w:rFonts w:ascii="Times New Roman" w:eastAsia="Times New Roman" w:hAnsi="Times New Roman" w:cs="Times New Roman"/>
                <w:sz w:val="24"/>
                <w:szCs w:val="24"/>
                <w:vertAlign w:val="superscript"/>
                <w:lang w:eastAsia="en-IN"/>
              </w:rPr>
              <w:t>a</w:t>
            </w:r>
          </w:p>
        </w:tc>
        <w:tc>
          <w:tcPr>
            <w:tcW w:w="876" w:type="dxa"/>
            <w:noWrap/>
            <w:hideMark/>
          </w:tcPr>
          <w:p w14:paraId="504FED6D"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104.12</w:t>
            </w:r>
          </w:p>
        </w:tc>
        <w:tc>
          <w:tcPr>
            <w:tcW w:w="896" w:type="dxa"/>
            <w:noWrap/>
            <w:hideMark/>
          </w:tcPr>
          <w:p w14:paraId="25545B2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12.09</w:t>
            </w:r>
          </w:p>
        </w:tc>
        <w:tc>
          <w:tcPr>
            <w:tcW w:w="942" w:type="dxa"/>
            <w:noWrap/>
            <w:hideMark/>
          </w:tcPr>
          <w:p w14:paraId="303A620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0.97 ± 0.0004</w:t>
            </w:r>
          </w:p>
        </w:tc>
        <w:tc>
          <w:tcPr>
            <w:tcW w:w="1000" w:type="dxa"/>
            <w:noWrap/>
            <w:hideMark/>
          </w:tcPr>
          <w:p w14:paraId="4ACF857A"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3.06 ± 0.0004</w:t>
            </w:r>
            <w:r w:rsidRPr="004D3ED1">
              <w:rPr>
                <w:rFonts w:ascii="Times New Roman" w:eastAsia="Times New Roman" w:hAnsi="Times New Roman" w:cs="Times New Roman"/>
                <w:sz w:val="24"/>
                <w:szCs w:val="24"/>
                <w:vertAlign w:val="superscript"/>
                <w:lang w:eastAsia="en-IN"/>
              </w:rPr>
              <w:t>a</w:t>
            </w:r>
          </w:p>
        </w:tc>
        <w:tc>
          <w:tcPr>
            <w:tcW w:w="876" w:type="dxa"/>
            <w:noWrap/>
            <w:hideMark/>
          </w:tcPr>
          <w:p w14:paraId="1640787B"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215.46</w:t>
            </w:r>
          </w:p>
        </w:tc>
        <w:tc>
          <w:tcPr>
            <w:tcW w:w="896" w:type="dxa"/>
            <w:noWrap/>
            <w:hideMark/>
          </w:tcPr>
          <w:p w14:paraId="425AD46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20.18</w:t>
            </w:r>
          </w:p>
        </w:tc>
        <w:tc>
          <w:tcPr>
            <w:tcW w:w="942" w:type="dxa"/>
            <w:noWrap/>
            <w:hideMark/>
          </w:tcPr>
          <w:p w14:paraId="31929B4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2.68 ± 0.0003</w:t>
            </w:r>
          </w:p>
        </w:tc>
        <w:tc>
          <w:tcPr>
            <w:tcW w:w="1000" w:type="dxa"/>
            <w:noWrap/>
            <w:hideMark/>
          </w:tcPr>
          <w:p w14:paraId="605CC1C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3.33 ± 0.0001</w:t>
            </w:r>
            <w:r w:rsidRPr="004D3ED1">
              <w:rPr>
                <w:rFonts w:ascii="Times New Roman" w:eastAsia="Times New Roman" w:hAnsi="Times New Roman" w:cs="Times New Roman"/>
                <w:sz w:val="24"/>
                <w:szCs w:val="24"/>
                <w:vertAlign w:val="superscript"/>
                <w:lang w:eastAsia="en-IN"/>
              </w:rPr>
              <w:t>a</w:t>
            </w:r>
          </w:p>
        </w:tc>
        <w:tc>
          <w:tcPr>
            <w:tcW w:w="763" w:type="dxa"/>
            <w:noWrap/>
            <w:hideMark/>
          </w:tcPr>
          <w:p w14:paraId="61838D5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24.25</w:t>
            </w:r>
          </w:p>
        </w:tc>
        <w:tc>
          <w:tcPr>
            <w:tcW w:w="896" w:type="dxa"/>
            <w:noWrap/>
            <w:hideMark/>
          </w:tcPr>
          <w:p w14:paraId="0ED33C5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3.54</w:t>
            </w:r>
          </w:p>
        </w:tc>
        <w:tc>
          <w:tcPr>
            <w:tcW w:w="1318" w:type="dxa"/>
            <w:vAlign w:val="center"/>
          </w:tcPr>
          <w:p w14:paraId="58BDE237" w14:textId="77777777" w:rsidR="00DA08E9" w:rsidRPr="004D3ED1" w:rsidRDefault="00DA08E9" w:rsidP="00DA08E9">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36.75 ± 0.006</w:t>
            </w:r>
            <w:r w:rsidRPr="004D3ED1">
              <w:rPr>
                <w:rFonts w:ascii="Times New Roman" w:hAnsi="Times New Roman" w:cs="Times New Roman"/>
                <w:color w:val="000000"/>
                <w:sz w:val="24"/>
                <w:szCs w:val="24"/>
                <w:vertAlign w:val="superscript"/>
              </w:rPr>
              <w:t>a</w:t>
            </w:r>
          </w:p>
        </w:tc>
      </w:tr>
      <w:tr w:rsidR="00DA08E9" w:rsidRPr="004D3ED1" w14:paraId="607B984A" w14:textId="77777777" w:rsidTr="00972419">
        <w:trPr>
          <w:trHeight w:val="144"/>
        </w:trPr>
        <w:tc>
          <w:tcPr>
            <w:tcW w:w="2245" w:type="dxa"/>
            <w:noWrap/>
            <w:hideMark/>
          </w:tcPr>
          <w:p w14:paraId="0FC284DC"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4 (Control)</w:t>
            </w:r>
          </w:p>
        </w:tc>
        <w:tc>
          <w:tcPr>
            <w:tcW w:w="1196" w:type="dxa"/>
            <w:noWrap/>
            <w:hideMark/>
          </w:tcPr>
          <w:p w14:paraId="346F9D7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1.68 ± 0.0003</w:t>
            </w:r>
          </w:p>
        </w:tc>
        <w:tc>
          <w:tcPr>
            <w:tcW w:w="999" w:type="dxa"/>
            <w:noWrap/>
            <w:hideMark/>
          </w:tcPr>
          <w:p w14:paraId="38F8211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3.05 ± 0.0003</w:t>
            </w:r>
            <w:r w:rsidRPr="004D3ED1">
              <w:rPr>
                <w:rFonts w:ascii="Times New Roman" w:eastAsia="Times New Roman" w:hAnsi="Times New Roman" w:cs="Times New Roman"/>
                <w:sz w:val="24"/>
                <w:szCs w:val="24"/>
                <w:vertAlign w:val="superscript"/>
                <w:lang w:eastAsia="en-IN"/>
              </w:rPr>
              <w:t>d</w:t>
            </w:r>
          </w:p>
        </w:tc>
        <w:tc>
          <w:tcPr>
            <w:tcW w:w="876" w:type="dxa"/>
            <w:noWrap/>
            <w:hideMark/>
          </w:tcPr>
          <w:p w14:paraId="221A40C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81.55</w:t>
            </w:r>
          </w:p>
        </w:tc>
        <w:tc>
          <w:tcPr>
            <w:tcW w:w="896" w:type="dxa"/>
            <w:noWrap/>
            <w:hideMark/>
          </w:tcPr>
          <w:p w14:paraId="6434E35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10.01</w:t>
            </w:r>
          </w:p>
        </w:tc>
        <w:tc>
          <w:tcPr>
            <w:tcW w:w="942" w:type="dxa"/>
            <w:noWrap/>
            <w:hideMark/>
          </w:tcPr>
          <w:p w14:paraId="5C019B60"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0.91 ± 0.0004</w:t>
            </w:r>
          </w:p>
        </w:tc>
        <w:tc>
          <w:tcPr>
            <w:tcW w:w="1000" w:type="dxa"/>
            <w:noWrap/>
            <w:hideMark/>
          </w:tcPr>
          <w:p w14:paraId="44B2A2DE"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2.43 ± 0.0004</w:t>
            </w:r>
            <w:r w:rsidRPr="004D3ED1">
              <w:rPr>
                <w:rFonts w:ascii="Times New Roman" w:eastAsia="Times New Roman" w:hAnsi="Times New Roman" w:cs="Times New Roman"/>
                <w:sz w:val="24"/>
                <w:szCs w:val="24"/>
                <w:vertAlign w:val="superscript"/>
                <w:lang w:eastAsia="en-IN"/>
              </w:rPr>
              <w:t>d</w:t>
            </w:r>
          </w:p>
        </w:tc>
        <w:tc>
          <w:tcPr>
            <w:tcW w:w="876" w:type="dxa"/>
            <w:noWrap/>
            <w:hideMark/>
          </w:tcPr>
          <w:p w14:paraId="141EF532"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167.03</w:t>
            </w:r>
          </w:p>
        </w:tc>
        <w:tc>
          <w:tcPr>
            <w:tcW w:w="896" w:type="dxa"/>
            <w:noWrap/>
            <w:hideMark/>
          </w:tcPr>
          <w:p w14:paraId="02B12AC7"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17.02</w:t>
            </w:r>
          </w:p>
        </w:tc>
        <w:tc>
          <w:tcPr>
            <w:tcW w:w="942" w:type="dxa"/>
            <w:noWrap/>
            <w:hideMark/>
          </w:tcPr>
          <w:p w14:paraId="61C2BCD4"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2.65 ± 0.0003</w:t>
            </w:r>
          </w:p>
        </w:tc>
        <w:tc>
          <w:tcPr>
            <w:tcW w:w="1000" w:type="dxa"/>
            <w:noWrap/>
            <w:hideMark/>
          </w:tcPr>
          <w:p w14:paraId="06D2F520"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3.10 ± 0.0001</w:t>
            </w:r>
            <w:r w:rsidRPr="004D3ED1">
              <w:rPr>
                <w:rFonts w:ascii="Times New Roman" w:eastAsia="Times New Roman" w:hAnsi="Times New Roman" w:cs="Times New Roman"/>
                <w:sz w:val="24"/>
                <w:szCs w:val="24"/>
                <w:vertAlign w:val="superscript"/>
                <w:lang w:eastAsia="en-IN"/>
              </w:rPr>
              <w:t>d</w:t>
            </w:r>
          </w:p>
        </w:tc>
        <w:tc>
          <w:tcPr>
            <w:tcW w:w="763" w:type="dxa"/>
            <w:noWrap/>
            <w:hideMark/>
          </w:tcPr>
          <w:p w14:paraId="66128A84"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16.98</w:t>
            </w:r>
          </w:p>
        </w:tc>
        <w:tc>
          <w:tcPr>
            <w:tcW w:w="896" w:type="dxa"/>
            <w:noWrap/>
            <w:hideMark/>
          </w:tcPr>
          <w:p w14:paraId="7058C523" w14:textId="77777777" w:rsidR="00DA08E9" w:rsidRPr="004D3ED1" w:rsidRDefault="00DA08E9" w:rsidP="00DA08E9">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2.54</w:t>
            </w:r>
          </w:p>
        </w:tc>
        <w:tc>
          <w:tcPr>
            <w:tcW w:w="1318" w:type="dxa"/>
            <w:tcBorders>
              <w:bottom w:val="single" w:sz="4" w:space="0" w:color="auto"/>
            </w:tcBorders>
            <w:vAlign w:val="center"/>
          </w:tcPr>
          <w:p w14:paraId="188FD218" w14:textId="77777777" w:rsidR="00DA08E9" w:rsidRPr="004D3ED1" w:rsidRDefault="00DA08E9" w:rsidP="00DA08E9">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24.3 ± 0.004</w:t>
            </w:r>
            <w:r w:rsidRPr="004D3ED1">
              <w:rPr>
                <w:rFonts w:ascii="Times New Roman" w:hAnsi="Times New Roman" w:cs="Times New Roman"/>
                <w:color w:val="000000"/>
                <w:sz w:val="24"/>
                <w:szCs w:val="24"/>
                <w:vertAlign w:val="superscript"/>
              </w:rPr>
              <w:t>d</w:t>
            </w:r>
          </w:p>
        </w:tc>
      </w:tr>
    </w:tbl>
    <w:p w14:paraId="008E4A38" w14:textId="77777777" w:rsidR="00DA08E9" w:rsidRPr="004D3ED1" w:rsidRDefault="00DA08E9" w:rsidP="00DA08E9">
      <w:pPr>
        <w:rPr>
          <w:rFonts w:ascii="Times New Roman" w:hAnsi="Times New Roman" w:cs="Times New Roman"/>
          <w:sz w:val="24"/>
          <w:szCs w:val="24"/>
        </w:rPr>
        <w:sectPr w:rsidR="00DA08E9" w:rsidRPr="004D3ED1" w:rsidSect="00A219A5">
          <w:pgSz w:w="16838" w:h="11906" w:orient="landscape"/>
          <w:pgMar w:top="1440" w:right="1440" w:bottom="1440" w:left="1440" w:header="720" w:footer="720" w:gutter="0"/>
          <w:cols w:space="720"/>
          <w:docGrid w:linePitch="360"/>
        </w:sectPr>
      </w:pPr>
      <w:r w:rsidRPr="004D3ED1">
        <w:rPr>
          <w:rFonts w:ascii="Times New Roman" w:hAnsi="Times New Roman" w:cs="Times New Roman"/>
          <w:spacing w:val="-2"/>
          <w:sz w:val="24"/>
          <w:szCs w:val="24"/>
        </w:rPr>
        <w:t>TABLE 2: Effect of Silkworm pupal oil fortification of mulberry leaves on larval growth parameters, overall growth rate (OGR), compound periodical growth rate (CPGR), and Gland Body Ratio of 5</w:t>
      </w:r>
      <w:r w:rsidRPr="004D3ED1">
        <w:rPr>
          <w:rFonts w:ascii="Times New Roman" w:hAnsi="Times New Roman" w:cs="Times New Roman"/>
          <w:spacing w:val="-2"/>
          <w:sz w:val="24"/>
          <w:szCs w:val="24"/>
          <w:vertAlign w:val="superscript"/>
        </w:rPr>
        <w:t>th</w:t>
      </w:r>
      <w:r w:rsidRPr="004D3ED1">
        <w:rPr>
          <w:rFonts w:ascii="Times New Roman" w:hAnsi="Times New Roman" w:cs="Times New Roman"/>
          <w:spacing w:val="-2"/>
          <w:sz w:val="24"/>
          <w:szCs w:val="24"/>
        </w:rPr>
        <w:t xml:space="preserve"> instar of silkworm larvae (Bivoltine hybrid variety NB4D2 X SH6) under different concentrations.</w:t>
      </w:r>
    </w:p>
    <w:p w14:paraId="6DC1F911" w14:textId="77777777" w:rsidR="00DA08E9" w:rsidRPr="004D3ED1" w:rsidRDefault="00DA08E9" w:rsidP="00DA08E9">
      <w:pPr>
        <w:tabs>
          <w:tab w:val="left" w:pos="2011"/>
        </w:tabs>
        <w:rPr>
          <w:rFonts w:ascii="Times New Roman" w:hAnsi="Times New Roman" w:cs="Times New Roman"/>
          <w:noProof/>
          <w:sz w:val="24"/>
          <w:szCs w:val="24"/>
          <w:lang w:eastAsia="en-IN"/>
        </w:rPr>
      </w:pPr>
      <w:r w:rsidRPr="004D3ED1">
        <w:rPr>
          <w:rFonts w:ascii="Times New Roman" w:hAnsi="Times New Roman" w:cs="Times New Roman"/>
          <w:noProof/>
          <w:sz w:val="24"/>
          <w:szCs w:val="24"/>
          <w:lang w:eastAsia="en-IN"/>
        </w:rPr>
        <w:lastRenderedPageBreak/>
        <w:drawing>
          <wp:inline distT="0" distB="0" distL="0" distR="0" wp14:anchorId="1BF7E124" wp14:editId="0F84F2B4">
            <wp:extent cx="4213860" cy="2564296"/>
            <wp:effectExtent l="0" t="0" r="1524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4D3ED1">
        <w:rPr>
          <w:rFonts w:ascii="Times New Roman" w:hAnsi="Times New Roman" w:cs="Times New Roman"/>
          <w:noProof/>
          <w:sz w:val="24"/>
          <w:szCs w:val="24"/>
          <w:lang w:eastAsia="en-IN"/>
        </w:rPr>
        <w:t xml:space="preserve"> </w:t>
      </w:r>
      <w:r w:rsidRPr="004D3ED1">
        <w:rPr>
          <w:rFonts w:ascii="Times New Roman" w:hAnsi="Times New Roman" w:cs="Times New Roman"/>
          <w:noProof/>
          <w:sz w:val="24"/>
          <w:szCs w:val="24"/>
          <w:lang w:eastAsia="en-IN"/>
        </w:rPr>
        <w:drawing>
          <wp:inline distT="0" distB="0" distL="0" distR="0" wp14:anchorId="7A5FA7F2" wp14:editId="42BAF6D6">
            <wp:extent cx="4572000" cy="2534478"/>
            <wp:effectExtent l="0" t="0" r="0"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D3ED1">
        <w:rPr>
          <w:rFonts w:ascii="Times New Roman" w:hAnsi="Times New Roman" w:cs="Times New Roman"/>
          <w:noProof/>
          <w:sz w:val="24"/>
          <w:szCs w:val="24"/>
          <w:lang w:eastAsia="en-IN"/>
        </w:rPr>
        <w:drawing>
          <wp:inline distT="0" distB="0" distL="0" distR="0" wp14:anchorId="199C3667" wp14:editId="18DFCBE9">
            <wp:extent cx="4213860" cy="2494722"/>
            <wp:effectExtent l="0" t="0" r="15240" b="12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4D3ED1">
        <w:rPr>
          <w:rFonts w:ascii="Times New Roman" w:hAnsi="Times New Roman" w:cs="Times New Roman"/>
          <w:noProof/>
          <w:sz w:val="24"/>
          <w:szCs w:val="24"/>
          <w:lang w:eastAsia="en-IN"/>
        </w:rPr>
        <w:t xml:space="preserve"> </w:t>
      </w:r>
      <w:r w:rsidRPr="004D3ED1">
        <w:rPr>
          <w:rFonts w:ascii="Times New Roman" w:hAnsi="Times New Roman" w:cs="Times New Roman"/>
          <w:noProof/>
          <w:sz w:val="24"/>
          <w:szCs w:val="24"/>
          <w:lang w:eastAsia="en-IN"/>
        </w:rPr>
        <w:drawing>
          <wp:inline distT="0" distB="0" distL="0" distR="0" wp14:anchorId="5C9E6FDA" wp14:editId="4535DF9A">
            <wp:extent cx="4572000" cy="25146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7D0041" w14:textId="77777777" w:rsidR="00DA08E9" w:rsidRPr="004D3ED1" w:rsidRDefault="00DA08E9" w:rsidP="00DA08E9">
      <w:pPr>
        <w:rPr>
          <w:rFonts w:ascii="Times New Roman" w:eastAsia="Times New Roman" w:hAnsi="Times New Roman" w:cs="Times New Roman"/>
          <w:sz w:val="24"/>
          <w:szCs w:val="24"/>
          <w:lang w:eastAsia="en-IN"/>
        </w:rPr>
        <w:sectPr w:rsidR="00DA08E9" w:rsidRPr="004D3ED1" w:rsidSect="00A219A5">
          <w:pgSz w:w="16838" w:h="11906" w:orient="landscape"/>
          <w:pgMar w:top="1440" w:right="1440" w:bottom="1440" w:left="1440" w:header="720" w:footer="720" w:gutter="0"/>
          <w:cols w:space="720"/>
          <w:docGrid w:linePitch="360"/>
        </w:sectPr>
      </w:pPr>
      <w:r w:rsidRPr="004D3ED1">
        <w:rPr>
          <w:rFonts w:ascii="Times New Roman" w:hAnsi="Times New Roman" w:cs="Times New Roman"/>
          <w:spacing w:val="-2"/>
          <w:sz w:val="24"/>
          <w:szCs w:val="24"/>
        </w:rPr>
        <w:t>FIGURE 1: Effect of Silkworm pupal oil -fortified mulberry leaves on the growth parameters of silkworm larvae (Bivoltine hybrid variety NB4D2 X SH6) during the 4th and 5th instar for larval length, larval weight, larval perimeter and Gland-Body Ratio (GBR).</w:t>
      </w:r>
    </w:p>
    <w:p w14:paraId="677FA563" w14:textId="77777777" w:rsidR="00DA08E9" w:rsidRDefault="00DA08E9" w:rsidP="00DA08E9">
      <w:pPr>
        <w:tabs>
          <w:tab w:val="left" w:pos="2011"/>
        </w:tabs>
        <w:rPr>
          <w:noProof/>
          <w:lang w:eastAsia="en-IN"/>
        </w:rPr>
      </w:pPr>
      <w:r w:rsidRPr="00FB14B0">
        <w:rPr>
          <w:noProof/>
          <w:lang w:eastAsia="en-IN"/>
        </w:rPr>
        <w:lastRenderedPageBreak/>
        <w:t xml:space="preserve"> </w:t>
      </w:r>
      <w:r>
        <w:rPr>
          <w:noProof/>
          <w:lang w:eastAsia="en-IN"/>
        </w:rPr>
        <w:drawing>
          <wp:inline distT="0" distB="0" distL="0" distR="0" wp14:anchorId="3ECFF5E1" wp14:editId="4B1897E6">
            <wp:extent cx="3071192" cy="2166620"/>
            <wp:effectExtent l="0" t="0" r="15240"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B14B0">
        <w:rPr>
          <w:noProof/>
          <w:lang w:eastAsia="en-IN"/>
        </w:rPr>
        <w:t xml:space="preserve"> </w:t>
      </w:r>
      <w:r>
        <w:rPr>
          <w:noProof/>
          <w:lang w:eastAsia="en-IN"/>
        </w:rPr>
        <w:drawing>
          <wp:inline distT="0" distB="0" distL="0" distR="0" wp14:anchorId="09882042" wp14:editId="464A4550">
            <wp:extent cx="2882348" cy="2171700"/>
            <wp:effectExtent l="0" t="0" r="1333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FB14B0">
        <w:rPr>
          <w:noProof/>
          <w:lang w:eastAsia="en-IN"/>
        </w:rPr>
        <w:t xml:space="preserve"> </w:t>
      </w:r>
      <w:r>
        <w:rPr>
          <w:noProof/>
          <w:lang w:eastAsia="en-IN"/>
        </w:rPr>
        <w:drawing>
          <wp:inline distT="0" distB="0" distL="0" distR="0" wp14:anchorId="2A51F6E4" wp14:editId="257940BA">
            <wp:extent cx="2633869" cy="2159000"/>
            <wp:effectExtent l="0" t="0" r="14605"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F8B6C2" w14:textId="77777777" w:rsidR="00DA08E9" w:rsidRDefault="00DA08E9" w:rsidP="00DA08E9">
      <w:pPr>
        <w:tabs>
          <w:tab w:val="left" w:pos="2011"/>
        </w:tabs>
        <w:rPr>
          <w:noProof/>
          <w:lang w:eastAsia="en-IN"/>
        </w:rPr>
      </w:pPr>
      <w:r>
        <w:rPr>
          <w:noProof/>
          <w:lang w:eastAsia="en-IN"/>
        </w:rPr>
        <w:drawing>
          <wp:inline distT="0" distB="0" distL="0" distR="0" wp14:anchorId="37B4E661" wp14:editId="31F6E3AB">
            <wp:extent cx="3100070" cy="2295939"/>
            <wp:effectExtent l="0" t="0" r="508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652B4">
        <w:rPr>
          <w:noProof/>
          <w:lang w:eastAsia="en-IN"/>
        </w:rPr>
        <w:t xml:space="preserve"> </w:t>
      </w:r>
      <w:r>
        <w:rPr>
          <w:noProof/>
          <w:lang w:eastAsia="en-IN"/>
        </w:rPr>
        <w:drawing>
          <wp:inline distT="0" distB="0" distL="0" distR="0" wp14:anchorId="6788D516" wp14:editId="07638F27">
            <wp:extent cx="2891790" cy="2286000"/>
            <wp:effectExtent l="0" t="0" r="381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8B5697">
        <w:rPr>
          <w:noProof/>
          <w:lang w:eastAsia="en-IN"/>
        </w:rPr>
        <w:t xml:space="preserve"> </w:t>
      </w:r>
      <w:r>
        <w:rPr>
          <w:noProof/>
          <w:lang w:eastAsia="en-IN"/>
        </w:rPr>
        <w:drawing>
          <wp:inline distT="0" distB="0" distL="0" distR="0" wp14:anchorId="11777CB3" wp14:editId="2FF794FA">
            <wp:extent cx="2643284" cy="2265680"/>
            <wp:effectExtent l="0" t="0" r="5080" b="12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880A9E" w14:textId="77777777" w:rsidR="00DA08E9" w:rsidRPr="008B5697" w:rsidRDefault="00DA08E9" w:rsidP="00DA08E9">
      <w:pPr>
        <w:pStyle w:val="NormalWeb"/>
        <w:rPr>
          <w:spacing w:val="-2"/>
        </w:rPr>
        <w:sectPr w:rsidR="00DA08E9" w:rsidRPr="008B5697" w:rsidSect="00A219A5">
          <w:pgSz w:w="16838" w:h="11906" w:orient="landscape"/>
          <w:pgMar w:top="1440" w:right="1440" w:bottom="1440" w:left="1440" w:header="720" w:footer="720" w:gutter="0"/>
          <w:cols w:space="720"/>
          <w:docGrid w:linePitch="360"/>
        </w:sectPr>
      </w:pPr>
      <w:r w:rsidRPr="004D3ED1">
        <w:rPr>
          <w:rStyle w:val="Strong"/>
          <w:spacing w:val="-2"/>
        </w:rPr>
        <w:t>Figure 2:</w:t>
      </w:r>
      <w:r w:rsidRPr="004D3ED1">
        <w:rPr>
          <w:spacing w:val="-2"/>
        </w:rPr>
        <w:t xml:space="preserve"> Effect of Silkworm pupal oil -fortified mulberry leaves on overall growth rate (OGR) and compound periodical growth rate (CPGR) of Bivoltine Silkworm hybrid variety NB4D2 X SH6 during the 4th and 5th instar for larval length, larval weight, and larval perim</w:t>
      </w:r>
      <w:r>
        <w:rPr>
          <w:spacing w:val="-2"/>
        </w:rPr>
        <w:t>et</w:t>
      </w:r>
      <w:r w:rsidR="004D1A81">
        <w:rPr>
          <w:spacing w:val="-2"/>
        </w:rPr>
        <w:t>er under different treatmen</w:t>
      </w:r>
      <w:r w:rsidR="009E583E">
        <w:rPr>
          <w:spacing w:val="-2"/>
        </w:rPr>
        <w:t>ts.</w:t>
      </w:r>
    </w:p>
    <w:p w14:paraId="340C1695" w14:textId="77777777" w:rsidR="004C4EA7" w:rsidRDefault="004C4EA7"/>
    <w:sectPr w:rsidR="004C4EA7" w:rsidSect="00A219A5">
      <w:headerReference w:type="even" r:id="rId31"/>
      <w:headerReference w:type="default" r:id="rId32"/>
      <w:headerReference w:type="first" r:id="rId3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5E2A" w14:textId="77777777" w:rsidR="00651A06" w:rsidRDefault="00651A06" w:rsidP="004D1A81">
      <w:pPr>
        <w:spacing w:after="0" w:line="240" w:lineRule="auto"/>
      </w:pPr>
      <w:r>
        <w:separator/>
      </w:r>
    </w:p>
  </w:endnote>
  <w:endnote w:type="continuationSeparator" w:id="0">
    <w:p w14:paraId="126ED3F4" w14:textId="77777777" w:rsidR="00651A06" w:rsidRDefault="00651A06" w:rsidP="004D1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72F1" w14:textId="77777777" w:rsidR="00334836" w:rsidRDefault="00334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7BA" w14:textId="77777777" w:rsidR="00334836" w:rsidRDefault="00334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2AAB" w14:textId="77777777" w:rsidR="00334836" w:rsidRDefault="0033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3436" w14:textId="77777777" w:rsidR="00651A06" w:rsidRDefault="00651A06" w:rsidP="004D1A81">
      <w:pPr>
        <w:spacing w:after="0" w:line="240" w:lineRule="auto"/>
      </w:pPr>
      <w:r>
        <w:separator/>
      </w:r>
    </w:p>
  </w:footnote>
  <w:footnote w:type="continuationSeparator" w:id="0">
    <w:p w14:paraId="243E98DE" w14:textId="77777777" w:rsidR="00651A06" w:rsidRDefault="00651A06" w:rsidP="004D1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2CEA" w14:textId="36FF06DA" w:rsidR="00334836" w:rsidRDefault="00334836">
    <w:pPr>
      <w:pStyle w:val="Header"/>
    </w:pPr>
    <w:r>
      <w:rPr>
        <w:noProof/>
      </w:rPr>
      <w:pict w14:anchorId="4192C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DC78" w14:textId="4F876F4E" w:rsidR="00334836" w:rsidRDefault="00334836">
    <w:pPr>
      <w:pStyle w:val="Header"/>
    </w:pPr>
    <w:r>
      <w:rPr>
        <w:noProof/>
      </w:rPr>
      <w:pict w14:anchorId="3148C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A12C" w14:textId="57A0632D" w:rsidR="00334836" w:rsidRDefault="00334836">
    <w:pPr>
      <w:pStyle w:val="Header"/>
    </w:pPr>
    <w:r>
      <w:rPr>
        <w:noProof/>
      </w:rPr>
      <w:pict w14:anchorId="74360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72CB" w14:textId="66D7E2BA" w:rsidR="00334836" w:rsidRDefault="00334836">
    <w:pPr>
      <w:pStyle w:val="Header"/>
    </w:pPr>
    <w:r>
      <w:rPr>
        <w:noProof/>
      </w:rPr>
      <w:pict w14:anchorId="5FE81E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9" o:spid="_x0000_s1031" type="#_x0000_t136" style="position:absolute;margin-left:0;margin-top:0;width:535.8pt;height:100.45pt;rotation:315;z-index:-251644928;mso-position-horizontal:center;mso-position-horizontal-relative:margin;mso-position-vertical:center;mso-position-vertical-relative:margin" o:allowincell="f" fillcolor="silver" stroked="f">
          <v:fill opacity=".5"/>
          <v:textpath style="font-family:&quot;Calibri&quot;;font-size:1pt" string="UNDER PEER REVIEW"/>
        </v:shape>
      </w:pict>
    </w:r>
    <w:r>
      <w:rPr>
        <w:noProof/>
      </w:rPr>
      <w:pict w14:anchorId="54FAAB1E">
        <v:shape id="_x0000_s1030" type="#_x0000_t136" style="position:absolute;margin-left:0;margin-top:0;width:535.8pt;height:100.45pt;rotation:315;z-index:-25164697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E212" w14:textId="22193EEA" w:rsidR="009E583E" w:rsidRDefault="00334836">
    <w:pPr>
      <w:pStyle w:val="Header"/>
    </w:pPr>
    <w:r>
      <w:rPr>
        <w:noProof/>
      </w:rPr>
      <w:pict w14:anchorId="01CF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30" o:spid="_x0000_s1032" type="#_x0000_t136" style="position:absolute;margin-left:0;margin-top:0;width:535.8pt;height:100.45pt;rotation:315;z-index:-251642880;mso-position-horizontal:center;mso-position-horizontal-relative:margin;mso-position-vertical:center;mso-position-vertical-relative:margin" o:allowincell="f" fillcolor="silver" stroked="f">
          <v:fill opacity=".5"/>
          <v:textpath style="font-family:&quot;Calibri&quot;;font-size:1pt" string="UNDER PEER REVIEW"/>
        </v:shape>
      </w:pict>
    </w:r>
  </w:p>
  <w:p w14:paraId="4F5393CC" w14:textId="77777777" w:rsidR="009E583E" w:rsidRDefault="009E58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4D71" w14:textId="743E6D52" w:rsidR="00334836" w:rsidRDefault="00334836">
    <w:pPr>
      <w:pStyle w:val="Header"/>
    </w:pPr>
    <w:r>
      <w:rPr>
        <w:noProof/>
      </w:rPr>
      <w:pict w14:anchorId="1CEE1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8" o:spid="_x0000_s1029" type="#_x0000_t136" style="position:absolute;margin-left:0;margin-top:0;width:535.8pt;height:100.45pt;rotation:315;z-index:-251649024;mso-position-horizontal:center;mso-position-horizontal-relative:margin;mso-position-vertical:center;mso-position-vertical-relative:margin" o:allowincell="f" fillcolor="silver" stroked="f">
          <v:fill opacity=".5"/>
          <v:textpath style="font-family:&quot;Calibri&quot;;font-size:1pt" string="UNDER PEER REVIEW"/>
        </v:shape>
      </w:pict>
    </w:r>
    <w:r>
      <w:rPr>
        <w:noProof/>
      </w:rPr>
      <w:pict w14:anchorId="3173CED3">
        <v:shape id="_x0000_s1028" type="#_x0000_t136" style="position:absolute;margin-left:0;margin-top:0;width:535.8pt;height:100.4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47E1"/>
    <w:multiLevelType w:val="hybridMultilevel"/>
    <w:tmpl w:val="A3EACA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13B0421"/>
    <w:multiLevelType w:val="hybridMultilevel"/>
    <w:tmpl w:val="19C88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A803E2F"/>
    <w:multiLevelType w:val="hybridMultilevel"/>
    <w:tmpl w:val="C2EED6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D5650CD"/>
    <w:multiLevelType w:val="hybridMultilevel"/>
    <w:tmpl w:val="B8B0EA02"/>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37677587">
    <w:abstractNumId w:val="1"/>
  </w:num>
  <w:num w:numId="2" w16cid:durableId="1217276494">
    <w:abstractNumId w:val="2"/>
  </w:num>
  <w:num w:numId="3" w16cid:durableId="1070931267">
    <w:abstractNumId w:val="0"/>
  </w:num>
  <w:num w:numId="4" w16cid:durableId="919407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8E9"/>
    <w:rsid w:val="003126C1"/>
    <w:rsid w:val="0032319B"/>
    <w:rsid w:val="00334836"/>
    <w:rsid w:val="00373609"/>
    <w:rsid w:val="004508FC"/>
    <w:rsid w:val="004C4EA7"/>
    <w:rsid w:val="004D1A81"/>
    <w:rsid w:val="005126F8"/>
    <w:rsid w:val="005F61C1"/>
    <w:rsid w:val="00651A06"/>
    <w:rsid w:val="006D6008"/>
    <w:rsid w:val="007B3159"/>
    <w:rsid w:val="008C5770"/>
    <w:rsid w:val="009113F8"/>
    <w:rsid w:val="009115E4"/>
    <w:rsid w:val="00984D70"/>
    <w:rsid w:val="009E583E"/>
    <w:rsid w:val="00A219A5"/>
    <w:rsid w:val="00B422EC"/>
    <w:rsid w:val="00B84CEC"/>
    <w:rsid w:val="00BA64C5"/>
    <w:rsid w:val="00DA08E9"/>
    <w:rsid w:val="00DC474B"/>
    <w:rsid w:val="00E11A40"/>
    <w:rsid w:val="00E96B0F"/>
    <w:rsid w:val="00E97080"/>
    <w:rsid w:val="00F0047B"/>
    <w:rsid w:val="00F83E4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B8912"/>
  <w15:chartTrackingRefBased/>
  <w15:docId w15:val="{E26A2F52-E6F5-47EE-B4B5-0276B879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08E9"/>
    <w:rPr>
      <w:b/>
      <w:bCs/>
    </w:rPr>
  </w:style>
  <w:style w:type="paragraph" w:customStyle="1" w:styleId="isselectedend">
    <w:name w:val="isselectedend"/>
    <w:basedOn w:val="Normal"/>
    <w:rsid w:val="00DA08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DA08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DA08E9"/>
    <w:pPr>
      <w:ind w:left="720"/>
      <w:contextualSpacing/>
    </w:pPr>
  </w:style>
  <w:style w:type="character" w:styleId="Emphasis">
    <w:name w:val="Emphasis"/>
    <w:basedOn w:val="DefaultParagraphFont"/>
    <w:uiPriority w:val="20"/>
    <w:qFormat/>
    <w:rsid w:val="00DA08E9"/>
    <w:rPr>
      <w:i/>
      <w:iCs/>
    </w:rPr>
  </w:style>
  <w:style w:type="character" w:styleId="Hyperlink">
    <w:name w:val="Hyperlink"/>
    <w:basedOn w:val="DefaultParagraphFont"/>
    <w:uiPriority w:val="99"/>
    <w:unhideWhenUsed/>
    <w:rsid w:val="00DA08E9"/>
    <w:rPr>
      <w:color w:val="0000FF"/>
      <w:u w:val="single"/>
    </w:rPr>
  </w:style>
  <w:style w:type="character" w:customStyle="1" w:styleId="whitespace-normal">
    <w:name w:val="whitespace-normal"/>
    <w:basedOn w:val="DefaultParagraphFont"/>
    <w:rsid w:val="00DA08E9"/>
  </w:style>
  <w:style w:type="table" w:styleId="TableGrid">
    <w:name w:val="Table Grid"/>
    <w:basedOn w:val="TableNormal"/>
    <w:uiPriority w:val="39"/>
    <w:rsid w:val="00DA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A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A81"/>
  </w:style>
  <w:style w:type="paragraph" w:styleId="Footer">
    <w:name w:val="footer"/>
    <w:basedOn w:val="Normal"/>
    <w:link w:val="FooterChar"/>
    <w:uiPriority w:val="99"/>
    <w:unhideWhenUsed/>
    <w:rsid w:val="004D1A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A81"/>
  </w:style>
  <w:style w:type="character" w:styleId="UnresolvedMention">
    <w:name w:val="Unresolved Mention"/>
    <w:basedOn w:val="DefaultParagraphFont"/>
    <w:uiPriority w:val="99"/>
    <w:semiHidden/>
    <w:unhideWhenUsed/>
    <w:rsid w:val="00E97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1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nutres.2010.06.005" TargetMode="External"/><Relationship Id="rId18" Type="http://schemas.openxmlformats.org/officeDocument/2006/relationships/footer" Target="footer2.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2/arch.940090102" TargetMode="External"/><Relationship Id="rId17" Type="http://schemas.openxmlformats.org/officeDocument/2006/relationships/footer" Target="footer1.xml"/><Relationship Id="rId25" Type="http://schemas.openxmlformats.org/officeDocument/2006/relationships/chart" Target="charts/chart5.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712119.2007.9706629" TargetMode="External"/><Relationship Id="rId24" Type="http://schemas.openxmlformats.org/officeDocument/2006/relationships/chart" Target="charts/chart4.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3.xml"/><Relationship Id="rId28" Type="http://schemas.openxmlformats.org/officeDocument/2006/relationships/chart" Target="charts/chart8.xml"/><Relationship Id="rId10" Type="http://schemas.openxmlformats.org/officeDocument/2006/relationships/hyperlink" Target="https://doi.org/10.33545/2664844X.2026.v8.i3d.1263" TargetMode="External"/><Relationship Id="rId19" Type="http://schemas.openxmlformats.org/officeDocument/2006/relationships/header" Target="header3.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doi.org/10.1016/S1226-8615(08)60239-5" TargetMode="External"/><Relationship Id="rId14" Type="http://schemas.openxmlformats.org/officeDocument/2006/relationships/hyperlink" Target="https://doi.org/10.3390/su141811245"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theme" Target="theme/theme1.xml"/><Relationship Id="rId8" Type="http://schemas.openxmlformats.org/officeDocument/2006/relationships/hyperlink" Target="https://doi.org/10.1016/S1226-8615(08)60207-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200"/>
              <a:t>Final</a:t>
            </a:r>
            <a:r>
              <a:rPr lang="en-IN" sz="1200" baseline="0"/>
              <a:t> Larval Length (cm) by Treatment</a:t>
            </a:r>
            <a:endParaRPr lang="en-IN"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Sheet5!$D$1:$D$3</c:f>
              <c:strCache>
                <c:ptCount val="3"/>
                <c:pt idx="0">
                  <c:v>4th instar</c:v>
                </c:pt>
                <c:pt idx="1">
                  <c:v>Larval Length (cm)</c:v>
                </c:pt>
                <c:pt idx="2">
                  <c:v>Final </c:v>
                </c:pt>
              </c:strCache>
            </c:strRef>
          </c:tx>
          <c:spPr>
            <a:solidFill>
              <a:schemeClr val="accent1"/>
            </a:solidFill>
            <a:ln>
              <a:noFill/>
            </a:ln>
            <a:effectLst/>
          </c:spPr>
          <c:invertIfNegative val="0"/>
          <c:cat>
            <c:strRef>
              <c:f>Sheet5!$A$4:$A$7</c:f>
              <c:strCache>
                <c:ptCount val="4"/>
                <c:pt idx="0">
                  <c:v>T 1 (Silk Oil 3000 ppm)</c:v>
                </c:pt>
                <c:pt idx="1">
                  <c:v>T 2 (Silk Oil 6000 ppm)</c:v>
                </c:pt>
                <c:pt idx="2">
                  <c:v>T 3 (Silk Oil 9000 ppm)</c:v>
                </c:pt>
                <c:pt idx="3">
                  <c:v>T 4 (Control)</c:v>
                </c:pt>
              </c:strCache>
            </c:strRef>
          </c:cat>
          <c:val>
            <c:numRef>
              <c:f>Sheet5!$D$4:$D$7</c:f>
              <c:numCache>
                <c:formatCode>General</c:formatCode>
                <c:ptCount val="4"/>
                <c:pt idx="0">
                  <c:v>1.34</c:v>
                </c:pt>
                <c:pt idx="1">
                  <c:v>1.32</c:v>
                </c:pt>
                <c:pt idx="2">
                  <c:v>1.32</c:v>
                </c:pt>
                <c:pt idx="3">
                  <c:v>1.2</c:v>
                </c:pt>
              </c:numCache>
            </c:numRef>
          </c:val>
          <c:extLst>
            <c:ext xmlns:c16="http://schemas.microsoft.com/office/drawing/2014/chart" uri="{C3380CC4-5D6E-409C-BE32-E72D297353CC}">
              <c16:uniqueId val="{00000000-A7F0-40C3-94E2-489DE2690476}"/>
            </c:ext>
          </c:extLst>
        </c:ser>
        <c:ser>
          <c:idx val="1"/>
          <c:order val="1"/>
          <c:tx>
            <c:strRef>
              <c:f>Sheet5!$E$1:$E$3</c:f>
              <c:strCache>
                <c:ptCount val="3"/>
                <c:pt idx="0">
                  <c:v>5 instar</c:v>
                </c:pt>
                <c:pt idx="1">
                  <c:v>Larval Length (cm)</c:v>
                </c:pt>
                <c:pt idx="2">
                  <c:v>Final </c:v>
                </c:pt>
              </c:strCache>
            </c:strRef>
          </c:tx>
          <c:spPr>
            <a:solidFill>
              <a:schemeClr val="accent2"/>
            </a:solidFill>
            <a:ln>
              <a:noFill/>
            </a:ln>
            <a:effectLst/>
          </c:spPr>
          <c:invertIfNegative val="0"/>
          <c:cat>
            <c:strRef>
              <c:f>Sheet5!$A$4:$A$7</c:f>
              <c:strCache>
                <c:ptCount val="4"/>
                <c:pt idx="0">
                  <c:v>T 1 (Silk Oil 3000 ppm)</c:v>
                </c:pt>
                <c:pt idx="1">
                  <c:v>T 2 (Silk Oil 6000 ppm)</c:v>
                </c:pt>
                <c:pt idx="2">
                  <c:v>T 3 (Silk Oil 9000 ppm)</c:v>
                </c:pt>
                <c:pt idx="3">
                  <c:v>T 4 (Control)</c:v>
                </c:pt>
              </c:strCache>
            </c:strRef>
          </c:cat>
          <c:val>
            <c:numRef>
              <c:f>Sheet5!$E$4:$E$7</c:f>
              <c:numCache>
                <c:formatCode>General</c:formatCode>
                <c:ptCount val="4"/>
                <c:pt idx="0">
                  <c:v>3.37</c:v>
                </c:pt>
                <c:pt idx="1">
                  <c:v>3.42</c:v>
                </c:pt>
                <c:pt idx="2">
                  <c:v>3.47</c:v>
                </c:pt>
                <c:pt idx="3">
                  <c:v>3.05</c:v>
                </c:pt>
              </c:numCache>
            </c:numRef>
          </c:val>
          <c:extLst>
            <c:ext xmlns:c16="http://schemas.microsoft.com/office/drawing/2014/chart" uri="{C3380CC4-5D6E-409C-BE32-E72D297353CC}">
              <c16:uniqueId val="{00000001-A7F0-40C3-94E2-489DE2690476}"/>
            </c:ext>
          </c:extLst>
        </c:ser>
        <c:dLbls>
          <c:showLegendKey val="0"/>
          <c:showVal val="0"/>
          <c:showCatName val="0"/>
          <c:showSerName val="0"/>
          <c:showPercent val="0"/>
          <c:showBubbleSize val="0"/>
        </c:dLbls>
        <c:gapWidth val="219"/>
        <c:overlap val="-27"/>
        <c:axId val="505099904"/>
        <c:axId val="505094464"/>
      </c:barChart>
      <c:catAx>
        <c:axId val="5050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4464"/>
        <c:crosses val="autoZero"/>
        <c:auto val="1"/>
        <c:lblAlgn val="ctr"/>
        <c:lblOffset val="100"/>
        <c:noMultiLvlLbl val="0"/>
      </c:catAx>
      <c:valAx>
        <c:axId val="50509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Perimeter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Sheet11!$B$1:$B$3</c:f>
              <c:strCache>
                <c:ptCount val="3"/>
                <c:pt idx="0">
                  <c:v>Larval Perimeter</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Sheet11!$B$4:$B$8</c:f>
              <c:numCache>
                <c:formatCode>0.00</c:formatCode>
                <c:ptCount val="5"/>
                <c:pt idx="1">
                  <c:v>3.4036012402483884</c:v>
                </c:pt>
                <c:pt idx="2">
                  <c:v>3.3757058744971369</c:v>
                </c:pt>
                <c:pt idx="3">
                  <c:v>3.2648954893940152</c:v>
                </c:pt>
                <c:pt idx="4">
                  <c:v>3.06</c:v>
                </c:pt>
              </c:numCache>
            </c:numRef>
          </c:val>
          <c:smooth val="0"/>
          <c:extLst>
            <c:ext xmlns:c16="http://schemas.microsoft.com/office/drawing/2014/chart" uri="{C3380CC4-5D6E-409C-BE32-E72D297353CC}">
              <c16:uniqueId val="{00000000-1584-455C-8CBB-1A664409059D}"/>
            </c:ext>
          </c:extLst>
        </c:ser>
        <c:ser>
          <c:idx val="1"/>
          <c:order val="1"/>
          <c:tx>
            <c:strRef>
              <c:f>Sheet11!$C$1:$C$3</c:f>
              <c:strCache>
                <c:ptCount val="3"/>
                <c:pt idx="0">
                  <c:v>Larval Perimeter</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Sheet11!$C$4:$C$8</c:f>
              <c:numCache>
                <c:formatCode>0.00</c:formatCode>
                <c:ptCount val="5"/>
                <c:pt idx="1">
                  <c:v>3.622278888321917</c:v>
                </c:pt>
                <c:pt idx="2">
                  <c:v>3.3627109141566747</c:v>
                </c:pt>
                <c:pt idx="3">
                  <c:v>3.5355536767633922</c:v>
                </c:pt>
                <c:pt idx="4">
                  <c:v>2.54</c:v>
                </c:pt>
              </c:numCache>
            </c:numRef>
          </c:val>
          <c:smooth val="0"/>
          <c:extLst>
            <c:ext xmlns:c16="http://schemas.microsoft.com/office/drawing/2014/chart" uri="{C3380CC4-5D6E-409C-BE32-E72D297353CC}">
              <c16:uniqueId val="{00000001-1584-455C-8CBB-1A664409059D}"/>
            </c:ext>
          </c:extLst>
        </c:ser>
        <c:dLbls>
          <c:showLegendKey val="0"/>
          <c:showVal val="0"/>
          <c:showCatName val="0"/>
          <c:showSerName val="0"/>
          <c:showPercent val="0"/>
          <c:showBubbleSize val="0"/>
        </c:dLbls>
        <c:marker val="1"/>
        <c:smooth val="0"/>
        <c:axId val="340395984"/>
        <c:axId val="340396528"/>
      </c:lineChart>
      <c:catAx>
        <c:axId val="34039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6528"/>
        <c:crosses val="autoZero"/>
        <c:auto val="1"/>
        <c:lblAlgn val="ctr"/>
        <c:lblOffset val="100"/>
        <c:noMultiLvlLbl val="0"/>
      </c:catAx>
      <c:valAx>
        <c:axId val="340396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5984"/>
        <c:crosses val="autoZero"/>
        <c:crossBetween val="between"/>
      </c:valAx>
      <c:spPr>
        <a:noFill/>
        <a:ln>
          <a:noFill/>
        </a:ln>
        <a:effectLst/>
      </c:spPr>
    </c:plotArea>
    <c:legend>
      <c:legendPos val="b"/>
      <c:layout>
        <c:manualLayout>
          <c:xMode val="edge"/>
          <c:yMode val="edge"/>
          <c:x val="5.7014155066272651E-2"/>
          <c:y val="0.7047402987182656"/>
          <c:w val="0.94298584493372739"/>
          <c:h val="0.2616274142862187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100">
                <a:latin typeface="Times New Roman" panose="02020603050405020304" pitchFamily="18" charset="0"/>
                <a:cs typeface="Times New Roman" panose="02020603050405020304" pitchFamily="18" charset="0"/>
              </a:rPr>
              <a:t>Final</a:t>
            </a:r>
            <a:r>
              <a:rPr lang="en-IN" sz="1100" baseline="0">
                <a:latin typeface="Times New Roman" panose="02020603050405020304" pitchFamily="18" charset="0"/>
                <a:cs typeface="Times New Roman" panose="02020603050405020304" pitchFamily="18" charset="0"/>
              </a:rPr>
              <a:t> Larval Perimeter (cm) by Treatment</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Sheet8!$D$1:$D$3</c:f>
              <c:strCache>
                <c:ptCount val="3"/>
                <c:pt idx="0">
                  <c:v>4th instar</c:v>
                </c:pt>
                <c:pt idx="1">
                  <c:v>Larval Perimeter (cm)</c:v>
                </c:pt>
                <c:pt idx="2">
                  <c:v>Final </c:v>
                </c:pt>
              </c:strCache>
            </c:strRef>
          </c:tx>
          <c:spPr>
            <a:solidFill>
              <a:schemeClr val="accent1"/>
            </a:solidFill>
            <a:ln>
              <a:noFill/>
            </a:ln>
            <a:effectLst/>
          </c:spPr>
          <c:invertIfNegative val="0"/>
          <c:cat>
            <c:strRef>
              <c:f>Sheet8!$A$4:$A$7</c:f>
              <c:strCache>
                <c:ptCount val="4"/>
                <c:pt idx="0">
                  <c:v>T 1 (Silk Oil 3000 ppm)</c:v>
                </c:pt>
                <c:pt idx="1">
                  <c:v>T 2 (Silk Oil 6000 ppm)</c:v>
                </c:pt>
                <c:pt idx="2">
                  <c:v>T 3 (Silk Oil 9000 ppm)</c:v>
                </c:pt>
                <c:pt idx="3">
                  <c:v>T 4 (Control)</c:v>
                </c:pt>
              </c:strCache>
            </c:strRef>
          </c:cat>
          <c:val>
            <c:numRef>
              <c:f>Sheet8!$D$4:$D$7</c:f>
              <c:numCache>
                <c:formatCode>General</c:formatCode>
                <c:ptCount val="4"/>
                <c:pt idx="0">
                  <c:v>2.25</c:v>
                </c:pt>
                <c:pt idx="1">
                  <c:v>2.23</c:v>
                </c:pt>
                <c:pt idx="2">
                  <c:v>2.2200000000000002</c:v>
                </c:pt>
                <c:pt idx="3">
                  <c:v>2.19</c:v>
                </c:pt>
              </c:numCache>
            </c:numRef>
          </c:val>
          <c:extLst>
            <c:ext xmlns:c16="http://schemas.microsoft.com/office/drawing/2014/chart" uri="{C3380CC4-5D6E-409C-BE32-E72D297353CC}">
              <c16:uniqueId val="{00000000-3FA6-4C14-BE11-99712063C472}"/>
            </c:ext>
          </c:extLst>
        </c:ser>
        <c:ser>
          <c:idx val="1"/>
          <c:order val="1"/>
          <c:tx>
            <c:strRef>
              <c:f>Sheet8!$E$1:$E$3</c:f>
              <c:strCache>
                <c:ptCount val="3"/>
                <c:pt idx="0">
                  <c:v>5 instar</c:v>
                </c:pt>
                <c:pt idx="1">
                  <c:v>Larval Perimeter (cm)</c:v>
                </c:pt>
                <c:pt idx="2">
                  <c:v>Final </c:v>
                </c:pt>
              </c:strCache>
            </c:strRef>
          </c:tx>
          <c:spPr>
            <a:solidFill>
              <a:schemeClr val="accent2"/>
            </a:solidFill>
            <a:ln>
              <a:noFill/>
            </a:ln>
            <a:effectLst/>
          </c:spPr>
          <c:invertIfNegative val="0"/>
          <c:cat>
            <c:strRef>
              <c:f>Sheet8!$A$4:$A$7</c:f>
              <c:strCache>
                <c:ptCount val="4"/>
                <c:pt idx="0">
                  <c:v>T 1 (Silk Oil 3000 ppm)</c:v>
                </c:pt>
                <c:pt idx="1">
                  <c:v>T 2 (Silk Oil 6000 ppm)</c:v>
                </c:pt>
                <c:pt idx="2">
                  <c:v>T 3 (Silk Oil 9000 ppm)</c:v>
                </c:pt>
                <c:pt idx="3">
                  <c:v>T 4 (Control)</c:v>
                </c:pt>
              </c:strCache>
            </c:strRef>
          </c:cat>
          <c:val>
            <c:numRef>
              <c:f>Sheet8!$E$4:$E$7</c:f>
              <c:numCache>
                <c:formatCode>General</c:formatCode>
                <c:ptCount val="4"/>
                <c:pt idx="0">
                  <c:v>3.31</c:v>
                </c:pt>
                <c:pt idx="1">
                  <c:v>3.32</c:v>
                </c:pt>
                <c:pt idx="2">
                  <c:v>3.33</c:v>
                </c:pt>
                <c:pt idx="3">
                  <c:v>3.1</c:v>
                </c:pt>
              </c:numCache>
            </c:numRef>
          </c:val>
          <c:extLst>
            <c:ext xmlns:c16="http://schemas.microsoft.com/office/drawing/2014/chart" uri="{C3380CC4-5D6E-409C-BE32-E72D297353CC}">
              <c16:uniqueId val="{00000001-3FA6-4C14-BE11-99712063C472}"/>
            </c:ext>
          </c:extLst>
        </c:ser>
        <c:dLbls>
          <c:showLegendKey val="0"/>
          <c:showVal val="0"/>
          <c:showCatName val="0"/>
          <c:showSerName val="0"/>
          <c:showPercent val="0"/>
          <c:showBubbleSize val="0"/>
        </c:dLbls>
        <c:gapWidth val="219"/>
        <c:overlap val="-27"/>
        <c:axId val="505099360"/>
        <c:axId val="505093920"/>
      </c:barChart>
      <c:catAx>
        <c:axId val="5050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93920"/>
        <c:crosses val="autoZero"/>
        <c:auto val="1"/>
        <c:lblAlgn val="ctr"/>
        <c:lblOffset val="100"/>
        <c:noMultiLvlLbl val="0"/>
      </c:catAx>
      <c:valAx>
        <c:axId val="5050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9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200">
                <a:latin typeface="Times New Roman" panose="02020603050405020304" pitchFamily="18" charset="0"/>
                <a:cs typeface="Times New Roman" panose="02020603050405020304" pitchFamily="18" charset="0"/>
              </a:rPr>
              <a:t>Final</a:t>
            </a:r>
            <a:r>
              <a:rPr lang="en-IN" sz="1200" baseline="0">
                <a:latin typeface="Times New Roman" panose="02020603050405020304" pitchFamily="18" charset="0"/>
                <a:cs typeface="Times New Roman" panose="02020603050405020304" pitchFamily="18" charset="0"/>
              </a:rPr>
              <a:t> Larval Weight (gm) by Treatment</a:t>
            </a:r>
            <a:endParaRPr lang="en-I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Sheet7!$B$1:$B$1</c:f>
              <c:strCache>
                <c:ptCount val="1"/>
              </c:strCache>
            </c:strRef>
          </c:tx>
          <c:spPr>
            <a:solidFill>
              <a:schemeClr val="accent1"/>
            </a:solidFill>
            <a:ln>
              <a:noFill/>
            </a:ln>
            <a:effectLst/>
          </c:spPr>
          <c:invertIfNegative val="0"/>
          <c:cat>
            <c:strRef>
              <c:f>Sheet7!$A$5:$A$8</c:f>
              <c:strCache>
                <c:ptCount val="4"/>
                <c:pt idx="0">
                  <c:v>T 1 (Silk Oil 3000 ppm)</c:v>
                </c:pt>
                <c:pt idx="1">
                  <c:v>T 2 (Silk Oil 6000 ppm)</c:v>
                </c:pt>
                <c:pt idx="2">
                  <c:v>T 3 (Silk Oil 9000 ppm)</c:v>
                </c:pt>
                <c:pt idx="3">
                  <c:v>T 4 (Control)</c:v>
                </c:pt>
              </c:strCache>
            </c:strRef>
          </c:cat>
          <c:val>
            <c:numRef>
              <c:f>Sheet7!$F$5:$F$8</c:f>
              <c:numCache>
                <c:formatCode>General</c:formatCode>
                <c:ptCount val="4"/>
                <c:pt idx="0" formatCode="0.00">
                  <c:v>0.54</c:v>
                </c:pt>
                <c:pt idx="1">
                  <c:v>0.52</c:v>
                </c:pt>
                <c:pt idx="2">
                  <c:v>0.52</c:v>
                </c:pt>
                <c:pt idx="3">
                  <c:v>0.45</c:v>
                </c:pt>
              </c:numCache>
            </c:numRef>
          </c:val>
          <c:extLst>
            <c:ext xmlns:c16="http://schemas.microsoft.com/office/drawing/2014/chart" uri="{C3380CC4-5D6E-409C-BE32-E72D297353CC}">
              <c16:uniqueId val="{00000000-AF07-4458-9C28-FF1B7BD2C74B}"/>
            </c:ext>
          </c:extLst>
        </c:ser>
        <c:ser>
          <c:idx val="1"/>
          <c:order val="1"/>
          <c:tx>
            <c:strRef>
              <c:f>Sheet7!$C$1:$C$1</c:f>
              <c:strCache>
                <c:ptCount val="1"/>
              </c:strCache>
            </c:strRef>
          </c:tx>
          <c:spPr>
            <a:solidFill>
              <a:schemeClr val="accent2"/>
            </a:solidFill>
            <a:ln>
              <a:noFill/>
            </a:ln>
            <a:effectLst/>
          </c:spPr>
          <c:invertIfNegative val="0"/>
          <c:cat>
            <c:strRef>
              <c:f>Sheet7!$A$5:$A$8</c:f>
              <c:strCache>
                <c:ptCount val="4"/>
                <c:pt idx="0">
                  <c:v>T 1 (Silk Oil 3000 ppm)</c:v>
                </c:pt>
                <c:pt idx="1">
                  <c:v>T 2 (Silk Oil 6000 ppm)</c:v>
                </c:pt>
                <c:pt idx="2">
                  <c:v>T 3 (Silk Oil 9000 ppm)</c:v>
                </c:pt>
                <c:pt idx="3">
                  <c:v>T 4 (Control)</c:v>
                </c:pt>
              </c:strCache>
            </c:strRef>
          </c:cat>
          <c:val>
            <c:numRef>
              <c:f>Sheet7!$G$5:$G$8</c:f>
              <c:numCache>
                <c:formatCode>General</c:formatCode>
                <c:ptCount val="4"/>
                <c:pt idx="0">
                  <c:v>2.94</c:v>
                </c:pt>
                <c:pt idx="1">
                  <c:v>3</c:v>
                </c:pt>
                <c:pt idx="2">
                  <c:v>3.06</c:v>
                </c:pt>
                <c:pt idx="3">
                  <c:v>2.4300000000000002</c:v>
                </c:pt>
              </c:numCache>
            </c:numRef>
          </c:val>
          <c:extLst>
            <c:ext xmlns:c16="http://schemas.microsoft.com/office/drawing/2014/chart" uri="{C3380CC4-5D6E-409C-BE32-E72D297353CC}">
              <c16:uniqueId val="{00000001-AF07-4458-9C28-FF1B7BD2C74B}"/>
            </c:ext>
          </c:extLst>
        </c:ser>
        <c:dLbls>
          <c:showLegendKey val="0"/>
          <c:showVal val="0"/>
          <c:showCatName val="0"/>
          <c:showSerName val="0"/>
          <c:showPercent val="0"/>
          <c:showBubbleSize val="0"/>
        </c:dLbls>
        <c:gapWidth val="219"/>
        <c:overlap val="-27"/>
        <c:axId val="505113504"/>
        <c:axId val="505096096"/>
      </c:barChart>
      <c:catAx>
        <c:axId val="50511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6096"/>
        <c:crosses val="autoZero"/>
        <c:auto val="1"/>
        <c:lblAlgn val="ctr"/>
        <c:lblOffset val="100"/>
        <c:noMultiLvlLbl val="0"/>
      </c:catAx>
      <c:valAx>
        <c:axId val="505096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1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b="0">
                <a:latin typeface="Times New Roman" panose="02020603050405020304" pitchFamily="18" charset="0"/>
                <a:cs typeface="Times New Roman" panose="02020603050405020304" pitchFamily="18" charset="0"/>
              </a:rPr>
              <a:t>Gland Body Ratio in 5th Instar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27342592592592591"/>
          <c:w val="0.7417524059492564"/>
          <c:h val="0.56831802274715659"/>
        </c:manualLayout>
      </c:layout>
      <c:barChart>
        <c:barDir val="col"/>
        <c:grouping val="clustered"/>
        <c:varyColors val="0"/>
        <c:ser>
          <c:idx val="0"/>
          <c:order val="0"/>
          <c:tx>
            <c:strRef>
              <c:f>Sheet9!$B$1:$B$2</c:f>
              <c:strCache>
                <c:ptCount val="2"/>
                <c:pt idx="0">
                  <c:v>Fortification of mulberry leaves with</c:v>
                </c:pt>
                <c:pt idx="1">
                  <c:v>Gland Body Ratio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Sheet9!$A$3:$A$7</c:f>
              <c:strCache>
                <c:ptCount val="5"/>
                <c:pt idx="1">
                  <c:v>T 1 (Silk Oil 3000 ppm)</c:v>
                </c:pt>
                <c:pt idx="2">
                  <c:v>T 2 (Silk Oil 6000 ppm)</c:v>
                </c:pt>
                <c:pt idx="3">
                  <c:v>T 3 (Silk Oil 9000 ppm)</c:v>
                </c:pt>
                <c:pt idx="4">
                  <c:v>T 4 (Control)</c:v>
                </c:pt>
              </c:strCache>
            </c:strRef>
          </c:cat>
          <c:val>
            <c:numRef>
              <c:f>Sheet9!$B$3:$B$7</c:f>
              <c:numCache>
                <c:formatCode>0.00_);\(0.00\)</c:formatCode>
                <c:ptCount val="5"/>
                <c:pt idx="1">
                  <c:v>35.25</c:v>
                </c:pt>
                <c:pt idx="2">
                  <c:v>36</c:v>
                </c:pt>
                <c:pt idx="3">
                  <c:v>36.75</c:v>
                </c:pt>
                <c:pt idx="4">
                  <c:v>24.3</c:v>
                </c:pt>
              </c:numCache>
            </c:numRef>
          </c:val>
          <c:extLst>
            <c:ext xmlns:c16="http://schemas.microsoft.com/office/drawing/2014/chart" uri="{C3380CC4-5D6E-409C-BE32-E72D297353CC}">
              <c16:uniqueId val="{00000000-5388-4E9C-A6A1-AAD779AB7CFB}"/>
            </c:ext>
          </c:extLst>
        </c:ser>
        <c:dLbls>
          <c:dLblPos val="outEnd"/>
          <c:showLegendKey val="0"/>
          <c:showVal val="1"/>
          <c:showCatName val="0"/>
          <c:showSerName val="0"/>
          <c:showPercent val="0"/>
          <c:showBubbleSize val="0"/>
        </c:dLbls>
        <c:gapWidth val="100"/>
        <c:overlap val="-24"/>
        <c:axId val="505106432"/>
        <c:axId val="505102624"/>
      </c:barChart>
      <c:catAx>
        <c:axId val="50510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102624"/>
        <c:crosses val="autoZero"/>
        <c:auto val="1"/>
        <c:lblAlgn val="ctr"/>
        <c:lblOffset val="100"/>
        <c:noMultiLvlLbl val="0"/>
      </c:catAx>
      <c:valAx>
        <c:axId val="505102624"/>
        <c:scaling>
          <c:orientation val="minMax"/>
        </c:scaling>
        <c:delete val="0"/>
        <c:axPos val="l"/>
        <c:majorGridlines>
          <c:spPr>
            <a:ln w="9525" cap="flat" cmpd="sng" algn="ctr">
              <a:solidFill>
                <a:schemeClr val="tx1">
                  <a:lumMod val="15000"/>
                  <a:lumOff val="85000"/>
                </a:schemeClr>
              </a:solidFill>
              <a:round/>
            </a:ln>
            <a:effectLst/>
          </c:spPr>
        </c:majorGridlines>
        <c:numFmt formatCode="0.00_);\(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Length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Sheet10!$F$1:$F$3</c:f>
              <c:strCache>
                <c:ptCount val="3"/>
                <c:pt idx="0">
                  <c:v>Larval Length</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Sheet10!$F$4:$F$8</c:f>
              <c:numCache>
                <c:formatCode>0.00</c:formatCode>
                <c:ptCount val="5"/>
                <c:pt idx="1">
                  <c:v>26.415094339622641</c:v>
                </c:pt>
                <c:pt idx="2">
                  <c:v>24.528301886792452</c:v>
                </c:pt>
                <c:pt idx="3">
                  <c:v>24.528301886792452</c:v>
                </c:pt>
                <c:pt idx="4" formatCode="General">
                  <c:v>18.82</c:v>
                </c:pt>
              </c:numCache>
            </c:numRef>
          </c:val>
          <c:smooth val="0"/>
          <c:extLst>
            <c:ext xmlns:c16="http://schemas.microsoft.com/office/drawing/2014/chart" uri="{C3380CC4-5D6E-409C-BE32-E72D297353CC}">
              <c16:uniqueId val="{00000000-F872-47FB-9204-355E60D09493}"/>
            </c:ext>
          </c:extLst>
        </c:ser>
        <c:ser>
          <c:idx val="1"/>
          <c:order val="1"/>
          <c:tx>
            <c:strRef>
              <c:f>Sheet10!$G$1:$G$3</c:f>
              <c:strCache>
                <c:ptCount val="3"/>
                <c:pt idx="0">
                  <c:v>Larval Length</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Sheet10!$G$4:$G$8</c:f>
              <c:numCache>
                <c:formatCode>0.00</c:formatCode>
                <c:ptCount val="5"/>
                <c:pt idx="1">
                  <c:v>101.79640718562877</c:v>
                </c:pt>
                <c:pt idx="2">
                  <c:v>98.837209302325576</c:v>
                </c:pt>
                <c:pt idx="3">
                  <c:v>104.11764705882354</c:v>
                </c:pt>
                <c:pt idx="4">
                  <c:v>81.55</c:v>
                </c:pt>
              </c:numCache>
            </c:numRef>
          </c:val>
          <c:smooth val="0"/>
          <c:extLst>
            <c:ext xmlns:c16="http://schemas.microsoft.com/office/drawing/2014/chart" uri="{C3380CC4-5D6E-409C-BE32-E72D297353CC}">
              <c16:uniqueId val="{00000001-F872-47FB-9204-355E60D09493}"/>
            </c:ext>
          </c:extLst>
        </c:ser>
        <c:dLbls>
          <c:showLegendKey val="0"/>
          <c:showVal val="0"/>
          <c:showCatName val="0"/>
          <c:showSerName val="0"/>
          <c:showPercent val="0"/>
          <c:showBubbleSize val="0"/>
        </c:dLbls>
        <c:marker val="1"/>
        <c:smooth val="0"/>
        <c:axId val="505100992"/>
        <c:axId val="505103168"/>
      </c:lineChart>
      <c:catAx>
        <c:axId val="50510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3168"/>
        <c:crosses val="autoZero"/>
        <c:auto val="1"/>
        <c:lblAlgn val="ctr"/>
        <c:lblOffset val="100"/>
        <c:noMultiLvlLbl val="0"/>
      </c:catAx>
      <c:valAx>
        <c:axId val="505103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Weight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Sheet10!$D$1:$D$3</c:f>
              <c:strCache>
                <c:ptCount val="3"/>
                <c:pt idx="0">
                  <c:v>Larval Weight</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Sheet10!$D$4:$D$8</c:f>
              <c:numCache>
                <c:formatCode>0.00</c:formatCode>
                <c:ptCount val="5"/>
                <c:pt idx="1">
                  <c:v>145.45454545454547</c:v>
                </c:pt>
                <c:pt idx="2">
                  <c:v>136.36363636363637</c:v>
                </c:pt>
                <c:pt idx="3">
                  <c:v>136.36363636363637</c:v>
                </c:pt>
                <c:pt idx="4">
                  <c:v>125</c:v>
                </c:pt>
              </c:numCache>
            </c:numRef>
          </c:val>
          <c:smooth val="0"/>
          <c:extLst>
            <c:ext xmlns:c16="http://schemas.microsoft.com/office/drawing/2014/chart" uri="{C3380CC4-5D6E-409C-BE32-E72D297353CC}">
              <c16:uniqueId val="{00000000-7CA7-4687-932B-D33BCAB577CD}"/>
            </c:ext>
          </c:extLst>
        </c:ser>
        <c:ser>
          <c:idx val="1"/>
          <c:order val="1"/>
          <c:tx>
            <c:strRef>
              <c:f>Sheet10!$E$1:$E$3</c:f>
              <c:strCache>
                <c:ptCount val="3"/>
                <c:pt idx="0">
                  <c:v>Larval Weight</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Sheet10!$E$4:$E$8</c:f>
              <c:numCache>
                <c:formatCode>0.00</c:formatCode>
                <c:ptCount val="5"/>
                <c:pt idx="1">
                  <c:v>212.7659574468085</c:v>
                </c:pt>
                <c:pt idx="2">
                  <c:v>200</c:v>
                </c:pt>
                <c:pt idx="3">
                  <c:v>215.46391752577318</c:v>
                </c:pt>
                <c:pt idx="4">
                  <c:v>167.03</c:v>
                </c:pt>
              </c:numCache>
            </c:numRef>
          </c:val>
          <c:smooth val="0"/>
          <c:extLst>
            <c:ext xmlns:c16="http://schemas.microsoft.com/office/drawing/2014/chart" uri="{C3380CC4-5D6E-409C-BE32-E72D297353CC}">
              <c16:uniqueId val="{00000001-7CA7-4687-932B-D33BCAB577CD}"/>
            </c:ext>
          </c:extLst>
        </c:ser>
        <c:dLbls>
          <c:showLegendKey val="0"/>
          <c:showVal val="0"/>
          <c:showCatName val="0"/>
          <c:showSerName val="0"/>
          <c:showPercent val="0"/>
          <c:showBubbleSize val="0"/>
        </c:dLbls>
        <c:marker val="1"/>
        <c:smooth val="0"/>
        <c:axId val="505088480"/>
        <c:axId val="505086304"/>
      </c:lineChart>
      <c:catAx>
        <c:axId val="50508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86304"/>
        <c:crosses val="autoZero"/>
        <c:auto val="1"/>
        <c:lblAlgn val="ctr"/>
        <c:lblOffset val="100"/>
        <c:noMultiLvlLbl val="0"/>
      </c:catAx>
      <c:valAx>
        <c:axId val="505086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8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Perimeter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Sheet10!$B$1:$B$3</c:f>
              <c:strCache>
                <c:ptCount val="3"/>
                <c:pt idx="0">
                  <c:v>Larval Perimeter</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Sheet10!$B$4:$B$8</c:f>
              <c:numCache>
                <c:formatCode>0.00</c:formatCode>
                <c:ptCount val="5"/>
                <c:pt idx="1">
                  <c:v>39.751552795031046</c:v>
                </c:pt>
                <c:pt idx="2">
                  <c:v>39.374999999999993</c:v>
                </c:pt>
                <c:pt idx="3">
                  <c:v>37.88819875776398</c:v>
                </c:pt>
                <c:pt idx="4">
                  <c:v>35.19</c:v>
                </c:pt>
              </c:numCache>
            </c:numRef>
          </c:val>
          <c:smooth val="0"/>
          <c:extLst>
            <c:ext xmlns:c16="http://schemas.microsoft.com/office/drawing/2014/chart" uri="{C3380CC4-5D6E-409C-BE32-E72D297353CC}">
              <c16:uniqueId val="{00000000-CF8F-4C74-9819-3B5A16C52B09}"/>
            </c:ext>
          </c:extLst>
        </c:ser>
        <c:ser>
          <c:idx val="1"/>
          <c:order val="1"/>
          <c:tx>
            <c:strRef>
              <c:f>Sheet10!$C$1:$C$3</c:f>
              <c:strCache>
                <c:ptCount val="3"/>
                <c:pt idx="0">
                  <c:v>Larval Perimeter</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Sheet10!$C$4:$C$8</c:f>
              <c:numCache>
                <c:formatCode>0.00</c:formatCode>
                <c:ptCount val="5"/>
                <c:pt idx="1">
                  <c:v>24.905660377358497</c:v>
                </c:pt>
                <c:pt idx="2">
                  <c:v>22.962962962962948</c:v>
                </c:pt>
                <c:pt idx="3">
                  <c:v>24.253731343283576</c:v>
                </c:pt>
                <c:pt idx="4">
                  <c:v>16.98</c:v>
                </c:pt>
              </c:numCache>
            </c:numRef>
          </c:val>
          <c:smooth val="0"/>
          <c:extLst>
            <c:ext xmlns:c16="http://schemas.microsoft.com/office/drawing/2014/chart" uri="{C3380CC4-5D6E-409C-BE32-E72D297353CC}">
              <c16:uniqueId val="{00000001-CF8F-4C74-9819-3B5A16C52B09}"/>
            </c:ext>
          </c:extLst>
        </c:ser>
        <c:dLbls>
          <c:showLegendKey val="0"/>
          <c:showVal val="0"/>
          <c:showCatName val="0"/>
          <c:showSerName val="0"/>
          <c:showPercent val="0"/>
          <c:showBubbleSize val="0"/>
        </c:dLbls>
        <c:marker val="1"/>
        <c:smooth val="0"/>
        <c:axId val="340392176"/>
        <c:axId val="340401968"/>
      </c:lineChart>
      <c:catAx>
        <c:axId val="34039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1968"/>
        <c:crosses val="autoZero"/>
        <c:auto val="1"/>
        <c:lblAlgn val="ctr"/>
        <c:lblOffset val="100"/>
        <c:noMultiLvlLbl val="0"/>
      </c:catAx>
      <c:valAx>
        <c:axId val="340401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21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Length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Sheet11!$F$1:$F$3</c:f>
              <c:strCache>
                <c:ptCount val="3"/>
                <c:pt idx="0">
                  <c:v>Larval Length</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Sheet11!$F$4:$F$8</c:f>
              <c:numCache>
                <c:formatCode>0.00</c:formatCode>
                <c:ptCount val="5"/>
                <c:pt idx="1">
                  <c:v>2.3716948149264727</c:v>
                </c:pt>
                <c:pt idx="2">
                  <c:v>2.2178652082307071</c:v>
                </c:pt>
                <c:pt idx="3">
                  <c:v>2.2178652082307071</c:v>
                </c:pt>
                <c:pt idx="4">
                  <c:v>1.74</c:v>
                </c:pt>
              </c:numCache>
            </c:numRef>
          </c:val>
          <c:smooth val="0"/>
          <c:extLst>
            <c:ext xmlns:c16="http://schemas.microsoft.com/office/drawing/2014/chart" uri="{C3380CC4-5D6E-409C-BE32-E72D297353CC}">
              <c16:uniqueId val="{00000000-8853-4905-B5B2-CCCC3E8EF5CA}"/>
            </c:ext>
          </c:extLst>
        </c:ser>
        <c:ser>
          <c:idx val="1"/>
          <c:order val="1"/>
          <c:tx>
            <c:strRef>
              <c:f>Sheet11!$G$1:$G$3</c:f>
              <c:strCache>
                <c:ptCount val="3"/>
                <c:pt idx="0">
                  <c:v>Larval Length</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Sheet11!$G$4:$G$8</c:f>
              <c:numCache>
                <c:formatCode>0.00</c:formatCode>
                <c:ptCount val="5"/>
                <c:pt idx="1">
                  <c:v>11.888679598170594</c:v>
                </c:pt>
                <c:pt idx="2">
                  <c:v>11.624525419651889</c:v>
                </c:pt>
                <c:pt idx="3">
                  <c:v>12.09361841535288</c:v>
                </c:pt>
                <c:pt idx="4">
                  <c:v>10.01</c:v>
                </c:pt>
              </c:numCache>
            </c:numRef>
          </c:val>
          <c:smooth val="0"/>
          <c:extLst>
            <c:ext xmlns:c16="http://schemas.microsoft.com/office/drawing/2014/chart" uri="{C3380CC4-5D6E-409C-BE32-E72D297353CC}">
              <c16:uniqueId val="{00000001-8853-4905-B5B2-CCCC3E8EF5CA}"/>
            </c:ext>
          </c:extLst>
        </c:ser>
        <c:dLbls>
          <c:showLegendKey val="0"/>
          <c:showVal val="0"/>
          <c:showCatName val="0"/>
          <c:showSerName val="0"/>
          <c:showPercent val="0"/>
          <c:showBubbleSize val="0"/>
        </c:dLbls>
        <c:marker val="1"/>
        <c:smooth val="0"/>
        <c:axId val="340393808"/>
        <c:axId val="340397072"/>
      </c:lineChart>
      <c:catAx>
        <c:axId val="34039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7072"/>
        <c:crosses val="autoZero"/>
        <c:auto val="1"/>
        <c:lblAlgn val="ctr"/>
        <c:lblOffset val="100"/>
        <c:noMultiLvlLbl val="0"/>
      </c:catAx>
      <c:valAx>
        <c:axId val="340397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380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Weight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Sheet11!$D$1:$D$3</c:f>
              <c:strCache>
                <c:ptCount val="3"/>
                <c:pt idx="0">
                  <c:v>Larval Weight</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Sheet11!$D$4:$D$8</c:f>
              <c:numCache>
                <c:formatCode>0.00</c:formatCode>
                <c:ptCount val="5"/>
                <c:pt idx="1">
                  <c:v>9.3949081305968463</c:v>
                </c:pt>
                <c:pt idx="2">
                  <c:v>8.9828262537239301</c:v>
                </c:pt>
                <c:pt idx="3">
                  <c:v>8.9828262537239301</c:v>
                </c:pt>
                <c:pt idx="4">
                  <c:v>8.4499999999999993</c:v>
                </c:pt>
              </c:numCache>
            </c:numRef>
          </c:val>
          <c:smooth val="0"/>
          <c:extLst>
            <c:ext xmlns:c16="http://schemas.microsoft.com/office/drawing/2014/chart" uri="{C3380CC4-5D6E-409C-BE32-E72D297353CC}">
              <c16:uniqueId val="{00000000-794C-4E41-9098-DCA87326BE67}"/>
            </c:ext>
          </c:extLst>
        </c:ser>
        <c:ser>
          <c:idx val="1"/>
          <c:order val="1"/>
          <c:tx>
            <c:strRef>
              <c:f>Sheet11!$E$1:$E$3</c:f>
              <c:strCache>
                <c:ptCount val="3"/>
                <c:pt idx="0">
                  <c:v>Larval Weight</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Sheet11!$E$4:$E$8</c:f>
              <c:numCache>
                <c:formatCode>0.00</c:formatCode>
                <c:ptCount val="5"/>
                <c:pt idx="1">
                  <c:v>20.014885821249685</c:v>
                </c:pt>
                <c:pt idx="2">
                  <c:v>19.217332647245389</c:v>
                </c:pt>
                <c:pt idx="3">
                  <c:v>20.179931116947781</c:v>
                </c:pt>
                <c:pt idx="4">
                  <c:v>17.02</c:v>
                </c:pt>
              </c:numCache>
            </c:numRef>
          </c:val>
          <c:smooth val="0"/>
          <c:extLst>
            <c:ext xmlns:c16="http://schemas.microsoft.com/office/drawing/2014/chart" uri="{C3380CC4-5D6E-409C-BE32-E72D297353CC}">
              <c16:uniqueId val="{00000001-794C-4E41-9098-DCA87326BE67}"/>
            </c:ext>
          </c:extLst>
        </c:ser>
        <c:dLbls>
          <c:showLegendKey val="0"/>
          <c:showVal val="0"/>
          <c:showCatName val="0"/>
          <c:showSerName val="0"/>
          <c:showPercent val="0"/>
          <c:showBubbleSize val="0"/>
        </c:dLbls>
        <c:marker val="1"/>
        <c:smooth val="0"/>
        <c:axId val="340401424"/>
        <c:axId val="340403056"/>
      </c:lineChart>
      <c:catAx>
        <c:axId val="34040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3056"/>
        <c:crosses val="autoZero"/>
        <c:auto val="1"/>
        <c:lblAlgn val="ctr"/>
        <c:lblOffset val="100"/>
        <c:noMultiLvlLbl val="0"/>
      </c:catAx>
      <c:valAx>
        <c:axId val="340403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88591-C91D-4239-8234-4FD27326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16</Pages>
  <Words>3355</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1166</cp:lastModifiedBy>
  <cp:revision>24</cp:revision>
  <dcterms:created xsi:type="dcterms:W3CDTF">2026-06-13T10:56:00Z</dcterms:created>
  <dcterms:modified xsi:type="dcterms:W3CDTF">2026-06-23T07:47:00Z</dcterms:modified>
</cp:coreProperties>
</file>