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3B819" w14:textId="77777777" w:rsidR="00426439" w:rsidRPr="00DE76CD" w:rsidRDefault="00426439" w:rsidP="00426439">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DE76CD">
        <w:rPr>
          <w:rFonts w:ascii="Times New Roman" w:eastAsia="Times New Roman" w:hAnsi="Times New Roman" w:cs="Times New Roman"/>
          <w:b/>
          <w:bCs/>
          <w:sz w:val="36"/>
          <w:szCs w:val="36"/>
          <w:lang w:eastAsia="en-GB"/>
        </w:rPr>
        <w:t>CRISPR–Cas Genome Editing and Functional Genomics in Zoology: Mechanisms, Applications, and Critical Perspectives</w:t>
      </w:r>
    </w:p>
    <w:p w14:paraId="52BA7198"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Abstract</w:t>
      </w:r>
    </w:p>
    <w:p w14:paraId="55A4BE3E"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advent of CRISPR–Cas genome editing has changed the study of animal biology, turning functional genomics from a discipline constrained by slow forward-genetic screens and bespoke, species-specific reagents into one capable of rapid, programmable, and broadly portable genetic manipulation. This review critically synthesises the past decade of progress in applying CRISPR-based tools across zoology, spanning classical vertebrate model organisms, emerging non-model invertebrates, livestock and aquaculture species, and wildlife populations of direct conservation concern. We examine the expanding molecular toolkit, from nuclease-mediated knockouts through base and prime editing to transcriptional and epigenetic modulation, and consider how these tools have been adapted to taxa as different as zebrafish, cephalopods, reef-building corals, lepidopteran insects, poultry, and large-bodied mammals. Particular attention is given to three areas where functional genomics meets applied zoology and conservation biology most directly: genetic rescue and de-extinction science aimed at restoring genetic diversity or ecological function to imperilled or vanished species; gene drive technologies designed to suppress or modify wild populations of disease vectors and invasive pests; and genome-edited livestock, poultry, and aquaculture stocks engineered for disease resistance, welfare improvement, and production efficiency. We further evaluate methodological advances in detecting and mitigating off-target mutagenesis, the welfare and biosafety implications of intentionally altering the genomes of sentient animals, and the evolving regulatory landscape governing genome-edited organisms in agriculture, biomedicine, and the environment. Throughout, we take a critical stance, weighing demonstrated efficacy against persistent technical limitations, ecological uncertainty, and unresolved ethical questions. We conclude that CRISPR-based functional genomics has reshaped zoological enquiry in ways unlikely to be reversed, yet its translation into field-deployed conservation and agricultural interventions remains constrained by incomplete ecological risk assessment, uneven regulatory harmonisation, and the biological idiosyncrasies of non-model taxa that resist easy extrapolation from laboratory systems.</w:t>
      </w:r>
    </w:p>
    <w:p w14:paraId="2C232B30"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Keywords:</w:t>
      </w:r>
      <w:r w:rsidRPr="00DE76CD">
        <w:rPr>
          <w:rFonts w:ascii="Times New Roman" w:eastAsia="Times New Roman" w:hAnsi="Times New Roman" w:cs="Times New Roman"/>
          <w:sz w:val="24"/>
          <w:szCs w:val="24"/>
          <w:lang w:eastAsia="en-GB"/>
        </w:rPr>
        <w:t xml:space="preserve"> CRISPR-Cas9; functional genomics; zoology; gene drive; conservation genomics; genome editing; livestock biotechnology; off-target effects</w:t>
      </w:r>
    </w:p>
    <w:p w14:paraId="5C3CA208" w14:textId="77777777" w:rsidR="00426439" w:rsidRPr="00DE76CD" w:rsidRDefault="00426439" w:rsidP="00426439">
      <w:pPr>
        <w:spacing w:after="0" w:line="240" w:lineRule="auto"/>
        <w:rPr>
          <w:rFonts w:ascii="Times New Roman" w:eastAsia="Times New Roman" w:hAnsi="Times New Roman" w:cs="Times New Roman"/>
          <w:sz w:val="24"/>
          <w:szCs w:val="24"/>
          <w:lang w:eastAsia="en-GB"/>
        </w:rPr>
      </w:pPr>
    </w:p>
    <w:p w14:paraId="1D2105B1"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 Introduction</w:t>
      </w:r>
    </w:p>
    <w:p w14:paraId="16E429A6"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 The functional genomics imperative in animal biology</w:t>
      </w:r>
    </w:p>
    <w:p w14:paraId="4A1E90AF"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Sequencing an animal's genome has, over the past two decades, become far easier than working out what most of that genome actually does. Knowing the order of nucleotides is the necessary first step towards understanding an organism, but it is not sufficient: most genes identified through comparative and population genomic surveys still lack experimentally validated functions, and a still larger fraction of non-coding regulatory sequence remains entirely uncharacterised. Functional genomics exists to close this gap. It uses systematic </w:t>
      </w:r>
      <w:r w:rsidRPr="00DE76CD">
        <w:rPr>
          <w:rFonts w:ascii="Times New Roman" w:eastAsia="Times New Roman" w:hAnsi="Times New Roman" w:cs="Times New Roman"/>
          <w:sz w:val="24"/>
          <w:szCs w:val="24"/>
          <w:lang w:eastAsia="en-GB"/>
        </w:rPr>
        <w:lastRenderedPageBreak/>
        <w:t>perturbation of genes, regulatory elements, and gene networks to connect genotype with phenotype across development, physiology, behaviour, and disease. For zoology specifically, this work is complicated by the sheer diversity of animal life: a tool validated in a laboratory mouse cannot simply be assumed to work with the same efficiency in a coral polyp, a parasitic wasp, or an endangered rhinoceros, each of which brings its own reproductive biology, genome architecture, and practical constraints on what experiments are even feasible.</w:t>
      </w:r>
    </w:p>
    <w:p w14:paraId="11A15914"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Before programmable nucleases existed, functional genetic analysis in most animal taxa depended on slow, imprecise, or simply unavailable methods. Chemical and radiation mutagenesis screens, transient knockdown using RNA interference or morpholino oligonucleotides, and the painstaking business of homologous recombination in embryonic stem cells together made up the working toolkit of animal geneticists for much of the twentieth century. With rare exceptions, none of this was applicable beyond a handful of intensively studied model species. The result was a striking asymmetry in biological knowledge: deep mechanistic understanding accumulated for organisms such as the mouse, the zebrafish, and the fruit fly, while the great majority of animal diversity, including taxa of considerable ecological and economic importance, remained essentially a functional black box.</w:t>
      </w:r>
    </w:p>
    <w:p w14:paraId="75E2FD06"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1.2 From zinc-finger nucleases to CRISPR: a paradigm shift</w:t>
      </w:r>
    </w:p>
    <w:p w14:paraId="2011C83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Customisable nucleases such as zinc-finger nucleases and transcription activator-like effector nucleases offered an initial route towards targeted mutagenesis in a wider range of organisms, but each new target sequence required a freshly engineered DNA-binding protein, a constraint that made these tools slow, expensive, and accessible mainly to laboratories with substantial protein-engineering expertise (Varshney &amp; Burgess, 2025). The discovery that CRISPR–Cas9 could instead be reprogrammed using a short synthetic guide RNA, rather than a bespoke protein, to direct sequence-specific DNA cleavage changed this picture almost overnight. Designing a new guide requires only a basic understanding of the target locus and can be done within days at minimal cost, and this simplicity explains why uptake of CRISPR–Cas9 across virtually every taxon for which embryos, gametes, or cultured cells could be obtained happened so quickly (Varshney &amp; Burgess, 2025). Within roughly a decade of the first demonstrations of CRISPR-mediated mutagenesis in zebrafish and mammalian cells, the technology had been deployed successfully in organisms as varied as butterflies, squid, corals, poultry, and pigs, fundamentally shifting what is feasible in zoological functional genetics.</w:t>
      </w:r>
    </w:p>
    <w:p w14:paraId="6539C0C3"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review considers the resulting body of work critically, asking not merely what CRISPR-based tools can in principle achieve in animals, but what they have actually achieved, where the technology continues to underperform expectations, and what risks and open questions accompany its application to organisms ranging from laboratory models to wild and domesticated populations of direct conservation, agricultural, or biomedical significance.</w:t>
      </w:r>
    </w:p>
    <w:p w14:paraId="73A4E52F"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1.3 Scope and objectives</w:t>
      </w:r>
    </w:p>
    <w:p w14:paraId="17F92EF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This article reviews the principal applications of CRISPR–Cas genome editing to functional genomics across zoology, drawing mainly on literature published within roughly the past decade. The structure moves outward from the molecular toolkit itself, through its use in classical and emerging model organisms, towards increasingly applied domains: livestock </w:t>
      </w:r>
      <w:r w:rsidRPr="00DE76CD">
        <w:rPr>
          <w:rFonts w:ascii="Times New Roman" w:eastAsia="Times New Roman" w:hAnsi="Times New Roman" w:cs="Times New Roman"/>
          <w:sz w:val="24"/>
          <w:szCs w:val="24"/>
          <w:lang w:eastAsia="en-GB"/>
        </w:rPr>
        <w:lastRenderedPageBreak/>
        <w:t>and aquaculture improvement, conservation genomics and de-extinction science, gene drive technologies for vector and pest control, and genome-edited animals at the interface with human biomedicine through avian disease resistance research and xenotransplantation. Later sections address the methodological challenge of off-target mutagenesis and its detection, before turning to the ethical, welfare, and regulatory dimensions that necessarily accompany any technology able to alter heritable genomes in sentient and ecologically embedded organisms. Throughout, the aim is critical evaluation rather than simple cataloguing: to weigh the strength of the evidence behind claimed applications, to identify the technical and biological constraints that keep recurring when laboratory work is translated towards field or commercial deployment, and to flag areas where scientific capability has run ahead of ecological understanding or regulatory clarity. The review does not address plant biotechnology, microbial genome editing, or human clinical gene therapy except where these intersect directly with zoological applications, such as xenotransplantation donor engineering.</w:t>
      </w:r>
    </w:p>
    <w:p w14:paraId="4D8A988F"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2. Methods for Literature Selection</w:t>
      </w:r>
    </w:p>
    <w:p w14:paraId="590B8AF4"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article adopts a narrative rather than a systematic review methodology. A systematic review protocol, with its emphasis on exhaustive retrieval and quantitative synthesis around a narrowly defined question, is poorly suited to a topic as methodologically and taxonomically varied as the application of CRISPR–Cas genome editing across the whole of zoology. The aim here is instead to synthesise, contextualise, and critically evaluate developments spanning molecular toolkits, model organism research, applied animal biotechnology, conservation science, and regulatory policy, a task for which a narrative approach offers more interpretive flexibility while still demanding transparency in how sources were chosen. This choice follows established methodological guidance arguing that systematic and narrative reviews serve genuinely different purposes, with the former best suited to summarising data on a narrow question and the latter better suited to building and critiquing understanding across a more heterogeneous evidence base (Greenhalgh et al., 2018), a distinction that closely matches the aims of the present review.</w:t>
      </w:r>
    </w:p>
    <w:p w14:paraId="2ADE86C9"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Literature was identified through systematic searches of Web of Science, Scopus, Google Scholar, and PubMed, supplemented by searches of five field-specific indexing resources chosen for their relevance to the sub-disciplines covered here: a zoological and animal-science literature database, an agricultural and veterinary science index, a conservation- and ecology-focused bibliographic database, an aquaculture and fisheries science index, and a regulatory and biosafety document repository maintained by relevant intergovernmental bodies. Search strings combined the core terms "CRISPR" OR "CRISPR-Cas9" OR "genome editing" OR "gene editing" with taxon- or application-specific terms including, but not limited to, "functional genomics," "zoology," "animal model," "livestock," "aquaculture," "gene drive," "conservation genomics," "de-extinction," "xenotransplantation," "off-target," and "ecological risk assessment." Boolean operators and truncation were used to capture morphological variants, and the reference lists of retrieved reviews were hand-searched to identify additional primary literature meeting the inclusion criteria.</w:t>
      </w:r>
    </w:p>
    <w:p w14:paraId="35E5A62F"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search was bounded chronologically from 2012 onward, the year in which the foundational demonstration of programmable RNA-guided DNA cleavage by Cas9 was published, marking the technological starting point from which essentially all subsequent zoological applications of CRISPR-based functional genomics descend. This was judged the most defensible lower boundary for a review whose subject matter is, by definition, a post-2012 technology, although a small number of older references on gene drive theory and pre-</w:t>
      </w:r>
      <w:r w:rsidRPr="00DE76CD">
        <w:rPr>
          <w:rFonts w:ascii="Times New Roman" w:eastAsia="Times New Roman" w:hAnsi="Times New Roman" w:cs="Times New Roman"/>
          <w:sz w:val="24"/>
          <w:szCs w:val="24"/>
          <w:lang w:eastAsia="en-GB"/>
        </w:rPr>
        <w:lastRenderedPageBreak/>
        <w:t>CRISPR genome editing were retained where necessary for historical and mechanistic context. The search concluded shortly before manuscript preparation.</w:t>
      </w:r>
    </w:p>
    <w:p w14:paraId="462538C2"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Inclusion criteria comprised original peer-reviewed research articles, peer-reviewed review articles, and peer-reviewed editorials published in indexed academic journals, together with authoritative institutional or intergovernmental reports possessing a verifiable digital object identifier or institutional web address, such as scientific opinions issued by recognised food and environmental safety authorities. Books and book chapters, conference proceedings and abstracts, trade and popular-science publications, preprints that had not yet undergone peer review, patents, and other grey literature lacking formal peer review were excluded, in keeping with the editorial scope of this review. Studies published only in languages other than English were also excluded, given practical constraints on translation and verification, though no clear evidence emerged during screening to suggest that this restriction introduced substantial thematic bias, since the great majority of high-impact primary research and review literature in this field appears in English-language venues.</w:t>
      </w:r>
    </w:p>
    <w:p w14:paraId="1CFF4298"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Screening proceeded in two stages. Titles and abstracts retrieved from each database were first screened for topical relevance to CRISPR-based functional genomics in animal taxa, after which the full texts of provisionally relevant records were assessed against the inclusion and exclusion criteria above. Duplicate records retrieved across multiple databases were identified by digital object identifier matching and retained only once. Where several studies addressed substantially overlapping empirical questions, preference was given to the most methodologically rigorous, most recent, or most highly cited study, with earlier or more preliminary work retained only where it offered necessary mechanistic or developmental context. Studies judged influential, meaning that they introduced a technique subsequently adopted across multiple laboratories or taxa, reported the first successful application of genome editing in a previously intractable species, or materially shaped scientific or regulatory debate on a given application, were prioritised for inclusion regardless of publication date, in keeping with standard practice for narrative synthesis of fast-moving technical fields.</w:t>
      </w:r>
    </w:p>
    <w:p w14:paraId="07AA8C13"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3. The CRISPR–Cas Toolkit for Functional Genomics in Animals</w:t>
      </w:r>
    </w:p>
    <w:p w14:paraId="34CC79FD"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3.1 Nuclease-mediated mutagenesis and the choice of repair pathway</w:t>
      </w:r>
    </w:p>
    <w:p w14:paraId="2370A485"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The core mechanism behind most CRISPR-based functional genomic work in animals is still the induction of a programmable double-stranded DNA break by the Streptococcus pyogenes Cas9 endonuclease, guided to its target locus by a short synthetic guide RNA bearing roughly twenty nucleotides of sequence complementarity (Varshney &amp; Burgess, 2025). Once formed, that break is resolved by one of several competing cellular repair pathways, and which pathway wins out determines what kind of genetic change results. Non-homologous end joining, the dominant route in vertebrate somatic and germ cells, typically introduces small insertions or deletions at the cut site, producing frameshift mutations that disrupt gene function and generate a functional knockout; this pathway underlies the great majority of loss-of-function studies conducted across vertebrate and invertebrate taxa to date (Varshney &amp; Burgess, 2025). Where a more precise change is needed, researchers instead supply an exogenous repair template and exploit homology-directed repair to introduce defined point mutations, epitope tags, or reporter constructs at the target locus. This pathway is markedly less efficient than non-homologous end joining in most somatic contexts but has nonetheless been harnessed successfully for knock-in work in zebrafish, mice, and a growing list of other </w:t>
      </w:r>
      <w:r w:rsidRPr="00DE76CD">
        <w:rPr>
          <w:rFonts w:ascii="Times New Roman" w:eastAsia="Times New Roman" w:hAnsi="Times New Roman" w:cs="Times New Roman"/>
          <w:sz w:val="24"/>
          <w:szCs w:val="24"/>
          <w:lang w:eastAsia="en-GB"/>
        </w:rPr>
        <w:lastRenderedPageBreak/>
        <w:t>species (Varshney &amp; Burgess, 2025). A third route, microhomology-mediated end joining, has proved useful for generating larger deletions or templated insertions that exploit short flanking homology arms, and underlies several efficient knock-in strategies developed for zebrafish and other model organisms over the past decade.</w:t>
      </w:r>
    </w:p>
    <w:p w14:paraId="33645257"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practical complication running through all three repair routes is that S. pyogenes Cas9 only recognises target sequences immediately preceded by a specific protospacer-adjacent motif, which restricts how much of any given genome is directly accessible to editing and complicates guide design in gene-rich or adenine-thymine-rich regions (Varshney &amp; Burgess, 2025). Researchers have tackled this in two complementary ways: by characterising naturally occurring Cas9 orthologues from other bacterial species, which recognise different protospacer-adjacent motifs and, in several cases, offer the further advantage of a smaller protein size more easily packaged into viral delivery vectors; and by engineering Cas9 variants and related Cas12 family enzymes that tolerate alternative or relaxed motif requirements while introducing staggered, rather than blunt, double-stranded breaks that can ease more precise homology-directed insertion (Varshney &amp; Burgess, 2025).</w:t>
      </w:r>
    </w:p>
    <w:p w14:paraId="2AB7AD25"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3.2 Base editing and prime editing: precision without double-stranded breaks</w:t>
      </w:r>
    </w:p>
    <w:p w14:paraId="637A409A"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Most disease-relevant and trait-relevant genetic variation in animals consists of single-nucleotide substitutions rather than larger insertions or deletions, and double-stranded breaks carry an inherent risk of unintended large-scale genomic rearrangement. For these two reasons, the development of base editing and prime editing has been widely seen as a major step forward for precision functional genomics. Base editors couple a catalytically impaired, </w:t>
      </w: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 xml:space="preserve"> form of Cas9 to a deaminase enzyme, allowing one nucleotide base to be converted chemically into another without requiring a double-stranded break or a donor repair template. Cytosine base editors catalyse cytosine-to-thymine conversions, while adenine base editors achieve the complementary adenine-to-guanine substitution, and successive generations of both editor classes have progressively narrowed the editing window and reduced unwanted bystander mutations through protein engineering and directed evolution (Varshney &amp; Burgess, 2025). These tools have already been used in zebrafish to model human disease-associated point mutations with substantially higher efficiency than earlier homology-directed knock-in approaches, and in mice to correct or introduce pathogenic substitutions underlying conditions including spinal muscular atrophy, amyotrophic lateral sclerosis, and Hutchinson–Gilford progeria syndrome, each time yielding measurable physiological and survival benefits in the treated animals (Varshney &amp; Burgess, 2025).</w:t>
      </w:r>
    </w:p>
    <w:p w14:paraId="640D3DD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Prime editing pushes this precision further still, combining a Cas9 </w:t>
      </w: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 xml:space="preserve"> fused to an engineered reverse transcriptase with an extended prime editing guide RNA that both specifies the target site and encodes the desired edit, enabling targeted insertions, deletions, and all twelve possible base-to-base conversions through a search-and-replace mechanism that, again, avoids double-stranded breaks (Varshney &amp; Burgess, 2025). Although prime editing has been demonstrated successfully in mammalian cell culture and in a growing number of animal models, its adoption across the wider range of zoological taxa considered in this review remains fairly limited, reflecting both the technical demands of optimising a more complex multicomponent reagent and the relative youth of the technology.</w:t>
      </w:r>
    </w:p>
    <w:p w14:paraId="6B096E03"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3.3 Transcriptional and epigenetic modulation</w:t>
      </w:r>
    </w:p>
    <w:p w14:paraId="63CE694A"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Beyond directly altering sequence, catalytically inactivated, or "dead," Cas9 can still be guided to a specific genomic locus without cutting DNA, providing a versatile scaffold for transcriptional and epigenetic manipulation. Fused to a transcriptional repressor domain, dead Cas9 mediates CRISPR interference, allowing reversible, dose-</w:t>
      </w:r>
      <w:proofErr w:type="spellStart"/>
      <w:r w:rsidRPr="00DE76CD">
        <w:rPr>
          <w:rFonts w:ascii="Times New Roman" w:eastAsia="Times New Roman" w:hAnsi="Times New Roman" w:cs="Times New Roman"/>
          <w:sz w:val="24"/>
          <w:szCs w:val="24"/>
          <w:lang w:eastAsia="en-GB"/>
        </w:rPr>
        <w:t>tunable</w:t>
      </w:r>
      <w:proofErr w:type="spellEnd"/>
      <w:r w:rsidRPr="00DE76CD">
        <w:rPr>
          <w:rFonts w:ascii="Times New Roman" w:eastAsia="Times New Roman" w:hAnsi="Times New Roman" w:cs="Times New Roman"/>
          <w:sz w:val="24"/>
          <w:szCs w:val="24"/>
          <w:lang w:eastAsia="en-GB"/>
        </w:rPr>
        <w:t xml:space="preserve"> silencing of a target gene without permanently altering the underlying sequence; fused instead to a transcriptional activator domain, it enables CRISPR activation, in which expression of an endogenous gene is increased from its native genomic context (Varshney &amp; Burgess, 2025). Related fusions to epigenetic modifying enzymes allow the targeted installation or removal of DNA methylation and other chromatin marks, offering a way to study the functional consequences of epigenetic regulation independently of the underlying DNA sequence. These transcriptional and epigenetic tools remain considerably less widely used in non-mammalian zoological systems than nuclease-mediated mutagenesis, but their ability to interrogate gene regulatory networks without permanent genetic change makes them an important complement to the knockout-centred approaches that still dominate functional genomics in most animal taxa.</w:t>
      </w:r>
    </w:p>
    <w:p w14:paraId="00AA33FF"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1. Principal classes of CRISPR-based molecular tools applied in zoological functional genomics</w:t>
      </w:r>
    </w:p>
    <w:tbl>
      <w:tblPr>
        <w:tblStyle w:val="MediumShading1-Accent1"/>
        <w:tblW w:w="0" w:type="auto"/>
        <w:tblLook w:val="04A0" w:firstRow="1" w:lastRow="0" w:firstColumn="1" w:lastColumn="0" w:noHBand="0" w:noVBand="1"/>
      </w:tblPr>
      <w:tblGrid>
        <w:gridCol w:w="1912"/>
        <w:gridCol w:w="2207"/>
        <w:gridCol w:w="2513"/>
        <w:gridCol w:w="2610"/>
      </w:tblGrid>
      <w:tr w:rsidR="00426439" w:rsidRPr="00DE76CD" w14:paraId="001C91C4"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9977A2" w14:textId="77777777" w:rsidR="00426439" w:rsidRPr="00DE76CD" w:rsidRDefault="00426439" w:rsidP="00426439">
            <w:pPr>
              <w:jc w:val="center"/>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Tool class</w:t>
            </w:r>
          </w:p>
        </w:tc>
        <w:tc>
          <w:tcPr>
            <w:tcW w:w="0" w:type="auto"/>
            <w:hideMark/>
          </w:tcPr>
          <w:p w14:paraId="468F4BF5"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Molecular mechanism</w:t>
            </w:r>
          </w:p>
        </w:tc>
        <w:tc>
          <w:tcPr>
            <w:tcW w:w="0" w:type="auto"/>
            <w:hideMark/>
          </w:tcPr>
          <w:p w14:paraId="0261CDA3"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Typical genetic outcome</w:t>
            </w:r>
          </w:p>
        </w:tc>
        <w:tc>
          <w:tcPr>
            <w:tcW w:w="0" w:type="auto"/>
            <w:hideMark/>
          </w:tcPr>
          <w:p w14:paraId="7D1A96EA"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Representative zoological application</w:t>
            </w:r>
          </w:p>
        </w:tc>
      </w:tr>
      <w:tr w:rsidR="00426439" w:rsidRPr="00DE76CD" w14:paraId="42F2C61B"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10AEE5"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Cas9 nuclease (NHEJ-mediated)</w:t>
            </w:r>
          </w:p>
        </w:tc>
        <w:tc>
          <w:tcPr>
            <w:tcW w:w="0" w:type="auto"/>
            <w:hideMark/>
          </w:tcPr>
          <w:p w14:paraId="121264DB"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Double-stranded break repaired by non-homologous end joining</w:t>
            </w:r>
          </w:p>
        </w:tc>
        <w:tc>
          <w:tcPr>
            <w:tcW w:w="0" w:type="auto"/>
            <w:hideMark/>
          </w:tcPr>
          <w:p w14:paraId="66B3E95E"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Small insertions/deletions causing gene knockout</w:t>
            </w:r>
          </w:p>
        </w:tc>
        <w:tc>
          <w:tcPr>
            <w:tcW w:w="0" w:type="auto"/>
            <w:hideMark/>
          </w:tcPr>
          <w:p w14:paraId="1F0CA3C0"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High-throughput F0 mosaic knockout screening in zebrafish</w:t>
            </w:r>
          </w:p>
        </w:tc>
      </w:tr>
      <w:tr w:rsidR="00426439" w:rsidRPr="00DE76CD" w14:paraId="15CD4D38"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A6CCFA"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Cas9 nuclease with donor template (HDR-mediated)</w:t>
            </w:r>
          </w:p>
        </w:tc>
        <w:tc>
          <w:tcPr>
            <w:tcW w:w="0" w:type="auto"/>
            <w:hideMark/>
          </w:tcPr>
          <w:p w14:paraId="7812847C"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Double-stranded break repaired using homology-directed repair</w:t>
            </w:r>
          </w:p>
        </w:tc>
        <w:tc>
          <w:tcPr>
            <w:tcW w:w="0" w:type="auto"/>
            <w:hideMark/>
          </w:tcPr>
          <w:p w14:paraId="79717803"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Precise point mutation, epitope tag, or transgene knock-in</w:t>
            </w:r>
          </w:p>
        </w:tc>
        <w:tc>
          <w:tcPr>
            <w:tcW w:w="0" w:type="auto"/>
            <w:hideMark/>
          </w:tcPr>
          <w:p w14:paraId="11160BBF"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Disease-model knock-in alleles in zebrafish and mice</w:t>
            </w:r>
          </w:p>
        </w:tc>
      </w:tr>
      <w:tr w:rsidR="00426439" w:rsidRPr="00DE76CD" w14:paraId="0F0BFEDE"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1824FB"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Cytosine and adenine base editors</w:t>
            </w:r>
          </w:p>
        </w:tc>
        <w:tc>
          <w:tcPr>
            <w:tcW w:w="0" w:type="auto"/>
            <w:hideMark/>
          </w:tcPr>
          <w:p w14:paraId="394F572C"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-deaminase fusion; chemical base conversion without double-stranded break</w:t>
            </w:r>
          </w:p>
        </w:tc>
        <w:tc>
          <w:tcPr>
            <w:tcW w:w="0" w:type="auto"/>
            <w:hideMark/>
          </w:tcPr>
          <w:p w14:paraId="33D01059"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Single-nucleotide substitution</w:t>
            </w:r>
          </w:p>
        </w:tc>
        <w:tc>
          <w:tcPr>
            <w:tcW w:w="0" w:type="auto"/>
            <w:hideMark/>
          </w:tcPr>
          <w:p w14:paraId="500FF3E2"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Modelling and correcting pathogenic point mutations in mouse models of neuromuscular disease</w:t>
            </w:r>
          </w:p>
        </w:tc>
      </w:tr>
      <w:tr w:rsidR="00426439" w:rsidRPr="00DE76CD" w14:paraId="4B1A9315"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3D555A"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Prime editors</w:t>
            </w:r>
          </w:p>
        </w:tc>
        <w:tc>
          <w:tcPr>
            <w:tcW w:w="0" w:type="auto"/>
            <w:hideMark/>
          </w:tcPr>
          <w:p w14:paraId="7E003B34"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proofErr w:type="spellStart"/>
            <w:r w:rsidRPr="00DE76CD">
              <w:rPr>
                <w:rFonts w:ascii="Times New Roman" w:eastAsia="Times New Roman" w:hAnsi="Times New Roman" w:cs="Times New Roman"/>
                <w:sz w:val="24"/>
                <w:szCs w:val="24"/>
                <w:lang w:eastAsia="en-GB"/>
              </w:rPr>
              <w:t>Nickase</w:t>
            </w:r>
            <w:proofErr w:type="spellEnd"/>
            <w:r w:rsidRPr="00DE76CD">
              <w:rPr>
                <w:rFonts w:ascii="Times New Roman" w:eastAsia="Times New Roman" w:hAnsi="Times New Roman" w:cs="Times New Roman"/>
                <w:sz w:val="24"/>
                <w:szCs w:val="24"/>
                <w:lang w:eastAsia="en-GB"/>
              </w:rPr>
              <w:t xml:space="preserve">-reverse transcriptase fusion guided by extended </w:t>
            </w:r>
            <w:proofErr w:type="spellStart"/>
            <w:r w:rsidRPr="00DE76CD">
              <w:rPr>
                <w:rFonts w:ascii="Times New Roman" w:eastAsia="Times New Roman" w:hAnsi="Times New Roman" w:cs="Times New Roman"/>
                <w:sz w:val="24"/>
                <w:szCs w:val="24"/>
                <w:lang w:eastAsia="en-GB"/>
              </w:rPr>
              <w:t>pegRNA</w:t>
            </w:r>
            <w:proofErr w:type="spellEnd"/>
          </w:p>
        </w:tc>
        <w:tc>
          <w:tcPr>
            <w:tcW w:w="0" w:type="auto"/>
            <w:hideMark/>
          </w:tcPr>
          <w:p w14:paraId="69EC2E1A"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Targeted insertion, deletion, or any base-to-base conversion</w:t>
            </w:r>
          </w:p>
        </w:tc>
        <w:tc>
          <w:tcPr>
            <w:tcW w:w="0" w:type="auto"/>
            <w:hideMark/>
          </w:tcPr>
          <w:p w14:paraId="24B19129"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Emerging precision editing in mammalian cell and embryo models</w:t>
            </w:r>
          </w:p>
        </w:tc>
      </w:tr>
      <w:tr w:rsidR="00426439" w:rsidRPr="00DE76CD" w14:paraId="658705D5"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896784"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CRISPR interference / activation (dCas9 fusions)</w:t>
            </w:r>
          </w:p>
        </w:tc>
        <w:tc>
          <w:tcPr>
            <w:tcW w:w="0" w:type="auto"/>
            <w:hideMark/>
          </w:tcPr>
          <w:p w14:paraId="13551975"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Catalytically dead Cas9 fused to repressor or activator domains</w:t>
            </w:r>
          </w:p>
        </w:tc>
        <w:tc>
          <w:tcPr>
            <w:tcW w:w="0" w:type="auto"/>
            <w:hideMark/>
          </w:tcPr>
          <w:p w14:paraId="42BE6390"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Reversible transcriptional down- or up-regulation</w:t>
            </w:r>
          </w:p>
        </w:tc>
        <w:tc>
          <w:tcPr>
            <w:tcW w:w="0" w:type="auto"/>
            <w:hideMark/>
          </w:tcPr>
          <w:p w14:paraId="1CFE5EC9"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Dissection of gene regulatory networks without permanent sequence change</w:t>
            </w:r>
          </w:p>
        </w:tc>
      </w:tr>
      <w:tr w:rsidR="00426439" w:rsidRPr="00DE76CD" w14:paraId="7639CBEC"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F79ACB"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Cas12 family nucleases</w:t>
            </w:r>
          </w:p>
        </w:tc>
        <w:tc>
          <w:tcPr>
            <w:tcW w:w="0" w:type="auto"/>
            <w:hideMark/>
          </w:tcPr>
          <w:p w14:paraId="40FA0C21"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Staggered double-stranded break; T-rich PAM recognition</w:t>
            </w:r>
          </w:p>
        </w:tc>
        <w:tc>
          <w:tcPr>
            <w:tcW w:w="0" w:type="auto"/>
            <w:hideMark/>
          </w:tcPr>
          <w:p w14:paraId="53B0122C"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Knockout or facilitated knock-in via staggered cut</w:t>
            </w:r>
          </w:p>
        </w:tc>
        <w:tc>
          <w:tcPr>
            <w:tcW w:w="0" w:type="auto"/>
            <w:hideMark/>
          </w:tcPr>
          <w:p w14:paraId="24B60711"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Multiplexed editing and expanded targeting range beyond Cas9 PAM constraints</w:t>
            </w:r>
          </w:p>
        </w:tc>
      </w:tr>
    </w:tbl>
    <w:p w14:paraId="22511825"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Sources: Varshney and Burgess (2025); Zhu et al. (2024); Zou et al. (2023).</w:t>
      </w:r>
    </w:p>
    <w:p w14:paraId="1C17FD37"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Table 1 lays out, in summary, just how broad this toolkit has become: at one end sits blunt, highly efficient gene disruption suitable for rapid loss-of-function screening, and at the other end sit increasingly refined editors capable of introducing single-nucleotide changes with minimal collateral mutagenesis. As later sections show, however, the practical uptake of these tools across different animal taxa has been markedly uneven, reflecting both the technical maturity of each editor class and biological constraints, such as embryo accessibility, generation time, and reproductive biology, that differ enormously across the animal kingdom.</w:t>
      </w:r>
    </w:p>
    <w:p w14:paraId="5F59DC2E"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4. Functional Genomics in Vertebrate Model Organisms</w:t>
      </w:r>
    </w:p>
    <w:p w14:paraId="1560A934"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4.1 Zebrafish as a paradigm of in vivo functional genomics</w:t>
      </w:r>
    </w:p>
    <w:p w14:paraId="3847F739"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Among vertebrate models, the zebrafish, </w:t>
      </w:r>
      <w:r w:rsidRPr="00DE76CD">
        <w:rPr>
          <w:rFonts w:ascii="Times New Roman" w:hAnsi="Times New Roman" w:cs="Times New Roman"/>
          <w:i/>
        </w:rPr>
        <w:t>Danio rerio</w:t>
      </w:r>
      <w:r w:rsidRPr="00DE76CD">
        <w:rPr>
          <w:rFonts w:ascii="Times New Roman" w:hAnsi="Times New Roman" w:cs="Times New Roman"/>
        </w:rPr>
        <w:t>, has arguably gained the most from CRISPR-based functional genomics, for a combination of practical and biological reasons: external fertilisation, optically transparent and rapidly developing embryos, high fecundity, and substantial conservation of gene content and disease-relevant pathways with humans (Choe &amp; Kim, 2023). Roughly seventy per cent of human protein-coding genes have at least one zebrafish ortholog, and a still higher proportion of disease-associated genes are similarly represented, which makes the species an unusually informative platform for translational functional genomics (Carrington et al., 2022). The earliest demonstrations of CRISPR–Cas9-mediated mutagenesis in zebrafish, achieved by co-injecting Cas9 messenger RNA or protein together with synthetic or in vitro transcribed guide RNA into one-cell-stage embryos, quickly gave way to large-scale mutagenesis pipelines able to target hundreds of loci with high efficiency and reliable germline transmission, establishing zebrafish as one of the principal organisms in which genome-wide functional annotation has been pursued systematically (Varshney &amp; Burgess, 2025).</w:t>
      </w:r>
    </w:p>
    <w:p w14:paraId="3BE41C8D"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 particularly consequential innovation has been the rise of so-called </w:t>
      </w:r>
      <w:proofErr w:type="spellStart"/>
      <w:r w:rsidRPr="00DE76CD">
        <w:rPr>
          <w:rFonts w:ascii="Times New Roman" w:eastAsia="Times New Roman" w:hAnsi="Times New Roman" w:cs="Times New Roman"/>
          <w:sz w:val="24"/>
          <w:szCs w:val="24"/>
          <w:lang w:eastAsia="en-GB"/>
        </w:rPr>
        <w:t>crispant</w:t>
      </w:r>
      <w:proofErr w:type="spellEnd"/>
      <w:r w:rsidRPr="00DE76CD">
        <w:rPr>
          <w:rFonts w:ascii="Times New Roman" w:eastAsia="Times New Roman" w:hAnsi="Times New Roman" w:cs="Times New Roman"/>
          <w:sz w:val="24"/>
          <w:szCs w:val="24"/>
          <w:lang w:eastAsia="en-GB"/>
        </w:rPr>
        <w:t xml:space="preserve"> approaches, in which highly efficient biallelic mutagenesis in the injected, first-generation founder embryos themselves allows phenotypic analysis within days rather than the months or years previously needed to establish stable homozygous mutant lines through successive generations of breeding (Varshney &amp; Burgess, 2025). This speed-up has, in turn, made genuinely large-scale reverse genetic screens possible. Researchers have systematically targeted panels of candidate genes implicated in processes ranging from sensory hair cell and retinal regeneration to schizophrenia susceptibility, childhood epilepsy, and skeletal fragility, with each screen yielding functional validation, or refutation, of candidate gene involvement at a throughput that earlier mutagenesis methods simply could not match (Varshney &amp; Burgess, 2025). The robustness of the genotyping underlying these screens has itself become a subject of methodological scrutiny: comparative evaluations of polymerase chain reaction-based, sequencing-based, and chromatographic genotyping strategies have helped clarify the trade-offs in sensitivity, cost, and throughput that determine which pipeline suits a given screening scale (Carrington et al., 2022). Taken together, this experimental ecosystem, spanning forward and reverse genetic screening, knock-in disease modelling, and base-editing validation of single-nucleotide variants, has consolidated zebrafish as a central pillar of vertebrate functional genomics, a status reflected in the dedication of entire special issues of major genetics journals to consolidating the species' contribution to human disease modelling (Choe &amp; Kim, 2023).</w:t>
      </w:r>
    </w:p>
    <w:p w14:paraId="392814B4"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4.2 Murine and other mammalian models</w:t>
      </w:r>
    </w:p>
    <w:p w14:paraId="51AF222B"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In the mouse, CRISPR–Cas9 mutagenesis was first demonstrated by directly co-injecting guide RNA and Cas9 messenger RNA into one-cell embryos, an approach efficient enough to displace, within less than a decade, the laborious embryonic stem cell-based homologous recombination methods that had previously dominated mouse genetics (Varshney &amp; Burgess, 2025). Large international consortia tasked with generating comprehensive panels of knockout mouse lines for systematic phenotyping rapidly adopted CRISPR-based methods, generating well over a thousand new mutant lines and substantially speeding up the pace at which candidate disease genes identified through human genomic studies can be functionally tested in an intact mammalian organism (Varshney &amp; Burgess, 2025). Beyond single-gene knockouts, in vivo genome-wide screening using pooled guide RNA libraries delivered directly to specific organs or tissues has yielded mechanistic insight into processes including tumour growth and metastasis in models of non-small-cell lung cancer, hepatocyte-intrinsic regulators of liver function, and immune cell trafficking to the central nervous system in models of multiple sclerosis, showing that whole-organism CRISPR screening can capture physiologically relevant complexity that cell culture alone cannot reach (Varshney &amp; Burgess, 2025).</w:t>
      </w:r>
    </w:p>
    <w:p w14:paraId="46BEB139"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4.3 High-throughput and large-scale screening approaches</w:t>
      </w:r>
    </w:p>
    <w:p w14:paraId="1CA1BD3D"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theme running through vertebrate functional genomics more generally is the steady scaling of CRISPR-based mutagenesis from single-gene studies towards systematic, often genome-wide, perturbation screens. Recently developed multiplexed mosaic perturbation systems, in which a germline-transmitted array of individually activatable guide RNAs allows parallel interrogation of numerous genes across diverse tissues within a single animal, illustrate this trajectory well, as do droplet-based microinjection platforms that have substantially increased the throughput achievable in zebrafish embryo screening (Varshney &amp; Burgess, 2025). Together, these advances mark a broader transition within vertebrate functional genomics, away from the artisanal, single-locus experimentation that characterised much of twentieth-century genetics and towards a more systematic, almost industrial, mode of gene function discovery that nonetheless still depends on the foundational molecular toolkit described in Section 3.</w:t>
      </w:r>
    </w:p>
    <w:p w14:paraId="03E5855C"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5. Extending the Toolkit to Non-Model and Invertebrate Taxa</w:t>
      </w:r>
    </w:p>
    <w:p w14:paraId="1739D6BE"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hAnsi="Times New Roman" w:cs="Times New Roman"/>
        </w:rPr>
        <w:t xml:space="preserve">5.1 Insects beyond </w:t>
      </w:r>
      <w:r w:rsidRPr="00DE76CD">
        <w:rPr>
          <w:rFonts w:ascii="Times New Roman" w:hAnsi="Times New Roman" w:cs="Times New Roman"/>
          <w:i/>
        </w:rPr>
        <w:t>Drosophila</w:t>
      </w:r>
    </w:p>
    <w:p w14:paraId="20EFF2F8"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i/>
        </w:rPr>
        <w:t>Drosophila melanogaster</w:t>
      </w:r>
      <w:r w:rsidRPr="00DE76CD">
        <w:rPr>
          <w:rFonts w:ascii="Times New Roman" w:hAnsi="Times New Roman" w:cs="Times New Roman"/>
        </w:rPr>
        <w:t xml:space="preserve"> has long served as the principal invertebrate model for functional genetics, and the development of large-scale, tissue-restricted CRISPR mutagenesis resources, combining tunable Cas9 transgenic lines with extensive libraries of guide RNA-expressing strains, has sharpened the precision with which gene function can be dissected in spatially and temporally controlled contexts in this species, building on decades of forward-genetic and RNA interference-based work (Port et al., 2020). Yet most insect diversity, including pollinators, agricultural pests, disease vectors, and taxa of conservation concern, lies well beyond </w:t>
      </w:r>
      <w:r w:rsidRPr="00DE76CD">
        <w:rPr>
          <w:rFonts w:ascii="Times New Roman" w:hAnsi="Times New Roman" w:cs="Times New Roman"/>
          <w:i/>
        </w:rPr>
        <w:t>Drosophila</w:t>
      </w:r>
      <w:r w:rsidRPr="00DE76CD">
        <w:rPr>
          <w:rFonts w:ascii="Times New Roman" w:hAnsi="Times New Roman" w:cs="Times New Roman"/>
        </w:rPr>
        <w:t xml:space="preserve">, and extending CRISPR-based functional genomics to these non-model insects has required a different set of biological constraints to be navigated: variable embryo accessibility for microinjection, the frequent absence of well-annotated reference genomes, and the lack of established protocols for guide RNA and Cas9 delivery (Ahmed et al., 2025). A recent methodological synthesis addressing exactly this challenge has catalogued the experimental considerations relevant to establishing CRISPR-based mutagenesis in a new insect model, spanning guide design and delivery, the choice between non-homologous end joining and homology-directed repair strategies, and methods for screening and visually marking successful </w:t>
      </w:r>
      <w:r w:rsidRPr="00DE76CD">
        <w:rPr>
          <w:rFonts w:ascii="Times New Roman" w:hAnsi="Times New Roman" w:cs="Times New Roman"/>
        </w:rPr>
        <w:lastRenderedPageBreak/>
        <w:t>mutants, while noting that these considerations, though framed around insects, are largely transferable to other non-model invertebrate taxa more broadly (Ahmed et al., 2025).</w:t>
      </w:r>
    </w:p>
    <w:p w14:paraId="3048D38F"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Lepidopteran species have proved a particularly productive arena for non-model insect functional genomics, owing to their long-standing role as a system for studying the evolution and development of complex pigmentation patterns. Detailed CRISPR–Cas9 protocols developed for the African butterfly </w:t>
      </w:r>
      <w:r w:rsidRPr="00DE76CD">
        <w:rPr>
          <w:rFonts w:ascii="Times New Roman" w:hAnsi="Times New Roman" w:cs="Times New Roman"/>
          <w:i/>
        </w:rPr>
        <w:t>Bicyclus anynana</w:t>
      </w:r>
      <w:r w:rsidRPr="00DE76CD">
        <w:rPr>
          <w:rFonts w:ascii="Times New Roman" w:hAnsi="Times New Roman" w:cs="Times New Roman"/>
        </w:rPr>
        <w:t>, an emerging evolutionary developmental biology model with a sequenced genome amenable to germline transformation, have allowed researchers to disrupt genes governing eyespot development and melanin pigmentation in a targeted way, generating somatic mosaic mutants with clearly interpretable morphological phenotypes and establishing a reproducible, video-documented methodological pipeline that has since been adapted for use in other butterfly species (Banerjee &amp; Monteiro, 2018). The cumulative effect of these methodological investments has been to turn Lepidoptera from a taxon studied almost exclusively through comparative and correlative approaches into one open to direct, hypothesis-driven functional testing of candidate patterning genes, a development with real implications for evolutionary developmental zoology more broadly.</w:t>
      </w:r>
    </w:p>
    <w:p w14:paraId="74E8E904"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5.2 Cephalopods and the genetic tractability of soft-bodied molluscs</w:t>
      </w:r>
    </w:p>
    <w:p w14:paraId="26403704"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Cephalopod molluscs, including octopuses, squid, and cuttlefish, offer an unusually compelling case study in extending functional genomic methods to taxa whose biology departs sharply from conventional laboratory models. Coleoid cephalopods possess sophisticated nervous systems, dynamic camouflage and skin-based visual communication, and an extraordinary capacity for post-transcriptional protein recoding through adenosine-to-inosine RNA editing, yet the absence of genetically tractable laboratory models long prevented direct functional dissection of the molecular mechanisms behind these traits. The successful use of CRISPR–Cas9 to generate a stable albino mutant line in the emerging cephalopod model </w:t>
      </w:r>
      <w:r w:rsidRPr="00DE76CD">
        <w:rPr>
          <w:rFonts w:ascii="Times New Roman" w:hAnsi="Times New Roman" w:cs="Times New Roman"/>
          <w:i/>
        </w:rPr>
        <w:t>Euprymna berryi</w:t>
      </w:r>
      <w:r w:rsidRPr="00DE76CD">
        <w:rPr>
          <w:rFonts w:ascii="Times New Roman" w:hAnsi="Times New Roman" w:cs="Times New Roman"/>
        </w:rPr>
        <w:t>, achieved by disrupting a gene required for ommochrome pigment biosynthesis, is a notable methodological advance for two reasons: the resulting pigmentation-deficient phenotype is practically useful for in vivo functional imaging of neural activity through the animal's normally opaque chromatophore layer, and the work demonstrates more generally that targeted gene disruption is achievable even in a cephalopod species, whose embryonic development had not previously been treated as a tractable genetic system (Ahuja et al., 2023). This achievement opens a methodological path towards directly testing hypotheses about the functional and adaptive significance of cephalopod-specific genomic and post-transcriptional innovations that, until recently, could only be addressed through comparative genomic inference.</w:t>
      </w:r>
    </w:p>
    <w:p w14:paraId="088B51F9"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5.3 Cnidarians and the genetics of coral resilience</w:t>
      </w:r>
    </w:p>
    <w:p w14:paraId="63D475CD"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Reef-building corals occupy a position of acute ecological and conservation significance, as keystone organisms of one of the planet's most biodiverse and climate-threatened ecosystems, yet the biology of coral stress tolerance had, until comparatively recently, been studied almost entirely through correlative genomic and transcriptomic approaches, simply because no genetic tools existed to test candidate gene function directly in these organisms. The demonstration that microinjecting single-guide RNA and Cas9 ribonucleoprotein complexes into fertilised coral eggs can achieve mutation frequencies high enough to produce a detectable phenotype in the injected generation itself opened a path towards rigorous hypothesis testing in corals for the first time. Building directly on this methodological foundation, researchers targeting the gene encoding heat shock transcription factor 1 in the coral </w:t>
      </w:r>
      <w:r w:rsidRPr="00DE76CD">
        <w:rPr>
          <w:rFonts w:ascii="Times New Roman" w:hAnsi="Times New Roman" w:cs="Times New Roman"/>
          <w:i/>
        </w:rPr>
        <w:t>Acropora millepora</w:t>
      </w:r>
      <w:r w:rsidRPr="00DE76CD">
        <w:rPr>
          <w:rFonts w:ascii="Times New Roman" w:hAnsi="Times New Roman" w:cs="Times New Roman"/>
        </w:rPr>
        <w:t xml:space="preserve"> showed that larvae carrying CRISPR-induced disruptions of this locus had measurably reduced thermal tolerance compared with wild-type controls, providing direct functional confirmation that this transcription factor contributes causally to coral heat stress resilience rather than merely correlating with it (Cleves et al., 2020). That distinction matters a great deal given how urgent it is to identify genuinely actionable targets for coral conservation and assisted adaptation strategies in the face of accelerating ocean warming. The work illustrates a pattern evident across the non-model taxa discussed in this section: CRISPR-based functional genomics has moved from </w:t>
      </w:r>
      <w:r w:rsidRPr="00DE76CD">
        <w:rPr>
          <w:rFonts w:ascii="Times New Roman" w:hAnsi="Times New Roman" w:cs="Times New Roman"/>
        </w:rPr>
        <w:lastRenderedPageBreak/>
        <w:t>laboratory proof of concept to a tool capable of directly informing conservation-relevant biological questions that correlative genomics alone cannot resolve.</w:t>
      </w:r>
    </w:p>
    <w:p w14:paraId="68B82A16"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6. Livestock and Aquaculture Genetic Improvement</w:t>
      </w:r>
    </w:p>
    <w:p w14:paraId="7C338E6A"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6.1 Disease resistance in terrestrial livestock</w:t>
      </w:r>
    </w:p>
    <w:p w14:paraId="60EB8572"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Among the most economically consequential applications of CRISPR-based functional genomics in zoology is the engineering of disease resistance traits in livestock, a domain where the technology has moved from laboratory proof of concept towards traits approaching, or already within, regulatory review for commercial production. The foundational achievement here was the generation of pigs carrying a CRISPR-mediated disruption of the </w:t>
      </w:r>
      <w:r w:rsidRPr="00DE76CD">
        <w:rPr>
          <w:rFonts w:ascii="Times New Roman" w:eastAsia="Times New Roman" w:hAnsi="Times New Roman" w:cs="Times New Roman"/>
          <w:i/>
          <w:iCs/>
          <w:sz w:val="24"/>
          <w:szCs w:val="24"/>
          <w:lang w:eastAsia="en-GB"/>
        </w:rPr>
        <w:t>CD163</w:t>
      </w:r>
      <w:r w:rsidRPr="00DE76CD">
        <w:rPr>
          <w:rFonts w:ascii="Times New Roman" w:eastAsia="Times New Roman" w:hAnsi="Times New Roman" w:cs="Times New Roman"/>
          <w:sz w:val="24"/>
          <w:szCs w:val="24"/>
          <w:lang w:eastAsia="en-GB"/>
        </w:rPr>
        <w:t xml:space="preserve"> gene, whose protein product had previously been identified as the main cellular receptor used by porcine reproductive and respiratory syndrome virus to enter cells, one of the most economically damaging pathogens affecting global pig production. The resulting knockout pigs were completely resistant to infection by both major genotypes of the virus, showing no clinical signs, viraemia, or detectable antibody response after experimental challenge (Whitworth et al., 2016). This result has since been extended and refined by several independent groups, who have developed alternative </w:t>
      </w:r>
      <w:r w:rsidRPr="00DE76CD">
        <w:rPr>
          <w:rFonts w:ascii="Times New Roman" w:eastAsia="Times New Roman" w:hAnsi="Times New Roman" w:cs="Times New Roman"/>
          <w:i/>
          <w:iCs/>
          <w:sz w:val="24"/>
          <w:szCs w:val="24"/>
          <w:lang w:eastAsia="en-GB"/>
        </w:rPr>
        <w:t>CD163</w:t>
      </w:r>
      <w:r w:rsidRPr="00DE76CD">
        <w:rPr>
          <w:rFonts w:ascii="Times New Roman" w:eastAsia="Times New Roman" w:hAnsi="Times New Roman" w:cs="Times New Roman"/>
          <w:sz w:val="24"/>
          <w:szCs w:val="24"/>
          <w:lang w:eastAsia="en-GB"/>
        </w:rPr>
        <w:t xml:space="preserve"> editing strategies, including partial domain deletions designed to preserve the receptor's other physiological functions while still blocking viral entry, reflecting a growing recognition that disease-resistance editing must be weighed against the potential cost to normal immune and scavenging functions of the targeted gene (Wang et al., 2025).</w:t>
      </w:r>
    </w:p>
    <w:p w14:paraId="466B59E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This case has come to exemplify a broader pattern across livestock genome editing, in which CRISPR–Cas9 is used to disrupt or modify single genes of large phenotypic effect across six main trait categories: disease resistance, growth performance and meat production, milk composition, reproductive traits, adaptation to environmental and thermal stress, and animal welfare more broadly (Wang et al., 2025). Comprehensive reviews of this rapidly growing literature have catalogued successful applications spanning improved mastitis resistance in dairy cattle, enhanced meat production performance in pigs, increased milk yield in goats, and the production of naturally hornless, or polled, cattle through introgression of an already-characterised polled allele. This last example is particularly instructive: genome editing was used not to introduce a novel trait but to speed the spread of an existing, naturally occurring beneficial variant into commercial breeding lines, sidestepping the multi-generational backcrossing that conventional breeding would otherwise require (Wang et al., 2025). Complementary reviews focused on identifying candidate disease-resistance loci through immunogenomic profiling, and on integrating CRISPR-based tools with established livestock breeding programmes rather than treating them as a wholly novel parallel production stream, have likewise argued that the most plausible near-term route to commercial impact lies in using genome editing to introduce single, well-characterised, large-effect alleles into existing elite breeding populations, rather than attempting de novo trait engineering (Rodriguez-Villamil et al., 2024; Kim et al., 2026).</w:t>
      </w:r>
    </w:p>
    <w:p w14:paraId="1F63E30F"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Editorial syntheses accompanying recent special issues on genome editing in agricultural animals have likewise stressed the breadth of ongoing translational work, noting in particular how far large animal genome editing has matured from early pronuclear microinjection methods towards the comparatively flexible and cost-effective CRISPR–Cas9 platform, now capable of generating homozygous multi-gene knockouts with high efficiency, while cautioning that the welfare, off-target, and mosaicism risks associated with the technology need to be weighed alongside its productivity benefits (</w:t>
      </w:r>
      <w:proofErr w:type="spellStart"/>
      <w:r w:rsidRPr="00DE76CD">
        <w:rPr>
          <w:rFonts w:ascii="Times New Roman" w:eastAsia="Times New Roman" w:hAnsi="Times New Roman" w:cs="Times New Roman"/>
          <w:sz w:val="24"/>
          <w:szCs w:val="24"/>
          <w:lang w:eastAsia="en-GB"/>
        </w:rPr>
        <w:t>Laible</w:t>
      </w:r>
      <w:proofErr w:type="spellEnd"/>
      <w:r w:rsidRPr="00DE76CD">
        <w:rPr>
          <w:rFonts w:ascii="Times New Roman" w:eastAsia="Times New Roman" w:hAnsi="Times New Roman" w:cs="Times New Roman"/>
          <w:sz w:val="24"/>
          <w:szCs w:val="24"/>
          <w:lang w:eastAsia="en-GB"/>
        </w:rPr>
        <w:t xml:space="preserve"> &amp; Cigan, 2025). A well-documented case illustrating this welfare dimension concerns the so-called slick-coated cattle developed through CRISPR-mediated introduction of an intentional genomic alteration into </w:t>
      </w:r>
      <w:r w:rsidRPr="00DE76CD">
        <w:rPr>
          <w:rFonts w:ascii="Times New Roman" w:eastAsia="Times New Roman" w:hAnsi="Times New Roman" w:cs="Times New Roman"/>
          <w:sz w:val="24"/>
          <w:szCs w:val="24"/>
          <w:lang w:eastAsia="en-GB"/>
        </w:rPr>
        <w:lastRenderedPageBreak/>
        <w:t>the prolactin receptor gene, intended to produce a shorter, slicker hair coat that improves thermoregulation and reduces heat stress in cattle raised in warm climates. After this trait was submitted to the United States Food and Drug Administration for risk assessment in 2022, subsequent welfare-focused academic scrutiny examined both the regulatory agency's own low-risk determination regarding unintended, off-target genomic alterations and the broader, still only partially resolved, empirical question of whether slick-coated animals genuinely experience better welfare outcomes under heat stress than conventionally bred animals (</w:t>
      </w:r>
      <w:proofErr w:type="spellStart"/>
      <w:r w:rsidRPr="00DE76CD">
        <w:rPr>
          <w:rFonts w:ascii="Times New Roman" w:eastAsia="Times New Roman" w:hAnsi="Times New Roman" w:cs="Times New Roman"/>
          <w:sz w:val="24"/>
          <w:szCs w:val="24"/>
          <w:lang w:eastAsia="en-GB"/>
        </w:rPr>
        <w:t>Pozzebon</w:t>
      </w:r>
      <w:proofErr w:type="spellEnd"/>
      <w:r w:rsidRPr="00DE76CD">
        <w:rPr>
          <w:rFonts w:ascii="Times New Roman" w:eastAsia="Times New Roman" w:hAnsi="Times New Roman" w:cs="Times New Roman"/>
          <w:sz w:val="24"/>
          <w:szCs w:val="24"/>
          <w:lang w:eastAsia="en-GB"/>
        </w:rPr>
        <w:t xml:space="preserve"> et al., 2024). This case usefully captures a tension that recurs throughout applied livestock genome editing: a trait can be framed in productivity terms by its developers well before the evidence base needed to substantiate a parallel welfare claim has caught up.</w:t>
      </w:r>
    </w:p>
    <w:p w14:paraId="560A7384"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6.2 Production traits, welfare, and thermotolerance</w:t>
      </w:r>
    </w:p>
    <w:p w14:paraId="69FE6A37"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Beyond disease resistance narrowly defined, CRISPR-based genome editing in livestock has increasingly targeted traits with direct bearing on animal welfare under environmental and climatic stress, a category whose ethical evaluation differs subtly from disease-resistance editing because the intervention changes the animal's own physiological response to its environment rather than simply blocking pathogen entry. The slick-coat cattle case discussed above exemplifies this category, as does ongoing work targeting growth hormone receptor and myostatin pathways to influence body composition and feed efficiency across multiple livestock species, applications whose welfare implications call for case-by-case evaluation rather than a blanket label of either uniformly beneficial or uniformly concerning (</w:t>
      </w:r>
      <w:proofErr w:type="spellStart"/>
      <w:r w:rsidRPr="00DE76CD">
        <w:rPr>
          <w:rFonts w:ascii="Times New Roman" w:eastAsia="Times New Roman" w:hAnsi="Times New Roman" w:cs="Times New Roman"/>
          <w:sz w:val="24"/>
          <w:szCs w:val="24"/>
          <w:lang w:eastAsia="en-GB"/>
        </w:rPr>
        <w:t>Pozzebon</w:t>
      </w:r>
      <w:proofErr w:type="spellEnd"/>
      <w:r w:rsidRPr="00DE76CD">
        <w:rPr>
          <w:rFonts w:ascii="Times New Roman" w:eastAsia="Times New Roman" w:hAnsi="Times New Roman" w:cs="Times New Roman"/>
          <w:sz w:val="24"/>
          <w:szCs w:val="24"/>
          <w:lang w:eastAsia="en-GB"/>
        </w:rPr>
        <w:t xml:space="preserve"> et al., 2024; Wang et al., 2025).</w:t>
      </w:r>
    </w:p>
    <w:p w14:paraId="603DA2F6"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6.3 Aquaculture species and biosafety considerations</w:t>
      </w:r>
    </w:p>
    <w:p w14:paraId="37A18F2F"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Aquaculture presents a distinctive mix of opportunity and risk for CRISPR-based functional genomics, reflecting both the rapid growth of farmed aquatic food production as a global food security priority and the heightened ecological sensitivity of aquatic systems to the potential escape of genetically modified organisms into wild populations. Reviews surveying the use of CRISPR–Cas9 across major aquaculture taxa, including Atlantic salmon, Nile tilapia, rainbow trout, common carp, and several marine invertebrate species, have documented successful editing of genes governing growth, pigmentation, sex determination, reproductive sterility, and disease resistance. The production of germ cell-free, and therefore sterile, Atlantic salmon through disruption of a germ cell-specific gene is a particularly significant application, since it speaks directly to a long-standing industry concern: genetic introgression between escaped farmed fish and wild conspecific populations (</w:t>
      </w:r>
      <w:proofErr w:type="spellStart"/>
      <w:r w:rsidRPr="00DE76CD">
        <w:rPr>
          <w:rFonts w:ascii="Times New Roman" w:eastAsia="Times New Roman" w:hAnsi="Times New Roman" w:cs="Times New Roman"/>
          <w:sz w:val="24"/>
          <w:szCs w:val="24"/>
          <w:lang w:eastAsia="en-GB"/>
        </w:rPr>
        <w:t>Gutási</w:t>
      </w:r>
      <w:proofErr w:type="spellEnd"/>
      <w:r w:rsidRPr="00DE76CD">
        <w:rPr>
          <w:rFonts w:ascii="Times New Roman" w:eastAsia="Times New Roman" w:hAnsi="Times New Roman" w:cs="Times New Roman"/>
          <w:sz w:val="24"/>
          <w:szCs w:val="24"/>
          <w:lang w:eastAsia="en-GB"/>
        </w:rPr>
        <w:t xml:space="preserve"> et al., 2023). Methodological refinements specific to Atlantic salmon, including asymmetrical oligonucleotide donor designs that substantially improve the efficiency of precise single-nucleotide replacement and epitope tagging in the founder, or F0, generation, have mattered particularly given the unusually long generation time of salmonid species, which makes the conventional strategy of breeding mosaic founders to homozygosity prohibitively slow for many research and applied breeding purposes (Straume et al., 2021).</w:t>
      </w:r>
    </w:p>
    <w:p w14:paraId="4BFED36B"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Even so, a comprehensive risk–benefit assessment framework developed specifically for gene editing in aquaculture has stressed that the benefits of improved welfare, nutritional attributes, and production efficiency must be weighed systematically against the risk of unintended side effects on other traits and, critically, the risk of genetic introgression into wild populations should edited animals escape containment. The proposed framework identifies nine key considerations spanning genetic and ecological impacts, disease risk </w:t>
      </w:r>
      <w:r w:rsidRPr="00DE76CD">
        <w:rPr>
          <w:rFonts w:ascii="Times New Roman" w:eastAsia="Times New Roman" w:hAnsi="Times New Roman" w:cs="Times New Roman"/>
          <w:sz w:val="24"/>
          <w:szCs w:val="24"/>
          <w:lang w:eastAsia="en-GB"/>
        </w:rPr>
        <w:lastRenderedPageBreak/>
        <w:t>mitigation, the nature of the edit itself, supply chain and environmental footprint, animal welfare, human nutrition, and broader ethical and community impacts, and warns explicitly that public acceptance of gene-edited aquatic species will erode quickly should risk mitigation prove inadequate or be perceived as such (Robinson et al., 2024). This framework illustrates a theme that recurs throughout this review: the ecological risk profile of a given genome-editing application in zoology cannot be judged purely on molecular precision or production benefit, but must also account for the containment biology, reproductive ecology, and regulatory context specific to the taxon and production system involved.</w:t>
      </w:r>
    </w:p>
    <w:p w14:paraId="0A01857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2. Representative applications of CRISPR-Cas9 genome editing in livestock and aquaculture species</w:t>
      </w:r>
    </w:p>
    <w:tbl>
      <w:tblPr>
        <w:tblStyle w:val="MediumShading1-Accent1"/>
        <w:tblW w:w="0" w:type="auto"/>
        <w:tblLook w:val="04A0" w:firstRow="1" w:lastRow="0" w:firstColumn="1" w:lastColumn="0" w:noHBand="0" w:noVBand="1"/>
      </w:tblPr>
      <w:tblGrid>
        <w:gridCol w:w="1907"/>
        <w:gridCol w:w="1834"/>
        <w:gridCol w:w="2150"/>
        <w:gridCol w:w="3351"/>
      </w:tblGrid>
      <w:tr w:rsidR="00426439" w:rsidRPr="00DE76CD" w14:paraId="72D934D4"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690428" w14:textId="77777777" w:rsidR="00426439" w:rsidRPr="00DE76CD" w:rsidRDefault="00426439" w:rsidP="00426439">
            <w:pPr>
              <w:jc w:val="center"/>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Species</w:t>
            </w:r>
          </w:p>
        </w:tc>
        <w:tc>
          <w:tcPr>
            <w:tcW w:w="0" w:type="auto"/>
            <w:hideMark/>
          </w:tcPr>
          <w:p w14:paraId="12D17702"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Target gene/locus</w:t>
            </w:r>
          </w:p>
        </w:tc>
        <w:tc>
          <w:tcPr>
            <w:tcW w:w="0" w:type="auto"/>
            <w:hideMark/>
          </w:tcPr>
          <w:p w14:paraId="08CF409A"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Edited trait</w:t>
            </w:r>
          </w:p>
        </w:tc>
        <w:tc>
          <w:tcPr>
            <w:tcW w:w="0" w:type="auto"/>
            <w:hideMark/>
          </w:tcPr>
          <w:p w14:paraId="11EE0241"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Reported outcome</w:t>
            </w:r>
          </w:p>
        </w:tc>
      </w:tr>
      <w:tr w:rsidR="00426439" w:rsidRPr="00DE76CD" w14:paraId="10A376E2"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CC9238"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hAnsi="Times New Roman" w:cs="Times New Roman"/>
              </w:rPr>
              <w:t>Pig (</w:t>
            </w:r>
            <w:r w:rsidRPr="00DE76CD">
              <w:rPr>
                <w:rFonts w:ascii="Times New Roman" w:hAnsi="Times New Roman" w:cs="Times New Roman"/>
                <w:i/>
              </w:rPr>
              <w:t>Sus scrofa</w:t>
            </w:r>
            <w:r w:rsidRPr="00DE76CD">
              <w:rPr>
                <w:rFonts w:ascii="Times New Roman" w:hAnsi="Times New Roman" w:cs="Times New Roman"/>
              </w:rPr>
              <w:t>)</w:t>
            </w:r>
          </w:p>
        </w:tc>
        <w:tc>
          <w:tcPr>
            <w:tcW w:w="0" w:type="auto"/>
            <w:hideMark/>
          </w:tcPr>
          <w:p w14:paraId="701222B7"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CD163</w:t>
            </w:r>
          </w:p>
        </w:tc>
        <w:tc>
          <w:tcPr>
            <w:tcW w:w="0" w:type="auto"/>
            <w:hideMark/>
          </w:tcPr>
          <w:p w14:paraId="02CAC56A"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Disease resistance</w:t>
            </w:r>
          </w:p>
        </w:tc>
        <w:tc>
          <w:tcPr>
            <w:tcW w:w="0" w:type="auto"/>
            <w:hideMark/>
          </w:tcPr>
          <w:p w14:paraId="38041B98"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Complete resistance to porcine reproductive and respiratory syndrome virus infection</w:t>
            </w:r>
          </w:p>
        </w:tc>
      </w:tr>
      <w:tr w:rsidR="00426439" w:rsidRPr="00DE76CD" w14:paraId="7363C5A8"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146C5A"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hAnsi="Times New Roman" w:cs="Times New Roman"/>
              </w:rPr>
              <w:t>Cattle (</w:t>
            </w:r>
            <w:r w:rsidRPr="00DE76CD">
              <w:rPr>
                <w:rFonts w:ascii="Times New Roman" w:hAnsi="Times New Roman" w:cs="Times New Roman"/>
                <w:i/>
              </w:rPr>
              <w:t>Bos taurus</w:t>
            </w:r>
            <w:r w:rsidRPr="00DE76CD">
              <w:rPr>
                <w:rFonts w:ascii="Times New Roman" w:hAnsi="Times New Roman" w:cs="Times New Roman"/>
              </w:rPr>
              <w:t>)</w:t>
            </w:r>
          </w:p>
        </w:tc>
        <w:tc>
          <w:tcPr>
            <w:tcW w:w="0" w:type="auto"/>
            <w:hideMark/>
          </w:tcPr>
          <w:p w14:paraId="2C8DB800"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PRLR</w:t>
            </w:r>
            <w:r w:rsidRPr="00DE76CD">
              <w:rPr>
                <w:rFonts w:ascii="Times New Roman" w:eastAsia="Times New Roman" w:hAnsi="Times New Roman" w:cs="Times New Roman"/>
                <w:sz w:val="24"/>
                <w:szCs w:val="24"/>
                <w:lang w:eastAsia="en-GB"/>
              </w:rPr>
              <w:t xml:space="preserve"> (prolactin receptor)</w:t>
            </w:r>
          </w:p>
        </w:tc>
        <w:tc>
          <w:tcPr>
            <w:tcW w:w="0" w:type="auto"/>
            <w:hideMark/>
          </w:tcPr>
          <w:p w14:paraId="53D8A2C7"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Thermotolerance</w:t>
            </w:r>
          </w:p>
        </w:tc>
        <w:tc>
          <w:tcPr>
            <w:tcW w:w="0" w:type="auto"/>
            <w:hideMark/>
          </w:tcPr>
          <w:p w14:paraId="38E990C6"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Slicker, shorter coat intended to reduce heat stress; welfare benefits still under evaluation</w:t>
            </w:r>
          </w:p>
        </w:tc>
      </w:tr>
      <w:tr w:rsidR="00426439" w:rsidRPr="00DE76CD" w14:paraId="0815A7B5"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A2B40B"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hAnsi="Times New Roman" w:cs="Times New Roman"/>
              </w:rPr>
              <w:t>Cattle (</w:t>
            </w:r>
            <w:r w:rsidRPr="00DE76CD">
              <w:rPr>
                <w:rFonts w:ascii="Times New Roman" w:hAnsi="Times New Roman" w:cs="Times New Roman"/>
                <w:i/>
              </w:rPr>
              <w:t>Bos taurus</w:t>
            </w:r>
            <w:r w:rsidRPr="00DE76CD">
              <w:rPr>
                <w:rFonts w:ascii="Times New Roman" w:hAnsi="Times New Roman" w:cs="Times New Roman"/>
              </w:rPr>
              <w:t>)</w:t>
            </w:r>
          </w:p>
        </w:tc>
        <w:tc>
          <w:tcPr>
            <w:tcW w:w="0" w:type="auto"/>
            <w:hideMark/>
          </w:tcPr>
          <w:p w14:paraId="5DE1E721"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Polled locus</w:t>
            </w:r>
          </w:p>
        </w:tc>
        <w:tc>
          <w:tcPr>
            <w:tcW w:w="0" w:type="auto"/>
            <w:hideMark/>
          </w:tcPr>
          <w:p w14:paraId="3E6CD4B9"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Welfare (dehorning avoidance)</w:t>
            </w:r>
          </w:p>
        </w:tc>
        <w:tc>
          <w:tcPr>
            <w:tcW w:w="0" w:type="auto"/>
            <w:hideMark/>
          </w:tcPr>
          <w:p w14:paraId="7029A115"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Introgression of naturally occurring hornless allele without multi-generational backcrossing</w:t>
            </w:r>
          </w:p>
        </w:tc>
      </w:tr>
      <w:tr w:rsidR="00426439" w:rsidRPr="00DE76CD" w14:paraId="60B51D1D"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CF6EA5"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hAnsi="Times New Roman" w:cs="Times New Roman"/>
              </w:rPr>
              <w:t>Atlantic salmon (</w:t>
            </w:r>
            <w:r w:rsidRPr="00DE76CD">
              <w:rPr>
                <w:rFonts w:ascii="Times New Roman" w:hAnsi="Times New Roman" w:cs="Times New Roman"/>
                <w:i/>
              </w:rPr>
              <w:t>Salmo salar</w:t>
            </w:r>
            <w:r w:rsidRPr="00DE76CD">
              <w:rPr>
                <w:rFonts w:ascii="Times New Roman" w:hAnsi="Times New Roman" w:cs="Times New Roman"/>
              </w:rPr>
              <w:t>)</w:t>
            </w:r>
          </w:p>
        </w:tc>
        <w:tc>
          <w:tcPr>
            <w:tcW w:w="0" w:type="auto"/>
            <w:hideMark/>
          </w:tcPr>
          <w:p w14:paraId="4DD48A01"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proofErr w:type="spellStart"/>
            <w:r w:rsidRPr="00DE76CD">
              <w:rPr>
                <w:rFonts w:ascii="Times New Roman" w:eastAsia="Times New Roman" w:hAnsi="Times New Roman" w:cs="Times New Roman"/>
                <w:i/>
                <w:iCs/>
                <w:sz w:val="24"/>
                <w:szCs w:val="24"/>
                <w:lang w:eastAsia="en-GB"/>
              </w:rPr>
              <w:t>dnd</w:t>
            </w:r>
            <w:proofErr w:type="spellEnd"/>
            <w:r w:rsidRPr="00DE76CD">
              <w:rPr>
                <w:rFonts w:ascii="Times New Roman" w:eastAsia="Times New Roman" w:hAnsi="Times New Roman" w:cs="Times New Roman"/>
                <w:sz w:val="24"/>
                <w:szCs w:val="24"/>
                <w:lang w:eastAsia="en-GB"/>
              </w:rPr>
              <w:t xml:space="preserve"> (dead end)</w:t>
            </w:r>
          </w:p>
        </w:tc>
        <w:tc>
          <w:tcPr>
            <w:tcW w:w="0" w:type="auto"/>
            <w:hideMark/>
          </w:tcPr>
          <w:p w14:paraId="6DBF2EF0"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Reproductive containment</w:t>
            </w:r>
          </w:p>
        </w:tc>
        <w:tc>
          <w:tcPr>
            <w:tcW w:w="0" w:type="auto"/>
            <w:hideMark/>
          </w:tcPr>
          <w:p w14:paraId="5A78A093"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Production of germ cell-free, sterile fish to prevent genetic introgression into wild stocks</w:t>
            </w:r>
          </w:p>
        </w:tc>
      </w:tr>
      <w:tr w:rsidR="00426439" w:rsidRPr="00DE76CD" w14:paraId="1C94DC9A"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2AC917"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hAnsi="Times New Roman" w:cs="Times New Roman"/>
              </w:rPr>
              <w:t>Atlantic salmon (</w:t>
            </w:r>
            <w:r w:rsidRPr="00DE76CD">
              <w:rPr>
                <w:rFonts w:ascii="Times New Roman" w:hAnsi="Times New Roman" w:cs="Times New Roman"/>
                <w:i/>
              </w:rPr>
              <w:t>Salmo salar</w:t>
            </w:r>
            <w:r w:rsidRPr="00DE76CD">
              <w:rPr>
                <w:rFonts w:ascii="Times New Roman" w:hAnsi="Times New Roman" w:cs="Times New Roman"/>
              </w:rPr>
              <w:t>)</w:t>
            </w:r>
          </w:p>
        </w:tc>
        <w:tc>
          <w:tcPr>
            <w:tcW w:w="0" w:type="auto"/>
            <w:hideMark/>
          </w:tcPr>
          <w:p w14:paraId="47712BE1"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slc45a2</w:t>
            </w:r>
            <w:r w:rsidRPr="00DE76CD">
              <w:rPr>
                <w:rFonts w:ascii="Times New Roman" w:eastAsia="Times New Roman" w:hAnsi="Times New Roman" w:cs="Times New Roman"/>
                <w:sz w:val="24"/>
                <w:szCs w:val="24"/>
                <w:lang w:eastAsia="en-GB"/>
              </w:rPr>
              <w:t xml:space="preserve">; </w:t>
            </w:r>
            <w:proofErr w:type="spellStart"/>
            <w:r w:rsidRPr="00DE76CD">
              <w:rPr>
                <w:rFonts w:ascii="Times New Roman" w:eastAsia="Times New Roman" w:hAnsi="Times New Roman" w:cs="Times New Roman"/>
                <w:i/>
                <w:iCs/>
                <w:sz w:val="24"/>
                <w:szCs w:val="24"/>
                <w:lang w:eastAsia="en-GB"/>
              </w:rPr>
              <w:t>dnd</w:t>
            </w:r>
            <w:proofErr w:type="spellEnd"/>
          </w:p>
        </w:tc>
        <w:tc>
          <w:tcPr>
            <w:tcW w:w="0" w:type="auto"/>
            <w:hideMark/>
          </w:tcPr>
          <w:p w14:paraId="5BAD3D3D"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Methodological precision</w:t>
            </w:r>
          </w:p>
        </w:tc>
        <w:tc>
          <w:tcPr>
            <w:tcW w:w="0" w:type="auto"/>
            <w:hideMark/>
          </w:tcPr>
          <w:p w14:paraId="20133995"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Improved single-nucleotide replacement efficiency using asymmetrical oligonucleotide donors</w:t>
            </w:r>
          </w:p>
        </w:tc>
      </w:tr>
      <w:tr w:rsidR="00426439" w:rsidRPr="00DE76CD" w14:paraId="5C7BFD8D"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DFC0C3"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hAnsi="Times New Roman" w:cs="Times New Roman"/>
              </w:rPr>
              <w:t>Nile tilapia (</w:t>
            </w:r>
            <w:r w:rsidRPr="00DE76CD">
              <w:rPr>
                <w:rFonts w:ascii="Times New Roman" w:hAnsi="Times New Roman" w:cs="Times New Roman"/>
                <w:i/>
              </w:rPr>
              <w:t>Oreochromis niloticus</w:t>
            </w:r>
            <w:r w:rsidRPr="00DE76CD">
              <w:rPr>
                <w:rFonts w:ascii="Times New Roman" w:hAnsi="Times New Roman" w:cs="Times New Roman"/>
              </w:rPr>
              <w:t>)</w:t>
            </w:r>
          </w:p>
        </w:tc>
        <w:tc>
          <w:tcPr>
            <w:tcW w:w="0" w:type="auto"/>
            <w:hideMark/>
          </w:tcPr>
          <w:p w14:paraId="43F2B0E3"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Pigmentation and growth loci</w:t>
            </w:r>
          </w:p>
        </w:tc>
        <w:tc>
          <w:tcPr>
            <w:tcW w:w="0" w:type="auto"/>
            <w:hideMark/>
          </w:tcPr>
          <w:p w14:paraId="5078C935"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Production traits</w:t>
            </w:r>
          </w:p>
        </w:tc>
        <w:tc>
          <w:tcPr>
            <w:tcW w:w="0" w:type="auto"/>
            <w:hideMark/>
          </w:tcPr>
          <w:p w14:paraId="44CBE0CD"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Targeted modification of coloration and growth-related phenotypes</w:t>
            </w:r>
          </w:p>
        </w:tc>
      </w:tr>
    </w:tbl>
    <w:p w14:paraId="1BBAE557"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Sources: Whitworth et al. (2016); Pozzebon et al. (2024); Wang et al. (2025); Gutási et al. (2023); Straume et al. (2021).</w:t>
      </w:r>
    </w:p>
    <w:p w14:paraId="6BFCE949"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Table 2 makes a structural feature of this work visible at a glance: the most mature and commercially proximate applications of livestock and aquaculture genome editing each target a single, well-characterised gene of large phenotypic effect, rather than attempting to modify several polygenic trait architectures at once. This pattern reflects both the current technical limits of multiplexed editing in large-genome mammalian and fish embryos and a pragmatic regulatory calculus, since traits achievable through a single, precisely characterised edit are more readily compared with naturally occurring genetic variation than complex polygenic modifications would be, a distinction that, as Section 11 discusses further, has come to sit at the centre of regulatory debate over how genome-edited livestock and aquaculture species should be classified and assessed.</w:t>
      </w:r>
    </w:p>
    <w:p w14:paraId="608E7593"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lastRenderedPageBreak/>
        <w:t>7. Conservation Genomics: Genetic Rescue, Biobanking, and De-Extinction</w:t>
      </w:r>
    </w:p>
    <w:p w14:paraId="54418382"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7.1 Genetic rescue of small and inbred populations</w:t>
      </w:r>
    </w:p>
    <w:p w14:paraId="705EFCC6"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Conservation biology has increasingly looked to genomic technologies, CRISPR-based editing among them, as a way of addressing the genetic erosion that so often accompanies severe population decline. Small, isolated, or recently bottlenecked populations typically suffer reduced heterozygosity, an accumulation of deleterious recessive alleles, and diminished adaptive potential, problems that conventional conservation management, focused on habitat protection and demographic recovery, cannot resolve on its own. The northern white rhinoceros, </w:t>
      </w:r>
      <w:r w:rsidRPr="00DE76CD">
        <w:rPr>
          <w:rFonts w:ascii="Times New Roman" w:hAnsi="Times New Roman" w:cs="Times New Roman"/>
          <w:i/>
        </w:rPr>
        <w:t>Ceratotherium simum cottoni</w:t>
      </w:r>
      <w:r w:rsidRPr="00DE76CD">
        <w:rPr>
          <w:rFonts w:ascii="Times New Roman" w:hAnsi="Times New Roman" w:cs="Times New Roman"/>
        </w:rPr>
        <w:t>, is perhaps the starkest illustration of this challenge now facing conservation genomics: the subspecies has been reduced to two non-reproductive females following the death of the last fertile male, which makes natural reproduction impossible and has forced an ambitious, multi-decade programme combining induced pluripotent stem cell technology, in vitro generation of primordial germ cell-like cells, oocyte collection from the surviving females, and the establishment of the closely related southern white rhinoceros as a surrogate species for embryo transfer (Korody &amp; Hildebrandt, 2025). This programme depends more directly on advanced assisted reproductive and stem cell technologies than on CRISPR-mediated sequence editing as such, but it exemplifies the broader category of functional genomic intervention now being considered for subspecies and populations that have crossed the threshold of natural genetic viability. The recent demonstration that a successful embryo transfer can be achieved in the closely related southern white rhinoceros surrogate is a critical de-risking milestone for the programme's longer-term feasibility (Korody &amp; Hildebrandt, 2025).</w:t>
      </w:r>
    </w:p>
    <w:p w14:paraId="07141D03"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7.2 De-extinction as applied functional genomics</w:t>
      </w:r>
    </w:p>
    <w:p w14:paraId="29A9B0EA"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conceptually related, though ethically and technically distinct, application concerns de-extinction: using genomic, cloning, or genome-editing methods to recreate organisms resembling species that have already been lost. Influential critical scholarship in this area has long argued that the various pathways to de-extinction, whether selective back-breeding, somatic cell nuclear transfer cloning from preserved tissue, or direct genome editing of a closely related extant species' genome to introduce extinct-lineage alleles, differ fundamentally in the degree of genetic and phenotypic fidelity to the original species they can plausibly achieve. On this view, genome editing is best understood not as a route to producing an exact genetic replica of an extinct organism, but as a means of generating a functional ecological proxy capable of restoring lost ecosystem interactions, such as seed dispersal or predation pressure, even where full genomic identity with the extinct lineage remains technically out of reach (Shapiro, 2017). This functional, rather than strictly taxonomic, framing of de-extinction's conservation value has proved influential, shifting the central evaluative question away from whether a resurrected organism is "really" the extinct species and towards whether it can perform the ecological roles whose loss is considered conservation-relevant.</w:t>
      </w:r>
    </w:p>
    <w:p w14:paraId="6DF4DD04"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More recent synthesis of progress across the field has documented substantial advances in the underlying technological pipeline: improvements in ancient deoxyribonucleic acid sequencing and assembly, advances in stem cell and assisted reproductive technology applicable to generating viable embryos from edited genomes, and parallel innovations in reintroduction science, artificial intelligence-assisted habitat suitability modelling, and long-term post-release ecological monitoring, all of which are needed if a genomically engineered proxy organism is ever to be established as a self-sustaining population in a real ecosystem rather than remaining a laboratory curiosity (Turner et al., 2025). This synthesis is notably cautious about how close full de-extinction outcomes actually are, suggesting instead that the </w:t>
      </w:r>
      <w:r w:rsidRPr="00DE76CD">
        <w:rPr>
          <w:rFonts w:ascii="Times New Roman" w:eastAsia="Times New Roman" w:hAnsi="Times New Roman" w:cs="Times New Roman"/>
          <w:sz w:val="24"/>
          <w:szCs w:val="24"/>
          <w:lang w:eastAsia="en-GB"/>
        </w:rPr>
        <w:lastRenderedPageBreak/>
        <w:t>conservation value of the underlying technological investment may, in the near term, accrue more to currently endangered species than to already extinct ones, through the same genome engineering, stem cell, and reproductive technologies being developed and refined under the de-extinction banner (Turner et al., 2025). This observation chimes closely with the genetic rescue work on the northern white rhinoceros discussed above, suggesting that the most immediately actionable conservation genomic applications of CRISPR-adjacent functional genomic technology may lie less in resurrecting lost species than in extending the technological lifeline available to extant, severely imperilled ones.</w:t>
      </w:r>
    </w:p>
    <w:p w14:paraId="65CFE4C0"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8. Gene Drives and Population-Level Genetic Control</w:t>
      </w:r>
    </w:p>
    <w:p w14:paraId="73879527"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8.1 Mechanisms and molecular architecture of gene drives</w:t>
      </w:r>
    </w:p>
    <w:p w14:paraId="3371FF97"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Whereas the sections above deal with functional genomic interventions targeting individual organisms or captive breeding populations, gene drive technology is a qualitatively different application of CRISPR-based tools, designed explicitly to propagate a genetic modification through an entire wild population by biasing inheritance beyond the fifty per cent transmission rate expected under Mendelian segregation. A homing-type CRISPR gene drive achieves this bias by encoding both a guide RNA and a Cas9 endonuclease at a specific genomic locus, such that, in a heterozygous individual, the drive construct directs cleavage of the corresponding wild-type allele on the homologous chromosome. The cell's own homology-directed repair machinery then copies the drive construct into the cleaved site, converting the heterozygote into a homozygote and ensuring that essentially all of that individual's gametes, rather than the Mendelian expectation of half, carry the drive (Raban et al., 2023). Because each successive generation of drive-carrying individuals converts a correspondingly larger share of the population to drive-positive status, the technology offers, at least in principle, a route to spreading a genetic trait, or pushing a population towards a suppressing fitness cost, using a comparatively small number of initial releases. This sets gene drives apart from conventional genetic biocontrol methods, which need sustained, large-scale releases to achieve comparable effects (Raban et al., 2023).</w:t>
      </w:r>
    </w:p>
    <w:p w14:paraId="3767189A"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Drive architectures have diversified considerably since the first demonstrations of CRISPR-based homing drives. Researchers have developed split-drive systems, in which the Cas9 and guide RNA components sit at separate, unlinked genomic loci; toxin-antidote systems that achieve population suppression or localisation through engineered genetic incompatibility rather than homing as such; and self-limiting daisy-chain or </w:t>
      </w:r>
      <w:proofErr w:type="spellStart"/>
      <w:r w:rsidRPr="00DE76CD">
        <w:rPr>
          <w:rFonts w:ascii="Times New Roman" w:eastAsia="Times New Roman" w:hAnsi="Times New Roman" w:cs="Times New Roman"/>
          <w:sz w:val="24"/>
          <w:szCs w:val="24"/>
          <w:lang w:eastAsia="en-GB"/>
        </w:rPr>
        <w:t>daisyfield</w:t>
      </w:r>
      <w:proofErr w:type="spellEnd"/>
      <w:r w:rsidRPr="00DE76CD">
        <w:rPr>
          <w:rFonts w:ascii="Times New Roman" w:eastAsia="Times New Roman" w:hAnsi="Times New Roman" w:cs="Times New Roman"/>
          <w:sz w:val="24"/>
          <w:szCs w:val="24"/>
          <w:lang w:eastAsia="en-GB"/>
        </w:rPr>
        <w:t xml:space="preserve"> architectures designed to spread only transiently, or only within a spatially bounded target population, before attenuating naturally. Each represents a distinct way of balancing the competing demands of population-level efficacy and biosafety containment (Raban et al., 2023; Champer et al., 2019).</w:t>
      </w:r>
    </w:p>
    <w:p w14:paraId="09279022"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8.2 Applications to disease vectors</w:t>
      </w:r>
    </w:p>
    <w:p w14:paraId="4DD1271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The most extensively developed and field-proximate application of gene drive technology is the control of mosquito vectors responsible for malaria and other vector-borne diseases of substantial global health burden. Laboratory and caged-population research has demonstrated that homing-based drives targeting fertility or sex-determination genes in </w:t>
      </w:r>
      <w:r w:rsidRPr="00DE76CD">
        <w:rPr>
          <w:rFonts w:ascii="Times New Roman" w:hAnsi="Times New Roman" w:cs="Times New Roman"/>
          <w:i/>
        </w:rPr>
        <w:t>Anopheles gambiae</w:t>
      </w:r>
      <w:r w:rsidRPr="00DE76CD">
        <w:rPr>
          <w:rFonts w:ascii="Times New Roman" w:hAnsi="Times New Roman" w:cs="Times New Roman"/>
        </w:rPr>
        <w:t xml:space="preserve"> can achieve strong inheritance bias and meaningful population suppression under controlled cage conditions (Raban et al., 2023), results that have helped catalyse detailed planning for the first field trials of low-threshold gene drive systems intended to reduce malaria transmission across sub-Saharan Africa. A comprehensive synthesis addressing the design of such initial field trials has stressed that moving </w:t>
      </w:r>
      <w:r w:rsidRPr="00DE76CD">
        <w:rPr>
          <w:rFonts w:ascii="Times New Roman" w:hAnsi="Times New Roman" w:cs="Times New Roman"/>
        </w:rPr>
        <w:lastRenderedPageBreak/>
        <w:t>successfully from laboratory cage to open-field release requires careful attention to trial design, including genetic, entomological, and epidemiological efficacy endpoints, spatial and temporal monitoring of transgene spread, and structured community engagement protocols informed by the accumulated experience of biological control field trials more generally, while acknowledging that numerous scientific and regulatory uncertainties, including how drive spread will actually behave under realistic ecological heterogeneity, remain to be resolved before such trials can proceed (Connolly et al., 2024). That caution is itself instructive: even in the application domain where gene drive technology has advanced furthest towards field deployment, the responsible research community continues to treat the move from cage to field as needing far more extensive risk characterisation than the underlying molecular biology alone would suggest.</w:t>
      </w:r>
    </w:p>
    <w:p w14:paraId="6BD49249"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8.3 Applications to invasive species</w:t>
      </w:r>
    </w:p>
    <w:p w14:paraId="54FCF5ED"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second major application concerns the use of gene drives to control or eradicate invasive alien species that threaten native biodiversity, agriculture, or public health, an application whose ecological stakes and biosafety requirements differ from disease vector control in important ways, not least because invasive species control often targets populations within, rather than disconnected from, the species' broader native range, raising distinct containment and reversibility concerns. Early critical commentary on this prospect framed the central question starkly, weighing gene drive technology's apparent capacity to function as a biocontrol "silver bullet" against the genuine possibility that an inadequately contained or poorly targeted drive could itself become a novel global conservation threat. That commentary drew explicit comparison with the documented successes and cautionary failures of classical biological control programmes, arguing that gene drive deployment decisions should be informed by the same rigorous attention to target specificity, population connectivity, and potential non-target ecological cascades that responsible classical biocontrol practice already demands (Webber et al., 2015).</w:t>
      </w:r>
    </w:p>
    <w:p w14:paraId="0773653C"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Subsequent modelling work on specific invasive species has tried to turn these precautionary principles into concrete drive designs. A detailed modelling study of the grey squirrel, </w:t>
      </w:r>
      <w:r w:rsidRPr="00DE76CD">
        <w:rPr>
          <w:rFonts w:ascii="Times New Roman" w:hAnsi="Times New Roman" w:cs="Times New Roman"/>
          <w:i/>
        </w:rPr>
        <w:t>Sciurus carolinensis</w:t>
      </w:r>
      <w:r w:rsidRPr="00DE76CD">
        <w:rPr>
          <w:rFonts w:ascii="Times New Roman" w:hAnsi="Times New Roman" w:cs="Times New Roman"/>
        </w:rPr>
        <w:t>, an invasive pest responsible for substantial biodiversity and economic losses in the United Kingdom, proposed a combined drive architecture, termed HD-ClvR, integrating a homing drive component with a cleave-and-rescue toxin-antidote system to counter the emergence of drive-resistant alleles, alongside a self-limiting daisyfield component meant to allow controllable localisation of drive spread through deliberate, supplementation-dependent release strategies. Simulation results suggested that this combined architecture could control a targeted grey squirrel population effectively while posing comparatively little risk to other, non-target squirrel populations, although the authors were careful to note that the strategy had not yet been tested in live animals and that the wider ecosystem-level consequences of abrupt grey squirrel population suppression would need careful further thought before any field application (Faber et al., 2021).</w:t>
      </w:r>
    </w:p>
    <w:p w14:paraId="70FF63FE"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A similar trajectory of escalating empirical and modelling sophistication is visible in research on the invasive common wasp, </w:t>
      </w:r>
      <w:r w:rsidRPr="00DE76CD">
        <w:rPr>
          <w:rFonts w:ascii="Times New Roman" w:hAnsi="Times New Roman" w:cs="Times New Roman"/>
          <w:i/>
        </w:rPr>
        <w:t>Vespula vulgaris</w:t>
      </w:r>
      <w:r w:rsidRPr="00DE76CD">
        <w:rPr>
          <w:rFonts w:ascii="Times New Roman" w:hAnsi="Times New Roman" w:cs="Times New Roman"/>
        </w:rPr>
        <w:t xml:space="preserve">, in New Zealand. An initial assessment identified candidate spermatogenesis genes with enough genetic divergence between native and invaded wasp populations to allow a potentially population-specific, or "precision," gene drive design, with in vitro testing confirming guide RNA specificity within the target genus while ruling out cross-reactivity in other Hymenoptera (Lester et al., 2020). A later, more spatially and demographically explicit modelling analysis of the same system, however, tempered that earlier optimism considerably, concluding that complete extinction of the targeted wasp population through gene drive was unlikely under realistic assumptions, with the degree of population suppression achieved instead found to depend sensitively on dispersal rates and population growth dynamics that vary substantially across the invaded landscape (Lester et al., 2023). This sequence of studies, moving from initial molecular feasibility towards more sobering demographic and spatial realism, exemplifies a pattern that recurs throughout </w:t>
      </w:r>
      <w:r w:rsidRPr="00DE76CD">
        <w:rPr>
          <w:rFonts w:ascii="Times New Roman" w:hAnsi="Times New Roman" w:cs="Times New Roman"/>
        </w:rPr>
        <w:lastRenderedPageBreak/>
        <w:t>the invasive species gene drive literature: early proof-of-concept enthusiasm is consistently followed by more cautious, ecologically grounded modelling that substantially qualifies how much population suppression is realistically achievable in the field.</w:t>
      </w:r>
    </w:p>
    <w:p w14:paraId="10AC062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This pattern of escalating caution is reinforced by theoretical work examining the population genetics of CRISPR gene drive invasiveness more broadly, which has shown mathematically that even comparatively inefficient drive systems, those with substantial resistance allele formation or incomplete homing efficiency, are still likely to be highly invasive once released into a connected wild population. Releasing even a small number of drive-carrying organisms can be expected to spread not only through the initially targeted local population but onward into additional populations linked by even very low rates of gene flow (Noble et al., 2018). The important corollary here is that resistance evolution, often proposed as a natural safeguard limiting unintended drive spread, cannot in general be relied on to prevent invasion of non-target populations. This reinforces arguments made independently by conservation biologists that any gene drive intended for invasive species control should be engineered with genuine molecular safeguards against unintended spread from the outset, rather than relying on resistance evolution or population isolation as an incidental containment mechanism (Esvelt &amp; Gemmell, 2017).</w:t>
      </w:r>
    </w:p>
    <w:p w14:paraId="3273E765"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8.4 Safeguarding strategies and containment</w:t>
      </w:r>
    </w:p>
    <w:p w14:paraId="2380EB81"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 xml:space="preserve">In direct response to these invasiveness concerns, considerable methodological effort has gone into experimentally validating molecular strategies that could safeguard gene drive research itself against unintended escape from the laboratory. Experimental work in </w:t>
      </w:r>
      <w:r w:rsidRPr="00DE76CD">
        <w:rPr>
          <w:rFonts w:ascii="Times New Roman" w:hAnsi="Times New Roman" w:cs="Times New Roman"/>
          <w:i/>
        </w:rPr>
        <w:t>Drosophila melanogaster</w:t>
      </w:r>
      <w:r w:rsidRPr="00DE76CD">
        <w:rPr>
          <w:rFonts w:ascii="Times New Roman" w:hAnsi="Times New Roman" w:cs="Times New Roman"/>
        </w:rPr>
        <w:t xml:space="preserve"> has shown that both synthetic target-site drives, engineered to recognise an artificial sequence absent from wild genomes, and split-drive systems, in which the Cas9 and guide RNA components are genomically unlinked and so cannot together propagate autonomously beyond a contained laboratory cross, perform comparably to standard homing drives in terms of conversion efficiency while carrying a substantially lower risk of inadvertent environmental release. This gives researchers empirically validated containment options for early-stage gene drive research that do not require deferring all experimentation until field-ready, fully safeguarded constructs become available (Champer et al., 2019).</w:t>
      </w:r>
    </w:p>
    <w:p w14:paraId="23D7773A"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range of drive architectures, target applications, and findings discussed across this section is summarised in Table 3, which brings together the molecular logic of each approach with the specific zoological or public health problem it has been designed, or proposed, to solve. Read across, the table makes clear that gene drive technology occupies a distinctive position within CRISPR-based functional genomics in zoology: unlike the laboratory and applied breeding contexts addressed in Sections 4 through 7, gene drives are explicitly designed to propagate autonomously through wild populations, a property that turns questions of molecular efficiency and containment from secondary technical concerns into the central scientific and ethical preoccupation of the field.</w:t>
      </w:r>
    </w:p>
    <w:p w14:paraId="1C05AADD"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3. Gene drive strategies proposed or developed for population-level genetic control in zoological pest and vector management</w:t>
      </w:r>
    </w:p>
    <w:tbl>
      <w:tblPr>
        <w:tblStyle w:val="MediumShading1-Accent1"/>
        <w:tblW w:w="0" w:type="auto"/>
        <w:tblLook w:val="04A0" w:firstRow="1" w:lastRow="0" w:firstColumn="1" w:lastColumn="0" w:noHBand="0" w:noVBand="1"/>
      </w:tblPr>
      <w:tblGrid>
        <w:gridCol w:w="2469"/>
        <w:gridCol w:w="2365"/>
        <w:gridCol w:w="1644"/>
        <w:gridCol w:w="2764"/>
      </w:tblGrid>
      <w:tr w:rsidR="00426439" w:rsidRPr="00DE76CD" w14:paraId="2134F07D"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789C01" w14:textId="77777777" w:rsidR="00426439" w:rsidRPr="00DE76CD" w:rsidRDefault="00426439" w:rsidP="00426439">
            <w:pPr>
              <w:jc w:val="center"/>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Drive architecture</w:t>
            </w:r>
          </w:p>
        </w:tc>
        <w:tc>
          <w:tcPr>
            <w:tcW w:w="0" w:type="auto"/>
            <w:hideMark/>
          </w:tcPr>
          <w:p w14:paraId="4E05A349"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Mechanistic principle</w:t>
            </w:r>
          </w:p>
        </w:tc>
        <w:tc>
          <w:tcPr>
            <w:tcW w:w="0" w:type="auto"/>
            <w:hideMark/>
          </w:tcPr>
          <w:p w14:paraId="495607F4"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Primary intended application</w:t>
            </w:r>
          </w:p>
        </w:tc>
        <w:tc>
          <w:tcPr>
            <w:tcW w:w="0" w:type="auto"/>
            <w:hideMark/>
          </w:tcPr>
          <w:p w14:paraId="047BECB8"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Key reported finding</w:t>
            </w:r>
          </w:p>
        </w:tc>
      </w:tr>
      <w:tr w:rsidR="00426439" w:rsidRPr="00DE76CD" w14:paraId="1FCD1F30"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FAB43F"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Homing-type CRISPR drive</w:t>
            </w:r>
          </w:p>
        </w:tc>
        <w:tc>
          <w:tcPr>
            <w:tcW w:w="0" w:type="auto"/>
            <w:hideMark/>
          </w:tcPr>
          <w:p w14:paraId="5AE17747"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Cas9/guide RNA construct converts </w:t>
            </w:r>
            <w:r w:rsidRPr="00DE76CD">
              <w:rPr>
                <w:rFonts w:ascii="Times New Roman" w:eastAsia="Times New Roman" w:hAnsi="Times New Roman" w:cs="Times New Roman"/>
                <w:sz w:val="24"/>
                <w:szCs w:val="24"/>
                <w:lang w:eastAsia="en-GB"/>
              </w:rPr>
              <w:lastRenderedPageBreak/>
              <w:t>heterozygotes to homozygotes via homology-directed repair</w:t>
            </w:r>
          </w:p>
        </w:tc>
        <w:tc>
          <w:tcPr>
            <w:tcW w:w="0" w:type="auto"/>
            <w:hideMark/>
          </w:tcPr>
          <w:p w14:paraId="16A9C6F2"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hAnsi="Times New Roman" w:cs="Times New Roman"/>
              </w:rPr>
              <w:lastRenderedPageBreak/>
              <w:t>Malaria vector (</w:t>
            </w:r>
            <w:r w:rsidRPr="00DE76CD">
              <w:rPr>
                <w:rFonts w:ascii="Times New Roman" w:hAnsi="Times New Roman" w:cs="Times New Roman"/>
                <w:i/>
              </w:rPr>
              <w:t xml:space="preserve">Anopheles </w:t>
            </w:r>
            <w:r w:rsidRPr="00DE76CD">
              <w:rPr>
                <w:rFonts w:ascii="Times New Roman" w:hAnsi="Times New Roman" w:cs="Times New Roman"/>
                <w:i/>
              </w:rPr>
              <w:lastRenderedPageBreak/>
              <w:t>gambiae</w:t>
            </w:r>
            <w:r w:rsidRPr="00DE76CD">
              <w:rPr>
                <w:rFonts w:ascii="Times New Roman" w:hAnsi="Times New Roman" w:cs="Times New Roman"/>
              </w:rPr>
              <w:t>) suppression</w:t>
            </w:r>
          </w:p>
        </w:tc>
        <w:tc>
          <w:tcPr>
            <w:tcW w:w="0" w:type="auto"/>
            <w:hideMark/>
          </w:tcPr>
          <w:p w14:paraId="0A41F7D3"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 xml:space="preserve">Strong inheritance bias and population </w:t>
            </w:r>
            <w:r w:rsidRPr="00DE76CD">
              <w:rPr>
                <w:rFonts w:ascii="Times New Roman" w:eastAsia="Times New Roman" w:hAnsi="Times New Roman" w:cs="Times New Roman"/>
                <w:sz w:val="24"/>
                <w:szCs w:val="24"/>
                <w:lang w:eastAsia="en-GB"/>
              </w:rPr>
              <w:lastRenderedPageBreak/>
              <w:t>suppression demonstrated under laboratory cage conditions, informing subsequent field-trial planning</w:t>
            </w:r>
          </w:p>
        </w:tc>
      </w:tr>
      <w:tr w:rsidR="00426439" w:rsidRPr="00DE76CD" w14:paraId="598B34E1"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323D7F"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Split drive</w:t>
            </w:r>
          </w:p>
        </w:tc>
        <w:tc>
          <w:tcPr>
            <w:tcW w:w="0" w:type="auto"/>
            <w:hideMark/>
          </w:tcPr>
          <w:p w14:paraId="716DE86E"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Cas9 and guide RNA encoded at unlinked loci, preventing autonomous propagation</w:t>
            </w:r>
          </w:p>
        </w:tc>
        <w:tc>
          <w:tcPr>
            <w:tcW w:w="0" w:type="auto"/>
            <w:hideMark/>
          </w:tcPr>
          <w:p w14:paraId="207AC61D"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Laboratory biosafety containment</w:t>
            </w:r>
          </w:p>
        </w:tc>
        <w:tc>
          <w:tcPr>
            <w:tcW w:w="0" w:type="auto"/>
            <w:hideMark/>
          </w:tcPr>
          <w:p w14:paraId="210F0DA5"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Performance comparable to standard homing drives with substantially reduced escape risk</w:t>
            </w:r>
          </w:p>
        </w:tc>
      </w:tr>
      <w:tr w:rsidR="00426439" w:rsidRPr="00DE76CD" w14:paraId="50378B01"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786F95"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Toxin-antidote / cleave-and-rescue</w:t>
            </w:r>
          </w:p>
        </w:tc>
        <w:tc>
          <w:tcPr>
            <w:tcW w:w="0" w:type="auto"/>
            <w:hideMark/>
          </w:tcPr>
          <w:p w14:paraId="435D8AC9"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Genetic incompatibility used to suppress or localise spread</w:t>
            </w:r>
          </w:p>
        </w:tc>
        <w:tc>
          <w:tcPr>
            <w:tcW w:w="0" w:type="auto"/>
            <w:hideMark/>
          </w:tcPr>
          <w:p w14:paraId="76A20AD2"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Invasive grey squirrel control (modelled)</w:t>
            </w:r>
          </w:p>
        </w:tc>
        <w:tc>
          <w:tcPr>
            <w:tcW w:w="0" w:type="auto"/>
            <w:hideMark/>
          </w:tcPr>
          <w:p w14:paraId="41861745"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Combined HD-</w:t>
            </w:r>
            <w:proofErr w:type="spellStart"/>
            <w:r w:rsidRPr="00DE76CD">
              <w:rPr>
                <w:rFonts w:ascii="Times New Roman" w:eastAsia="Times New Roman" w:hAnsi="Times New Roman" w:cs="Times New Roman"/>
                <w:sz w:val="24"/>
                <w:szCs w:val="24"/>
                <w:lang w:eastAsia="en-GB"/>
              </w:rPr>
              <w:t>ClvR</w:t>
            </w:r>
            <w:proofErr w:type="spellEnd"/>
            <w:r w:rsidRPr="00DE76CD">
              <w:rPr>
                <w:rFonts w:ascii="Times New Roman" w:eastAsia="Times New Roman" w:hAnsi="Times New Roman" w:cs="Times New Roman"/>
                <w:sz w:val="24"/>
                <w:szCs w:val="24"/>
                <w:lang w:eastAsia="en-GB"/>
              </w:rPr>
              <w:t xml:space="preserve"> architecture predicted to control target population with limited non-target risk</w:t>
            </w:r>
          </w:p>
        </w:tc>
      </w:tr>
      <w:tr w:rsidR="00426439" w:rsidRPr="00DE76CD" w14:paraId="74B221CC"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DC9680"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Precision/specificity-targeted drive</w:t>
            </w:r>
          </w:p>
        </w:tc>
        <w:tc>
          <w:tcPr>
            <w:tcW w:w="0" w:type="auto"/>
            <w:hideMark/>
          </w:tcPr>
          <w:p w14:paraId="1286B758"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Guide RNA designed against genetically divergent invasive-range alleles</w:t>
            </w:r>
          </w:p>
        </w:tc>
        <w:tc>
          <w:tcPr>
            <w:tcW w:w="0" w:type="auto"/>
            <w:hideMark/>
          </w:tcPr>
          <w:p w14:paraId="553474C6"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Invasive common wasp control</w:t>
            </w:r>
          </w:p>
        </w:tc>
        <w:tc>
          <w:tcPr>
            <w:tcW w:w="0" w:type="auto"/>
            <w:hideMark/>
          </w:tcPr>
          <w:p w14:paraId="5870A68C"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Target specificity confirmed in vitro; subsequent spatial modelling suggested extinction unlikely without favourable dispersal/growth conditions</w:t>
            </w:r>
          </w:p>
        </w:tc>
      </w:tr>
      <w:tr w:rsidR="00426439" w:rsidRPr="00DE76CD" w14:paraId="507F7023"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C78040"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Daisy-chain / </w:t>
            </w:r>
            <w:proofErr w:type="spellStart"/>
            <w:r w:rsidRPr="00DE76CD">
              <w:rPr>
                <w:rFonts w:ascii="Times New Roman" w:eastAsia="Times New Roman" w:hAnsi="Times New Roman" w:cs="Times New Roman"/>
                <w:sz w:val="24"/>
                <w:szCs w:val="24"/>
                <w:lang w:eastAsia="en-GB"/>
              </w:rPr>
              <w:t>daisyfield</w:t>
            </w:r>
            <w:proofErr w:type="spellEnd"/>
            <w:r w:rsidRPr="00DE76CD">
              <w:rPr>
                <w:rFonts w:ascii="Times New Roman" w:eastAsia="Times New Roman" w:hAnsi="Times New Roman" w:cs="Times New Roman"/>
                <w:sz w:val="24"/>
                <w:szCs w:val="24"/>
                <w:lang w:eastAsia="en-GB"/>
              </w:rPr>
              <w:t xml:space="preserve"> (self-limiting)</w:t>
            </w:r>
          </w:p>
        </w:tc>
        <w:tc>
          <w:tcPr>
            <w:tcW w:w="0" w:type="auto"/>
            <w:hideMark/>
          </w:tcPr>
          <w:p w14:paraId="308FFBE1"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Drive components arranged to attenuate spread beyond a defined number of generations or geographic area</w:t>
            </w:r>
          </w:p>
        </w:tc>
        <w:tc>
          <w:tcPr>
            <w:tcW w:w="0" w:type="auto"/>
            <w:hideMark/>
          </w:tcPr>
          <w:p w14:paraId="1EBEBE7B"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Spatially bounded population control</w:t>
            </w:r>
          </w:p>
        </w:tc>
        <w:tc>
          <w:tcPr>
            <w:tcW w:w="0" w:type="auto"/>
            <w:hideMark/>
          </w:tcPr>
          <w:p w14:paraId="169E4310"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Proposed as containment strategy to reduce risk of uncontrolled spread to non-target populations</w:t>
            </w:r>
          </w:p>
        </w:tc>
      </w:tr>
    </w:tbl>
    <w:p w14:paraId="43FDD8D0"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hAnsi="Times New Roman" w:cs="Times New Roman"/>
        </w:rPr>
        <w:t>Sources: Raban et al. (2023); Connolly et al. (2024); Champer et al. (2019); Faber et al. (2021); Lester et al. (2020); Lester et al. (2023); Noble et al. (2018).</w:t>
      </w:r>
    </w:p>
    <w:p w14:paraId="7C738531"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9. Avian Disease Resistance and Xenotransplantation: Functional Genomics at the Animal–Human Interface</w:t>
      </w:r>
    </w:p>
    <w:p w14:paraId="76C99CA3"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9.1 Genome editing of primordial germ cells in poultry</w:t>
      </w:r>
    </w:p>
    <w:p w14:paraId="2F8B1286"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Avian genome editing has historically lagged behind work in mammals, a gap attributable mainly to the unique reproductive biology of birds, in which the large, yolk-laden egg and the inaccessibility of the early embryo within a hard shell rule out the pronuclear microinjection techniques routinely used in mammalian embryos (He et al., 2025). This obstacle has been substantially overcome through the development of robust in vitro culture systems for chicken primordial germ cells, the migratory precursors of the germline. These cells can be isolated from embryonic blood or developing gonads, expanded and genetically modified in culture using CRISPR–Cas9, and then reintroduced into the vasculature of a recipient embryo to create a germline chimera capable, once it matures and breeds, of passing the engineered modification on to offspring (He et al., 2025). This primordial germ cell-mediated platform has made the chicken a genuinely tractable system for genetic engineering applied to disease </w:t>
      </w:r>
      <w:r w:rsidRPr="00DE76CD">
        <w:rPr>
          <w:rFonts w:ascii="Times New Roman" w:eastAsia="Times New Roman" w:hAnsi="Times New Roman" w:cs="Times New Roman"/>
          <w:sz w:val="24"/>
          <w:szCs w:val="24"/>
          <w:lang w:eastAsia="en-GB"/>
        </w:rPr>
        <w:lastRenderedPageBreak/>
        <w:t>resistance, agricultural trait enhancement, and the development of novel biotechnological platforms, including oviduct-based bioreactors for recombinant protein production.</w:t>
      </w:r>
    </w:p>
    <w:p w14:paraId="05527B85"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The most consequential application of this platform so far addresses avian influenza, a disease of severe and ongoing concern for both poultry welfare and pandemic preparedness. Building on the prior identification of the chicken acidic nuclear phosphoprotein 32 family member ANP32A as an essential host factor co-opted by the influenza A viral polymerase, researchers used CRISPR–Cas9-mediated homology-directed repair to introduce two specific amino acid substitutions into the ANP32A gene of primordial germ cells, then generated homozygous gene-edited chickens that proved resistant to infection following low-dose viral challenge, with nine of ten edited birds remaining uninfected (Idoko-</w:t>
      </w:r>
      <w:proofErr w:type="spellStart"/>
      <w:r w:rsidRPr="00DE76CD">
        <w:rPr>
          <w:rFonts w:ascii="Times New Roman" w:eastAsia="Times New Roman" w:hAnsi="Times New Roman" w:cs="Times New Roman"/>
          <w:sz w:val="24"/>
          <w:szCs w:val="24"/>
          <w:lang w:eastAsia="en-GB"/>
        </w:rPr>
        <w:t>Akoh</w:t>
      </w:r>
      <w:proofErr w:type="spellEnd"/>
      <w:r w:rsidRPr="00DE76CD">
        <w:rPr>
          <w:rFonts w:ascii="Times New Roman" w:eastAsia="Times New Roman" w:hAnsi="Times New Roman" w:cs="Times New Roman"/>
          <w:sz w:val="24"/>
          <w:szCs w:val="24"/>
          <w:lang w:eastAsia="en-GB"/>
        </w:rPr>
        <w:t xml:space="preserve"> et al., 2023). Challenge with a substantially higher viral dose, however, revealed breakthrough infections, and the surviving virus was found to carry adaptive mutations in its own polymerase gene that restored compatibility with the edited ANP32A protein. More strikingly, the virus proved capable of co-opting the related ANP32B and ANP32E paralogues as alternative cofactors once the primary ANP32A pathway was blocked, a redundancy resolved only when the research team additionally disrupted both paralogous genes, achieving complete abrogation of viral growth in cultured cells (Idoko-</w:t>
      </w:r>
      <w:proofErr w:type="spellStart"/>
      <w:r w:rsidRPr="00DE76CD">
        <w:rPr>
          <w:rFonts w:ascii="Times New Roman" w:eastAsia="Times New Roman" w:hAnsi="Times New Roman" w:cs="Times New Roman"/>
          <w:sz w:val="24"/>
          <w:szCs w:val="24"/>
          <w:lang w:eastAsia="en-GB"/>
        </w:rPr>
        <w:t>Akoh</w:t>
      </w:r>
      <w:proofErr w:type="spellEnd"/>
      <w:r w:rsidRPr="00DE76CD">
        <w:rPr>
          <w:rFonts w:ascii="Times New Roman" w:eastAsia="Times New Roman" w:hAnsi="Times New Roman" w:cs="Times New Roman"/>
          <w:sz w:val="24"/>
          <w:szCs w:val="24"/>
          <w:lang w:eastAsia="en-GB"/>
        </w:rPr>
        <w:t xml:space="preserve"> et al., 2023). This result carries an important general lesson for functional genomics applied to host-pathogen interactions across zoology: single-gene disease-resistance interventions aimed at a rapidly evolving pathogen risk being circumvented either through pathogen adaptation at the targeted locus or through exploitation of redundant host pathways, such that durable resistance is likely to require deliberately multiplexed, rather than single-locus, genetic interventions, a conclusion that bears directly on the comparable porcine disease-resistance work discussed in Section 6.</w:t>
      </w:r>
    </w:p>
    <w:p w14:paraId="485952D1"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9.2 Pigs as xenotransplantation donors</w:t>
      </w:r>
    </w:p>
    <w:p w14:paraId="25CAE9EE"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A further domain in which CRISPR-based functional genomics has advanced rapidly at the interface between animal biology and human biomedicine is the genetic engineering of pigs as a source of organs for xenotransplantation, motivated by the severe and persistent shortage of human donor organs. The principal immunological obstacle to pig-to-human xenotransplantation, hyperacute rejection mediated by pre-formed human antibodies against the galactose alpha-1,3-galactose epitope expressed on porcine vascular endothelium, has been addressed through pigs carrying knockouts of the alpha-1,3-galactosyltransferase gene responsible for this epitope, a modification now routinely combined with further </w:t>
      </w:r>
      <w:proofErr w:type="spellStart"/>
      <w:r w:rsidRPr="00DE76CD">
        <w:rPr>
          <w:rFonts w:ascii="Times New Roman" w:eastAsia="Times New Roman" w:hAnsi="Times New Roman" w:cs="Times New Roman"/>
          <w:sz w:val="24"/>
          <w:szCs w:val="24"/>
          <w:lang w:eastAsia="en-GB"/>
        </w:rPr>
        <w:t>xenoantigen</w:t>
      </w:r>
      <w:proofErr w:type="spellEnd"/>
      <w:r w:rsidRPr="00DE76CD">
        <w:rPr>
          <w:rFonts w:ascii="Times New Roman" w:eastAsia="Times New Roman" w:hAnsi="Times New Roman" w:cs="Times New Roman"/>
          <w:sz w:val="24"/>
          <w:szCs w:val="24"/>
          <w:lang w:eastAsia="en-GB"/>
        </w:rPr>
        <w:t>-encoding gene knockouts and the introduction of multiple human complement-regulatory and anticoagulant transgenes to address subsequent layers of immunological and physiological incompatibility (Urban et al., 2025). This multiplexed genetic engineering strategy has moved quickly from laboratory and non-human primate preclinical models towards human clinical application: pig kidneys and hearts carrying as many as ten distinct genetic modifications have now been transplanted into both brain-dead human decedents and, more recently, living human recipients, alongside parallel progress in pig-to-human liver xenotransplantation (Camenzind, 2024).</w:t>
      </w:r>
    </w:p>
    <w:p w14:paraId="747D064E"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This rapid clinical translation has, in turn, prompted commissioned ethical review specifically addressing the animal welfare dimensions of xenotransplantation research and donor animal husbandry, a domain where the genetic engineering itself, however technically sophisticated, is only one part of a much larger programme of intensive animal experimentation, including extensive use of non-human primates in preclinical safety and efficacy testing. An expert ethics committee report has characterised the cumulative welfare burden of this work as the </w:t>
      </w:r>
      <w:r w:rsidRPr="00DE76CD">
        <w:rPr>
          <w:rFonts w:ascii="Times New Roman" w:eastAsia="Times New Roman" w:hAnsi="Times New Roman" w:cs="Times New Roman"/>
          <w:sz w:val="24"/>
          <w:szCs w:val="24"/>
          <w:lang w:eastAsia="en-GB"/>
        </w:rPr>
        <w:lastRenderedPageBreak/>
        <w:t>subject of genuine and unresolved disagreement even among specialists charged with weighing the technology's substantial potential to address otherwise unmet human medical need against the severe strain it places on the animals used to develop it (Camenzind, 2024). This case shows with particular clarity a tension that recurs, in less acute form, throughout this review: the genetic engineering component of a given zoological biotechnology application is often the most scientifically novel element of the overall research programme, yet it is rarely the primary source of the programme's most serious ethical and welfare costs, which more often arise from the broader experimental and husbandry context in which the edited animals are generated, kept, and tested.</w:t>
      </w:r>
    </w:p>
    <w:p w14:paraId="7B67DD09"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10. Off-Target Effects, Detection Methodologies, and Biosafety</w:t>
      </w:r>
    </w:p>
    <w:p w14:paraId="5A97A877"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10.1 Mechanisms of off-target activity</w:t>
      </w:r>
    </w:p>
    <w:p w14:paraId="0726C35D"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 persistent technical limitation qualifying enthusiasm for CRISPR-based functional genomics across every application discussed above is the possibility that the Cas9-guide RNA complex will bind and cleave genomic sequences other than the intended target, owing to partial sequence complementarity between the guide RNA and unintended genomic loci, or to the protospacer-adjacent motif tolerance of certain Cas9 variants. Such off-target mutagenesis matters particularly in zoological functional genomics because an unintended mutation at a locus other than the gene under study can confound interpretation, potentially attributing to the intended target gene a phenotype that, in reality, arises from collateral damage elsewhere in the genome. In applied contexts such as livestock and conservation genome editing, off-target mutations additionally raise direct animal welfare and ecological safety concerns, particularly where the edited organism is destined for environmental release or food production (Carrington et al., 2022). The robustness of any functional genomic conclusion therefore depends critically on how sensitive and comprehensive the methods are, both for confirming the intended on-target edit and for screening for unintended off-target modification, a dependency that has motivated substantial independent investment in indel detection and off-target discovery technology running parallel to the application-focused research surveyed in earlier sections (Carrington et al., 2022).</w:t>
      </w:r>
    </w:p>
    <w:p w14:paraId="75216A00"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10.2 Detection technologies</w:t>
      </w:r>
    </w:p>
    <w:p w14:paraId="1DEC6A14"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Considerable methodological innovation has gone into improving the sensitivity with which off-target mutagenesis can be detected, particularly within living animals rather than the more readily characterised cultured cell systems where tissue heterogeneity in vivo has historically limited assay sensitivity. One influential approach exploits the transient recruitment of the endogenous DNA repair factor MRE11 to sites of Cas-induced double-stranded breaks, using chromatin immunoprecipitation followed by sequencing to map the genome-wide distribution of repair factor binding and so infer the location of both intended and unintended cleavage events. A refinement of this approach, achieved by pharmacologically prolonging MRE11 residence time at damage sites through inhibition of a competing repair kinase, has been shown to discover up to fivefold more off-target sites than the original method across immortalised cell lines, primary human cells, and, importantly for zoological applications, living mice subjected to in vivo adenoviral delivery of a Cas9-guide RNA targeting a cardiovascular risk gene. This makes the refined approach among the most sensitive currently available methods for in vivo off-target discovery (Zou et al., 2023).</w:t>
      </w:r>
    </w:p>
    <w:p w14:paraId="11AE4049"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A complementary and more recently developed approach instead exploits the single-stranded DNA intermediates generated during the cellular response to genome editing, tracking the binding of replication protein A, a protein that coats and protects exposed single-stranded DNA, to identify both on-target and off-target editing events across a notably broad range of genome editor modalities, including conventional Cas9 nucleases, cytosine and adenine base editors, and prime editors, while requiring comparatively little cellular input and remaining applicable in vitro, ex vivo, and in vivo (Zhu et al., 2024). A particularly consequential finding from this work is that off-target effects associated with a single, identical guide RNA can vary substantially depending on both the specific genome editor modality used and the particular cell type or tissue context in which editing is performed. This carries an important methodological implication: off-target risk assessments conducted in a convenient surrogate cell line cannot be assumed to generalise reliably to the specific cell type, tissue, or species ultimately targeted in a given functional genomic or applied editing programme, reinforcing a broader theme already visible in the host-pathogen and ecological applications discussed in Sections 8 and 9, namely that biological context-dependence repeatedly undermines straightforward extrapolation from one experimental system to another within this field (Zhu et al., 2024).</w:t>
      </w:r>
    </w:p>
    <w:p w14:paraId="64E4DAC7"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11. Ethical, Regulatory, and Ecological Risk Considerations</w:t>
      </w:r>
    </w:p>
    <w:p w14:paraId="3AA9EF37"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11.1 Animal welfare considerations</w:t>
      </w:r>
    </w:p>
    <w:p w14:paraId="244AF28A"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Applying CRISPR-based genome editing to sentient, captive, and wild animals raises welfare questions that are, in important respects, distinct from, even where they overlap with, the purely scientific and technical considerations addressed elsewhere in this review. As the slick-coat cattle case in Section 6 illustrates, a genetic modification framed in productivity or even welfare-improving terms by its developers does not automatically carry a correspondingly well-substantiated empirical welfare benefit, and independent academic scrutiny applying established animal welfare science frameworks to specific commercial genome-editing applications has identified persistent gaps between regulatory risk characterisations, typically focused narrowly on the molecular safety of the editing process itself, and the broader, still incompletely answered question of whether the resulting animals genuinely experience improved welfare under the environmental conditions the edit is meant to address (</w:t>
      </w:r>
      <w:proofErr w:type="spellStart"/>
      <w:r w:rsidRPr="00DE76CD">
        <w:rPr>
          <w:rFonts w:ascii="Times New Roman" w:eastAsia="Times New Roman" w:hAnsi="Times New Roman" w:cs="Times New Roman"/>
          <w:sz w:val="24"/>
          <w:szCs w:val="24"/>
          <w:lang w:eastAsia="en-GB"/>
        </w:rPr>
        <w:t>Pozzebon</w:t>
      </w:r>
      <w:proofErr w:type="spellEnd"/>
      <w:r w:rsidRPr="00DE76CD">
        <w:rPr>
          <w:rFonts w:ascii="Times New Roman" w:eastAsia="Times New Roman" w:hAnsi="Times New Roman" w:cs="Times New Roman"/>
          <w:sz w:val="24"/>
          <w:szCs w:val="24"/>
          <w:lang w:eastAsia="en-GB"/>
        </w:rPr>
        <w:t xml:space="preserve"> et al., 2024). A structurally similar gap shows up in the xenotransplantation domain, where commissioned ethical review has concluded that the principal unresolved welfare concern attaches less to the genetic engineering procedure itself than to the cumulative experimental burden placed on donor pigs and, especially, on non-human primates used in preclinical validation, a burden whose ethical acceptability remains a matter of genuine, unresolved disagreement even among specialist ethics committee members directly tasked with evaluating it (Camenzind, 2024). Taken together, these cases suggest that responsibly evaluating any proposed zoological genome-editing application requires welfare assessment that goes well beyond the molecular fidelity of the edit itself, encompassing the full experimental, husbandry, and environmental context in which the edited animal is created and subsequently lives.</w:t>
      </w:r>
    </w:p>
    <w:p w14:paraId="6A475EA3"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11.2 Regulatory frameworks</w:t>
      </w:r>
    </w:p>
    <w:p w14:paraId="4F06907F"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The regulatory treatment of genome-edited animals varies considerably across jurisdictions and continues to evolve quickly in response to the pace of underlying scientific development. Within the European Union, the regulatory default has historically treated genome-edited </w:t>
      </w:r>
      <w:r w:rsidRPr="00DE76CD">
        <w:rPr>
          <w:rFonts w:ascii="Times New Roman" w:eastAsia="Times New Roman" w:hAnsi="Times New Roman" w:cs="Times New Roman"/>
          <w:sz w:val="24"/>
          <w:szCs w:val="24"/>
          <w:lang w:eastAsia="en-GB"/>
        </w:rPr>
        <w:lastRenderedPageBreak/>
        <w:t>animals as falling within the scope of existing genetically modified organism legislation, with correspondingly strict pre-market risk assessment requirements. Reflecting the pace of recent biotechnological development, the European Food Safety Authority's Panel on Genetically Modified Organisms has been asked to assess specifically whether existing risk assessment guidance, developed originally with conventional transgenic organisms in mind, remains adequate for the distinct hazard profile presented by animals generated using newer genomic techniques, including targeted mutagenesis achieved without inserting any exogenous deoxyribonucleic acid sequence. The resulting scientific opinion concluded that no novel hazards specifically attributable to the editing process or to the newly introduced trait itself have been identified when such techniques are compared against established genomic techniques or conventional breeding, while also noting that several genome-edited animal products developed elsewhere in the world have already been judged non-genetically-modified, and therefore subject to substantially lighter regulatory treatment, under the differing legislative frameworks of other jurisdictions such as Argentina and Brazil (EFSA Panel on Genetically Modified Organisms et al., 2025). This regulatory divergence, between approaches that treat targeted mutagenesis lacking exogenous DNA insertion as functionally equivalent to conventional breeding and approaches that retain the full genetically modified organism apparatus regardless of the specific molecular mechanism used, is a substantial and currently unresolved source of uncertainty for international trade in genome-edited livestock and aquaculture products. It is itself the subject of ongoing academic and policy commentary arguing that regulatory frameworks would benefit from greater international harmonisation focused on the nature of the resulting genetic change rather than on the specific technological process by which that change was achieved (</w:t>
      </w:r>
      <w:proofErr w:type="spellStart"/>
      <w:r w:rsidRPr="00DE76CD">
        <w:rPr>
          <w:rFonts w:ascii="Times New Roman" w:eastAsia="Times New Roman" w:hAnsi="Times New Roman" w:cs="Times New Roman"/>
          <w:sz w:val="24"/>
          <w:szCs w:val="24"/>
          <w:lang w:eastAsia="en-GB"/>
        </w:rPr>
        <w:t>Laible</w:t>
      </w:r>
      <w:proofErr w:type="spellEnd"/>
      <w:r w:rsidRPr="00DE76CD">
        <w:rPr>
          <w:rFonts w:ascii="Times New Roman" w:eastAsia="Times New Roman" w:hAnsi="Times New Roman" w:cs="Times New Roman"/>
          <w:sz w:val="24"/>
          <w:szCs w:val="24"/>
          <w:lang w:eastAsia="en-GB"/>
        </w:rPr>
        <w:t xml:space="preserve"> &amp; Cigan, 2025; Rodriguez-Villamil et al., 2024).</w:t>
      </w:r>
    </w:p>
    <w:p w14:paraId="49E22696" w14:textId="77777777" w:rsidR="00426439" w:rsidRPr="00DE76CD" w:rsidRDefault="00426439" w:rsidP="00426439">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DE76CD">
        <w:rPr>
          <w:rFonts w:ascii="Times New Roman" w:eastAsia="Times New Roman" w:hAnsi="Times New Roman" w:cs="Times New Roman"/>
          <w:b/>
          <w:bCs/>
          <w:sz w:val="24"/>
          <w:szCs w:val="24"/>
          <w:lang w:eastAsia="en-GB"/>
        </w:rPr>
        <w:t>11.3 Ecological risk assessment of gene drives</w:t>
      </w:r>
    </w:p>
    <w:p w14:paraId="03EF2927"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 drive technologies present a distinct and, in important respects, more acute regulatory and risk-assessment challenge than conventional genome-edited livestock or aquaculture applications, precisely because a successful gene drive release is intended to propagate autonomously through, and potentially beyond, the population it initially targets, a property with no direct precedent in conventional genetically modified organism regulation, which has historically assumed a containable, reproductively confined organism. The detailed problem-formulation exercises conducted ahead of proposed gene drive field trials for malaria vector control, in which researchers and regulators have systematically catalogued plausible causal pathways by which a population-suppression drive release might result in environmental or public health harm, illustrate just how much more elaborate the risk-assessment apparatus for gene drive technologies is becoming relative to conventional genetically modified organisms. That apparatus must explicitly engage with the spatial and temporal dynamics of drive spread across connected populations rather than treating the released organism as a discrete, spatially bounded entity (Connolly et al., 2024). The weight of theoretical and empirical evidence reviewed in Section 8, indicating that even imperfectly efficient drive systems are likely to prove substantially invasive once released into a genetically connected wild population, reinforces a conclusion now broadly shared across the conservation genetics and biosafety literature: responsible gene drive deployment, whether for disease vector or invasive species control, will require molecular containment safeguards engineered into the drive construct from its earliest design stages, rather than relying on population isolation, resistance allele evolution, or after-the-fact regulatory intervention as a substitute for proactive biosafety engineering (Noble et al., 2018; Esvelt &amp; Gemmell, 2017; Champer et al., 2019).</w:t>
      </w:r>
    </w:p>
    <w:p w14:paraId="090A7CC9"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Table 4 draws these regulatory and risk-assessment threads together across the application domains covered in this review, setting out for each the primary focus of current risk assessment and the issue that remains most contested or unresolved. Read alongside the discussion above, the table makes clear that no single regulatory template currently spans the full range of zoological genome-editing applications: livestock and aquaculture editing is converging, unevenly, on a framework that asks whether the resulting genetic change is comparable to conventional breeding, whereas gene drive and xenotransplantation applications raise risk and welfare questions, around uncontrolled spread and cumulative animal experimentation respectively, that existing genetically modified organism and animal research governance structures were not originally designed to handle.</w:t>
      </w:r>
    </w:p>
    <w:p w14:paraId="7261E6A9"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b/>
          <w:bCs/>
          <w:sz w:val="24"/>
          <w:szCs w:val="24"/>
          <w:lang w:eastAsia="en-GB"/>
        </w:rPr>
        <w:t>Table 4. Comparative considerations in the regulatory and ecological risk assessment of genome-edited animals across application domains</w:t>
      </w:r>
    </w:p>
    <w:tbl>
      <w:tblPr>
        <w:tblStyle w:val="MediumShading1-Accent1"/>
        <w:tblW w:w="0" w:type="auto"/>
        <w:tblLook w:val="04A0" w:firstRow="1" w:lastRow="0" w:firstColumn="1" w:lastColumn="0" w:noHBand="0" w:noVBand="1"/>
      </w:tblPr>
      <w:tblGrid>
        <w:gridCol w:w="2868"/>
        <w:gridCol w:w="3049"/>
        <w:gridCol w:w="3325"/>
      </w:tblGrid>
      <w:tr w:rsidR="00426439" w:rsidRPr="00DE76CD" w14:paraId="1AE22A7F" w14:textId="77777777" w:rsidTr="00DE76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0DAD1B7" w14:textId="77777777" w:rsidR="00426439" w:rsidRPr="00DE76CD" w:rsidRDefault="00426439" w:rsidP="00426439">
            <w:pPr>
              <w:jc w:val="center"/>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Application domain</w:t>
            </w:r>
          </w:p>
        </w:tc>
        <w:tc>
          <w:tcPr>
            <w:tcW w:w="0" w:type="auto"/>
            <w:hideMark/>
          </w:tcPr>
          <w:p w14:paraId="55AC17BF"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Primary risk-assessment focus</w:t>
            </w:r>
          </w:p>
        </w:tc>
        <w:tc>
          <w:tcPr>
            <w:tcW w:w="0" w:type="auto"/>
            <w:hideMark/>
          </w:tcPr>
          <w:p w14:paraId="4617D20E" w14:textId="77777777" w:rsidR="00426439" w:rsidRPr="00DE76CD" w:rsidRDefault="00426439" w:rsidP="004264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n-GB"/>
              </w:rPr>
            </w:pPr>
            <w:r w:rsidRPr="00DE76CD">
              <w:rPr>
                <w:rFonts w:ascii="Times New Roman" w:eastAsia="Times New Roman" w:hAnsi="Times New Roman" w:cs="Times New Roman"/>
                <w:sz w:val="24"/>
                <w:szCs w:val="24"/>
                <w:lang w:eastAsia="en-GB"/>
              </w:rPr>
              <w:t>Key unresolved or contested issue</w:t>
            </w:r>
          </w:p>
        </w:tc>
      </w:tr>
      <w:tr w:rsidR="00426439" w:rsidRPr="00DE76CD" w14:paraId="071F524A"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850195"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Livestock disease resistance and production traits</w:t>
            </w:r>
          </w:p>
        </w:tc>
        <w:tc>
          <w:tcPr>
            <w:tcW w:w="0" w:type="auto"/>
            <w:hideMark/>
          </w:tcPr>
          <w:p w14:paraId="169A9ADB"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Molecular characterisation; food and feed safety; comparability to conventional breeding</w:t>
            </w:r>
          </w:p>
        </w:tc>
        <w:tc>
          <w:tcPr>
            <w:tcW w:w="0" w:type="auto"/>
            <w:hideMark/>
          </w:tcPr>
          <w:p w14:paraId="4433826C"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Cross-jurisdictional divergence in classification of edits lacking exogenous DNA insertion</w:t>
            </w:r>
          </w:p>
        </w:tc>
      </w:tr>
      <w:tr w:rsidR="00426439" w:rsidRPr="00DE76CD" w14:paraId="7A417E1D"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A48752"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Aquaculture genetic improvement</w:t>
            </w:r>
          </w:p>
        </w:tc>
        <w:tc>
          <w:tcPr>
            <w:tcW w:w="0" w:type="auto"/>
            <w:hideMark/>
          </w:tcPr>
          <w:p w14:paraId="5DE83598"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Genetic and ecological introgression risk into wild stocks; containment</w:t>
            </w:r>
          </w:p>
        </w:tc>
        <w:tc>
          <w:tcPr>
            <w:tcW w:w="0" w:type="auto"/>
            <w:hideMark/>
          </w:tcPr>
          <w:p w14:paraId="305CFC22"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Adequacy of physical and reproductive containment under commercial-scale conditions</w:t>
            </w:r>
          </w:p>
        </w:tc>
      </w:tr>
      <w:tr w:rsidR="00426439" w:rsidRPr="00DE76CD" w14:paraId="27D79E3A"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900F9A"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 drives (disease vector control)</w:t>
            </w:r>
          </w:p>
        </w:tc>
        <w:tc>
          <w:tcPr>
            <w:tcW w:w="0" w:type="auto"/>
            <w:hideMark/>
          </w:tcPr>
          <w:p w14:paraId="5AB36488"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Spatial/temporal spread dynamics; non-target and ecosystem effects; reversibility</w:t>
            </w:r>
          </w:p>
        </w:tc>
        <w:tc>
          <w:tcPr>
            <w:tcW w:w="0" w:type="auto"/>
            <w:hideMark/>
          </w:tcPr>
          <w:p w14:paraId="2F248A3A"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Translation of laboratory cage efficacy to realistic field population dynamics</w:t>
            </w:r>
          </w:p>
        </w:tc>
      </w:tr>
      <w:tr w:rsidR="00426439" w:rsidRPr="00DE76CD" w14:paraId="44755399"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DDD1AB"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Gene drives (invasive species control)</w:t>
            </w:r>
          </w:p>
        </w:tc>
        <w:tc>
          <w:tcPr>
            <w:tcW w:w="0" w:type="auto"/>
            <w:hideMark/>
          </w:tcPr>
          <w:p w14:paraId="79C1423E"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Population connectivity; risk of spread to non-target or native-range populations</w:t>
            </w:r>
          </w:p>
        </w:tc>
        <w:tc>
          <w:tcPr>
            <w:tcW w:w="0" w:type="auto"/>
            <w:hideMark/>
          </w:tcPr>
          <w:p w14:paraId="06173C6A"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Reliability of molecular containment (e.g., split drives, daisy drives) under field conditions</w:t>
            </w:r>
          </w:p>
        </w:tc>
      </w:tr>
      <w:tr w:rsidR="00426439" w:rsidRPr="00DE76CD" w14:paraId="23742A96" w14:textId="77777777" w:rsidTr="00DE76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14EB0C"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Xenotransplantation donor engineering</w:t>
            </w:r>
          </w:p>
        </w:tc>
        <w:tc>
          <w:tcPr>
            <w:tcW w:w="0" w:type="auto"/>
            <w:hideMark/>
          </w:tcPr>
          <w:p w14:paraId="118A1CBB"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Molecular safety of multiplexed edits; zoonotic risk; donor animal welfare</w:t>
            </w:r>
          </w:p>
        </w:tc>
        <w:tc>
          <w:tcPr>
            <w:tcW w:w="0" w:type="auto"/>
            <w:hideMark/>
          </w:tcPr>
          <w:p w14:paraId="7A7CDE96" w14:textId="77777777" w:rsidR="00426439" w:rsidRPr="00DE76CD" w:rsidRDefault="00426439" w:rsidP="004264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Ethical weighting of cumulative preclinical animal experimentation burden against human medical benefit</w:t>
            </w:r>
          </w:p>
        </w:tc>
      </w:tr>
      <w:tr w:rsidR="00426439" w:rsidRPr="00DE76CD" w14:paraId="58C5FAED" w14:textId="77777777" w:rsidTr="00DE76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928D57" w14:textId="77777777" w:rsidR="00426439" w:rsidRPr="00DE76CD" w:rsidRDefault="00426439" w:rsidP="00426439">
            <w:pPr>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Conservation genetic rescue / de-extinction</w:t>
            </w:r>
          </w:p>
        </w:tc>
        <w:tc>
          <w:tcPr>
            <w:tcW w:w="0" w:type="auto"/>
            <w:hideMark/>
          </w:tcPr>
          <w:p w14:paraId="23451C12"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Long-term viability and ecological function of resulting organisms</w:t>
            </w:r>
          </w:p>
        </w:tc>
        <w:tc>
          <w:tcPr>
            <w:tcW w:w="0" w:type="auto"/>
            <w:hideMark/>
          </w:tcPr>
          <w:p w14:paraId="2D52B3BC" w14:textId="77777777" w:rsidR="00426439" w:rsidRPr="00DE76CD" w:rsidRDefault="00426439" w:rsidP="00426439">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Allocation of conservation resources between extant endangered species and de-extinction research</w:t>
            </w:r>
          </w:p>
        </w:tc>
      </w:tr>
    </w:tbl>
    <w:p w14:paraId="3E3848D0"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i/>
          <w:iCs/>
          <w:sz w:val="24"/>
          <w:szCs w:val="24"/>
          <w:lang w:eastAsia="en-GB"/>
        </w:rPr>
        <w:t>Sources: EFSA Panel on Genetically Modified Organisms et al. (2025); Robinson et al. (2024); Connolly et al. (2024); Noble et al. (2018); Camenzind (2024); Turner et al. (2025).</w:t>
      </w:r>
    </w:p>
    <w:p w14:paraId="104E30ED"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12. Future Directions</w:t>
      </w:r>
    </w:p>
    <w:p w14:paraId="22B7B403"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 xml:space="preserve">Several trajectories evident across the literature surveyed in this review are likely to shape the next phase of CRISPR-based functional genomics in zoology. First, base and prime editing technologies, currently concentrated overwhelmingly in mammalian and a small number of vertebrate model systems, can be expected to extend gradually into a wider range of </w:t>
      </w:r>
      <w:r w:rsidRPr="00DE76CD">
        <w:rPr>
          <w:rFonts w:ascii="Times New Roman" w:eastAsia="Times New Roman" w:hAnsi="Times New Roman" w:cs="Times New Roman"/>
          <w:sz w:val="24"/>
          <w:szCs w:val="24"/>
          <w:lang w:eastAsia="en-GB"/>
        </w:rPr>
        <w:lastRenderedPageBreak/>
        <w:t>zoological taxa as delivery and screening methods are adapted to the reproductive and embryological quirks of additional species, opening the door to substantially more precise functional validation of single-nucleotide variants across a broader slice of animal diversity than is currently feasible. Second, the methodological lessons emerging from off-target detection research, particularly the demonstrated context-dependence of editing fidelity across cell types and editor modalities, point towards a growing expectation that functional genomic and applied genome-editing studies will need species- and tissue-specific off-target validation rather than relying on generic safety inferences drawn from a convenient surrogate system. Third, the recurring pattern seen across host-pathogen disease-resistance work in both poultry and pigs, where single-gene interventions have repeatedly proved vulnerable to either pathogen adaptation or host pathway redundancy, suggests that durable disease-resistance editing will increasingly depend on deliberately multiplexed, rather than single-locus, genetic strategies. Finally, the gene drive literature's clear trajectory, from early molecular feasibility demonstrations towards increasingly sophisticated spatial, demographic, and biosafety-focused modelling, indicates that field translation of this technology, where it happens at all, is likely to proceed considerably more cautiously and incrementally than the underlying molecular biology alone might suggest, with regulatory harmonisation and ecological risk characterisation, rather than further gains in editing efficiency, the main rate-limiting steps for the foreseeable future.</w:t>
      </w:r>
    </w:p>
    <w:p w14:paraId="7C81AE9A"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13. Conclusions</w:t>
      </w:r>
    </w:p>
    <w:p w14:paraId="16145025" w14:textId="77777777" w:rsidR="00426439" w:rsidRPr="00DE76CD"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t>CRISPR-based genome editing has, in little more than a decade, transformed the practice of functional genomics across zoology, extending precise, programmable genetic manipulation from a small handful of intensively studied vertebrate model organisms to taxa as varied as butterflies, squid, corals, poultry, and large domesticated mammals. This transformation has paid real scientific dividends, enabling systematic, high-throughput interrogation of gene function in zebrafish and mice, opening previously intractable non-model invertebrates to direct hypothesis testing, and providing the molecular basis for applied work spanning livestock disease resistance, aquaculture sustainability, conservation genetic rescue, and the engineering of pig organs for human xenotransplantation. At the same time, the literature reviewed here consistently shows that technical capability has often run ahead of biological and ecological certainty. Disease-resistance edits targeting single genes have proved vulnerable to pathogen adaptation and host pathway redundancy; gene drives that propagate efficiently in the laboratory have repeatedly proved, once subjected to more careful spatial and demographic modelling, less straightforwardly translatable to decisive field-level population control than initial proof-of-concept results implied; and welfare and ecological risk assessments have, in several well-documented cases, lagged behind the pace of the underlying molecular innovation. The most responsible and scientifically credible applications of this technology are accordingly those that have built this uncertainty explicitly into their design, whether through engineered molecular containment safeguards in gene drive research, multiplexed rather than single-locus disease-resistance strategies, or off-target validation tailored to the particular species and tissue under study. CRISPR-based functional genomics has unmistakably expanded what zoological science can ask and answer; whether that expanded capability turns into durable, ecologically and ethically sound applied outcomes will depend substantially on whether the research community continues to treat technical feasibility and responsible translation as distinct, sequential achievements rather than conflating the two.</w:t>
      </w:r>
    </w:p>
    <w:p w14:paraId="24535B35"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14. Limitations</w:t>
      </w:r>
    </w:p>
    <w:p w14:paraId="2CDEC9D6" w14:textId="77777777" w:rsidR="00426439" w:rsidRDefault="00426439" w:rsidP="00426439">
      <w:pPr>
        <w:spacing w:before="100" w:beforeAutospacing="1" w:after="100" w:afterAutospacing="1" w:line="240" w:lineRule="auto"/>
        <w:rPr>
          <w:rFonts w:ascii="Times New Roman" w:eastAsia="Times New Roman" w:hAnsi="Times New Roman" w:cs="Times New Roman"/>
          <w:sz w:val="24"/>
          <w:szCs w:val="24"/>
          <w:lang w:eastAsia="en-GB"/>
        </w:rPr>
      </w:pPr>
      <w:r w:rsidRPr="00DE76CD">
        <w:rPr>
          <w:rFonts w:ascii="Times New Roman" w:eastAsia="Times New Roman" w:hAnsi="Times New Roman" w:cs="Times New Roman"/>
          <w:sz w:val="24"/>
          <w:szCs w:val="24"/>
          <w:lang w:eastAsia="en-GB"/>
        </w:rPr>
        <w:lastRenderedPageBreak/>
        <w:t>This review is subject to several limitations that bear on how its conclusions should be read. As a narrative rather than systematic review, the selection and synthesis of literature, while conducted according to the transparent search and screening methodology described in Section 2, necessarily reflects a degree of interpretive judgement about relevance and significance that a fully systematic protocol with predefined, exhaustively applied inclusion criteria would minimise; readers seeking a quantitative, exhaustively enumerated account of any single sub-topic addressed here, such as gene drive ecological modelling or livestock disease-resistance editing specifically, should consult dedicated systematic reviews and meta-analyses of those narrower questions. Excluding non-English-language publications, preprints, grey literature, and non-peer-reviewed sources, while consistent with the editorial scope adopted for this article, may have left out relevant findings, particularly emerging work disseminated initially via preprint servers that had not yet completed peer review at the time of writing, a category that includes some closely related demographic and bioinformatic studies referenced only indirectly here. The pace of development in this field is such that any review risks becoming partly outdated quite quickly; several of the regulatory determinations, clinical xenotransplantation milestones, and field-trial planning efforts discussed in this article are likely to have moved on further by the time of publication. Finally, this review has necessarily been selective in its taxonomic and applied coverage, prioritising depth of critical analysis within the domains addressed over exhaustive coverage of every zoological taxon or application area, such as amphibian, reptilian, or further invertebrate functional genomics, where CRISPR-based research is ongoing but was judged, on the evidence currently available, less central to the principal applied and conceptual themes structuring this synthesis.</w:t>
      </w:r>
    </w:p>
    <w:p w14:paraId="1E0CB5A8" w14:textId="77777777" w:rsidR="00B41278" w:rsidRDefault="00B41278" w:rsidP="00426439">
      <w:pPr>
        <w:spacing w:before="100" w:beforeAutospacing="1" w:after="100" w:afterAutospacing="1" w:line="240" w:lineRule="auto"/>
        <w:rPr>
          <w:rFonts w:ascii="Times New Roman" w:eastAsia="Times New Roman" w:hAnsi="Times New Roman" w:cs="Times New Roman"/>
          <w:sz w:val="24"/>
          <w:szCs w:val="24"/>
          <w:lang w:eastAsia="en-GB"/>
        </w:rPr>
      </w:pPr>
    </w:p>
    <w:p w14:paraId="75C3E52B" w14:textId="77777777" w:rsidR="00B41278" w:rsidRPr="00C04DA0" w:rsidRDefault="00B41278" w:rsidP="00B41278">
      <w:pPr>
        <w:spacing w:after="0" w:line="240" w:lineRule="auto"/>
        <w:rPr>
          <w:rFonts w:ascii="Times New Roman" w:eastAsia="Calibri" w:hAnsi="Times New Roman" w:cs="Times New Roman"/>
          <w:b/>
        </w:rPr>
      </w:pPr>
      <w:r w:rsidRPr="00C04DA0">
        <w:rPr>
          <w:rFonts w:ascii="Times New Roman" w:eastAsia="Calibri" w:hAnsi="Times New Roman" w:cs="Times New Roman"/>
          <w:b/>
        </w:rPr>
        <w:t>Declaration of AI Use</w:t>
      </w:r>
    </w:p>
    <w:p w14:paraId="773B9DF3" w14:textId="77777777" w:rsidR="00B41278" w:rsidRPr="00C04DA0" w:rsidRDefault="00B41278" w:rsidP="00B41278">
      <w:pPr>
        <w:spacing w:after="0" w:line="240" w:lineRule="auto"/>
        <w:rPr>
          <w:rFonts w:ascii="Times New Roman" w:eastAsia="Calibri" w:hAnsi="Times New Roman" w:cs="Times New Roman"/>
        </w:rPr>
      </w:pPr>
    </w:p>
    <w:p w14:paraId="452772E1" w14:textId="77777777" w:rsidR="00B41278" w:rsidRDefault="00B41278" w:rsidP="00B41278">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2D64D6D" w14:textId="77777777" w:rsidR="00B41278" w:rsidRPr="00C04DA0" w:rsidRDefault="00B41278" w:rsidP="00B41278">
      <w:pPr>
        <w:spacing w:after="0" w:line="240" w:lineRule="auto"/>
        <w:jc w:val="both"/>
        <w:rPr>
          <w:rFonts w:ascii="Times New Roman" w:eastAsia="Calibri" w:hAnsi="Times New Roman" w:cs="Times New Roman"/>
        </w:rPr>
      </w:pPr>
    </w:p>
    <w:p w14:paraId="660F3CF7" w14:textId="77777777" w:rsidR="00B41278" w:rsidRPr="00B41278" w:rsidRDefault="00B41278" w:rsidP="00B41278">
      <w:pPr>
        <w:rPr>
          <w:rFonts w:ascii="Arial" w:eastAsiaTheme="minorEastAsia" w:hAnsi="Arial" w:cs="Arial"/>
          <w:b/>
          <w:bCs/>
          <w:lang w:eastAsia="en-GB"/>
        </w:rPr>
      </w:pPr>
      <w:r w:rsidRPr="00B41278">
        <w:rPr>
          <w:rFonts w:ascii="Arial" w:eastAsiaTheme="minorEastAsia" w:hAnsi="Arial" w:cs="Arial"/>
          <w:b/>
          <w:bCs/>
          <w:lang w:eastAsia="en-GB"/>
        </w:rPr>
        <w:t>COMPETING INTERESTS DISCLAIMER:</w:t>
      </w:r>
    </w:p>
    <w:p w14:paraId="71A2B927" w14:textId="77777777" w:rsidR="00B41278" w:rsidRPr="00B41278" w:rsidRDefault="00B41278" w:rsidP="00B41278">
      <w:pPr>
        <w:rPr>
          <w:rFonts w:eastAsiaTheme="minorEastAsia"/>
          <w:lang w:eastAsia="en-GB"/>
        </w:rPr>
      </w:pPr>
      <w:r w:rsidRPr="00B41278">
        <w:rPr>
          <w:rFonts w:ascii="Arial" w:eastAsiaTheme="minorEastAsia" w:hAnsi="Arial" w:cs="Arial"/>
          <w:b/>
          <w:bCs/>
          <w:lang w:eastAsia="en-GB"/>
        </w:rPr>
        <w:t>Authors have declared that they have no known competing financial interests OR non-financial interests OR personal relationships that could have appeared to influence the work reported in this paper.</w:t>
      </w:r>
    </w:p>
    <w:p w14:paraId="1BCF0920" w14:textId="77777777" w:rsidR="00B41278" w:rsidRPr="00DE76CD" w:rsidRDefault="00B41278" w:rsidP="00426439">
      <w:pPr>
        <w:spacing w:before="100" w:beforeAutospacing="1" w:after="100" w:afterAutospacing="1" w:line="240" w:lineRule="auto"/>
        <w:rPr>
          <w:rFonts w:ascii="Times New Roman" w:eastAsia="Times New Roman" w:hAnsi="Times New Roman" w:cs="Times New Roman"/>
          <w:sz w:val="24"/>
          <w:szCs w:val="24"/>
          <w:lang w:eastAsia="en-GB"/>
        </w:rPr>
      </w:pPr>
    </w:p>
    <w:p w14:paraId="79F1D873" w14:textId="77777777" w:rsidR="00426439" w:rsidRPr="00DE76CD" w:rsidRDefault="00426439" w:rsidP="00426439">
      <w:pPr>
        <w:spacing w:after="0" w:line="240" w:lineRule="auto"/>
        <w:rPr>
          <w:rFonts w:ascii="Times New Roman" w:eastAsia="Times New Roman" w:hAnsi="Times New Roman" w:cs="Times New Roman"/>
          <w:sz w:val="24"/>
          <w:szCs w:val="24"/>
          <w:lang w:eastAsia="en-GB"/>
        </w:rPr>
      </w:pPr>
    </w:p>
    <w:p w14:paraId="4E09BF71" w14:textId="77777777" w:rsidR="00426439" w:rsidRPr="00DE76CD" w:rsidRDefault="00426439" w:rsidP="00426439">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DE76CD">
        <w:rPr>
          <w:rFonts w:ascii="Times New Roman" w:eastAsia="Times New Roman" w:hAnsi="Times New Roman" w:cs="Times New Roman"/>
          <w:b/>
          <w:bCs/>
          <w:sz w:val="27"/>
          <w:szCs w:val="27"/>
          <w:lang w:eastAsia="en-GB"/>
        </w:rPr>
        <w:t>References</w:t>
      </w:r>
    </w:p>
    <w:p w14:paraId="67024211"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lastRenderedPageBreak/>
        <w:t>Ahmed, H. M. M., Zheng, L., &amp; Hunnekuhl, V. S. (2025). Transferable approaches to CRISPR-Cas9 induced genome editing in non-model insects: A brief guide. Frontiers in Zoology, 22, Article 13. https://doi.org/10.1186/s12983-025-00566-2</w:t>
      </w:r>
    </w:p>
    <w:p w14:paraId="5CAD7538"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Ahuja, N., Hwaun, E., Pungor, J. R., Rafiq, R., Nemes, S., Sakmar, T., Vogt, M. A., Grasse, B., Diaz Quiroz, J., Montague, T. G., Null, R. W., Dallis, D. N., Gavriouchkina, D., Marletaz, F., Abbo, L., Rokhsar, D. S., Niell, C. M., Soltesz, I., Albertin, C. B., &amp; Rosenthal, J. J. C. (2023). Creation of an albino squid line by CRISPR-Cas9 and its application for in vivo functional imaging of neural activity. Current Biology, 33(13), 2774–2783.e5. https://doi.org/10.1016/j.cub.2023.05.066</w:t>
      </w:r>
    </w:p>
    <w:p w14:paraId="0576C688"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 xml:space="preserve">Banerjee, T. D., &amp; Monteiro, A. (2018). CRISPR-Cas9 mediated genome editing in </w:t>
      </w:r>
      <w:r w:rsidRPr="00DE76CD">
        <w:rPr>
          <w:rFonts w:ascii="Times New Roman" w:hAnsi="Times New Roman" w:cs="Times New Roman"/>
          <w:i/>
        </w:rPr>
        <w:t>Bicyclus anynana</w:t>
      </w:r>
      <w:r w:rsidRPr="00DE76CD">
        <w:rPr>
          <w:rFonts w:ascii="Times New Roman" w:hAnsi="Times New Roman" w:cs="Times New Roman"/>
        </w:rPr>
        <w:t xml:space="preserve"> butterflies. Methods and Protocols, 1(2), Article 16. https://doi.org/10.3390/mps1020016</w:t>
      </w:r>
    </w:p>
    <w:p w14:paraId="38AAF313"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Camenzind, S. (2024). Xenotransplantation in the age of genome editing: Results from the expert report for the Federal Ethics Committee on Nonhuman Biotechnology with a special focus on animal ethics. Xenotransplantation, 31(6), e70008. https://doi.org/10.1111/xen.70008</w:t>
      </w:r>
    </w:p>
    <w:p w14:paraId="113BE510"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Carrington, B., Bishop, K., &amp; Sood, R. (2022). A comprehensive review of indel detection methods for identification of zebrafish knockout mutants generated by genome-editing nucleases. Genes, 13(5), Article 857. https://doi.org/10.3390/genes13050857</w:t>
      </w:r>
    </w:p>
    <w:p w14:paraId="41CF6364"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Champer, J., Chung, J., Lee, Y. L., Liu, C., Yang, E., Wen, Z., Clark, A. G., &amp; Messer, P. W. (2019). Molecular safeguarding of CRISPR gene drive experiments. eLife, 8, e41439. https://doi.org/10.7554/eLife.41439</w:t>
      </w:r>
    </w:p>
    <w:p w14:paraId="4C24BF3B"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Choe, S.-K., &amp; Kim, C.-H. (2023). Zebrafish: A powerful model for genetics and genomics. International Journal of Molecular Sciences, 24(9), Article 8169. https://doi.org/10.3390/ijms24098169</w:t>
      </w:r>
    </w:p>
    <w:p w14:paraId="38C91459"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Cleves, P. A., Tinoco, A. I., Bradford, J., Perrin, D., Bay, L. K., &amp; Pringle, J. R. (2020). Reduced thermal tolerance in a coral carrying CRISPR-induced mutations in the gene for a heat-shock transcription factor. Proceedings of the National Academy of Sciences, 117(46), 28899–28905. https://doi.org/10.1073/pnas.1920779117</w:t>
      </w:r>
    </w:p>
    <w:p w14:paraId="151E72FA"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Connolly, J. B., Burt, A., Christophides, G., Diabate, A., Habtewold, T., Hancock, P. A., James, A. A., Kayondo, J. K., Lwetoijera, D. W., Manjurano, A., McKemey, A. R., Santos, M. R., Windbichler, N., &amp; Randazzo, F. (2024). Considerations for first field trials of low-threshold gene drive for malaria vector control. Malaria Journal, 23, Article 156. https://doi.org/10.1186/s12936-024-04952-9</w:t>
      </w:r>
    </w:p>
    <w:p w14:paraId="4C2D8FBA"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EFSA Panel on Genetically Modified Organisms (GMO), Casacuberta, J., Barro, F., Braeuning, A., de Maagd, R., Epstein, M. M., Frenzel, T., Gallois, J.-L., Koning, F., Messéan, A., Moreno, F. J., Nogué, F., Schulman, A. H., Tebbe, C., Veromann, E., Firbank, L., Glandorf, D., Herskin, M. S., Lillico, S. G., Ornsrud, R., Troedsson-Wargelius, A., Ardizzone, M., Lenzi, P., Camargo, A. M., Papadopoulou, N., Schoonjans, R., Vitali, M., &amp; Savoini, G. (2025). New developments in biotechnology applied to animals: An assessment of the adequacy and sufficiency of current EFSA guidance for animal risk assessment. EFSA Journal, 23(8), e9566. https://doi.org/10.2903/j.efsa.2025.9566</w:t>
      </w:r>
    </w:p>
    <w:p w14:paraId="0AEFA12C"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Esvelt, K. M., &amp; Gemmell, N. J. (2017). Conservation demands safe gene drive. PLOS Biology, 15(11), e2003850. https://doi.org/10.1371/journal.pbio.2003850</w:t>
      </w:r>
    </w:p>
    <w:p w14:paraId="2606DD38"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lastRenderedPageBreak/>
        <w:t>Faber, N. R., McFarlane, G. R., Gaynor, R. C., Pocrnic, I., Whitelaw, C. B. A., &amp; Gorjanc, G. (2021). Novel combination of CRISPR-based gene drives eliminates resistance and localises spread. Scientific Reports, 11, Article 3719. https://doi.org/10.1038/s41598-021-83239-4</w:t>
      </w:r>
    </w:p>
    <w:p w14:paraId="706164B7"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Greenhalgh, T., Thorne, S., &amp; Malterud, K. (2018). Time to challenge the spurious hierarchy of systematic over narrative reviews? European Journal of Clinical Investigation, 48(6), e12931. https://doi.org/10.1111/eci.12931</w:t>
      </w:r>
    </w:p>
    <w:p w14:paraId="6361A33C"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Gutási, A., Hammer, S. E., El-Matbouli, M., &amp; Saleh, M. (2023). Recent applications of gene editing in fish species and aquatic medicine. Animals, 13(7), Article 1250. https://doi.org/10.3390/ani13071250</w:t>
      </w:r>
    </w:p>
    <w:p w14:paraId="33C01E39"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He, J., Shi, N., Yao, H., Li, J., Wang, Y., &amp; Zhang, J. (2025). Genome editing in the chicken: From PGC-mediated germline transmission to advanced applications. International Journal of Molecular Sciences, 26(19), Article 9426. https://doi.org/10.3390/ijms26199426</w:t>
      </w:r>
    </w:p>
    <w:p w14:paraId="6C5439FC"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Idoko-Akoh, A., Goldhill, D. H., Sheppard, C. M., Bialy, D., Quantrill, J. L., Sukhova, K., Brown, J. C., Richardson, S., Campbell, C., Taylor, L., Sherman, A., Nazki, S., Long, J. S., Skinner, M. A., Shelton, H., Sang, H. M., Barclay, W. S., &amp; McGrew, M. J. (2023). Creating resistance to avian influenza infection through genome editing of the ANP32 gene family. Nature Communications, 14, Article 6136. https://doi.org/10.1038/s41467-023-41476-3</w:t>
      </w:r>
    </w:p>
    <w:p w14:paraId="76416B1C"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Kim, S., Park, Y.-G., Choi, J.-h., &amp; Moon, S.-H. (2026). CRISPR technology for livestock improvement: Advances and future directions. Molecular Biotechnology, 68, 2185–2200. https://doi.org/10.1007/s12033-025-01532-3</w:t>
      </w:r>
    </w:p>
    <w:p w14:paraId="46B70709"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Korody, M. L., &amp; Hildebrandt, T. B. (2025). Progress toward genetic rescue of the northern white rhinoceros (</w:t>
      </w:r>
      <w:r w:rsidRPr="00DE76CD">
        <w:rPr>
          <w:rFonts w:ascii="Times New Roman" w:hAnsi="Times New Roman" w:cs="Times New Roman"/>
          <w:i/>
        </w:rPr>
        <w:t>Ceratotherium simum cottoni</w:t>
      </w:r>
      <w:r w:rsidRPr="00DE76CD">
        <w:rPr>
          <w:rFonts w:ascii="Times New Roman" w:hAnsi="Times New Roman" w:cs="Times New Roman"/>
        </w:rPr>
        <w:t>). Annual Review of Animal Biosciences, 13, 483–505. https://doi.org/10.1146/annurev-animal-111523-102158</w:t>
      </w:r>
    </w:p>
    <w:p w14:paraId="7695B377"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Laible, G., &amp; Cigan, M. (2025). Editorial: Insights in genome editing in animals 2023/2024. Frontiers in Genome Editing, 7, Article 1556425. https://doi.org/10.3389/fgeed.2025.1556425</w:t>
      </w:r>
    </w:p>
    <w:p w14:paraId="6812DC35"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Lester, P. J., Bulgarella, M., Baty, J. W., Dearden, P. K., Guhlin, J., &amp; Kean, J. M. (2020). The potential for a CRISPR gene drive to eradicate or suppress globally invasive social wasps. Scientific Reports, 10, Article 12398. https://doi.org/10.1038/s41598-020-69259-6</w:t>
      </w:r>
    </w:p>
    <w:p w14:paraId="3696C063"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Lester, P. J., O'Sullivan, D., &amp; Perry, G. L. W. (2023). Gene drives for invasive wasp control: Extinction is unlikely, with suppression dependent on dispersal and growth rates. Ecological Applications, 33(7), e2912. https://doi.org/10.1002/eap.2912</w:t>
      </w:r>
    </w:p>
    <w:p w14:paraId="505F555A"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Noble, C., Adlam, B., Church, G. M., Esvelt, K. M., &amp; Nowak, M. A. (2018). Current CRISPR gene drive systems are likely to be highly invasive in wild populations. eLife, 7, e33423. https://doi.org/10.7554/eLife.33423</w:t>
      </w:r>
    </w:p>
    <w:p w14:paraId="745A5128"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 xml:space="preserve">Port, F., Strein, C., Stricker, M., Rauscher, B., Heigwer, F., Zhou, J., Beyersdörffer, C., Frei, J., Hess, A., Kern, K., Lange, L., Langner, N., Malamud, R., Pavlović, B., Rädecke, K., Schmitt, L., Voos, L., Valentini, E., &amp; Boutros, M. (2020). A large-scale resource for tissue-specific CRISPR mutagenesis in </w:t>
      </w:r>
      <w:r w:rsidRPr="00DE76CD">
        <w:rPr>
          <w:rFonts w:ascii="Times New Roman" w:hAnsi="Times New Roman" w:cs="Times New Roman"/>
          <w:i/>
        </w:rPr>
        <w:t>Drosophila</w:t>
      </w:r>
      <w:r w:rsidRPr="00DE76CD">
        <w:rPr>
          <w:rFonts w:ascii="Times New Roman" w:hAnsi="Times New Roman" w:cs="Times New Roman"/>
        </w:rPr>
        <w:t>. eLife, 9, e53865. https://doi.org/10.7554/eLife.53865</w:t>
      </w:r>
    </w:p>
    <w:p w14:paraId="47E86836"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Pozzebon, M., Guldbrandtsen, B., &amp; Sandøe, P. (2024). Gene editing cattle for enhancing heat tolerance: A welfare review of the PRLR-SLICK cattle case. NanoEthics, 18(2), Article 6. https://doi.org/10.1007/s11569-024-00455-8</w:t>
      </w:r>
    </w:p>
    <w:p w14:paraId="39F2C30C"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lastRenderedPageBreak/>
        <w:t>Raban, R., Marshall, J. M., Hay, B. A., &amp; Akbari, O. S. (2023). Manipulating the destiny of wild populations using CRISPR. Annual Review of Genetics, 57, 361–390. https://doi.org/10.1146/annurev-genet-031623-105059</w:t>
      </w:r>
    </w:p>
    <w:p w14:paraId="31317EA0"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Robinson, N. A., Østbye, T.-K. K., Kettunen, A. H., Coates, A., Barrett, L. T., Robledo, D., &amp; Dempster, T. D. (2024). A guide to assess the use of gene editing in aquaculture. Reviews in Aquaculture, 16(2), 775–784. https://doi.org/10.1111/raq.12866</w:t>
      </w:r>
    </w:p>
    <w:p w14:paraId="52D37CBE"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Rodriguez-Villamil, P., Beaton, B. P., &amp; Krisher, R. L. (2024). Gene editing in livestock: Innovations and applications. Animal Reproduction, 21(3), e20240054. https://doi.org/10.1590/1984-3143-AR2024-0054</w:t>
      </w:r>
    </w:p>
    <w:p w14:paraId="16655CD8"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Shapiro, B. (2017). Pathways to de-extinction: How close can we get to resurrection of an extinct species? Functional Ecology, 31(5), 996–1002. https://doi.org/10.1111/1365-2435.12705</w:t>
      </w:r>
    </w:p>
    <w:p w14:paraId="49A77973"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Straume, A. H., Kjærner-Semb, E., Skaftnesmo, K. O., Güralp, H., Lillico, S., Wargelius, A., &amp; Edvardsen, R. B. (2021). Single nucleotide replacement in the Atlantic salmon genome using CRISPR/Cas9 and asymmetrical oligonucleotide donors. BMC Genomics, 22, Article 549. https://doi.org/10.1186/s12864-021-07823-8</w:t>
      </w:r>
    </w:p>
    <w:p w14:paraId="38EB0659"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Turner, S. D., Keyte, A., Pask, A., &amp; Shapiro, B. (2025). De-extinction technology and its application to conservation. Journal of Heredity, Advance online publication, esaf069. https://doi.org/10.1093/jhered/esaf069</w:t>
      </w:r>
    </w:p>
    <w:p w14:paraId="2B5F4872"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Urban, W., Kropacz, M., Łach, M., &amp; Jankowska, A. (2025). CRISPR-Cas9 in the tailoring of genetically engineered animals. Current Issues in Molecular Biology, 47(5), Article 330. https://doi.org/10.3390/cimb47050330</w:t>
      </w:r>
    </w:p>
    <w:p w14:paraId="016AF52A"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Varshney, G. K., &amp; Burgess, S. M. (2025). CRISPR-based functional genomics tools in vertebrate models. Experimental &amp; Molecular Medicine, 57(7), 1355–1372. https://doi.org/10.1038/s12276-025-01514-0</w:t>
      </w:r>
    </w:p>
    <w:p w14:paraId="7F4C0520"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Wang, J., Zhang, L., Pan, C., Lan, X., Xing, B., &amp; Li, M. (2025). Application of gene editing technology in livestock: Progress, challenges, and future perspectives. Agriculture, 15(20), Article 2155. https://doi.org/10.3390/agriculture15202155</w:t>
      </w:r>
    </w:p>
    <w:p w14:paraId="226D97A9"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Webber, B. L., Raghu, S., &amp; Edwards, O. R. (2015). Opinion: Is CRISPR-based gene drive a biocontrol silver bullet or global conservation threat? Proceedings of the National Academy of Sciences, 112(34), 10565–10567. https://doi.org/10.1073/pnas.1514258112</w:t>
      </w:r>
    </w:p>
    <w:p w14:paraId="615FF726"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Whitworth, K. M., Rowland, R. R. R., Ewen, C. L., Trible, B. R., Kerrigan, M. A., Cino-Ozuna, A. G., Samuel, M. S., Lightner, J. E., McLaren, D. G., Mileham, A. J., Wells, K. D., &amp; Prather, R. S. (2016). Gene-edited pigs are protected from porcine reproductive and respiratory syndrome virus. Nature Biotechnology, 34(1), 20–22. https://doi.org/10.1038/nbt.3434</w:t>
      </w:r>
    </w:p>
    <w:p w14:paraId="399954F5"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Zhu, M., Xu, R., Yuan, J., Wang, J., Ren, X., Cong, T., You, Y., Ju, A., Xu, L., Wang, H., Zheng, P., Tao, H., Lin, C., Yu, H., Du, J., Lin, X., Xie, W., Li, Y., &amp; Lan, X. (2024). Tracking-seq reveals the heterogeneity of off-target effects in CRISPR–Cas9-mediated genome editing. Nature Biotechnology, 43(5), 799–810. https://doi.org/10.1038/s41587-024-02307-y</w:t>
      </w:r>
    </w:p>
    <w:p w14:paraId="4A5D00E9" w14:textId="77777777" w:rsidR="00426439" w:rsidRPr="00DE76CD" w:rsidRDefault="00426439" w:rsidP="00426439">
      <w:pPr>
        <w:spacing w:before="100" w:beforeAutospacing="1" w:after="100" w:afterAutospacing="1" w:line="240" w:lineRule="auto"/>
        <w:ind w:left="720" w:hanging="720"/>
        <w:rPr>
          <w:rFonts w:ascii="Times New Roman" w:eastAsia="Times New Roman" w:hAnsi="Times New Roman" w:cs="Times New Roman"/>
          <w:sz w:val="24"/>
          <w:szCs w:val="24"/>
          <w:lang w:eastAsia="en-GB"/>
        </w:rPr>
      </w:pPr>
      <w:r w:rsidRPr="00DE76CD">
        <w:rPr>
          <w:rFonts w:ascii="Times New Roman" w:hAnsi="Times New Roman" w:cs="Times New Roman"/>
        </w:rPr>
        <w:t xml:space="preserve">Zou, R. S., Liu, Y., Reyes Gaido, O. E., Konig, M. F., Mog, B. J., Shen, L. L., Aviles-Vazquez, F., Marin-Gonzalez, A., &amp; Ha, T. (2023). Improving the sensitivity of in vivo CRISPR off-target </w:t>
      </w:r>
      <w:r w:rsidRPr="00DE76CD">
        <w:rPr>
          <w:rFonts w:ascii="Times New Roman" w:hAnsi="Times New Roman" w:cs="Times New Roman"/>
        </w:rPr>
        <w:lastRenderedPageBreak/>
        <w:t>detection with DISCOVER-Seq+. Nature Methods, 20(5), 706–713. https://doi.org/10.1038/s41592-023-01840-z</w:t>
      </w:r>
    </w:p>
    <w:sectPr w:rsidR="00426439" w:rsidRPr="00DE76CD"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FCD1" w14:textId="77777777" w:rsidR="00B04B71" w:rsidRDefault="00B04B71" w:rsidP="00EE7ADF">
      <w:pPr>
        <w:spacing w:after="0" w:line="240" w:lineRule="auto"/>
      </w:pPr>
      <w:r>
        <w:separator/>
      </w:r>
    </w:p>
  </w:endnote>
  <w:endnote w:type="continuationSeparator" w:id="0">
    <w:p w14:paraId="61313AD2" w14:textId="77777777" w:rsidR="00B04B71" w:rsidRDefault="00B04B71" w:rsidP="00EE7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D7A4" w14:textId="77777777" w:rsidR="00EE7ADF" w:rsidRDefault="00EE7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6290" w14:textId="77777777" w:rsidR="00EE7ADF" w:rsidRDefault="00EE7A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4198" w14:textId="77777777" w:rsidR="00EE7ADF" w:rsidRDefault="00EE7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C8A5" w14:textId="77777777" w:rsidR="00B04B71" w:rsidRDefault="00B04B71" w:rsidP="00EE7ADF">
      <w:pPr>
        <w:spacing w:after="0" w:line="240" w:lineRule="auto"/>
      </w:pPr>
      <w:r>
        <w:separator/>
      </w:r>
    </w:p>
  </w:footnote>
  <w:footnote w:type="continuationSeparator" w:id="0">
    <w:p w14:paraId="4CB524D8" w14:textId="77777777" w:rsidR="00B04B71" w:rsidRDefault="00B04B71" w:rsidP="00EE7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5416" w14:textId="05258599" w:rsidR="00EE7ADF" w:rsidRDefault="00EE7ADF">
    <w:pPr>
      <w:pStyle w:val="Header"/>
    </w:pPr>
    <w:r>
      <w:rPr>
        <w:noProof/>
      </w:rPr>
      <w:pict w14:anchorId="62D7A0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5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34AC" w14:textId="2FE2BC26" w:rsidR="00EE7ADF" w:rsidRDefault="00EE7ADF">
    <w:pPr>
      <w:pStyle w:val="Header"/>
    </w:pPr>
    <w:r>
      <w:rPr>
        <w:noProof/>
      </w:rPr>
      <w:pict w14:anchorId="49968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5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6953" w14:textId="657D9853" w:rsidR="00EE7ADF" w:rsidRDefault="00EE7ADF">
    <w:pPr>
      <w:pStyle w:val="Header"/>
    </w:pPr>
    <w:r>
      <w:rPr>
        <w:noProof/>
      </w:rPr>
      <w:pict w14:anchorId="0819EB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3915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6439"/>
    <w:rsid w:val="00332937"/>
    <w:rsid w:val="00426439"/>
    <w:rsid w:val="004841B3"/>
    <w:rsid w:val="009126DB"/>
    <w:rsid w:val="00917CB3"/>
    <w:rsid w:val="00B04B71"/>
    <w:rsid w:val="00B41278"/>
    <w:rsid w:val="00DE76CD"/>
    <w:rsid w:val="00EE7ADF"/>
    <w:rsid w:val="00F33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852C3"/>
  <w15:docId w15:val="{AD814A7F-60FE-404D-BACA-C59D41AD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42643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43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43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43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439"/>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439"/>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264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439"/>
    <w:rPr>
      <w:b/>
      <w:bCs/>
    </w:rPr>
  </w:style>
  <w:style w:type="character" w:styleId="Emphasis">
    <w:name w:val="Emphasis"/>
    <w:basedOn w:val="DefaultParagraphFont"/>
    <w:uiPriority w:val="20"/>
    <w:qFormat/>
    <w:rsid w:val="00426439"/>
    <w:rPr>
      <w:i/>
      <w:iCs/>
    </w:rPr>
  </w:style>
  <w:style w:type="character" w:styleId="Hyperlink">
    <w:name w:val="Hyperlink"/>
    <w:basedOn w:val="DefaultParagraphFont"/>
    <w:uiPriority w:val="99"/>
    <w:semiHidden/>
    <w:unhideWhenUsed/>
    <w:rsid w:val="00426439"/>
    <w:rPr>
      <w:color w:val="0000FF"/>
      <w:u w:val="single"/>
    </w:rPr>
  </w:style>
  <w:style w:type="table" w:styleId="LightShading-Accent1">
    <w:name w:val="Light Shading Accent 1"/>
    <w:basedOn w:val="TableNormal"/>
    <w:uiPriority w:val="60"/>
    <w:rsid w:val="00DE76C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DE7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DE76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EE7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7ADF"/>
  </w:style>
  <w:style w:type="paragraph" w:styleId="Footer">
    <w:name w:val="footer"/>
    <w:basedOn w:val="Normal"/>
    <w:link w:val="FooterChar"/>
    <w:uiPriority w:val="99"/>
    <w:unhideWhenUsed/>
    <w:rsid w:val="00EE7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7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4844">
      <w:bodyDiv w:val="1"/>
      <w:marLeft w:val="0"/>
      <w:marRight w:val="0"/>
      <w:marTop w:val="0"/>
      <w:marBottom w:val="0"/>
      <w:divBdr>
        <w:top w:val="none" w:sz="0" w:space="0" w:color="auto"/>
        <w:left w:val="none" w:sz="0" w:space="0" w:color="auto"/>
        <w:bottom w:val="none" w:sz="0" w:space="0" w:color="auto"/>
        <w:right w:val="none" w:sz="0" w:space="0" w:color="auto"/>
      </w:divBdr>
      <w:divsChild>
        <w:div w:id="1837762044">
          <w:marLeft w:val="0"/>
          <w:marRight w:val="0"/>
          <w:marTop w:val="0"/>
          <w:marBottom w:val="0"/>
          <w:divBdr>
            <w:top w:val="none" w:sz="0" w:space="0" w:color="auto"/>
            <w:left w:val="none" w:sz="0" w:space="0" w:color="auto"/>
            <w:bottom w:val="none" w:sz="0" w:space="0" w:color="auto"/>
            <w:right w:val="none" w:sz="0" w:space="0" w:color="auto"/>
          </w:divBdr>
        </w:div>
        <w:div w:id="653341173">
          <w:marLeft w:val="0"/>
          <w:marRight w:val="0"/>
          <w:marTop w:val="0"/>
          <w:marBottom w:val="0"/>
          <w:divBdr>
            <w:top w:val="none" w:sz="0" w:space="0" w:color="auto"/>
            <w:left w:val="none" w:sz="0" w:space="0" w:color="auto"/>
            <w:bottom w:val="none" w:sz="0" w:space="0" w:color="auto"/>
            <w:right w:val="none" w:sz="0" w:space="0" w:color="auto"/>
          </w:divBdr>
        </w:div>
        <w:div w:id="178586576">
          <w:marLeft w:val="0"/>
          <w:marRight w:val="0"/>
          <w:marTop w:val="0"/>
          <w:marBottom w:val="0"/>
          <w:divBdr>
            <w:top w:val="none" w:sz="0" w:space="0" w:color="auto"/>
            <w:left w:val="none" w:sz="0" w:space="0" w:color="auto"/>
            <w:bottom w:val="none" w:sz="0" w:space="0" w:color="auto"/>
            <w:right w:val="none" w:sz="0" w:space="0" w:color="auto"/>
          </w:divBdr>
        </w:div>
        <w:div w:id="998846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28</Pages>
  <Words>14715</Words>
  <Characters>83878</Characters>
  <Application>Microsoft Office Word</Application>
  <DocSecurity>0</DocSecurity>
  <Lines>698</Lines>
  <Paragraphs>196</Paragraphs>
  <ScaleCrop>false</ScaleCrop>
  <Company>HP</Company>
  <LinksUpToDate>false</LinksUpToDate>
  <CharactersWithSpaces>98397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7</cp:revision>
  <dcterms:created xsi:type="dcterms:W3CDTF">2026-06-25T18:22:00Z</dcterms:created>
  <dcterms:modified xsi:type="dcterms:W3CDTF">2026-06-26T13:33:00Z</dcterms:modified>
</cp:coreProperties>
</file>