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1BE2D" w14:textId="16DC21B3" w:rsidR="009302E1" w:rsidRPr="009302E1" w:rsidRDefault="009302E1" w:rsidP="009302E1">
      <w:pPr>
        <w:rPr>
          <w:rFonts w:ascii="Arial" w:hAnsi="Arial" w:cs="Arial"/>
          <w:b/>
          <w:sz w:val="36"/>
          <w:u w:val="single"/>
        </w:rPr>
      </w:pPr>
      <w:r w:rsidRPr="009302E1">
        <w:rPr>
          <w:rFonts w:ascii="Arial" w:hAnsi="Arial" w:cs="Arial"/>
          <w:b/>
          <w:sz w:val="36"/>
          <w:u w:val="single"/>
        </w:rPr>
        <w:t>Original Research Article </w:t>
      </w:r>
    </w:p>
    <w:p w14:paraId="1FAAC09F" w14:textId="47A7E82D" w:rsidR="009302E1" w:rsidRPr="001E266D" w:rsidRDefault="00762EE4" w:rsidP="001E266D">
      <w:pPr>
        <w:jc w:val="right"/>
        <w:rPr>
          <w:rFonts w:ascii="Arial" w:hAnsi="Arial" w:cs="Arial"/>
          <w:b/>
          <w:sz w:val="36"/>
        </w:rPr>
      </w:pPr>
      <w:r w:rsidRPr="005A5FE3">
        <w:rPr>
          <w:rFonts w:ascii="Arial" w:hAnsi="Arial" w:cs="Arial"/>
          <w:b/>
          <w:sz w:val="36"/>
        </w:rPr>
        <w:t xml:space="preserve">Nutrient Loading and Phytoplankton Responses Associated with Open-Sea Cage Culture of </w:t>
      </w:r>
      <w:r w:rsidR="00D91EBA" w:rsidRPr="005A5FE3">
        <w:rPr>
          <w:rFonts w:ascii="Arial" w:hAnsi="Arial" w:cs="Arial"/>
          <w:b/>
          <w:sz w:val="36"/>
        </w:rPr>
        <w:t>Mud spiny lobster</w:t>
      </w:r>
    </w:p>
    <w:p w14:paraId="79A2FCF7" w14:textId="77777777" w:rsidR="00A02599" w:rsidRDefault="00A02599" w:rsidP="00A02599">
      <w:pPr>
        <w:jc w:val="both"/>
        <w:rPr>
          <w:rFonts w:ascii="Arial" w:hAnsi="Arial" w:cs="Arial"/>
          <w:b/>
          <w:bCs/>
        </w:rPr>
      </w:pPr>
    </w:p>
    <w:p w14:paraId="7CCF8DD5" w14:textId="77777777" w:rsidR="00B0006D" w:rsidRPr="00B0006D" w:rsidRDefault="00073000" w:rsidP="00B0006D">
      <w:pPr>
        <w:jc w:val="both"/>
        <w:rPr>
          <w:rFonts w:ascii="Arial" w:hAnsi="Arial" w:cs="Arial"/>
          <w:b/>
          <w:bCs/>
        </w:rPr>
      </w:pPr>
      <w:r w:rsidRPr="00A02599">
        <w:rPr>
          <w:rFonts w:ascii="Arial" w:hAnsi="Arial" w:cs="Arial"/>
          <w:b/>
          <w:bCs/>
        </w:rPr>
        <w:t>ABSTRACT</w:t>
      </w:r>
    </w:p>
    <w:p w14:paraId="41811931" w14:textId="77777777" w:rsidR="00B0006D" w:rsidRPr="00B0006D" w:rsidRDefault="00B0006D" w:rsidP="00B0006D">
      <w:pPr>
        <w:jc w:val="both"/>
        <w:rPr>
          <w:rFonts w:ascii="Arial" w:hAnsi="Arial" w:cs="Arial"/>
        </w:rPr>
      </w:pPr>
      <w:r>
        <w:rPr>
          <w:rFonts w:ascii="Arial" w:hAnsi="Arial" w:cs="Arial"/>
        </w:rPr>
        <w:tab/>
      </w:r>
      <w:r w:rsidRPr="00B0006D">
        <w:rPr>
          <w:rFonts w:ascii="Arial" w:hAnsi="Arial" w:cs="Arial"/>
        </w:rPr>
        <w:t>The rapid expansion of offshore mariculture has raised concerns regarding nutrient enrichment and its ecological consequences in coastal ecosystems. Among emerging mariculture practices, open-sea cage culture of mud spiny lobster (</w:t>
      </w:r>
      <w:proofErr w:type="spellStart"/>
      <w:r w:rsidRPr="00B0006D">
        <w:rPr>
          <w:rFonts w:ascii="Arial" w:hAnsi="Arial" w:cs="Arial"/>
          <w:i/>
          <w:iCs/>
        </w:rPr>
        <w:t>Panulirus</w:t>
      </w:r>
      <w:proofErr w:type="spellEnd"/>
      <w:r w:rsidRPr="00B0006D">
        <w:rPr>
          <w:rFonts w:ascii="Arial" w:hAnsi="Arial" w:cs="Arial"/>
          <w:i/>
          <w:iCs/>
        </w:rPr>
        <w:t xml:space="preserve"> </w:t>
      </w:r>
      <w:proofErr w:type="spellStart"/>
      <w:r w:rsidRPr="00B0006D">
        <w:rPr>
          <w:rFonts w:ascii="Arial" w:hAnsi="Arial" w:cs="Arial"/>
          <w:i/>
          <w:iCs/>
        </w:rPr>
        <w:t>polyphagus</w:t>
      </w:r>
      <w:proofErr w:type="spellEnd"/>
      <w:r w:rsidRPr="00B0006D">
        <w:rPr>
          <w:rFonts w:ascii="Arial" w:hAnsi="Arial" w:cs="Arial"/>
        </w:rPr>
        <w:t>) has gained increasing importance along the Indian coast, yet information on nutrient loading and ecosystem responses remains scarce. This study quantified nitrogen (N) and phosphorus (P) loading associated with lobster cage farming and evaluated phytoplankton responses in the north-eastern Arabian Sea off Veraval, Gujarat.</w:t>
      </w:r>
      <w:r>
        <w:rPr>
          <w:rFonts w:ascii="Arial" w:hAnsi="Arial" w:cs="Arial"/>
        </w:rPr>
        <w:t xml:space="preserve"> </w:t>
      </w:r>
      <w:r w:rsidRPr="00B0006D">
        <w:rPr>
          <w:rFonts w:ascii="Arial" w:hAnsi="Arial" w:cs="Arial"/>
        </w:rPr>
        <w:t>A nutrient budget approach was employed to estimate nutrient inputs, retention, and release from the farming system, while phytoplankton abundance and nutrient concentrations were monitored throughout the culture cycle. Results showed that only a small fraction of feed-derived nutrients was retained in lobster biomass, whereas approximately 88.9% of nitrogen and 89.3% of phosphorus inputs were released into the surrounding environment. Mean phytoplankton abundance during the study was 2.01 × 10⁵ ± 1.21 × 10⁴ cells L</w:t>
      </w:r>
      <w:r w:rsidRPr="00B0006D">
        <w:rPr>
          <w:rFonts w:ascii="Cambria Math" w:hAnsi="Cambria Math" w:cs="Cambria Math"/>
        </w:rPr>
        <w:t>⁻</w:t>
      </w:r>
      <w:r w:rsidRPr="00B0006D">
        <w:rPr>
          <w:rFonts w:ascii="Arial" w:hAnsi="Arial" w:cs="Arial"/>
        </w:rPr>
        <w:t>¹, with diatoms consistently dominating the community. Although nutrient discharge increased progressively with farming activity, no signs of eutrophication, harmful algal blooms, or ecological deterioration were observed. Nitrate exhibited the strongest positive association with phytoplankton abundance, suggesting a potential role of nitrogen availability in regulating primary productivity.</w:t>
      </w:r>
      <w:r w:rsidR="00AF29C0">
        <w:rPr>
          <w:rFonts w:ascii="Arial" w:hAnsi="Arial" w:cs="Arial"/>
        </w:rPr>
        <w:t xml:space="preserve"> </w:t>
      </w:r>
      <w:r w:rsidRPr="00B0006D">
        <w:rPr>
          <w:rFonts w:ascii="Arial" w:hAnsi="Arial" w:cs="Arial"/>
        </w:rPr>
        <w:t>The findings indicate that despite substantial nutrient release, offshore hydrodynamic conditions effectively facilitate nutrient assimilation and dispersion, maintaining ecological stability under the current production scale. This study provides valuable baseline information for ecosystem-based management and the sustainable expansion of offshore lobster mariculture in the Arabian Sea.</w:t>
      </w:r>
    </w:p>
    <w:p w14:paraId="10B04D89" w14:textId="77777777" w:rsidR="00A02599" w:rsidRPr="00A2700D" w:rsidRDefault="00A2700D" w:rsidP="00A2700D">
      <w:pPr>
        <w:jc w:val="both"/>
        <w:rPr>
          <w:rFonts w:ascii="Arial" w:hAnsi="Arial" w:cs="Arial"/>
        </w:rPr>
      </w:pPr>
      <w:r w:rsidRPr="00A2700D">
        <w:rPr>
          <w:rFonts w:ascii="Arial" w:hAnsi="Arial" w:cs="Arial"/>
          <w:b/>
        </w:rPr>
        <w:t>Keywords:</w:t>
      </w:r>
      <w:r>
        <w:rPr>
          <w:rFonts w:ascii="Arial" w:hAnsi="Arial" w:cs="Arial"/>
          <w:b/>
        </w:rPr>
        <w:t xml:space="preserve"> </w:t>
      </w:r>
      <w:r w:rsidRPr="00A2700D">
        <w:rPr>
          <w:rFonts w:ascii="Arial" w:hAnsi="Arial" w:cs="Arial"/>
        </w:rPr>
        <w:t>Nutrient budgeting;</w:t>
      </w:r>
      <w:r>
        <w:rPr>
          <w:rFonts w:ascii="Arial" w:hAnsi="Arial" w:cs="Arial"/>
          <w:b/>
        </w:rPr>
        <w:t xml:space="preserve"> </w:t>
      </w:r>
      <w:r w:rsidRPr="00A2700D">
        <w:rPr>
          <w:rFonts w:ascii="Arial" w:hAnsi="Arial" w:cs="Arial"/>
        </w:rPr>
        <w:t>Phytoplankton dynamics; Lobster mariculture; Environmental sustainability</w:t>
      </w:r>
      <w:r w:rsidR="00824EB2">
        <w:rPr>
          <w:rFonts w:ascii="Arial" w:hAnsi="Arial" w:cs="Arial"/>
        </w:rPr>
        <w:t xml:space="preserve"> and</w:t>
      </w:r>
      <w:r w:rsidRPr="00A2700D">
        <w:rPr>
          <w:rFonts w:ascii="Arial" w:hAnsi="Arial" w:cs="Arial"/>
        </w:rPr>
        <w:t xml:space="preserve"> Coastal ecosystem</w:t>
      </w:r>
      <w:r>
        <w:rPr>
          <w:rFonts w:ascii="Arial" w:hAnsi="Arial" w:cs="Arial"/>
        </w:rPr>
        <w:t>.</w:t>
      </w:r>
    </w:p>
    <w:p w14:paraId="569B475A" w14:textId="77777777" w:rsidR="009C2513" w:rsidRPr="002C66E5" w:rsidRDefault="009C2513" w:rsidP="009C2513">
      <w:pPr>
        <w:rPr>
          <w:rFonts w:ascii="Arial" w:hAnsi="Arial" w:cs="Arial"/>
          <w:b/>
          <w:bCs/>
        </w:rPr>
      </w:pPr>
      <w:r w:rsidRPr="002C66E5">
        <w:rPr>
          <w:rFonts w:ascii="Arial" w:hAnsi="Arial" w:cs="Arial"/>
          <w:b/>
          <w:bCs/>
        </w:rPr>
        <w:t>1</w:t>
      </w:r>
      <w:r w:rsidR="00073000" w:rsidRPr="002C66E5">
        <w:rPr>
          <w:rFonts w:ascii="Arial" w:hAnsi="Arial" w:cs="Arial"/>
          <w:b/>
          <w:bCs/>
        </w:rPr>
        <w:t>. INTRODUCTION</w:t>
      </w:r>
    </w:p>
    <w:p w14:paraId="1E0D2595" w14:textId="77777777" w:rsidR="009C2513" w:rsidRPr="00073000" w:rsidRDefault="002C427F" w:rsidP="001415E9">
      <w:pPr>
        <w:jc w:val="both"/>
        <w:rPr>
          <w:rFonts w:ascii="Arial" w:hAnsi="Arial" w:cs="Arial"/>
          <w:sz w:val="20"/>
        </w:rPr>
      </w:pPr>
      <w:r w:rsidRPr="002C66E5">
        <w:rPr>
          <w:rFonts w:ascii="Arial" w:hAnsi="Arial" w:cs="Arial"/>
        </w:rPr>
        <w:tab/>
      </w:r>
      <w:r w:rsidR="009C2513" w:rsidRPr="00073000">
        <w:rPr>
          <w:rFonts w:ascii="Arial" w:hAnsi="Arial" w:cs="Arial"/>
          <w:sz w:val="20"/>
        </w:rPr>
        <w:t>Marine cage aquaculture has emerged as one of the fastest-growing sectors of global food production, contributing substantially to seafood supply and coastal livelihoods</w:t>
      </w:r>
      <w:r w:rsidR="0019228C" w:rsidRPr="00073000">
        <w:rPr>
          <w:rFonts w:ascii="Arial" w:hAnsi="Arial" w:cs="Arial"/>
          <w:sz w:val="20"/>
        </w:rPr>
        <w:t xml:space="preserve"> (</w:t>
      </w:r>
      <w:r w:rsidR="0019228C" w:rsidRPr="00073000">
        <w:rPr>
          <w:rFonts w:ascii="Arial" w:hAnsi="Arial" w:cs="Arial"/>
          <w:color w:val="0070C0"/>
          <w:sz w:val="20"/>
        </w:rPr>
        <w:t>Gentry et al., 2017</w:t>
      </w:r>
      <w:r w:rsidR="0019228C" w:rsidRPr="00073000">
        <w:rPr>
          <w:rFonts w:ascii="Arial" w:hAnsi="Arial" w:cs="Arial"/>
          <w:sz w:val="20"/>
        </w:rPr>
        <w:t>)</w:t>
      </w:r>
      <w:r w:rsidR="009C2513" w:rsidRPr="00073000">
        <w:rPr>
          <w:rFonts w:ascii="Arial" w:hAnsi="Arial" w:cs="Arial"/>
          <w:sz w:val="20"/>
        </w:rPr>
        <w:t>. The expansion of marine finfish and shellfish farming has increased concerns regarding the release of organic wastes and dissolved nutrients into surrounding aquatic environments</w:t>
      </w:r>
      <w:r w:rsidR="0019228C" w:rsidRPr="00073000">
        <w:rPr>
          <w:rFonts w:ascii="Arial" w:hAnsi="Arial" w:cs="Arial"/>
          <w:sz w:val="20"/>
        </w:rPr>
        <w:t xml:space="preserve"> (</w:t>
      </w:r>
      <w:r w:rsidR="0019228C" w:rsidRPr="00073000">
        <w:rPr>
          <w:rFonts w:ascii="Arial" w:hAnsi="Arial" w:cs="Arial"/>
          <w:color w:val="0070C0"/>
          <w:sz w:val="20"/>
        </w:rPr>
        <w:t>Price et al., 2015</w:t>
      </w:r>
      <w:r w:rsidR="0019228C" w:rsidRPr="00073000">
        <w:rPr>
          <w:rFonts w:ascii="Arial" w:hAnsi="Arial" w:cs="Arial"/>
          <w:sz w:val="20"/>
        </w:rPr>
        <w:t>)</w:t>
      </w:r>
      <w:r w:rsidR="009C2513" w:rsidRPr="00073000">
        <w:rPr>
          <w:rFonts w:ascii="Arial" w:hAnsi="Arial" w:cs="Arial"/>
          <w:sz w:val="20"/>
        </w:rPr>
        <w:t>. Feed inputs constitute the primary source of nutrient loading in cage aquaculture systems, and a considerable proportion of feed-derived nitrogen (N) and phosphorus (P) is often released into the environment through uneaten feed, faecal matter, and metabolic excretions. Excessive nutrient enrichment may alter water quality, stimulate primary production, and potentially affect the structure and functioning of coastal ecosystems (</w:t>
      </w:r>
      <w:r w:rsidR="009C2513" w:rsidRPr="00073000">
        <w:rPr>
          <w:rFonts w:ascii="Arial" w:hAnsi="Arial" w:cs="Arial"/>
          <w:color w:val="0070C0"/>
          <w:sz w:val="20"/>
        </w:rPr>
        <w:t>Holmer et al., 2008; Islam, 2005</w:t>
      </w:r>
      <w:r w:rsidR="009C2513" w:rsidRPr="00073000">
        <w:rPr>
          <w:rFonts w:ascii="Arial" w:hAnsi="Arial" w:cs="Arial"/>
          <w:sz w:val="20"/>
        </w:rPr>
        <w:t>).</w:t>
      </w:r>
    </w:p>
    <w:p w14:paraId="79678F74" w14:textId="77777777" w:rsidR="009C2513" w:rsidRPr="00073000" w:rsidRDefault="002C427F" w:rsidP="001415E9">
      <w:pPr>
        <w:jc w:val="both"/>
        <w:rPr>
          <w:rFonts w:ascii="Arial" w:hAnsi="Arial" w:cs="Arial"/>
          <w:sz w:val="20"/>
        </w:rPr>
      </w:pPr>
      <w:r w:rsidRPr="00073000">
        <w:rPr>
          <w:rFonts w:ascii="Arial" w:hAnsi="Arial" w:cs="Arial"/>
          <w:sz w:val="20"/>
        </w:rPr>
        <w:tab/>
      </w:r>
      <w:r w:rsidR="009C2513" w:rsidRPr="00073000">
        <w:rPr>
          <w:rFonts w:ascii="Arial" w:hAnsi="Arial" w:cs="Arial"/>
          <w:sz w:val="20"/>
        </w:rPr>
        <w:t>Nitrogen and phosphorus are recognized as the principal nutrients governing phytoplankton productivity in marine ecosystems</w:t>
      </w:r>
      <w:r w:rsidR="0019228C" w:rsidRPr="00073000">
        <w:rPr>
          <w:rFonts w:ascii="Arial" w:hAnsi="Arial" w:cs="Arial"/>
          <w:sz w:val="20"/>
        </w:rPr>
        <w:t xml:space="preserve"> (</w:t>
      </w:r>
      <w:proofErr w:type="spellStart"/>
      <w:r w:rsidR="0019228C" w:rsidRPr="00073000">
        <w:rPr>
          <w:rFonts w:ascii="Arial" w:hAnsi="Arial" w:cs="Arial"/>
          <w:color w:val="0070C0"/>
          <w:sz w:val="20"/>
        </w:rPr>
        <w:t>Moschonas</w:t>
      </w:r>
      <w:proofErr w:type="spellEnd"/>
      <w:r w:rsidR="0019228C" w:rsidRPr="00073000">
        <w:rPr>
          <w:rFonts w:ascii="Arial" w:hAnsi="Arial" w:cs="Arial"/>
          <w:color w:val="0070C0"/>
          <w:sz w:val="20"/>
        </w:rPr>
        <w:t xml:space="preserve"> et al., 2017; Wen et al., 2007</w:t>
      </w:r>
      <w:r w:rsidR="0019228C" w:rsidRPr="00073000">
        <w:rPr>
          <w:rFonts w:ascii="Arial" w:hAnsi="Arial" w:cs="Arial"/>
          <w:sz w:val="20"/>
        </w:rPr>
        <w:t>)</w:t>
      </w:r>
      <w:r w:rsidR="009C2513" w:rsidRPr="00073000">
        <w:rPr>
          <w:rFonts w:ascii="Arial" w:hAnsi="Arial" w:cs="Arial"/>
          <w:sz w:val="20"/>
        </w:rPr>
        <w:t xml:space="preserve">. Nutrient inputs from aquaculture operations can increase phytoplankton biomass and modify community composition, particularly in semi-enclosed and poorly flushed coastal waters. The ecological consequences of </w:t>
      </w:r>
      <w:r w:rsidR="009C2513" w:rsidRPr="00073000">
        <w:rPr>
          <w:rFonts w:ascii="Arial" w:hAnsi="Arial" w:cs="Arial"/>
          <w:sz w:val="20"/>
        </w:rPr>
        <w:lastRenderedPageBreak/>
        <w:t>nutrient loading depend largely on local hydrodynamic conditions, nutrient assimilation capacity, and the magnitude of farming activities</w:t>
      </w:r>
      <w:r w:rsidR="00432DD4" w:rsidRPr="00073000">
        <w:rPr>
          <w:rFonts w:ascii="Arial" w:hAnsi="Arial" w:cs="Arial"/>
          <w:sz w:val="20"/>
        </w:rPr>
        <w:t xml:space="preserve"> (</w:t>
      </w:r>
      <w:r w:rsidR="00432DD4" w:rsidRPr="00073000">
        <w:rPr>
          <w:rFonts w:ascii="Arial" w:hAnsi="Arial" w:cs="Arial"/>
          <w:color w:val="0070C0"/>
          <w:sz w:val="20"/>
        </w:rPr>
        <w:t>Tade et al., 2026</w:t>
      </w:r>
      <w:r w:rsidR="00432DD4" w:rsidRPr="00073000">
        <w:rPr>
          <w:rFonts w:ascii="Arial" w:hAnsi="Arial" w:cs="Arial"/>
          <w:sz w:val="20"/>
        </w:rPr>
        <w:t>)</w:t>
      </w:r>
      <w:r w:rsidR="009C2513" w:rsidRPr="00073000">
        <w:rPr>
          <w:rFonts w:ascii="Arial" w:hAnsi="Arial" w:cs="Arial"/>
          <w:sz w:val="20"/>
        </w:rPr>
        <w:t>. While moderate nutrient enrichment may enhance primary productivity, excessive nutrient accumulation can contribute to eutrophication, harmful algal blooms, oxygen depletion, and biodiversity loss (</w:t>
      </w:r>
      <w:r w:rsidR="009C2513" w:rsidRPr="00073000">
        <w:rPr>
          <w:rFonts w:ascii="Arial" w:hAnsi="Arial" w:cs="Arial"/>
          <w:color w:val="0070C0"/>
          <w:sz w:val="20"/>
        </w:rPr>
        <w:t>Wu, 1995; Holmer et al., 2008</w:t>
      </w:r>
      <w:r w:rsidR="009C2513" w:rsidRPr="00073000">
        <w:rPr>
          <w:rFonts w:ascii="Arial" w:hAnsi="Arial" w:cs="Arial"/>
          <w:sz w:val="20"/>
        </w:rPr>
        <w:t>). Consequently, understanding nutrient budgets and their ecological implications is essential for developing environmentally sustainable aquaculture practices.</w:t>
      </w:r>
    </w:p>
    <w:p w14:paraId="14F75C8A" w14:textId="77777777" w:rsidR="009C2513" w:rsidRPr="00073000" w:rsidRDefault="002C427F" w:rsidP="001415E9">
      <w:pPr>
        <w:jc w:val="both"/>
        <w:rPr>
          <w:rFonts w:ascii="Arial" w:hAnsi="Arial" w:cs="Arial"/>
          <w:sz w:val="20"/>
        </w:rPr>
      </w:pPr>
      <w:r w:rsidRPr="00073000">
        <w:rPr>
          <w:rFonts w:ascii="Arial" w:hAnsi="Arial" w:cs="Arial"/>
          <w:sz w:val="20"/>
        </w:rPr>
        <w:tab/>
      </w:r>
      <w:r w:rsidR="009C2513" w:rsidRPr="00073000">
        <w:rPr>
          <w:rFonts w:ascii="Arial" w:hAnsi="Arial" w:cs="Arial"/>
          <w:sz w:val="20"/>
        </w:rPr>
        <w:t>Among marine crustaceans, spiny lobsters represent a high-value aquaculture commodity with increasing commercial importance in several Asian countries</w:t>
      </w:r>
      <w:r w:rsidR="00E73445" w:rsidRPr="00073000">
        <w:rPr>
          <w:rFonts w:ascii="Arial" w:hAnsi="Arial" w:cs="Arial"/>
          <w:sz w:val="20"/>
        </w:rPr>
        <w:t xml:space="preserve"> (</w:t>
      </w:r>
      <w:r w:rsidR="00E73445" w:rsidRPr="00073000">
        <w:rPr>
          <w:rFonts w:ascii="Arial" w:hAnsi="Arial" w:cs="Arial"/>
          <w:color w:val="0070C0"/>
          <w:sz w:val="20"/>
        </w:rPr>
        <w:t>Radhakrishnan et al., 2019</w:t>
      </w:r>
      <w:r w:rsidR="00E73445" w:rsidRPr="00073000">
        <w:rPr>
          <w:rFonts w:ascii="Arial" w:hAnsi="Arial" w:cs="Arial"/>
          <w:sz w:val="20"/>
        </w:rPr>
        <w:t>)</w:t>
      </w:r>
      <w:r w:rsidR="009C2513" w:rsidRPr="00073000">
        <w:rPr>
          <w:rFonts w:ascii="Arial" w:hAnsi="Arial" w:cs="Arial"/>
          <w:sz w:val="20"/>
        </w:rPr>
        <w:t>. Capture-based mariculture of mud spiny lobster (</w:t>
      </w:r>
      <w:proofErr w:type="spellStart"/>
      <w:r w:rsidR="009C2513" w:rsidRPr="00073000">
        <w:rPr>
          <w:rFonts w:ascii="Arial" w:hAnsi="Arial" w:cs="Arial"/>
          <w:i/>
          <w:iCs/>
          <w:sz w:val="20"/>
        </w:rPr>
        <w:t>Panulirus</w:t>
      </w:r>
      <w:proofErr w:type="spellEnd"/>
      <w:r w:rsidR="009C2513" w:rsidRPr="00073000">
        <w:rPr>
          <w:rFonts w:ascii="Arial" w:hAnsi="Arial" w:cs="Arial"/>
          <w:i/>
          <w:iCs/>
          <w:sz w:val="20"/>
        </w:rPr>
        <w:t xml:space="preserve"> </w:t>
      </w:r>
      <w:proofErr w:type="spellStart"/>
      <w:r w:rsidR="009C2513" w:rsidRPr="00073000">
        <w:rPr>
          <w:rFonts w:ascii="Arial" w:hAnsi="Arial" w:cs="Arial"/>
          <w:i/>
          <w:iCs/>
          <w:sz w:val="20"/>
        </w:rPr>
        <w:t>polyphagus</w:t>
      </w:r>
      <w:proofErr w:type="spellEnd"/>
      <w:r w:rsidR="009C2513" w:rsidRPr="00073000">
        <w:rPr>
          <w:rFonts w:ascii="Arial" w:hAnsi="Arial" w:cs="Arial"/>
          <w:sz w:val="20"/>
        </w:rPr>
        <w:t>) has gained attention along the Indian coastline due to high market demand and favourable economic returns</w:t>
      </w:r>
      <w:r w:rsidR="00E73445" w:rsidRPr="00073000">
        <w:rPr>
          <w:rFonts w:ascii="Arial" w:hAnsi="Arial" w:cs="Arial"/>
          <w:sz w:val="20"/>
        </w:rPr>
        <w:t xml:space="preserve"> (</w:t>
      </w:r>
      <w:proofErr w:type="spellStart"/>
      <w:r w:rsidR="00E73445" w:rsidRPr="00073000">
        <w:rPr>
          <w:rFonts w:ascii="Arial" w:hAnsi="Arial" w:cs="Arial"/>
          <w:color w:val="0070C0"/>
          <w:sz w:val="20"/>
        </w:rPr>
        <w:t>Divu</w:t>
      </w:r>
      <w:proofErr w:type="spellEnd"/>
      <w:r w:rsidR="00E73445" w:rsidRPr="00073000">
        <w:rPr>
          <w:rFonts w:ascii="Arial" w:hAnsi="Arial" w:cs="Arial"/>
          <w:color w:val="0070C0"/>
          <w:sz w:val="20"/>
        </w:rPr>
        <w:t xml:space="preserve"> et al., 2023</w:t>
      </w:r>
      <w:r w:rsidR="00E73445" w:rsidRPr="00073000">
        <w:rPr>
          <w:rFonts w:ascii="Arial" w:hAnsi="Arial" w:cs="Arial"/>
          <w:sz w:val="20"/>
        </w:rPr>
        <w:t>)</w:t>
      </w:r>
      <w:r w:rsidR="009C2513" w:rsidRPr="00073000">
        <w:rPr>
          <w:rFonts w:ascii="Arial" w:hAnsi="Arial" w:cs="Arial"/>
          <w:sz w:val="20"/>
        </w:rPr>
        <w:t>. In India, open-sea cage farming has been promoted as a sustainable mariculture approach owing to the availability of suitable coastal waters and favourable oceanographic conditions</w:t>
      </w:r>
      <w:r w:rsidR="00E73445" w:rsidRPr="00073000">
        <w:rPr>
          <w:rFonts w:ascii="Arial" w:hAnsi="Arial" w:cs="Arial"/>
          <w:sz w:val="20"/>
        </w:rPr>
        <w:t xml:space="preserve"> (</w:t>
      </w:r>
      <w:r w:rsidR="00E73445" w:rsidRPr="00073000">
        <w:rPr>
          <w:rFonts w:ascii="Arial" w:hAnsi="Arial" w:cs="Arial"/>
          <w:color w:val="0070C0"/>
          <w:sz w:val="20"/>
        </w:rPr>
        <w:t>D</w:t>
      </w:r>
      <w:r w:rsidR="00A40B50" w:rsidRPr="00073000">
        <w:rPr>
          <w:rFonts w:ascii="Arial" w:hAnsi="Arial" w:cs="Arial"/>
          <w:color w:val="0070C0"/>
          <w:sz w:val="20"/>
        </w:rPr>
        <w:t>amodaran</w:t>
      </w:r>
      <w:r w:rsidR="00E73445" w:rsidRPr="00073000">
        <w:rPr>
          <w:rFonts w:ascii="Arial" w:hAnsi="Arial" w:cs="Arial"/>
          <w:color w:val="0070C0"/>
          <w:sz w:val="20"/>
        </w:rPr>
        <w:t xml:space="preserve"> et al., 2018, 2023</w:t>
      </w:r>
      <w:r w:rsidR="00E73445" w:rsidRPr="00073000">
        <w:rPr>
          <w:rFonts w:ascii="Arial" w:hAnsi="Arial" w:cs="Arial"/>
          <w:sz w:val="20"/>
        </w:rPr>
        <w:t>)</w:t>
      </w:r>
      <w:r w:rsidR="009C2513" w:rsidRPr="00073000">
        <w:rPr>
          <w:rFonts w:ascii="Arial" w:hAnsi="Arial" w:cs="Arial"/>
          <w:sz w:val="20"/>
        </w:rPr>
        <w:t>. However, lobster farming primarily relies on fresh trash fish as feed, which generally exhibits lower feed conversion efficiency and may result in substantial nutrient discharge to the surrounding environment</w:t>
      </w:r>
      <w:r w:rsidR="00E73445" w:rsidRPr="00073000">
        <w:rPr>
          <w:rFonts w:ascii="Arial" w:hAnsi="Arial" w:cs="Arial"/>
          <w:sz w:val="20"/>
        </w:rPr>
        <w:t xml:space="preserve"> (</w:t>
      </w:r>
      <w:r w:rsidR="00A40B50" w:rsidRPr="00073000">
        <w:rPr>
          <w:rFonts w:ascii="Arial" w:hAnsi="Arial" w:cs="Arial"/>
          <w:color w:val="0070C0"/>
          <w:sz w:val="20"/>
        </w:rPr>
        <w:t>Damodaran</w:t>
      </w:r>
      <w:r w:rsidR="00E73445" w:rsidRPr="00073000">
        <w:rPr>
          <w:rFonts w:ascii="Arial" w:hAnsi="Arial" w:cs="Arial"/>
          <w:color w:val="0070C0"/>
          <w:sz w:val="20"/>
        </w:rPr>
        <w:t xml:space="preserve"> et al., 2018</w:t>
      </w:r>
      <w:r w:rsidR="00E73445" w:rsidRPr="00073000">
        <w:rPr>
          <w:rFonts w:ascii="Arial" w:hAnsi="Arial" w:cs="Arial"/>
          <w:sz w:val="20"/>
        </w:rPr>
        <w:t>)</w:t>
      </w:r>
      <w:r w:rsidR="009C2513" w:rsidRPr="00073000">
        <w:rPr>
          <w:rFonts w:ascii="Arial" w:hAnsi="Arial" w:cs="Arial"/>
          <w:sz w:val="20"/>
        </w:rPr>
        <w:t>. Quantification of nutrient release from lobster farming systems is therefore important for evaluating their environmental footprint and long-term sustainability.</w:t>
      </w:r>
    </w:p>
    <w:p w14:paraId="70A5D64C" w14:textId="77777777" w:rsidR="009C2513" w:rsidRPr="00073000" w:rsidRDefault="002C427F" w:rsidP="001415E9">
      <w:pPr>
        <w:jc w:val="both"/>
        <w:rPr>
          <w:rFonts w:ascii="Arial" w:hAnsi="Arial" w:cs="Arial"/>
          <w:sz w:val="20"/>
        </w:rPr>
      </w:pPr>
      <w:r w:rsidRPr="00073000">
        <w:rPr>
          <w:rFonts w:ascii="Arial" w:hAnsi="Arial" w:cs="Arial"/>
          <w:sz w:val="20"/>
        </w:rPr>
        <w:tab/>
      </w:r>
      <w:r w:rsidR="009C2513" w:rsidRPr="00073000">
        <w:rPr>
          <w:rFonts w:ascii="Arial" w:hAnsi="Arial" w:cs="Arial"/>
          <w:sz w:val="20"/>
        </w:rPr>
        <w:t>Phytoplankton communities are highly sensitive to environmental changes and are widely used as indicators of ecosystem health in marine environments. As the primary producers of aquatic food webs, phytoplankton respond rapidly to variations in nutrient availability and can provide valuable insights into ecological responses associated with aquaculture activities</w:t>
      </w:r>
      <w:r w:rsidR="00E73445" w:rsidRPr="00073000">
        <w:rPr>
          <w:rFonts w:ascii="Arial" w:hAnsi="Arial" w:cs="Arial"/>
          <w:sz w:val="20"/>
        </w:rPr>
        <w:t xml:space="preserve"> (</w:t>
      </w:r>
      <w:proofErr w:type="spellStart"/>
      <w:r w:rsidR="00E73445" w:rsidRPr="00073000">
        <w:rPr>
          <w:rFonts w:ascii="Arial" w:hAnsi="Arial" w:cs="Arial"/>
          <w:color w:val="0070C0"/>
          <w:sz w:val="20"/>
        </w:rPr>
        <w:t>Bisinicu</w:t>
      </w:r>
      <w:proofErr w:type="spellEnd"/>
      <w:r w:rsidR="00E73445" w:rsidRPr="00073000">
        <w:rPr>
          <w:rFonts w:ascii="Arial" w:hAnsi="Arial" w:cs="Arial"/>
          <w:color w:val="0070C0"/>
          <w:sz w:val="20"/>
        </w:rPr>
        <w:t xml:space="preserve"> et al., 2024; Gittings et al., 2021</w:t>
      </w:r>
      <w:r w:rsidR="00E73445" w:rsidRPr="00073000">
        <w:rPr>
          <w:rFonts w:ascii="Arial" w:hAnsi="Arial" w:cs="Arial"/>
          <w:sz w:val="20"/>
        </w:rPr>
        <w:t>)</w:t>
      </w:r>
      <w:r w:rsidR="009C2513" w:rsidRPr="00073000">
        <w:rPr>
          <w:rFonts w:ascii="Arial" w:hAnsi="Arial" w:cs="Arial"/>
          <w:sz w:val="20"/>
        </w:rPr>
        <w:t>. Diatoms, in particular, are known to respond positively to moderate nutrient enrichment and frequently dominate productive coastal ecosystems. Assessing phytoplankton abundance in conjunction with nutrient loading estimates can therefore improve our understanding of nutrient assimilation processes and the ecological consequences of aquaculture-derived nutrient inputs.</w:t>
      </w:r>
    </w:p>
    <w:p w14:paraId="251B1C58" w14:textId="77777777" w:rsidR="009C2513" w:rsidRPr="00073000" w:rsidRDefault="002C427F" w:rsidP="001415E9">
      <w:pPr>
        <w:jc w:val="both"/>
        <w:rPr>
          <w:rFonts w:ascii="Arial" w:hAnsi="Arial" w:cs="Arial"/>
          <w:sz w:val="20"/>
        </w:rPr>
      </w:pPr>
      <w:r w:rsidRPr="00073000">
        <w:rPr>
          <w:rFonts w:ascii="Arial" w:hAnsi="Arial" w:cs="Arial"/>
          <w:sz w:val="20"/>
        </w:rPr>
        <w:tab/>
      </w:r>
      <w:r w:rsidR="009C2513" w:rsidRPr="00073000">
        <w:rPr>
          <w:rFonts w:ascii="Arial" w:hAnsi="Arial" w:cs="Arial"/>
          <w:sz w:val="20"/>
        </w:rPr>
        <w:t>Although several studies have examined environmental impacts of marine cage farming worldwide</w:t>
      </w:r>
      <w:r w:rsidR="002E54A9" w:rsidRPr="00073000">
        <w:rPr>
          <w:rFonts w:ascii="Arial" w:hAnsi="Arial" w:cs="Arial"/>
          <w:sz w:val="20"/>
        </w:rPr>
        <w:t xml:space="preserve"> (</w:t>
      </w:r>
      <w:r w:rsidR="000025DF" w:rsidRPr="00073000">
        <w:rPr>
          <w:rFonts w:ascii="Arial" w:hAnsi="Arial" w:cs="Arial"/>
          <w:color w:val="0070C0"/>
          <w:sz w:val="20"/>
        </w:rPr>
        <w:t xml:space="preserve">Carroll et al., 2003; </w:t>
      </w:r>
      <w:proofErr w:type="spellStart"/>
      <w:r w:rsidR="002E54A9" w:rsidRPr="00073000">
        <w:rPr>
          <w:rFonts w:ascii="Arial" w:hAnsi="Arial" w:cs="Arial"/>
          <w:color w:val="0070C0"/>
          <w:sz w:val="20"/>
        </w:rPr>
        <w:t>Challouf</w:t>
      </w:r>
      <w:proofErr w:type="spellEnd"/>
      <w:r w:rsidR="002E54A9" w:rsidRPr="00073000">
        <w:rPr>
          <w:rFonts w:ascii="Arial" w:hAnsi="Arial" w:cs="Arial"/>
          <w:color w:val="0070C0"/>
          <w:sz w:val="20"/>
        </w:rPr>
        <w:t xml:space="preserve"> et al., 20</w:t>
      </w:r>
      <w:r w:rsidR="000025DF" w:rsidRPr="00073000">
        <w:rPr>
          <w:rFonts w:ascii="Arial" w:hAnsi="Arial" w:cs="Arial"/>
          <w:color w:val="0070C0"/>
          <w:sz w:val="20"/>
        </w:rPr>
        <w:t>17; Price et al., 2015</w:t>
      </w:r>
      <w:r w:rsidR="000025DF" w:rsidRPr="00073000">
        <w:rPr>
          <w:rFonts w:ascii="Arial" w:hAnsi="Arial" w:cs="Arial"/>
          <w:sz w:val="20"/>
        </w:rPr>
        <w:t>)</w:t>
      </w:r>
      <w:r w:rsidR="009C2513" w:rsidRPr="00073000">
        <w:rPr>
          <w:rFonts w:ascii="Arial" w:hAnsi="Arial" w:cs="Arial"/>
          <w:sz w:val="20"/>
        </w:rPr>
        <w:t>, information on nutrient budgeting and associated phytoplankton responses in open-sea lobster farming systems remains limited, particularly in the northeastern Arabian Sea. Most available studies have focused on water quality monitoring and environmental assessments, whereas direct linkages between feed-derived nutrient loading and phytoplankton dynamics have received comparatively less attention. Such information is essential for evaluating the assimilative capacity of coastal ecosystems and for guiding sustainable expansion of lobster mariculture in India.</w:t>
      </w:r>
    </w:p>
    <w:p w14:paraId="1C1B23D4" w14:textId="77777777" w:rsidR="009C2513" w:rsidRPr="00073000" w:rsidRDefault="002C427F" w:rsidP="001415E9">
      <w:pPr>
        <w:jc w:val="both"/>
        <w:rPr>
          <w:rFonts w:ascii="Arial" w:hAnsi="Arial" w:cs="Arial"/>
          <w:sz w:val="20"/>
        </w:rPr>
      </w:pPr>
      <w:r w:rsidRPr="00073000">
        <w:rPr>
          <w:rFonts w:ascii="Arial" w:hAnsi="Arial" w:cs="Arial"/>
          <w:sz w:val="20"/>
        </w:rPr>
        <w:tab/>
      </w:r>
      <w:r w:rsidR="009C2513" w:rsidRPr="00073000">
        <w:rPr>
          <w:rFonts w:ascii="Arial" w:hAnsi="Arial" w:cs="Arial"/>
          <w:sz w:val="20"/>
        </w:rPr>
        <w:t xml:space="preserve">Therefore, the present study aimed to quantify nitrogen and phosphorus loading associated with open-sea culture of </w:t>
      </w:r>
      <w:proofErr w:type="spellStart"/>
      <w:r w:rsidR="009C2513" w:rsidRPr="00073000">
        <w:rPr>
          <w:rFonts w:ascii="Arial" w:hAnsi="Arial" w:cs="Arial"/>
          <w:i/>
          <w:iCs/>
          <w:sz w:val="20"/>
        </w:rPr>
        <w:t>Panulirus</w:t>
      </w:r>
      <w:proofErr w:type="spellEnd"/>
      <w:r w:rsidR="009C2513" w:rsidRPr="00073000">
        <w:rPr>
          <w:rFonts w:ascii="Arial" w:hAnsi="Arial" w:cs="Arial"/>
          <w:i/>
          <w:iCs/>
          <w:sz w:val="20"/>
        </w:rPr>
        <w:t xml:space="preserve"> </w:t>
      </w:r>
      <w:proofErr w:type="spellStart"/>
      <w:r w:rsidR="009C2513" w:rsidRPr="00073000">
        <w:rPr>
          <w:rFonts w:ascii="Arial" w:hAnsi="Arial" w:cs="Arial"/>
          <w:i/>
          <w:iCs/>
          <w:sz w:val="20"/>
        </w:rPr>
        <w:t>polyphagus</w:t>
      </w:r>
      <w:proofErr w:type="spellEnd"/>
      <w:r w:rsidR="009C2513" w:rsidRPr="00073000">
        <w:rPr>
          <w:rFonts w:ascii="Arial" w:hAnsi="Arial" w:cs="Arial"/>
          <w:sz w:val="20"/>
        </w:rPr>
        <w:t xml:space="preserve"> and to evaluate corresponding phytoplankton responses in the surrounding coastal waters of the Arabian Sea. Specifically, the study estimated nutrient inputs, retention, and release from the lobster farming system</w:t>
      </w:r>
      <w:r w:rsidR="009C6CC0" w:rsidRPr="00073000">
        <w:rPr>
          <w:rFonts w:ascii="Arial" w:hAnsi="Arial" w:cs="Arial"/>
          <w:sz w:val="20"/>
        </w:rPr>
        <w:t xml:space="preserve">; </w:t>
      </w:r>
      <w:r w:rsidR="009C2513" w:rsidRPr="00073000">
        <w:rPr>
          <w:rFonts w:ascii="Arial" w:hAnsi="Arial" w:cs="Arial"/>
          <w:sz w:val="20"/>
        </w:rPr>
        <w:t>examined temporal variations in phytoplankton abundance during the culture period, and assessed the ecological implications of feed-derived nutrient discharge for coastal ecosystem sustainability.</w:t>
      </w:r>
    </w:p>
    <w:p w14:paraId="583A36E8" w14:textId="77777777" w:rsidR="00D538EC" w:rsidRPr="002C66E5" w:rsidRDefault="00073000" w:rsidP="00D538EC">
      <w:pPr>
        <w:rPr>
          <w:rFonts w:ascii="Arial" w:hAnsi="Arial" w:cs="Arial"/>
          <w:b/>
          <w:bCs/>
        </w:rPr>
      </w:pPr>
      <w:r w:rsidRPr="002C66E5">
        <w:rPr>
          <w:rFonts w:ascii="Arial" w:hAnsi="Arial" w:cs="Arial"/>
          <w:b/>
          <w:bCs/>
        </w:rPr>
        <w:t>2. MATERIALS AND METHODS</w:t>
      </w:r>
    </w:p>
    <w:p w14:paraId="4C5959A4" w14:textId="77777777" w:rsidR="00D538EC" w:rsidRPr="002C66E5" w:rsidRDefault="00D538EC" w:rsidP="00D538EC">
      <w:pPr>
        <w:rPr>
          <w:rFonts w:ascii="Arial" w:hAnsi="Arial" w:cs="Arial"/>
          <w:b/>
          <w:bCs/>
        </w:rPr>
      </w:pPr>
      <w:r w:rsidRPr="002C66E5">
        <w:rPr>
          <w:rFonts w:ascii="Arial" w:hAnsi="Arial" w:cs="Arial"/>
          <w:b/>
          <w:bCs/>
        </w:rPr>
        <w:t>2.1 Study Area</w:t>
      </w:r>
    </w:p>
    <w:p w14:paraId="1AD0CFFB" w14:textId="77777777" w:rsidR="00D538EC" w:rsidRPr="00073000" w:rsidRDefault="002C427F" w:rsidP="00D538EC">
      <w:pPr>
        <w:jc w:val="both"/>
        <w:rPr>
          <w:rFonts w:ascii="Arial" w:hAnsi="Arial" w:cs="Arial"/>
          <w:sz w:val="20"/>
        </w:rPr>
      </w:pPr>
      <w:r w:rsidRPr="002C66E5">
        <w:rPr>
          <w:rFonts w:ascii="Arial" w:hAnsi="Arial" w:cs="Arial"/>
        </w:rPr>
        <w:tab/>
      </w:r>
      <w:r w:rsidR="00D538EC" w:rsidRPr="00073000">
        <w:rPr>
          <w:rFonts w:ascii="Arial" w:hAnsi="Arial" w:cs="Arial"/>
          <w:sz w:val="20"/>
        </w:rPr>
        <w:t xml:space="preserve">The study was conducted at an open-sea lobster cage farming site located off Veraval coast, Gujarat, along the </w:t>
      </w:r>
      <w:r w:rsidR="00B54FBC" w:rsidRPr="00073000">
        <w:rPr>
          <w:rFonts w:ascii="Arial" w:hAnsi="Arial" w:cs="Arial"/>
          <w:sz w:val="20"/>
        </w:rPr>
        <w:t>north-eastern</w:t>
      </w:r>
      <w:r w:rsidR="00D538EC" w:rsidRPr="00073000">
        <w:rPr>
          <w:rFonts w:ascii="Arial" w:hAnsi="Arial" w:cs="Arial"/>
          <w:sz w:val="20"/>
        </w:rPr>
        <w:t xml:space="preserve"> Arabian Sea. The farming site consisted of six circular sea cages deployed approximately 800 m offshore at a mean depth of 8.1 ± 1.2 m. A reference site situated approximately 1.2 km away from the farming site was selected for environmental monitoring. Sampling was conducted from September 2021 to August 2022 covering pre-culture</w:t>
      </w:r>
      <w:r w:rsidRPr="00073000">
        <w:rPr>
          <w:rFonts w:ascii="Arial" w:hAnsi="Arial" w:cs="Arial"/>
          <w:sz w:val="20"/>
        </w:rPr>
        <w:t xml:space="preserve"> (September 2021 to December 2021)</w:t>
      </w:r>
      <w:r w:rsidR="00D538EC" w:rsidRPr="00073000">
        <w:rPr>
          <w:rFonts w:ascii="Arial" w:hAnsi="Arial" w:cs="Arial"/>
          <w:sz w:val="20"/>
        </w:rPr>
        <w:t>, culture, and post-culture phases</w:t>
      </w:r>
      <w:r w:rsidRPr="00073000">
        <w:rPr>
          <w:rFonts w:ascii="Arial" w:hAnsi="Arial" w:cs="Arial"/>
          <w:sz w:val="20"/>
        </w:rPr>
        <w:t xml:space="preserve"> (May 2022 to August 2022)</w:t>
      </w:r>
      <w:r w:rsidR="00D538EC" w:rsidRPr="00073000">
        <w:rPr>
          <w:rFonts w:ascii="Arial" w:hAnsi="Arial" w:cs="Arial"/>
          <w:sz w:val="20"/>
        </w:rPr>
        <w:t>. The culture period extended from January to April 2022.</w:t>
      </w:r>
      <w:r w:rsidR="00271797" w:rsidRPr="00073000">
        <w:rPr>
          <w:rFonts w:ascii="Arial" w:hAnsi="Arial" w:cs="Arial"/>
          <w:sz w:val="20"/>
        </w:rPr>
        <w:t xml:space="preserve"> </w:t>
      </w:r>
      <w:r w:rsidR="00CF5A62" w:rsidRPr="00073000">
        <w:rPr>
          <w:rFonts w:ascii="Arial" w:hAnsi="Arial" w:cs="Arial"/>
          <w:sz w:val="20"/>
        </w:rPr>
        <w:t xml:space="preserve">As the primary objective of the study was to evaluate nutrient </w:t>
      </w:r>
      <w:r w:rsidR="00CF5A62" w:rsidRPr="00073000">
        <w:rPr>
          <w:rFonts w:ascii="Arial" w:hAnsi="Arial" w:cs="Arial"/>
          <w:sz w:val="20"/>
        </w:rPr>
        <w:lastRenderedPageBreak/>
        <w:t>release from spiny lobster sea-cage farming, analyses focused mainly on the culture period, when farming activities and associated nutrient inputs were at their maximum.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764665" w:rsidRPr="002C66E5" w14:paraId="1FE41019" w14:textId="77777777" w:rsidTr="00AA7E10">
        <w:tc>
          <w:tcPr>
            <w:tcW w:w="9016" w:type="dxa"/>
          </w:tcPr>
          <w:p w14:paraId="57C79D22" w14:textId="77777777" w:rsidR="00764665" w:rsidRPr="002C66E5" w:rsidRDefault="00E95E1A" w:rsidP="00897ADA">
            <w:pPr>
              <w:jc w:val="center"/>
              <w:rPr>
                <w:rFonts w:ascii="Arial" w:hAnsi="Arial" w:cs="Arial"/>
              </w:rPr>
            </w:pPr>
            <w:r w:rsidRPr="002C66E5">
              <w:rPr>
                <w:rFonts w:ascii="Arial" w:hAnsi="Arial" w:cs="Arial"/>
                <w:noProof/>
              </w:rPr>
              <w:drawing>
                <wp:inline distT="0" distB="0" distL="0" distR="0" wp14:anchorId="6C67DC7A" wp14:editId="678234BF">
                  <wp:extent cx="4571442" cy="3233161"/>
                  <wp:effectExtent l="0" t="0" r="63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6807" cy="3236955"/>
                          </a:xfrm>
                          <a:prstGeom prst="rect">
                            <a:avLst/>
                          </a:prstGeom>
                          <a:noFill/>
                          <a:ln>
                            <a:noFill/>
                          </a:ln>
                        </pic:spPr>
                      </pic:pic>
                    </a:graphicData>
                  </a:graphic>
                </wp:inline>
              </w:drawing>
            </w:r>
          </w:p>
        </w:tc>
      </w:tr>
      <w:tr w:rsidR="00764665" w:rsidRPr="002C66E5" w14:paraId="3D945AD8" w14:textId="77777777" w:rsidTr="00AA7E10">
        <w:tc>
          <w:tcPr>
            <w:tcW w:w="9016" w:type="dxa"/>
          </w:tcPr>
          <w:p w14:paraId="0B4A5465" w14:textId="77777777" w:rsidR="00764665" w:rsidRPr="002C66E5" w:rsidRDefault="00764665" w:rsidP="00897ADA">
            <w:pPr>
              <w:jc w:val="center"/>
              <w:rPr>
                <w:rFonts w:ascii="Arial" w:hAnsi="Arial" w:cs="Arial"/>
              </w:rPr>
            </w:pPr>
            <w:r w:rsidRPr="002C66E5">
              <w:rPr>
                <w:rFonts w:ascii="Arial" w:hAnsi="Arial" w:cs="Arial"/>
                <w:b/>
              </w:rPr>
              <w:t>Fig. 1</w:t>
            </w:r>
            <w:r w:rsidRPr="002C66E5">
              <w:rPr>
                <w:rFonts w:ascii="Arial" w:hAnsi="Arial" w:cs="Arial"/>
              </w:rPr>
              <w:t xml:space="preserve"> Study area showing sea cages of lobster deployed off Veraval coast</w:t>
            </w:r>
          </w:p>
        </w:tc>
      </w:tr>
    </w:tbl>
    <w:p w14:paraId="7F6DD420" w14:textId="77777777" w:rsidR="00764665" w:rsidRPr="002C66E5" w:rsidRDefault="00764665" w:rsidP="00D538EC">
      <w:pPr>
        <w:jc w:val="both"/>
        <w:rPr>
          <w:rFonts w:ascii="Arial" w:hAnsi="Arial" w:cs="Arial"/>
        </w:rPr>
      </w:pPr>
    </w:p>
    <w:p w14:paraId="336FD0A7" w14:textId="77777777" w:rsidR="00D538EC" w:rsidRPr="002C66E5" w:rsidRDefault="00D538EC" w:rsidP="00D538EC">
      <w:pPr>
        <w:jc w:val="both"/>
        <w:rPr>
          <w:rFonts w:ascii="Arial" w:hAnsi="Arial" w:cs="Arial"/>
          <w:b/>
          <w:bCs/>
        </w:rPr>
      </w:pPr>
      <w:r w:rsidRPr="002C66E5">
        <w:rPr>
          <w:rFonts w:ascii="Arial" w:hAnsi="Arial" w:cs="Arial"/>
          <w:b/>
          <w:bCs/>
        </w:rPr>
        <w:t>2.2 Lobster Culture and Feeding Practices</w:t>
      </w:r>
    </w:p>
    <w:p w14:paraId="63A4686A" w14:textId="77777777" w:rsidR="00D538EC" w:rsidRPr="00073000" w:rsidRDefault="00090F6B" w:rsidP="00D538EC">
      <w:pPr>
        <w:jc w:val="both"/>
        <w:rPr>
          <w:rFonts w:ascii="Arial" w:hAnsi="Arial" w:cs="Arial"/>
          <w:sz w:val="20"/>
        </w:rPr>
      </w:pPr>
      <w:r w:rsidRPr="002C66E5">
        <w:rPr>
          <w:rFonts w:ascii="Arial" w:hAnsi="Arial" w:cs="Arial"/>
        </w:rPr>
        <w:tab/>
      </w:r>
      <w:r w:rsidR="00D538EC" w:rsidRPr="00073000">
        <w:rPr>
          <w:rFonts w:ascii="Arial" w:hAnsi="Arial" w:cs="Arial"/>
          <w:sz w:val="20"/>
        </w:rPr>
        <w:t>Mud spiny lobster (</w:t>
      </w:r>
      <w:proofErr w:type="spellStart"/>
      <w:r w:rsidR="00D538EC" w:rsidRPr="00073000">
        <w:rPr>
          <w:rFonts w:ascii="Arial" w:hAnsi="Arial" w:cs="Arial"/>
          <w:i/>
          <w:sz w:val="20"/>
        </w:rPr>
        <w:t>Panulirus</w:t>
      </w:r>
      <w:proofErr w:type="spellEnd"/>
      <w:r w:rsidR="00D538EC" w:rsidRPr="00073000">
        <w:rPr>
          <w:rFonts w:ascii="Arial" w:hAnsi="Arial" w:cs="Arial"/>
          <w:i/>
          <w:sz w:val="20"/>
        </w:rPr>
        <w:t xml:space="preserve"> </w:t>
      </w:r>
      <w:proofErr w:type="spellStart"/>
      <w:r w:rsidR="00D538EC" w:rsidRPr="00073000">
        <w:rPr>
          <w:rFonts w:ascii="Arial" w:hAnsi="Arial" w:cs="Arial"/>
          <w:i/>
          <w:sz w:val="20"/>
        </w:rPr>
        <w:t>polyphagus</w:t>
      </w:r>
      <w:proofErr w:type="spellEnd"/>
      <w:r w:rsidR="00D538EC" w:rsidRPr="00073000">
        <w:rPr>
          <w:rFonts w:ascii="Arial" w:hAnsi="Arial" w:cs="Arial"/>
          <w:sz w:val="20"/>
        </w:rPr>
        <w:t>) juveniles were stocked in six sea cages and reared following standard capture-based mariculture protocols</w:t>
      </w:r>
      <w:r w:rsidR="007129A0" w:rsidRPr="00073000">
        <w:rPr>
          <w:rFonts w:ascii="Arial" w:hAnsi="Arial" w:cs="Arial"/>
          <w:sz w:val="20"/>
        </w:rPr>
        <w:t xml:space="preserve"> (</w:t>
      </w:r>
      <w:r w:rsidR="007129A0" w:rsidRPr="00073000">
        <w:rPr>
          <w:rFonts w:ascii="Arial" w:hAnsi="Arial" w:cs="Arial"/>
          <w:color w:val="0070C0"/>
          <w:sz w:val="20"/>
        </w:rPr>
        <w:t>Damodaran et al., 2018</w:t>
      </w:r>
      <w:r w:rsidR="002B1FAD" w:rsidRPr="00073000">
        <w:rPr>
          <w:rFonts w:ascii="Arial" w:hAnsi="Arial" w:cs="Arial"/>
          <w:sz w:val="20"/>
        </w:rPr>
        <w:t>)</w:t>
      </w:r>
      <w:r w:rsidR="00D538EC" w:rsidRPr="00073000">
        <w:rPr>
          <w:rFonts w:ascii="Arial" w:hAnsi="Arial" w:cs="Arial"/>
          <w:sz w:val="20"/>
        </w:rPr>
        <w:t>. Throughout the culture period, the lobsters were fed daily with fresh trash fish consisting predominantly of croakers (</w:t>
      </w:r>
      <w:proofErr w:type="spellStart"/>
      <w:r w:rsidR="00D538EC" w:rsidRPr="00073000">
        <w:rPr>
          <w:rFonts w:ascii="Arial" w:hAnsi="Arial" w:cs="Arial"/>
          <w:i/>
          <w:sz w:val="20"/>
        </w:rPr>
        <w:t>Johnius</w:t>
      </w:r>
      <w:proofErr w:type="spellEnd"/>
      <w:r w:rsidR="00D538EC" w:rsidRPr="00073000">
        <w:rPr>
          <w:rFonts w:ascii="Arial" w:hAnsi="Arial" w:cs="Arial"/>
          <w:i/>
          <w:sz w:val="20"/>
        </w:rPr>
        <w:t xml:space="preserve"> spp</w:t>
      </w:r>
      <w:r w:rsidR="00D538EC" w:rsidRPr="00073000">
        <w:rPr>
          <w:rFonts w:ascii="Arial" w:hAnsi="Arial" w:cs="Arial"/>
          <w:sz w:val="20"/>
        </w:rPr>
        <w:t>.), lizardfish (</w:t>
      </w:r>
      <w:proofErr w:type="spellStart"/>
      <w:r w:rsidR="00D538EC" w:rsidRPr="00073000">
        <w:rPr>
          <w:rFonts w:ascii="Arial" w:hAnsi="Arial" w:cs="Arial"/>
          <w:i/>
          <w:sz w:val="20"/>
        </w:rPr>
        <w:t>Saurida</w:t>
      </w:r>
      <w:proofErr w:type="spellEnd"/>
      <w:r w:rsidR="00D538EC" w:rsidRPr="00073000">
        <w:rPr>
          <w:rFonts w:ascii="Arial" w:hAnsi="Arial" w:cs="Arial"/>
          <w:i/>
          <w:sz w:val="20"/>
        </w:rPr>
        <w:t xml:space="preserve"> spp</w:t>
      </w:r>
      <w:r w:rsidR="00D538EC" w:rsidRPr="00073000">
        <w:rPr>
          <w:rFonts w:ascii="Arial" w:hAnsi="Arial" w:cs="Arial"/>
          <w:sz w:val="20"/>
        </w:rPr>
        <w:t>.), and threadfin bream (</w:t>
      </w:r>
      <w:proofErr w:type="spellStart"/>
      <w:r w:rsidR="00D538EC" w:rsidRPr="00073000">
        <w:rPr>
          <w:rFonts w:ascii="Arial" w:hAnsi="Arial" w:cs="Arial"/>
          <w:i/>
          <w:sz w:val="20"/>
        </w:rPr>
        <w:t>Nemipterus</w:t>
      </w:r>
      <w:proofErr w:type="spellEnd"/>
      <w:r w:rsidR="00D538EC" w:rsidRPr="00073000">
        <w:rPr>
          <w:rFonts w:ascii="Arial" w:hAnsi="Arial" w:cs="Arial"/>
          <w:i/>
          <w:sz w:val="20"/>
        </w:rPr>
        <w:t xml:space="preserve"> spp</w:t>
      </w:r>
      <w:r w:rsidR="00D538EC" w:rsidRPr="00073000">
        <w:rPr>
          <w:rFonts w:ascii="Arial" w:hAnsi="Arial" w:cs="Arial"/>
          <w:sz w:val="20"/>
        </w:rPr>
        <w:t>.) at a feeding rate of approximately 8% of their body weight</w:t>
      </w:r>
      <w:r w:rsidR="002B1FAD" w:rsidRPr="00073000">
        <w:rPr>
          <w:rFonts w:ascii="Arial" w:hAnsi="Arial" w:cs="Arial"/>
          <w:sz w:val="20"/>
        </w:rPr>
        <w:t xml:space="preserve"> (</w:t>
      </w:r>
      <w:r w:rsidR="002B1FAD" w:rsidRPr="00073000">
        <w:rPr>
          <w:rFonts w:ascii="Arial" w:hAnsi="Arial" w:cs="Arial"/>
          <w:color w:val="0070C0"/>
          <w:sz w:val="20"/>
        </w:rPr>
        <w:t xml:space="preserve">Mojjada et al., </w:t>
      </w:r>
      <w:r w:rsidR="00250C65" w:rsidRPr="00073000">
        <w:rPr>
          <w:rFonts w:ascii="Arial" w:hAnsi="Arial" w:cs="Arial"/>
          <w:color w:val="0070C0"/>
          <w:sz w:val="20"/>
        </w:rPr>
        <w:t>2012</w:t>
      </w:r>
      <w:r w:rsidR="002B1FAD" w:rsidRPr="00073000">
        <w:rPr>
          <w:rFonts w:ascii="Arial" w:hAnsi="Arial" w:cs="Arial"/>
          <w:sz w:val="20"/>
        </w:rPr>
        <w:t>)</w:t>
      </w:r>
      <w:r w:rsidR="00D538EC" w:rsidRPr="00073000">
        <w:rPr>
          <w:rFonts w:ascii="Arial" w:hAnsi="Arial" w:cs="Arial"/>
          <w:sz w:val="20"/>
        </w:rPr>
        <w:t xml:space="preserve">. Data on </w:t>
      </w:r>
      <w:r w:rsidR="002A2F6C" w:rsidRPr="00073000">
        <w:rPr>
          <w:rFonts w:ascii="Arial" w:hAnsi="Arial" w:cs="Arial"/>
          <w:sz w:val="20"/>
        </w:rPr>
        <w:t>proximate composition of trash fish</w:t>
      </w:r>
      <w:r w:rsidR="00D538EC" w:rsidRPr="00073000">
        <w:rPr>
          <w:rFonts w:ascii="Arial" w:hAnsi="Arial" w:cs="Arial"/>
          <w:sz w:val="20"/>
        </w:rPr>
        <w:t>, total feed supplied</w:t>
      </w:r>
      <w:r w:rsidR="002A2F6C" w:rsidRPr="00073000">
        <w:rPr>
          <w:rFonts w:ascii="Arial" w:hAnsi="Arial" w:cs="Arial"/>
          <w:sz w:val="20"/>
        </w:rPr>
        <w:t xml:space="preserve"> </w:t>
      </w:r>
      <w:r w:rsidR="00D538EC" w:rsidRPr="00073000">
        <w:rPr>
          <w:rFonts w:ascii="Arial" w:hAnsi="Arial" w:cs="Arial"/>
          <w:sz w:val="20"/>
        </w:rPr>
        <w:t>were systematically recorded during the study</w:t>
      </w:r>
      <w:r w:rsidR="002A2F6C" w:rsidRPr="00073000">
        <w:rPr>
          <w:rFonts w:ascii="Arial" w:hAnsi="Arial" w:cs="Arial"/>
          <w:sz w:val="20"/>
        </w:rPr>
        <w:t xml:space="preserve"> (</w:t>
      </w:r>
      <w:r w:rsidR="002A2F6C" w:rsidRPr="00073000">
        <w:rPr>
          <w:rFonts w:ascii="Arial" w:hAnsi="Arial" w:cs="Arial"/>
          <w:color w:val="0070C0"/>
          <w:sz w:val="20"/>
        </w:rPr>
        <w:t>Table A</w:t>
      </w:r>
      <w:r w:rsidR="008E7933" w:rsidRPr="00073000">
        <w:rPr>
          <w:rFonts w:ascii="Arial" w:hAnsi="Arial" w:cs="Arial"/>
          <w:color w:val="0070C0"/>
          <w:sz w:val="20"/>
        </w:rPr>
        <w:t>1</w:t>
      </w:r>
      <w:r w:rsidR="002A2F6C" w:rsidRPr="00073000">
        <w:rPr>
          <w:rFonts w:ascii="Arial" w:hAnsi="Arial" w:cs="Arial"/>
          <w:color w:val="0070C0"/>
          <w:sz w:val="20"/>
        </w:rPr>
        <w:t xml:space="preserve"> and A</w:t>
      </w:r>
      <w:r w:rsidR="008E7933" w:rsidRPr="00073000">
        <w:rPr>
          <w:rFonts w:ascii="Arial" w:hAnsi="Arial" w:cs="Arial"/>
          <w:color w:val="0070C0"/>
          <w:sz w:val="20"/>
        </w:rPr>
        <w:t>1</w:t>
      </w:r>
      <w:r w:rsidR="002A2F6C" w:rsidRPr="00073000">
        <w:rPr>
          <w:rFonts w:ascii="Arial" w:hAnsi="Arial" w:cs="Arial"/>
          <w:sz w:val="20"/>
        </w:rPr>
        <w:t>) of (</w:t>
      </w:r>
      <w:r w:rsidR="004146DA" w:rsidRPr="00073000">
        <w:rPr>
          <w:rFonts w:ascii="Arial" w:hAnsi="Arial" w:cs="Arial"/>
          <w:color w:val="0070C0"/>
          <w:sz w:val="20"/>
        </w:rPr>
        <w:t>Appendix</w:t>
      </w:r>
      <w:r w:rsidR="002A2F6C" w:rsidRPr="00073000">
        <w:rPr>
          <w:rFonts w:ascii="Arial" w:hAnsi="Arial" w:cs="Arial"/>
          <w:sz w:val="20"/>
        </w:rPr>
        <w:t>)</w:t>
      </w:r>
      <w:r w:rsidR="00D538EC" w:rsidRPr="00073000">
        <w:rPr>
          <w:rFonts w:ascii="Arial" w:hAnsi="Arial" w:cs="Arial"/>
          <w:sz w:val="20"/>
        </w:rPr>
        <w:t xml:space="preserve">. </w:t>
      </w:r>
      <w:r w:rsidR="002C7FD6" w:rsidRPr="00073000">
        <w:rPr>
          <w:rFonts w:ascii="Arial" w:hAnsi="Arial" w:cs="Arial"/>
          <w:sz w:val="20"/>
        </w:rPr>
        <w:t>These productions</w:t>
      </w:r>
      <w:r w:rsidR="00D538EC" w:rsidRPr="00073000">
        <w:rPr>
          <w:rFonts w:ascii="Arial" w:hAnsi="Arial" w:cs="Arial"/>
          <w:sz w:val="20"/>
        </w:rPr>
        <w:t xml:space="preserve"> and feeding data were subsequently used to estimate nutrient inputs, retention, and losses for the nutrient budget analysis.</w:t>
      </w:r>
    </w:p>
    <w:p w14:paraId="35468ADE" w14:textId="77777777" w:rsidR="00D538EC" w:rsidRPr="002C66E5" w:rsidRDefault="00D538EC" w:rsidP="00D538EC">
      <w:pPr>
        <w:rPr>
          <w:rFonts w:ascii="Arial" w:hAnsi="Arial" w:cs="Arial"/>
          <w:b/>
          <w:bCs/>
        </w:rPr>
      </w:pPr>
      <w:r w:rsidRPr="002C66E5">
        <w:rPr>
          <w:rFonts w:ascii="Arial" w:hAnsi="Arial" w:cs="Arial"/>
          <w:b/>
          <w:bCs/>
        </w:rPr>
        <w:t>2.3 Nutrient Budget Estimation</w:t>
      </w:r>
    </w:p>
    <w:p w14:paraId="6E4A30C0" w14:textId="77777777" w:rsidR="00D538EC" w:rsidRPr="00073000" w:rsidRDefault="00D538EC" w:rsidP="00D538EC">
      <w:pPr>
        <w:rPr>
          <w:rFonts w:ascii="Arial" w:hAnsi="Arial" w:cs="Arial"/>
          <w:sz w:val="20"/>
        </w:rPr>
      </w:pPr>
      <w:r w:rsidRPr="00073000">
        <w:rPr>
          <w:rFonts w:ascii="Arial" w:hAnsi="Arial" w:cs="Arial"/>
          <w:sz w:val="20"/>
        </w:rPr>
        <w:t>Nitrogen (N) and phosphorus (P) budgets were estimated following mass balance principles commonly used in aquaculture nutrient budget studies.</w:t>
      </w:r>
    </w:p>
    <w:p w14:paraId="2F3D283E" w14:textId="77777777" w:rsidR="00D538EC" w:rsidRPr="00073000" w:rsidRDefault="00D538EC" w:rsidP="00D538EC">
      <w:pPr>
        <w:rPr>
          <w:rFonts w:ascii="Arial" w:hAnsi="Arial" w:cs="Arial"/>
          <w:b/>
          <w:bCs/>
          <w:sz w:val="20"/>
        </w:rPr>
      </w:pPr>
      <w:r w:rsidRPr="00073000">
        <w:rPr>
          <w:rFonts w:ascii="Arial" w:hAnsi="Arial" w:cs="Arial"/>
          <w:b/>
          <w:bCs/>
          <w:sz w:val="20"/>
        </w:rPr>
        <w:t>Nitrogen Budget</w:t>
      </w:r>
    </w:p>
    <w:p w14:paraId="583D9AFA" w14:textId="77777777" w:rsidR="00D538EC" w:rsidRPr="00073000" w:rsidRDefault="00000000">
      <w:pPr>
        <w:rPr>
          <w:rFonts w:ascii="Arial" w:eastAsiaTheme="minorEastAsia" w:hAnsi="Arial" w:cs="Arial"/>
          <w:sz w:val="20"/>
        </w:rPr>
      </w:pPr>
      <m:oMathPara>
        <m:oMath>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released</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input</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retained</m:t>
              </m:r>
            </m:sub>
          </m:sSub>
        </m:oMath>
      </m:oMathPara>
    </w:p>
    <w:p w14:paraId="4E6F5B76" w14:textId="77777777" w:rsidR="00D538EC" w:rsidRPr="00073000" w:rsidRDefault="00000000">
      <w:pPr>
        <w:rPr>
          <w:rFonts w:ascii="Arial" w:eastAsiaTheme="minorEastAsia" w:hAnsi="Arial" w:cs="Arial"/>
          <w:sz w:val="20"/>
        </w:rPr>
      </w:pPr>
      <m:oMath>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input</m:t>
            </m:r>
          </m:sub>
        </m:sSub>
      </m:oMath>
      <w:r w:rsidR="00D538EC" w:rsidRPr="00073000">
        <w:rPr>
          <w:rFonts w:ascii="Arial" w:eastAsiaTheme="minorEastAsia" w:hAnsi="Arial" w:cs="Arial"/>
          <w:sz w:val="20"/>
        </w:rPr>
        <w:t xml:space="preserve"> = Total </w:t>
      </w:r>
      <w:r w:rsidR="003306D8" w:rsidRPr="00073000">
        <w:rPr>
          <w:rFonts w:ascii="Arial" w:eastAsiaTheme="minorEastAsia" w:hAnsi="Arial" w:cs="Arial"/>
          <w:sz w:val="20"/>
        </w:rPr>
        <w:t>nitrogen</w:t>
      </w:r>
      <w:r w:rsidR="00D538EC" w:rsidRPr="00073000">
        <w:rPr>
          <w:rFonts w:ascii="Arial" w:eastAsiaTheme="minorEastAsia" w:hAnsi="Arial" w:cs="Arial"/>
          <w:sz w:val="20"/>
        </w:rPr>
        <w:t xml:space="preserve"> supplied through feed</w:t>
      </w:r>
    </w:p>
    <w:p w14:paraId="21149443" w14:textId="77777777" w:rsidR="00D538EC" w:rsidRPr="00073000" w:rsidRDefault="00000000" w:rsidP="00D538EC">
      <w:pPr>
        <w:rPr>
          <w:rFonts w:ascii="Arial" w:eastAsiaTheme="minorEastAsia" w:hAnsi="Arial" w:cs="Arial"/>
          <w:sz w:val="20"/>
        </w:rPr>
      </w:pPr>
      <m:oMath>
        <m:sSub>
          <m:sSubPr>
            <m:ctrlPr>
              <w:rPr>
                <w:rFonts w:ascii="Cambria Math" w:hAnsi="Cambria Math" w:cs="Arial"/>
                <w:i/>
                <w:sz w:val="20"/>
              </w:rPr>
            </m:ctrlPr>
          </m:sSubPr>
          <m:e>
            <m:r>
              <w:rPr>
                <w:rFonts w:ascii="Cambria Math" w:hAnsi="Cambria Math" w:cs="Arial"/>
                <w:sz w:val="20"/>
              </w:rPr>
              <m:t>N</m:t>
            </m:r>
          </m:e>
          <m:sub>
            <m:r>
              <w:rPr>
                <w:rFonts w:ascii="Cambria Math" w:hAnsi="Cambria Math" w:cs="Arial"/>
                <w:sz w:val="20"/>
              </w:rPr>
              <m:t>retained</m:t>
            </m:r>
          </m:sub>
        </m:sSub>
      </m:oMath>
      <w:r w:rsidR="00D538EC" w:rsidRPr="00073000">
        <w:rPr>
          <w:rFonts w:ascii="Arial" w:eastAsiaTheme="minorEastAsia" w:hAnsi="Arial" w:cs="Arial"/>
          <w:sz w:val="20"/>
        </w:rPr>
        <w:t xml:space="preserve"> = </w:t>
      </w:r>
      <w:r w:rsidR="003306D8" w:rsidRPr="00073000">
        <w:rPr>
          <w:rFonts w:ascii="Arial" w:eastAsiaTheme="minorEastAsia" w:hAnsi="Arial" w:cs="Arial"/>
          <w:sz w:val="20"/>
        </w:rPr>
        <w:t>Nitrogen</w:t>
      </w:r>
      <w:r w:rsidR="00D538EC" w:rsidRPr="00073000">
        <w:rPr>
          <w:rFonts w:ascii="Arial" w:eastAsiaTheme="minorEastAsia" w:hAnsi="Arial" w:cs="Arial"/>
          <w:sz w:val="20"/>
        </w:rPr>
        <w:t xml:space="preserve"> incorporated into lobster biomass</w:t>
      </w:r>
    </w:p>
    <w:p w14:paraId="2D889260" w14:textId="77777777" w:rsidR="003306D8" w:rsidRPr="00073000" w:rsidRDefault="003306D8" w:rsidP="00D538EC">
      <w:pPr>
        <w:rPr>
          <w:rFonts w:ascii="Arial" w:eastAsiaTheme="minorEastAsia" w:hAnsi="Arial" w:cs="Arial"/>
          <w:sz w:val="20"/>
        </w:rPr>
      </w:pPr>
    </w:p>
    <w:p w14:paraId="6B644404" w14:textId="77777777" w:rsidR="003306D8" w:rsidRPr="00073000" w:rsidRDefault="003306D8" w:rsidP="003306D8">
      <w:pPr>
        <w:rPr>
          <w:rFonts w:ascii="Arial" w:hAnsi="Arial" w:cs="Arial"/>
          <w:b/>
          <w:bCs/>
          <w:sz w:val="20"/>
        </w:rPr>
      </w:pPr>
      <w:r w:rsidRPr="00073000">
        <w:rPr>
          <w:rFonts w:ascii="Arial" w:hAnsi="Arial" w:cs="Arial"/>
          <w:b/>
          <w:bCs/>
          <w:sz w:val="20"/>
        </w:rPr>
        <w:t>Phosphorous Budget</w:t>
      </w:r>
    </w:p>
    <w:p w14:paraId="009230D0" w14:textId="77777777" w:rsidR="003306D8" w:rsidRPr="00073000" w:rsidRDefault="00000000" w:rsidP="003306D8">
      <w:pPr>
        <w:rPr>
          <w:rFonts w:ascii="Arial" w:eastAsiaTheme="minorEastAsia" w:hAnsi="Arial" w:cs="Arial"/>
          <w:sz w:val="20"/>
        </w:rPr>
      </w:pPr>
      <m:oMathPara>
        <m:oMath>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released</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input</m:t>
              </m:r>
            </m:sub>
          </m:sSub>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retained</m:t>
              </m:r>
            </m:sub>
          </m:sSub>
        </m:oMath>
      </m:oMathPara>
    </w:p>
    <w:p w14:paraId="036749A6" w14:textId="2428206B" w:rsidR="003306D8" w:rsidRPr="00073000" w:rsidRDefault="00000000" w:rsidP="003306D8">
      <w:pPr>
        <w:rPr>
          <w:rFonts w:ascii="Arial" w:eastAsiaTheme="minorEastAsia" w:hAnsi="Arial" w:cs="Arial"/>
          <w:sz w:val="20"/>
        </w:rPr>
      </w:pPr>
      <m:oMath>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input</m:t>
            </m:r>
          </m:sub>
        </m:sSub>
      </m:oMath>
      <w:r w:rsidR="003306D8" w:rsidRPr="00073000">
        <w:rPr>
          <w:rFonts w:ascii="Arial" w:eastAsiaTheme="minorEastAsia" w:hAnsi="Arial" w:cs="Arial"/>
          <w:sz w:val="20"/>
        </w:rPr>
        <w:t xml:space="preserve"> = Total phosphorous </w:t>
      </w:r>
      <w:r w:rsidR="007F3EAF">
        <w:rPr>
          <w:rFonts w:ascii="Arial" w:eastAsiaTheme="minorEastAsia" w:hAnsi="Arial" w:cs="Arial"/>
          <w:sz w:val="20"/>
        </w:rPr>
        <w:t>f</w:t>
      </w:r>
      <w:r w:rsidR="007F3EAF" w:rsidRPr="007F3EAF">
        <w:t xml:space="preserve"> </w:t>
      </w:r>
      <w:proofErr w:type="spellStart"/>
      <w:r w:rsidR="007F3EAF" w:rsidRPr="007F3EAF">
        <w:rPr>
          <w:rFonts w:ascii="Arial" w:eastAsiaTheme="minorEastAsia" w:hAnsi="Arial" w:cs="Arial"/>
          <w:sz w:val="20"/>
        </w:rPr>
        <w:t>Appen</w:t>
      </w:r>
      <w:r w:rsidR="003306D8" w:rsidRPr="00073000">
        <w:rPr>
          <w:rFonts w:ascii="Arial" w:eastAsiaTheme="minorEastAsia" w:hAnsi="Arial" w:cs="Arial"/>
          <w:sz w:val="20"/>
        </w:rPr>
        <w:t>lied</w:t>
      </w:r>
      <w:proofErr w:type="spellEnd"/>
      <w:r w:rsidR="003306D8" w:rsidRPr="00073000">
        <w:rPr>
          <w:rFonts w:ascii="Arial" w:eastAsiaTheme="minorEastAsia" w:hAnsi="Arial" w:cs="Arial"/>
          <w:sz w:val="20"/>
        </w:rPr>
        <w:t xml:space="preserve"> through feed</w:t>
      </w:r>
    </w:p>
    <w:p w14:paraId="2C810D9E" w14:textId="77777777" w:rsidR="003306D8" w:rsidRPr="00073000" w:rsidRDefault="00000000" w:rsidP="003306D8">
      <w:pPr>
        <w:rPr>
          <w:rFonts w:ascii="Arial" w:eastAsiaTheme="minorEastAsia" w:hAnsi="Arial" w:cs="Arial"/>
          <w:sz w:val="20"/>
        </w:rPr>
      </w:pPr>
      <m:oMath>
        <m:sSub>
          <m:sSubPr>
            <m:ctrlPr>
              <w:rPr>
                <w:rFonts w:ascii="Cambria Math" w:hAnsi="Cambria Math" w:cs="Arial"/>
                <w:i/>
                <w:sz w:val="20"/>
              </w:rPr>
            </m:ctrlPr>
          </m:sSubPr>
          <m:e>
            <m:r>
              <w:rPr>
                <w:rFonts w:ascii="Cambria Math" w:hAnsi="Cambria Math" w:cs="Arial"/>
                <w:sz w:val="20"/>
              </w:rPr>
              <m:t>P</m:t>
            </m:r>
          </m:e>
          <m:sub>
            <m:r>
              <w:rPr>
                <w:rFonts w:ascii="Cambria Math" w:hAnsi="Cambria Math" w:cs="Arial"/>
                <w:sz w:val="20"/>
              </w:rPr>
              <m:t>retained</m:t>
            </m:r>
          </m:sub>
        </m:sSub>
      </m:oMath>
      <w:r w:rsidR="003306D8" w:rsidRPr="00073000">
        <w:rPr>
          <w:rFonts w:ascii="Arial" w:eastAsiaTheme="minorEastAsia" w:hAnsi="Arial" w:cs="Arial"/>
          <w:sz w:val="20"/>
        </w:rPr>
        <w:t xml:space="preserve"> = Phosphorous incorporated into lobster biomass</w:t>
      </w:r>
    </w:p>
    <w:p w14:paraId="6DF44118" w14:textId="77777777" w:rsidR="00BE3F3B" w:rsidRPr="00073000" w:rsidRDefault="00BE3F3B" w:rsidP="00D538EC">
      <w:pPr>
        <w:rPr>
          <w:rFonts w:ascii="Arial" w:eastAsiaTheme="minorEastAsia" w:hAnsi="Arial" w:cs="Arial"/>
          <w:sz w:val="20"/>
        </w:rPr>
      </w:pPr>
    </w:p>
    <w:p w14:paraId="4E721657" w14:textId="77777777" w:rsidR="00D538EC" w:rsidRPr="00073000" w:rsidRDefault="00D538EC" w:rsidP="00D538EC">
      <w:pPr>
        <w:rPr>
          <w:rFonts w:ascii="Arial" w:hAnsi="Arial" w:cs="Arial"/>
          <w:sz w:val="20"/>
        </w:rPr>
      </w:pPr>
      <w:r w:rsidRPr="00073000">
        <w:rPr>
          <w:rFonts w:ascii="Arial" w:hAnsi="Arial" w:cs="Arial"/>
          <w:sz w:val="20"/>
        </w:rPr>
        <w:t>The percentages of nutrient retention and release were calculated as:</w:t>
      </w:r>
    </w:p>
    <w:p w14:paraId="09CFD6F5" w14:textId="77777777" w:rsidR="00D538EC" w:rsidRPr="00073000" w:rsidRDefault="00BA7AAC" w:rsidP="001E42EE">
      <w:pPr>
        <w:jc w:val="center"/>
        <w:rPr>
          <w:rFonts w:ascii="Arial" w:hAnsi="Arial" w:cs="Arial"/>
          <w:sz w:val="20"/>
        </w:rPr>
      </w:pPr>
      <m:oMathPara>
        <m:oMath>
          <m:r>
            <w:rPr>
              <w:rFonts w:ascii="Cambria Math" w:hAnsi="Cambria Math" w:cs="Arial"/>
              <w:sz w:val="20"/>
            </w:rPr>
            <m:t>Retention(%)=</m:t>
          </m:r>
          <m:f>
            <m:fPr>
              <m:ctrlPr>
                <w:rPr>
                  <w:rFonts w:ascii="Cambria Math" w:hAnsi="Cambria Math" w:cs="Arial"/>
                  <w:i/>
                  <w:sz w:val="20"/>
                </w:rPr>
              </m:ctrlPr>
            </m:fPr>
            <m:num>
              <m:r>
                <w:rPr>
                  <w:rFonts w:ascii="Cambria Math" w:hAnsi="Cambria Math" w:cs="Arial"/>
                  <w:sz w:val="20"/>
                </w:rPr>
                <m:t>Nutrient retained</m:t>
              </m:r>
            </m:num>
            <m:den>
              <m:r>
                <w:rPr>
                  <w:rFonts w:ascii="Cambria Math" w:hAnsi="Cambria Math" w:cs="Arial"/>
                  <w:sz w:val="20"/>
                </w:rPr>
                <m:t>Nutrient input</m:t>
              </m:r>
            </m:den>
          </m:f>
          <m:r>
            <w:rPr>
              <w:rFonts w:ascii="Cambria Math" w:hAnsi="Cambria Math" w:cs="Arial"/>
              <w:sz w:val="20"/>
            </w:rPr>
            <m:t>×100</m:t>
          </m:r>
        </m:oMath>
      </m:oMathPara>
    </w:p>
    <w:p w14:paraId="05763632" w14:textId="77777777" w:rsidR="00BA7AAC" w:rsidRPr="00073000" w:rsidRDefault="00BA7AAC" w:rsidP="001E42EE">
      <w:pPr>
        <w:jc w:val="center"/>
        <w:rPr>
          <w:rFonts w:ascii="Arial" w:hAnsi="Arial" w:cs="Arial"/>
          <w:sz w:val="20"/>
        </w:rPr>
      </w:pPr>
      <m:oMathPara>
        <m:oMathParaPr>
          <m:jc m:val="center"/>
        </m:oMathParaPr>
        <m:oMath>
          <m:r>
            <w:rPr>
              <w:rFonts w:ascii="Cambria Math" w:hAnsi="Cambria Math" w:cs="Arial"/>
              <w:sz w:val="20"/>
            </w:rPr>
            <m:t>Release(%)=</m:t>
          </m:r>
          <m:f>
            <m:fPr>
              <m:ctrlPr>
                <w:rPr>
                  <w:rFonts w:ascii="Cambria Math" w:hAnsi="Cambria Math" w:cs="Arial"/>
                  <w:i/>
                  <w:sz w:val="20"/>
                </w:rPr>
              </m:ctrlPr>
            </m:fPr>
            <m:num>
              <m:r>
                <w:rPr>
                  <w:rFonts w:ascii="Cambria Math" w:hAnsi="Cambria Math" w:cs="Arial"/>
                  <w:sz w:val="20"/>
                </w:rPr>
                <m:t>Nutrient released</m:t>
              </m:r>
            </m:num>
            <m:den>
              <m:r>
                <w:rPr>
                  <w:rFonts w:ascii="Cambria Math" w:hAnsi="Cambria Math" w:cs="Arial"/>
                  <w:sz w:val="20"/>
                </w:rPr>
                <m:t>Nutrient input</m:t>
              </m:r>
            </m:den>
          </m:f>
          <m:r>
            <w:rPr>
              <w:rFonts w:ascii="Cambria Math" w:hAnsi="Cambria Math" w:cs="Arial"/>
              <w:sz w:val="20"/>
            </w:rPr>
            <m:t>×100</m:t>
          </m:r>
        </m:oMath>
      </m:oMathPara>
    </w:p>
    <w:p w14:paraId="2309D0B1" w14:textId="77777777" w:rsidR="00D538EC" w:rsidRPr="00073000" w:rsidRDefault="00BA7AAC">
      <w:pPr>
        <w:rPr>
          <w:rFonts w:ascii="Arial" w:hAnsi="Arial" w:cs="Arial"/>
          <w:sz w:val="20"/>
        </w:rPr>
      </w:pPr>
      <w:r w:rsidRPr="00073000">
        <w:rPr>
          <w:rFonts w:ascii="Arial" w:hAnsi="Arial" w:cs="Arial"/>
          <w:sz w:val="20"/>
        </w:rPr>
        <w:t>Monthly nutrient release estimates during the culture period (January–April 2022) were used for subsequent analysis.</w:t>
      </w:r>
    </w:p>
    <w:p w14:paraId="4A97D670" w14:textId="77777777" w:rsidR="00197A23" w:rsidRPr="002C66E5" w:rsidRDefault="00197A23" w:rsidP="00197A23">
      <w:pPr>
        <w:rPr>
          <w:rFonts w:ascii="Arial" w:hAnsi="Arial" w:cs="Arial"/>
          <w:b/>
          <w:bCs/>
        </w:rPr>
      </w:pPr>
      <w:r w:rsidRPr="002C66E5">
        <w:rPr>
          <w:rFonts w:ascii="Arial" w:hAnsi="Arial" w:cs="Arial"/>
          <w:b/>
          <w:bCs/>
        </w:rPr>
        <w:t>2.4 Phytoplankton Sampling and Enumeration</w:t>
      </w:r>
    </w:p>
    <w:p w14:paraId="3E0A731C" w14:textId="77777777" w:rsidR="00BC3ED9" w:rsidRPr="00073000" w:rsidRDefault="00197A23" w:rsidP="00403298">
      <w:pPr>
        <w:jc w:val="both"/>
        <w:rPr>
          <w:rFonts w:ascii="Arial" w:hAnsi="Arial" w:cs="Arial"/>
          <w:sz w:val="20"/>
        </w:rPr>
      </w:pPr>
      <w:r w:rsidRPr="00073000">
        <w:rPr>
          <w:rFonts w:ascii="Arial" w:hAnsi="Arial" w:cs="Arial"/>
          <w:sz w:val="20"/>
        </w:rPr>
        <w:t xml:space="preserve">Phytoplankton samples were collected fortnightly from both the cage culture site and the reference site using a plankton net of 20 µm mesh size. Samples were preserved in 5% buffered formalin and </w:t>
      </w:r>
      <w:r w:rsidR="00DC0409" w:rsidRPr="00073000">
        <w:rPr>
          <w:rFonts w:ascii="Arial" w:hAnsi="Arial" w:cs="Arial"/>
          <w:sz w:val="20"/>
        </w:rPr>
        <w:t>analysed</w:t>
      </w:r>
      <w:r w:rsidRPr="00073000">
        <w:rPr>
          <w:rFonts w:ascii="Arial" w:hAnsi="Arial" w:cs="Arial"/>
          <w:sz w:val="20"/>
        </w:rPr>
        <w:t xml:space="preserve"> in the laboratory using a Sedgwick</w:t>
      </w:r>
      <w:r w:rsidR="00E420D7" w:rsidRPr="00073000">
        <w:rPr>
          <w:rFonts w:ascii="Arial" w:hAnsi="Arial" w:cs="Arial"/>
          <w:sz w:val="20"/>
        </w:rPr>
        <w:t>-</w:t>
      </w:r>
      <w:r w:rsidRPr="00073000">
        <w:rPr>
          <w:rFonts w:ascii="Arial" w:hAnsi="Arial" w:cs="Arial"/>
          <w:sz w:val="20"/>
        </w:rPr>
        <w:t>Rafter counting chamber. Phytoplankton abundance was expressed as cells L</w:t>
      </w:r>
      <w:r w:rsidRPr="00073000">
        <w:rPr>
          <w:rFonts w:ascii="Cambria Math" w:hAnsi="Cambria Math" w:cs="Cambria Math"/>
          <w:sz w:val="20"/>
        </w:rPr>
        <w:t>⁻</w:t>
      </w:r>
      <w:r w:rsidRPr="00073000">
        <w:rPr>
          <w:rFonts w:ascii="Arial" w:hAnsi="Arial" w:cs="Arial"/>
          <w:sz w:val="20"/>
        </w:rPr>
        <w:t>¹. For the present study, only total phytoplankton abundance was considered to evaluate biological responses to nutrient loading.</w:t>
      </w:r>
      <w:r w:rsidR="00403298" w:rsidRPr="00073000">
        <w:rPr>
          <w:rFonts w:ascii="Arial" w:hAnsi="Arial" w:cs="Arial"/>
          <w:sz w:val="20"/>
        </w:rPr>
        <w:t xml:space="preserve"> </w:t>
      </w:r>
      <w:r w:rsidR="00BC3ED9" w:rsidRPr="00073000">
        <w:rPr>
          <w:rFonts w:ascii="Arial" w:hAnsi="Arial" w:cs="Arial"/>
          <w:sz w:val="20"/>
        </w:rPr>
        <w:t>To evaluate variations associated with farming activity, the study period was divided into</w:t>
      </w:r>
      <w:r w:rsidR="00426839" w:rsidRPr="00073000">
        <w:rPr>
          <w:rFonts w:ascii="Arial" w:hAnsi="Arial" w:cs="Arial"/>
          <w:sz w:val="20"/>
        </w:rPr>
        <w:t xml:space="preserve"> (</w:t>
      </w:r>
      <w:r w:rsidR="00426839" w:rsidRPr="00073000">
        <w:rPr>
          <w:rFonts w:ascii="Arial" w:hAnsi="Arial" w:cs="Arial"/>
          <w:color w:val="0070C0"/>
          <w:sz w:val="20"/>
        </w:rPr>
        <w:t>Table 1</w:t>
      </w:r>
      <w:r w:rsidR="00426839" w:rsidRPr="00073000">
        <w:rPr>
          <w:rFonts w:ascii="Arial" w:hAnsi="Arial" w:cs="Arial"/>
          <w:sz w:val="20"/>
        </w:rPr>
        <w:t>)</w:t>
      </w:r>
      <w:r w:rsidR="00BC3ED9" w:rsidRPr="00073000">
        <w:rPr>
          <w:rFonts w:ascii="Arial" w:hAnsi="Arial" w:cs="Arial"/>
          <w:sz w:val="20"/>
        </w:rPr>
        <w:t>:</w:t>
      </w:r>
    </w:p>
    <w:p w14:paraId="31EECCA5" w14:textId="77777777" w:rsidR="00AE2CDB" w:rsidRPr="002C66E5" w:rsidRDefault="00AE2CDB" w:rsidP="00403298">
      <w:pPr>
        <w:jc w:val="both"/>
        <w:rPr>
          <w:rFonts w:ascii="Arial" w:hAnsi="Arial" w:cs="Arial"/>
        </w:rPr>
      </w:pPr>
      <w:r w:rsidRPr="00FE687D">
        <w:rPr>
          <w:rFonts w:ascii="Arial" w:hAnsi="Arial" w:cs="Arial"/>
          <w:b/>
        </w:rPr>
        <w:t>Table:</w:t>
      </w:r>
      <w:r w:rsidR="00C61268" w:rsidRPr="00FE687D">
        <w:rPr>
          <w:rFonts w:ascii="Arial" w:hAnsi="Arial" w:cs="Arial"/>
          <w:b/>
        </w:rPr>
        <w:t>1</w:t>
      </w:r>
      <w:r w:rsidRPr="002C66E5">
        <w:rPr>
          <w:rFonts w:ascii="Arial" w:hAnsi="Arial" w:cs="Arial"/>
        </w:rPr>
        <w:t xml:space="preserve"> Temporal Segmentation of the study period</w:t>
      </w:r>
    </w:p>
    <w:tbl>
      <w:tblPr>
        <w:tblW w:w="7241" w:type="dxa"/>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199"/>
        <w:gridCol w:w="5042"/>
      </w:tblGrid>
      <w:tr w:rsidR="00BC3ED9" w:rsidRPr="002C66E5" w14:paraId="5BD4116C" w14:textId="77777777" w:rsidTr="005C7744">
        <w:trPr>
          <w:trHeight w:val="456"/>
          <w:tblHeader/>
          <w:tblCellSpacing w:w="15" w:type="dxa"/>
          <w:jc w:val="center"/>
        </w:trPr>
        <w:tc>
          <w:tcPr>
            <w:tcW w:w="0" w:type="auto"/>
            <w:tcBorders>
              <w:bottom w:val="single" w:sz="4" w:space="0" w:color="auto"/>
            </w:tcBorders>
            <w:vAlign w:val="center"/>
            <w:hideMark/>
          </w:tcPr>
          <w:p w14:paraId="312D96C1" w14:textId="77777777" w:rsidR="00BC3ED9" w:rsidRPr="002C66E5" w:rsidRDefault="00BC3ED9" w:rsidP="00160931">
            <w:pPr>
              <w:jc w:val="center"/>
              <w:rPr>
                <w:rFonts w:ascii="Arial" w:hAnsi="Arial" w:cs="Arial"/>
                <w:b/>
                <w:bCs/>
              </w:rPr>
            </w:pPr>
            <w:r w:rsidRPr="002C66E5">
              <w:rPr>
                <w:rFonts w:ascii="Arial" w:hAnsi="Arial" w:cs="Arial"/>
                <w:b/>
                <w:bCs/>
              </w:rPr>
              <w:t>Phase</w:t>
            </w:r>
          </w:p>
        </w:tc>
        <w:tc>
          <w:tcPr>
            <w:tcW w:w="0" w:type="auto"/>
            <w:tcBorders>
              <w:bottom w:val="single" w:sz="4" w:space="0" w:color="auto"/>
            </w:tcBorders>
            <w:vAlign w:val="center"/>
            <w:hideMark/>
          </w:tcPr>
          <w:p w14:paraId="3CFD4886" w14:textId="77777777" w:rsidR="00BC3ED9" w:rsidRPr="002C66E5" w:rsidRDefault="00BC3ED9" w:rsidP="00160931">
            <w:pPr>
              <w:jc w:val="center"/>
              <w:rPr>
                <w:rFonts w:ascii="Arial" w:hAnsi="Arial" w:cs="Arial"/>
                <w:b/>
                <w:bCs/>
              </w:rPr>
            </w:pPr>
            <w:r w:rsidRPr="002C66E5">
              <w:rPr>
                <w:rFonts w:ascii="Arial" w:hAnsi="Arial" w:cs="Arial"/>
                <w:b/>
                <w:bCs/>
              </w:rPr>
              <w:t>Period</w:t>
            </w:r>
          </w:p>
        </w:tc>
      </w:tr>
      <w:tr w:rsidR="00BC3ED9" w:rsidRPr="002C66E5" w14:paraId="3E43467C" w14:textId="77777777" w:rsidTr="005C7744">
        <w:trPr>
          <w:trHeight w:val="456"/>
          <w:tblCellSpacing w:w="15" w:type="dxa"/>
          <w:jc w:val="center"/>
        </w:trPr>
        <w:tc>
          <w:tcPr>
            <w:tcW w:w="0" w:type="auto"/>
            <w:vAlign w:val="center"/>
            <w:hideMark/>
          </w:tcPr>
          <w:p w14:paraId="71AD46C8" w14:textId="77777777" w:rsidR="00BC3ED9" w:rsidRPr="002C66E5" w:rsidRDefault="00BC3ED9" w:rsidP="00160931">
            <w:pPr>
              <w:jc w:val="center"/>
              <w:rPr>
                <w:rFonts w:ascii="Arial" w:hAnsi="Arial" w:cs="Arial"/>
              </w:rPr>
            </w:pPr>
            <w:r w:rsidRPr="002C66E5">
              <w:rPr>
                <w:rFonts w:ascii="Arial" w:hAnsi="Arial" w:cs="Arial"/>
              </w:rPr>
              <w:t>Pre-culture</w:t>
            </w:r>
          </w:p>
        </w:tc>
        <w:tc>
          <w:tcPr>
            <w:tcW w:w="0" w:type="auto"/>
            <w:vAlign w:val="center"/>
            <w:hideMark/>
          </w:tcPr>
          <w:p w14:paraId="1F814BBD" w14:textId="77777777" w:rsidR="00BC3ED9" w:rsidRPr="002C66E5" w:rsidRDefault="00BC3ED9" w:rsidP="00160931">
            <w:pPr>
              <w:jc w:val="center"/>
              <w:rPr>
                <w:rFonts w:ascii="Arial" w:hAnsi="Arial" w:cs="Arial"/>
              </w:rPr>
            </w:pPr>
            <w:r w:rsidRPr="002C66E5">
              <w:rPr>
                <w:rFonts w:ascii="Arial" w:hAnsi="Arial" w:cs="Arial"/>
              </w:rPr>
              <w:t>September–December 2021</w:t>
            </w:r>
          </w:p>
        </w:tc>
      </w:tr>
      <w:tr w:rsidR="00BC3ED9" w:rsidRPr="002C66E5" w14:paraId="76B790EE" w14:textId="77777777" w:rsidTr="005C7744">
        <w:trPr>
          <w:trHeight w:val="456"/>
          <w:tblCellSpacing w:w="15" w:type="dxa"/>
          <w:jc w:val="center"/>
        </w:trPr>
        <w:tc>
          <w:tcPr>
            <w:tcW w:w="0" w:type="auto"/>
            <w:vAlign w:val="center"/>
            <w:hideMark/>
          </w:tcPr>
          <w:p w14:paraId="35F3DF0F" w14:textId="77777777" w:rsidR="00BC3ED9" w:rsidRPr="002C66E5" w:rsidRDefault="00BC3ED9" w:rsidP="00160931">
            <w:pPr>
              <w:jc w:val="center"/>
              <w:rPr>
                <w:rFonts w:ascii="Arial" w:hAnsi="Arial" w:cs="Arial"/>
              </w:rPr>
            </w:pPr>
            <w:r w:rsidRPr="002C66E5">
              <w:rPr>
                <w:rFonts w:ascii="Arial" w:hAnsi="Arial" w:cs="Arial"/>
              </w:rPr>
              <w:t>Culture</w:t>
            </w:r>
          </w:p>
        </w:tc>
        <w:tc>
          <w:tcPr>
            <w:tcW w:w="0" w:type="auto"/>
            <w:vAlign w:val="center"/>
            <w:hideMark/>
          </w:tcPr>
          <w:p w14:paraId="67C11E62" w14:textId="77777777" w:rsidR="00BC3ED9" w:rsidRPr="002C66E5" w:rsidRDefault="00BC3ED9" w:rsidP="00160931">
            <w:pPr>
              <w:jc w:val="center"/>
              <w:rPr>
                <w:rFonts w:ascii="Arial" w:hAnsi="Arial" w:cs="Arial"/>
              </w:rPr>
            </w:pPr>
            <w:r w:rsidRPr="002C66E5">
              <w:rPr>
                <w:rFonts w:ascii="Arial" w:hAnsi="Arial" w:cs="Arial"/>
              </w:rPr>
              <w:t>January–April 2022</w:t>
            </w:r>
          </w:p>
        </w:tc>
      </w:tr>
      <w:tr w:rsidR="00BC3ED9" w:rsidRPr="002C66E5" w14:paraId="5F389B63" w14:textId="77777777" w:rsidTr="005C7744">
        <w:trPr>
          <w:trHeight w:val="456"/>
          <w:tblCellSpacing w:w="15" w:type="dxa"/>
          <w:jc w:val="center"/>
        </w:trPr>
        <w:tc>
          <w:tcPr>
            <w:tcW w:w="0" w:type="auto"/>
            <w:vAlign w:val="center"/>
            <w:hideMark/>
          </w:tcPr>
          <w:p w14:paraId="7B3FF9E9" w14:textId="77777777" w:rsidR="00BC3ED9" w:rsidRPr="002C66E5" w:rsidRDefault="00BC3ED9" w:rsidP="00160931">
            <w:pPr>
              <w:jc w:val="center"/>
              <w:rPr>
                <w:rFonts w:ascii="Arial" w:hAnsi="Arial" w:cs="Arial"/>
              </w:rPr>
            </w:pPr>
            <w:r w:rsidRPr="002C66E5">
              <w:rPr>
                <w:rFonts w:ascii="Arial" w:hAnsi="Arial" w:cs="Arial"/>
              </w:rPr>
              <w:t>Post-culture</w:t>
            </w:r>
          </w:p>
        </w:tc>
        <w:tc>
          <w:tcPr>
            <w:tcW w:w="0" w:type="auto"/>
            <w:vAlign w:val="center"/>
            <w:hideMark/>
          </w:tcPr>
          <w:p w14:paraId="60635ECC" w14:textId="77777777" w:rsidR="00BC3ED9" w:rsidRPr="002C66E5" w:rsidRDefault="00BC3ED9" w:rsidP="00160931">
            <w:pPr>
              <w:jc w:val="center"/>
              <w:rPr>
                <w:rFonts w:ascii="Arial" w:hAnsi="Arial" w:cs="Arial"/>
              </w:rPr>
            </w:pPr>
            <w:r w:rsidRPr="002C66E5">
              <w:rPr>
                <w:rFonts w:ascii="Arial" w:hAnsi="Arial" w:cs="Arial"/>
              </w:rPr>
              <w:t>May–August 2022</w:t>
            </w:r>
          </w:p>
        </w:tc>
      </w:tr>
    </w:tbl>
    <w:p w14:paraId="19AE18A8" w14:textId="77777777" w:rsidR="00197A23" w:rsidRPr="002C66E5" w:rsidRDefault="00197A23">
      <w:pPr>
        <w:rPr>
          <w:rFonts w:ascii="Arial" w:hAnsi="Arial" w:cs="Arial"/>
        </w:rPr>
      </w:pPr>
    </w:p>
    <w:p w14:paraId="46F4A9E4" w14:textId="77777777" w:rsidR="00044488" w:rsidRPr="002C66E5" w:rsidRDefault="00044488" w:rsidP="00044488">
      <w:pPr>
        <w:rPr>
          <w:rFonts w:ascii="Arial" w:hAnsi="Arial" w:cs="Arial"/>
          <w:b/>
          <w:bCs/>
        </w:rPr>
      </w:pPr>
      <w:r w:rsidRPr="002C66E5">
        <w:rPr>
          <w:rFonts w:ascii="Arial" w:hAnsi="Arial" w:cs="Arial"/>
          <w:b/>
          <w:bCs/>
        </w:rPr>
        <w:t>2.6 Statistical Analysis</w:t>
      </w:r>
    </w:p>
    <w:p w14:paraId="332666E5" w14:textId="77777777" w:rsidR="00044488" w:rsidRPr="00073000" w:rsidRDefault="00044488" w:rsidP="00D0169A">
      <w:pPr>
        <w:jc w:val="both"/>
        <w:rPr>
          <w:rFonts w:ascii="Arial" w:hAnsi="Arial" w:cs="Arial"/>
          <w:sz w:val="20"/>
        </w:rPr>
      </w:pPr>
      <w:r w:rsidRPr="00073000">
        <w:rPr>
          <w:rFonts w:ascii="Arial" w:hAnsi="Arial" w:cs="Arial"/>
          <w:sz w:val="20"/>
        </w:rPr>
        <w:t>All data are presented as mean ± standard deviation (SD). Descriptive statistics were used to summarize temporal variations in nutrient loading and phytoplankton abundance during the study period. Prior to statistical analyses, data normality and homogeneity of variances were assessed using the Kolmogorov–Smirnov and Levene's tests, respectively. Pearson's correlation analysis was performed to examine the relationships between nutrient loading variables and phytoplankton abundance. Statistical significance was determined at p &lt; 0.05. All statistical analyses were performed using IBM SPSS Statistics version 22.0 (</w:t>
      </w:r>
      <w:r w:rsidRPr="00073000">
        <w:rPr>
          <w:rFonts w:ascii="Arial" w:hAnsi="Arial" w:cs="Arial"/>
          <w:color w:val="0070C0"/>
          <w:sz w:val="20"/>
        </w:rPr>
        <w:t>IBM Corp</w:t>
      </w:r>
      <w:r w:rsidR="00820D17" w:rsidRPr="00073000">
        <w:rPr>
          <w:rFonts w:ascii="Arial" w:hAnsi="Arial" w:cs="Arial"/>
          <w:color w:val="0070C0"/>
          <w:sz w:val="20"/>
        </w:rPr>
        <w:t xml:space="preserve"> 2013</w:t>
      </w:r>
      <w:r w:rsidRPr="00073000">
        <w:rPr>
          <w:rFonts w:ascii="Arial" w:hAnsi="Arial" w:cs="Arial"/>
          <w:sz w:val="20"/>
        </w:rPr>
        <w:t>).</w:t>
      </w:r>
    </w:p>
    <w:p w14:paraId="63463B93" w14:textId="77777777" w:rsidR="00CF5F73" w:rsidRPr="002C66E5" w:rsidRDefault="00073000" w:rsidP="00CF5F73">
      <w:pPr>
        <w:jc w:val="both"/>
        <w:rPr>
          <w:rFonts w:ascii="Arial" w:hAnsi="Arial" w:cs="Arial"/>
          <w:b/>
          <w:bCs/>
        </w:rPr>
      </w:pPr>
      <w:bookmarkStart w:id="0" w:name="_Hlk232524422"/>
      <w:r w:rsidRPr="002C66E5">
        <w:rPr>
          <w:rFonts w:ascii="Arial" w:hAnsi="Arial" w:cs="Arial"/>
          <w:b/>
          <w:bCs/>
        </w:rPr>
        <w:t>3. RESULTS AND DISCUSSION</w:t>
      </w:r>
    </w:p>
    <w:p w14:paraId="1868752F" w14:textId="77777777" w:rsidR="00366549" w:rsidRPr="002C66E5" w:rsidRDefault="00366549" w:rsidP="00366549">
      <w:pPr>
        <w:jc w:val="both"/>
        <w:rPr>
          <w:rFonts w:ascii="Arial" w:hAnsi="Arial" w:cs="Arial"/>
          <w:b/>
          <w:bCs/>
        </w:rPr>
      </w:pPr>
      <w:r w:rsidRPr="002C66E5">
        <w:rPr>
          <w:rFonts w:ascii="Arial" w:hAnsi="Arial" w:cs="Arial"/>
          <w:b/>
          <w:bCs/>
        </w:rPr>
        <w:t>3.1 Nutrient Loading from Lobster Cage Farming</w:t>
      </w:r>
    </w:p>
    <w:p w14:paraId="7A644C6F" w14:textId="77777777" w:rsidR="00366549" w:rsidRPr="00073000" w:rsidRDefault="008051BF" w:rsidP="00366549">
      <w:pPr>
        <w:jc w:val="both"/>
        <w:rPr>
          <w:rFonts w:ascii="Arial" w:hAnsi="Arial" w:cs="Arial"/>
          <w:bCs/>
          <w:sz w:val="20"/>
        </w:rPr>
      </w:pPr>
      <w:r w:rsidRPr="002C66E5">
        <w:rPr>
          <w:rFonts w:ascii="Arial" w:hAnsi="Arial" w:cs="Arial"/>
          <w:bCs/>
        </w:rPr>
        <w:tab/>
      </w:r>
      <w:r w:rsidR="00366549" w:rsidRPr="00073000">
        <w:rPr>
          <w:rFonts w:ascii="Arial" w:hAnsi="Arial" w:cs="Arial"/>
          <w:bCs/>
          <w:sz w:val="20"/>
        </w:rPr>
        <w:t xml:space="preserve">The nutrient budget analysis revealed substantial nitrogen (N) and phosphorus (P) inputs into the open-sea lobster farming system through feed supplied during the culture period. Nutrient loading increased progressively with increasing lobster biomass and feed consumption, indicating a direct relationship between farming intensity and nutrient release. Total phosphorus input through feed during the four-month culture cycle was estimated at 8.91 kg, of which 7.96 kg (89.3%) was released into the surrounding environment, while only 0.95 kg (10.7%) was retained in harvested lobster biomass. </w:t>
      </w:r>
      <w:r w:rsidR="00366549" w:rsidRPr="00073000">
        <w:rPr>
          <w:rFonts w:ascii="Arial" w:hAnsi="Arial" w:cs="Arial"/>
          <w:bCs/>
          <w:sz w:val="20"/>
        </w:rPr>
        <w:lastRenderedPageBreak/>
        <w:t>Monthly phosphorus discharge increased from 1.65 ± 0.04 kg in January to 2.47 ± 0.02 kg in April, reflecting the increased feed requirement associated with lobster growth</w:t>
      </w:r>
      <w:r w:rsidR="00F6606F" w:rsidRPr="00073000">
        <w:rPr>
          <w:rFonts w:ascii="Arial" w:hAnsi="Arial" w:cs="Arial"/>
          <w:bCs/>
          <w:sz w:val="20"/>
        </w:rPr>
        <w:t xml:space="preserve"> (</w:t>
      </w:r>
      <w:r w:rsidR="00F6606F" w:rsidRPr="00073000">
        <w:rPr>
          <w:rFonts w:ascii="Arial" w:hAnsi="Arial" w:cs="Arial"/>
          <w:bCs/>
          <w:color w:val="0070C0"/>
          <w:sz w:val="20"/>
        </w:rPr>
        <w:t>Fig.2</w:t>
      </w:r>
      <w:r w:rsidR="008F79F5" w:rsidRPr="00073000">
        <w:rPr>
          <w:rFonts w:ascii="Arial" w:hAnsi="Arial" w:cs="Arial"/>
          <w:bCs/>
          <w:color w:val="0070C0"/>
          <w:sz w:val="20"/>
        </w:rPr>
        <w:t>b</w:t>
      </w:r>
      <w:r w:rsidR="00F6606F" w:rsidRPr="00073000">
        <w:rPr>
          <w:rFonts w:ascii="Arial" w:hAnsi="Arial" w:cs="Arial"/>
          <w:bCs/>
          <w:sz w:val="20"/>
        </w:rPr>
        <w:t>)</w:t>
      </w:r>
      <w:r w:rsidR="00366549" w:rsidRPr="00073000">
        <w:rPr>
          <w:rFonts w:ascii="Arial" w:hAnsi="Arial" w:cs="Arial"/>
          <w:bCs/>
          <w:sz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17F85" w:rsidRPr="002C66E5" w14:paraId="33F7B0ED" w14:textId="77777777" w:rsidTr="00E17F85">
        <w:tc>
          <w:tcPr>
            <w:tcW w:w="9016" w:type="dxa"/>
          </w:tcPr>
          <w:p w14:paraId="74D53FA6" w14:textId="77777777" w:rsidR="00E17F85" w:rsidRPr="002C66E5" w:rsidRDefault="00FA7BEE" w:rsidP="00E17F85">
            <w:pPr>
              <w:jc w:val="center"/>
              <w:rPr>
                <w:rFonts w:ascii="Arial" w:hAnsi="Arial" w:cs="Arial"/>
                <w:bCs/>
              </w:rPr>
            </w:pPr>
            <w:r w:rsidRPr="002C66E5">
              <w:rPr>
                <w:rFonts w:ascii="Arial" w:hAnsi="Arial" w:cs="Arial"/>
                <w:noProof/>
              </w:rPr>
              <w:drawing>
                <wp:inline distT="0" distB="0" distL="0" distR="0" wp14:anchorId="4C9395FB" wp14:editId="54EDA788">
                  <wp:extent cx="4777878" cy="4719572"/>
                  <wp:effectExtent l="0" t="0" r="381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983" t="4800" r="18446"/>
                          <a:stretch/>
                        </pic:blipFill>
                        <pic:spPr bwMode="auto">
                          <a:xfrm>
                            <a:off x="0" y="0"/>
                            <a:ext cx="4789712" cy="47312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17F85" w:rsidRPr="002C66E5" w14:paraId="227E52EF" w14:textId="77777777" w:rsidTr="00E17F85">
        <w:tc>
          <w:tcPr>
            <w:tcW w:w="9016" w:type="dxa"/>
          </w:tcPr>
          <w:p w14:paraId="404B440C" w14:textId="77777777" w:rsidR="00E17F85" w:rsidRPr="002C66E5" w:rsidRDefault="00E17F85" w:rsidP="00366549">
            <w:pPr>
              <w:jc w:val="both"/>
              <w:rPr>
                <w:rFonts w:ascii="Arial" w:hAnsi="Arial" w:cs="Arial"/>
                <w:bCs/>
              </w:rPr>
            </w:pPr>
            <w:r w:rsidRPr="002C66E5">
              <w:rPr>
                <w:rFonts w:ascii="Arial" w:hAnsi="Arial" w:cs="Arial"/>
                <w:b/>
                <w:bCs/>
              </w:rPr>
              <w:t>Fig. 2</w:t>
            </w:r>
            <w:r w:rsidRPr="002C66E5">
              <w:rPr>
                <w:rFonts w:ascii="Arial" w:hAnsi="Arial" w:cs="Arial"/>
                <w:bCs/>
              </w:rPr>
              <w:t xml:space="preserve"> Monthly nutrient budgeting in open-sea </w:t>
            </w:r>
            <w:r w:rsidR="000B6E43" w:rsidRPr="002C66E5">
              <w:rPr>
                <w:rFonts w:ascii="Arial" w:hAnsi="Arial" w:cs="Arial"/>
                <w:bCs/>
              </w:rPr>
              <w:t xml:space="preserve">cage </w:t>
            </w:r>
            <w:r w:rsidRPr="002C66E5">
              <w:rPr>
                <w:rFonts w:ascii="Arial" w:hAnsi="Arial" w:cs="Arial"/>
                <w:bCs/>
              </w:rPr>
              <w:t xml:space="preserve">culture of </w:t>
            </w:r>
            <w:proofErr w:type="spellStart"/>
            <w:r w:rsidRPr="002C66E5">
              <w:rPr>
                <w:rFonts w:ascii="Arial" w:hAnsi="Arial" w:cs="Arial"/>
                <w:bCs/>
                <w:i/>
              </w:rPr>
              <w:t>Panulirus</w:t>
            </w:r>
            <w:proofErr w:type="spellEnd"/>
            <w:r w:rsidRPr="002C66E5">
              <w:rPr>
                <w:rFonts w:ascii="Arial" w:hAnsi="Arial" w:cs="Arial"/>
                <w:bCs/>
                <w:i/>
              </w:rPr>
              <w:t xml:space="preserve"> </w:t>
            </w:r>
            <w:proofErr w:type="spellStart"/>
            <w:r w:rsidRPr="002C66E5">
              <w:rPr>
                <w:rFonts w:ascii="Arial" w:hAnsi="Arial" w:cs="Arial"/>
                <w:bCs/>
                <w:i/>
              </w:rPr>
              <w:t>polyphagus</w:t>
            </w:r>
            <w:proofErr w:type="spellEnd"/>
            <w:r w:rsidRPr="002C66E5">
              <w:rPr>
                <w:rFonts w:ascii="Arial" w:hAnsi="Arial" w:cs="Arial"/>
                <w:bCs/>
              </w:rPr>
              <w:t>: (A) nitrogen and (B) phosphorus inputs through feed and release to the surrounding environment.</w:t>
            </w:r>
          </w:p>
        </w:tc>
      </w:tr>
    </w:tbl>
    <w:p w14:paraId="634054BE" w14:textId="77777777" w:rsidR="00E17F85" w:rsidRPr="002C66E5" w:rsidRDefault="00E17F85" w:rsidP="00366549">
      <w:pPr>
        <w:jc w:val="both"/>
        <w:rPr>
          <w:rFonts w:ascii="Arial" w:hAnsi="Arial" w:cs="Arial"/>
          <w:bCs/>
        </w:rPr>
      </w:pPr>
    </w:p>
    <w:p w14:paraId="35FFE686" w14:textId="77777777" w:rsidR="00366549" w:rsidRPr="00073000" w:rsidRDefault="00C44992" w:rsidP="00366549">
      <w:pPr>
        <w:jc w:val="both"/>
        <w:rPr>
          <w:rFonts w:ascii="Arial" w:hAnsi="Arial" w:cs="Arial"/>
          <w:bCs/>
          <w:sz w:val="20"/>
        </w:rPr>
      </w:pPr>
      <w:r w:rsidRPr="002C66E5">
        <w:rPr>
          <w:rFonts w:ascii="Arial" w:hAnsi="Arial" w:cs="Arial"/>
          <w:bCs/>
        </w:rPr>
        <w:tab/>
      </w:r>
      <w:r w:rsidR="00366549" w:rsidRPr="00073000">
        <w:rPr>
          <w:rFonts w:ascii="Arial" w:hAnsi="Arial" w:cs="Arial"/>
          <w:bCs/>
          <w:sz w:val="20"/>
        </w:rPr>
        <w:t>Similarly, a total of 127.41 kg nitrogen was introduced into the farming system through feed inputs. Of this, 113.32 kg (88.9%) was released into the surrounding waters, whereas only a small proportion was incorporated into lobster biomass. Nitrogen discharge increased steadily throughout the culture period, from 23.36 ± 0.61 kg month</w:t>
      </w:r>
      <w:r w:rsidR="00366549" w:rsidRPr="00073000">
        <w:rPr>
          <w:rFonts w:ascii="Cambria Math" w:hAnsi="Cambria Math" w:cs="Cambria Math"/>
          <w:bCs/>
          <w:sz w:val="20"/>
        </w:rPr>
        <w:t>⁻</w:t>
      </w:r>
      <w:r w:rsidR="00366549" w:rsidRPr="00073000">
        <w:rPr>
          <w:rFonts w:ascii="Arial" w:hAnsi="Arial" w:cs="Arial"/>
          <w:bCs/>
          <w:sz w:val="20"/>
        </w:rPr>
        <w:t>¹ in January to 35.61 ± 0.37 kg month</w:t>
      </w:r>
      <w:r w:rsidR="00366549" w:rsidRPr="00073000">
        <w:rPr>
          <w:rFonts w:ascii="Cambria Math" w:hAnsi="Cambria Math" w:cs="Cambria Math"/>
          <w:bCs/>
          <w:sz w:val="20"/>
        </w:rPr>
        <w:t>⁻</w:t>
      </w:r>
      <w:r w:rsidR="00366549" w:rsidRPr="00073000">
        <w:rPr>
          <w:rFonts w:ascii="Arial" w:hAnsi="Arial" w:cs="Arial"/>
          <w:bCs/>
          <w:sz w:val="20"/>
        </w:rPr>
        <w:t>¹ in April</w:t>
      </w:r>
      <w:r w:rsidR="00F478C2" w:rsidRPr="00073000">
        <w:rPr>
          <w:rFonts w:ascii="Arial" w:hAnsi="Arial" w:cs="Arial"/>
          <w:bCs/>
          <w:sz w:val="20"/>
        </w:rPr>
        <w:t xml:space="preserve"> (</w:t>
      </w:r>
      <w:r w:rsidR="00F478C2" w:rsidRPr="00073000">
        <w:rPr>
          <w:rFonts w:ascii="Arial" w:hAnsi="Arial" w:cs="Arial"/>
          <w:bCs/>
          <w:color w:val="0070C0"/>
          <w:sz w:val="20"/>
        </w:rPr>
        <w:t>Fig.2a</w:t>
      </w:r>
      <w:r w:rsidR="00F478C2" w:rsidRPr="00073000">
        <w:rPr>
          <w:rFonts w:ascii="Arial" w:hAnsi="Arial" w:cs="Arial"/>
          <w:bCs/>
          <w:sz w:val="20"/>
        </w:rPr>
        <w:t>)</w:t>
      </w:r>
      <w:r w:rsidR="00366549" w:rsidRPr="00073000">
        <w:rPr>
          <w:rFonts w:ascii="Arial" w:hAnsi="Arial" w:cs="Arial"/>
          <w:bCs/>
          <w:sz w:val="20"/>
        </w:rPr>
        <w:t>. Ammonia nitrogen represented the largest component of nitrogen loss (79.32 kg), followed by urea nitrogen (16.99 kg), indicating that dissolved metabolic excretion constituted the major pathway of nitrogen release from the farming system.</w:t>
      </w:r>
      <w:r w:rsidR="0046360D" w:rsidRPr="00073000">
        <w:rPr>
          <w:rFonts w:ascii="Arial" w:hAnsi="Arial" w:cs="Arial"/>
          <w:bCs/>
          <w:sz w:val="20"/>
        </w:rPr>
        <w:t xml:space="preserve"> </w:t>
      </w:r>
    </w:p>
    <w:p w14:paraId="353B72EE" w14:textId="77777777" w:rsidR="00366549" w:rsidRPr="00073000" w:rsidRDefault="00C44992" w:rsidP="00366549">
      <w:pPr>
        <w:jc w:val="both"/>
        <w:rPr>
          <w:rFonts w:ascii="Arial" w:hAnsi="Arial" w:cs="Arial"/>
          <w:bCs/>
          <w:sz w:val="20"/>
        </w:rPr>
      </w:pPr>
      <w:r w:rsidRPr="00073000">
        <w:rPr>
          <w:rFonts w:ascii="Arial" w:hAnsi="Arial" w:cs="Arial"/>
          <w:bCs/>
          <w:sz w:val="20"/>
        </w:rPr>
        <w:tab/>
      </w:r>
      <w:r w:rsidR="00366549" w:rsidRPr="00073000">
        <w:rPr>
          <w:rFonts w:ascii="Arial" w:hAnsi="Arial" w:cs="Arial"/>
          <w:bCs/>
          <w:sz w:val="20"/>
        </w:rPr>
        <w:t>The low nutrient retention efficiencies observed in the present study suggest that the majority of feed-derived nutrients were not converted into harvestable biomass and instead entered the surrounding marine environment through uneaten feed, faecal matter, and metabolic wastes. Similar observations have been reported in marine cage aquaculture systems worldwide, where 70–90% of feed-derived nitrogen and phosphorus may be released into the environment rather than retained in cultured organisms (</w:t>
      </w:r>
      <w:r w:rsidR="00366549" w:rsidRPr="00073000">
        <w:rPr>
          <w:rFonts w:ascii="Arial" w:hAnsi="Arial" w:cs="Arial"/>
          <w:bCs/>
          <w:color w:val="0070C0"/>
          <w:sz w:val="20"/>
        </w:rPr>
        <w:t>Islam, 2005; Holmer et al., 2008</w:t>
      </w:r>
      <w:r w:rsidR="00366549" w:rsidRPr="00073000">
        <w:rPr>
          <w:rFonts w:ascii="Arial" w:hAnsi="Arial" w:cs="Arial"/>
          <w:bCs/>
          <w:sz w:val="20"/>
        </w:rPr>
        <w:t>). The relatively high nutrient losses recorded in the present study are likely attributable to the use of fresh trash fish as feed, which typically exhibits lower nutrient utilization efficiency and greater wastage compared with formulated feeds.</w:t>
      </w:r>
    </w:p>
    <w:p w14:paraId="44B4DC8B" w14:textId="77777777" w:rsidR="00017DF9" w:rsidRPr="00073000" w:rsidRDefault="00C44992" w:rsidP="00366549">
      <w:pPr>
        <w:jc w:val="both"/>
        <w:rPr>
          <w:rFonts w:ascii="Arial" w:hAnsi="Arial" w:cs="Arial"/>
          <w:bCs/>
          <w:sz w:val="20"/>
        </w:rPr>
      </w:pPr>
      <w:r w:rsidRPr="00073000">
        <w:rPr>
          <w:rFonts w:ascii="Arial" w:hAnsi="Arial" w:cs="Arial"/>
          <w:bCs/>
          <w:sz w:val="20"/>
        </w:rPr>
        <w:lastRenderedPageBreak/>
        <w:tab/>
      </w:r>
      <w:r w:rsidR="00366549" w:rsidRPr="00073000">
        <w:rPr>
          <w:rFonts w:ascii="Arial" w:hAnsi="Arial" w:cs="Arial"/>
          <w:bCs/>
          <w:sz w:val="20"/>
        </w:rPr>
        <w:t>When expressed on a production basis, nutrient discharge was estimated at 247.34 kg N t</w:t>
      </w:r>
      <w:r w:rsidR="00366549" w:rsidRPr="00073000">
        <w:rPr>
          <w:rFonts w:ascii="Cambria Math" w:hAnsi="Cambria Math" w:cs="Cambria Math"/>
          <w:bCs/>
          <w:sz w:val="20"/>
        </w:rPr>
        <w:t>⁻</w:t>
      </w:r>
      <w:r w:rsidR="00366549" w:rsidRPr="00073000">
        <w:rPr>
          <w:rFonts w:ascii="Arial" w:hAnsi="Arial" w:cs="Arial"/>
          <w:bCs/>
          <w:sz w:val="20"/>
        </w:rPr>
        <w:t>¹ lobster production and 17.38 kg P t</w:t>
      </w:r>
      <w:r w:rsidR="00366549" w:rsidRPr="00073000">
        <w:rPr>
          <w:rFonts w:ascii="Cambria Math" w:hAnsi="Cambria Math" w:cs="Cambria Math"/>
          <w:bCs/>
          <w:sz w:val="20"/>
        </w:rPr>
        <w:t>⁻</w:t>
      </w:r>
      <w:r w:rsidR="00366549" w:rsidRPr="00073000">
        <w:rPr>
          <w:rFonts w:ascii="Arial" w:hAnsi="Arial" w:cs="Arial"/>
          <w:bCs/>
          <w:sz w:val="20"/>
        </w:rPr>
        <w:t>¹ lobster production.</w:t>
      </w:r>
      <w:r w:rsidR="00566A95" w:rsidRPr="00073000">
        <w:rPr>
          <w:rFonts w:ascii="Arial" w:hAnsi="Arial" w:cs="Arial"/>
          <w:bCs/>
          <w:sz w:val="20"/>
        </w:rPr>
        <w:t xml:space="preserve"> </w:t>
      </w:r>
      <w:r w:rsidR="00017DF9" w:rsidRPr="00073000">
        <w:rPr>
          <w:rFonts w:ascii="Arial" w:hAnsi="Arial" w:cs="Arial"/>
          <w:bCs/>
          <w:sz w:val="20"/>
        </w:rPr>
        <w:t>These values exceed those reported for most finfish cage culture systems. Nitrogen and phosphorus discharges from rainbow trout culture ranged from 25.97–33.47 kg N t</w:t>
      </w:r>
      <w:r w:rsidR="00017DF9" w:rsidRPr="00073000">
        <w:rPr>
          <w:rFonts w:ascii="Cambria Math" w:hAnsi="Cambria Math" w:cs="Cambria Math"/>
          <w:bCs/>
          <w:sz w:val="20"/>
        </w:rPr>
        <w:t>⁻</w:t>
      </w:r>
      <w:r w:rsidR="00017DF9" w:rsidRPr="00073000">
        <w:rPr>
          <w:rFonts w:ascii="Arial" w:hAnsi="Arial" w:cs="Arial"/>
          <w:bCs/>
          <w:sz w:val="20"/>
        </w:rPr>
        <w:t>¹ and 7.32–7.96 kg P t</w:t>
      </w:r>
      <w:r w:rsidR="00017DF9" w:rsidRPr="00073000">
        <w:rPr>
          <w:rFonts w:ascii="Cambria Math" w:hAnsi="Cambria Math" w:cs="Cambria Math"/>
          <w:bCs/>
          <w:sz w:val="20"/>
        </w:rPr>
        <w:t>⁻</w:t>
      </w:r>
      <w:r w:rsidR="00017DF9" w:rsidRPr="00073000">
        <w:rPr>
          <w:rFonts w:ascii="Arial" w:hAnsi="Arial" w:cs="Arial"/>
          <w:bCs/>
          <w:sz w:val="20"/>
        </w:rPr>
        <w:t>¹, respectively (</w:t>
      </w:r>
      <w:r w:rsidR="00017DF9" w:rsidRPr="00073000">
        <w:rPr>
          <w:rFonts w:ascii="Arial" w:hAnsi="Arial" w:cs="Arial"/>
          <w:bCs/>
          <w:color w:val="0070C0"/>
          <w:sz w:val="20"/>
        </w:rPr>
        <w:t xml:space="preserve">Asir and </w:t>
      </w:r>
      <w:proofErr w:type="spellStart"/>
      <w:r w:rsidR="00017DF9" w:rsidRPr="00073000">
        <w:rPr>
          <w:rFonts w:ascii="Arial" w:hAnsi="Arial" w:cs="Arial"/>
          <w:bCs/>
          <w:color w:val="0070C0"/>
          <w:sz w:val="20"/>
        </w:rPr>
        <w:t>Pulatsü</w:t>
      </w:r>
      <w:proofErr w:type="spellEnd"/>
      <w:r w:rsidR="00017DF9" w:rsidRPr="00073000">
        <w:rPr>
          <w:rFonts w:ascii="Arial" w:hAnsi="Arial" w:cs="Arial"/>
          <w:bCs/>
          <w:color w:val="0070C0"/>
          <w:sz w:val="20"/>
        </w:rPr>
        <w:t>, 2008</w:t>
      </w:r>
      <w:r w:rsidR="00017DF9" w:rsidRPr="00073000">
        <w:rPr>
          <w:rFonts w:ascii="Arial" w:hAnsi="Arial" w:cs="Arial"/>
          <w:bCs/>
          <w:sz w:val="20"/>
        </w:rPr>
        <w:t>), while salmon farming released approximately 50 kg N t</w:t>
      </w:r>
      <w:r w:rsidR="00017DF9" w:rsidRPr="00073000">
        <w:rPr>
          <w:rFonts w:ascii="Cambria Math" w:hAnsi="Cambria Math" w:cs="Cambria Math"/>
          <w:bCs/>
          <w:sz w:val="20"/>
        </w:rPr>
        <w:t>⁻</w:t>
      </w:r>
      <w:r w:rsidR="00017DF9" w:rsidRPr="00073000">
        <w:rPr>
          <w:rFonts w:ascii="Arial" w:hAnsi="Arial" w:cs="Arial"/>
          <w:bCs/>
          <w:sz w:val="20"/>
        </w:rPr>
        <w:t>¹ and 9.3 kg P t</w:t>
      </w:r>
      <w:r w:rsidR="00017DF9" w:rsidRPr="00073000">
        <w:rPr>
          <w:rFonts w:ascii="Cambria Math" w:hAnsi="Cambria Math" w:cs="Cambria Math"/>
          <w:bCs/>
          <w:sz w:val="20"/>
        </w:rPr>
        <w:t>⁻</w:t>
      </w:r>
      <w:r w:rsidR="00017DF9" w:rsidRPr="00073000">
        <w:rPr>
          <w:rFonts w:ascii="Arial" w:hAnsi="Arial" w:cs="Arial"/>
          <w:bCs/>
          <w:sz w:val="20"/>
        </w:rPr>
        <w:t>¹ (</w:t>
      </w:r>
      <w:r w:rsidR="00017DF9" w:rsidRPr="00073000">
        <w:rPr>
          <w:rFonts w:ascii="Arial" w:hAnsi="Arial" w:cs="Arial"/>
          <w:bCs/>
          <w:color w:val="0070C0"/>
          <w:sz w:val="20"/>
        </w:rPr>
        <w:t>Wang et al., 2012</w:t>
      </w:r>
      <w:r w:rsidR="00017DF9" w:rsidRPr="00073000">
        <w:rPr>
          <w:rFonts w:ascii="Arial" w:hAnsi="Arial" w:cs="Arial"/>
          <w:bCs/>
          <w:sz w:val="20"/>
        </w:rPr>
        <w:t>). Formulated feed-based finfish systems discharged 72 kg N t</w:t>
      </w:r>
      <w:r w:rsidR="00017DF9" w:rsidRPr="00073000">
        <w:rPr>
          <w:rFonts w:ascii="Cambria Math" w:hAnsi="Cambria Math" w:cs="Cambria Math"/>
          <w:bCs/>
          <w:sz w:val="20"/>
        </w:rPr>
        <w:t>⁻</w:t>
      </w:r>
      <w:r w:rsidR="00017DF9" w:rsidRPr="00073000">
        <w:rPr>
          <w:rFonts w:ascii="Arial" w:hAnsi="Arial" w:cs="Arial"/>
          <w:bCs/>
          <w:sz w:val="20"/>
        </w:rPr>
        <w:t>¹ and 17.3 kg P t</w:t>
      </w:r>
      <w:r w:rsidR="00017DF9" w:rsidRPr="00073000">
        <w:rPr>
          <w:rFonts w:ascii="Cambria Math" w:hAnsi="Cambria Math" w:cs="Cambria Math"/>
          <w:bCs/>
          <w:sz w:val="20"/>
        </w:rPr>
        <w:t>⁻</w:t>
      </w:r>
      <w:r w:rsidR="00017DF9" w:rsidRPr="00073000">
        <w:rPr>
          <w:rFonts w:ascii="Arial" w:hAnsi="Arial" w:cs="Arial"/>
          <w:bCs/>
          <w:sz w:val="20"/>
        </w:rPr>
        <w:t>¹, compared with 142 kg N t</w:t>
      </w:r>
      <w:r w:rsidR="00017DF9" w:rsidRPr="00073000">
        <w:rPr>
          <w:rFonts w:ascii="Cambria Math" w:hAnsi="Cambria Math" w:cs="Cambria Math"/>
          <w:bCs/>
          <w:sz w:val="20"/>
        </w:rPr>
        <w:t>⁻</w:t>
      </w:r>
      <w:r w:rsidR="00017DF9" w:rsidRPr="00073000">
        <w:rPr>
          <w:rFonts w:ascii="Arial" w:hAnsi="Arial" w:cs="Arial"/>
          <w:bCs/>
          <w:sz w:val="20"/>
        </w:rPr>
        <w:t>¹ and 26 kg P t</w:t>
      </w:r>
      <w:r w:rsidR="00017DF9" w:rsidRPr="00073000">
        <w:rPr>
          <w:rFonts w:ascii="Cambria Math" w:hAnsi="Cambria Math" w:cs="Cambria Math"/>
          <w:bCs/>
          <w:sz w:val="20"/>
        </w:rPr>
        <w:t>⁻</w:t>
      </w:r>
      <w:r w:rsidR="00017DF9" w:rsidRPr="00073000">
        <w:rPr>
          <w:rFonts w:ascii="Arial" w:hAnsi="Arial" w:cs="Arial"/>
          <w:bCs/>
          <w:sz w:val="20"/>
        </w:rPr>
        <w:t>¹ in trash fish-fed systems (</w:t>
      </w:r>
      <w:r w:rsidR="00017DF9" w:rsidRPr="00073000">
        <w:rPr>
          <w:rFonts w:ascii="Arial" w:hAnsi="Arial" w:cs="Arial"/>
          <w:bCs/>
          <w:color w:val="0070C0"/>
          <w:sz w:val="20"/>
        </w:rPr>
        <w:t>Qi et al., 2019</w:t>
      </w:r>
      <w:r w:rsidR="00017DF9" w:rsidRPr="00073000">
        <w:rPr>
          <w:rFonts w:ascii="Arial" w:hAnsi="Arial" w:cs="Arial"/>
          <w:bCs/>
          <w:sz w:val="20"/>
        </w:rPr>
        <w:t>). Although phosphorus discharge in the present study was comparable to formulated feed-based systems, nitrogen discharge was substantially higher than previously reported values. This disproportionate nitrogen release suggests that lobster cage culture may contribute to localized nitrogen enrichment in coastal waters, potentially enhancing primary productivity and altering nutrient cycling processes (</w:t>
      </w:r>
      <w:r w:rsidR="00017DF9" w:rsidRPr="00073000">
        <w:rPr>
          <w:rFonts w:ascii="Arial" w:hAnsi="Arial" w:cs="Arial"/>
          <w:bCs/>
          <w:color w:val="0070C0"/>
          <w:sz w:val="20"/>
        </w:rPr>
        <w:t>Howarth and Marino, 2006</w:t>
      </w:r>
      <w:r w:rsidR="00017DF9" w:rsidRPr="00073000">
        <w:rPr>
          <w:rFonts w:ascii="Arial" w:hAnsi="Arial" w:cs="Arial"/>
          <w:bCs/>
          <w:sz w:val="20"/>
        </w:rPr>
        <w:t>). Therefore, understanding the fate of feed-derived nitrogen is essential for assessing the environmental sustainability of marine cage aquaculture.</w:t>
      </w:r>
    </w:p>
    <w:p w14:paraId="697D904B" w14:textId="77777777" w:rsidR="00366549" w:rsidRPr="00073000" w:rsidRDefault="00017DF9" w:rsidP="00366549">
      <w:pPr>
        <w:jc w:val="both"/>
        <w:rPr>
          <w:rFonts w:ascii="Arial" w:hAnsi="Arial" w:cs="Arial"/>
          <w:bCs/>
          <w:sz w:val="20"/>
        </w:rPr>
      </w:pPr>
      <w:r w:rsidRPr="00073000">
        <w:rPr>
          <w:rFonts w:ascii="Arial" w:hAnsi="Arial" w:cs="Arial"/>
          <w:bCs/>
          <w:sz w:val="20"/>
        </w:rPr>
        <w:tab/>
      </w:r>
      <w:r w:rsidR="00366549" w:rsidRPr="00073000">
        <w:rPr>
          <w:rFonts w:ascii="Arial" w:hAnsi="Arial" w:cs="Arial"/>
          <w:bCs/>
          <w:sz w:val="20"/>
        </w:rPr>
        <w:t>Despite the substantial nutrient discharge recorded during the study period, no evidence of severe environmental deterioration was observed at the farming site. The offshore location and prevailing hydrodynamic conditions likely facilitated rapid dilution and dispersal of dissolved and particulate wastes, thereby reducing nutrient accumulation in the vicinity of the cages. Similar findings have been reported for offshore cage farming systems where strong water exchange enhances the assimilative capacity of the receiving environment and mitigates the risk of localized eutrophication (</w:t>
      </w:r>
      <w:r w:rsidR="00366549" w:rsidRPr="00073000">
        <w:rPr>
          <w:rFonts w:ascii="Arial" w:hAnsi="Arial" w:cs="Arial"/>
          <w:bCs/>
          <w:color w:val="0070C0"/>
          <w:sz w:val="20"/>
        </w:rPr>
        <w:t>Price et al., 2015; Holmer et al., 2008</w:t>
      </w:r>
      <w:r w:rsidR="00366549" w:rsidRPr="00073000">
        <w:rPr>
          <w:rFonts w:ascii="Arial" w:hAnsi="Arial" w:cs="Arial"/>
          <w:bCs/>
          <w:sz w:val="20"/>
        </w:rPr>
        <w:t xml:space="preserve">). Nevertheless, the progressive increase in nutrient discharge observed throughout the culture cycle highlights the importance of efficient feed management practices and continuous environmental monitoring to ensure the long-term sustainability of lobster mariculture operations. </w:t>
      </w:r>
      <w:r w:rsidR="00C44992" w:rsidRPr="00073000">
        <w:rPr>
          <w:rFonts w:ascii="Arial" w:hAnsi="Arial" w:cs="Arial"/>
          <w:bCs/>
          <w:sz w:val="20"/>
        </w:rPr>
        <w:t>T</w:t>
      </w:r>
      <w:r w:rsidR="00366549" w:rsidRPr="00073000">
        <w:rPr>
          <w:rFonts w:ascii="Arial" w:hAnsi="Arial" w:cs="Arial"/>
          <w:bCs/>
          <w:sz w:val="20"/>
        </w:rPr>
        <w:t xml:space="preserve">he nutrient budget demonstrates that open-sea </w:t>
      </w:r>
      <w:r w:rsidR="008051BF" w:rsidRPr="00073000">
        <w:rPr>
          <w:rFonts w:ascii="Arial" w:hAnsi="Arial" w:cs="Arial"/>
          <w:bCs/>
          <w:sz w:val="20"/>
        </w:rPr>
        <w:t xml:space="preserve">cage </w:t>
      </w:r>
      <w:r w:rsidR="00366549" w:rsidRPr="00073000">
        <w:rPr>
          <w:rFonts w:ascii="Arial" w:hAnsi="Arial" w:cs="Arial"/>
          <w:bCs/>
          <w:sz w:val="20"/>
        </w:rPr>
        <w:t xml:space="preserve">culture of </w:t>
      </w:r>
      <w:proofErr w:type="spellStart"/>
      <w:r w:rsidR="00366549" w:rsidRPr="00073000">
        <w:rPr>
          <w:rFonts w:ascii="Arial" w:hAnsi="Arial" w:cs="Arial"/>
          <w:bCs/>
          <w:i/>
          <w:iCs/>
          <w:sz w:val="20"/>
        </w:rPr>
        <w:t>Panulirus</w:t>
      </w:r>
      <w:proofErr w:type="spellEnd"/>
      <w:r w:rsidR="00366549" w:rsidRPr="00073000">
        <w:rPr>
          <w:rFonts w:ascii="Arial" w:hAnsi="Arial" w:cs="Arial"/>
          <w:bCs/>
          <w:i/>
          <w:iCs/>
          <w:sz w:val="20"/>
        </w:rPr>
        <w:t xml:space="preserve"> </w:t>
      </w:r>
      <w:proofErr w:type="spellStart"/>
      <w:r w:rsidR="00366549" w:rsidRPr="00073000">
        <w:rPr>
          <w:rFonts w:ascii="Arial" w:hAnsi="Arial" w:cs="Arial"/>
          <w:bCs/>
          <w:i/>
          <w:iCs/>
          <w:sz w:val="20"/>
        </w:rPr>
        <w:t>polyphagus</w:t>
      </w:r>
      <w:proofErr w:type="spellEnd"/>
      <w:r w:rsidR="00366549" w:rsidRPr="00073000">
        <w:rPr>
          <w:rFonts w:ascii="Arial" w:hAnsi="Arial" w:cs="Arial"/>
          <w:bCs/>
          <w:sz w:val="20"/>
        </w:rPr>
        <w:t xml:space="preserve"> constitutes a measurable source of nitrogen and phosphorus to the surrounding coastal ecosystem. While the offshore environment appears capable of assimilating these nutrient inputs under the current scale of production, the high proportion of nutrients released to the environment underscores the need for strategies aimed at improving nutrient utilization efficiency and reducing waste generation in lobster farming systems.</w:t>
      </w:r>
    </w:p>
    <w:p w14:paraId="1115783F" w14:textId="77777777" w:rsidR="00CB1EBB" w:rsidRPr="002C66E5" w:rsidRDefault="00CB1EBB" w:rsidP="00CB1EBB">
      <w:pPr>
        <w:jc w:val="both"/>
        <w:rPr>
          <w:rFonts w:ascii="Arial" w:hAnsi="Arial" w:cs="Arial"/>
          <w:b/>
          <w:bCs/>
        </w:rPr>
      </w:pPr>
      <w:r w:rsidRPr="002C66E5">
        <w:rPr>
          <w:rFonts w:ascii="Arial" w:hAnsi="Arial" w:cs="Arial"/>
          <w:b/>
          <w:bCs/>
        </w:rPr>
        <w:t>3.2 Nutrient Dynamics and Phytoplankton Responses</w:t>
      </w:r>
    </w:p>
    <w:p w14:paraId="7FB2CB0B" w14:textId="77777777" w:rsidR="00CB1EBB" w:rsidRPr="002C66E5" w:rsidRDefault="005B323E" w:rsidP="00CB1EBB">
      <w:pPr>
        <w:jc w:val="both"/>
        <w:rPr>
          <w:rFonts w:ascii="Arial" w:hAnsi="Arial" w:cs="Arial"/>
          <w:bCs/>
        </w:rPr>
      </w:pPr>
      <w:r w:rsidRPr="002C66E5">
        <w:rPr>
          <w:rFonts w:ascii="Arial" w:hAnsi="Arial" w:cs="Arial"/>
          <w:bCs/>
        </w:rPr>
        <w:tab/>
      </w:r>
      <w:r w:rsidR="00CB1EBB" w:rsidRPr="002C66E5">
        <w:rPr>
          <w:rFonts w:ascii="Arial" w:hAnsi="Arial" w:cs="Arial"/>
          <w:bCs/>
        </w:rPr>
        <w:t>The nutrient-enriched environment generated by lobster cage farming was reflected in the nutrient concentrations and phytoplankton abundance observed during the culture period. Across the study period, mean nitrate concentration was 4.39 ± 0.63 µM, while phosphate and ammonia concentrations averaged 0.065 ± 0.008 µM and 0.311 ± 0.059 µM, respectively. Mean phytoplankton abundance was 2.01 × 10⁵ ± 1.21 × 10⁴ cells L</w:t>
      </w:r>
      <w:r w:rsidR="00CB1EBB" w:rsidRPr="002C66E5">
        <w:rPr>
          <w:rFonts w:ascii="Cambria Math" w:hAnsi="Cambria Math" w:cs="Cambria Math"/>
          <w:bCs/>
        </w:rPr>
        <w:t>⁻</w:t>
      </w:r>
      <w:r w:rsidR="00CB1EBB" w:rsidRPr="002C66E5">
        <w:rPr>
          <w:rFonts w:ascii="Arial" w:hAnsi="Arial" w:cs="Arial"/>
          <w:bCs/>
        </w:rPr>
        <w:t>¹</w:t>
      </w:r>
      <w:r w:rsidR="00F6606F" w:rsidRPr="002C66E5">
        <w:rPr>
          <w:rFonts w:ascii="Arial" w:hAnsi="Arial" w:cs="Arial"/>
          <w:bCs/>
        </w:rPr>
        <w:t xml:space="preserve"> (</w:t>
      </w:r>
      <w:r w:rsidR="00F6606F" w:rsidRPr="00295A2D">
        <w:rPr>
          <w:rFonts w:ascii="Arial" w:hAnsi="Arial" w:cs="Arial"/>
          <w:bCs/>
          <w:color w:val="0070C0"/>
        </w:rPr>
        <w:t xml:space="preserve">Table </w:t>
      </w:r>
      <w:r w:rsidR="00295A2D" w:rsidRPr="00295A2D">
        <w:rPr>
          <w:rFonts w:ascii="Arial" w:hAnsi="Arial" w:cs="Arial"/>
          <w:bCs/>
          <w:color w:val="0070C0"/>
        </w:rPr>
        <w:t>2</w:t>
      </w:r>
      <w:r w:rsidR="00F6606F" w:rsidRPr="002C66E5">
        <w:rPr>
          <w:rFonts w:ascii="Arial" w:hAnsi="Arial" w:cs="Arial"/>
          <w:bCs/>
        </w:rPr>
        <w:t>)</w:t>
      </w:r>
      <w:r w:rsidR="00CB1EBB" w:rsidRPr="002C66E5">
        <w:rPr>
          <w:rFonts w:ascii="Arial" w:hAnsi="Arial" w:cs="Arial"/>
          <w:bCs/>
        </w:rPr>
        <w:t>.</w:t>
      </w:r>
    </w:p>
    <w:p w14:paraId="0924741D" w14:textId="77777777" w:rsidR="00CF5A62" w:rsidRPr="00073000" w:rsidRDefault="00CF5A62" w:rsidP="00CB1EBB">
      <w:pPr>
        <w:jc w:val="both"/>
        <w:rPr>
          <w:rFonts w:ascii="Arial" w:hAnsi="Arial" w:cs="Arial"/>
          <w:bCs/>
          <w:sz w:val="20"/>
          <w:szCs w:val="20"/>
        </w:rPr>
      </w:pPr>
    </w:p>
    <w:p w14:paraId="56872D9D" w14:textId="77777777" w:rsidR="00CF5A62" w:rsidRPr="00073000" w:rsidRDefault="00CF5A62" w:rsidP="00CB1EBB">
      <w:pPr>
        <w:jc w:val="both"/>
        <w:rPr>
          <w:rFonts w:ascii="Arial" w:hAnsi="Arial" w:cs="Arial"/>
          <w:bCs/>
          <w:sz w:val="20"/>
          <w:szCs w:val="20"/>
        </w:rPr>
      </w:pPr>
      <w:r w:rsidRPr="00073000">
        <w:rPr>
          <w:rFonts w:ascii="Arial" w:hAnsi="Arial" w:cs="Arial"/>
          <w:b/>
          <w:bCs/>
          <w:sz w:val="20"/>
          <w:szCs w:val="20"/>
        </w:rPr>
        <w:t xml:space="preserve">Table </w:t>
      </w:r>
      <w:r w:rsidR="00FE687D" w:rsidRPr="00073000">
        <w:rPr>
          <w:rFonts w:ascii="Arial" w:hAnsi="Arial" w:cs="Arial"/>
          <w:b/>
          <w:bCs/>
          <w:sz w:val="20"/>
          <w:szCs w:val="20"/>
        </w:rPr>
        <w:t>2.</w:t>
      </w:r>
      <w:r w:rsidR="00FE687D" w:rsidRPr="00073000">
        <w:rPr>
          <w:rFonts w:ascii="Arial" w:hAnsi="Arial" w:cs="Arial"/>
          <w:bCs/>
          <w:sz w:val="20"/>
          <w:szCs w:val="20"/>
        </w:rPr>
        <w:t xml:space="preserve"> Mean (± SD) phytoplankton abundance and nutrient concentrations associated with open-sea culture of </w:t>
      </w:r>
      <w:proofErr w:type="spellStart"/>
      <w:r w:rsidR="00FE687D" w:rsidRPr="00073000">
        <w:rPr>
          <w:rFonts w:ascii="Arial" w:hAnsi="Arial" w:cs="Arial"/>
          <w:bCs/>
          <w:i/>
          <w:iCs/>
          <w:sz w:val="20"/>
          <w:szCs w:val="20"/>
        </w:rPr>
        <w:t>Panulirus</w:t>
      </w:r>
      <w:proofErr w:type="spellEnd"/>
      <w:r w:rsidR="00FE687D" w:rsidRPr="00073000">
        <w:rPr>
          <w:rFonts w:ascii="Arial" w:hAnsi="Arial" w:cs="Arial"/>
          <w:bCs/>
          <w:i/>
          <w:iCs/>
          <w:sz w:val="20"/>
          <w:szCs w:val="20"/>
        </w:rPr>
        <w:t xml:space="preserve"> </w:t>
      </w:r>
      <w:proofErr w:type="spellStart"/>
      <w:r w:rsidR="00FE687D" w:rsidRPr="00073000">
        <w:rPr>
          <w:rFonts w:ascii="Arial" w:hAnsi="Arial" w:cs="Arial"/>
          <w:bCs/>
          <w:i/>
          <w:iCs/>
          <w:sz w:val="20"/>
          <w:szCs w:val="20"/>
        </w:rPr>
        <w:t>polyphagus</w:t>
      </w:r>
      <w:proofErr w:type="spellEnd"/>
      <w:r w:rsidR="00FE687D" w:rsidRPr="00073000">
        <w:rPr>
          <w:rFonts w:ascii="Arial" w:hAnsi="Arial" w:cs="Arial"/>
          <w:bCs/>
          <w:sz w:val="20"/>
          <w:szCs w:val="20"/>
        </w:rPr>
        <w:t xml:space="preserve"> during the study period.</w:t>
      </w:r>
    </w:p>
    <w:tbl>
      <w:tblPr>
        <w:tblW w:w="8587"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281"/>
        <w:gridCol w:w="4306"/>
      </w:tblGrid>
      <w:tr w:rsidR="000D47E4" w:rsidRPr="00073000" w14:paraId="71427D2B" w14:textId="77777777" w:rsidTr="0055080F">
        <w:trPr>
          <w:trHeight w:val="277"/>
          <w:tblHeader/>
          <w:tblCellSpacing w:w="15" w:type="dxa"/>
        </w:trPr>
        <w:tc>
          <w:tcPr>
            <w:tcW w:w="0" w:type="auto"/>
            <w:vAlign w:val="center"/>
            <w:hideMark/>
          </w:tcPr>
          <w:p w14:paraId="1AEDB8E7" w14:textId="77777777" w:rsidR="000D47E4" w:rsidRPr="00073000" w:rsidRDefault="000D47E4" w:rsidP="0055080F">
            <w:pPr>
              <w:spacing w:after="0" w:line="240" w:lineRule="auto"/>
              <w:jc w:val="center"/>
              <w:rPr>
                <w:rFonts w:ascii="Arial" w:eastAsia="Times New Roman" w:hAnsi="Arial" w:cs="Arial"/>
                <w:b/>
                <w:bCs/>
                <w:sz w:val="20"/>
                <w:szCs w:val="20"/>
                <w:lang w:eastAsia="en-IN"/>
              </w:rPr>
            </w:pPr>
            <w:r w:rsidRPr="00073000">
              <w:rPr>
                <w:rFonts w:ascii="Arial" w:eastAsia="Times New Roman" w:hAnsi="Arial" w:cs="Arial"/>
                <w:b/>
                <w:bCs/>
                <w:sz w:val="20"/>
                <w:szCs w:val="20"/>
                <w:lang w:eastAsia="en-IN"/>
              </w:rPr>
              <w:t>Parameter</w:t>
            </w:r>
          </w:p>
        </w:tc>
        <w:tc>
          <w:tcPr>
            <w:tcW w:w="0" w:type="auto"/>
            <w:vAlign w:val="center"/>
            <w:hideMark/>
          </w:tcPr>
          <w:p w14:paraId="2CDB39BB" w14:textId="77777777" w:rsidR="000D47E4" w:rsidRPr="00073000" w:rsidRDefault="000D47E4" w:rsidP="0055080F">
            <w:pPr>
              <w:spacing w:after="0" w:line="240" w:lineRule="auto"/>
              <w:jc w:val="center"/>
              <w:rPr>
                <w:rFonts w:ascii="Arial" w:eastAsia="Times New Roman" w:hAnsi="Arial" w:cs="Arial"/>
                <w:b/>
                <w:bCs/>
                <w:sz w:val="20"/>
                <w:szCs w:val="20"/>
                <w:lang w:eastAsia="en-IN"/>
              </w:rPr>
            </w:pPr>
            <w:r w:rsidRPr="00073000">
              <w:rPr>
                <w:rFonts w:ascii="Arial" w:eastAsia="Times New Roman" w:hAnsi="Arial" w:cs="Arial"/>
                <w:b/>
                <w:bCs/>
                <w:sz w:val="20"/>
                <w:szCs w:val="20"/>
                <w:lang w:eastAsia="en-IN"/>
              </w:rPr>
              <w:t>Mean ± SD</w:t>
            </w:r>
          </w:p>
        </w:tc>
      </w:tr>
      <w:tr w:rsidR="000D47E4" w:rsidRPr="00073000" w14:paraId="69030377" w14:textId="77777777" w:rsidTr="0055080F">
        <w:trPr>
          <w:trHeight w:val="289"/>
          <w:tblCellSpacing w:w="15" w:type="dxa"/>
        </w:trPr>
        <w:tc>
          <w:tcPr>
            <w:tcW w:w="0" w:type="auto"/>
            <w:tcBorders>
              <w:top w:val="single" w:sz="4" w:space="0" w:color="auto"/>
            </w:tcBorders>
            <w:vAlign w:val="center"/>
            <w:hideMark/>
          </w:tcPr>
          <w:p w14:paraId="1EC8CA57" w14:textId="77777777" w:rsidR="000D47E4" w:rsidRPr="00073000" w:rsidRDefault="000D47E4" w:rsidP="0055080F">
            <w:pPr>
              <w:spacing w:after="0" w:line="24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Phytoplankton abundance</w:t>
            </w:r>
          </w:p>
        </w:tc>
        <w:tc>
          <w:tcPr>
            <w:tcW w:w="0" w:type="auto"/>
            <w:tcBorders>
              <w:top w:val="single" w:sz="4" w:space="0" w:color="auto"/>
            </w:tcBorders>
            <w:vAlign w:val="center"/>
            <w:hideMark/>
          </w:tcPr>
          <w:p w14:paraId="18073EDB" w14:textId="77777777" w:rsidR="000D47E4" w:rsidRPr="00073000" w:rsidRDefault="000D47E4" w:rsidP="0055080F">
            <w:pPr>
              <w:spacing w:after="0" w:line="24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201,398 ± 12,092 cells L</w:t>
            </w:r>
            <w:r w:rsidRPr="00073000">
              <w:rPr>
                <w:rFonts w:ascii="Cambria Math" w:eastAsia="Times New Roman" w:hAnsi="Cambria Math" w:cs="Cambria Math"/>
                <w:sz w:val="20"/>
                <w:szCs w:val="20"/>
                <w:lang w:eastAsia="en-IN"/>
              </w:rPr>
              <w:t>⁻</w:t>
            </w:r>
            <w:r w:rsidRPr="00073000">
              <w:rPr>
                <w:rFonts w:ascii="Arial" w:eastAsia="Times New Roman" w:hAnsi="Arial" w:cs="Arial"/>
                <w:sz w:val="20"/>
                <w:szCs w:val="20"/>
                <w:lang w:eastAsia="en-IN"/>
              </w:rPr>
              <w:t>¹</w:t>
            </w:r>
          </w:p>
        </w:tc>
      </w:tr>
      <w:tr w:rsidR="000D47E4" w:rsidRPr="00073000" w14:paraId="7B2AD64B" w14:textId="77777777" w:rsidTr="0055080F">
        <w:trPr>
          <w:trHeight w:val="277"/>
          <w:tblCellSpacing w:w="15" w:type="dxa"/>
        </w:trPr>
        <w:tc>
          <w:tcPr>
            <w:tcW w:w="0" w:type="auto"/>
            <w:vAlign w:val="center"/>
            <w:hideMark/>
          </w:tcPr>
          <w:p w14:paraId="33A8D701" w14:textId="77777777" w:rsidR="000D47E4" w:rsidRPr="00073000" w:rsidRDefault="000D47E4" w:rsidP="0055080F">
            <w:pPr>
              <w:spacing w:after="0" w:line="24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Ammonia</w:t>
            </w:r>
          </w:p>
        </w:tc>
        <w:tc>
          <w:tcPr>
            <w:tcW w:w="0" w:type="auto"/>
            <w:vAlign w:val="center"/>
            <w:hideMark/>
          </w:tcPr>
          <w:p w14:paraId="6F4D14FB" w14:textId="77777777" w:rsidR="000D47E4" w:rsidRPr="00073000" w:rsidRDefault="000D47E4" w:rsidP="0055080F">
            <w:pPr>
              <w:spacing w:after="0" w:line="24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0.311 ± 0.059 µM</w:t>
            </w:r>
          </w:p>
        </w:tc>
      </w:tr>
      <w:tr w:rsidR="000D47E4" w:rsidRPr="00073000" w14:paraId="2CDCE64A" w14:textId="77777777" w:rsidTr="0055080F">
        <w:trPr>
          <w:trHeight w:val="277"/>
          <w:tblCellSpacing w:w="15" w:type="dxa"/>
        </w:trPr>
        <w:tc>
          <w:tcPr>
            <w:tcW w:w="0" w:type="auto"/>
            <w:vAlign w:val="center"/>
            <w:hideMark/>
          </w:tcPr>
          <w:p w14:paraId="356BF7DA" w14:textId="77777777" w:rsidR="000D47E4" w:rsidRPr="00073000" w:rsidRDefault="000D47E4" w:rsidP="0055080F">
            <w:pPr>
              <w:spacing w:after="0" w:line="24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Phosphate</w:t>
            </w:r>
          </w:p>
        </w:tc>
        <w:tc>
          <w:tcPr>
            <w:tcW w:w="0" w:type="auto"/>
            <w:vAlign w:val="center"/>
            <w:hideMark/>
          </w:tcPr>
          <w:p w14:paraId="0A1042BC" w14:textId="77777777" w:rsidR="000D47E4" w:rsidRPr="00073000" w:rsidRDefault="000D47E4" w:rsidP="0055080F">
            <w:pPr>
              <w:spacing w:after="0" w:line="24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0.065 ± 0.008 µM</w:t>
            </w:r>
          </w:p>
        </w:tc>
      </w:tr>
      <w:tr w:rsidR="000D47E4" w:rsidRPr="00073000" w14:paraId="2D9A7E55" w14:textId="77777777" w:rsidTr="0055080F">
        <w:trPr>
          <w:trHeight w:val="289"/>
          <w:tblCellSpacing w:w="15" w:type="dxa"/>
        </w:trPr>
        <w:tc>
          <w:tcPr>
            <w:tcW w:w="0" w:type="auto"/>
            <w:vAlign w:val="center"/>
            <w:hideMark/>
          </w:tcPr>
          <w:p w14:paraId="317B5D01" w14:textId="77777777" w:rsidR="000D47E4" w:rsidRPr="00073000" w:rsidRDefault="000D47E4" w:rsidP="0055080F">
            <w:pPr>
              <w:spacing w:after="0" w:line="24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Nitrate</w:t>
            </w:r>
          </w:p>
        </w:tc>
        <w:tc>
          <w:tcPr>
            <w:tcW w:w="0" w:type="auto"/>
            <w:vAlign w:val="center"/>
            <w:hideMark/>
          </w:tcPr>
          <w:p w14:paraId="64ABCB13" w14:textId="77777777" w:rsidR="000D47E4" w:rsidRPr="00073000" w:rsidRDefault="000D47E4" w:rsidP="0055080F">
            <w:pPr>
              <w:spacing w:after="0" w:line="24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4.388 ± 0.632 µM</w:t>
            </w:r>
          </w:p>
        </w:tc>
      </w:tr>
    </w:tbl>
    <w:p w14:paraId="1AED41F9" w14:textId="77777777" w:rsidR="000D47E4" w:rsidRPr="00073000" w:rsidRDefault="000D47E4" w:rsidP="00CB1EBB">
      <w:pPr>
        <w:jc w:val="both"/>
        <w:rPr>
          <w:rFonts w:ascii="Arial" w:hAnsi="Arial" w:cs="Arial"/>
          <w:bCs/>
          <w:sz w:val="20"/>
          <w:szCs w:val="20"/>
        </w:rPr>
      </w:pPr>
    </w:p>
    <w:p w14:paraId="1B089EB0" w14:textId="77777777" w:rsidR="00CB1EBB" w:rsidRPr="00073000" w:rsidRDefault="00FC05EB" w:rsidP="00CB1EBB">
      <w:pPr>
        <w:jc w:val="both"/>
        <w:rPr>
          <w:rFonts w:ascii="Arial" w:hAnsi="Arial" w:cs="Arial"/>
          <w:bCs/>
          <w:sz w:val="20"/>
          <w:szCs w:val="20"/>
        </w:rPr>
      </w:pPr>
      <w:r w:rsidRPr="00073000">
        <w:rPr>
          <w:rFonts w:ascii="Arial" w:hAnsi="Arial" w:cs="Arial"/>
          <w:bCs/>
          <w:sz w:val="20"/>
          <w:szCs w:val="20"/>
        </w:rPr>
        <w:tab/>
      </w:r>
      <w:r w:rsidR="00CB1EBB" w:rsidRPr="00073000">
        <w:rPr>
          <w:rFonts w:ascii="Arial" w:hAnsi="Arial" w:cs="Arial"/>
          <w:bCs/>
          <w:sz w:val="20"/>
          <w:szCs w:val="20"/>
        </w:rPr>
        <w:t>The progressive increase in nitrogen and phosphorus discharge from the cage farming system coincided with elevated nutrient availability in the surrounding waters and sustained phytoplankton abundance throughout the culture period</w:t>
      </w:r>
      <w:r w:rsidR="00C73AAB" w:rsidRPr="00073000">
        <w:rPr>
          <w:rFonts w:ascii="Arial" w:hAnsi="Arial" w:cs="Arial"/>
          <w:bCs/>
          <w:sz w:val="20"/>
          <w:szCs w:val="20"/>
        </w:rPr>
        <w:t xml:space="preserve"> (</w:t>
      </w:r>
      <w:r w:rsidR="00C73AAB" w:rsidRPr="00073000">
        <w:rPr>
          <w:rFonts w:ascii="Arial" w:hAnsi="Arial" w:cs="Arial"/>
          <w:bCs/>
          <w:color w:val="0070C0"/>
          <w:sz w:val="20"/>
          <w:szCs w:val="20"/>
        </w:rPr>
        <w:t>Fig.3</w:t>
      </w:r>
      <w:r w:rsidR="00C73AAB" w:rsidRPr="00073000">
        <w:rPr>
          <w:rFonts w:ascii="Arial" w:hAnsi="Arial" w:cs="Arial"/>
          <w:bCs/>
          <w:sz w:val="20"/>
          <w:szCs w:val="20"/>
        </w:rPr>
        <w:t>)</w:t>
      </w:r>
      <w:r w:rsidR="00CB1EBB" w:rsidRPr="00073000">
        <w:rPr>
          <w:rFonts w:ascii="Arial" w:hAnsi="Arial" w:cs="Arial"/>
          <w:bCs/>
          <w:sz w:val="20"/>
          <w:szCs w:val="20"/>
        </w:rPr>
        <w:t xml:space="preserve">. Nitrogen release increased from 23.36 ± 0.61 kg </w:t>
      </w:r>
      <w:r w:rsidR="00CB1EBB" w:rsidRPr="00073000">
        <w:rPr>
          <w:rFonts w:ascii="Arial" w:hAnsi="Arial" w:cs="Arial"/>
          <w:bCs/>
          <w:sz w:val="20"/>
          <w:szCs w:val="20"/>
        </w:rPr>
        <w:lastRenderedPageBreak/>
        <w:t>month</w:t>
      </w:r>
      <w:r w:rsidR="00CB1EBB" w:rsidRPr="00073000">
        <w:rPr>
          <w:rFonts w:ascii="Cambria Math" w:hAnsi="Cambria Math" w:cs="Cambria Math"/>
          <w:bCs/>
          <w:sz w:val="20"/>
          <w:szCs w:val="20"/>
        </w:rPr>
        <w:t>⁻</w:t>
      </w:r>
      <w:r w:rsidR="00CB1EBB" w:rsidRPr="00073000">
        <w:rPr>
          <w:rFonts w:ascii="Arial" w:hAnsi="Arial" w:cs="Arial"/>
          <w:bCs/>
          <w:sz w:val="20"/>
          <w:szCs w:val="20"/>
        </w:rPr>
        <w:t>¹ in January to 35.61 ± 0.37 kg month</w:t>
      </w:r>
      <w:r w:rsidR="00CB1EBB" w:rsidRPr="00073000">
        <w:rPr>
          <w:rFonts w:ascii="Cambria Math" w:hAnsi="Cambria Math" w:cs="Cambria Math"/>
          <w:bCs/>
          <w:sz w:val="20"/>
          <w:szCs w:val="20"/>
        </w:rPr>
        <w:t>⁻</w:t>
      </w:r>
      <w:r w:rsidR="00CB1EBB" w:rsidRPr="00073000">
        <w:rPr>
          <w:rFonts w:ascii="Arial" w:hAnsi="Arial" w:cs="Arial"/>
          <w:bCs/>
          <w:sz w:val="20"/>
          <w:szCs w:val="20"/>
        </w:rPr>
        <w:t>¹ in April, whereas phosphorus release increased from 1.65 ± 0.04 kg month</w:t>
      </w:r>
      <w:r w:rsidR="00CB1EBB" w:rsidRPr="00073000">
        <w:rPr>
          <w:rFonts w:ascii="Cambria Math" w:hAnsi="Cambria Math" w:cs="Cambria Math"/>
          <w:bCs/>
          <w:sz w:val="20"/>
          <w:szCs w:val="20"/>
        </w:rPr>
        <w:t>⁻</w:t>
      </w:r>
      <w:r w:rsidR="00CB1EBB" w:rsidRPr="00073000">
        <w:rPr>
          <w:rFonts w:ascii="Arial" w:hAnsi="Arial" w:cs="Arial"/>
          <w:bCs/>
          <w:sz w:val="20"/>
          <w:szCs w:val="20"/>
        </w:rPr>
        <w:t>¹ to 2.47 ± 0.02 kg month</w:t>
      </w:r>
      <w:r w:rsidR="00CB1EBB" w:rsidRPr="00073000">
        <w:rPr>
          <w:rFonts w:ascii="Cambria Math" w:hAnsi="Cambria Math" w:cs="Cambria Math"/>
          <w:bCs/>
          <w:sz w:val="20"/>
          <w:szCs w:val="20"/>
        </w:rPr>
        <w:t>⁻</w:t>
      </w:r>
      <w:r w:rsidR="00CB1EBB" w:rsidRPr="00073000">
        <w:rPr>
          <w:rFonts w:ascii="Arial" w:hAnsi="Arial" w:cs="Arial"/>
          <w:bCs/>
          <w:sz w:val="20"/>
          <w:szCs w:val="20"/>
        </w:rPr>
        <w:t>¹ during the same period</w:t>
      </w:r>
      <w:r w:rsidR="00F6606F" w:rsidRPr="00073000">
        <w:rPr>
          <w:rFonts w:ascii="Arial" w:hAnsi="Arial" w:cs="Arial"/>
          <w:bCs/>
          <w:sz w:val="20"/>
          <w:szCs w:val="20"/>
        </w:rPr>
        <w:t xml:space="preserve"> (</w:t>
      </w:r>
      <w:r w:rsidR="00F6606F" w:rsidRPr="00073000">
        <w:rPr>
          <w:rFonts w:ascii="Arial" w:hAnsi="Arial" w:cs="Arial"/>
          <w:bCs/>
          <w:color w:val="0070C0"/>
          <w:sz w:val="20"/>
          <w:szCs w:val="20"/>
        </w:rPr>
        <w:t>Fig.2</w:t>
      </w:r>
      <w:r w:rsidR="00F6606F" w:rsidRPr="00073000">
        <w:rPr>
          <w:rFonts w:ascii="Arial" w:hAnsi="Arial" w:cs="Arial"/>
          <w:bCs/>
          <w:sz w:val="20"/>
          <w:szCs w:val="20"/>
        </w:rPr>
        <w:t>)</w:t>
      </w:r>
      <w:r w:rsidR="00CB1EBB" w:rsidRPr="00073000">
        <w:rPr>
          <w:rFonts w:ascii="Arial" w:hAnsi="Arial" w:cs="Arial"/>
          <w:bCs/>
          <w:sz w:val="20"/>
          <w:szCs w:val="20"/>
        </w:rPr>
        <w:t>. These increases corresponded with enhanced feed inputs and increasing lobster biomass throughout the culture cycle</w:t>
      </w:r>
      <w:r w:rsidR="008029B8" w:rsidRPr="00073000">
        <w:rPr>
          <w:rFonts w:ascii="Arial" w:hAnsi="Arial" w:cs="Arial"/>
          <w:bCs/>
          <w:sz w:val="20"/>
          <w:szCs w:val="20"/>
        </w:rPr>
        <w:t xml:space="preserve"> (</w:t>
      </w:r>
      <w:r w:rsidR="008029B8" w:rsidRPr="00073000">
        <w:rPr>
          <w:rFonts w:ascii="Arial" w:hAnsi="Arial" w:cs="Arial"/>
          <w:bCs/>
          <w:color w:val="0070C0"/>
          <w:sz w:val="20"/>
          <w:szCs w:val="20"/>
        </w:rPr>
        <w:t>Table</w:t>
      </w:r>
      <w:r w:rsidR="00295A2D" w:rsidRPr="00073000">
        <w:rPr>
          <w:rFonts w:ascii="Arial" w:hAnsi="Arial" w:cs="Arial"/>
          <w:bCs/>
          <w:color w:val="0070C0"/>
          <w:sz w:val="20"/>
          <w:szCs w:val="20"/>
        </w:rPr>
        <w:t xml:space="preserve"> 3</w:t>
      </w:r>
      <w:r w:rsidR="008029B8" w:rsidRPr="00073000">
        <w:rPr>
          <w:rFonts w:ascii="Arial" w:hAnsi="Arial" w:cs="Arial"/>
          <w:bCs/>
          <w:sz w:val="20"/>
          <w:szCs w:val="20"/>
        </w:rPr>
        <w:t>)</w:t>
      </w:r>
      <w:r w:rsidR="00CB1EBB" w:rsidRPr="00073000">
        <w:rPr>
          <w:rFonts w:ascii="Arial" w:hAnsi="Arial" w:cs="Arial"/>
          <w:bCs/>
          <w:sz w:val="20"/>
          <w:szCs w:val="20"/>
        </w:rPr>
        <w:t>.</w:t>
      </w:r>
    </w:p>
    <w:p w14:paraId="34BC8660" w14:textId="77777777" w:rsidR="008029B8" w:rsidRPr="00073000" w:rsidRDefault="008029B8" w:rsidP="008029B8">
      <w:pPr>
        <w:pStyle w:val="ListParagraph"/>
        <w:spacing w:line="480" w:lineRule="auto"/>
        <w:ind w:left="0"/>
        <w:jc w:val="both"/>
        <w:rPr>
          <w:rFonts w:ascii="Arial" w:hAnsi="Arial" w:cs="Arial"/>
          <w:bCs/>
          <w:sz w:val="20"/>
          <w:szCs w:val="20"/>
        </w:rPr>
      </w:pPr>
      <w:bookmarkStart w:id="1" w:name="_Hlk201594960"/>
      <w:r w:rsidRPr="00073000">
        <w:rPr>
          <w:rFonts w:ascii="Arial" w:hAnsi="Arial" w:cs="Arial"/>
          <w:b/>
          <w:bCs/>
          <w:sz w:val="20"/>
          <w:szCs w:val="20"/>
        </w:rPr>
        <w:t>Table</w:t>
      </w:r>
      <w:r w:rsidR="00295A2D" w:rsidRPr="00073000">
        <w:rPr>
          <w:rFonts w:ascii="Arial" w:hAnsi="Arial" w:cs="Arial"/>
          <w:b/>
          <w:bCs/>
          <w:sz w:val="20"/>
          <w:szCs w:val="20"/>
        </w:rPr>
        <w:t xml:space="preserve"> 3.</w:t>
      </w:r>
      <w:r w:rsidRPr="00073000">
        <w:rPr>
          <w:rFonts w:ascii="Arial" w:hAnsi="Arial" w:cs="Arial"/>
          <w:b/>
          <w:bCs/>
          <w:color w:val="FF0000"/>
          <w:sz w:val="20"/>
          <w:szCs w:val="20"/>
        </w:rPr>
        <w:t xml:space="preserve">  </w:t>
      </w:r>
      <w:r w:rsidRPr="00073000">
        <w:rPr>
          <w:rFonts w:ascii="Arial" w:hAnsi="Arial" w:cs="Arial"/>
          <w:bCs/>
          <w:sz w:val="20"/>
          <w:szCs w:val="20"/>
        </w:rPr>
        <w:t>Lobster production biomass and FCR</w:t>
      </w:r>
    </w:p>
    <w:tbl>
      <w:tblPr>
        <w:tblW w:w="8471" w:type="dxa"/>
        <w:jc w:val="center"/>
        <w:tblBorders>
          <w:top w:val="single" w:sz="4" w:space="0" w:color="auto"/>
          <w:bottom w:val="single" w:sz="4" w:space="0" w:color="auto"/>
        </w:tblBorders>
        <w:tblLook w:val="04A0" w:firstRow="1" w:lastRow="0" w:firstColumn="1" w:lastColumn="0" w:noHBand="0" w:noVBand="1"/>
      </w:tblPr>
      <w:tblGrid>
        <w:gridCol w:w="1325"/>
        <w:gridCol w:w="3294"/>
        <w:gridCol w:w="1603"/>
        <w:gridCol w:w="2249"/>
      </w:tblGrid>
      <w:tr w:rsidR="008029B8" w:rsidRPr="00073000" w14:paraId="76296AF3" w14:textId="77777777" w:rsidTr="0026055A">
        <w:trPr>
          <w:trHeight w:val="764"/>
          <w:jc w:val="center"/>
        </w:trPr>
        <w:tc>
          <w:tcPr>
            <w:tcW w:w="1325" w:type="dxa"/>
            <w:tcBorders>
              <w:bottom w:val="single" w:sz="4" w:space="0" w:color="auto"/>
            </w:tcBorders>
            <w:noWrap/>
            <w:vAlign w:val="center"/>
            <w:hideMark/>
          </w:tcPr>
          <w:p w14:paraId="3F7BF2CE" w14:textId="77777777" w:rsidR="008029B8" w:rsidRPr="00073000" w:rsidRDefault="008029B8" w:rsidP="008E5836">
            <w:pPr>
              <w:spacing w:after="0" w:line="360" w:lineRule="auto"/>
              <w:jc w:val="center"/>
              <w:rPr>
                <w:rFonts w:ascii="Arial" w:eastAsia="Times New Roman" w:hAnsi="Arial" w:cs="Arial"/>
                <w:b/>
                <w:bCs/>
                <w:sz w:val="20"/>
                <w:szCs w:val="20"/>
                <w:lang w:eastAsia="en-IN"/>
              </w:rPr>
            </w:pPr>
            <w:r w:rsidRPr="00073000">
              <w:rPr>
                <w:rFonts w:ascii="Arial" w:eastAsia="Times New Roman" w:hAnsi="Arial" w:cs="Arial"/>
                <w:b/>
                <w:bCs/>
                <w:sz w:val="20"/>
                <w:szCs w:val="20"/>
                <w:lang w:eastAsia="en-IN"/>
              </w:rPr>
              <w:t>Cages</w:t>
            </w:r>
          </w:p>
        </w:tc>
        <w:tc>
          <w:tcPr>
            <w:tcW w:w="3294" w:type="dxa"/>
            <w:tcBorders>
              <w:bottom w:val="single" w:sz="4" w:space="0" w:color="auto"/>
            </w:tcBorders>
            <w:noWrap/>
            <w:vAlign w:val="bottom"/>
            <w:hideMark/>
          </w:tcPr>
          <w:p w14:paraId="111EB230" w14:textId="77777777" w:rsidR="008029B8" w:rsidRPr="00073000" w:rsidRDefault="008029B8" w:rsidP="008E5836">
            <w:pPr>
              <w:spacing w:after="0" w:line="360" w:lineRule="auto"/>
              <w:jc w:val="center"/>
              <w:rPr>
                <w:rFonts w:ascii="Arial" w:eastAsia="Times New Roman" w:hAnsi="Arial" w:cs="Arial"/>
                <w:b/>
                <w:bCs/>
                <w:sz w:val="20"/>
                <w:szCs w:val="20"/>
                <w:lang w:eastAsia="en-IN"/>
              </w:rPr>
            </w:pPr>
            <w:r w:rsidRPr="00073000">
              <w:rPr>
                <w:rFonts w:ascii="Arial" w:eastAsia="Times New Roman" w:hAnsi="Arial" w:cs="Arial"/>
                <w:b/>
                <w:bCs/>
                <w:sz w:val="20"/>
                <w:szCs w:val="20"/>
                <w:lang w:eastAsia="en-IN"/>
              </w:rPr>
              <w:t>Production (kg)</w:t>
            </w:r>
          </w:p>
        </w:tc>
        <w:tc>
          <w:tcPr>
            <w:tcW w:w="1603" w:type="dxa"/>
            <w:tcBorders>
              <w:bottom w:val="single" w:sz="4" w:space="0" w:color="auto"/>
            </w:tcBorders>
          </w:tcPr>
          <w:p w14:paraId="61A69DBF" w14:textId="77777777" w:rsidR="008029B8" w:rsidRPr="00073000" w:rsidRDefault="008029B8" w:rsidP="008E5836">
            <w:pPr>
              <w:spacing w:after="0" w:line="360" w:lineRule="auto"/>
              <w:jc w:val="center"/>
              <w:rPr>
                <w:rFonts w:ascii="Arial" w:eastAsia="Times New Roman" w:hAnsi="Arial" w:cs="Arial"/>
                <w:b/>
                <w:bCs/>
                <w:sz w:val="20"/>
                <w:szCs w:val="20"/>
                <w:lang w:eastAsia="en-IN"/>
              </w:rPr>
            </w:pPr>
            <w:r w:rsidRPr="00073000">
              <w:rPr>
                <w:rFonts w:ascii="Arial" w:eastAsia="Times New Roman" w:hAnsi="Arial" w:cs="Arial"/>
                <w:b/>
                <w:bCs/>
                <w:sz w:val="20"/>
                <w:szCs w:val="20"/>
                <w:lang w:eastAsia="en-IN"/>
              </w:rPr>
              <w:t>Biomass (kg/m</w:t>
            </w:r>
            <w:r w:rsidRPr="00073000">
              <w:rPr>
                <w:rFonts w:ascii="Arial" w:eastAsia="Times New Roman" w:hAnsi="Arial" w:cs="Arial"/>
                <w:b/>
                <w:bCs/>
                <w:sz w:val="20"/>
                <w:szCs w:val="20"/>
                <w:vertAlign w:val="superscript"/>
                <w:lang w:eastAsia="en-IN"/>
              </w:rPr>
              <w:t>3</w:t>
            </w:r>
            <w:r w:rsidRPr="00073000">
              <w:rPr>
                <w:rFonts w:ascii="Arial" w:eastAsia="Times New Roman" w:hAnsi="Arial" w:cs="Arial"/>
                <w:b/>
                <w:bCs/>
                <w:sz w:val="20"/>
                <w:szCs w:val="20"/>
                <w:lang w:eastAsia="en-IN"/>
              </w:rPr>
              <w:t>)</w:t>
            </w:r>
          </w:p>
        </w:tc>
        <w:tc>
          <w:tcPr>
            <w:tcW w:w="2249" w:type="dxa"/>
            <w:tcBorders>
              <w:bottom w:val="single" w:sz="4" w:space="0" w:color="auto"/>
            </w:tcBorders>
            <w:noWrap/>
            <w:vAlign w:val="bottom"/>
            <w:hideMark/>
          </w:tcPr>
          <w:p w14:paraId="4FFE9F13" w14:textId="77777777" w:rsidR="008029B8" w:rsidRPr="00073000" w:rsidRDefault="008029B8" w:rsidP="008E5836">
            <w:pPr>
              <w:spacing w:after="0" w:line="360" w:lineRule="auto"/>
              <w:jc w:val="center"/>
              <w:rPr>
                <w:rFonts w:ascii="Arial" w:eastAsia="Times New Roman" w:hAnsi="Arial" w:cs="Arial"/>
                <w:b/>
                <w:bCs/>
                <w:sz w:val="20"/>
                <w:szCs w:val="20"/>
                <w:lang w:eastAsia="en-IN"/>
              </w:rPr>
            </w:pPr>
            <w:r w:rsidRPr="00073000">
              <w:rPr>
                <w:rFonts w:ascii="Arial" w:eastAsia="Times New Roman" w:hAnsi="Arial" w:cs="Arial"/>
                <w:b/>
                <w:bCs/>
                <w:sz w:val="20"/>
                <w:szCs w:val="20"/>
                <w:lang w:eastAsia="en-IN"/>
              </w:rPr>
              <w:t>FCR</w:t>
            </w:r>
          </w:p>
        </w:tc>
      </w:tr>
      <w:tr w:rsidR="008029B8" w:rsidRPr="00073000" w14:paraId="466C7BC8" w14:textId="77777777" w:rsidTr="0026055A">
        <w:trPr>
          <w:trHeight w:val="227"/>
          <w:jc w:val="center"/>
        </w:trPr>
        <w:tc>
          <w:tcPr>
            <w:tcW w:w="1325" w:type="dxa"/>
            <w:tcBorders>
              <w:top w:val="single" w:sz="4" w:space="0" w:color="auto"/>
            </w:tcBorders>
            <w:noWrap/>
            <w:vAlign w:val="bottom"/>
            <w:hideMark/>
          </w:tcPr>
          <w:p w14:paraId="2DF8DE52" w14:textId="77777777" w:rsidR="008029B8" w:rsidRPr="00073000" w:rsidRDefault="008029B8" w:rsidP="008E5836">
            <w:pPr>
              <w:spacing w:after="0" w:line="360" w:lineRule="auto"/>
              <w:jc w:val="center"/>
              <w:rPr>
                <w:rFonts w:ascii="Arial" w:eastAsia="Times New Roman" w:hAnsi="Arial" w:cs="Arial"/>
                <w:b/>
                <w:bCs/>
                <w:sz w:val="20"/>
                <w:szCs w:val="20"/>
                <w:lang w:eastAsia="en-IN"/>
              </w:rPr>
            </w:pPr>
            <w:r w:rsidRPr="00073000">
              <w:rPr>
                <w:rFonts w:ascii="Arial" w:eastAsia="Times New Roman" w:hAnsi="Arial" w:cs="Arial"/>
                <w:b/>
                <w:bCs/>
                <w:sz w:val="20"/>
                <w:szCs w:val="20"/>
                <w:lang w:eastAsia="en-IN"/>
              </w:rPr>
              <w:t>Cage 1</w:t>
            </w:r>
          </w:p>
        </w:tc>
        <w:tc>
          <w:tcPr>
            <w:tcW w:w="3294" w:type="dxa"/>
            <w:tcBorders>
              <w:top w:val="single" w:sz="4" w:space="0" w:color="auto"/>
            </w:tcBorders>
            <w:noWrap/>
            <w:vAlign w:val="bottom"/>
            <w:hideMark/>
          </w:tcPr>
          <w:p w14:paraId="3F75B4F3"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71.40</w:t>
            </w:r>
          </w:p>
        </w:tc>
        <w:tc>
          <w:tcPr>
            <w:tcW w:w="1603" w:type="dxa"/>
            <w:tcBorders>
              <w:top w:val="single" w:sz="4" w:space="0" w:color="auto"/>
            </w:tcBorders>
            <w:vAlign w:val="bottom"/>
          </w:tcPr>
          <w:p w14:paraId="21AB9ADB"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hAnsi="Arial" w:cs="Arial"/>
                <w:sz w:val="20"/>
                <w:szCs w:val="20"/>
              </w:rPr>
              <w:t>0.727</w:t>
            </w:r>
          </w:p>
        </w:tc>
        <w:tc>
          <w:tcPr>
            <w:tcW w:w="2249" w:type="dxa"/>
            <w:tcBorders>
              <w:top w:val="single" w:sz="4" w:space="0" w:color="auto"/>
            </w:tcBorders>
            <w:noWrap/>
            <w:vAlign w:val="bottom"/>
            <w:hideMark/>
          </w:tcPr>
          <w:p w14:paraId="4F608F76"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7.07</w:t>
            </w:r>
          </w:p>
        </w:tc>
      </w:tr>
      <w:tr w:rsidR="008029B8" w:rsidRPr="00073000" w14:paraId="0D128A6D" w14:textId="77777777" w:rsidTr="0026055A">
        <w:trPr>
          <w:trHeight w:val="269"/>
          <w:jc w:val="center"/>
        </w:trPr>
        <w:tc>
          <w:tcPr>
            <w:tcW w:w="1325" w:type="dxa"/>
            <w:noWrap/>
            <w:vAlign w:val="bottom"/>
            <w:hideMark/>
          </w:tcPr>
          <w:p w14:paraId="4AD5804C" w14:textId="77777777" w:rsidR="008029B8" w:rsidRPr="00073000" w:rsidRDefault="008029B8" w:rsidP="008E5836">
            <w:pPr>
              <w:spacing w:after="0" w:line="360" w:lineRule="auto"/>
              <w:jc w:val="center"/>
              <w:rPr>
                <w:rFonts w:ascii="Arial" w:eastAsia="Times New Roman" w:hAnsi="Arial" w:cs="Arial"/>
                <w:b/>
                <w:bCs/>
                <w:sz w:val="20"/>
                <w:szCs w:val="20"/>
                <w:lang w:eastAsia="en-IN"/>
              </w:rPr>
            </w:pPr>
            <w:r w:rsidRPr="00073000">
              <w:rPr>
                <w:rFonts w:ascii="Arial" w:eastAsia="Times New Roman" w:hAnsi="Arial" w:cs="Arial"/>
                <w:b/>
                <w:bCs/>
                <w:sz w:val="20"/>
                <w:szCs w:val="20"/>
                <w:lang w:eastAsia="en-IN"/>
              </w:rPr>
              <w:t>Cage 2</w:t>
            </w:r>
          </w:p>
        </w:tc>
        <w:tc>
          <w:tcPr>
            <w:tcW w:w="3294" w:type="dxa"/>
            <w:noWrap/>
            <w:vAlign w:val="bottom"/>
            <w:hideMark/>
          </w:tcPr>
          <w:p w14:paraId="7BA7B8E0"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73.07</w:t>
            </w:r>
          </w:p>
        </w:tc>
        <w:tc>
          <w:tcPr>
            <w:tcW w:w="1603" w:type="dxa"/>
            <w:vAlign w:val="bottom"/>
          </w:tcPr>
          <w:p w14:paraId="6C6C5E56"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hAnsi="Arial" w:cs="Arial"/>
                <w:sz w:val="20"/>
                <w:szCs w:val="20"/>
              </w:rPr>
              <w:t>0.744</w:t>
            </w:r>
          </w:p>
        </w:tc>
        <w:tc>
          <w:tcPr>
            <w:tcW w:w="2249" w:type="dxa"/>
            <w:noWrap/>
            <w:vAlign w:val="bottom"/>
            <w:hideMark/>
          </w:tcPr>
          <w:p w14:paraId="146BF7EA"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7.17</w:t>
            </w:r>
          </w:p>
        </w:tc>
      </w:tr>
      <w:tr w:rsidR="008029B8" w:rsidRPr="00073000" w14:paraId="79B53323" w14:textId="77777777" w:rsidTr="0026055A">
        <w:trPr>
          <w:trHeight w:val="269"/>
          <w:jc w:val="center"/>
        </w:trPr>
        <w:tc>
          <w:tcPr>
            <w:tcW w:w="1325" w:type="dxa"/>
            <w:noWrap/>
            <w:vAlign w:val="bottom"/>
            <w:hideMark/>
          </w:tcPr>
          <w:p w14:paraId="1B5536D7" w14:textId="77777777" w:rsidR="008029B8" w:rsidRPr="00073000" w:rsidRDefault="008029B8" w:rsidP="008E5836">
            <w:pPr>
              <w:spacing w:after="0" w:line="360" w:lineRule="auto"/>
              <w:jc w:val="center"/>
              <w:rPr>
                <w:rFonts w:ascii="Arial" w:eastAsia="Times New Roman" w:hAnsi="Arial" w:cs="Arial"/>
                <w:b/>
                <w:bCs/>
                <w:sz w:val="20"/>
                <w:szCs w:val="20"/>
                <w:lang w:eastAsia="en-IN"/>
              </w:rPr>
            </w:pPr>
            <w:r w:rsidRPr="00073000">
              <w:rPr>
                <w:rFonts w:ascii="Arial" w:eastAsia="Times New Roman" w:hAnsi="Arial" w:cs="Arial"/>
                <w:b/>
                <w:bCs/>
                <w:sz w:val="20"/>
                <w:szCs w:val="20"/>
                <w:lang w:eastAsia="en-IN"/>
              </w:rPr>
              <w:t>Cage 3</w:t>
            </w:r>
          </w:p>
        </w:tc>
        <w:tc>
          <w:tcPr>
            <w:tcW w:w="3294" w:type="dxa"/>
            <w:noWrap/>
            <w:vAlign w:val="bottom"/>
            <w:hideMark/>
          </w:tcPr>
          <w:p w14:paraId="2F259545"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77.31</w:t>
            </w:r>
          </w:p>
        </w:tc>
        <w:tc>
          <w:tcPr>
            <w:tcW w:w="1603" w:type="dxa"/>
            <w:vAlign w:val="bottom"/>
          </w:tcPr>
          <w:p w14:paraId="4FDC56A0"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hAnsi="Arial" w:cs="Arial"/>
                <w:sz w:val="20"/>
                <w:szCs w:val="20"/>
              </w:rPr>
              <w:t>0.787</w:t>
            </w:r>
          </w:p>
        </w:tc>
        <w:tc>
          <w:tcPr>
            <w:tcW w:w="2249" w:type="dxa"/>
            <w:noWrap/>
            <w:vAlign w:val="bottom"/>
            <w:hideMark/>
          </w:tcPr>
          <w:p w14:paraId="52F41ACE"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7.06</w:t>
            </w:r>
          </w:p>
        </w:tc>
      </w:tr>
      <w:tr w:rsidR="008029B8" w:rsidRPr="00073000" w14:paraId="7C715BDE" w14:textId="77777777" w:rsidTr="0026055A">
        <w:trPr>
          <w:trHeight w:val="269"/>
          <w:jc w:val="center"/>
        </w:trPr>
        <w:tc>
          <w:tcPr>
            <w:tcW w:w="1325" w:type="dxa"/>
            <w:noWrap/>
            <w:vAlign w:val="bottom"/>
            <w:hideMark/>
          </w:tcPr>
          <w:p w14:paraId="3777D1E8" w14:textId="77777777" w:rsidR="008029B8" w:rsidRPr="00073000" w:rsidRDefault="008029B8" w:rsidP="008E5836">
            <w:pPr>
              <w:spacing w:after="0" w:line="360" w:lineRule="auto"/>
              <w:jc w:val="center"/>
              <w:rPr>
                <w:rFonts w:ascii="Arial" w:eastAsia="Times New Roman" w:hAnsi="Arial" w:cs="Arial"/>
                <w:b/>
                <w:bCs/>
                <w:sz w:val="20"/>
                <w:szCs w:val="20"/>
                <w:lang w:eastAsia="en-IN"/>
              </w:rPr>
            </w:pPr>
            <w:r w:rsidRPr="00073000">
              <w:rPr>
                <w:rFonts w:ascii="Arial" w:eastAsia="Times New Roman" w:hAnsi="Arial" w:cs="Arial"/>
                <w:b/>
                <w:bCs/>
                <w:sz w:val="20"/>
                <w:szCs w:val="20"/>
                <w:lang w:eastAsia="en-IN"/>
              </w:rPr>
              <w:t>Cage 4</w:t>
            </w:r>
          </w:p>
        </w:tc>
        <w:tc>
          <w:tcPr>
            <w:tcW w:w="3294" w:type="dxa"/>
            <w:noWrap/>
            <w:vAlign w:val="bottom"/>
            <w:hideMark/>
          </w:tcPr>
          <w:p w14:paraId="0ABC856E"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77.41</w:t>
            </w:r>
          </w:p>
        </w:tc>
        <w:tc>
          <w:tcPr>
            <w:tcW w:w="1603" w:type="dxa"/>
            <w:vAlign w:val="bottom"/>
          </w:tcPr>
          <w:p w14:paraId="7D577FC2"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hAnsi="Arial" w:cs="Arial"/>
                <w:sz w:val="20"/>
                <w:szCs w:val="20"/>
              </w:rPr>
              <w:t>0.788</w:t>
            </w:r>
          </w:p>
        </w:tc>
        <w:tc>
          <w:tcPr>
            <w:tcW w:w="2249" w:type="dxa"/>
            <w:noWrap/>
            <w:vAlign w:val="bottom"/>
            <w:hideMark/>
          </w:tcPr>
          <w:p w14:paraId="20CD3B87"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7.52</w:t>
            </w:r>
          </w:p>
        </w:tc>
      </w:tr>
      <w:tr w:rsidR="008029B8" w:rsidRPr="00073000" w14:paraId="6F997530" w14:textId="77777777" w:rsidTr="0026055A">
        <w:trPr>
          <w:trHeight w:val="269"/>
          <w:jc w:val="center"/>
        </w:trPr>
        <w:tc>
          <w:tcPr>
            <w:tcW w:w="1325" w:type="dxa"/>
            <w:noWrap/>
            <w:vAlign w:val="bottom"/>
            <w:hideMark/>
          </w:tcPr>
          <w:p w14:paraId="23DE4BD6" w14:textId="77777777" w:rsidR="008029B8" w:rsidRPr="00073000" w:rsidRDefault="008029B8" w:rsidP="008E5836">
            <w:pPr>
              <w:spacing w:after="0" w:line="360" w:lineRule="auto"/>
              <w:jc w:val="center"/>
              <w:rPr>
                <w:rFonts w:ascii="Arial" w:eastAsia="Times New Roman" w:hAnsi="Arial" w:cs="Arial"/>
                <w:b/>
                <w:bCs/>
                <w:sz w:val="20"/>
                <w:szCs w:val="20"/>
                <w:lang w:eastAsia="en-IN"/>
              </w:rPr>
            </w:pPr>
            <w:r w:rsidRPr="00073000">
              <w:rPr>
                <w:rFonts w:ascii="Arial" w:eastAsia="Times New Roman" w:hAnsi="Arial" w:cs="Arial"/>
                <w:b/>
                <w:bCs/>
                <w:sz w:val="20"/>
                <w:szCs w:val="20"/>
                <w:lang w:eastAsia="en-IN"/>
              </w:rPr>
              <w:t>Cage 5</w:t>
            </w:r>
          </w:p>
        </w:tc>
        <w:tc>
          <w:tcPr>
            <w:tcW w:w="3294" w:type="dxa"/>
            <w:noWrap/>
            <w:vAlign w:val="bottom"/>
            <w:hideMark/>
          </w:tcPr>
          <w:p w14:paraId="221011B5"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77.89</w:t>
            </w:r>
          </w:p>
        </w:tc>
        <w:tc>
          <w:tcPr>
            <w:tcW w:w="1603" w:type="dxa"/>
            <w:vAlign w:val="bottom"/>
          </w:tcPr>
          <w:p w14:paraId="5D8412BC"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hAnsi="Arial" w:cs="Arial"/>
                <w:sz w:val="20"/>
                <w:szCs w:val="20"/>
              </w:rPr>
              <w:t>0.793</w:t>
            </w:r>
          </w:p>
        </w:tc>
        <w:tc>
          <w:tcPr>
            <w:tcW w:w="2249" w:type="dxa"/>
            <w:noWrap/>
            <w:vAlign w:val="bottom"/>
            <w:hideMark/>
          </w:tcPr>
          <w:p w14:paraId="2ECFA92A"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8.06</w:t>
            </w:r>
          </w:p>
        </w:tc>
      </w:tr>
      <w:tr w:rsidR="008029B8" w:rsidRPr="00073000" w14:paraId="3008F959" w14:textId="77777777" w:rsidTr="0026055A">
        <w:trPr>
          <w:trHeight w:val="269"/>
          <w:jc w:val="center"/>
        </w:trPr>
        <w:tc>
          <w:tcPr>
            <w:tcW w:w="1325" w:type="dxa"/>
            <w:noWrap/>
            <w:vAlign w:val="bottom"/>
            <w:hideMark/>
          </w:tcPr>
          <w:p w14:paraId="6D31B6D5" w14:textId="77777777" w:rsidR="008029B8" w:rsidRPr="00073000" w:rsidRDefault="008029B8" w:rsidP="008E5836">
            <w:pPr>
              <w:spacing w:after="0" w:line="360" w:lineRule="auto"/>
              <w:jc w:val="center"/>
              <w:rPr>
                <w:rFonts w:ascii="Arial" w:eastAsia="Times New Roman" w:hAnsi="Arial" w:cs="Arial"/>
                <w:b/>
                <w:bCs/>
                <w:sz w:val="20"/>
                <w:szCs w:val="20"/>
                <w:lang w:eastAsia="en-IN"/>
              </w:rPr>
            </w:pPr>
            <w:r w:rsidRPr="00073000">
              <w:rPr>
                <w:rFonts w:ascii="Arial" w:eastAsia="Times New Roman" w:hAnsi="Arial" w:cs="Arial"/>
                <w:b/>
                <w:bCs/>
                <w:sz w:val="20"/>
                <w:szCs w:val="20"/>
                <w:lang w:eastAsia="en-IN"/>
              </w:rPr>
              <w:t>Cage 6</w:t>
            </w:r>
          </w:p>
        </w:tc>
        <w:tc>
          <w:tcPr>
            <w:tcW w:w="3294" w:type="dxa"/>
            <w:noWrap/>
            <w:vAlign w:val="bottom"/>
            <w:hideMark/>
          </w:tcPr>
          <w:p w14:paraId="27400816"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81.05</w:t>
            </w:r>
          </w:p>
        </w:tc>
        <w:tc>
          <w:tcPr>
            <w:tcW w:w="1603" w:type="dxa"/>
            <w:vAlign w:val="bottom"/>
          </w:tcPr>
          <w:p w14:paraId="5E82ED76"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hAnsi="Arial" w:cs="Arial"/>
                <w:sz w:val="20"/>
                <w:szCs w:val="20"/>
              </w:rPr>
              <w:t>0.825</w:t>
            </w:r>
          </w:p>
        </w:tc>
        <w:tc>
          <w:tcPr>
            <w:tcW w:w="2249" w:type="dxa"/>
            <w:noWrap/>
            <w:vAlign w:val="bottom"/>
            <w:hideMark/>
          </w:tcPr>
          <w:p w14:paraId="5FDCADEB" w14:textId="77777777" w:rsidR="008029B8" w:rsidRPr="00073000" w:rsidRDefault="008029B8" w:rsidP="008E5836">
            <w:pPr>
              <w:spacing w:after="0" w:line="360" w:lineRule="auto"/>
              <w:jc w:val="center"/>
              <w:rPr>
                <w:rFonts w:ascii="Arial" w:eastAsia="Times New Roman" w:hAnsi="Arial" w:cs="Arial"/>
                <w:sz w:val="20"/>
                <w:szCs w:val="20"/>
                <w:lang w:eastAsia="en-IN"/>
              </w:rPr>
            </w:pPr>
            <w:r w:rsidRPr="00073000">
              <w:rPr>
                <w:rFonts w:ascii="Arial" w:eastAsia="Times New Roman" w:hAnsi="Arial" w:cs="Arial"/>
                <w:sz w:val="20"/>
                <w:szCs w:val="20"/>
                <w:lang w:eastAsia="en-IN"/>
              </w:rPr>
              <w:t>7.76</w:t>
            </w:r>
          </w:p>
        </w:tc>
      </w:tr>
      <w:bookmarkEnd w:id="1"/>
    </w:tbl>
    <w:p w14:paraId="6352912A" w14:textId="77777777" w:rsidR="00B108AA" w:rsidRPr="00073000" w:rsidRDefault="00B108AA" w:rsidP="00CB1EBB">
      <w:pPr>
        <w:jc w:val="both"/>
        <w:rPr>
          <w:rFonts w:ascii="Arial" w:hAnsi="Arial" w:cs="Arial"/>
          <w:bCs/>
          <w:sz w:val="20"/>
          <w:szCs w:val="20"/>
        </w:rPr>
      </w:pPr>
    </w:p>
    <w:p w14:paraId="7197DD2F" w14:textId="77777777" w:rsidR="00C73AAB" w:rsidRPr="00073000" w:rsidRDefault="00031162" w:rsidP="00CB1EBB">
      <w:pPr>
        <w:jc w:val="both"/>
        <w:rPr>
          <w:rFonts w:ascii="Arial" w:hAnsi="Arial" w:cs="Arial"/>
          <w:bCs/>
          <w:sz w:val="20"/>
          <w:szCs w:val="20"/>
        </w:rPr>
      </w:pPr>
      <w:r w:rsidRPr="00073000">
        <w:rPr>
          <w:rFonts w:ascii="Arial" w:hAnsi="Arial" w:cs="Arial"/>
          <w:bCs/>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C73AAB" w:rsidRPr="00073000" w14:paraId="1A812F79" w14:textId="77777777" w:rsidTr="00B8169F">
        <w:tc>
          <w:tcPr>
            <w:tcW w:w="9016" w:type="dxa"/>
          </w:tcPr>
          <w:p w14:paraId="6A0D479D" w14:textId="77777777" w:rsidR="00C73AAB" w:rsidRPr="00073000" w:rsidRDefault="00C73AAB" w:rsidP="00B8169F">
            <w:pPr>
              <w:jc w:val="both"/>
              <w:rPr>
                <w:rFonts w:ascii="Arial" w:hAnsi="Arial" w:cs="Arial"/>
                <w:bCs/>
                <w:sz w:val="20"/>
                <w:szCs w:val="20"/>
              </w:rPr>
            </w:pPr>
            <w:r w:rsidRPr="00073000">
              <w:rPr>
                <w:rFonts w:ascii="Arial" w:hAnsi="Arial" w:cs="Arial"/>
                <w:noProof/>
                <w:sz w:val="20"/>
                <w:szCs w:val="20"/>
              </w:rPr>
              <w:drawing>
                <wp:inline distT="0" distB="0" distL="0" distR="0" wp14:anchorId="5EDEDE95" wp14:editId="270DF324">
                  <wp:extent cx="5241956" cy="428936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5246" cy="4292061"/>
                          </a:xfrm>
                          <a:prstGeom prst="rect">
                            <a:avLst/>
                          </a:prstGeom>
                          <a:noFill/>
                          <a:ln>
                            <a:noFill/>
                          </a:ln>
                        </pic:spPr>
                      </pic:pic>
                    </a:graphicData>
                  </a:graphic>
                </wp:inline>
              </w:drawing>
            </w:r>
          </w:p>
        </w:tc>
      </w:tr>
      <w:tr w:rsidR="00C73AAB" w:rsidRPr="00073000" w14:paraId="4BF83A80" w14:textId="77777777" w:rsidTr="00B8169F">
        <w:tc>
          <w:tcPr>
            <w:tcW w:w="9016" w:type="dxa"/>
          </w:tcPr>
          <w:p w14:paraId="6906FBD6" w14:textId="77777777" w:rsidR="00C73AAB" w:rsidRPr="00073000" w:rsidRDefault="00C73AAB" w:rsidP="00B8169F">
            <w:pPr>
              <w:jc w:val="both"/>
              <w:rPr>
                <w:rFonts w:ascii="Arial" w:hAnsi="Arial" w:cs="Arial"/>
                <w:bCs/>
                <w:sz w:val="20"/>
                <w:szCs w:val="20"/>
              </w:rPr>
            </w:pPr>
            <w:r w:rsidRPr="00073000">
              <w:rPr>
                <w:rFonts w:ascii="Arial" w:hAnsi="Arial" w:cs="Arial"/>
                <w:b/>
                <w:bCs/>
                <w:sz w:val="20"/>
                <w:szCs w:val="20"/>
              </w:rPr>
              <w:t>Fig. 3.</w:t>
            </w:r>
            <w:r w:rsidRPr="00073000">
              <w:rPr>
                <w:rFonts w:ascii="Arial" w:hAnsi="Arial" w:cs="Arial"/>
                <w:bCs/>
                <w:sz w:val="20"/>
                <w:szCs w:val="20"/>
              </w:rPr>
              <w:t xml:space="preserve"> Monthly variation in phytoplankton abundance and nutrient concentrations at the lobster cage farming site during the culture period.</w:t>
            </w:r>
          </w:p>
        </w:tc>
      </w:tr>
    </w:tbl>
    <w:p w14:paraId="0CE920B6" w14:textId="77777777" w:rsidR="00C73AAB" w:rsidRPr="00073000" w:rsidRDefault="00C73AAB" w:rsidP="00CB1EBB">
      <w:pPr>
        <w:jc w:val="both"/>
        <w:rPr>
          <w:rFonts w:ascii="Arial" w:hAnsi="Arial" w:cs="Arial"/>
          <w:bCs/>
          <w:sz w:val="20"/>
          <w:szCs w:val="20"/>
        </w:rPr>
      </w:pPr>
    </w:p>
    <w:p w14:paraId="6698A248" w14:textId="77777777" w:rsidR="00CB1EBB" w:rsidRPr="00073000" w:rsidRDefault="00CB1EBB" w:rsidP="00CB1EBB">
      <w:pPr>
        <w:jc w:val="both"/>
        <w:rPr>
          <w:rFonts w:ascii="Arial" w:hAnsi="Arial" w:cs="Arial"/>
          <w:bCs/>
          <w:sz w:val="20"/>
          <w:szCs w:val="20"/>
        </w:rPr>
      </w:pPr>
      <w:r w:rsidRPr="00073000">
        <w:rPr>
          <w:rFonts w:ascii="Arial" w:hAnsi="Arial" w:cs="Arial"/>
          <w:bCs/>
          <w:sz w:val="20"/>
          <w:szCs w:val="20"/>
        </w:rPr>
        <w:lastRenderedPageBreak/>
        <w:t xml:space="preserve">Phytoplankton communities in the study area remained dominated by diatoms, including </w:t>
      </w:r>
      <w:proofErr w:type="spellStart"/>
      <w:r w:rsidRPr="00073000">
        <w:rPr>
          <w:rFonts w:ascii="Arial" w:hAnsi="Arial" w:cs="Arial"/>
          <w:bCs/>
          <w:i/>
          <w:sz w:val="20"/>
          <w:szCs w:val="20"/>
        </w:rPr>
        <w:t>Chaetoceros</w:t>
      </w:r>
      <w:proofErr w:type="spellEnd"/>
      <w:r w:rsidRPr="00073000">
        <w:rPr>
          <w:rFonts w:ascii="Arial" w:hAnsi="Arial" w:cs="Arial"/>
          <w:bCs/>
          <w:i/>
          <w:sz w:val="20"/>
          <w:szCs w:val="20"/>
        </w:rPr>
        <w:t xml:space="preserve"> spp., </w:t>
      </w:r>
      <w:proofErr w:type="spellStart"/>
      <w:r w:rsidRPr="00073000">
        <w:rPr>
          <w:rFonts w:ascii="Arial" w:hAnsi="Arial" w:cs="Arial"/>
          <w:bCs/>
          <w:i/>
          <w:sz w:val="20"/>
          <w:szCs w:val="20"/>
        </w:rPr>
        <w:t>Skeletonema</w:t>
      </w:r>
      <w:proofErr w:type="spellEnd"/>
      <w:r w:rsidRPr="00073000">
        <w:rPr>
          <w:rFonts w:ascii="Arial" w:hAnsi="Arial" w:cs="Arial"/>
          <w:bCs/>
          <w:i/>
          <w:sz w:val="20"/>
          <w:szCs w:val="20"/>
        </w:rPr>
        <w:t xml:space="preserve"> </w:t>
      </w:r>
      <w:proofErr w:type="spellStart"/>
      <w:r w:rsidRPr="00073000">
        <w:rPr>
          <w:rFonts w:ascii="Arial" w:hAnsi="Arial" w:cs="Arial"/>
          <w:bCs/>
          <w:i/>
          <w:sz w:val="20"/>
          <w:szCs w:val="20"/>
        </w:rPr>
        <w:t>costatum</w:t>
      </w:r>
      <w:proofErr w:type="spellEnd"/>
      <w:r w:rsidRPr="00073000">
        <w:rPr>
          <w:rFonts w:ascii="Arial" w:hAnsi="Arial" w:cs="Arial"/>
          <w:bCs/>
          <w:i/>
          <w:sz w:val="20"/>
          <w:szCs w:val="20"/>
        </w:rPr>
        <w:t xml:space="preserve">, </w:t>
      </w:r>
      <w:proofErr w:type="spellStart"/>
      <w:r w:rsidRPr="00073000">
        <w:rPr>
          <w:rFonts w:ascii="Arial" w:hAnsi="Arial" w:cs="Arial"/>
          <w:bCs/>
          <w:i/>
          <w:sz w:val="20"/>
          <w:szCs w:val="20"/>
        </w:rPr>
        <w:t>Rhizosolenia</w:t>
      </w:r>
      <w:proofErr w:type="spellEnd"/>
      <w:r w:rsidRPr="00073000">
        <w:rPr>
          <w:rFonts w:ascii="Arial" w:hAnsi="Arial" w:cs="Arial"/>
          <w:bCs/>
          <w:i/>
          <w:sz w:val="20"/>
          <w:szCs w:val="20"/>
        </w:rPr>
        <w:t xml:space="preserve"> robusta, </w:t>
      </w:r>
      <w:proofErr w:type="spellStart"/>
      <w:r w:rsidRPr="00073000">
        <w:rPr>
          <w:rFonts w:ascii="Arial" w:hAnsi="Arial" w:cs="Arial"/>
          <w:bCs/>
          <w:i/>
          <w:sz w:val="20"/>
          <w:szCs w:val="20"/>
        </w:rPr>
        <w:t>Stephanopyxis</w:t>
      </w:r>
      <w:proofErr w:type="spellEnd"/>
      <w:r w:rsidRPr="00073000">
        <w:rPr>
          <w:rFonts w:ascii="Arial" w:hAnsi="Arial" w:cs="Arial"/>
          <w:bCs/>
          <w:i/>
          <w:sz w:val="20"/>
          <w:szCs w:val="20"/>
        </w:rPr>
        <w:t xml:space="preserve"> </w:t>
      </w:r>
      <w:proofErr w:type="spellStart"/>
      <w:r w:rsidRPr="00073000">
        <w:rPr>
          <w:rFonts w:ascii="Arial" w:hAnsi="Arial" w:cs="Arial"/>
          <w:bCs/>
          <w:i/>
          <w:sz w:val="20"/>
          <w:szCs w:val="20"/>
        </w:rPr>
        <w:t>palmeriana</w:t>
      </w:r>
      <w:proofErr w:type="spellEnd"/>
      <w:r w:rsidRPr="00073000">
        <w:rPr>
          <w:rFonts w:ascii="Arial" w:hAnsi="Arial" w:cs="Arial"/>
          <w:bCs/>
          <w:i/>
          <w:sz w:val="20"/>
          <w:szCs w:val="20"/>
        </w:rPr>
        <w:t xml:space="preserve">, </w:t>
      </w:r>
      <w:proofErr w:type="spellStart"/>
      <w:r w:rsidRPr="00073000">
        <w:rPr>
          <w:rFonts w:ascii="Arial" w:hAnsi="Arial" w:cs="Arial"/>
          <w:bCs/>
          <w:i/>
          <w:sz w:val="20"/>
          <w:szCs w:val="20"/>
        </w:rPr>
        <w:t>Navicula</w:t>
      </w:r>
      <w:proofErr w:type="spellEnd"/>
      <w:r w:rsidRPr="00073000">
        <w:rPr>
          <w:rFonts w:ascii="Arial" w:hAnsi="Arial" w:cs="Arial"/>
          <w:bCs/>
          <w:i/>
          <w:sz w:val="20"/>
          <w:szCs w:val="20"/>
        </w:rPr>
        <w:t xml:space="preserve"> spp.,</w:t>
      </w:r>
      <w:r w:rsidRPr="00073000">
        <w:rPr>
          <w:rFonts w:ascii="Arial" w:hAnsi="Arial" w:cs="Arial"/>
          <w:bCs/>
          <w:sz w:val="20"/>
          <w:szCs w:val="20"/>
        </w:rPr>
        <w:t xml:space="preserve"> and </w:t>
      </w:r>
      <w:proofErr w:type="spellStart"/>
      <w:r w:rsidRPr="00073000">
        <w:rPr>
          <w:rFonts w:ascii="Arial" w:hAnsi="Arial" w:cs="Arial"/>
          <w:bCs/>
          <w:i/>
          <w:sz w:val="20"/>
          <w:szCs w:val="20"/>
        </w:rPr>
        <w:t>Nitzschia</w:t>
      </w:r>
      <w:proofErr w:type="spellEnd"/>
      <w:r w:rsidRPr="00073000">
        <w:rPr>
          <w:rFonts w:ascii="Arial" w:hAnsi="Arial" w:cs="Arial"/>
          <w:bCs/>
          <w:i/>
          <w:sz w:val="20"/>
          <w:szCs w:val="20"/>
        </w:rPr>
        <w:t xml:space="preserve"> spp.,</w:t>
      </w:r>
      <w:r w:rsidRPr="00073000">
        <w:rPr>
          <w:rFonts w:ascii="Arial" w:hAnsi="Arial" w:cs="Arial"/>
          <w:bCs/>
          <w:sz w:val="20"/>
          <w:szCs w:val="20"/>
        </w:rPr>
        <w:t xml:space="preserve"> </w:t>
      </w:r>
      <w:r w:rsidR="008A6955" w:rsidRPr="00073000">
        <w:rPr>
          <w:rFonts w:ascii="Arial" w:hAnsi="Arial" w:cs="Arial"/>
          <w:bCs/>
          <w:sz w:val="20"/>
          <w:szCs w:val="20"/>
        </w:rPr>
        <w:t>(</w:t>
      </w:r>
      <w:r w:rsidR="008E7933" w:rsidRPr="00073000">
        <w:rPr>
          <w:rFonts w:ascii="Arial" w:hAnsi="Arial" w:cs="Arial"/>
          <w:bCs/>
          <w:color w:val="0070C0"/>
          <w:sz w:val="20"/>
          <w:szCs w:val="20"/>
        </w:rPr>
        <w:t>Appendix Table A3</w:t>
      </w:r>
      <w:r w:rsidR="008A6955" w:rsidRPr="00073000">
        <w:rPr>
          <w:rFonts w:ascii="Arial" w:hAnsi="Arial" w:cs="Arial"/>
          <w:bCs/>
          <w:sz w:val="20"/>
          <w:szCs w:val="20"/>
        </w:rPr>
        <w:t xml:space="preserve">) </w:t>
      </w:r>
      <w:r w:rsidRPr="00073000">
        <w:rPr>
          <w:rFonts w:ascii="Arial" w:hAnsi="Arial" w:cs="Arial"/>
          <w:bCs/>
          <w:sz w:val="20"/>
          <w:szCs w:val="20"/>
        </w:rPr>
        <w:t>which are widely recognized as opportunistic taxa capable of rapidly utilizing available nutrients</w:t>
      </w:r>
      <w:r w:rsidR="00B108AA" w:rsidRPr="00073000">
        <w:rPr>
          <w:rFonts w:ascii="Arial" w:hAnsi="Arial" w:cs="Arial"/>
          <w:bCs/>
          <w:sz w:val="20"/>
          <w:szCs w:val="20"/>
        </w:rPr>
        <w:t xml:space="preserve"> (</w:t>
      </w:r>
      <w:r w:rsidR="00B108AA" w:rsidRPr="00073000">
        <w:rPr>
          <w:rFonts w:ascii="Arial" w:hAnsi="Arial" w:cs="Arial"/>
          <w:bCs/>
          <w:color w:val="0070C0"/>
          <w:sz w:val="20"/>
          <w:szCs w:val="20"/>
        </w:rPr>
        <w:t>Ristea et al., 2025</w:t>
      </w:r>
      <w:r w:rsidR="00B108AA" w:rsidRPr="00073000">
        <w:rPr>
          <w:rFonts w:ascii="Arial" w:hAnsi="Arial" w:cs="Arial"/>
          <w:bCs/>
          <w:sz w:val="20"/>
          <w:szCs w:val="20"/>
        </w:rPr>
        <w:t>)</w:t>
      </w:r>
      <w:r w:rsidRPr="00073000">
        <w:rPr>
          <w:rFonts w:ascii="Arial" w:hAnsi="Arial" w:cs="Arial"/>
          <w:bCs/>
          <w:sz w:val="20"/>
          <w:szCs w:val="20"/>
        </w:rPr>
        <w:t>. The persistence of these taxa during the farming period suggests that feed-derived nutrient inputs contributed to enhanced primary productivity within the farming area.</w:t>
      </w:r>
    </w:p>
    <w:p w14:paraId="08969EE4" w14:textId="77777777" w:rsidR="00CB1EBB" w:rsidRPr="00073000" w:rsidRDefault="00031162" w:rsidP="00CB1EBB">
      <w:pPr>
        <w:jc w:val="both"/>
        <w:rPr>
          <w:rFonts w:ascii="Arial" w:hAnsi="Arial" w:cs="Arial"/>
          <w:bCs/>
          <w:sz w:val="20"/>
          <w:szCs w:val="20"/>
        </w:rPr>
      </w:pPr>
      <w:r w:rsidRPr="00073000">
        <w:rPr>
          <w:rFonts w:ascii="Arial" w:hAnsi="Arial" w:cs="Arial"/>
          <w:bCs/>
          <w:sz w:val="20"/>
          <w:szCs w:val="20"/>
        </w:rPr>
        <w:tab/>
      </w:r>
      <w:r w:rsidR="00CB1EBB" w:rsidRPr="00073000">
        <w:rPr>
          <w:rFonts w:ascii="Arial" w:hAnsi="Arial" w:cs="Arial"/>
          <w:bCs/>
          <w:sz w:val="20"/>
          <w:szCs w:val="20"/>
        </w:rPr>
        <w:t>Despite substantial nutrient release, phytoplankton abundance remained within the normal range reported for productive coastal waters of the Arabian Sea. No evidence of harmful algal blooms or excessive phytoplankton proliferation was observed during the study period. Similar observations have been reported from offshore cage farming systems where strong hydrodynamic flushing and water exchange prevent excessive nutrient accumulation and promote rapid dilution of dissolved wastes (</w:t>
      </w:r>
      <w:r w:rsidR="00CB1EBB" w:rsidRPr="00073000">
        <w:rPr>
          <w:rFonts w:ascii="Arial" w:hAnsi="Arial" w:cs="Arial"/>
          <w:bCs/>
          <w:color w:val="0070C0"/>
          <w:sz w:val="20"/>
          <w:szCs w:val="20"/>
        </w:rPr>
        <w:t>Holmer et al., 2008; Price et al., 2015</w:t>
      </w:r>
      <w:r w:rsidR="00CB1EBB" w:rsidRPr="00073000">
        <w:rPr>
          <w:rFonts w:ascii="Arial" w:hAnsi="Arial" w:cs="Arial"/>
          <w:bCs/>
          <w:sz w:val="20"/>
          <w:szCs w:val="20"/>
        </w:rPr>
        <w:t>). These findings indicate that although lobster farming contributed measurable nutrient inputs to the surrounding waters, the assimilative capacity of the farming environment was not exceeded during the study period.</w:t>
      </w:r>
    </w:p>
    <w:p w14:paraId="155A588A" w14:textId="77777777" w:rsidR="00366549" w:rsidRPr="002C66E5" w:rsidRDefault="00366549" w:rsidP="00366549">
      <w:pPr>
        <w:jc w:val="both"/>
        <w:rPr>
          <w:rFonts w:ascii="Arial" w:hAnsi="Arial" w:cs="Arial"/>
          <w:b/>
          <w:bCs/>
        </w:rPr>
      </w:pPr>
      <w:r w:rsidRPr="002C66E5">
        <w:rPr>
          <w:rFonts w:ascii="Arial" w:hAnsi="Arial" w:cs="Arial"/>
          <w:b/>
          <w:bCs/>
        </w:rPr>
        <w:t>3.3 Nutrient</w:t>
      </w:r>
      <w:r w:rsidR="00FE50C9" w:rsidRPr="002C66E5">
        <w:rPr>
          <w:rFonts w:ascii="Arial" w:hAnsi="Arial" w:cs="Arial"/>
          <w:b/>
          <w:bCs/>
        </w:rPr>
        <w:t>-</w:t>
      </w:r>
      <w:r w:rsidRPr="002C66E5">
        <w:rPr>
          <w:rFonts w:ascii="Arial" w:hAnsi="Arial" w:cs="Arial"/>
          <w:b/>
          <w:bCs/>
        </w:rPr>
        <w:t>Phytoplankton Relationships</w:t>
      </w:r>
    </w:p>
    <w:p w14:paraId="46035317" w14:textId="77777777" w:rsidR="00366549" w:rsidRPr="002C66E5" w:rsidRDefault="00FE50C9" w:rsidP="00366549">
      <w:pPr>
        <w:jc w:val="both"/>
        <w:rPr>
          <w:rFonts w:ascii="Arial" w:hAnsi="Arial" w:cs="Arial"/>
          <w:bCs/>
        </w:rPr>
      </w:pPr>
      <w:r w:rsidRPr="00073000">
        <w:rPr>
          <w:rFonts w:ascii="Arial" w:hAnsi="Arial" w:cs="Arial"/>
          <w:bCs/>
          <w:sz w:val="20"/>
        </w:rPr>
        <w:tab/>
      </w:r>
      <w:r w:rsidR="00366549" w:rsidRPr="00073000">
        <w:rPr>
          <w:rFonts w:ascii="Arial" w:hAnsi="Arial" w:cs="Arial"/>
          <w:bCs/>
          <w:sz w:val="20"/>
        </w:rPr>
        <w:t>Pearson correlation analysis revealed variable relationships between nutrient concentrations and phytoplankton abundance. Among the measured nutrient variables, nitrate exhibited the strongest association with phytoplankton abundance, displaying a moderate positive correlation (r = 0.63, p = 0.094). In contrast, ammonia (r = −0.33, p = 0.429) and phosphate (r = −0.13, p = 0.766)</w:t>
      </w:r>
      <w:r w:rsidR="00C73AAB" w:rsidRPr="00073000">
        <w:rPr>
          <w:rFonts w:ascii="Arial" w:hAnsi="Arial" w:cs="Arial"/>
          <w:bCs/>
          <w:sz w:val="20"/>
        </w:rPr>
        <w:t xml:space="preserve"> (</w:t>
      </w:r>
      <w:r w:rsidR="00C73AAB" w:rsidRPr="00073000">
        <w:rPr>
          <w:rFonts w:ascii="Arial" w:hAnsi="Arial" w:cs="Arial"/>
          <w:bCs/>
          <w:color w:val="0070C0"/>
          <w:sz w:val="20"/>
        </w:rPr>
        <w:t>Fig.4</w:t>
      </w:r>
      <w:r w:rsidR="00C73AAB" w:rsidRPr="00073000">
        <w:rPr>
          <w:rFonts w:ascii="Arial" w:hAnsi="Arial" w:cs="Arial"/>
          <w:bCs/>
          <w:sz w:val="20"/>
        </w:rPr>
        <w:t>)</w:t>
      </w:r>
      <w:r w:rsidR="00366549" w:rsidRPr="00073000">
        <w:rPr>
          <w:rFonts w:ascii="Arial" w:hAnsi="Arial" w:cs="Arial"/>
          <w:bCs/>
          <w:sz w:val="20"/>
        </w:rPr>
        <w:t xml:space="preserve"> showed weak negative relationships with phytoplankton abundance. Although none of the correlations were statistically significant at the 5% significance level, nitrate consistently demonstrated the strongest influence on phytoplankton variability.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252078" w:rsidRPr="002C66E5" w14:paraId="351417DF" w14:textId="77777777" w:rsidTr="003465A1">
        <w:tc>
          <w:tcPr>
            <w:tcW w:w="9016" w:type="dxa"/>
          </w:tcPr>
          <w:p w14:paraId="08977299" w14:textId="77777777" w:rsidR="00252078" w:rsidRPr="002C66E5" w:rsidRDefault="00F3455D" w:rsidP="00A76033">
            <w:pPr>
              <w:jc w:val="center"/>
              <w:rPr>
                <w:rFonts w:ascii="Arial" w:hAnsi="Arial" w:cs="Arial"/>
                <w:bCs/>
              </w:rPr>
            </w:pPr>
            <w:r w:rsidRPr="002C66E5">
              <w:rPr>
                <w:rFonts w:ascii="Arial" w:hAnsi="Arial" w:cs="Arial"/>
                <w:noProof/>
              </w:rPr>
              <w:drawing>
                <wp:inline distT="0" distB="0" distL="0" distR="0" wp14:anchorId="3C40F515" wp14:editId="2306F6F4">
                  <wp:extent cx="3425483" cy="2815889"/>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391" t="3532" r="8325" b="8497"/>
                          <a:stretch/>
                        </pic:blipFill>
                        <pic:spPr bwMode="auto">
                          <a:xfrm>
                            <a:off x="0" y="0"/>
                            <a:ext cx="3443187" cy="28304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2078" w:rsidRPr="002C66E5" w14:paraId="02F509F5" w14:textId="77777777" w:rsidTr="003465A1">
        <w:tc>
          <w:tcPr>
            <w:tcW w:w="9016" w:type="dxa"/>
          </w:tcPr>
          <w:p w14:paraId="5EE49A01" w14:textId="77777777" w:rsidR="00252078" w:rsidRPr="002C66E5" w:rsidRDefault="00F3455D" w:rsidP="00366549">
            <w:pPr>
              <w:jc w:val="both"/>
              <w:rPr>
                <w:rFonts w:ascii="Arial" w:hAnsi="Arial" w:cs="Arial"/>
                <w:bCs/>
              </w:rPr>
            </w:pPr>
            <w:r w:rsidRPr="00073000">
              <w:rPr>
                <w:rFonts w:ascii="Arial" w:hAnsi="Arial" w:cs="Arial"/>
                <w:b/>
                <w:bCs/>
                <w:sz w:val="20"/>
              </w:rPr>
              <w:t>Fig.</w:t>
            </w:r>
            <w:r w:rsidR="00C73AAB" w:rsidRPr="00073000">
              <w:rPr>
                <w:rFonts w:ascii="Arial" w:hAnsi="Arial" w:cs="Arial"/>
                <w:b/>
                <w:bCs/>
                <w:sz w:val="20"/>
              </w:rPr>
              <w:t>4</w:t>
            </w:r>
            <w:r w:rsidRPr="00073000">
              <w:rPr>
                <w:rFonts w:ascii="Arial" w:hAnsi="Arial" w:cs="Arial"/>
                <w:bCs/>
                <w:sz w:val="20"/>
              </w:rPr>
              <w:t xml:space="preserve"> Pearson correlation matrix showing relationships between phytoplankton abundance and nutrient variables.</w:t>
            </w:r>
          </w:p>
        </w:tc>
      </w:tr>
    </w:tbl>
    <w:p w14:paraId="0D8BBD92" w14:textId="77777777" w:rsidR="00252078" w:rsidRPr="002C66E5" w:rsidRDefault="00252078" w:rsidP="00366549">
      <w:pPr>
        <w:jc w:val="both"/>
        <w:rPr>
          <w:rFonts w:ascii="Arial" w:hAnsi="Arial" w:cs="Arial"/>
          <w:bCs/>
        </w:rPr>
      </w:pPr>
    </w:p>
    <w:p w14:paraId="44F43B0B" w14:textId="77777777" w:rsidR="00366549" w:rsidRPr="00073000" w:rsidRDefault="00993144" w:rsidP="00366549">
      <w:pPr>
        <w:jc w:val="both"/>
        <w:rPr>
          <w:rFonts w:ascii="Arial" w:hAnsi="Arial" w:cs="Arial"/>
          <w:bCs/>
          <w:sz w:val="20"/>
        </w:rPr>
      </w:pPr>
      <w:r>
        <w:rPr>
          <w:rFonts w:ascii="Arial" w:hAnsi="Arial" w:cs="Arial"/>
          <w:bCs/>
          <w:sz w:val="20"/>
        </w:rPr>
        <w:tab/>
      </w:r>
      <w:r w:rsidR="00366549" w:rsidRPr="00073000">
        <w:rPr>
          <w:rFonts w:ascii="Arial" w:hAnsi="Arial" w:cs="Arial"/>
          <w:bCs/>
          <w:sz w:val="20"/>
        </w:rPr>
        <w:t xml:space="preserve">The positive relationship between nitrate concentration and phytoplankton abundance is </w:t>
      </w:r>
      <w:r w:rsidR="006B0365" w:rsidRPr="00073000">
        <w:rPr>
          <w:rFonts w:ascii="Arial" w:hAnsi="Arial" w:cs="Arial"/>
          <w:bCs/>
          <w:sz w:val="20"/>
        </w:rPr>
        <w:t>can be interpreted for</w:t>
      </w:r>
      <w:r w:rsidR="00366549" w:rsidRPr="00073000">
        <w:rPr>
          <w:rFonts w:ascii="Arial" w:hAnsi="Arial" w:cs="Arial"/>
          <w:bCs/>
          <w:sz w:val="20"/>
        </w:rPr>
        <w:t xml:space="preserve"> nitrate </w:t>
      </w:r>
      <w:r w:rsidR="006B0365" w:rsidRPr="00073000">
        <w:rPr>
          <w:rFonts w:ascii="Arial" w:hAnsi="Arial" w:cs="Arial"/>
          <w:bCs/>
          <w:sz w:val="20"/>
        </w:rPr>
        <w:t xml:space="preserve">which is </w:t>
      </w:r>
      <w:r w:rsidR="00366549" w:rsidRPr="00073000">
        <w:rPr>
          <w:rFonts w:ascii="Arial" w:hAnsi="Arial" w:cs="Arial"/>
          <w:bCs/>
          <w:sz w:val="20"/>
        </w:rPr>
        <w:t xml:space="preserve">the principal dissolved inorganic nitrogen source available for phytoplankton growth in coastal marine ecosystems. </w:t>
      </w:r>
      <w:r w:rsidR="00DA4008" w:rsidRPr="00073000">
        <w:rPr>
          <w:rFonts w:ascii="Arial" w:hAnsi="Arial" w:cs="Arial"/>
          <w:bCs/>
          <w:sz w:val="20"/>
        </w:rPr>
        <w:t>Global assessments have identified nitrogen as a primary regulator of phytoplankton productivity across large oceanic regions, with communities often experiencing nitrogen limitation or co-limitation under natural conditions (</w:t>
      </w:r>
      <w:r w:rsidR="00DA4008" w:rsidRPr="00073000">
        <w:rPr>
          <w:rFonts w:ascii="Arial" w:hAnsi="Arial" w:cs="Arial"/>
          <w:bCs/>
          <w:color w:val="0070C0"/>
          <w:sz w:val="20"/>
        </w:rPr>
        <w:t>Browning and Moore, 2023</w:t>
      </w:r>
      <w:r w:rsidR="00DA4008" w:rsidRPr="00073000">
        <w:rPr>
          <w:rFonts w:ascii="Arial" w:hAnsi="Arial" w:cs="Arial"/>
          <w:bCs/>
          <w:sz w:val="20"/>
        </w:rPr>
        <w:t xml:space="preserve">). Consistent with this, positive relationships between nitrate availability and phytoplankton biomass have </w:t>
      </w:r>
      <w:r w:rsidR="00DA4008" w:rsidRPr="00073000">
        <w:rPr>
          <w:rFonts w:ascii="Arial" w:hAnsi="Arial" w:cs="Arial"/>
          <w:bCs/>
          <w:sz w:val="20"/>
        </w:rPr>
        <w:lastRenderedPageBreak/>
        <w:t>been widely reported in nutrient-enriched coastal waters, where nitrogen availability plays a key role in regulating primary production and community structure (</w:t>
      </w:r>
      <w:proofErr w:type="spellStart"/>
      <w:r w:rsidR="00DA4008" w:rsidRPr="00073000">
        <w:rPr>
          <w:rFonts w:ascii="Arial" w:hAnsi="Arial" w:cs="Arial"/>
          <w:bCs/>
          <w:color w:val="0070C0"/>
          <w:sz w:val="20"/>
        </w:rPr>
        <w:t>Cloern</w:t>
      </w:r>
      <w:proofErr w:type="spellEnd"/>
      <w:r w:rsidR="00DA4008" w:rsidRPr="00073000">
        <w:rPr>
          <w:rFonts w:ascii="Arial" w:hAnsi="Arial" w:cs="Arial"/>
          <w:bCs/>
          <w:color w:val="0070C0"/>
          <w:sz w:val="20"/>
        </w:rPr>
        <w:t>, 2001; Howarth and Marino, 2006</w:t>
      </w:r>
      <w:r w:rsidR="00366549" w:rsidRPr="00073000">
        <w:rPr>
          <w:rFonts w:ascii="Arial" w:hAnsi="Arial" w:cs="Arial"/>
          <w:bCs/>
          <w:sz w:val="20"/>
        </w:rPr>
        <w:t>).</w:t>
      </w:r>
    </w:p>
    <w:p w14:paraId="6889FDE5" w14:textId="77777777" w:rsidR="00FD40AE" w:rsidRPr="00073000" w:rsidRDefault="0065444F" w:rsidP="00FD40AE">
      <w:pPr>
        <w:jc w:val="both"/>
        <w:rPr>
          <w:rFonts w:ascii="Arial" w:hAnsi="Arial" w:cs="Arial"/>
          <w:bCs/>
          <w:sz w:val="20"/>
        </w:rPr>
      </w:pPr>
      <w:r w:rsidRPr="00073000">
        <w:rPr>
          <w:rFonts w:ascii="Arial" w:hAnsi="Arial" w:cs="Arial"/>
          <w:bCs/>
          <w:sz w:val="20"/>
        </w:rPr>
        <w:tab/>
      </w:r>
      <w:r w:rsidR="00FD40AE" w:rsidRPr="00073000">
        <w:rPr>
          <w:rFonts w:ascii="Arial" w:hAnsi="Arial" w:cs="Arial"/>
          <w:bCs/>
          <w:sz w:val="20"/>
        </w:rPr>
        <w:t xml:space="preserve">Multiple linear regression analysis further highlighted the role of nitrate as a potential driver of phytoplankton abundance. The </w:t>
      </w:r>
      <w:r w:rsidR="00E12B73" w:rsidRPr="00073000">
        <w:rPr>
          <w:rFonts w:ascii="Arial" w:hAnsi="Arial" w:cs="Arial"/>
          <w:bCs/>
          <w:sz w:val="20"/>
        </w:rPr>
        <w:t xml:space="preserve">regression </w:t>
      </w:r>
      <w:r w:rsidR="00FD40AE" w:rsidRPr="00073000">
        <w:rPr>
          <w:rFonts w:ascii="Arial" w:hAnsi="Arial" w:cs="Arial"/>
          <w:bCs/>
          <w:sz w:val="20"/>
        </w:rPr>
        <w:t>model, incorporating nitrate and phosphate concentrations, explained 52.6% of the variation in phytoplankton abundance (R² = 0.526; adjusted R² = 0.336), indicating moderate explanatory capacity. However, the overall model was not statistically significant (F = 2.773, p = 0.155), likely reflecting the limited sample size and the inherent variability of open marine environments.</w:t>
      </w:r>
    </w:p>
    <w:p w14:paraId="10DE1F6C" w14:textId="77777777" w:rsidR="0095129F" w:rsidRPr="00073000" w:rsidRDefault="00FD40AE" w:rsidP="00366549">
      <w:pPr>
        <w:jc w:val="both"/>
        <w:rPr>
          <w:rFonts w:ascii="Arial" w:hAnsi="Arial" w:cs="Arial"/>
          <w:bCs/>
          <w:sz w:val="20"/>
        </w:rPr>
      </w:pPr>
      <w:r w:rsidRPr="00073000">
        <w:rPr>
          <w:rFonts w:ascii="Arial" w:hAnsi="Arial" w:cs="Arial"/>
          <w:bCs/>
          <w:sz w:val="20"/>
        </w:rPr>
        <w:tab/>
        <w:t>Within the model, nitrate showed a positive association with phytoplankton abundance (β = 14511, p = 0.068), whereas phosphate exhibited a negative but non-significant effect (β = −561993, p = 0.295). Although the nitrate coefficient was marginally non-significant, its positive trend suggests that increasing nitrate availability may promote phytoplankton growth. In contrast, the weak influence of phosphate indicates that phosphorus was unlikely to be a primary limiting nutrient during the study period. The absence of stronger statistical relationships may be attributed to hydrodynamic mixing and nutrient dilution, which enhance nutrient dispersion and can mask phytoplankton responses in well-flushed offshore aquaculture environments (</w:t>
      </w:r>
      <w:r w:rsidRPr="00073000">
        <w:rPr>
          <w:rFonts w:ascii="Arial" w:hAnsi="Arial" w:cs="Arial"/>
          <w:bCs/>
          <w:color w:val="0070C0"/>
          <w:sz w:val="20"/>
        </w:rPr>
        <w:t>Morro et al., 2022; NOAA Fisheries, 2024</w:t>
      </w:r>
      <w:r w:rsidRPr="00073000">
        <w:rPr>
          <w:rFonts w:ascii="Arial" w:hAnsi="Arial" w:cs="Arial"/>
          <w:bCs/>
          <w:sz w:val="20"/>
        </w:rPr>
        <w:t>).</w:t>
      </w:r>
    </w:p>
    <w:p w14:paraId="346834EC" w14:textId="77777777" w:rsidR="00366549" w:rsidRPr="00073000" w:rsidRDefault="00284F9F" w:rsidP="00366549">
      <w:pPr>
        <w:jc w:val="both"/>
        <w:rPr>
          <w:rFonts w:ascii="Arial" w:hAnsi="Arial" w:cs="Arial"/>
          <w:bCs/>
          <w:sz w:val="20"/>
        </w:rPr>
      </w:pPr>
      <w:r w:rsidRPr="00073000">
        <w:rPr>
          <w:rFonts w:ascii="Arial" w:hAnsi="Arial" w:cs="Arial"/>
          <w:bCs/>
          <w:sz w:val="20"/>
        </w:rPr>
        <w:tab/>
      </w:r>
      <w:r w:rsidR="00366549" w:rsidRPr="00073000">
        <w:rPr>
          <w:rFonts w:ascii="Arial" w:hAnsi="Arial" w:cs="Arial"/>
          <w:bCs/>
          <w:sz w:val="20"/>
        </w:rPr>
        <w:t xml:space="preserve">The observed relationship supports the conceptual pathway linking feed-derived nutrient inputs from lobster farming to localized enhancement of primary productivity. Nutrients released from uneaten feed, faecal matter, and metabolic excretion are mineralized into dissolved inorganic forms, particularly nitrate and ammonia, which subsequently become available for phytoplankton uptake. </w:t>
      </w:r>
      <w:proofErr w:type="spellStart"/>
      <w:r w:rsidR="003F74D5" w:rsidRPr="00073000">
        <w:rPr>
          <w:rFonts w:ascii="Arial" w:hAnsi="Arial" w:cs="Arial"/>
          <w:bCs/>
          <w:color w:val="0070C0"/>
          <w:sz w:val="20"/>
        </w:rPr>
        <w:t>Verdegem</w:t>
      </w:r>
      <w:proofErr w:type="spellEnd"/>
      <w:r w:rsidR="003F74D5" w:rsidRPr="00073000">
        <w:rPr>
          <w:rFonts w:ascii="Arial" w:hAnsi="Arial" w:cs="Arial"/>
          <w:bCs/>
          <w:color w:val="0070C0"/>
          <w:sz w:val="20"/>
        </w:rPr>
        <w:t xml:space="preserve"> (2013) </w:t>
      </w:r>
      <w:r w:rsidR="003F74D5" w:rsidRPr="00073000">
        <w:rPr>
          <w:rFonts w:ascii="Arial" w:hAnsi="Arial" w:cs="Arial"/>
          <w:bCs/>
          <w:sz w:val="20"/>
        </w:rPr>
        <w:t xml:space="preserve">emphasized that nutrient loading in aquaculture systems is primarily governed by feed inputs and nutrient retention efficiency, with cage-based production systems directly releasing a substantial proportion of feed-derived nitrogen and phosphorus into the surrounding aquatic environment. Consequently, nutrient enrichment associated with aquaculture activities can stimulate local primary production through increased availability of dissolved inorganic nutrients. </w:t>
      </w:r>
      <w:r w:rsidR="00366549" w:rsidRPr="00073000">
        <w:rPr>
          <w:rFonts w:ascii="Arial" w:hAnsi="Arial" w:cs="Arial"/>
          <w:bCs/>
          <w:sz w:val="20"/>
        </w:rPr>
        <w:t>Similar nutrient</w:t>
      </w:r>
      <w:r w:rsidR="00FB75E0" w:rsidRPr="00073000">
        <w:rPr>
          <w:rFonts w:ascii="Arial" w:hAnsi="Arial" w:cs="Arial"/>
          <w:bCs/>
          <w:sz w:val="20"/>
        </w:rPr>
        <w:t>-</w:t>
      </w:r>
      <w:r w:rsidR="00366549" w:rsidRPr="00073000">
        <w:rPr>
          <w:rFonts w:ascii="Arial" w:hAnsi="Arial" w:cs="Arial"/>
          <w:bCs/>
          <w:sz w:val="20"/>
        </w:rPr>
        <w:t>phytoplankton linkages have been documented in marine cage farming systems worldwide, where moderate nutrient enrichment often stimulates phytoplankton growth without necessarily causing eutrophication or harmful algal blooms (</w:t>
      </w:r>
      <w:r w:rsidR="00366549" w:rsidRPr="00073000">
        <w:rPr>
          <w:rFonts w:ascii="Arial" w:hAnsi="Arial" w:cs="Arial"/>
          <w:bCs/>
          <w:color w:val="0070C0"/>
          <w:sz w:val="20"/>
        </w:rPr>
        <w:t>Islam, 2005; Holmer et al., 2008</w:t>
      </w:r>
      <w:r w:rsidR="00366549" w:rsidRPr="00073000">
        <w:rPr>
          <w:rFonts w:ascii="Arial" w:hAnsi="Arial" w:cs="Arial"/>
          <w:bCs/>
          <w:sz w:val="20"/>
        </w:rPr>
        <w:t>).</w:t>
      </w:r>
    </w:p>
    <w:p w14:paraId="1CC30E8A" w14:textId="77777777" w:rsidR="00694715" w:rsidRPr="00694715" w:rsidRDefault="00694715" w:rsidP="00694715">
      <w:pPr>
        <w:jc w:val="both"/>
        <w:rPr>
          <w:rFonts w:ascii="Arial" w:hAnsi="Arial" w:cs="Arial"/>
          <w:b/>
          <w:bCs/>
        </w:rPr>
      </w:pPr>
      <w:r w:rsidRPr="00694715">
        <w:rPr>
          <w:rFonts w:ascii="Arial" w:hAnsi="Arial" w:cs="Arial"/>
          <w:b/>
          <w:bCs/>
        </w:rPr>
        <w:t>3.4 Implications for Sustainable Offshore Lobster Mariculture</w:t>
      </w:r>
    </w:p>
    <w:bookmarkEnd w:id="0"/>
    <w:p w14:paraId="02117E95" w14:textId="77777777" w:rsidR="006B79DF" w:rsidRPr="00073000" w:rsidRDefault="006B79DF" w:rsidP="006B79DF">
      <w:pPr>
        <w:jc w:val="both"/>
        <w:rPr>
          <w:rFonts w:ascii="Arial" w:hAnsi="Arial" w:cs="Arial"/>
          <w:bCs/>
          <w:sz w:val="20"/>
        </w:rPr>
      </w:pPr>
      <w:r>
        <w:rPr>
          <w:rFonts w:ascii="Arial" w:hAnsi="Arial" w:cs="Arial"/>
          <w:b/>
          <w:bCs/>
        </w:rPr>
        <w:tab/>
      </w:r>
      <w:r w:rsidRPr="00073000">
        <w:rPr>
          <w:rFonts w:ascii="Arial" w:hAnsi="Arial" w:cs="Arial"/>
          <w:bCs/>
          <w:sz w:val="20"/>
        </w:rPr>
        <w:t>The present study highlights the importance of understanding nutrient pathways and ecosystem responses in assessing the environmental sustainability of offshore mariculture systems. Although nutrient release is an unavoidable component of cage-based aquaculture, its ecological significance depends largely on the capacity of the receiving environment to assimilate and process these inputs. The offshore farming conditions observed in this study indicate that hydrodynamic exchange and natural ecosystem processes can effectively moderate the environmental footprint of lobster cage farming under the current production scale.</w:t>
      </w:r>
    </w:p>
    <w:p w14:paraId="7431C150" w14:textId="77777777" w:rsidR="006B79DF" w:rsidRPr="00073000" w:rsidRDefault="006B79DF" w:rsidP="006B79DF">
      <w:pPr>
        <w:jc w:val="both"/>
        <w:rPr>
          <w:rFonts w:ascii="Arial" w:hAnsi="Arial" w:cs="Arial"/>
          <w:bCs/>
          <w:sz w:val="20"/>
        </w:rPr>
      </w:pPr>
      <w:r w:rsidRPr="00073000">
        <w:rPr>
          <w:rFonts w:ascii="Arial" w:hAnsi="Arial" w:cs="Arial"/>
          <w:bCs/>
          <w:sz w:val="20"/>
        </w:rPr>
        <w:tab/>
        <w:t>These observations support the ecosystem-based approach to mariculture development advocated for Indian coastal waters, where site suitability, environmental carrying capacity, and adaptive management are considered fundamental to sustainable expansion. Previous studies have emphasized the integration of oceanographic, environmental, and operational criteria in mariculture planning to ensure environmentally responsible utilization of offshore resources (</w:t>
      </w:r>
      <w:proofErr w:type="spellStart"/>
      <w:r w:rsidRPr="00073000">
        <w:rPr>
          <w:rFonts w:ascii="Arial" w:hAnsi="Arial" w:cs="Arial"/>
          <w:bCs/>
          <w:color w:val="0070C0"/>
          <w:sz w:val="20"/>
        </w:rPr>
        <w:t>Divu</w:t>
      </w:r>
      <w:proofErr w:type="spellEnd"/>
      <w:r w:rsidRPr="00073000">
        <w:rPr>
          <w:rFonts w:ascii="Arial" w:hAnsi="Arial" w:cs="Arial"/>
          <w:bCs/>
          <w:color w:val="0070C0"/>
          <w:sz w:val="20"/>
        </w:rPr>
        <w:t xml:space="preserve"> et al., 2021</w:t>
      </w:r>
      <w:r w:rsidRPr="00073000">
        <w:rPr>
          <w:rFonts w:ascii="Arial" w:hAnsi="Arial" w:cs="Arial"/>
          <w:bCs/>
          <w:sz w:val="20"/>
        </w:rPr>
        <w:t>). Similarly, technological advancements in lobster farming systems have demonstrated that improved culture practices and resource-use efficiency can enhance both production performance and sustainability outcomes (</w:t>
      </w:r>
      <w:proofErr w:type="spellStart"/>
      <w:r w:rsidRPr="00073000">
        <w:rPr>
          <w:rFonts w:ascii="Arial" w:hAnsi="Arial" w:cs="Arial"/>
          <w:bCs/>
          <w:color w:val="0070C0"/>
          <w:sz w:val="20"/>
        </w:rPr>
        <w:t>Divu</w:t>
      </w:r>
      <w:proofErr w:type="spellEnd"/>
      <w:r w:rsidRPr="00073000">
        <w:rPr>
          <w:rFonts w:ascii="Arial" w:hAnsi="Arial" w:cs="Arial"/>
          <w:bCs/>
          <w:color w:val="0070C0"/>
          <w:sz w:val="20"/>
        </w:rPr>
        <w:t xml:space="preserve"> et al., 2023</w:t>
      </w:r>
      <w:r w:rsidRPr="00073000">
        <w:rPr>
          <w:rFonts w:ascii="Arial" w:hAnsi="Arial" w:cs="Arial"/>
          <w:bCs/>
          <w:sz w:val="20"/>
        </w:rPr>
        <w:t>).</w:t>
      </w:r>
    </w:p>
    <w:p w14:paraId="33D21A31" w14:textId="77777777" w:rsidR="006B79DF" w:rsidRPr="00073000" w:rsidRDefault="00894DBC" w:rsidP="006B79DF">
      <w:pPr>
        <w:jc w:val="both"/>
        <w:rPr>
          <w:rFonts w:ascii="Arial" w:hAnsi="Arial" w:cs="Arial"/>
          <w:bCs/>
          <w:sz w:val="20"/>
        </w:rPr>
      </w:pPr>
      <w:r w:rsidRPr="00073000">
        <w:rPr>
          <w:rFonts w:ascii="Arial" w:hAnsi="Arial" w:cs="Arial"/>
          <w:bCs/>
          <w:sz w:val="20"/>
        </w:rPr>
        <w:tab/>
      </w:r>
      <w:r w:rsidR="006B79DF" w:rsidRPr="00073000">
        <w:rPr>
          <w:rFonts w:ascii="Arial" w:hAnsi="Arial" w:cs="Arial"/>
          <w:bCs/>
          <w:sz w:val="20"/>
        </w:rPr>
        <w:t xml:space="preserve">From an ecological perspective, the results suggest that nutrients released from lobster farming can become incorporated into natural biogeochemical processes rather than accumulating as persistent pollutants. The observed phytoplankton responses indicate that feed-derived nutrient inputs contributed to localized nutrient recycling and primary productivity without causing signs of ecological imbalance. </w:t>
      </w:r>
      <w:r w:rsidR="006B79DF" w:rsidRPr="00073000">
        <w:rPr>
          <w:rFonts w:ascii="Arial" w:hAnsi="Arial" w:cs="Arial"/>
          <w:bCs/>
          <w:sz w:val="20"/>
        </w:rPr>
        <w:lastRenderedPageBreak/>
        <w:t>Such responses are characteristic of well-flushed offshore environments, where biological uptake and physical dispersion collectively regulate nutrient availability and reduce the risk of eutrophication.</w:t>
      </w:r>
    </w:p>
    <w:p w14:paraId="1E43AB96" w14:textId="77777777" w:rsidR="006B79DF" w:rsidRPr="00073000" w:rsidRDefault="00894DBC" w:rsidP="006B79DF">
      <w:pPr>
        <w:jc w:val="both"/>
        <w:rPr>
          <w:rFonts w:ascii="Arial" w:hAnsi="Arial" w:cs="Arial"/>
          <w:bCs/>
          <w:sz w:val="20"/>
        </w:rPr>
      </w:pPr>
      <w:r w:rsidRPr="00073000">
        <w:rPr>
          <w:rFonts w:ascii="Arial" w:hAnsi="Arial" w:cs="Arial"/>
          <w:bCs/>
          <w:sz w:val="20"/>
        </w:rPr>
        <w:tab/>
      </w:r>
      <w:r w:rsidR="006B79DF" w:rsidRPr="00073000">
        <w:rPr>
          <w:rFonts w:ascii="Arial" w:hAnsi="Arial" w:cs="Arial"/>
          <w:bCs/>
          <w:sz w:val="20"/>
        </w:rPr>
        <w:t>Despite the apparent assimilative capacity of the farming environment, the high proportion of nutrients lost from feed underscores the need to improve nutrient-use efficiency within lobster production systems. Enhanced feeding strategies, improved feed conversion performance, and the development of nutritionally balanced formulated feeds could substantially reduce nutrient wastage. In addition, emerging approaches such as Integrated Multi-Trophic Aquaculture (IMTA), involving nutrient-extractive species such as seaweeds and filter-feeding bivalves, offer promising opportunities to recover excess nutrients and further improve environmental performance.</w:t>
      </w:r>
    </w:p>
    <w:p w14:paraId="251A4E8B" w14:textId="77777777" w:rsidR="00190E57" w:rsidRPr="00073000" w:rsidRDefault="00894DBC" w:rsidP="00CF5F73">
      <w:pPr>
        <w:jc w:val="both"/>
        <w:rPr>
          <w:rFonts w:ascii="Arial" w:hAnsi="Arial" w:cs="Arial"/>
          <w:bCs/>
          <w:sz w:val="20"/>
        </w:rPr>
      </w:pPr>
      <w:r w:rsidRPr="00073000">
        <w:rPr>
          <w:rFonts w:ascii="Arial" w:hAnsi="Arial" w:cs="Arial"/>
          <w:bCs/>
          <w:sz w:val="20"/>
        </w:rPr>
        <w:tab/>
        <w:t>T</w:t>
      </w:r>
      <w:r w:rsidR="006B79DF" w:rsidRPr="00073000">
        <w:rPr>
          <w:rFonts w:ascii="Arial" w:hAnsi="Arial" w:cs="Arial"/>
          <w:bCs/>
          <w:sz w:val="20"/>
        </w:rPr>
        <w:t xml:space="preserve">he findings indicate that open-sea culture of </w:t>
      </w:r>
      <w:proofErr w:type="spellStart"/>
      <w:r w:rsidR="006B79DF" w:rsidRPr="00073000">
        <w:rPr>
          <w:rFonts w:ascii="Arial" w:hAnsi="Arial" w:cs="Arial"/>
          <w:bCs/>
          <w:i/>
          <w:iCs/>
          <w:sz w:val="20"/>
        </w:rPr>
        <w:t>Panulirus</w:t>
      </w:r>
      <w:proofErr w:type="spellEnd"/>
      <w:r w:rsidR="006B79DF" w:rsidRPr="00073000">
        <w:rPr>
          <w:rFonts w:ascii="Arial" w:hAnsi="Arial" w:cs="Arial"/>
          <w:bCs/>
          <w:i/>
          <w:iCs/>
          <w:sz w:val="20"/>
        </w:rPr>
        <w:t xml:space="preserve"> </w:t>
      </w:r>
      <w:proofErr w:type="spellStart"/>
      <w:r w:rsidR="006B79DF" w:rsidRPr="00073000">
        <w:rPr>
          <w:rFonts w:ascii="Arial" w:hAnsi="Arial" w:cs="Arial"/>
          <w:bCs/>
          <w:i/>
          <w:iCs/>
          <w:sz w:val="20"/>
        </w:rPr>
        <w:t>polyphagus</w:t>
      </w:r>
      <w:proofErr w:type="spellEnd"/>
      <w:r w:rsidR="006B79DF" w:rsidRPr="00073000">
        <w:rPr>
          <w:rFonts w:ascii="Arial" w:hAnsi="Arial" w:cs="Arial"/>
          <w:bCs/>
          <w:sz w:val="20"/>
        </w:rPr>
        <w:t xml:space="preserve"> can be undertaken in an environmentally sustainable manner when supported by suitable site selection, effective farm management, and regular environmental monitoring. As offshore mariculture continues to expand in India, the integration of ecosystem-based planning, technological improvements, and nutrient mitigation strategies will be essential to ensure that production remains within the ecological carrying capacity of coastal ecosystems while supporting long-term sectoral growth and sustainable blue economy objectives.</w:t>
      </w:r>
    </w:p>
    <w:p w14:paraId="7D43F50C" w14:textId="77777777" w:rsidR="00A02599" w:rsidRPr="00A02599" w:rsidRDefault="00073000" w:rsidP="00A02599">
      <w:pPr>
        <w:jc w:val="both"/>
        <w:rPr>
          <w:rFonts w:ascii="Arial" w:hAnsi="Arial" w:cs="Arial"/>
          <w:b/>
          <w:bCs/>
        </w:rPr>
      </w:pPr>
      <w:r w:rsidRPr="00A02599">
        <w:rPr>
          <w:rFonts w:ascii="Arial" w:hAnsi="Arial" w:cs="Arial"/>
          <w:b/>
          <w:bCs/>
        </w:rPr>
        <w:t>CONCLUSION</w:t>
      </w:r>
    </w:p>
    <w:p w14:paraId="331CC34C" w14:textId="77777777" w:rsidR="00A02599" w:rsidRDefault="00A02599" w:rsidP="00A02599">
      <w:pPr>
        <w:jc w:val="both"/>
        <w:rPr>
          <w:rFonts w:ascii="Arial" w:hAnsi="Arial" w:cs="Arial"/>
          <w:bCs/>
          <w:sz w:val="20"/>
        </w:rPr>
      </w:pPr>
      <w:r>
        <w:rPr>
          <w:rFonts w:ascii="Arial" w:hAnsi="Arial" w:cs="Arial"/>
          <w:bCs/>
        </w:rPr>
        <w:tab/>
      </w:r>
      <w:r w:rsidRPr="00073000">
        <w:rPr>
          <w:rFonts w:ascii="Arial" w:hAnsi="Arial" w:cs="Arial"/>
          <w:bCs/>
          <w:sz w:val="20"/>
        </w:rPr>
        <w:t>This study quantified nutrient loading associated with open-sea cage culture of the mud spiny lobster (</w:t>
      </w:r>
      <w:proofErr w:type="spellStart"/>
      <w:r w:rsidRPr="00073000">
        <w:rPr>
          <w:rFonts w:ascii="Arial" w:hAnsi="Arial" w:cs="Arial"/>
          <w:bCs/>
          <w:i/>
          <w:iCs/>
          <w:sz w:val="20"/>
        </w:rPr>
        <w:t>Panulirus</w:t>
      </w:r>
      <w:proofErr w:type="spellEnd"/>
      <w:r w:rsidRPr="00073000">
        <w:rPr>
          <w:rFonts w:ascii="Arial" w:hAnsi="Arial" w:cs="Arial"/>
          <w:bCs/>
          <w:i/>
          <w:iCs/>
          <w:sz w:val="20"/>
        </w:rPr>
        <w:t xml:space="preserve"> </w:t>
      </w:r>
      <w:proofErr w:type="spellStart"/>
      <w:r w:rsidRPr="00073000">
        <w:rPr>
          <w:rFonts w:ascii="Arial" w:hAnsi="Arial" w:cs="Arial"/>
          <w:bCs/>
          <w:i/>
          <w:iCs/>
          <w:sz w:val="20"/>
        </w:rPr>
        <w:t>polyphagus</w:t>
      </w:r>
      <w:proofErr w:type="spellEnd"/>
      <w:r w:rsidRPr="00073000">
        <w:rPr>
          <w:rFonts w:ascii="Arial" w:hAnsi="Arial" w:cs="Arial"/>
          <w:bCs/>
          <w:sz w:val="20"/>
        </w:rPr>
        <w:t>) and evaluated its influence on phytoplankton dynamics in the northeastern Arabian Sea. Nutrient budget analysis revealed that a large proportion of feed-derived nutrients was released into the surrounding environment, with approximately 88.9% of nitrogen and 89.3% of phosphorus inputs discharged from the farming system. Nitrogen losses were particularly high, reflecting the low nutrient-use efficiency associated with trash fish-based feeding practices. Despite these substantial nutrient releases, no evidence of eutrophication, harmful algal blooms, or ecological degradation was observed during the culture period. Phytoplankton communities remained dominated by diatoms, and phytoplankton abundance stayed within the range typical of productive coastal waters. Nitrate showed the strongest positive relationship with phytoplankton abundance, indicating that nitrogen availability may contribute to localized enhancement of primary productivity. However, the absence of statistically significant nutrient–phytoplankton relationships suggests that hydrodynamic flushing, dilution, and natural biological uptake processes effectively regulated nutrient concentrations in the offshore farming environment. The findings demonstrate that, under the current production scale and environmental conditions, the receiving ecosystem possesses sufficient assimilative capacity to accommodate nutrient inputs from lobster cage farming. Nevertheless, the high proportion of nutrients lost from feed highlights the need for improved feeding strategies, better feed conversion efficiency, and the adoption of nutrient mitigation approaches such as formulated feeds and integrated multi-trophic aquaculture. Continued environmental monitoring and ecosystem-based management will be essential to support the sustainable expansion of offshore lobster mariculture in India.</w:t>
      </w:r>
    </w:p>
    <w:p w14:paraId="47DB4392" w14:textId="77777777" w:rsidR="00CE64D6" w:rsidRDefault="00CE64D6" w:rsidP="00A02599">
      <w:pPr>
        <w:jc w:val="both"/>
        <w:rPr>
          <w:rFonts w:ascii="Arial" w:hAnsi="Arial" w:cs="Arial"/>
          <w:bCs/>
          <w:sz w:val="20"/>
        </w:rPr>
      </w:pPr>
    </w:p>
    <w:p w14:paraId="6D50D3F9" w14:textId="77777777" w:rsidR="00CE64D6" w:rsidRPr="00CE64D6" w:rsidRDefault="00CE64D6" w:rsidP="00CE64D6">
      <w:pPr>
        <w:spacing w:after="0" w:line="240" w:lineRule="auto"/>
        <w:rPr>
          <w:rFonts w:ascii="Times New Roman" w:eastAsia="Calibri" w:hAnsi="Times New Roman" w:cs="Times New Roman"/>
          <w:b/>
          <w:lang w:val="en-US"/>
        </w:rPr>
      </w:pPr>
      <w:r w:rsidRPr="00CE64D6">
        <w:rPr>
          <w:rFonts w:ascii="Times New Roman" w:eastAsia="Calibri" w:hAnsi="Times New Roman" w:cs="Times New Roman"/>
          <w:b/>
          <w:lang w:val="en-US"/>
        </w:rPr>
        <w:t>Declaration of AI Use</w:t>
      </w:r>
    </w:p>
    <w:p w14:paraId="50E0E7C6" w14:textId="77777777" w:rsidR="00CE64D6" w:rsidRPr="00CE64D6" w:rsidRDefault="00CE64D6" w:rsidP="00CE64D6">
      <w:pPr>
        <w:spacing w:after="0" w:line="240" w:lineRule="auto"/>
        <w:rPr>
          <w:rFonts w:ascii="Times New Roman" w:eastAsia="Calibri" w:hAnsi="Times New Roman" w:cs="Times New Roman"/>
          <w:lang w:val="en-US"/>
        </w:rPr>
      </w:pPr>
    </w:p>
    <w:p w14:paraId="5F287B8F" w14:textId="77777777" w:rsidR="00CE64D6" w:rsidRPr="00CE64D6" w:rsidRDefault="00CE64D6" w:rsidP="00CE64D6">
      <w:pPr>
        <w:spacing w:after="0" w:line="240" w:lineRule="auto"/>
        <w:jc w:val="both"/>
        <w:rPr>
          <w:rFonts w:ascii="Times New Roman" w:eastAsia="Calibri" w:hAnsi="Times New Roman" w:cs="Times New Roman"/>
          <w:lang w:val="en-US"/>
        </w:rPr>
      </w:pPr>
      <w:r w:rsidRPr="00CE64D6">
        <w:rPr>
          <w:rFonts w:ascii="Times New Roman" w:eastAsia="Calibri" w:hAnsi="Times New Roman" w:cs="Times New Roman"/>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50FAD0A" w14:textId="77777777" w:rsidR="00CE64D6" w:rsidRPr="00073000" w:rsidRDefault="00CE64D6" w:rsidP="00A02599">
      <w:pPr>
        <w:jc w:val="both"/>
        <w:rPr>
          <w:rFonts w:ascii="Arial" w:hAnsi="Arial" w:cs="Arial"/>
          <w:bCs/>
          <w:sz w:val="20"/>
        </w:rPr>
      </w:pPr>
    </w:p>
    <w:p w14:paraId="48F0B7A7" w14:textId="77777777" w:rsidR="005B7EFC" w:rsidRPr="005B7EFC" w:rsidRDefault="00E312E3" w:rsidP="005B7EFC">
      <w:pPr>
        <w:jc w:val="both"/>
        <w:rPr>
          <w:rFonts w:ascii="Arial" w:hAnsi="Arial" w:cs="Arial"/>
          <w:bCs/>
        </w:rPr>
      </w:pPr>
      <w:r w:rsidRPr="005B7EFC">
        <w:rPr>
          <w:rFonts w:ascii="Arial" w:hAnsi="Arial" w:cs="Arial"/>
          <w:b/>
          <w:bCs/>
        </w:rPr>
        <w:t>ETHICAL APPROVAL</w:t>
      </w:r>
    </w:p>
    <w:p w14:paraId="55C26C5D" w14:textId="77777777" w:rsidR="005B7EFC" w:rsidRPr="00E312E3" w:rsidRDefault="005B7EFC" w:rsidP="005B7EFC">
      <w:pPr>
        <w:jc w:val="both"/>
        <w:rPr>
          <w:rFonts w:ascii="Arial" w:hAnsi="Arial" w:cs="Arial"/>
          <w:bCs/>
          <w:sz w:val="20"/>
        </w:rPr>
      </w:pPr>
      <w:r w:rsidRPr="00E312E3">
        <w:rPr>
          <w:rFonts w:ascii="Arial" w:hAnsi="Arial" w:cs="Arial"/>
          <w:bCs/>
          <w:sz w:val="20"/>
        </w:rPr>
        <w:t>This study was conducted under the mariculture research programme of ICAR–Central Marine Fisheries Research Institute (ICAR-CMFRI), India. The work involved routine open-sea cage farming and environmental monitoring, including nutrient and phytoplankton assessments. No invasive procedures or experimental manipulation of animals were undertaken; therefore, specific ethical committee approval was not required.</w:t>
      </w:r>
    </w:p>
    <w:p w14:paraId="1EC41ECD" w14:textId="77777777" w:rsidR="00927837" w:rsidRPr="00927837" w:rsidRDefault="00E312E3" w:rsidP="00927837">
      <w:pPr>
        <w:jc w:val="both"/>
        <w:rPr>
          <w:rFonts w:ascii="Arial" w:hAnsi="Arial" w:cs="Arial"/>
          <w:b/>
          <w:bCs/>
        </w:rPr>
      </w:pPr>
      <w:r w:rsidRPr="00927837">
        <w:rPr>
          <w:rFonts w:ascii="Arial" w:hAnsi="Arial" w:cs="Arial"/>
          <w:b/>
          <w:bCs/>
        </w:rPr>
        <w:t xml:space="preserve">DECLARATION OF COMPETING INTEREST </w:t>
      </w:r>
    </w:p>
    <w:p w14:paraId="64DE7157" w14:textId="77777777" w:rsidR="00927837" w:rsidRPr="00E312E3" w:rsidRDefault="00927837" w:rsidP="00927837">
      <w:pPr>
        <w:jc w:val="both"/>
        <w:rPr>
          <w:rFonts w:ascii="Arial" w:hAnsi="Arial" w:cs="Arial"/>
          <w:bCs/>
          <w:sz w:val="20"/>
        </w:rPr>
      </w:pPr>
      <w:r w:rsidRPr="00E312E3">
        <w:rPr>
          <w:rFonts w:ascii="Arial" w:hAnsi="Arial" w:cs="Arial"/>
          <w:bCs/>
          <w:sz w:val="20"/>
        </w:rPr>
        <w:t>The authors declare that they have no known competing financial interests or personal relationships that could have appeared to influence the work reported in this paper.</w:t>
      </w:r>
    </w:p>
    <w:p w14:paraId="44AF12C3" w14:textId="77777777" w:rsidR="00927837" w:rsidRPr="00927837" w:rsidRDefault="00E312E3" w:rsidP="00927837">
      <w:pPr>
        <w:jc w:val="both"/>
        <w:rPr>
          <w:rFonts w:ascii="Arial" w:hAnsi="Arial" w:cs="Arial"/>
          <w:b/>
          <w:bCs/>
        </w:rPr>
      </w:pPr>
      <w:r w:rsidRPr="00927837">
        <w:rPr>
          <w:rFonts w:ascii="Arial" w:hAnsi="Arial" w:cs="Arial"/>
          <w:b/>
          <w:bCs/>
        </w:rPr>
        <w:t>DATA AVAILABILITY STATEMENT</w:t>
      </w:r>
    </w:p>
    <w:p w14:paraId="0B6F9BDC" w14:textId="77777777" w:rsidR="00927837" w:rsidRPr="00E312E3" w:rsidRDefault="00927837" w:rsidP="00927837">
      <w:pPr>
        <w:jc w:val="both"/>
        <w:rPr>
          <w:rFonts w:ascii="Arial" w:hAnsi="Arial" w:cs="Arial"/>
          <w:bCs/>
          <w:sz w:val="20"/>
        </w:rPr>
      </w:pPr>
      <w:r w:rsidRPr="00E312E3">
        <w:rPr>
          <w:rFonts w:ascii="Arial" w:hAnsi="Arial" w:cs="Arial"/>
          <w:bCs/>
          <w:sz w:val="20"/>
        </w:rPr>
        <w:t>Data will be made available on reasonable request and further subjected to Council’s data sharing policy.</w:t>
      </w:r>
    </w:p>
    <w:p w14:paraId="53BAF24E" w14:textId="77777777" w:rsidR="00927837" w:rsidRPr="00927837" w:rsidRDefault="00E312E3" w:rsidP="00927837">
      <w:pPr>
        <w:jc w:val="both"/>
        <w:rPr>
          <w:rFonts w:ascii="Arial" w:hAnsi="Arial" w:cs="Arial"/>
          <w:b/>
          <w:bCs/>
        </w:rPr>
      </w:pPr>
      <w:r w:rsidRPr="00927837">
        <w:rPr>
          <w:rFonts w:ascii="Arial" w:hAnsi="Arial" w:cs="Arial"/>
          <w:b/>
          <w:bCs/>
          <w:iCs/>
        </w:rPr>
        <w:t>DECLARATION OF GENERATIVE AI AND AI-ASSISTED TECHNOLOGIES IN THE MANUSCRIPT PREPARATION PROCESS.</w:t>
      </w:r>
    </w:p>
    <w:p w14:paraId="45EE7AB2" w14:textId="77777777" w:rsidR="00927837" w:rsidRDefault="00927837" w:rsidP="005B7EFC">
      <w:pPr>
        <w:jc w:val="both"/>
        <w:rPr>
          <w:rFonts w:ascii="Arial" w:hAnsi="Arial" w:cs="Arial"/>
          <w:bCs/>
          <w:sz w:val="20"/>
        </w:rPr>
      </w:pPr>
      <w:r w:rsidRPr="00E312E3">
        <w:rPr>
          <w:rFonts w:ascii="Arial" w:hAnsi="Arial" w:cs="Arial"/>
          <w:bCs/>
          <w:sz w:val="20"/>
        </w:rPr>
        <w:t>During the preparation of this work the author(s) used AI-assisted technologies in order to improve readability and language of the manuscript during writing process. After using this tool/service, the author(s) reviewed and edited the content as needed and take(s) full responsibility for the content of the published article.</w:t>
      </w:r>
    </w:p>
    <w:p w14:paraId="4BA7B579" w14:textId="77777777" w:rsidR="009302E1" w:rsidRDefault="009302E1" w:rsidP="005B7EFC">
      <w:pPr>
        <w:jc w:val="both"/>
        <w:rPr>
          <w:rFonts w:ascii="Arial" w:hAnsi="Arial" w:cs="Arial"/>
          <w:bCs/>
          <w:sz w:val="20"/>
        </w:rPr>
      </w:pPr>
    </w:p>
    <w:p w14:paraId="5294DD6B" w14:textId="77777777" w:rsidR="009302E1" w:rsidRDefault="009302E1" w:rsidP="005B7EFC">
      <w:pPr>
        <w:jc w:val="both"/>
        <w:rPr>
          <w:rFonts w:ascii="Arial" w:hAnsi="Arial" w:cs="Arial"/>
          <w:bCs/>
          <w:sz w:val="20"/>
        </w:rPr>
      </w:pPr>
    </w:p>
    <w:p w14:paraId="5DB5C860" w14:textId="77777777" w:rsidR="009302E1" w:rsidRDefault="009302E1" w:rsidP="005B7EFC">
      <w:pPr>
        <w:jc w:val="both"/>
        <w:rPr>
          <w:rFonts w:ascii="Arial" w:hAnsi="Arial" w:cs="Arial"/>
          <w:bCs/>
          <w:sz w:val="20"/>
        </w:rPr>
      </w:pPr>
    </w:p>
    <w:p w14:paraId="0C983F63" w14:textId="77777777" w:rsidR="006B76B5" w:rsidRDefault="006B76B5" w:rsidP="009302E1">
      <w:pPr>
        <w:jc w:val="both"/>
        <w:rPr>
          <w:rFonts w:ascii="Arial" w:hAnsi="Arial" w:cs="Arial"/>
          <w:bCs/>
          <w:sz w:val="20"/>
        </w:rPr>
      </w:pPr>
    </w:p>
    <w:p w14:paraId="7EBDDADF" w14:textId="3D9EB526" w:rsidR="009302E1" w:rsidRPr="009302E1" w:rsidRDefault="009302E1" w:rsidP="009302E1">
      <w:pPr>
        <w:jc w:val="both"/>
        <w:rPr>
          <w:rFonts w:ascii="Arial" w:hAnsi="Arial" w:cs="Arial"/>
          <w:bCs/>
          <w:sz w:val="20"/>
        </w:rPr>
      </w:pPr>
      <w:r w:rsidRPr="009302E1">
        <w:rPr>
          <w:rFonts w:ascii="Arial" w:hAnsi="Arial" w:cs="Arial"/>
          <w:bCs/>
          <w:sz w:val="20"/>
        </w:rPr>
        <w:t>COMPETING INTERESTS DISCLAIMER:</w:t>
      </w:r>
    </w:p>
    <w:p w14:paraId="02C6AA95" w14:textId="3026EC21" w:rsidR="009302E1" w:rsidRPr="00E312E3" w:rsidRDefault="009302E1" w:rsidP="009302E1">
      <w:pPr>
        <w:jc w:val="both"/>
        <w:rPr>
          <w:rFonts w:ascii="Arial" w:hAnsi="Arial" w:cs="Arial"/>
          <w:bCs/>
          <w:sz w:val="20"/>
        </w:rPr>
      </w:pPr>
      <w:r w:rsidRPr="009302E1">
        <w:rPr>
          <w:rFonts w:ascii="Arial" w:hAnsi="Arial" w:cs="Arial"/>
          <w:bCs/>
          <w:sz w:val="20"/>
        </w:rPr>
        <w:t>Authors have declared that they have no known competing financial interests OR non-financial interests OR personal relationships that could have appeared to influence the work reported in this paper.</w:t>
      </w:r>
      <w:r>
        <w:rPr>
          <w:rFonts w:ascii="Arial" w:hAnsi="Arial" w:cs="Arial"/>
          <w:bCs/>
          <w:sz w:val="20"/>
        </w:rPr>
        <w:t xml:space="preserve"> </w:t>
      </w:r>
    </w:p>
    <w:p w14:paraId="68E5C8C4" w14:textId="77777777" w:rsidR="008A6955" w:rsidRPr="002C66E5" w:rsidRDefault="00E312E3" w:rsidP="00CF5F73">
      <w:pPr>
        <w:jc w:val="both"/>
        <w:rPr>
          <w:rFonts w:ascii="Arial" w:hAnsi="Arial" w:cs="Arial"/>
          <w:b/>
          <w:bCs/>
        </w:rPr>
      </w:pPr>
      <w:r w:rsidRPr="002C66E5">
        <w:rPr>
          <w:rFonts w:ascii="Arial" w:hAnsi="Arial" w:cs="Arial"/>
          <w:b/>
          <w:bCs/>
        </w:rPr>
        <w:t>REFERENCES:</w:t>
      </w:r>
    </w:p>
    <w:p w14:paraId="5253F9B1"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Asir, U. and </w:t>
      </w:r>
      <w:proofErr w:type="spellStart"/>
      <w:r w:rsidRPr="00E312E3">
        <w:rPr>
          <w:rFonts w:ascii="Arial" w:hAnsi="Arial" w:cs="Arial"/>
          <w:bCs/>
          <w:sz w:val="20"/>
        </w:rPr>
        <w:t>Pulatsue</w:t>
      </w:r>
      <w:proofErr w:type="spellEnd"/>
      <w:r w:rsidRPr="00E312E3">
        <w:rPr>
          <w:rFonts w:ascii="Arial" w:hAnsi="Arial" w:cs="Arial"/>
          <w:bCs/>
          <w:sz w:val="20"/>
        </w:rPr>
        <w:t>, S. (2008) 'Estimation of the nitrogen-phosphorus load caused by rainbow trout (</w:t>
      </w:r>
      <w:r w:rsidRPr="00E312E3">
        <w:rPr>
          <w:rFonts w:ascii="Arial" w:hAnsi="Arial" w:cs="Arial"/>
          <w:bCs/>
          <w:i/>
          <w:iCs/>
          <w:sz w:val="20"/>
        </w:rPr>
        <w:t>Oncorhynchus mykiss</w:t>
      </w:r>
      <w:r w:rsidRPr="00E312E3">
        <w:rPr>
          <w:rFonts w:ascii="Arial" w:hAnsi="Arial" w:cs="Arial"/>
          <w:bCs/>
          <w:sz w:val="20"/>
        </w:rPr>
        <w:t xml:space="preserve"> Walbaum, 1792) cage-culture farms in </w:t>
      </w:r>
      <w:proofErr w:type="spellStart"/>
      <w:r w:rsidRPr="00E312E3">
        <w:rPr>
          <w:rFonts w:ascii="Arial" w:hAnsi="Arial" w:cs="Arial"/>
          <w:bCs/>
          <w:sz w:val="20"/>
        </w:rPr>
        <w:t>Kesikköprü</w:t>
      </w:r>
      <w:proofErr w:type="spellEnd"/>
      <w:r w:rsidRPr="00E312E3">
        <w:rPr>
          <w:rFonts w:ascii="Arial" w:hAnsi="Arial" w:cs="Arial"/>
          <w:bCs/>
          <w:sz w:val="20"/>
        </w:rPr>
        <w:t xml:space="preserve"> Dam Lake: A comparison of pelleted and extruded feed', </w:t>
      </w:r>
      <w:r w:rsidRPr="00E312E3">
        <w:rPr>
          <w:rFonts w:ascii="Arial" w:hAnsi="Arial" w:cs="Arial"/>
          <w:bCs/>
          <w:i/>
          <w:iCs/>
          <w:sz w:val="20"/>
        </w:rPr>
        <w:t>Turkish Journal of Veterinary and Animal Sciences</w:t>
      </w:r>
      <w:r w:rsidRPr="00E312E3">
        <w:rPr>
          <w:rFonts w:ascii="Arial" w:hAnsi="Arial" w:cs="Arial"/>
          <w:bCs/>
          <w:sz w:val="20"/>
        </w:rPr>
        <w:t>, 32(6), pp. 417–422.</w:t>
      </w:r>
    </w:p>
    <w:p w14:paraId="7A9EEA1E" w14:textId="77777777" w:rsidR="00190E57" w:rsidRPr="00E312E3" w:rsidRDefault="00190E57" w:rsidP="00190E57">
      <w:pPr>
        <w:pStyle w:val="ListParagraph"/>
        <w:numPr>
          <w:ilvl w:val="0"/>
          <w:numId w:val="4"/>
        </w:numPr>
        <w:jc w:val="both"/>
        <w:rPr>
          <w:rFonts w:ascii="Arial" w:hAnsi="Arial" w:cs="Arial"/>
          <w:bCs/>
          <w:sz w:val="20"/>
        </w:rPr>
      </w:pPr>
      <w:proofErr w:type="spellStart"/>
      <w:r w:rsidRPr="00E312E3">
        <w:rPr>
          <w:rFonts w:ascii="Arial" w:hAnsi="Arial" w:cs="Arial"/>
          <w:bCs/>
          <w:sz w:val="20"/>
        </w:rPr>
        <w:t>Bisinicu</w:t>
      </w:r>
      <w:proofErr w:type="spellEnd"/>
      <w:r w:rsidRPr="00E312E3">
        <w:rPr>
          <w:rFonts w:ascii="Arial" w:hAnsi="Arial" w:cs="Arial"/>
          <w:bCs/>
          <w:sz w:val="20"/>
        </w:rPr>
        <w:t xml:space="preserve">, E., </w:t>
      </w:r>
      <w:proofErr w:type="spellStart"/>
      <w:r w:rsidRPr="00E312E3">
        <w:rPr>
          <w:rFonts w:ascii="Arial" w:hAnsi="Arial" w:cs="Arial"/>
          <w:bCs/>
          <w:sz w:val="20"/>
        </w:rPr>
        <w:t>Boicenco</w:t>
      </w:r>
      <w:proofErr w:type="spellEnd"/>
      <w:r w:rsidRPr="00E312E3">
        <w:rPr>
          <w:rFonts w:ascii="Arial" w:hAnsi="Arial" w:cs="Arial"/>
          <w:bCs/>
          <w:sz w:val="20"/>
        </w:rPr>
        <w:t xml:space="preserve">, L., Pantea, E., Timofte, F., Lazăr, L. and </w:t>
      </w:r>
      <w:proofErr w:type="spellStart"/>
      <w:r w:rsidRPr="00E312E3">
        <w:rPr>
          <w:rFonts w:ascii="Arial" w:hAnsi="Arial" w:cs="Arial"/>
          <w:bCs/>
          <w:sz w:val="20"/>
        </w:rPr>
        <w:t>Vlaș</w:t>
      </w:r>
      <w:proofErr w:type="spellEnd"/>
      <w:r w:rsidRPr="00E312E3">
        <w:rPr>
          <w:rFonts w:ascii="Arial" w:hAnsi="Arial" w:cs="Arial"/>
          <w:bCs/>
          <w:sz w:val="20"/>
        </w:rPr>
        <w:t xml:space="preserve">, O. (2024) 'Qualitative model of the causal interactions between phytoplankton, zooplankton, and environmental factors in the Romanian Black Sea', </w:t>
      </w:r>
      <w:r w:rsidRPr="00E312E3">
        <w:rPr>
          <w:rFonts w:ascii="Arial" w:hAnsi="Arial" w:cs="Arial"/>
          <w:bCs/>
          <w:i/>
          <w:iCs/>
          <w:sz w:val="20"/>
        </w:rPr>
        <w:t>Phycology</w:t>
      </w:r>
      <w:r w:rsidRPr="00E312E3">
        <w:rPr>
          <w:rFonts w:ascii="Arial" w:hAnsi="Arial" w:cs="Arial"/>
          <w:bCs/>
          <w:sz w:val="20"/>
        </w:rPr>
        <w:t xml:space="preserve">, 4(1), pp. 168–189. Available at: </w:t>
      </w:r>
      <w:hyperlink r:id="rId12" w:tgtFrame="_new" w:history="1">
        <w:r w:rsidRPr="00E312E3">
          <w:rPr>
            <w:rStyle w:val="Hyperlink"/>
            <w:rFonts w:ascii="Arial" w:hAnsi="Arial" w:cs="Arial"/>
            <w:bCs/>
            <w:sz w:val="20"/>
          </w:rPr>
          <w:t>https://doi.org/10.3390/phycology4010010</w:t>
        </w:r>
      </w:hyperlink>
      <w:r w:rsidRPr="00E312E3">
        <w:rPr>
          <w:rFonts w:ascii="Arial" w:hAnsi="Arial" w:cs="Arial"/>
          <w:bCs/>
          <w:sz w:val="20"/>
        </w:rPr>
        <w:t>.</w:t>
      </w:r>
    </w:p>
    <w:p w14:paraId="3D88738A"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Browning, T.J. and Moore, C.M. (2023) 'Global analysis of ocean phytoplankton nutrient limitation reveals high prevalence of co-limitation', </w:t>
      </w:r>
      <w:r w:rsidRPr="00E312E3">
        <w:rPr>
          <w:rFonts w:ascii="Arial" w:hAnsi="Arial" w:cs="Arial"/>
          <w:bCs/>
          <w:i/>
          <w:iCs/>
          <w:sz w:val="20"/>
        </w:rPr>
        <w:t>Nature Communications</w:t>
      </w:r>
      <w:r w:rsidRPr="00E312E3">
        <w:rPr>
          <w:rFonts w:ascii="Arial" w:hAnsi="Arial" w:cs="Arial"/>
          <w:bCs/>
          <w:sz w:val="20"/>
        </w:rPr>
        <w:t xml:space="preserve">, 14(1), p. 5014. Available at: </w:t>
      </w:r>
      <w:hyperlink r:id="rId13" w:tgtFrame="_new" w:history="1">
        <w:r w:rsidRPr="00E312E3">
          <w:rPr>
            <w:rStyle w:val="Hyperlink"/>
            <w:rFonts w:ascii="Arial" w:hAnsi="Arial" w:cs="Arial"/>
            <w:bCs/>
            <w:sz w:val="20"/>
          </w:rPr>
          <w:t>https://doi.org/10.1038/s41467-023-40774-0</w:t>
        </w:r>
      </w:hyperlink>
      <w:r w:rsidRPr="00E312E3">
        <w:rPr>
          <w:rFonts w:ascii="Arial" w:hAnsi="Arial" w:cs="Arial"/>
          <w:bCs/>
          <w:sz w:val="20"/>
        </w:rPr>
        <w:t>.</w:t>
      </w:r>
    </w:p>
    <w:p w14:paraId="36C54BAD"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Carroll, M.L., Cochrane, S., Fieler, R., Velvin, R. and White, P. (2003) 'Organic enrichment of sediments from salmon farming in Norway: Environmental factors, management practices, and monitoring techniques', </w:t>
      </w:r>
      <w:r w:rsidRPr="00E312E3">
        <w:rPr>
          <w:rFonts w:ascii="Arial" w:hAnsi="Arial" w:cs="Arial"/>
          <w:bCs/>
          <w:i/>
          <w:iCs/>
          <w:sz w:val="20"/>
        </w:rPr>
        <w:t>Aquaculture</w:t>
      </w:r>
      <w:r w:rsidRPr="00E312E3">
        <w:rPr>
          <w:rFonts w:ascii="Arial" w:hAnsi="Arial" w:cs="Arial"/>
          <w:bCs/>
          <w:sz w:val="20"/>
        </w:rPr>
        <w:t xml:space="preserve">, 226(1–4), pp. 165–180. Available at: </w:t>
      </w:r>
      <w:hyperlink r:id="rId14" w:tgtFrame="_new" w:history="1">
        <w:r w:rsidRPr="00E312E3">
          <w:rPr>
            <w:rStyle w:val="Hyperlink"/>
            <w:rFonts w:ascii="Arial" w:hAnsi="Arial" w:cs="Arial"/>
            <w:bCs/>
            <w:sz w:val="20"/>
          </w:rPr>
          <w:t>https://doi.org/10.1016/S0044-8486(03)00475-7</w:t>
        </w:r>
      </w:hyperlink>
      <w:r w:rsidRPr="00E312E3">
        <w:rPr>
          <w:rFonts w:ascii="Arial" w:hAnsi="Arial" w:cs="Arial"/>
          <w:bCs/>
          <w:sz w:val="20"/>
        </w:rPr>
        <w:t>.</w:t>
      </w:r>
    </w:p>
    <w:p w14:paraId="49F4FDD2" w14:textId="77777777" w:rsidR="00190E57" w:rsidRPr="00E312E3" w:rsidRDefault="00190E57" w:rsidP="00190E57">
      <w:pPr>
        <w:pStyle w:val="ListParagraph"/>
        <w:numPr>
          <w:ilvl w:val="0"/>
          <w:numId w:val="4"/>
        </w:numPr>
        <w:jc w:val="both"/>
        <w:rPr>
          <w:rFonts w:ascii="Arial" w:hAnsi="Arial" w:cs="Arial"/>
          <w:bCs/>
          <w:sz w:val="20"/>
        </w:rPr>
      </w:pPr>
      <w:proofErr w:type="spellStart"/>
      <w:r w:rsidRPr="00E312E3">
        <w:rPr>
          <w:rFonts w:ascii="Arial" w:hAnsi="Arial" w:cs="Arial"/>
          <w:bCs/>
          <w:sz w:val="20"/>
        </w:rPr>
        <w:lastRenderedPageBreak/>
        <w:t>Challouf</w:t>
      </w:r>
      <w:proofErr w:type="spellEnd"/>
      <w:r w:rsidRPr="00E312E3">
        <w:rPr>
          <w:rFonts w:ascii="Arial" w:hAnsi="Arial" w:cs="Arial"/>
          <w:bCs/>
          <w:sz w:val="20"/>
        </w:rPr>
        <w:t xml:space="preserve">, R., Hamza, A., </w:t>
      </w:r>
      <w:proofErr w:type="spellStart"/>
      <w:r w:rsidRPr="00E312E3">
        <w:rPr>
          <w:rFonts w:ascii="Arial" w:hAnsi="Arial" w:cs="Arial"/>
          <w:bCs/>
          <w:sz w:val="20"/>
        </w:rPr>
        <w:t>Mahfoudhi</w:t>
      </w:r>
      <w:proofErr w:type="spellEnd"/>
      <w:r w:rsidRPr="00E312E3">
        <w:rPr>
          <w:rFonts w:ascii="Arial" w:hAnsi="Arial" w:cs="Arial"/>
          <w:bCs/>
          <w:sz w:val="20"/>
        </w:rPr>
        <w:t xml:space="preserve">, M., Ghozzi, K. and </w:t>
      </w:r>
      <w:proofErr w:type="spellStart"/>
      <w:r w:rsidRPr="00E312E3">
        <w:rPr>
          <w:rFonts w:ascii="Arial" w:hAnsi="Arial" w:cs="Arial"/>
          <w:bCs/>
          <w:sz w:val="20"/>
        </w:rPr>
        <w:t>Bradai</w:t>
      </w:r>
      <w:proofErr w:type="spellEnd"/>
      <w:r w:rsidRPr="00E312E3">
        <w:rPr>
          <w:rFonts w:ascii="Arial" w:hAnsi="Arial" w:cs="Arial"/>
          <w:bCs/>
          <w:sz w:val="20"/>
        </w:rPr>
        <w:t xml:space="preserve">, M.N. (2017) 'Environmental assessment of the impact of cage fish farming on water quality and phytoplankton status in Monastir Bay (eastern coast of Tunisia)', </w:t>
      </w:r>
      <w:r w:rsidRPr="00E312E3">
        <w:rPr>
          <w:rFonts w:ascii="Arial" w:hAnsi="Arial" w:cs="Arial"/>
          <w:bCs/>
          <w:i/>
          <w:iCs/>
          <w:sz w:val="20"/>
        </w:rPr>
        <w:t>Aquaculture International</w:t>
      </w:r>
      <w:r w:rsidRPr="00E312E3">
        <w:rPr>
          <w:rFonts w:ascii="Arial" w:hAnsi="Arial" w:cs="Arial"/>
          <w:bCs/>
          <w:sz w:val="20"/>
        </w:rPr>
        <w:t xml:space="preserve">, 25, pp. 2275–2292. Available at: </w:t>
      </w:r>
      <w:hyperlink r:id="rId15" w:tgtFrame="_new" w:history="1">
        <w:r w:rsidRPr="00E312E3">
          <w:rPr>
            <w:rStyle w:val="Hyperlink"/>
            <w:rFonts w:ascii="Arial" w:hAnsi="Arial" w:cs="Arial"/>
            <w:bCs/>
            <w:sz w:val="20"/>
          </w:rPr>
          <w:t>https://doi.org/10.1007/s10499-017-0187-1</w:t>
        </w:r>
      </w:hyperlink>
      <w:r w:rsidRPr="00E312E3">
        <w:rPr>
          <w:rFonts w:ascii="Arial" w:hAnsi="Arial" w:cs="Arial"/>
          <w:bCs/>
          <w:sz w:val="20"/>
        </w:rPr>
        <w:t>.</w:t>
      </w:r>
    </w:p>
    <w:p w14:paraId="56BA3030"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Damodaran, D., Mohammed Koya, K., </w:t>
      </w:r>
      <w:proofErr w:type="spellStart"/>
      <w:r w:rsidRPr="00E312E3">
        <w:rPr>
          <w:rFonts w:ascii="Arial" w:hAnsi="Arial" w:cs="Arial"/>
          <w:bCs/>
          <w:sz w:val="20"/>
        </w:rPr>
        <w:t>Mojjada</w:t>
      </w:r>
      <w:proofErr w:type="spellEnd"/>
      <w:r w:rsidRPr="00E312E3">
        <w:rPr>
          <w:rFonts w:ascii="Arial" w:hAnsi="Arial" w:cs="Arial"/>
          <w:bCs/>
          <w:sz w:val="20"/>
        </w:rPr>
        <w:t xml:space="preserve">, S.K., </w:t>
      </w:r>
      <w:proofErr w:type="spellStart"/>
      <w:r w:rsidRPr="00E312E3">
        <w:rPr>
          <w:rFonts w:ascii="Arial" w:hAnsi="Arial" w:cs="Arial"/>
          <w:bCs/>
          <w:sz w:val="20"/>
        </w:rPr>
        <w:t>Lalaji</w:t>
      </w:r>
      <w:proofErr w:type="spellEnd"/>
      <w:r w:rsidRPr="00E312E3">
        <w:rPr>
          <w:rFonts w:ascii="Arial" w:hAnsi="Arial" w:cs="Arial"/>
          <w:bCs/>
          <w:sz w:val="20"/>
        </w:rPr>
        <w:t xml:space="preserve">, C.D., Dash, G., Vase, V.K. and Sreenath, K.R. (2018) 'Optimization of the stocking parameters for mud spiny lobster </w:t>
      </w:r>
      <w:proofErr w:type="spellStart"/>
      <w:r w:rsidRPr="00E312E3">
        <w:rPr>
          <w:rFonts w:ascii="Arial" w:hAnsi="Arial" w:cs="Arial"/>
          <w:bCs/>
          <w:i/>
          <w:iCs/>
          <w:sz w:val="20"/>
        </w:rPr>
        <w:t>Panulirus</w:t>
      </w:r>
      <w:proofErr w:type="spellEnd"/>
      <w:r w:rsidRPr="00E312E3">
        <w:rPr>
          <w:rFonts w:ascii="Arial" w:hAnsi="Arial" w:cs="Arial"/>
          <w:bCs/>
          <w:i/>
          <w:iCs/>
          <w:sz w:val="20"/>
        </w:rPr>
        <w:t xml:space="preserve"> </w:t>
      </w:r>
      <w:proofErr w:type="spellStart"/>
      <w:r w:rsidRPr="00E312E3">
        <w:rPr>
          <w:rFonts w:ascii="Arial" w:hAnsi="Arial" w:cs="Arial"/>
          <w:bCs/>
          <w:i/>
          <w:iCs/>
          <w:sz w:val="20"/>
        </w:rPr>
        <w:t>polyphagus</w:t>
      </w:r>
      <w:proofErr w:type="spellEnd"/>
      <w:r w:rsidRPr="00E312E3">
        <w:rPr>
          <w:rFonts w:ascii="Arial" w:hAnsi="Arial" w:cs="Arial"/>
          <w:bCs/>
          <w:sz w:val="20"/>
        </w:rPr>
        <w:t xml:space="preserve"> (Herbst, 1793) capture-based aquaculture in tropical open sea floating net cages', </w:t>
      </w:r>
      <w:r w:rsidRPr="00E312E3">
        <w:rPr>
          <w:rFonts w:ascii="Arial" w:hAnsi="Arial" w:cs="Arial"/>
          <w:bCs/>
          <w:i/>
          <w:iCs/>
          <w:sz w:val="20"/>
        </w:rPr>
        <w:t>Aquaculture Research</w:t>
      </w:r>
      <w:r w:rsidRPr="00E312E3">
        <w:rPr>
          <w:rFonts w:ascii="Arial" w:hAnsi="Arial" w:cs="Arial"/>
          <w:bCs/>
          <w:sz w:val="20"/>
        </w:rPr>
        <w:t>, 49(2), pp. 1080–1086.</w:t>
      </w:r>
    </w:p>
    <w:p w14:paraId="3FD7858B" w14:textId="77777777" w:rsidR="00190E57" w:rsidRPr="00E312E3" w:rsidRDefault="00190E57" w:rsidP="00190E57">
      <w:pPr>
        <w:pStyle w:val="ListParagraph"/>
        <w:numPr>
          <w:ilvl w:val="0"/>
          <w:numId w:val="4"/>
        </w:numPr>
        <w:jc w:val="both"/>
        <w:rPr>
          <w:rFonts w:ascii="Arial" w:hAnsi="Arial" w:cs="Arial"/>
          <w:bCs/>
          <w:sz w:val="20"/>
        </w:rPr>
      </w:pPr>
      <w:proofErr w:type="spellStart"/>
      <w:r w:rsidRPr="00E312E3">
        <w:rPr>
          <w:rFonts w:ascii="Arial" w:hAnsi="Arial" w:cs="Arial"/>
          <w:bCs/>
          <w:sz w:val="20"/>
        </w:rPr>
        <w:t>Divu</w:t>
      </w:r>
      <w:proofErr w:type="spellEnd"/>
      <w:r w:rsidRPr="00E312E3">
        <w:rPr>
          <w:rFonts w:ascii="Arial" w:hAnsi="Arial" w:cs="Arial"/>
          <w:bCs/>
          <w:sz w:val="20"/>
        </w:rPr>
        <w:t xml:space="preserve">, D.N., </w:t>
      </w:r>
      <w:proofErr w:type="spellStart"/>
      <w:r w:rsidRPr="00E312E3">
        <w:rPr>
          <w:rFonts w:ascii="Arial" w:hAnsi="Arial" w:cs="Arial"/>
          <w:bCs/>
          <w:sz w:val="20"/>
        </w:rPr>
        <w:t>Mojjada</w:t>
      </w:r>
      <w:proofErr w:type="spellEnd"/>
      <w:r w:rsidRPr="00E312E3">
        <w:rPr>
          <w:rFonts w:ascii="Arial" w:hAnsi="Arial" w:cs="Arial"/>
          <w:bCs/>
          <w:sz w:val="20"/>
        </w:rPr>
        <w:t xml:space="preserve">, S.K., Dash, G., Sundaram, S.L.P., Menon, M., Tade, M.S., </w:t>
      </w:r>
      <w:proofErr w:type="spellStart"/>
      <w:r w:rsidRPr="00E312E3">
        <w:rPr>
          <w:rFonts w:ascii="Arial" w:hAnsi="Arial" w:cs="Arial"/>
          <w:bCs/>
          <w:sz w:val="20"/>
        </w:rPr>
        <w:t>Mojjada</w:t>
      </w:r>
      <w:proofErr w:type="spellEnd"/>
      <w:r w:rsidRPr="00E312E3">
        <w:rPr>
          <w:rFonts w:ascii="Arial" w:hAnsi="Arial" w:cs="Arial"/>
          <w:bCs/>
          <w:sz w:val="20"/>
        </w:rPr>
        <w:t xml:space="preserve">, R.K., </w:t>
      </w:r>
      <w:proofErr w:type="spellStart"/>
      <w:r w:rsidRPr="00E312E3">
        <w:rPr>
          <w:rFonts w:ascii="Arial" w:hAnsi="Arial" w:cs="Arial"/>
          <w:bCs/>
          <w:sz w:val="20"/>
        </w:rPr>
        <w:t>Bhint</w:t>
      </w:r>
      <w:proofErr w:type="spellEnd"/>
      <w:r w:rsidRPr="00E312E3">
        <w:rPr>
          <w:rFonts w:ascii="Arial" w:hAnsi="Arial" w:cs="Arial"/>
          <w:bCs/>
          <w:sz w:val="20"/>
        </w:rPr>
        <w:t xml:space="preserve">, H.M., Bhardwaj, J., Subramanian, A. and Suresh, V.R. (2023) 'A novel decision-support system for augmenting sustainable lobster production through comparison of mariculture systems at increasing stages of technological development', </w:t>
      </w:r>
      <w:r w:rsidRPr="00E312E3">
        <w:rPr>
          <w:rFonts w:ascii="Arial" w:hAnsi="Arial" w:cs="Arial"/>
          <w:bCs/>
          <w:i/>
          <w:iCs/>
          <w:sz w:val="20"/>
        </w:rPr>
        <w:t>Journal of Cleaner Production</w:t>
      </w:r>
      <w:r w:rsidRPr="00E312E3">
        <w:rPr>
          <w:rFonts w:ascii="Arial" w:hAnsi="Arial" w:cs="Arial"/>
          <w:bCs/>
          <w:sz w:val="20"/>
        </w:rPr>
        <w:t xml:space="preserve">, 401, p. 136759. Available at: </w:t>
      </w:r>
      <w:hyperlink r:id="rId16" w:tgtFrame="_new" w:history="1">
        <w:r w:rsidRPr="00E312E3">
          <w:rPr>
            <w:rStyle w:val="Hyperlink"/>
            <w:rFonts w:ascii="Arial" w:hAnsi="Arial" w:cs="Arial"/>
            <w:bCs/>
            <w:sz w:val="20"/>
          </w:rPr>
          <w:t>https://doi.org/10.1016/j.jclepro.2023.136759</w:t>
        </w:r>
      </w:hyperlink>
      <w:r w:rsidRPr="00E312E3">
        <w:rPr>
          <w:rFonts w:ascii="Arial" w:hAnsi="Arial" w:cs="Arial"/>
          <w:bCs/>
          <w:sz w:val="20"/>
        </w:rPr>
        <w:t>.</w:t>
      </w:r>
    </w:p>
    <w:p w14:paraId="4A2AF2BF" w14:textId="77777777" w:rsidR="00190E57" w:rsidRPr="00E312E3" w:rsidRDefault="00190E57" w:rsidP="00190E57">
      <w:pPr>
        <w:pStyle w:val="ListParagraph"/>
        <w:numPr>
          <w:ilvl w:val="0"/>
          <w:numId w:val="4"/>
        </w:numPr>
        <w:jc w:val="both"/>
        <w:rPr>
          <w:rFonts w:ascii="Arial" w:hAnsi="Arial" w:cs="Arial"/>
          <w:bCs/>
          <w:sz w:val="20"/>
        </w:rPr>
      </w:pPr>
      <w:proofErr w:type="spellStart"/>
      <w:r w:rsidRPr="00E312E3">
        <w:rPr>
          <w:rFonts w:ascii="Arial" w:hAnsi="Arial" w:cs="Arial"/>
          <w:bCs/>
          <w:sz w:val="20"/>
        </w:rPr>
        <w:t>Divu</w:t>
      </w:r>
      <w:proofErr w:type="spellEnd"/>
      <w:r w:rsidRPr="00E312E3">
        <w:rPr>
          <w:rFonts w:ascii="Arial" w:hAnsi="Arial" w:cs="Arial"/>
          <w:bCs/>
          <w:sz w:val="20"/>
        </w:rPr>
        <w:t xml:space="preserve">, D.N., </w:t>
      </w:r>
      <w:proofErr w:type="spellStart"/>
      <w:r w:rsidRPr="00E312E3">
        <w:rPr>
          <w:rFonts w:ascii="Arial" w:hAnsi="Arial" w:cs="Arial"/>
          <w:bCs/>
          <w:sz w:val="20"/>
        </w:rPr>
        <w:t>Mojjada</w:t>
      </w:r>
      <w:proofErr w:type="spellEnd"/>
      <w:r w:rsidRPr="00E312E3">
        <w:rPr>
          <w:rFonts w:ascii="Arial" w:hAnsi="Arial" w:cs="Arial"/>
          <w:bCs/>
          <w:sz w:val="20"/>
        </w:rPr>
        <w:t xml:space="preserve">, S.K., </w:t>
      </w:r>
      <w:proofErr w:type="spellStart"/>
      <w:r w:rsidRPr="00E312E3">
        <w:rPr>
          <w:rFonts w:ascii="Arial" w:hAnsi="Arial" w:cs="Arial"/>
          <w:bCs/>
          <w:sz w:val="20"/>
        </w:rPr>
        <w:t>Pokkathappada</w:t>
      </w:r>
      <w:proofErr w:type="spellEnd"/>
      <w:r w:rsidRPr="00E312E3">
        <w:rPr>
          <w:rFonts w:ascii="Arial" w:hAnsi="Arial" w:cs="Arial"/>
          <w:bCs/>
          <w:sz w:val="20"/>
        </w:rPr>
        <w:t xml:space="preserve">, A.A., </w:t>
      </w:r>
      <w:proofErr w:type="spellStart"/>
      <w:r w:rsidRPr="00E312E3">
        <w:rPr>
          <w:rFonts w:ascii="Arial" w:hAnsi="Arial" w:cs="Arial"/>
          <w:bCs/>
          <w:sz w:val="20"/>
        </w:rPr>
        <w:t>Sukhdhane</w:t>
      </w:r>
      <w:proofErr w:type="spellEnd"/>
      <w:r w:rsidRPr="00E312E3">
        <w:rPr>
          <w:rFonts w:ascii="Arial" w:hAnsi="Arial" w:cs="Arial"/>
          <w:bCs/>
          <w:sz w:val="20"/>
        </w:rPr>
        <w:t xml:space="preserve">, K., Menon, M., Mojjada, R.K., Tade, M.S., </w:t>
      </w:r>
      <w:proofErr w:type="spellStart"/>
      <w:r w:rsidRPr="00E312E3">
        <w:rPr>
          <w:rFonts w:ascii="Arial" w:hAnsi="Arial" w:cs="Arial"/>
          <w:bCs/>
          <w:sz w:val="20"/>
        </w:rPr>
        <w:t>Bhint</w:t>
      </w:r>
      <w:proofErr w:type="spellEnd"/>
      <w:r w:rsidRPr="00E312E3">
        <w:rPr>
          <w:rFonts w:ascii="Arial" w:hAnsi="Arial" w:cs="Arial"/>
          <w:bCs/>
          <w:sz w:val="20"/>
        </w:rPr>
        <w:t xml:space="preserve">, H.M. and Gopalakrishnan, A. (2021) 'Decision-making framework for identifying best suitable mariculture sites along north east coast of Arabian Sea, India: A preliminary GIS-MCE based modelling approach', </w:t>
      </w:r>
      <w:r w:rsidRPr="00E312E3">
        <w:rPr>
          <w:rFonts w:ascii="Arial" w:hAnsi="Arial" w:cs="Arial"/>
          <w:bCs/>
          <w:i/>
          <w:iCs/>
          <w:sz w:val="20"/>
        </w:rPr>
        <w:t>Journal of Cleaner Production</w:t>
      </w:r>
      <w:r w:rsidRPr="00E312E3">
        <w:rPr>
          <w:rFonts w:ascii="Arial" w:hAnsi="Arial" w:cs="Arial"/>
          <w:bCs/>
          <w:sz w:val="20"/>
        </w:rPr>
        <w:t xml:space="preserve">, 284, p. 124760. Available at: </w:t>
      </w:r>
      <w:hyperlink r:id="rId17" w:tgtFrame="_new" w:history="1">
        <w:r w:rsidRPr="00E312E3">
          <w:rPr>
            <w:rStyle w:val="Hyperlink"/>
            <w:rFonts w:ascii="Arial" w:hAnsi="Arial" w:cs="Arial"/>
            <w:bCs/>
            <w:sz w:val="20"/>
          </w:rPr>
          <w:t>https://doi.org/10.1016/j.jclepro.2020.124760</w:t>
        </w:r>
      </w:hyperlink>
      <w:r w:rsidRPr="00E312E3">
        <w:rPr>
          <w:rFonts w:ascii="Arial" w:hAnsi="Arial" w:cs="Arial"/>
          <w:bCs/>
          <w:sz w:val="20"/>
        </w:rPr>
        <w:t>.</w:t>
      </w:r>
    </w:p>
    <w:p w14:paraId="6CAF6DA3"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Gittings, J.A., </w:t>
      </w:r>
      <w:proofErr w:type="spellStart"/>
      <w:r w:rsidRPr="00E312E3">
        <w:rPr>
          <w:rFonts w:ascii="Arial" w:hAnsi="Arial" w:cs="Arial"/>
          <w:bCs/>
          <w:sz w:val="20"/>
        </w:rPr>
        <w:t>Raitsos</w:t>
      </w:r>
      <w:proofErr w:type="spellEnd"/>
      <w:r w:rsidRPr="00E312E3">
        <w:rPr>
          <w:rFonts w:ascii="Arial" w:hAnsi="Arial" w:cs="Arial"/>
          <w:bCs/>
          <w:sz w:val="20"/>
        </w:rPr>
        <w:t xml:space="preserve">, D.E., Brewin, R.J.W. and </w:t>
      </w:r>
      <w:proofErr w:type="spellStart"/>
      <w:r w:rsidRPr="00E312E3">
        <w:rPr>
          <w:rFonts w:ascii="Arial" w:hAnsi="Arial" w:cs="Arial"/>
          <w:bCs/>
          <w:sz w:val="20"/>
        </w:rPr>
        <w:t>Hoteit</w:t>
      </w:r>
      <w:proofErr w:type="spellEnd"/>
      <w:r w:rsidRPr="00E312E3">
        <w:rPr>
          <w:rFonts w:ascii="Arial" w:hAnsi="Arial" w:cs="Arial"/>
          <w:bCs/>
          <w:sz w:val="20"/>
        </w:rPr>
        <w:t xml:space="preserve">, I. (2021) 'Links between phenology of large phytoplankton and fisheries in the Northern and Central Red Sea', </w:t>
      </w:r>
      <w:r w:rsidRPr="00E312E3">
        <w:rPr>
          <w:rFonts w:ascii="Arial" w:hAnsi="Arial" w:cs="Arial"/>
          <w:bCs/>
          <w:i/>
          <w:iCs/>
          <w:sz w:val="20"/>
        </w:rPr>
        <w:t>Remote Sensing</w:t>
      </w:r>
      <w:r w:rsidRPr="00E312E3">
        <w:rPr>
          <w:rFonts w:ascii="Arial" w:hAnsi="Arial" w:cs="Arial"/>
          <w:bCs/>
          <w:sz w:val="20"/>
        </w:rPr>
        <w:t xml:space="preserve">, 13(2), p. 231. Available at: </w:t>
      </w:r>
      <w:hyperlink r:id="rId18" w:tgtFrame="_new" w:history="1">
        <w:r w:rsidRPr="00E312E3">
          <w:rPr>
            <w:rStyle w:val="Hyperlink"/>
            <w:rFonts w:ascii="Arial" w:hAnsi="Arial" w:cs="Arial"/>
            <w:bCs/>
            <w:sz w:val="20"/>
          </w:rPr>
          <w:t>https://doi.org/10.3390/rs13020231</w:t>
        </w:r>
      </w:hyperlink>
      <w:r w:rsidRPr="00E312E3">
        <w:rPr>
          <w:rFonts w:ascii="Arial" w:hAnsi="Arial" w:cs="Arial"/>
          <w:bCs/>
          <w:sz w:val="20"/>
        </w:rPr>
        <w:t>.</w:t>
      </w:r>
    </w:p>
    <w:p w14:paraId="210E07C5"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Holmer, M. (2010) 'Environmental issues of fish farming in offshore waters: Perspectives, concerns and research needs', </w:t>
      </w:r>
      <w:r w:rsidRPr="00E312E3">
        <w:rPr>
          <w:rFonts w:ascii="Arial" w:hAnsi="Arial" w:cs="Arial"/>
          <w:bCs/>
          <w:i/>
          <w:iCs/>
          <w:sz w:val="20"/>
        </w:rPr>
        <w:t>Aquaculture Environment Interactions</w:t>
      </w:r>
      <w:r w:rsidRPr="00E312E3">
        <w:rPr>
          <w:rFonts w:ascii="Arial" w:hAnsi="Arial" w:cs="Arial"/>
          <w:bCs/>
          <w:sz w:val="20"/>
        </w:rPr>
        <w:t>, 1(1), pp. 57–70. Available at: https://doi.org/10.3354/aei00007.</w:t>
      </w:r>
    </w:p>
    <w:p w14:paraId="324CC64B"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Howarth, R.W. and Marino, R. (2006) 'Nitrogen as the limiting nutrient for eutrophication in coastal marine ecosystems: Evolving views over three decades', </w:t>
      </w:r>
      <w:r w:rsidRPr="00E312E3">
        <w:rPr>
          <w:rFonts w:ascii="Arial" w:hAnsi="Arial" w:cs="Arial"/>
          <w:bCs/>
          <w:i/>
          <w:iCs/>
          <w:sz w:val="20"/>
        </w:rPr>
        <w:t>Limnology and Oceanography</w:t>
      </w:r>
      <w:r w:rsidRPr="00E312E3">
        <w:rPr>
          <w:rFonts w:ascii="Arial" w:hAnsi="Arial" w:cs="Arial"/>
          <w:bCs/>
          <w:sz w:val="20"/>
        </w:rPr>
        <w:t xml:space="preserve">, 51(1 Part 2), pp. 364–376. Available at: </w:t>
      </w:r>
      <w:hyperlink r:id="rId19" w:tgtFrame="_new" w:history="1">
        <w:r w:rsidRPr="00E312E3">
          <w:rPr>
            <w:rStyle w:val="Hyperlink"/>
            <w:rFonts w:ascii="Arial" w:hAnsi="Arial" w:cs="Arial"/>
            <w:bCs/>
            <w:sz w:val="20"/>
          </w:rPr>
          <w:t>https://doi.org/10.4319/lo.2006.51.1_part_2.0364</w:t>
        </w:r>
      </w:hyperlink>
      <w:r w:rsidRPr="00E312E3">
        <w:rPr>
          <w:rFonts w:ascii="Arial" w:hAnsi="Arial" w:cs="Arial"/>
          <w:bCs/>
          <w:sz w:val="20"/>
        </w:rPr>
        <w:t>.</w:t>
      </w:r>
    </w:p>
    <w:p w14:paraId="465FE7CA"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IBM Corp. (2013) </w:t>
      </w:r>
      <w:r w:rsidRPr="00E312E3">
        <w:rPr>
          <w:rFonts w:ascii="Arial" w:hAnsi="Arial" w:cs="Arial"/>
          <w:bCs/>
          <w:i/>
          <w:iCs/>
          <w:sz w:val="20"/>
        </w:rPr>
        <w:t>IBM SPSS Statistics for Windows, Version 22.0</w:t>
      </w:r>
      <w:r w:rsidRPr="00E312E3">
        <w:rPr>
          <w:rFonts w:ascii="Arial" w:hAnsi="Arial" w:cs="Arial"/>
          <w:bCs/>
          <w:sz w:val="20"/>
        </w:rPr>
        <w:t>. Armonk, NY: IBM Corp.</w:t>
      </w:r>
    </w:p>
    <w:p w14:paraId="684C013A"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Islam, M.S. (2005) 'Nitrogen and phosphorus budget in coastal and marine cage aquaculture and impacts of effluent loading on ecosystem: Review and analysis towards model development', </w:t>
      </w:r>
      <w:r w:rsidRPr="00E312E3">
        <w:rPr>
          <w:rFonts w:ascii="Arial" w:hAnsi="Arial" w:cs="Arial"/>
          <w:bCs/>
          <w:i/>
          <w:iCs/>
          <w:sz w:val="20"/>
        </w:rPr>
        <w:t>Marine Pollution Bulletin</w:t>
      </w:r>
      <w:r w:rsidRPr="00E312E3">
        <w:rPr>
          <w:rFonts w:ascii="Arial" w:hAnsi="Arial" w:cs="Arial"/>
          <w:bCs/>
          <w:sz w:val="20"/>
        </w:rPr>
        <w:t>, 50(1), pp. 48–61.</w:t>
      </w:r>
    </w:p>
    <w:p w14:paraId="46D80DE6"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Mojjada, S.K., Imelda, J., Koya, M., Sreenath, K.R., Dash, G., Dash, S.S., </w:t>
      </w:r>
      <w:proofErr w:type="spellStart"/>
      <w:r w:rsidRPr="00E312E3">
        <w:rPr>
          <w:rFonts w:ascii="Arial" w:hAnsi="Arial" w:cs="Arial"/>
          <w:bCs/>
          <w:sz w:val="20"/>
        </w:rPr>
        <w:t>Fofandi</w:t>
      </w:r>
      <w:proofErr w:type="spellEnd"/>
      <w:r w:rsidRPr="00E312E3">
        <w:rPr>
          <w:rFonts w:ascii="Arial" w:hAnsi="Arial" w:cs="Arial"/>
          <w:bCs/>
          <w:sz w:val="20"/>
        </w:rPr>
        <w:t xml:space="preserve">, M., Anbarasu, M., </w:t>
      </w:r>
      <w:proofErr w:type="spellStart"/>
      <w:r w:rsidRPr="00E312E3">
        <w:rPr>
          <w:rFonts w:ascii="Arial" w:hAnsi="Arial" w:cs="Arial"/>
          <w:bCs/>
          <w:sz w:val="20"/>
        </w:rPr>
        <w:t>Bhint</w:t>
      </w:r>
      <w:proofErr w:type="spellEnd"/>
      <w:r w:rsidRPr="00E312E3">
        <w:rPr>
          <w:rFonts w:ascii="Arial" w:hAnsi="Arial" w:cs="Arial"/>
          <w:bCs/>
          <w:sz w:val="20"/>
        </w:rPr>
        <w:t xml:space="preserve">, H.M., Pradeep, S. and Shiju, P. (2012) 'Capture based aquaculture of mud spiny lobster, </w:t>
      </w:r>
      <w:proofErr w:type="spellStart"/>
      <w:r w:rsidRPr="00E312E3">
        <w:rPr>
          <w:rFonts w:ascii="Arial" w:hAnsi="Arial" w:cs="Arial"/>
          <w:bCs/>
          <w:i/>
          <w:iCs/>
          <w:sz w:val="20"/>
        </w:rPr>
        <w:t>Panulirus</w:t>
      </w:r>
      <w:proofErr w:type="spellEnd"/>
      <w:r w:rsidRPr="00E312E3">
        <w:rPr>
          <w:rFonts w:ascii="Arial" w:hAnsi="Arial" w:cs="Arial"/>
          <w:bCs/>
          <w:i/>
          <w:iCs/>
          <w:sz w:val="20"/>
        </w:rPr>
        <w:t xml:space="preserve"> </w:t>
      </w:r>
      <w:proofErr w:type="spellStart"/>
      <w:r w:rsidRPr="00E312E3">
        <w:rPr>
          <w:rFonts w:ascii="Arial" w:hAnsi="Arial" w:cs="Arial"/>
          <w:bCs/>
          <w:i/>
          <w:iCs/>
          <w:sz w:val="20"/>
        </w:rPr>
        <w:t>polyphagus</w:t>
      </w:r>
      <w:proofErr w:type="spellEnd"/>
      <w:r w:rsidRPr="00E312E3">
        <w:rPr>
          <w:rFonts w:ascii="Arial" w:hAnsi="Arial" w:cs="Arial"/>
          <w:bCs/>
          <w:sz w:val="20"/>
        </w:rPr>
        <w:t xml:space="preserve"> (Herbst, 1793) in open sea floating net cages off Veraval, north-west coast of India', </w:t>
      </w:r>
      <w:r w:rsidRPr="00E312E3">
        <w:rPr>
          <w:rFonts w:ascii="Arial" w:hAnsi="Arial" w:cs="Arial"/>
          <w:bCs/>
          <w:i/>
          <w:iCs/>
          <w:sz w:val="20"/>
        </w:rPr>
        <w:t>Indian Journal of Fisheries</w:t>
      </w:r>
      <w:r w:rsidRPr="00E312E3">
        <w:rPr>
          <w:rFonts w:ascii="Arial" w:hAnsi="Arial" w:cs="Arial"/>
          <w:bCs/>
          <w:sz w:val="20"/>
        </w:rPr>
        <w:t>, 59(4), pp. 29–33.</w:t>
      </w:r>
    </w:p>
    <w:p w14:paraId="699A05BF"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Morro, B., Davidson, K., Adams, T.P., Falconer, L., Holloway, M., Dale, A., </w:t>
      </w:r>
      <w:proofErr w:type="spellStart"/>
      <w:r w:rsidRPr="00E312E3">
        <w:rPr>
          <w:rFonts w:ascii="Arial" w:hAnsi="Arial" w:cs="Arial"/>
          <w:bCs/>
          <w:sz w:val="20"/>
        </w:rPr>
        <w:t>Aleynik</w:t>
      </w:r>
      <w:proofErr w:type="spellEnd"/>
      <w:r w:rsidRPr="00E312E3">
        <w:rPr>
          <w:rFonts w:ascii="Arial" w:hAnsi="Arial" w:cs="Arial"/>
          <w:bCs/>
          <w:sz w:val="20"/>
        </w:rPr>
        <w:t xml:space="preserve">, D., Thies, P.R., Khalid, F., Hardwick, J. and Smith, H. (2022) 'Offshore aquaculture of finfish: Big expectations at sea', </w:t>
      </w:r>
      <w:r w:rsidRPr="00E312E3">
        <w:rPr>
          <w:rFonts w:ascii="Arial" w:hAnsi="Arial" w:cs="Arial"/>
          <w:bCs/>
          <w:i/>
          <w:iCs/>
          <w:sz w:val="20"/>
        </w:rPr>
        <w:t>Reviews in Aquaculture</w:t>
      </w:r>
      <w:r w:rsidRPr="00E312E3">
        <w:rPr>
          <w:rFonts w:ascii="Arial" w:hAnsi="Arial" w:cs="Arial"/>
          <w:bCs/>
          <w:sz w:val="20"/>
        </w:rPr>
        <w:t xml:space="preserve">, 14(2), pp. 791–815. Available at: </w:t>
      </w:r>
      <w:hyperlink r:id="rId20" w:tgtFrame="_new" w:history="1">
        <w:r w:rsidRPr="00E312E3">
          <w:rPr>
            <w:rStyle w:val="Hyperlink"/>
            <w:rFonts w:ascii="Arial" w:hAnsi="Arial" w:cs="Arial"/>
            <w:bCs/>
            <w:sz w:val="20"/>
          </w:rPr>
          <w:t>https://doi.org/10.1111/raq.12625</w:t>
        </w:r>
      </w:hyperlink>
      <w:r w:rsidRPr="00E312E3">
        <w:rPr>
          <w:rFonts w:ascii="Arial" w:hAnsi="Arial" w:cs="Arial"/>
          <w:bCs/>
          <w:sz w:val="20"/>
        </w:rPr>
        <w:t>.</w:t>
      </w:r>
    </w:p>
    <w:p w14:paraId="54DB5E61" w14:textId="77777777" w:rsidR="00190E57" w:rsidRPr="00E312E3" w:rsidRDefault="00190E57" w:rsidP="00190E57">
      <w:pPr>
        <w:pStyle w:val="ListParagraph"/>
        <w:numPr>
          <w:ilvl w:val="0"/>
          <w:numId w:val="4"/>
        </w:numPr>
        <w:jc w:val="both"/>
        <w:rPr>
          <w:rFonts w:ascii="Arial" w:hAnsi="Arial" w:cs="Arial"/>
          <w:bCs/>
          <w:sz w:val="20"/>
        </w:rPr>
      </w:pPr>
      <w:proofErr w:type="spellStart"/>
      <w:r w:rsidRPr="00E312E3">
        <w:rPr>
          <w:rFonts w:ascii="Arial" w:hAnsi="Arial" w:cs="Arial"/>
          <w:bCs/>
          <w:sz w:val="20"/>
        </w:rPr>
        <w:t>Moschonas</w:t>
      </w:r>
      <w:proofErr w:type="spellEnd"/>
      <w:r w:rsidRPr="00E312E3">
        <w:rPr>
          <w:rFonts w:ascii="Arial" w:hAnsi="Arial" w:cs="Arial"/>
          <w:bCs/>
          <w:sz w:val="20"/>
        </w:rPr>
        <w:t xml:space="preserve">, G., Gowen, R.J., Paterson, R.F., Mitchell, E., Stewart, B.M., McNeill, S., </w:t>
      </w:r>
      <w:proofErr w:type="spellStart"/>
      <w:r w:rsidRPr="00E312E3">
        <w:rPr>
          <w:rFonts w:ascii="Arial" w:hAnsi="Arial" w:cs="Arial"/>
          <w:bCs/>
          <w:sz w:val="20"/>
        </w:rPr>
        <w:t>Glibert</w:t>
      </w:r>
      <w:proofErr w:type="spellEnd"/>
      <w:r w:rsidRPr="00E312E3">
        <w:rPr>
          <w:rFonts w:ascii="Arial" w:hAnsi="Arial" w:cs="Arial"/>
          <w:bCs/>
          <w:sz w:val="20"/>
        </w:rPr>
        <w:t xml:space="preserve">, P.M. and Davidson, K. (2017) 'Nitrogen dynamics and phytoplankton community structure: The role of organic nutrients', </w:t>
      </w:r>
      <w:r w:rsidRPr="00E312E3">
        <w:rPr>
          <w:rFonts w:ascii="Arial" w:hAnsi="Arial" w:cs="Arial"/>
          <w:bCs/>
          <w:i/>
          <w:iCs/>
          <w:sz w:val="20"/>
        </w:rPr>
        <w:t>Biogeochemistry</w:t>
      </w:r>
      <w:r w:rsidRPr="00E312E3">
        <w:rPr>
          <w:rFonts w:ascii="Arial" w:hAnsi="Arial" w:cs="Arial"/>
          <w:bCs/>
          <w:sz w:val="20"/>
        </w:rPr>
        <w:t>, 134, pp. 125–145. Available at: https://doi.org/10.1007/s10533-017-0351-8.</w:t>
      </w:r>
    </w:p>
    <w:p w14:paraId="7EC0A1F3"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National Oceanic and Atmospheric Administration (NOAA Fisheries) (2024) </w:t>
      </w:r>
      <w:r w:rsidRPr="00E312E3">
        <w:rPr>
          <w:rFonts w:ascii="Arial" w:hAnsi="Arial" w:cs="Arial"/>
          <w:bCs/>
          <w:i/>
          <w:iCs/>
          <w:sz w:val="20"/>
        </w:rPr>
        <w:t>Nutrient impacts of finfish aquaculture</w:t>
      </w:r>
      <w:r w:rsidRPr="00E312E3">
        <w:rPr>
          <w:rFonts w:ascii="Arial" w:hAnsi="Arial" w:cs="Arial"/>
          <w:bCs/>
          <w:sz w:val="20"/>
        </w:rPr>
        <w:t xml:space="preserve">. Available at: </w:t>
      </w:r>
      <w:hyperlink r:id="rId21" w:tgtFrame="_new" w:history="1">
        <w:r w:rsidRPr="00E312E3">
          <w:rPr>
            <w:rStyle w:val="Hyperlink"/>
            <w:rFonts w:ascii="Arial" w:hAnsi="Arial" w:cs="Arial"/>
            <w:bCs/>
            <w:sz w:val="20"/>
          </w:rPr>
          <w:t>https://www.fisheries.noaa.gov/aquaculture/nutrient-impacts-finfish-aquaculture</w:t>
        </w:r>
      </w:hyperlink>
      <w:r w:rsidRPr="00E312E3">
        <w:rPr>
          <w:rFonts w:ascii="Arial" w:hAnsi="Arial" w:cs="Arial"/>
          <w:bCs/>
          <w:sz w:val="20"/>
        </w:rPr>
        <w:t xml:space="preserve"> (Accessed: 16 June 2026).</w:t>
      </w:r>
    </w:p>
    <w:p w14:paraId="3F11EB00"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Price, C., Black, K.D., Hargrave, B.T. and Morris Jr., J.A. (2015) 'Marine cage culture and the environment: Effects on water quality and primary production', </w:t>
      </w:r>
      <w:r w:rsidRPr="00E312E3">
        <w:rPr>
          <w:rFonts w:ascii="Arial" w:hAnsi="Arial" w:cs="Arial"/>
          <w:bCs/>
          <w:i/>
          <w:iCs/>
          <w:sz w:val="20"/>
        </w:rPr>
        <w:t>Aquaculture Environment Interactions</w:t>
      </w:r>
      <w:r w:rsidRPr="00E312E3">
        <w:rPr>
          <w:rFonts w:ascii="Arial" w:hAnsi="Arial" w:cs="Arial"/>
          <w:bCs/>
          <w:sz w:val="20"/>
        </w:rPr>
        <w:t xml:space="preserve">, 6(2), pp. 151–174. Available at: </w:t>
      </w:r>
      <w:hyperlink r:id="rId22" w:tgtFrame="_new" w:history="1">
        <w:r w:rsidRPr="00E312E3">
          <w:rPr>
            <w:rStyle w:val="Hyperlink"/>
            <w:rFonts w:ascii="Arial" w:hAnsi="Arial" w:cs="Arial"/>
            <w:bCs/>
            <w:sz w:val="20"/>
          </w:rPr>
          <w:t>https://doi.org/10.3354/aei00122</w:t>
        </w:r>
      </w:hyperlink>
      <w:r w:rsidRPr="00E312E3">
        <w:rPr>
          <w:rFonts w:ascii="Arial" w:hAnsi="Arial" w:cs="Arial"/>
          <w:bCs/>
          <w:sz w:val="20"/>
        </w:rPr>
        <w:t>.</w:t>
      </w:r>
    </w:p>
    <w:p w14:paraId="2D71456E"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Qi, Z., Shi, R., Yu, Z., Han, T., Li, C., Xu, S., Xu, S., Liang, Q., Yu, W., Lin, H. and Huang, H. (2019) 'Nutrient release from fish cage aquaculture and mitigation strategies in Daya Bay, southern China', </w:t>
      </w:r>
      <w:r w:rsidRPr="00E312E3">
        <w:rPr>
          <w:rFonts w:ascii="Arial" w:hAnsi="Arial" w:cs="Arial"/>
          <w:bCs/>
          <w:i/>
          <w:iCs/>
          <w:sz w:val="20"/>
        </w:rPr>
        <w:t>Marine Pollution Bulletin</w:t>
      </w:r>
      <w:r w:rsidRPr="00E312E3">
        <w:rPr>
          <w:rFonts w:ascii="Arial" w:hAnsi="Arial" w:cs="Arial"/>
          <w:bCs/>
          <w:sz w:val="20"/>
        </w:rPr>
        <w:t>, 146, pp. 399–407.</w:t>
      </w:r>
    </w:p>
    <w:p w14:paraId="6D814C0C"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lastRenderedPageBreak/>
        <w:t xml:space="preserve">Radhakrishnan, E.V., </w:t>
      </w:r>
      <w:proofErr w:type="spellStart"/>
      <w:r w:rsidRPr="00E312E3">
        <w:rPr>
          <w:rFonts w:ascii="Arial" w:hAnsi="Arial" w:cs="Arial"/>
          <w:bCs/>
          <w:sz w:val="20"/>
        </w:rPr>
        <w:t>Kizhakudan</w:t>
      </w:r>
      <w:proofErr w:type="spellEnd"/>
      <w:r w:rsidRPr="00E312E3">
        <w:rPr>
          <w:rFonts w:ascii="Arial" w:hAnsi="Arial" w:cs="Arial"/>
          <w:bCs/>
          <w:sz w:val="20"/>
        </w:rPr>
        <w:t xml:space="preserve">, J.K. and Phillips, B.F. (2019) 'Introduction to lobsters: Biology, fisheries and aquaculture', in Phillips, B.F. (ed.) </w:t>
      </w:r>
      <w:r w:rsidRPr="00E312E3">
        <w:rPr>
          <w:rFonts w:ascii="Arial" w:hAnsi="Arial" w:cs="Arial"/>
          <w:bCs/>
          <w:i/>
          <w:iCs/>
          <w:sz w:val="20"/>
        </w:rPr>
        <w:t>Lobsters: Biology, Fisheries and Aquaculture</w:t>
      </w:r>
      <w:r w:rsidRPr="00E312E3">
        <w:rPr>
          <w:rFonts w:ascii="Arial" w:hAnsi="Arial" w:cs="Arial"/>
          <w:bCs/>
          <w:sz w:val="20"/>
        </w:rPr>
        <w:t xml:space="preserve">. 2nd </w:t>
      </w:r>
      <w:proofErr w:type="spellStart"/>
      <w:r w:rsidRPr="00E312E3">
        <w:rPr>
          <w:rFonts w:ascii="Arial" w:hAnsi="Arial" w:cs="Arial"/>
          <w:bCs/>
          <w:sz w:val="20"/>
        </w:rPr>
        <w:t>edn</w:t>
      </w:r>
      <w:proofErr w:type="spellEnd"/>
      <w:r w:rsidRPr="00E312E3">
        <w:rPr>
          <w:rFonts w:ascii="Arial" w:hAnsi="Arial" w:cs="Arial"/>
          <w:bCs/>
          <w:sz w:val="20"/>
        </w:rPr>
        <w:t>. Oxford: Wiley-Blackwell, pp. 1–33.</w:t>
      </w:r>
    </w:p>
    <w:p w14:paraId="144F6651"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Ristea, E., </w:t>
      </w:r>
      <w:proofErr w:type="spellStart"/>
      <w:r w:rsidRPr="00E312E3">
        <w:rPr>
          <w:rFonts w:ascii="Arial" w:hAnsi="Arial" w:cs="Arial"/>
          <w:bCs/>
          <w:sz w:val="20"/>
        </w:rPr>
        <w:t>Bisinicu</w:t>
      </w:r>
      <w:proofErr w:type="spellEnd"/>
      <w:r w:rsidRPr="00E312E3">
        <w:rPr>
          <w:rFonts w:ascii="Arial" w:hAnsi="Arial" w:cs="Arial"/>
          <w:bCs/>
          <w:sz w:val="20"/>
        </w:rPr>
        <w:t xml:space="preserve">, E., Lavric, V., Parvulescu, O.C. and Lazar, L. (2025) 'A long-term perspective of seasonal shifts in nutrient dynamics and eutrophication in the Romanian Black Sea Coast', </w:t>
      </w:r>
      <w:r w:rsidRPr="00E312E3">
        <w:rPr>
          <w:rFonts w:ascii="Arial" w:hAnsi="Arial" w:cs="Arial"/>
          <w:bCs/>
          <w:i/>
          <w:iCs/>
          <w:sz w:val="20"/>
        </w:rPr>
        <w:t>Sustainability</w:t>
      </w:r>
      <w:r w:rsidRPr="00E312E3">
        <w:rPr>
          <w:rFonts w:ascii="Arial" w:hAnsi="Arial" w:cs="Arial"/>
          <w:bCs/>
          <w:sz w:val="20"/>
        </w:rPr>
        <w:t>, 17(3), p. 1090. Available at: https://doi.org/10.3390/su17031090.</w:t>
      </w:r>
    </w:p>
    <w:p w14:paraId="4514F1F0"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Tade, M.S., </w:t>
      </w:r>
      <w:proofErr w:type="spellStart"/>
      <w:r w:rsidRPr="00E312E3">
        <w:rPr>
          <w:rFonts w:ascii="Arial" w:hAnsi="Arial" w:cs="Arial"/>
          <w:bCs/>
          <w:sz w:val="20"/>
        </w:rPr>
        <w:t>Mojjada</w:t>
      </w:r>
      <w:proofErr w:type="spellEnd"/>
      <w:r w:rsidRPr="00E312E3">
        <w:rPr>
          <w:rFonts w:ascii="Arial" w:hAnsi="Arial" w:cs="Arial"/>
          <w:bCs/>
          <w:sz w:val="20"/>
        </w:rPr>
        <w:t xml:space="preserve">, S.K., </w:t>
      </w:r>
      <w:proofErr w:type="spellStart"/>
      <w:r w:rsidRPr="00E312E3">
        <w:rPr>
          <w:rFonts w:ascii="Arial" w:hAnsi="Arial" w:cs="Arial"/>
          <w:bCs/>
          <w:sz w:val="20"/>
        </w:rPr>
        <w:t>Pokkathappada</w:t>
      </w:r>
      <w:proofErr w:type="spellEnd"/>
      <w:r w:rsidRPr="00E312E3">
        <w:rPr>
          <w:rFonts w:ascii="Arial" w:hAnsi="Arial" w:cs="Arial"/>
          <w:bCs/>
          <w:sz w:val="20"/>
        </w:rPr>
        <w:t xml:space="preserve">, A.A., </w:t>
      </w:r>
      <w:proofErr w:type="spellStart"/>
      <w:r w:rsidRPr="00E312E3">
        <w:rPr>
          <w:rFonts w:ascii="Arial" w:hAnsi="Arial" w:cs="Arial"/>
          <w:bCs/>
          <w:sz w:val="20"/>
        </w:rPr>
        <w:t>Bagde</w:t>
      </w:r>
      <w:proofErr w:type="spellEnd"/>
      <w:r w:rsidRPr="00E312E3">
        <w:rPr>
          <w:rFonts w:ascii="Arial" w:hAnsi="Arial" w:cs="Arial"/>
          <w:bCs/>
          <w:sz w:val="20"/>
        </w:rPr>
        <w:t xml:space="preserve">, P.S., </w:t>
      </w:r>
      <w:proofErr w:type="spellStart"/>
      <w:r w:rsidRPr="00E312E3">
        <w:rPr>
          <w:rFonts w:ascii="Arial" w:hAnsi="Arial" w:cs="Arial"/>
          <w:bCs/>
          <w:sz w:val="20"/>
        </w:rPr>
        <w:t>Ramshad</w:t>
      </w:r>
      <w:proofErr w:type="spellEnd"/>
      <w:r w:rsidRPr="00E312E3">
        <w:rPr>
          <w:rFonts w:ascii="Arial" w:hAnsi="Arial" w:cs="Arial"/>
          <w:bCs/>
          <w:sz w:val="20"/>
        </w:rPr>
        <w:t xml:space="preserve">, T.S., Soni, M., Subramanian, A., Sundaram, S.L.P., Ignatius, B., Raghavan, S.V. and Gopalakrishnan, A. (2025) 'Ecosystem-based assessment of tropical lobster sea cage farming impact: A novel BACI-framework for sustainable mariculture expansion along the northeast coast of Arabian Sea', </w:t>
      </w:r>
      <w:r w:rsidRPr="00E312E3">
        <w:rPr>
          <w:rFonts w:ascii="Arial" w:hAnsi="Arial" w:cs="Arial"/>
          <w:bCs/>
          <w:i/>
          <w:iCs/>
          <w:sz w:val="20"/>
        </w:rPr>
        <w:t>Aquaculture</w:t>
      </w:r>
      <w:r w:rsidRPr="00E312E3">
        <w:rPr>
          <w:rFonts w:ascii="Arial" w:hAnsi="Arial" w:cs="Arial"/>
          <w:bCs/>
          <w:sz w:val="20"/>
        </w:rPr>
        <w:t>, p. 743294.</w:t>
      </w:r>
    </w:p>
    <w:p w14:paraId="4F926D16" w14:textId="77777777" w:rsidR="00190E57" w:rsidRPr="00E312E3" w:rsidRDefault="00190E57" w:rsidP="00190E57">
      <w:pPr>
        <w:pStyle w:val="ListParagraph"/>
        <w:numPr>
          <w:ilvl w:val="0"/>
          <w:numId w:val="4"/>
        </w:numPr>
        <w:jc w:val="both"/>
        <w:rPr>
          <w:rFonts w:ascii="Arial" w:hAnsi="Arial" w:cs="Arial"/>
          <w:bCs/>
          <w:sz w:val="20"/>
        </w:rPr>
      </w:pPr>
      <w:proofErr w:type="spellStart"/>
      <w:r w:rsidRPr="00E312E3">
        <w:rPr>
          <w:rFonts w:ascii="Arial" w:hAnsi="Arial" w:cs="Arial"/>
          <w:bCs/>
          <w:sz w:val="20"/>
        </w:rPr>
        <w:t>Verdegem</w:t>
      </w:r>
      <w:proofErr w:type="spellEnd"/>
      <w:r w:rsidRPr="00E312E3">
        <w:rPr>
          <w:rFonts w:ascii="Arial" w:hAnsi="Arial" w:cs="Arial"/>
          <w:bCs/>
          <w:sz w:val="20"/>
        </w:rPr>
        <w:t xml:space="preserve">, M.C.J. (2013) 'Nutrient discharge from aquaculture operations in function of system design and production environment', </w:t>
      </w:r>
      <w:r w:rsidRPr="00E312E3">
        <w:rPr>
          <w:rFonts w:ascii="Arial" w:hAnsi="Arial" w:cs="Arial"/>
          <w:bCs/>
          <w:i/>
          <w:iCs/>
          <w:sz w:val="20"/>
        </w:rPr>
        <w:t>Reviews in Aquaculture</w:t>
      </w:r>
      <w:r w:rsidRPr="00E312E3">
        <w:rPr>
          <w:rFonts w:ascii="Arial" w:hAnsi="Arial" w:cs="Arial"/>
          <w:bCs/>
          <w:sz w:val="20"/>
        </w:rPr>
        <w:t>, 5(3), pp. 158–171.</w:t>
      </w:r>
    </w:p>
    <w:p w14:paraId="3F6FCA38"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Wang, X., Olsen, L.M., Reitan, K.I. and Olsen, Y. (2012) 'Discharge of nutrient wastes from salmon farms: Environmental effects, and potential for integrated multi-trophic aquaculture', </w:t>
      </w:r>
      <w:r w:rsidRPr="00E312E3">
        <w:rPr>
          <w:rFonts w:ascii="Arial" w:hAnsi="Arial" w:cs="Arial"/>
          <w:bCs/>
          <w:i/>
          <w:iCs/>
          <w:sz w:val="20"/>
        </w:rPr>
        <w:t>Aquaculture Environment Interactions</w:t>
      </w:r>
      <w:r w:rsidRPr="00E312E3">
        <w:rPr>
          <w:rFonts w:ascii="Arial" w:hAnsi="Arial" w:cs="Arial"/>
          <w:bCs/>
          <w:sz w:val="20"/>
        </w:rPr>
        <w:t>, 2(3), pp. 267–283.</w:t>
      </w:r>
    </w:p>
    <w:p w14:paraId="3EADAF65" w14:textId="77777777" w:rsidR="00190E57" w:rsidRPr="00E312E3"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Wen, Y., Wei, X., Shu, T., Zhou, J., Yu, G., Li, F. and Huang, Y. (2007) 'Forms and balance of nitrogen and phosphorus in cage culture waters in Guangdong Province, China', </w:t>
      </w:r>
      <w:r w:rsidRPr="00E312E3">
        <w:rPr>
          <w:rFonts w:ascii="Arial" w:hAnsi="Arial" w:cs="Arial"/>
          <w:bCs/>
          <w:i/>
          <w:iCs/>
          <w:sz w:val="20"/>
        </w:rPr>
        <w:t>Chinese Geographical Science</w:t>
      </w:r>
      <w:r w:rsidRPr="00E312E3">
        <w:rPr>
          <w:rFonts w:ascii="Arial" w:hAnsi="Arial" w:cs="Arial"/>
          <w:bCs/>
          <w:sz w:val="20"/>
        </w:rPr>
        <w:t xml:space="preserve">, 17, pp. 370–375. Available at: </w:t>
      </w:r>
      <w:hyperlink r:id="rId23" w:tgtFrame="_new" w:history="1">
        <w:r w:rsidRPr="00E312E3">
          <w:rPr>
            <w:rStyle w:val="Hyperlink"/>
            <w:rFonts w:ascii="Arial" w:hAnsi="Arial" w:cs="Arial"/>
            <w:bCs/>
            <w:sz w:val="20"/>
          </w:rPr>
          <w:t>https://doi.org/10.1007/s11769-007-0370-9</w:t>
        </w:r>
      </w:hyperlink>
      <w:r w:rsidRPr="00E312E3">
        <w:rPr>
          <w:rFonts w:ascii="Arial" w:hAnsi="Arial" w:cs="Arial"/>
          <w:bCs/>
          <w:sz w:val="20"/>
        </w:rPr>
        <w:t>.</w:t>
      </w:r>
    </w:p>
    <w:p w14:paraId="282E827F" w14:textId="1DBFB94C" w:rsidR="00190E57" w:rsidRDefault="00190E57" w:rsidP="00190E57">
      <w:pPr>
        <w:pStyle w:val="ListParagraph"/>
        <w:numPr>
          <w:ilvl w:val="0"/>
          <w:numId w:val="4"/>
        </w:numPr>
        <w:jc w:val="both"/>
        <w:rPr>
          <w:rFonts w:ascii="Arial" w:hAnsi="Arial" w:cs="Arial"/>
          <w:bCs/>
          <w:sz w:val="20"/>
        </w:rPr>
      </w:pPr>
      <w:r w:rsidRPr="00E312E3">
        <w:rPr>
          <w:rFonts w:ascii="Arial" w:hAnsi="Arial" w:cs="Arial"/>
          <w:bCs/>
          <w:sz w:val="20"/>
        </w:rPr>
        <w:t xml:space="preserve">Wu, R.S.S. (1995) 'The environmental impact of marine fish culture: Towards a sustainable future', </w:t>
      </w:r>
      <w:r w:rsidRPr="00E312E3">
        <w:rPr>
          <w:rFonts w:ascii="Arial" w:hAnsi="Arial" w:cs="Arial"/>
          <w:bCs/>
          <w:i/>
          <w:iCs/>
          <w:sz w:val="20"/>
        </w:rPr>
        <w:t>Marine Pollution Bulletin</w:t>
      </w:r>
      <w:r w:rsidRPr="00E312E3">
        <w:rPr>
          <w:rFonts w:ascii="Arial" w:hAnsi="Arial" w:cs="Arial"/>
          <w:bCs/>
          <w:sz w:val="20"/>
        </w:rPr>
        <w:t xml:space="preserve">, 31(4–12), pp. 159–166. Available at: </w:t>
      </w:r>
      <w:hyperlink r:id="rId24" w:history="1">
        <w:r w:rsidR="00EF2630" w:rsidRPr="00C13D08">
          <w:rPr>
            <w:rStyle w:val="Hyperlink"/>
            <w:rFonts w:ascii="Arial" w:hAnsi="Arial" w:cs="Arial"/>
            <w:bCs/>
            <w:sz w:val="20"/>
          </w:rPr>
          <w:t>https://doi.org/10.1016/0025-326X(95)00100-2</w:t>
        </w:r>
      </w:hyperlink>
      <w:r w:rsidRPr="00E312E3">
        <w:rPr>
          <w:rFonts w:ascii="Arial" w:hAnsi="Arial" w:cs="Arial"/>
          <w:bCs/>
          <w:sz w:val="20"/>
        </w:rPr>
        <w:t>.</w:t>
      </w:r>
    </w:p>
    <w:p w14:paraId="0225EB0C" w14:textId="77777777" w:rsidR="00EF2630" w:rsidRDefault="00EF2630" w:rsidP="00EF2630">
      <w:pPr>
        <w:jc w:val="both"/>
        <w:rPr>
          <w:rFonts w:ascii="Arial" w:hAnsi="Arial" w:cs="Arial"/>
          <w:bCs/>
          <w:sz w:val="20"/>
        </w:rPr>
      </w:pPr>
    </w:p>
    <w:p w14:paraId="0A57488D" w14:textId="77777777" w:rsidR="00EF2630" w:rsidRDefault="00EF2630" w:rsidP="00EF2630">
      <w:pPr>
        <w:jc w:val="both"/>
        <w:rPr>
          <w:rFonts w:ascii="Arial" w:hAnsi="Arial" w:cs="Arial"/>
          <w:bCs/>
          <w:sz w:val="20"/>
        </w:rPr>
      </w:pPr>
    </w:p>
    <w:p w14:paraId="021E8DA9" w14:textId="77777777" w:rsidR="006B76B5" w:rsidRDefault="006B76B5" w:rsidP="00EF2630">
      <w:pPr>
        <w:jc w:val="both"/>
        <w:rPr>
          <w:rFonts w:ascii="Arial" w:hAnsi="Arial" w:cs="Arial"/>
          <w:bCs/>
          <w:sz w:val="20"/>
        </w:rPr>
      </w:pPr>
    </w:p>
    <w:p w14:paraId="06A20F14" w14:textId="77777777" w:rsidR="006B76B5" w:rsidRDefault="006B76B5" w:rsidP="00EF2630">
      <w:pPr>
        <w:jc w:val="both"/>
        <w:rPr>
          <w:rFonts w:ascii="Arial" w:hAnsi="Arial" w:cs="Arial"/>
          <w:bCs/>
          <w:sz w:val="20"/>
        </w:rPr>
      </w:pPr>
    </w:p>
    <w:p w14:paraId="51BBE31F" w14:textId="77777777" w:rsidR="006B76B5" w:rsidRDefault="006B76B5" w:rsidP="00EF2630">
      <w:pPr>
        <w:jc w:val="both"/>
        <w:rPr>
          <w:rFonts w:ascii="Arial" w:hAnsi="Arial" w:cs="Arial"/>
          <w:bCs/>
          <w:sz w:val="20"/>
        </w:rPr>
      </w:pPr>
    </w:p>
    <w:p w14:paraId="4CB4EED6" w14:textId="77777777" w:rsidR="006B76B5" w:rsidRDefault="006B76B5" w:rsidP="00EF2630">
      <w:pPr>
        <w:jc w:val="both"/>
        <w:rPr>
          <w:rFonts w:ascii="Arial" w:hAnsi="Arial" w:cs="Arial"/>
          <w:bCs/>
          <w:sz w:val="20"/>
        </w:rPr>
      </w:pPr>
    </w:p>
    <w:p w14:paraId="06351621" w14:textId="77777777" w:rsidR="006B76B5" w:rsidRDefault="006B76B5" w:rsidP="00EF2630">
      <w:pPr>
        <w:jc w:val="both"/>
        <w:rPr>
          <w:rFonts w:ascii="Arial" w:hAnsi="Arial" w:cs="Arial"/>
          <w:bCs/>
          <w:sz w:val="20"/>
        </w:rPr>
      </w:pPr>
    </w:p>
    <w:p w14:paraId="514424FF" w14:textId="77777777" w:rsidR="00EF2630" w:rsidRDefault="00EF2630" w:rsidP="00EF2630">
      <w:pPr>
        <w:spacing w:before="100" w:beforeAutospacing="1" w:after="100" w:afterAutospacing="1" w:line="240" w:lineRule="auto"/>
        <w:jc w:val="both"/>
        <w:rPr>
          <w:rFonts w:ascii="Arial" w:eastAsia="Times New Roman" w:hAnsi="Arial" w:cs="Arial"/>
          <w:b/>
          <w:lang w:eastAsia="en-IN"/>
        </w:rPr>
      </w:pPr>
      <w:r>
        <w:rPr>
          <w:rFonts w:ascii="Arial" w:eastAsia="Times New Roman" w:hAnsi="Arial" w:cs="Arial"/>
          <w:b/>
          <w:lang w:eastAsia="en-IN"/>
        </w:rPr>
        <w:t>APPENDIX:</w:t>
      </w:r>
    </w:p>
    <w:p w14:paraId="7553CBF5" w14:textId="77777777" w:rsidR="00EF2630" w:rsidRPr="004128DB" w:rsidRDefault="00EF2630" w:rsidP="00EF2630">
      <w:pPr>
        <w:autoSpaceDE w:val="0"/>
        <w:autoSpaceDN w:val="0"/>
        <w:adjustRightInd w:val="0"/>
        <w:spacing w:after="0" w:line="480" w:lineRule="auto"/>
        <w:jc w:val="center"/>
        <w:rPr>
          <w:rFonts w:ascii="Arial" w:hAnsi="Arial" w:cs="Arial"/>
        </w:rPr>
      </w:pPr>
      <w:r w:rsidRPr="004128DB">
        <w:rPr>
          <w:rFonts w:ascii="Arial" w:hAnsi="Arial" w:cs="Arial"/>
          <w:b/>
        </w:rPr>
        <w:t>Table A1</w:t>
      </w:r>
      <w:r w:rsidRPr="004128DB">
        <w:rPr>
          <w:rFonts w:ascii="Arial" w:hAnsi="Arial" w:cs="Arial"/>
        </w:rPr>
        <w:t xml:space="preserve"> List of phytoplankton species and their abundance recorded during the study period.</w:t>
      </w:r>
    </w:p>
    <w:tbl>
      <w:tblPr>
        <w:tblW w:w="10114" w:type="dxa"/>
        <w:jc w:val="center"/>
        <w:tblLook w:val="04A0" w:firstRow="1" w:lastRow="0" w:firstColumn="1" w:lastColumn="0" w:noHBand="0" w:noVBand="1"/>
      </w:tblPr>
      <w:tblGrid>
        <w:gridCol w:w="740"/>
        <w:gridCol w:w="3513"/>
        <w:gridCol w:w="1388"/>
        <w:gridCol w:w="1520"/>
        <w:gridCol w:w="1520"/>
        <w:gridCol w:w="1433"/>
      </w:tblGrid>
      <w:tr w:rsidR="00EF2630" w:rsidRPr="004128DB" w14:paraId="2840FB02" w14:textId="77777777" w:rsidTr="002D4145">
        <w:trPr>
          <w:trHeight w:val="338"/>
          <w:jc w:val="center"/>
        </w:trPr>
        <w:tc>
          <w:tcPr>
            <w:tcW w:w="4253" w:type="dxa"/>
            <w:gridSpan w:val="2"/>
            <w:vMerge w:val="restart"/>
            <w:tcBorders>
              <w:top w:val="single" w:sz="4" w:space="0" w:color="auto"/>
              <w:left w:val="single" w:sz="4" w:space="0" w:color="auto"/>
              <w:right w:val="single" w:sz="4" w:space="0" w:color="auto"/>
            </w:tcBorders>
            <w:noWrap/>
            <w:hideMark/>
          </w:tcPr>
          <w:p w14:paraId="2AC46041" w14:textId="77777777" w:rsidR="00EF2630" w:rsidRPr="004128DB" w:rsidRDefault="00EF2630" w:rsidP="002D4145">
            <w:pPr>
              <w:spacing w:after="0" w:line="240" w:lineRule="auto"/>
              <w:jc w:val="center"/>
              <w:rPr>
                <w:rFonts w:ascii="Arial" w:eastAsia="Times New Roman" w:hAnsi="Arial" w:cs="Arial"/>
                <w:color w:val="000000"/>
                <w:lang w:eastAsia="en-IN"/>
              </w:rPr>
            </w:pPr>
            <w:bookmarkStart w:id="2" w:name="_Hlk202363024"/>
            <w:r w:rsidRPr="004128DB">
              <w:rPr>
                <w:rFonts w:ascii="Arial" w:eastAsia="Times New Roman" w:hAnsi="Arial" w:cs="Arial"/>
                <w:color w:val="000000"/>
                <w:lang w:eastAsia="en-IN"/>
              </w:rPr>
              <w:t>Phytoplankton Species and (Symbols)</w:t>
            </w:r>
          </w:p>
          <w:p w14:paraId="4AAD66F8" w14:textId="77777777" w:rsidR="00EF2630" w:rsidRPr="004128DB" w:rsidRDefault="00EF2630" w:rsidP="002D4145">
            <w:pPr>
              <w:spacing w:after="0" w:line="240" w:lineRule="auto"/>
              <w:jc w:val="center"/>
              <w:rPr>
                <w:rFonts w:ascii="Arial" w:eastAsia="Times New Roman" w:hAnsi="Arial" w:cs="Arial"/>
                <w:color w:val="000000"/>
                <w:lang w:eastAsia="en-IN"/>
              </w:rPr>
            </w:pPr>
          </w:p>
        </w:tc>
        <w:tc>
          <w:tcPr>
            <w:tcW w:w="5861" w:type="dxa"/>
            <w:gridSpan w:val="4"/>
            <w:tcBorders>
              <w:top w:val="single" w:sz="4" w:space="0" w:color="auto"/>
              <w:left w:val="single" w:sz="4" w:space="0" w:color="auto"/>
              <w:bottom w:val="single" w:sz="4" w:space="0" w:color="auto"/>
              <w:right w:val="single" w:sz="4" w:space="0" w:color="auto"/>
            </w:tcBorders>
            <w:noWrap/>
            <w:hideMark/>
          </w:tcPr>
          <w:p w14:paraId="79540B43"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Abundance</w:t>
            </w:r>
          </w:p>
        </w:tc>
      </w:tr>
      <w:tr w:rsidR="00EF2630" w:rsidRPr="004128DB" w14:paraId="55300235" w14:textId="77777777" w:rsidTr="002D4145">
        <w:trPr>
          <w:trHeight w:val="338"/>
          <w:jc w:val="center"/>
        </w:trPr>
        <w:tc>
          <w:tcPr>
            <w:tcW w:w="4253" w:type="dxa"/>
            <w:gridSpan w:val="2"/>
            <w:vMerge/>
            <w:tcBorders>
              <w:left w:val="single" w:sz="4" w:space="0" w:color="auto"/>
              <w:bottom w:val="single" w:sz="4" w:space="0" w:color="auto"/>
              <w:right w:val="single" w:sz="4" w:space="0" w:color="auto"/>
            </w:tcBorders>
            <w:noWrap/>
            <w:hideMark/>
          </w:tcPr>
          <w:p w14:paraId="5FEA4455" w14:textId="77777777" w:rsidR="00EF2630" w:rsidRPr="004128DB" w:rsidRDefault="00EF2630" w:rsidP="002D4145">
            <w:pPr>
              <w:spacing w:after="0" w:line="240" w:lineRule="auto"/>
              <w:jc w:val="center"/>
              <w:rPr>
                <w:rFonts w:ascii="Arial" w:eastAsia="Times New Roman" w:hAnsi="Arial" w:cs="Arial"/>
                <w:color w:val="000000"/>
                <w:lang w:eastAsia="en-IN"/>
              </w:rPr>
            </w:pPr>
          </w:p>
        </w:tc>
        <w:tc>
          <w:tcPr>
            <w:tcW w:w="1388" w:type="dxa"/>
            <w:vMerge w:val="restart"/>
            <w:tcBorders>
              <w:top w:val="single" w:sz="4" w:space="0" w:color="auto"/>
              <w:left w:val="single" w:sz="4" w:space="0" w:color="auto"/>
              <w:right w:val="single" w:sz="4" w:space="0" w:color="auto"/>
            </w:tcBorders>
            <w:noWrap/>
            <w:hideMark/>
          </w:tcPr>
          <w:p w14:paraId="394C4B18" w14:textId="77777777" w:rsidR="00EF2630" w:rsidRPr="004128DB" w:rsidRDefault="00EF2630" w:rsidP="002D4145">
            <w:pPr>
              <w:spacing w:after="0" w:line="240" w:lineRule="auto"/>
              <w:jc w:val="center"/>
              <w:rPr>
                <w:rFonts w:ascii="Arial" w:eastAsia="Times New Roman" w:hAnsi="Arial" w:cs="Arial"/>
                <w:color w:val="000000"/>
                <w:lang w:eastAsia="en-IN"/>
              </w:rPr>
            </w:pPr>
          </w:p>
          <w:p w14:paraId="3EE9A5DF"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Reference Site</w:t>
            </w:r>
          </w:p>
        </w:tc>
        <w:tc>
          <w:tcPr>
            <w:tcW w:w="4473" w:type="dxa"/>
            <w:gridSpan w:val="3"/>
            <w:tcBorders>
              <w:top w:val="single" w:sz="4" w:space="0" w:color="auto"/>
              <w:left w:val="single" w:sz="4" w:space="0" w:color="auto"/>
              <w:bottom w:val="single" w:sz="4" w:space="0" w:color="auto"/>
              <w:right w:val="single" w:sz="4" w:space="0" w:color="auto"/>
            </w:tcBorders>
            <w:noWrap/>
            <w:hideMark/>
          </w:tcPr>
          <w:p w14:paraId="248D20CC"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Lobster Cage Culture Site</w:t>
            </w:r>
          </w:p>
        </w:tc>
      </w:tr>
      <w:tr w:rsidR="00EF2630" w:rsidRPr="004128DB" w14:paraId="5FEF0EE5" w14:textId="77777777" w:rsidTr="002D4145">
        <w:trPr>
          <w:trHeight w:val="327"/>
          <w:jc w:val="center"/>
        </w:trPr>
        <w:tc>
          <w:tcPr>
            <w:tcW w:w="4253" w:type="dxa"/>
            <w:gridSpan w:val="2"/>
            <w:tcBorders>
              <w:top w:val="single" w:sz="4" w:space="0" w:color="auto"/>
              <w:left w:val="single" w:sz="4" w:space="0" w:color="auto"/>
              <w:bottom w:val="single" w:sz="4" w:space="0" w:color="auto"/>
              <w:right w:val="single" w:sz="4" w:space="0" w:color="auto"/>
            </w:tcBorders>
            <w:noWrap/>
            <w:hideMark/>
          </w:tcPr>
          <w:p w14:paraId="2DD18BC3" w14:textId="77777777" w:rsidR="00EF2630" w:rsidRPr="004128DB" w:rsidRDefault="00EF2630" w:rsidP="002D4145">
            <w:pPr>
              <w:spacing w:after="0" w:line="240" w:lineRule="auto"/>
              <w:jc w:val="center"/>
              <w:rPr>
                <w:rFonts w:ascii="Arial" w:eastAsia="Times New Roman" w:hAnsi="Arial" w:cs="Arial"/>
                <w:b/>
                <w:bCs/>
                <w:color w:val="000000"/>
                <w:lang w:eastAsia="en-IN"/>
              </w:rPr>
            </w:pPr>
            <w:r w:rsidRPr="004128DB">
              <w:rPr>
                <w:rFonts w:ascii="Arial" w:eastAsia="Times New Roman" w:hAnsi="Arial" w:cs="Arial"/>
                <w:color w:val="000000"/>
                <w:lang w:eastAsia="en-IN"/>
              </w:rPr>
              <w:t>Class: Bacillariophyceae (Diatoms)</w:t>
            </w:r>
          </w:p>
        </w:tc>
        <w:tc>
          <w:tcPr>
            <w:tcW w:w="1388" w:type="dxa"/>
            <w:vMerge/>
            <w:tcBorders>
              <w:left w:val="single" w:sz="4" w:space="0" w:color="auto"/>
              <w:right w:val="single" w:sz="4" w:space="0" w:color="auto"/>
            </w:tcBorders>
            <w:noWrap/>
            <w:hideMark/>
          </w:tcPr>
          <w:p w14:paraId="5AEB8FE1" w14:textId="77777777" w:rsidR="00EF2630" w:rsidRPr="004128DB" w:rsidRDefault="00EF2630" w:rsidP="002D4145">
            <w:pPr>
              <w:spacing w:after="0" w:line="240" w:lineRule="auto"/>
              <w:jc w:val="center"/>
              <w:rPr>
                <w:rFonts w:ascii="Arial" w:eastAsia="Times New Roman" w:hAnsi="Arial" w:cs="Arial"/>
                <w:color w:val="000000"/>
                <w:lang w:eastAsia="en-IN"/>
              </w:rPr>
            </w:pPr>
          </w:p>
        </w:tc>
        <w:tc>
          <w:tcPr>
            <w:tcW w:w="1520" w:type="dxa"/>
            <w:vMerge w:val="restart"/>
            <w:tcBorders>
              <w:top w:val="single" w:sz="4" w:space="0" w:color="auto"/>
              <w:left w:val="single" w:sz="4" w:space="0" w:color="auto"/>
              <w:bottom w:val="single" w:sz="4" w:space="0" w:color="auto"/>
              <w:right w:val="single" w:sz="4" w:space="0" w:color="auto"/>
            </w:tcBorders>
            <w:noWrap/>
            <w:hideMark/>
          </w:tcPr>
          <w:p w14:paraId="19FB94FD"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Before Culture</w:t>
            </w:r>
          </w:p>
        </w:tc>
        <w:tc>
          <w:tcPr>
            <w:tcW w:w="1520" w:type="dxa"/>
            <w:vMerge w:val="restart"/>
            <w:tcBorders>
              <w:top w:val="single" w:sz="4" w:space="0" w:color="auto"/>
              <w:left w:val="single" w:sz="4" w:space="0" w:color="auto"/>
              <w:bottom w:val="single" w:sz="4" w:space="0" w:color="auto"/>
              <w:right w:val="single" w:sz="4" w:space="0" w:color="auto"/>
            </w:tcBorders>
            <w:noWrap/>
            <w:hideMark/>
          </w:tcPr>
          <w:p w14:paraId="638F771D"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During Culture</w:t>
            </w:r>
          </w:p>
        </w:tc>
        <w:tc>
          <w:tcPr>
            <w:tcW w:w="1433" w:type="dxa"/>
            <w:vMerge w:val="restart"/>
            <w:tcBorders>
              <w:top w:val="single" w:sz="4" w:space="0" w:color="auto"/>
              <w:left w:val="single" w:sz="4" w:space="0" w:color="auto"/>
              <w:bottom w:val="single" w:sz="4" w:space="0" w:color="auto"/>
              <w:right w:val="single" w:sz="4" w:space="0" w:color="auto"/>
            </w:tcBorders>
            <w:noWrap/>
            <w:hideMark/>
          </w:tcPr>
          <w:p w14:paraId="11D97F23"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After culture</w:t>
            </w:r>
          </w:p>
        </w:tc>
      </w:tr>
      <w:tr w:rsidR="00EF2630" w:rsidRPr="004128DB" w14:paraId="7A562D41" w14:textId="77777777" w:rsidTr="002D4145">
        <w:trPr>
          <w:trHeight w:val="327"/>
          <w:jc w:val="center"/>
        </w:trPr>
        <w:tc>
          <w:tcPr>
            <w:tcW w:w="4253" w:type="dxa"/>
            <w:gridSpan w:val="2"/>
            <w:tcBorders>
              <w:top w:val="single" w:sz="4" w:space="0" w:color="auto"/>
              <w:left w:val="single" w:sz="4" w:space="0" w:color="auto"/>
              <w:bottom w:val="single" w:sz="4" w:space="0" w:color="auto"/>
              <w:right w:val="single" w:sz="4" w:space="0" w:color="auto"/>
            </w:tcBorders>
            <w:noWrap/>
            <w:hideMark/>
          </w:tcPr>
          <w:p w14:paraId="711B5555" w14:textId="77777777" w:rsidR="00EF2630" w:rsidRPr="004128DB" w:rsidRDefault="00EF2630" w:rsidP="002D4145">
            <w:pPr>
              <w:spacing w:after="0" w:line="240" w:lineRule="auto"/>
              <w:jc w:val="center"/>
              <w:rPr>
                <w:rFonts w:ascii="Arial" w:eastAsia="Times New Roman" w:hAnsi="Arial" w:cs="Arial"/>
                <w:b/>
                <w:bCs/>
                <w:color w:val="000000"/>
                <w:lang w:eastAsia="en-IN"/>
              </w:rPr>
            </w:pPr>
            <w:bookmarkStart w:id="3" w:name="_Hlk221201169"/>
            <w:r w:rsidRPr="004128DB">
              <w:rPr>
                <w:rFonts w:ascii="Arial" w:eastAsia="Times New Roman" w:hAnsi="Arial" w:cs="Arial"/>
                <w:color w:val="000000"/>
                <w:lang w:eastAsia="en-IN"/>
              </w:rPr>
              <w:t xml:space="preserve">Order: </w:t>
            </w:r>
            <w:proofErr w:type="spellStart"/>
            <w:r w:rsidRPr="004128DB">
              <w:rPr>
                <w:rFonts w:ascii="Arial" w:eastAsia="Times New Roman" w:hAnsi="Arial" w:cs="Arial"/>
                <w:color w:val="000000"/>
                <w:lang w:eastAsia="en-IN"/>
              </w:rPr>
              <w:t>Centrales</w:t>
            </w:r>
            <w:proofErr w:type="spellEnd"/>
          </w:p>
        </w:tc>
        <w:tc>
          <w:tcPr>
            <w:tcW w:w="1388" w:type="dxa"/>
            <w:vMerge/>
            <w:tcBorders>
              <w:left w:val="single" w:sz="4" w:space="0" w:color="auto"/>
              <w:bottom w:val="single" w:sz="4" w:space="0" w:color="auto"/>
              <w:right w:val="single" w:sz="4" w:space="0" w:color="auto"/>
            </w:tcBorders>
            <w:hideMark/>
          </w:tcPr>
          <w:p w14:paraId="40A59E88" w14:textId="77777777" w:rsidR="00EF2630" w:rsidRPr="004128DB" w:rsidRDefault="00EF2630" w:rsidP="002D4145">
            <w:pPr>
              <w:spacing w:after="0" w:line="240" w:lineRule="auto"/>
              <w:jc w:val="center"/>
              <w:rPr>
                <w:rFonts w:ascii="Arial" w:eastAsia="Times New Roman" w:hAnsi="Arial" w:cs="Arial"/>
                <w:color w:val="000000"/>
                <w:lang w:eastAsia="en-IN"/>
              </w:rPr>
            </w:pPr>
          </w:p>
        </w:tc>
        <w:tc>
          <w:tcPr>
            <w:tcW w:w="1520" w:type="dxa"/>
            <w:vMerge/>
            <w:tcBorders>
              <w:top w:val="single" w:sz="4" w:space="0" w:color="auto"/>
              <w:left w:val="single" w:sz="4" w:space="0" w:color="auto"/>
              <w:bottom w:val="single" w:sz="4" w:space="0" w:color="auto"/>
              <w:right w:val="single" w:sz="4" w:space="0" w:color="auto"/>
            </w:tcBorders>
            <w:hideMark/>
          </w:tcPr>
          <w:p w14:paraId="2CBF9C9A" w14:textId="77777777" w:rsidR="00EF2630" w:rsidRPr="004128DB" w:rsidRDefault="00EF2630" w:rsidP="002D4145">
            <w:pPr>
              <w:spacing w:after="0" w:line="240" w:lineRule="auto"/>
              <w:jc w:val="center"/>
              <w:rPr>
                <w:rFonts w:ascii="Arial" w:eastAsia="Times New Roman" w:hAnsi="Arial" w:cs="Arial"/>
                <w:color w:val="000000"/>
                <w:lang w:eastAsia="en-IN"/>
              </w:rPr>
            </w:pPr>
          </w:p>
        </w:tc>
        <w:tc>
          <w:tcPr>
            <w:tcW w:w="1520" w:type="dxa"/>
            <w:vMerge/>
            <w:tcBorders>
              <w:top w:val="single" w:sz="4" w:space="0" w:color="auto"/>
              <w:left w:val="single" w:sz="4" w:space="0" w:color="auto"/>
              <w:bottom w:val="single" w:sz="4" w:space="0" w:color="auto"/>
              <w:right w:val="single" w:sz="4" w:space="0" w:color="auto"/>
            </w:tcBorders>
            <w:hideMark/>
          </w:tcPr>
          <w:p w14:paraId="4DE78794" w14:textId="77777777" w:rsidR="00EF2630" w:rsidRPr="004128DB" w:rsidRDefault="00EF2630" w:rsidP="002D4145">
            <w:pPr>
              <w:spacing w:after="0" w:line="240" w:lineRule="auto"/>
              <w:jc w:val="center"/>
              <w:rPr>
                <w:rFonts w:ascii="Arial" w:eastAsia="Times New Roman" w:hAnsi="Arial" w:cs="Arial"/>
                <w:color w:val="000000"/>
                <w:lang w:eastAsia="en-IN"/>
              </w:rPr>
            </w:pPr>
          </w:p>
        </w:tc>
        <w:tc>
          <w:tcPr>
            <w:tcW w:w="1433" w:type="dxa"/>
            <w:vMerge/>
            <w:tcBorders>
              <w:top w:val="single" w:sz="4" w:space="0" w:color="auto"/>
              <w:left w:val="single" w:sz="4" w:space="0" w:color="auto"/>
              <w:bottom w:val="single" w:sz="4" w:space="0" w:color="auto"/>
              <w:right w:val="single" w:sz="4" w:space="0" w:color="auto"/>
            </w:tcBorders>
            <w:hideMark/>
          </w:tcPr>
          <w:p w14:paraId="4649051E" w14:textId="77777777" w:rsidR="00EF2630" w:rsidRPr="004128DB" w:rsidRDefault="00EF2630" w:rsidP="002D4145">
            <w:pPr>
              <w:spacing w:after="0" w:line="240" w:lineRule="auto"/>
              <w:jc w:val="center"/>
              <w:rPr>
                <w:rFonts w:ascii="Arial" w:eastAsia="Times New Roman" w:hAnsi="Arial" w:cs="Arial"/>
                <w:color w:val="000000"/>
                <w:lang w:eastAsia="en-IN"/>
              </w:rPr>
            </w:pPr>
          </w:p>
        </w:tc>
      </w:tr>
      <w:tr w:rsidR="00EF2630" w:rsidRPr="004128DB" w14:paraId="2DA9EF34"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hideMark/>
          </w:tcPr>
          <w:p w14:paraId="57132341" w14:textId="77777777" w:rsidR="00EF2630" w:rsidRPr="004128DB" w:rsidRDefault="00EF2630" w:rsidP="002D4145">
            <w:pPr>
              <w:spacing w:after="0" w:line="240" w:lineRule="auto"/>
              <w:jc w:val="center"/>
              <w:rPr>
                <w:rFonts w:ascii="Arial" w:eastAsia="Times New Roman" w:hAnsi="Arial" w:cs="Arial"/>
                <w:color w:val="000000"/>
                <w:lang w:eastAsia="en-IN"/>
              </w:rPr>
            </w:pPr>
            <w:bookmarkStart w:id="4" w:name="_Hlk187166674"/>
            <w:bookmarkStart w:id="5" w:name="_Hlk201246633"/>
            <w:r w:rsidRPr="004128DB">
              <w:rPr>
                <w:rFonts w:ascii="Arial" w:eastAsia="Times New Roman" w:hAnsi="Arial" w:cs="Arial"/>
                <w:color w:val="000000"/>
                <w:lang w:eastAsia="en-IN"/>
              </w:rPr>
              <w:t>1</w:t>
            </w:r>
          </w:p>
        </w:tc>
        <w:tc>
          <w:tcPr>
            <w:tcW w:w="3513" w:type="dxa"/>
            <w:tcBorders>
              <w:top w:val="single" w:sz="4" w:space="0" w:color="auto"/>
              <w:left w:val="single" w:sz="4" w:space="0" w:color="auto"/>
              <w:bottom w:val="single" w:sz="4" w:space="0" w:color="auto"/>
              <w:right w:val="single" w:sz="4" w:space="0" w:color="auto"/>
            </w:tcBorders>
            <w:noWrap/>
            <w:hideMark/>
          </w:tcPr>
          <w:p w14:paraId="143C4C35" w14:textId="77777777" w:rsidR="00EF2630" w:rsidRPr="004128DB" w:rsidRDefault="00EF2630" w:rsidP="002D4145">
            <w:pPr>
              <w:spacing w:after="0" w:line="240" w:lineRule="auto"/>
              <w:jc w:val="center"/>
              <w:rPr>
                <w:rFonts w:ascii="Arial" w:eastAsia="Times New Roman" w:hAnsi="Arial" w:cs="Arial"/>
                <w:iCs/>
                <w:color w:val="000000"/>
                <w:lang w:eastAsia="en-IN"/>
              </w:rPr>
            </w:pPr>
            <w:r w:rsidRPr="004128DB">
              <w:rPr>
                <w:rFonts w:ascii="Arial" w:eastAsia="Times New Roman" w:hAnsi="Arial" w:cs="Arial"/>
                <w:i/>
                <w:iCs/>
                <w:color w:val="000000"/>
                <w:lang w:eastAsia="en-IN"/>
              </w:rPr>
              <w:t xml:space="preserve">Biddulphia </w:t>
            </w:r>
            <w:proofErr w:type="spellStart"/>
            <w:r w:rsidRPr="004128DB">
              <w:rPr>
                <w:rFonts w:ascii="Arial" w:eastAsia="Times New Roman" w:hAnsi="Arial" w:cs="Arial"/>
                <w:i/>
                <w:iCs/>
                <w:color w:val="000000"/>
                <w:lang w:eastAsia="en-IN"/>
              </w:rPr>
              <w:t>mobiliensis</w:t>
            </w:r>
            <w:proofErr w:type="spellEnd"/>
            <w:r w:rsidRPr="004128DB">
              <w:rPr>
                <w:rFonts w:ascii="Arial" w:eastAsia="Times New Roman" w:hAnsi="Arial" w:cs="Arial"/>
                <w:i/>
                <w:iCs/>
                <w:color w:val="000000"/>
                <w:lang w:eastAsia="en-IN"/>
              </w:rPr>
              <w:t xml:space="preserve"> </w:t>
            </w:r>
            <w:r w:rsidRPr="004128DB">
              <w:rPr>
                <w:rFonts w:ascii="Arial" w:eastAsia="Times New Roman" w:hAnsi="Arial" w:cs="Arial"/>
                <w:iCs/>
                <w:color w:val="000000"/>
                <w:lang w:eastAsia="en-IN"/>
              </w:rPr>
              <w:t>(BM)</w:t>
            </w:r>
          </w:p>
        </w:tc>
        <w:tc>
          <w:tcPr>
            <w:tcW w:w="1388" w:type="dxa"/>
            <w:tcBorders>
              <w:top w:val="single" w:sz="4" w:space="0" w:color="auto"/>
              <w:left w:val="single" w:sz="4" w:space="0" w:color="auto"/>
              <w:bottom w:val="single" w:sz="4" w:space="0" w:color="auto"/>
              <w:right w:val="single" w:sz="4" w:space="0" w:color="auto"/>
            </w:tcBorders>
            <w:noWrap/>
            <w:hideMark/>
          </w:tcPr>
          <w:p w14:paraId="68444DB1"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1F65613C"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0F4FFDC9"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0AC7CA56"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32D67E27"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hideMark/>
          </w:tcPr>
          <w:p w14:paraId="6B4A6CF0"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2</w:t>
            </w:r>
          </w:p>
        </w:tc>
        <w:tc>
          <w:tcPr>
            <w:tcW w:w="3513" w:type="dxa"/>
            <w:tcBorders>
              <w:top w:val="single" w:sz="4" w:space="0" w:color="auto"/>
              <w:left w:val="single" w:sz="4" w:space="0" w:color="auto"/>
              <w:bottom w:val="single" w:sz="4" w:space="0" w:color="auto"/>
              <w:right w:val="single" w:sz="4" w:space="0" w:color="auto"/>
            </w:tcBorders>
            <w:hideMark/>
          </w:tcPr>
          <w:p w14:paraId="2142253B" w14:textId="77777777" w:rsidR="00EF2630" w:rsidRPr="004128DB" w:rsidRDefault="00EF2630" w:rsidP="002D4145">
            <w:pPr>
              <w:spacing w:after="0" w:line="240" w:lineRule="auto"/>
              <w:jc w:val="center"/>
              <w:rPr>
                <w:rFonts w:ascii="Arial" w:eastAsia="Times New Roman" w:hAnsi="Arial" w:cs="Arial"/>
                <w:iCs/>
                <w:color w:val="000000"/>
                <w:lang w:eastAsia="en-IN"/>
              </w:rPr>
            </w:pPr>
            <w:r w:rsidRPr="004128DB">
              <w:rPr>
                <w:rFonts w:ascii="Arial" w:eastAsia="Times New Roman" w:hAnsi="Arial" w:cs="Arial"/>
                <w:i/>
                <w:iCs/>
                <w:color w:val="000000"/>
                <w:lang w:eastAsia="en-IN"/>
              </w:rPr>
              <w:t xml:space="preserve">Biddulphia sinensis </w:t>
            </w:r>
            <w:r w:rsidRPr="004128DB">
              <w:rPr>
                <w:rFonts w:ascii="Arial" w:eastAsia="Times New Roman" w:hAnsi="Arial" w:cs="Arial"/>
                <w:iCs/>
                <w:color w:val="000000"/>
                <w:lang w:eastAsia="en-IN"/>
              </w:rPr>
              <w:t>(BS)</w:t>
            </w:r>
          </w:p>
        </w:tc>
        <w:tc>
          <w:tcPr>
            <w:tcW w:w="1388" w:type="dxa"/>
            <w:tcBorders>
              <w:top w:val="single" w:sz="4" w:space="0" w:color="auto"/>
              <w:left w:val="single" w:sz="4" w:space="0" w:color="auto"/>
              <w:bottom w:val="single" w:sz="4" w:space="0" w:color="auto"/>
              <w:right w:val="single" w:sz="4" w:space="0" w:color="auto"/>
            </w:tcBorders>
            <w:noWrap/>
            <w:hideMark/>
          </w:tcPr>
          <w:p w14:paraId="019B0D99"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34654CCC"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2D3FFA04"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0A672A82"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4BB5C3F5"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hideMark/>
          </w:tcPr>
          <w:p w14:paraId="69B273D9"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3</w:t>
            </w:r>
          </w:p>
        </w:tc>
        <w:tc>
          <w:tcPr>
            <w:tcW w:w="3513" w:type="dxa"/>
            <w:tcBorders>
              <w:top w:val="single" w:sz="4" w:space="0" w:color="auto"/>
              <w:left w:val="single" w:sz="4" w:space="0" w:color="auto"/>
              <w:bottom w:val="single" w:sz="4" w:space="0" w:color="auto"/>
              <w:right w:val="single" w:sz="4" w:space="0" w:color="auto"/>
            </w:tcBorders>
            <w:noWrap/>
            <w:hideMark/>
          </w:tcPr>
          <w:p w14:paraId="7E132D93" w14:textId="77777777" w:rsidR="00EF2630" w:rsidRPr="004128DB" w:rsidRDefault="00EF2630" w:rsidP="002D4145">
            <w:pPr>
              <w:spacing w:after="0" w:line="240" w:lineRule="auto"/>
              <w:jc w:val="center"/>
              <w:rPr>
                <w:rFonts w:ascii="Arial" w:eastAsia="Times New Roman" w:hAnsi="Arial" w:cs="Arial"/>
                <w:iCs/>
                <w:color w:val="000000"/>
                <w:lang w:eastAsia="en-IN"/>
              </w:rPr>
            </w:pPr>
            <w:proofErr w:type="spellStart"/>
            <w:r w:rsidRPr="004128DB">
              <w:rPr>
                <w:rFonts w:ascii="Arial" w:eastAsia="Times New Roman" w:hAnsi="Arial" w:cs="Arial"/>
                <w:i/>
                <w:iCs/>
                <w:color w:val="000000"/>
                <w:lang w:eastAsia="en-IN"/>
              </w:rPr>
              <w:t>Cerataulina</w:t>
            </w:r>
            <w:proofErr w:type="spellEnd"/>
            <w:r w:rsidRPr="004128DB">
              <w:rPr>
                <w:rFonts w:ascii="Arial" w:eastAsia="Times New Roman" w:hAnsi="Arial" w:cs="Arial"/>
                <w:i/>
                <w:iCs/>
                <w:color w:val="000000"/>
                <w:lang w:eastAsia="en-IN"/>
              </w:rPr>
              <w:t xml:space="preserve"> </w:t>
            </w:r>
            <w:proofErr w:type="spellStart"/>
            <w:r w:rsidRPr="004128DB">
              <w:rPr>
                <w:rFonts w:ascii="Arial" w:eastAsia="Times New Roman" w:hAnsi="Arial" w:cs="Arial"/>
                <w:i/>
                <w:iCs/>
                <w:color w:val="000000"/>
                <w:lang w:eastAsia="en-IN"/>
              </w:rPr>
              <w:t>bergonii</w:t>
            </w:r>
            <w:proofErr w:type="spellEnd"/>
            <w:r w:rsidRPr="004128DB">
              <w:rPr>
                <w:rFonts w:ascii="Arial" w:eastAsia="Times New Roman" w:hAnsi="Arial" w:cs="Arial"/>
                <w:i/>
                <w:iCs/>
                <w:color w:val="000000"/>
                <w:lang w:eastAsia="en-IN"/>
              </w:rPr>
              <w:t xml:space="preserve"> </w:t>
            </w:r>
            <w:r w:rsidRPr="004128DB">
              <w:rPr>
                <w:rFonts w:ascii="Arial" w:eastAsia="Times New Roman" w:hAnsi="Arial" w:cs="Arial"/>
                <w:iCs/>
                <w:color w:val="000000"/>
                <w:lang w:eastAsia="en-IN"/>
              </w:rPr>
              <w:t>(CB)</w:t>
            </w:r>
          </w:p>
        </w:tc>
        <w:tc>
          <w:tcPr>
            <w:tcW w:w="1388" w:type="dxa"/>
            <w:tcBorders>
              <w:top w:val="single" w:sz="4" w:space="0" w:color="auto"/>
              <w:left w:val="single" w:sz="4" w:space="0" w:color="auto"/>
              <w:bottom w:val="single" w:sz="4" w:space="0" w:color="auto"/>
              <w:right w:val="single" w:sz="4" w:space="0" w:color="auto"/>
            </w:tcBorders>
            <w:noWrap/>
            <w:hideMark/>
          </w:tcPr>
          <w:p w14:paraId="40C84B8D"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5F073078"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31DB5A0A"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471A016E"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05D71AD2"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hideMark/>
          </w:tcPr>
          <w:p w14:paraId="172B7688"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4</w:t>
            </w:r>
          </w:p>
        </w:tc>
        <w:tc>
          <w:tcPr>
            <w:tcW w:w="3513" w:type="dxa"/>
            <w:tcBorders>
              <w:top w:val="single" w:sz="4" w:space="0" w:color="auto"/>
              <w:left w:val="single" w:sz="4" w:space="0" w:color="auto"/>
              <w:bottom w:val="single" w:sz="4" w:space="0" w:color="auto"/>
              <w:right w:val="single" w:sz="4" w:space="0" w:color="auto"/>
            </w:tcBorders>
            <w:hideMark/>
          </w:tcPr>
          <w:p w14:paraId="796F01CA" w14:textId="77777777" w:rsidR="00EF2630" w:rsidRPr="004128DB" w:rsidRDefault="00EF2630" w:rsidP="002D4145">
            <w:pPr>
              <w:spacing w:after="0" w:line="240" w:lineRule="auto"/>
              <w:jc w:val="center"/>
              <w:rPr>
                <w:rFonts w:ascii="Arial" w:eastAsia="Times New Roman" w:hAnsi="Arial" w:cs="Arial"/>
                <w:iCs/>
                <w:color w:val="000000"/>
                <w:lang w:eastAsia="en-IN"/>
              </w:rPr>
            </w:pPr>
            <w:proofErr w:type="spellStart"/>
            <w:r w:rsidRPr="004128DB">
              <w:rPr>
                <w:rFonts w:ascii="Arial" w:eastAsia="Times New Roman" w:hAnsi="Arial" w:cs="Arial"/>
                <w:i/>
                <w:iCs/>
                <w:color w:val="000000"/>
                <w:lang w:eastAsia="en-IN"/>
              </w:rPr>
              <w:t>Chaetoceros</w:t>
            </w:r>
            <w:proofErr w:type="spellEnd"/>
            <w:r w:rsidRPr="004128DB">
              <w:rPr>
                <w:rFonts w:ascii="Arial" w:eastAsia="Times New Roman" w:hAnsi="Arial" w:cs="Arial"/>
                <w:i/>
                <w:iCs/>
                <w:color w:val="000000"/>
                <w:lang w:eastAsia="en-IN"/>
              </w:rPr>
              <w:t xml:space="preserve"> sp. </w:t>
            </w:r>
            <w:r w:rsidRPr="004128DB">
              <w:rPr>
                <w:rFonts w:ascii="Arial" w:eastAsia="Times New Roman" w:hAnsi="Arial" w:cs="Arial"/>
                <w:iCs/>
                <w:color w:val="000000"/>
                <w:lang w:eastAsia="en-IN"/>
              </w:rPr>
              <w:t>(C)</w:t>
            </w:r>
          </w:p>
        </w:tc>
        <w:tc>
          <w:tcPr>
            <w:tcW w:w="1388" w:type="dxa"/>
            <w:tcBorders>
              <w:top w:val="single" w:sz="4" w:space="0" w:color="auto"/>
              <w:left w:val="single" w:sz="4" w:space="0" w:color="auto"/>
              <w:bottom w:val="single" w:sz="4" w:space="0" w:color="auto"/>
              <w:right w:val="single" w:sz="4" w:space="0" w:color="auto"/>
            </w:tcBorders>
            <w:noWrap/>
            <w:hideMark/>
          </w:tcPr>
          <w:p w14:paraId="32A4A00A"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709C6AA2"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3BB3C23C"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433" w:type="dxa"/>
            <w:tcBorders>
              <w:top w:val="single" w:sz="4" w:space="0" w:color="auto"/>
              <w:left w:val="single" w:sz="4" w:space="0" w:color="auto"/>
              <w:bottom w:val="single" w:sz="4" w:space="0" w:color="auto"/>
              <w:right w:val="single" w:sz="4" w:space="0" w:color="auto"/>
            </w:tcBorders>
            <w:noWrap/>
            <w:hideMark/>
          </w:tcPr>
          <w:p w14:paraId="7A2F5B86"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59946899"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hideMark/>
          </w:tcPr>
          <w:p w14:paraId="282C9693"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lastRenderedPageBreak/>
              <w:t>5</w:t>
            </w:r>
          </w:p>
        </w:tc>
        <w:tc>
          <w:tcPr>
            <w:tcW w:w="3513" w:type="dxa"/>
            <w:tcBorders>
              <w:top w:val="single" w:sz="4" w:space="0" w:color="auto"/>
              <w:left w:val="single" w:sz="4" w:space="0" w:color="auto"/>
              <w:bottom w:val="single" w:sz="4" w:space="0" w:color="auto"/>
              <w:right w:val="single" w:sz="4" w:space="0" w:color="auto"/>
            </w:tcBorders>
            <w:noWrap/>
            <w:hideMark/>
          </w:tcPr>
          <w:p w14:paraId="5199464A" w14:textId="77777777" w:rsidR="00EF2630" w:rsidRPr="004128DB" w:rsidRDefault="00EF2630" w:rsidP="002D4145">
            <w:pPr>
              <w:spacing w:after="0" w:line="240" w:lineRule="auto"/>
              <w:jc w:val="center"/>
              <w:rPr>
                <w:rFonts w:ascii="Arial" w:eastAsia="Times New Roman" w:hAnsi="Arial" w:cs="Arial"/>
                <w:iCs/>
                <w:color w:val="000000"/>
                <w:lang w:eastAsia="en-IN"/>
              </w:rPr>
            </w:pPr>
            <w:r w:rsidRPr="004128DB">
              <w:rPr>
                <w:rFonts w:ascii="Arial" w:eastAsia="Times New Roman" w:hAnsi="Arial" w:cs="Arial"/>
                <w:i/>
                <w:iCs/>
                <w:color w:val="000000"/>
                <w:lang w:eastAsia="en-IN"/>
              </w:rPr>
              <w:t xml:space="preserve">Coscinodiscus </w:t>
            </w:r>
            <w:proofErr w:type="spellStart"/>
            <w:r w:rsidRPr="004128DB">
              <w:rPr>
                <w:rFonts w:ascii="Arial" w:eastAsia="Times New Roman" w:hAnsi="Arial" w:cs="Arial"/>
                <w:i/>
                <w:iCs/>
                <w:color w:val="000000"/>
                <w:lang w:eastAsia="en-IN"/>
              </w:rPr>
              <w:t>excentricus</w:t>
            </w:r>
            <w:proofErr w:type="spellEnd"/>
            <w:r w:rsidRPr="004128DB">
              <w:rPr>
                <w:rFonts w:ascii="Arial" w:eastAsia="Times New Roman" w:hAnsi="Arial" w:cs="Arial"/>
                <w:i/>
                <w:iCs/>
                <w:color w:val="000000"/>
                <w:lang w:eastAsia="en-IN"/>
              </w:rPr>
              <w:t xml:space="preserve"> </w:t>
            </w:r>
            <w:r w:rsidRPr="004128DB">
              <w:rPr>
                <w:rFonts w:ascii="Arial" w:eastAsia="Times New Roman" w:hAnsi="Arial" w:cs="Arial"/>
                <w:iCs/>
                <w:color w:val="000000"/>
                <w:lang w:eastAsia="en-IN"/>
              </w:rPr>
              <w:t>(CE)</w:t>
            </w:r>
          </w:p>
        </w:tc>
        <w:tc>
          <w:tcPr>
            <w:tcW w:w="1388" w:type="dxa"/>
            <w:tcBorders>
              <w:top w:val="single" w:sz="4" w:space="0" w:color="auto"/>
              <w:left w:val="single" w:sz="4" w:space="0" w:color="auto"/>
              <w:bottom w:val="single" w:sz="4" w:space="0" w:color="auto"/>
              <w:right w:val="single" w:sz="4" w:space="0" w:color="auto"/>
            </w:tcBorders>
            <w:noWrap/>
            <w:hideMark/>
          </w:tcPr>
          <w:p w14:paraId="002A6A44"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763B5CF6"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5E6A344A"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2B64EAE7"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52AB58EE"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hideMark/>
          </w:tcPr>
          <w:p w14:paraId="2D7D96C4"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6</w:t>
            </w:r>
          </w:p>
        </w:tc>
        <w:tc>
          <w:tcPr>
            <w:tcW w:w="3513" w:type="dxa"/>
            <w:tcBorders>
              <w:top w:val="single" w:sz="4" w:space="0" w:color="auto"/>
              <w:left w:val="single" w:sz="4" w:space="0" w:color="auto"/>
              <w:bottom w:val="single" w:sz="4" w:space="0" w:color="auto"/>
              <w:right w:val="single" w:sz="4" w:space="0" w:color="auto"/>
            </w:tcBorders>
            <w:hideMark/>
          </w:tcPr>
          <w:p w14:paraId="460DA73B" w14:textId="77777777" w:rsidR="00EF2630" w:rsidRPr="004128DB" w:rsidRDefault="00EF2630" w:rsidP="002D4145">
            <w:pPr>
              <w:spacing w:after="0" w:line="240" w:lineRule="auto"/>
              <w:jc w:val="center"/>
              <w:rPr>
                <w:rFonts w:ascii="Arial" w:eastAsia="Times New Roman" w:hAnsi="Arial" w:cs="Arial"/>
                <w:iCs/>
                <w:color w:val="000000"/>
                <w:lang w:eastAsia="en-IN"/>
              </w:rPr>
            </w:pPr>
            <w:r w:rsidRPr="004128DB">
              <w:rPr>
                <w:rFonts w:ascii="Arial" w:eastAsia="Times New Roman" w:hAnsi="Arial" w:cs="Arial"/>
                <w:i/>
                <w:iCs/>
                <w:color w:val="000000"/>
                <w:lang w:eastAsia="en-IN"/>
              </w:rPr>
              <w:t xml:space="preserve">Coscinodiscus radiatus </w:t>
            </w:r>
            <w:r w:rsidRPr="004128DB">
              <w:rPr>
                <w:rFonts w:ascii="Arial" w:eastAsia="Times New Roman" w:hAnsi="Arial" w:cs="Arial"/>
                <w:iCs/>
                <w:color w:val="000000"/>
                <w:lang w:eastAsia="en-IN"/>
              </w:rPr>
              <w:t>(CR)</w:t>
            </w:r>
          </w:p>
        </w:tc>
        <w:tc>
          <w:tcPr>
            <w:tcW w:w="1388" w:type="dxa"/>
            <w:tcBorders>
              <w:top w:val="single" w:sz="4" w:space="0" w:color="auto"/>
              <w:left w:val="single" w:sz="4" w:space="0" w:color="auto"/>
              <w:bottom w:val="single" w:sz="4" w:space="0" w:color="auto"/>
              <w:right w:val="single" w:sz="4" w:space="0" w:color="auto"/>
            </w:tcBorders>
            <w:noWrap/>
            <w:hideMark/>
          </w:tcPr>
          <w:p w14:paraId="14D56DF5"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5AE81C94"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159D4C09"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4E7AA8D2"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199A5C3D"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hideMark/>
          </w:tcPr>
          <w:p w14:paraId="127F77BC"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7</w:t>
            </w:r>
          </w:p>
        </w:tc>
        <w:tc>
          <w:tcPr>
            <w:tcW w:w="3513" w:type="dxa"/>
            <w:tcBorders>
              <w:top w:val="single" w:sz="4" w:space="0" w:color="auto"/>
              <w:left w:val="single" w:sz="4" w:space="0" w:color="auto"/>
              <w:bottom w:val="single" w:sz="4" w:space="0" w:color="auto"/>
              <w:right w:val="single" w:sz="4" w:space="0" w:color="auto"/>
            </w:tcBorders>
            <w:noWrap/>
            <w:hideMark/>
          </w:tcPr>
          <w:p w14:paraId="3F210F89" w14:textId="77777777" w:rsidR="00EF2630" w:rsidRPr="004128DB" w:rsidRDefault="00EF2630" w:rsidP="002D4145">
            <w:pPr>
              <w:spacing w:after="0" w:line="240" w:lineRule="auto"/>
              <w:jc w:val="center"/>
              <w:rPr>
                <w:rFonts w:ascii="Arial" w:eastAsia="Times New Roman" w:hAnsi="Arial" w:cs="Arial"/>
                <w:iCs/>
                <w:color w:val="000000"/>
                <w:lang w:eastAsia="en-IN"/>
              </w:rPr>
            </w:pPr>
            <w:r w:rsidRPr="004128DB">
              <w:rPr>
                <w:rFonts w:ascii="Arial" w:eastAsia="Times New Roman" w:hAnsi="Arial" w:cs="Arial"/>
                <w:i/>
                <w:iCs/>
                <w:color w:val="000000"/>
                <w:lang w:eastAsia="en-IN"/>
              </w:rPr>
              <w:t xml:space="preserve">Cyclotella sp. </w:t>
            </w:r>
            <w:r w:rsidRPr="004128DB">
              <w:rPr>
                <w:rFonts w:ascii="Arial" w:eastAsia="Times New Roman" w:hAnsi="Arial" w:cs="Arial"/>
                <w:iCs/>
                <w:color w:val="000000"/>
                <w:lang w:eastAsia="en-IN"/>
              </w:rPr>
              <w:t>(</w:t>
            </w:r>
            <w:proofErr w:type="spellStart"/>
            <w:r w:rsidRPr="004128DB">
              <w:rPr>
                <w:rFonts w:ascii="Arial" w:eastAsia="Times New Roman" w:hAnsi="Arial" w:cs="Arial"/>
                <w:iCs/>
                <w:color w:val="000000"/>
                <w:lang w:eastAsia="en-IN"/>
              </w:rPr>
              <w:t>Cyo</w:t>
            </w:r>
            <w:proofErr w:type="spellEnd"/>
            <w:r w:rsidRPr="004128DB">
              <w:rPr>
                <w:rFonts w:ascii="Arial" w:eastAsia="Times New Roman" w:hAnsi="Arial" w:cs="Arial"/>
                <w:iCs/>
                <w:color w:val="000000"/>
                <w:lang w:eastAsia="en-IN"/>
              </w:rPr>
              <w:t>)</w:t>
            </w:r>
          </w:p>
        </w:tc>
        <w:tc>
          <w:tcPr>
            <w:tcW w:w="1388" w:type="dxa"/>
            <w:tcBorders>
              <w:top w:val="single" w:sz="4" w:space="0" w:color="auto"/>
              <w:left w:val="single" w:sz="4" w:space="0" w:color="auto"/>
              <w:bottom w:val="single" w:sz="4" w:space="0" w:color="auto"/>
              <w:right w:val="single" w:sz="4" w:space="0" w:color="auto"/>
            </w:tcBorders>
            <w:noWrap/>
            <w:hideMark/>
          </w:tcPr>
          <w:p w14:paraId="725DC2FF"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120EB4BD"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59387320"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433" w:type="dxa"/>
            <w:tcBorders>
              <w:top w:val="single" w:sz="4" w:space="0" w:color="auto"/>
              <w:left w:val="single" w:sz="4" w:space="0" w:color="auto"/>
              <w:bottom w:val="single" w:sz="4" w:space="0" w:color="auto"/>
              <w:right w:val="single" w:sz="4" w:space="0" w:color="auto"/>
            </w:tcBorders>
            <w:noWrap/>
            <w:hideMark/>
          </w:tcPr>
          <w:p w14:paraId="65A582DE"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0177C8E5"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hideMark/>
          </w:tcPr>
          <w:p w14:paraId="51D13E9D"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8</w:t>
            </w:r>
          </w:p>
        </w:tc>
        <w:tc>
          <w:tcPr>
            <w:tcW w:w="3513" w:type="dxa"/>
            <w:tcBorders>
              <w:top w:val="single" w:sz="4" w:space="0" w:color="auto"/>
              <w:left w:val="single" w:sz="4" w:space="0" w:color="auto"/>
              <w:bottom w:val="single" w:sz="4" w:space="0" w:color="auto"/>
              <w:right w:val="single" w:sz="4" w:space="0" w:color="auto"/>
            </w:tcBorders>
            <w:hideMark/>
          </w:tcPr>
          <w:p w14:paraId="635BFE8D" w14:textId="77777777" w:rsidR="00EF2630" w:rsidRPr="004128DB" w:rsidRDefault="00EF2630" w:rsidP="002D4145">
            <w:pPr>
              <w:spacing w:after="0" w:line="240" w:lineRule="auto"/>
              <w:jc w:val="center"/>
              <w:rPr>
                <w:rFonts w:ascii="Arial" w:eastAsia="Times New Roman" w:hAnsi="Arial" w:cs="Arial"/>
                <w:iCs/>
                <w:color w:val="000000"/>
                <w:lang w:eastAsia="en-IN"/>
              </w:rPr>
            </w:pPr>
            <w:proofErr w:type="spellStart"/>
            <w:r w:rsidRPr="004128DB">
              <w:rPr>
                <w:rFonts w:ascii="Arial" w:eastAsia="Times New Roman" w:hAnsi="Arial" w:cs="Arial"/>
                <w:i/>
                <w:iCs/>
                <w:color w:val="000000"/>
                <w:lang w:eastAsia="en-IN"/>
              </w:rPr>
              <w:t>Ditylum</w:t>
            </w:r>
            <w:proofErr w:type="spellEnd"/>
            <w:r w:rsidRPr="004128DB">
              <w:rPr>
                <w:rFonts w:ascii="Arial" w:eastAsia="Times New Roman" w:hAnsi="Arial" w:cs="Arial"/>
                <w:i/>
                <w:iCs/>
                <w:color w:val="000000"/>
                <w:lang w:eastAsia="en-IN"/>
              </w:rPr>
              <w:t xml:space="preserve"> </w:t>
            </w:r>
            <w:proofErr w:type="spellStart"/>
            <w:r w:rsidRPr="004128DB">
              <w:rPr>
                <w:rFonts w:ascii="Arial" w:eastAsia="Times New Roman" w:hAnsi="Arial" w:cs="Arial"/>
                <w:i/>
                <w:iCs/>
                <w:color w:val="000000"/>
                <w:lang w:eastAsia="en-IN"/>
              </w:rPr>
              <w:t>brightwelli</w:t>
            </w:r>
            <w:proofErr w:type="spellEnd"/>
            <w:r w:rsidRPr="004128DB">
              <w:rPr>
                <w:rFonts w:ascii="Arial" w:eastAsia="Times New Roman" w:hAnsi="Arial" w:cs="Arial"/>
                <w:i/>
                <w:iCs/>
                <w:color w:val="000000"/>
                <w:lang w:eastAsia="en-IN"/>
              </w:rPr>
              <w:t xml:space="preserve"> </w:t>
            </w:r>
            <w:r w:rsidRPr="004128DB">
              <w:rPr>
                <w:rFonts w:ascii="Arial" w:eastAsia="Times New Roman" w:hAnsi="Arial" w:cs="Arial"/>
                <w:iCs/>
                <w:color w:val="000000"/>
                <w:lang w:eastAsia="en-IN"/>
              </w:rPr>
              <w:t>(DB)</w:t>
            </w:r>
          </w:p>
        </w:tc>
        <w:tc>
          <w:tcPr>
            <w:tcW w:w="1388" w:type="dxa"/>
            <w:tcBorders>
              <w:top w:val="single" w:sz="4" w:space="0" w:color="auto"/>
              <w:left w:val="single" w:sz="4" w:space="0" w:color="auto"/>
              <w:bottom w:val="single" w:sz="4" w:space="0" w:color="auto"/>
              <w:right w:val="single" w:sz="4" w:space="0" w:color="auto"/>
            </w:tcBorders>
            <w:noWrap/>
            <w:hideMark/>
          </w:tcPr>
          <w:p w14:paraId="5B41482E"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727AE832"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702ABE0C"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32C9C42D"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320455C8"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6B62A4CC"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9</w:t>
            </w:r>
          </w:p>
        </w:tc>
        <w:tc>
          <w:tcPr>
            <w:tcW w:w="3513" w:type="dxa"/>
            <w:tcBorders>
              <w:top w:val="single" w:sz="4" w:space="0" w:color="auto"/>
              <w:left w:val="single" w:sz="4" w:space="0" w:color="auto"/>
              <w:bottom w:val="single" w:sz="4" w:space="0" w:color="auto"/>
              <w:right w:val="single" w:sz="4" w:space="0" w:color="auto"/>
            </w:tcBorders>
            <w:noWrap/>
            <w:hideMark/>
          </w:tcPr>
          <w:p w14:paraId="42591B60" w14:textId="77777777" w:rsidR="00EF2630" w:rsidRPr="004128DB" w:rsidRDefault="00EF2630" w:rsidP="002D4145">
            <w:pPr>
              <w:spacing w:after="0" w:line="240" w:lineRule="auto"/>
              <w:jc w:val="center"/>
              <w:rPr>
                <w:rFonts w:ascii="Arial" w:eastAsia="Times New Roman" w:hAnsi="Arial" w:cs="Arial"/>
                <w:iCs/>
                <w:color w:val="000000"/>
                <w:lang w:eastAsia="en-IN"/>
              </w:rPr>
            </w:pPr>
            <w:proofErr w:type="spellStart"/>
            <w:r w:rsidRPr="004128DB">
              <w:rPr>
                <w:rFonts w:ascii="Arial" w:eastAsia="Times New Roman" w:hAnsi="Arial" w:cs="Arial"/>
                <w:i/>
                <w:iCs/>
                <w:color w:val="000000"/>
                <w:lang w:eastAsia="en-IN"/>
              </w:rPr>
              <w:t>Eucampia</w:t>
            </w:r>
            <w:proofErr w:type="spellEnd"/>
            <w:r w:rsidRPr="004128DB">
              <w:rPr>
                <w:rFonts w:ascii="Arial" w:eastAsia="Times New Roman" w:hAnsi="Arial" w:cs="Arial"/>
                <w:i/>
                <w:iCs/>
                <w:color w:val="000000"/>
                <w:lang w:eastAsia="en-IN"/>
              </w:rPr>
              <w:t xml:space="preserve"> cornuta </w:t>
            </w:r>
            <w:r w:rsidRPr="004128DB">
              <w:rPr>
                <w:rFonts w:ascii="Arial" w:eastAsia="Times New Roman" w:hAnsi="Arial" w:cs="Arial"/>
                <w:iCs/>
                <w:color w:val="000000"/>
                <w:lang w:eastAsia="en-IN"/>
              </w:rPr>
              <w:t>(EC)</w:t>
            </w:r>
          </w:p>
        </w:tc>
        <w:tc>
          <w:tcPr>
            <w:tcW w:w="1388" w:type="dxa"/>
            <w:tcBorders>
              <w:top w:val="single" w:sz="4" w:space="0" w:color="auto"/>
              <w:left w:val="single" w:sz="4" w:space="0" w:color="auto"/>
              <w:bottom w:val="single" w:sz="4" w:space="0" w:color="auto"/>
              <w:right w:val="single" w:sz="4" w:space="0" w:color="auto"/>
            </w:tcBorders>
            <w:noWrap/>
            <w:hideMark/>
          </w:tcPr>
          <w:p w14:paraId="6F7BFB3A"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0261D99C"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7EE5DAC2"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5306414F"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4B24F84A"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6B5BAA94"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10</w:t>
            </w:r>
          </w:p>
        </w:tc>
        <w:tc>
          <w:tcPr>
            <w:tcW w:w="3513" w:type="dxa"/>
            <w:tcBorders>
              <w:top w:val="single" w:sz="4" w:space="0" w:color="auto"/>
              <w:left w:val="single" w:sz="4" w:space="0" w:color="auto"/>
              <w:bottom w:val="single" w:sz="4" w:space="0" w:color="auto"/>
              <w:right w:val="single" w:sz="4" w:space="0" w:color="auto"/>
            </w:tcBorders>
            <w:noWrap/>
            <w:hideMark/>
          </w:tcPr>
          <w:p w14:paraId="36ABD033" w14:textId="77777777" w:rsidR="00EF2630" w:rsidRPr="004128DB" w:rsidRDefault="00EF2630" w:rsidP="002D4145">
            <w:pPr>
              <w:spacing w:after="0" w:line="240" w:lineRule="auto"/>
              <w:jc w:val="center"/>
              <w:rPr>
                <w:rFonts w:ascii="Arial" w:eastAsia="Times New Roman" w:hAnsi="Arial" w:cs="Arial"/>
                <w:iCs/>
                <w:color w:val="000000"/>
                <w:lang w:eastAsia="en-IN"/>
              </w:rPr>
            </w:pPr>
            <w:proofErr w:type="spellStart"/>
            <w:r w:rsidRPr="004128DB">
              <w:rPr>
                <w:rFonts w:ascii="Arial" w:eastAsia="Times New Roman" w:hAnsi="Arial" w:cs="Arial"/>
                <w:i/>
                <w:iCs/>
                <w:color w:val="000000"/>
                <w:lang w:eastAsia="en-IN"/>
              </w:rPr>
              <w:t>Lauderia</w:t>
            </w:r>
            <w:proofErr w:type="spellEnd"/>
            <w:r w:rsidRPr="004128DB">
              <w:rPr>
                <w:rFonts w:ascii="Arial" w:eastAsia="Times New Roman" w:hAnsi="Arial" w:cs="Arial"/>
                <w:i/>
                <w:iCs/>
                <w:color w:val="000000"/>
                <w:lang w:eastAsia="en-IN"/>
              </w:rPr>
              <w:t xml:space="preserve"> annulate </w:t>
            </w:r>
            <w:r w:rsidRPr="004128DB">
              <w:rPr>
                <w:rFonts w:ascii="Arial" w:eastAsia="Times New Roman" w:hAnsi="Arial" w:cs="Arial"/>
                <w:iCs/>
                <w:color w:val="000000"/>
                <w:lang w:eastAsia="en-IN"/>
              </w:rPr>
              <w:t>(LA)</w:t>
            </w:r>
          </w:p>
        </w:tc>
        <w:tc>
          <w:tcPr>
            <w:tcW w:w="1388" w:type="dxa"/>
            <w:tcBorders>
              <w:top w:val="single" w:sz="4" w:space="0" w:color="auto"/>
              <w:left w:val="single" w:sz="4" w:space="0" w:color="auto"/>
              <w:bottom w:val="single" w:sz="4" w:space="0" w:color="auto"/>
              <w:right w:val="single" w:sz="4" w:space="0" w:color="auto"/>
            </w:tcBorders>
            <w:noWrap/>
            <w:hideMark/>
          </w:tcPr>
          <w:p w14:paraId="785F05AC"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70698CD2"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1C4C3F84"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342D5BBC"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3F7086C1"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6456032D"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11</w:t>
            </w:r>
          </w:p>
        </w:tc>
        <w:tc>
          <w:tcPr>
            <w:tcW w:w="3513" w:type="dxa"/>
            <w:tcBorders>
              <w:top w:val="single" w:sz="4" w:space="0" w:color="auto"/>
              <w:left w:val="single" w:sz="4" w:space="0" w:color="auto"/>
              <w:bottom w:val="single" w:sz="4" w:space="0" w:color="auto"/>
              <w:right w:val="single" w:sz="4" w:space="0" w:color="auto"/>
            </w:tcBorders>
            <w:noWrap/>
            <w:hideMark/>
          </w:tcPr>
          <w:p w14:paraId="52C4BC73" w14:textId="77777777" w:rsidR="00EF2630" w:rsidRPr="004128DB" w:rsidRDefault="00EF2630" w:rsidP="002D4145">
            <w:pPr>
              <w:spacing w:after="0" w:line="240" w:lineRule="auto"/>
              <w:jc w:val="center"/>
              <w:rPr>
                <w:rFonts w:ascii="Arial" w:eastAsia="Times New Roman" w:hAnsi="Arial" w:cs="Arial"/>
                <w:iCs/>
                <w:color w:val="000000"/>
                <w:lang w:eastAsia="en-IN"/>
              </w:rPr>
            </w:pPr>
            <w:proofErr w:type="spellStart"/>
            <w:r w:rsidRPr="004128DB">
              <w:rPr>
                <w:rFonts w:ascii="Arial" w:eastAsia="Times New Roman" w:hAnsi="Arial" w:cs="Arial"/>
                <w:i/>
                <w:iCs/>
                <w:color w:val="000000"/>
                <w:lang w:eastAsia="en-IN"/>
              </w:rPr>
              <w:t>Lithodesmium</w:t>
            </w:r>
            <w:proofErr w:type="spellEnd"/>
            <w:r w:rsidRPr="004128DB">
              <w:rPr>
                <w:rFonts w:ascii="Arial" w:eastAsia="Times New Roman" w:hAnsi="Arial" w:cs="Arial"/>
                <w:i/>
                <w:iCs/>
                <w:color w:val="000000"/>
                <w:lang w:eastAsia="en-IN"/>
              </w:rPr>
              <w:t xml:space="preserve"> sp. </w:t>
            </w:r>
            <w:r w:rsidRPr="004128DB">
              <w:rPr>
                <w:rFonts w:ascii="Arial" w:eastAsia="Times New Roman" w:hAnsi="Arial" w:cs="Arial"/>
                <w:iCs/>
                <w:color w:val="000000"/>
                <w:lang w:eastAsia="en-IN"/>
              </w:rPr>
              <w:t>(Li)</w:t>
            </w:r>
          </w:p>
        </w:tc>
        <w:tc>
          <w:tcPr>
            <w:tcW w:w="1388" w:type="dxa"/>
            <w:tcBorders>
              <w:top w:val="single" w:sz="4" w:space="0" w:color="auto"/>
              <w:left w:val="single" w:sz="4" w:space="0" w:color="auto"/>
              <w:bottom w:val="single" w:sz="4" w:space="0" w:color="auto"/>
              <w:right w:val="single" w:sz="4" w:space="0" w:color="auto"/>
            </w:tcBorders>
            <w:noWrap/>
            <w:hideMark/>
          </w:tcPr>
          <w:p w14:paraId="607E5F38"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6B17C035"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09359B6E"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68988D45"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3D6A84FB"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5AEE6929"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12</w:t>
            </w:r>
          </w:p>
        </w:tc>
        <w:tc>
          <w:tcPr>
            <w:tcW w:w="3513" w:type="dxa"/>
            <w:tcBorders>
              <w:top w:val="single" w:sz="4" w:space="0" w:color="auto"/>
              <w:left w:val="single" w:sz="4" w:space="0" w:color="auto"/>
              <w:bottom w:val="single" w:sz="4" w:space="0" w:color="auto"/>
              <w:right w:val="single" w:sz="4" w:space="0" w:color="auto"/>
            </w:tcBorders>
            <w:noWrap/>
            <w:hideMark/>
          </w:tcPr>
          <w:p w14:paraId="07453BF0" w14:textId="77777777" w:rsidR="00EF2630" w:rsidRPr="004128DB" w:rsidRDefault="00EF2630" w:rsidP="002D4145">
            <w:pPr>
              <w:spacing w:after="0" w:line="240" w:lineRule="auto"/>
              <w:jc w:val="center"/>
              <w:rPr>
                <w:rFonts w:ascii="Arial" w:eastAsia="Times New Roman" w:hAnsi="Arial" w:cs="Arial"/>
                <w:iCs/>
                <w:color w:val="000000"/>
                <w:lang w:eastAsia="en-IN"/>
              </w:rPr>
            </w:pPr>
            <w:proofErr w:type="spellStart"/>
            <w:r w:rsidRPr="004128DB">
              <w:rPr>
                <w:rFonts w:ascii="Arial" w:eastAsia="Times New Roman" w:hAnsi="Arial" w:cs="Arial"/>
                <w:i/>
                <w:iCs/>
                <w:color w:val="000000"/>
                <w:lang w:eastAsia="en-IN"/>
              </w:rPr>
              <w:t>Planktoniella</w:t>
            </w:r>
            <w:proofErr w:type="spellEnd"/>
            <w:r w:rsidRPr="004128DB">
              <w:rPr>
                <w:rFonts w:ascii="Arial" w:eastAsia="Times New Roman" w:hAnsi="Arial" w:cs="Arial"/>
                <w:i/>
                <w:iCs/>
                <w:color w:val="000000"/>
                <w:lang w:eastAsia="en-IN"/>
              </w:rPr>
              <w:t xml:space="preserve"> sol </w:t>
            </w:r>
            <w:r w:rsidRPr="004128DB">
              <w:rPr>
                <w:rFonts w:ascii="Arial" w:eastAsia="Times New Roman" w:hAnsi="Arial" w:cs="Arial"/>
                <w:iCs/>
                <w:color w:val="000000"/>
                <w:lang w:eastAsia="en-IN"/>
              </w:rPr>
              <w:t>(PS)</w:t>
            </w:r>
          </w:p>
        </w:tc>
        <w:tc>
          <w:tcPr>
            <w:tcW w:w="1388" w:type="dxa"/>
            <w:tcBorders>
              <w:top w:val="single" w:sz="4" w:space="0" w:color="auto"/>
              <w:left w:val="single" w:sz="4" w:space="0" w:color="auto"/>
              <w:bottom w:val="single" w:sz="4" w:space="0" w:color="auto"/>
              <w:right w:val="single" w:sz="4" w:space="0" w:color="auto"/>
            </w:tcBorders>
            <w:noWrap/>
            <w:hideMark/>
          </w:tcPr>
          <w:p w14:paraId="06192B33"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0E9B022C"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6BAEFFC3"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3396DB5E"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3942B502"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3A7C773D"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13</w:t>
            </w:r>
          </w:p>
        </w:tc>
        <w:tc>
          <w:tcPr>
            <w:tcW w:w="3513" w:type="dxa"/>
            <w:tcBorders>
              <w:top w:val="single" w:sz="4" w:space="0" w:color="auto"/>
              <w:left w:val="single" w:sz="4" w:space="0" w:color="auto"/>
              <w:bottom w:val="single" w:sz="4" w:space="0" w:color="auto"/>
              <w:right w:val="single" w:sz="4" w:space="0" w:color="auto"/>
            </w:tcBorders>
            <w:noWrap/>
            <w:hideMark/>
          </w:tcPr>
          <w:p w14:paraId="53F721C5" w14:textId="77777777" w:rsidR="00EF2630" w:rsidRPr="004128DB" w:rsidRDefault="00EF2630" w:rsidP="002D4145">
            <w:pPr>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color w:val="000000"/>
                <w:lang w:eastAsia="en-IN"/>
              </w:rPr>
              <w:t>Rhizosolenia</w:t>
            </w:r>
            <w:proofErr w:type="spellEnd"/>
            <w:r w:rsidRPr="004128DB">
              <w:rPr>
                <w:rFonts w:ascii="Arial" w:eastAsia="Times New Roman" w:hAnsi="Arial" w:cs="Arial"/>
                <w:i/>
                <w:iCs/>
                <w:color w:val="000000"/>
                <w:lang w:eastAsia="en-IN"/>
              </w:rPr>
              <w:t xml:space="preserve"> alata </w:t>
            </w:r>
            <w:r w:rsidRPr="004128DB">
              <w:rPr>
                <w:rFonts w:ascii="Arial" w:eastAsia="Times New Roman" w:hAnsi="Arial" w:cs="Arial"/>
                <w:iCs/>
                <w:color w:val="000000"/>
                <w:lang w:eastAsia="en-IN"/>
              </w:rPr>
              <w:t>(RA)</w:t>
            </w:r>
          </w:p>
        </w:tc>
        <w:tc>
          <w:tcPr>
            <w:tcW w:w="1388" w:type="dxa"/>
            <w:tcBorders>
              <w:top w:val="single" w:sz="4" w:space="0" w:color="auto"/>
              <w:left w:val="single" w:sz="4" w:space="0" w:color="auto"/>
              <w:bottom w:val="single" w:sz="4" w:space="0" w:color="auto"/>
              <w:right w:val="single" w:sz="4" w:space="0" w:color="auto"/>
            </w:tcBorders>
            <w:noWrap/>
            <w:hideMark/>
          </w:tcPr>
          <w:p w14:paraId="4AD76EC3"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45C113C5"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1B2039BF"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3E540B4F"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670C791C"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4F26E95D"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14</w:t>
            </w:r>
          </w:p>
        </w:tc>
        <w:tc>
          <w:tcPr>
            <w:tcW w:w="3513" w:type="dxa"/>
            <w:tcBorders>
              <w:top w:val="single" w:sz="4" w:space="0" w:color="auto"/>
              <w:left w:val="single" w:sz="4" w:space="0" w:color="auto"/>
              <w:bottom w:val="single" w:sz="4" w:space="0" w:color="auto"/>
              <w:right w:val="single" w:sz="4" w:space="0" w:color="auto"/>
            </w:tcBorders>
            <w:noWrap/>
            <w:hideMark/>
          </w:tcPr>
          <w:p w14:paraId="22D3743F" w14:textId="77777777" w:rsidR="00EF2630" w:rsidRPr="004128DB" w:rsidRDefault="00EF2630" w:rsidP="002D4145">
            <w:pPr>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color w:val="000000"/>
                <w:lang w:eastAsia="en-IN"/>
              </w:rPr>
              <w:t>Rhizosolenia</w:t>
            </w:r>
            <w:proofErr w:type="spellEnd"/>
            <w:r w:rsidRPr="004128DB">
              <w:rPr>
                <w:rFonts w:ascii="Arial" w:eastAsia="Times New Roman" w:hAnsi="Arial" w:cs="Arial"/>
                <w:i/>
                <w:iCs/>
                <w:color w:val="000000"/>
                <w:lang w:eastAsia="en-IN"/>
              </w:rPr>
              <w:t xml:space="preserve"> robusta </w:t>
            </w:r>
            <w:r w:rsidRPr="004128DB">
              <w:rPr>
                <w:rFonts w:ascii="Arial" w:eastAsia="Times New Roman" w:hAnsi="Arial" w:cs="Arial"/>
                <w:iCs/>
                <w:color w:val="000000"/>
                <w:lang w:eastAsia="en-IN"/>
              </w:rPr>
              <w:t>(RR)</w:t>
            </w:r>
          </w:p>
        </w:tc>
        <w:tc>
          <w:tcPr>
            <w:tcW w:w="1388" w:type="dxa"/>
            <w:tcBorders>
              <w:top w:val="single" w:sz="4" w:space="0" w:color="auto"/>
              <w:left w:val="single" w:sz="4" w:space="0" w:color="auto"/>
              <w:bottom w:val="single" w:sz="4" w:space="0" w:color="auto"/>
              <w:right w:val="single" w:sz="4" w:space="0" w:color="auto"/>
            </w:tcBorders>
            <w:noWrap/>
            <w:hideMark/>
          </w:tcPr>
          <w:p w14:paraId="251F5819"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3E838E4D"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57F6E3EE"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433" w:type="dxa"/>
            <w:tcBorders>
              <w:top w:val="single" w:sz="4" w:space="0" w:color="auto"/>
              <w:left w:val="single" w:sz="4" w:space="0" w:color="auto"/>
              <w:bottom w:val="single" w:sz="4" w:space="0" w:color="auto"/>
              <w:right w:val="single" w:sz="4" w:space="0" w:color="auto"/>
            </w:tcBorders>
            <w:noWrap/>
            <w:hideMark/>
          </w:tcPr>
          <w:p w14:paraId="35931800"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4744946B"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648F2174"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15</w:t>
            </w:r>
          </w:p>
        </w:tc>
        <w:tc>
          <w:tcPr>
            <w:tcW w:w="3513" w:type="dxa"/>
            <w:tcBorders>
              <w:top w:val="single" w:sz="4" w:space="0" w:color="auto"/>
              <w:left w:val="single" w:sz="4" w:space="0" w:color="auto"/>
              <w:bottom w:val="single" w:sz="4" w:space="0" w:color="auto"/>
              <w:right w:val="single" w:sz="4" w:space="0" w:color="auto"/>
            </w:tcBorders>
            <w:noWrap/>
            <w:hideMark/>
          </w:tcPr>
          <w:p w14:paraId="620349C3" w14:textId="77777777" w:rsidR="00EF2630" w:rsidRPr="004128DB" w:rsidRDefault="00EF2630" w:rsidP="002D4145">
            <w:pPr>
              <w:spacing w:after="0" w:line="240" w:lineRule="auto"/>
              <w:jc w:val="center"/>
              <w:rPr>
                <w:rFonts w:ascii="Arial" w:eastAsia="Times New Roman" w:hAnsi="Arial" w:cs="Arial"/>
                <w:iCs/>
                <w:color w:val="000000"/>
                <w:lang w:eastAsia="en-IN"/>
              </w:rPr>
            </w:pPr>
            <w:proofErr w:type="spellStart"/>
            <w:r w:rsidRPr="004128DB">
              <w:rPr>
                <w:rFonts w:ascii="Arial" w:eastAsia="Times New Roman" w:hAnsi="Arial" w:cs="Arial"/>
                <w:i/>
                <w:iCs/>
                <w:color w:val="000000"/>
                <w:lang w:eastAsia="en-IN"/>
              </w:rPr>
              <w:t>Skeletonema</w:t>
            </w:r>
            <w:proofErr w:type="spellEnd"/>
            <w:r w:rsidRPr="004128DB">
              <w:rPr>
                <w:rFonts w:ascii="Arial" w:eastAsia="Times New Roman" w:hAnsi="Arial" w:cs="Arial"/>
                <w:i/>
                <w:iCs/>
                <w:color w:val="000000"/>
                <w:lang w:eastAsia="en-IN"/>
              </w:rPr>
              <w:t xml:space="preserve"> </w:t>
            </w:r>
            <w:proofErr w:type="spellStart"/>
            <w:r w:rsidRPr="004128DB">
              <w:rPr>
                <w:rFonts w:ascii="Arial" w:eastAsia="Times New Roman" w:hAnsi="Arial" w:cs="Arial"/>
                <w:i/>
                <w:iCs/>
                <w:color w:val="000000"/>
                <w:lang w:eastAsia="en-IN"/>
              </w:rPr>
              <w:t>costatum</w:t>
            </w:r>
            <w:proofErr w:type="spellEnd"/>
            <w:r w:rsidRPr="004128DB">
              <w:rPr>
                <w:rFonts w:ascii="Arial" w:eastAsia="Times New Roman" w:hAnsi="Arial" w:cs="Arial"/>
                <w:i/>
                <w:iCs/>
                <w:color w:val="000000"/>
                <w:lang w:eastAsia="en-IN"/>
              </w:rPr>
              <w:t xml:space="preserve"> </w:t>
            </w:r>
            <w:r w:rsidRPr="004128DB">
              <w:rPr>
                <w:rFonts w:ascii="Arial" w:eastAsia="Times New Roman" w:hAnsi="Arial" w:cs="Arial"/>
                <w:iCs/>
                <w:color w:val="000000"/>
                <w:lang w:eastAsia="en-IN"/>
              </w:rPr>
              <w:t>(SC)</w:t>
            </w:r>
          </w:p>
        </w:tc>
        <w:tc>
          <w:tcPr>
            <w:tcW w:w="1388" w:type="dxa"/>
            <w:tcBorders>
              <w:top w:val="single" w:sz="4" w:space="0" w:color="auto"/>
              <w:left w:val="single" w:sz="4" w:space="0" w:color="auto"/>
              <w:bottom w:val="single" w:sz="4" w:space="0" w:color="auto"/>
              <w:right w:val="single" w:sz="4" w:space="0" w:color="auto"/>
            </w:tcBorders>
            <w:noWrap/>
            <w:hideMark/>
          </w:tcPr>
          <w:p w14:paraId="3331A9E3"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134F4076"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62689DEC"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433" w:type="dxa"/>
            <w:tcBorders>
              <w:top w:val="single" w:sz="4" w:space="0" w:color="auto"/>
              <w:left w:val="single" w:sz="4" w:space="0" w:color="auto"/>
              <w:bottom w:val="single" w:sz="4" w:space="0" w:color="auto"/>
              <w:right w:val="single" w:sz="4" w:space="0" w:color="auto"/>
            </w:tcBorders>
            <w:noWrap/>
            <w:hideMark/>
          </w:tcPr>
          <w:p w14:paraId="627F4345"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6BB9B998"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2CFEAB5B"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16</w:t>
            </w:r>
          </w:p>
        </w:tc>
        <w:tc>
          <w:tcPr>
            <w:tcW w:w="3513" w:type="dxa"/>
            <w:tcBorders>
              <w:top w:val="single" w:sz="4" w:space="0" w:color="auto"/>
              <w:left w:val="single" w:sz="4" w:space="0" w:color="auto"/>
              <w:bottom w:val="single" w:sz="4" w:space="0" w:color="auto"/>
              <w:right w:val="single" w:sz="4" w:space="0" w:color="auto"/>
            </w:tcBorders>
            <w:noWrap/>
            <w:hideMark/>
          </w:tcPr>
          <w:p w14:paraId="41009DC5" w14:textId="77777777" w:rsidR="00EF2630" w:rsidRPr="004128DB" w:rsidRDefault="00EF2630" w:rsidP="002D4145">
            <w:pPr>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color w:val="000000"/>
                <w:lang w:eastAsia="en-IN"/>
              </w:rPr>
              <w:t>Stephanopyxis</w:t>
            </w:r>
            <w:proofErr w:type="spellEnd"/>
            <w:r w:rsidRPr="004128DB">
              <w:rPr>
                <w:rFonts w:ascii="Arial" w:eastAsia="Times New Roman" w:hAnsi="Arial" w:cs="Arial"/>
                <w:i/>
                <w:iCs/>
                <w:color w:val="000000"/>
                <w:lang w:eastAsia="en-IN"/>
              </w:rPr>
              <w:t xml:space="preserve"> </w:t>
            </w:r>
            <w:proofErr w:type="spellStart"/>
            <w:r w:rsidRPr="004128DB">
              <w:rPr>
                <w:rFonts w:ascii="Arial" w:eastAsia="Times New Roman" w:hAnsi="Arial" w:cs="Arial"/>
                <w:i/>
                <w:iCs/>
                <w:color w:val="000000"/>
                <w:lang w:eastAsia="en-IN"/>
              </w:rPr>
              <w:t>palmeriana</w:t>
            </w:r>
            <w:proofErr w:type="spellEnd"/>
            <w:r w:rsidRPr="004128DB">
              <w:rPr>
                <w:rFonts w:ascii="Arial" w:eastAsia="Times New Roman" w:hAnsi="Arial" w:cs="Arial"/>
                <w:i/>
                <w:iCs/>
                <w:color w:val="000000"/>
                <w:lang w:eastAsia="en-IN"/>
              </w:rPr>
              <w:t xml:space="preserve"> </w:t>
            </w:r>
            <w:r w:rsidRPr="004128DB">
              <w:rPr>
                <w:rFonts w:ascii="Arial" w:eastAsia="Times New Roman" w:hAnsi="Arial" w:cs="Arial"/>
                <w:iCs/>
                <w:color w:val="000000"/>
                <w:lang w:eastAsia="en-IN"/>
              </w:rPr>
              <w:t>(TP)</w:t>
            </w:r>
          </w:p>
        </w:tc>
        <w:tc>
          <w:tcPr>
            <w:tcW w:w="1388" w:type="dxa"/>
            <w:tcBorders>
              <w:top w:val="single" w:sz="4" w:space="0" w:color="auto"/>
              <w:left w:val="single" w:sz="4" w:space="0" w:color="auto"/>
              <w:bottom w:val="single" w:sz="4" w:space="0" w:color="auto"/>
              <w:right w:val="single" w:sz="4" w:space="0" w:color="auto"/>
            </w:tcBorders>
            <w:noWrap/>
            <w:hideMark/>
          </w:tcPr>
          <w:p w14:paraId="4FB174FE"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65E219B9"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2E01CC2A"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433" w:type="dxa"/>
            <w:tcBorders>
              <w:top w:val="single" w:sz="4" w:space="0" w:color="auto"/>
              <w:left w:val="single" w:sz="4" w:space="0" w:color="auto"/>
              <w:bottom w:val="single" w:sz="4" w:space="0" w:color="auto"/>
              <w:right w:val="single" w:sz="4" w:space="0" w:color="auto"/>
            </w:tcBorders>
            <w:noWrap/>
            <w:hideMark/>
          </w:tcPr>
          <w:p w14:paraId="160227B3"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297A65B8"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4F11E591"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17</w:t>
            </w:r>
          </w:p>
        </w:tc>
        <w:tc>
          <w:tcPr>
            <w:tcW w:w="3513" w:type="dxa"/>
            <w:tcBorders>
              <w:top w:val="single" w:sz="4" w:space="0" w:color="auto"/>
              <w:left w:val="single" w:sz="4" w:space="0" w:color="auto"/>
              <w:bottom w:val="single" w:sz="4" w:space="0" w:color="auto"/>
              <w:right w:val="single" w:sz="4" w:space="0" w:color="auto"/>
            </w:tcBorders>
            <w:noWrap/>
            <w:hideMark/>
          </w:tcPr>
          <w:p w14:paraId="7CA0D47F" w14:textId="77777777" w:rsidR="00EF2630" w:rsidRPr="004128DB" w:rsidRDefault="00EF2630" w:rsidP="002D4145">
            <w:pPr>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color w:val="000000"/>
                <w:lang w:eastAsia="en-IN"/>
              </w:rPr>
              <w:t>Thallassiosira</w:t>
            </w:r>
            <w:proofErr w:type="spellEnd"/>
            <w:r w:rsidRPr="004128DB">
              <w:rPr>
                <w:rFonts w:ascii="Arial" w:eastAsia="Times New Roman" w:hAnsi="Arial" w:cs="Arial"/>
                <w:i/>
                <w:iCs/>
                <w:color w:val="000000"/>
                <w:lang w:eastAsia="en-IN"/>
              </w:rPr>
              <w:t xml:space="preserve"> subtilis </w:t>
            </w:r>
            <w:r w:rsidRPr="004128DB">
              <w:rPr>
                <w:rFonts w:ascii="Arial" w:eastAsia="Times New Roman" w:hAnsi="Arial" w:cs="Arial"/>
                <w:iCs/>
                <w:color w:val="000000"/>
                <w:lang w:eastAsia="en-IN"/>
              </w:rPr>
              <w:t>(TS)</w:t>
            </w:r>
          </w:p>
        </w:tc>
        <w:tc>
          <w:tcPr>
            <w:tcW w:w="1388" w:type="dxa"/>
            <w:tcBorders>
              <w:top w:val="single" w:sz="4" w:space="0" w:color="auto"/>
              <w:left w:val="single" w:sz="4" w:space="0" w:color="auto"/>
              <w:bottom w:val="single" w:sz="4" w:space="0" w:color="auto"/>
              <w:right w:val="single" w:sz="4" w:space="0" w:color="auto"/>
            </w:tcBorders>
            <w:noWrap/>
            <w:hideMark/>
          </w:tcPr>
          <w:p w14:paraId="410510C3"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7A60CFCB"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6F109F78"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6BC2C131"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4001A5D6" w14:textId="77777777" w:rsidTr="002D4145">
        <w:trPr>
          <w:trHeight w:val="327"/>
          <w:jc w:val="center"/>
        </w:trPr>
        <w:tc>
          <w:tcPr>
            <w:tcW w:w="10114" w:type="dxa"/>
            <w:gridSpan w:val="6"/>
            <w:tcBorders>
              <w:top w:val="single" w:sz="4" w:space="0" w:color="auto"/>
              <w:left w:val="single" w:sz="4" w:space="0" w:color="auto"/>
              <w:bottom w:val="single" w:sz="4" w:space="0" w:color="auto"/>
              <w:right w:val="single" w:sz="4" w:space="0" w:color="auto"/>
            </w:tcBorders>
            <w:noWrap/>
            <w:hideMark/>
          </w:tcPr>
          <w:p w14:paraId="579D137E" w14:textId="77777777" w:rsidR="00EF2630" w:rsidRPr="004128DB" w:rsidRDefault="00EF2630" w:rsidP="002D4145">
            <w:pPr>
              <w:spacing w:after="0" w:line="240" w:lineRule="auto"/>
              <w:jc w:val="center"/>
              <w:rPr>
                <w:rFonts w:ascii="Arial" w:eastAsia="Times New Roman" w:hAnsi="Arial" w:cs="Arial"/>
                <w:bCs/>
                <w:color w:val="000000"/>
                <w:lang w:eastAsia="en-IN"/>
              </w:rPr>
            </w:pPr>
            <w:r w:rsidRPr="004128DB">
              <w:rPr>
                <w:rFonts w:ascii="Arial" w:eastAsia="Times New Roman" w:hAnsi="Arial" w:cs="Arial"/>
                <w:color w:val="000000"/>
                <w:lang w:eastAsia="en-IN"/>
              </w:rPr>
              <w:t xml:space="preserve">Order: </w:t>
            </w:r>
            <w:proofErr w:type="spellStart"/>
            <w:r w:rsidRPr="004128DB">
              <w:rPr>
                <w:rFonts w:ascii="Arial" w:eastAsia="Times New Roman" w:hAnsi="Arial" w:cs="Arial"/>
                <w:color w:val="000000"/>
                <w:lang w:eastAsia="en-IN"/>
              </w:rPr>
              <w:t>Pennales</w:t>
            </w:r>
            <w:proofErr w:type="spellEnd"/>
          </w:p>
        </w:tc>
      </w:tr>
      <w:tr w:rsidR="00EF2630" w:rsidRPr="004128DB" w14:paraId="2A630E72"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1A43CD26"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1</w:t>
            </w:r>
          </w:p>
        </w:tc>
        <w:tc>
          <w:tcPr>
            <w:tcW w:w="3513" w:type="dxa"/>
            <w:tcBorders>
              <w:top w:val="single" w:sz="4" w:space="0" w:color="auto"/>
              <w:left w:val="single" w:sz="4" w:space="0" w:color="auto"/>
              <w:bottom w:val="single" w:sz="4" w:space="0" w:color="auto"/>
              <w:right w:val="single" w:sz="4" w:space="0" w:color="auto"/>
            </w:tcBorders>
            <w:noWrap/>
            <w:hideMark/>
          </w:tcPr>
          <w:p w14:paraId="3621EC71" w14:textId="77777777" w:rsidR="00EF2630" w:rsidRPr="004128DB" w:rsidRDefault="00EF2630" w:rsidP="002D4145">
            <w:pPr>
              <w:spacing w:after="0" w:line="240" w:lineRule="auto"/>
              <w:jc w:val="center"/>
              <w:rPr>
                <w:rFonts w:ascii="Arial" w:eastAsia="Times New Roman" w:hAnsi="Arial" w:cs="Arial"/>
                <w:iCs/>
                <w:color w:val="000000"/>
                <w:lang w:eastAsia="en-IN"/>
              </w:rPr>
            </w:pPr>
            <w:proofErr w:type="spellStart"/>
            <w:r w:rsidRPr="004128DB">
              <w:rPr>
                <w:rFonts w:ascii="Arial" w:eastAsia="Times New Roman" w:hAnsi="Arial" w:cs="Arial"/>
                <w:i/>
                <w:iCs/>
                <w:color w:val="000000"/>
                <w:lang w:eastAsia="en-IN"/>
              </w:rPr>
              <w:t>Bacillaria</w:t>
            </w:r>
            <w:proofErr w:type="spellEnd"/>
            <w:r w:rsidRPr="004128DB">
              <w:rPr>
                <w:rFonts w:ascii="Arial" w:eastAsia="Times New Roman" w:hAnsi="Arial" w:cs="Arial"/>
                <w:i/>
                <w:iCs/>
                <w:color w:val="000000"/>
                <w:lang w:eastAsia="en-IN"/>
              </w:rPr>
              <w:t xml:space="preserve"> paradoxa </w:t>
            </w:r>
            <w:r w:rsidRPr="004128DB">
              <w:rPr>
                <w:rFonts w:ascii="Arial" w:eastAsia="Times New Roman" w:hAnsi="Arial" w:cs="Arial"/>
                <w:iCs/>
                <w:color w:val="000000"/>
                <w:lang w:eastAsia="en-IN"/>
              </w:rPr>
              <w:t>(BP)</w:t>
            </w:r>
          </w:p>
        </w:tc>
        <w:tc>
          <w:tcPr>
            <w:tcW w:w="1388" w:type="dxa"/>
            <w:tcBorders>
              <w:top w:val="single" w:sz="4" w:space="0" w:color="auto"/>
              <w:left w:val="single" w:sz="4" w:space="0" w:color="auto"/>
              <w:bottom w:val="single" w:sz="4" w:space="0" w:color="auto"/>
              <w:right w:val="single" w:sz="4" w:space="0" w:color="auto"/>
            </w:tcBorders>
            <w:noWrap/>
            <w:hideMark/>
          </w:tcPr>
          <w:p w14:paraId="4E788963"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013B68BF"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5F2E0954"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0428C039"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2106A888"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352DE6AF"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2</w:t>
            </w:r>
          </w:p>
        </w:tc>
        <w:tc>
          <w:tcPr>
            <w:tcW w:w="3513" w:type="dxa"/>
            <w:tcBorders>
              <w:top w:val="single" w:sz="4" w:space="0" w:color="auto"/>
              <w:left w:val="single" w:sz="4" w:space="0" w:color="auto"/>
              <w:bottom w:val="single" w:sz="4" w:space="0" w:color="auto"/>
              <w:right w:val="single" w:sz="4" w:space="0" w:color="auto"/>
            </w:tcBorders>
            <w:noWrap/>
            <w:hideMark/>
          </w:tcPr>
          <w:p w14:paraId="3CF7950D" w14:textId="77777777" w:rsidR="00EF2630" w:rsidRPr="004128DB" w:rsidRDefault="00EF2630" w:rsidP="002D4145">
            <w:pPr>
              <w:spacing w:after="0" w:line="240" w:lineRule="auto"/>
              <w:jc w:val="center"/>
              <w:rPr>
                <w:rFonts w:ascii="Arial" w:eastAsia="Times New Roman" w:hAnsi="Arial" w:cs="Arial"/>
                <w:iCs/>
                <w:color w:val="000000"/>
                <w:lang w:eastAsia="en-IN"/>
              </w:rPr>
            </w:pPr>
            <w:proofErr w:type="spellStart"/>
            <w:r w:rsidRPr="004128DB">
              <w:rPr>
                <w:rFonts w:ascii="Arial" w:eastAsia="Times New Roman" w:hAnsi="Arial" w:cs="Arial"/>
                <w:i/>
                <w:iCs/>
                <w:color w:val="000000"/>
                <w:lang w:eastAsia="en-IN"/>
              </w:rPr>
              <w:t>Campylodiscus</w:t>
            </w:r>
            <w:proofErr w:type="spellEnd"/>
            <w:r w:rsidRPr="004128DB">
              <w:rPr>
                <w:rFonts w:ascii="Arial" w:eastAsia="Times New Roman" w:hAnsi="Arial" w:cs="Arial"/>
                <w:i/>
                <w:iCs/>
                <w:color w:val="000000"/>
                <w:lang w:eastAsia="en-IN"/>
              </w:rPr>
              <w:t xml:space="preserve"> </w:t>
            </w:r>
            <w:proofErr w:type="spellStart"/>
            <w:r w:rsidRPr="004128DB">
              <w:rPr>
                <w:rFonts w:ascii="Arial" w:eastAsia="Times New Roman" w:hAnsi="Arial" w:cs="Arial"/>
                <w:i/>
                <w:iCs/>
                <w:color w:val="000000"/>
                <w:lang w:eastAsia="en-IN"/>
              </w:rPr>
              <w:t>iyengarii</w:t>
            </w:r>
            <w:proofErr w:type="spellEnd"/>
            <w:r w:rsidRPr="004128DB">
              <w:rPr>
                <w:rFonts w:ascii="Arial" w:eastAsia="Times New Roman" w:hAnsi="Arial" w:cs="Arial"/>
                <w:i/>
                <w:iCs/>
                <w:color w:val="000000"/>
                <w:lang w:eastAsia="en-IN"/>
              </w:rPr>
              <w:t xml:space="preserve"> </w:t>
            </w:r>
            <w:r w:rsidRPr="004128DB">
              <w:rPr>
                <w:rFonts w:ascii="Arial" w:eastAsia="Times New Roman" w:hAnsi="Arial" w:cs="Arial"/>
                <w:iCs/>
                <w:color w:val="000000"/>
                <w:lang w:eastAsia="en-IN"/>
              </w:rPr>
              <w:t>(CI)</w:t>
            </w:r>
          </w:p>
        </w:tc>
        <w:tc>
          <w:tcPr>
            <w:tcW w:w="1388" w:type="dxa"/>
            <w:tcBorders>
              <w:top w:val="single" w:sz="4" w:space="0" w:color="auto"/>
              <w:left w:val="single" w:sz="4" w:space="0" w:color="auto"/>
              <w:bottom w:val="single" w:sz="4" w:space="0" w:color="auto"/>
              <w:right w:val="single" w:sz="4" w:space="0" w:color="auto"/>
            </w:tcBorders>
            <w:noWrap/>
            <w:hideMark/>
          </w:tcPr>
          <w:p w14:paraId="011DE686"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73214B23"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5F4C8137"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1505F7F8"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379AA001"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177C2F2B"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3</w:t>
            </w:r>
          </w:p>
        </w:tc>
        <w:tc>
          <w:tcPr>
            <w:tcW w:w="3513" w:type="dxa"/>
            <w:tcBorders>
              <w:top w:val="single" w:sz="4" w:space="0" w:color="auto"/>
              <w:left w:val="single" w:sz="4" w:space="0" w:color="auto"/>
              <w:bottom w:val="single" w:sz="4" w:space="0" w:color="auto"/>
              <w:right w:val="single" w:sz="4" w:space="0" w:color="auto"/>
            </w:tcBorders>
            <w:noWrap/>
            <w:hideMark/>
          </w:tcPr>
          <w:p w14:paraId="122A3C39" w14:textId="77777777" w:rsidR="00EF2630" w:rsidRPr="004128DB" w:rsidRDefault="00EF2630" w:rsidP="002D4145">
            <w:pPr>
              <w:spacing w:after="0" w:line="240" w:lineRule="auto"/>
              <w:jc w:val="center"/>
              <w:rPr>
                <w:rFonts w:ascii="Arial" w:eastAsia="Times New Roman" w:hAnsi="Arial" w:cs="Arial"/>
                <w:iCs/>
                <w:color w:val="000000"/>
                <w:lang w:eastAsia="en-IN"/>
              </w:rPr>
            </w:pPr>
            <w:proofErr w:type="spellStart"/>
            <w:r w:rsidRPr="004128DB">
              <w:rPr>
                <w:rFonts w:ascii="Arial" w:eastAsia="Times New Roman" w:hAnsi="Arial" w:cs="Arial"/>
                <w:i/>
                <w:iCs/>
                <w:color w:val="000000"/>
                <w:lang w:eastAsia="en-IN"/>
              </w:rPr>
              <w:t>Cocconeis</w:t>
            </w:r>
            <w:proofErr w:type="spellEnd"/>
            <w:r w:rsidRPr="004128DB">
              <w:rPr>
                <w:rFonts w:ascii="Arial" w:eastAsia="Times New Roman" w:hAnsi="Arial" w:cs="Arial"/>
                <w:i/>
                <w:iCs/>
                <w:color w:val="000000"/>
                <w:lang w:eastAsia="en-IN"/>
              </w:rPr>
              <w:t xml:space="preserve"> littoralis </w:t>
            </w:r>
            <w:r w:rsidRPr="004128DB">
              <w:rPr>
                <w:rFonts w:ascii="Arial" w:eastAsia="Times New Roman" w:hAnsi="Arial" w:cs="Arial"/>
                <w:iCs/>
                <w:color w:val="000000"/>
                <w:lang w:eastAsia="en-IN"/>
              </w:rPr>
              <w:t>(CL)</w:t>
            </w:r>
          </w:p>
        </w:tc>
        <w:tc>
          <w:tcPr>
            <w:tcW w:w="1388" w:type="dxa"/>
            <w:tcBorders>
              <w:top w:val="single" w:sz="4" w:space="0" w:color="auto"/>
              <w:left w:val="single" w:sz="4" w:space="0" w:color="auto"/>
              <w:bottom w:val="single" w:sz="4" w:space="0" w:color="auto"/>
              <w:right w:val="single" w:sz="4" w:space="0" w:color="auto"/>
            </w:tcBorders>
            <w:noWrap/>
            <w:hideMark/>
          </w:tcPr>
          <w:p w14:paraId="795501A3"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4D2CCD7D"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4AD4173E"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458C6F67"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7BE7230C"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41F91B2F"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4</w:t>
            </w:r>
          </w:p>
        </w:tc>
        <w:tc>
          <w:tcPr>
            <w:tcW w:w="3513" w:type="dxa"/>
            <w:tcBorders>
              <w:top w:val="single" w:sz="4" w:space="0" w:color="auto"/>
              <w:left w:val="single" w:sz="4" w:space="0" w:color="auto"/>
              <w:bottom w:val="single" w:sz="4" w:space="0" w:color="auto"/>
              <w:right w:val="single" w:sz="4" w:space="0" w:color="auto"/>
            </w:tcBorders>
            <w:noWrap/>
            <w:hideMark/>
          </w:tcPr>
          <w:p w14:paraId="0C94A53B" w14:textId="77777777" w:rsidR="00EF2630" w:rsidRPr="004128DB" w:rsidRDefault="00EF2630" w:rsidP="002D4145">
            <w:pPr>
              <w:spacing w:after="0" w:line="240" w:lineRule="auto"/>
              <w:jc w:val="center"/>
              <w:rPr>
                <w:rFonts w:ascii="Arial" w:eastAsia="Times New Roman" w:hAnsi="Arial" w:cs="Arial"/>
                <w:i/>
                <w:iCs/>
                <w:color w:val="000000"/>
                <w:lang w:eastAsia="en-IN"/>
              </w:rPr>
            </w:pPr>
            <w:r w:rsidRPr="004128DB">
              <w:rPr>
                <w:rFonts w:ascii="Arial" w:eastAsia="Times New Roman" w:hAnsi="Arial" w:cs="Arial"/>
                <w:i/>
                <w:iCs/>
                <w:color w:val="000000"/>
                <w:lang w:eastAsia="en-IN"/>
              </w:rPr>
              <w:t xml:space="preserve">Fragilaria oceanic </w:t>
            </w:r>
            <w:r w:rsidRPr="004128DB">
              <w:rPr>
                <w:rFonts w:ascii="Arial" w:eastAsia="Times New Roman" w:hAnsi="Arial" w:cs="Arial"/>
                <w:iCs/>
                <w:color w:val="000000"/>
                <w:lang w:eastAsia="en-IN"/>
              </w:rPr>
              <w:t>(FO)</w:t>
            </w:r>
          </w:p>
        </w:tc>
        <w:tc>
          <w:tcPr>
            <w:tcW w:w="1388" w:type="dxa"/>
            <w:tcBorders>
              <w:top w:val="single" w:sz="4" w:space="0" w:color="auto"/>
              <w:left w:val="single" w:sz="4" w:space="0" w:color="auto"/>
              <w:bottom w:val="single" w:sz="4" w:space="0" w:color="auto"/>
              <w:right w:val="single" w:sz="4" w:space="0" w:color="auto"/>
            </w:tcBorders>
            <w:noWrap/>
            <w:hideMark/>
          </w:tcPr>
          <w:p w14:paraId="3D938307"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5F167F07"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7D14276D"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0939726B"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76F76E45"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6D387BB1"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5</w:t>
            </w:r>
          </w:p>
        </w:tc>
        <w:tc>
          <w:tcPr>
            <w:tcW w:w="3513" w:type="dxa"/>
            <w:tcBorders>
              <w:top w:val="single" w:sz="4" w:space="0" w:color="auto"/>
              <w:left w:val="single" w:sz="4" w:space="0" w:color="auto"/>
              <w:bottom w:val="single" w:sz="4" w:space="0" w:color="auto"/>
              <w:right w:val="single" w:sz="4" w:space="0" w:color="auto"/>
            </w:tcBorders>
            <w:noWrap/>
            <w:hideMark/>
          </w:tcPr>
          <w:p w14:paraId="2AEE2AB7" w14:textId="77777777" w:rsidR="00EF2630" w:rsidRPr="004128DB" w:rsidRDefault="00EF2630" w:rsidP="002D4145">
            <w:pPr>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color w:val="000000"/>
                <w:lang w:eastAsia="en-IN"/>
              </w:rPr>
              <w:t>Grammatophora</w:t>
            </w:r>
            <w:proofErr w:type="spellEnd"/>
            <w:r w:rsidRPr="004128DB">
              <w:rPr>
                <w:rFonts w:ascii="Arial" w:eastAsia="Times New Roman" w:hAnsi="Arial" w:cs="Arial"/>
                <w:i/>
                <w:iCs/>
                <w:color w:val="000000"/>
                <w:lang w:eastAsia="en-IN"/>
              </w:rPr>
              <w:t xml:space="preserve"> undulate </w:t>
            </w:r>
            <w:r w:rsidRPr="004128DB">
              <w:rPr>
                <w:rFonts w:ascii="Arial" w:eastAsia="Times New Roman" w:hAnsi="Arial" w:cs="Arial"/>
                <w:iCs/>
                <w:color w:val="000000"/>
                <w:lang w:eastAsia="en-IN"/>
              </w:rPr>
              <w:t>(GU)</w:t>
            </w:r>
          </w:p>
        </w:tc>
        <w:tc>
          <w:tcPr>
            <w:tcW w:w="1388" w:type="dxa"/>
            <w:tcBorders>
              <w:top w:val="single" w:sz="4" w:space="0" w:color="auto"/>
              <w:left w:val="single" w:sz="4" w:space="0" w:color="auto"/>
              <w:bottom w:val="single" w:sz="4" w:space="0" w:color="auto"/>
              <w:right w:val="single" w:sz="4" w:space="0" w:color="auto"/>
            </w:tcBorders>
            <w:noWrap/>
            <w:hideMark/>
          </w:tcPr>
          <w:p w14:paraId="0DE97A3D"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51031BC6"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7F4D5BCF"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55C80F15"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11EE4B5F"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0D4E3E83"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6</w:t>
            </w:r>
          </w:p>
        </w:tc>
        <w:tc>
          <w:tcPr>
            <w:tcW w:w="3513" w:type="dxa"/>
            <w:tcBorders>
              <w:top w:val="single" w:sz="4" w:space="0" w:color="auto"/>
              <w:left w:val="single" w:sz="4" w:space="0" w:color="auto"/>
              <w:bottom w:val="single" w:sz="4" w:space="0" w:color="auto"/>
              <w:right w:val="single" w:sz="4" w:space="0" w:color="auto"/>
            </w:tcBorders>
            <w:noWrap/>
            <w:hideMark/>
          </w:tcPr>
          <w:p w14:paraId="0DC0DB5E" w14:textId="77777777" w:rsidR="00EF2630" w:rsidRPr="004128DB" w:rsidRDefault="00EF2630" w:rsidP="002D4145">
            <w:pPr>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color w:val="000000"/>
                <w:lang w:eastAsia="en-IN"/>
              </w:rPr>
              <w:t>Gyrosigma</w:t>
            </w:r>
            <w:proofErr w:type="spellEnd"/>
            <w:r w:rsidRPr="004128DB">
              <w:rPr>
                <w:rFonts w:ascii="Arial" w:eastAsia="Times New Roman" w:hAnsi="Arial" w:cs="Arial"/>
                <w:i/>
                <w:iCs/>
                <w:color w:val="000000"/>
                <w:lang w:eastAsia="en-IN"/>
              </w:rPr>
              <w:t xml:space="preserve"> </w:t>
            </w:r>
            <w:proofErr w:type="spellStart"/>
            <w:r w:rsidRPr="004128DB">
              <w:rPr>
                <w:rFonts w:ascii="Arial" w:eastAsia="Times New Roman" w:hAnsi="Arial" w:cs="Arial"/>
                <w:i/>
                <w:iCs/>
                <w:color w:val="000000"/>
                <w:lang w:eastAsia="en-IN"/>
              </w:rPr>
              <w:t>balticum</w:t>
            </w:r>
            <w:proofErr w:type="spellEnd"/>
            <w:r w:rsidRPr="004128DB">
              <w:rPr>
                <w:rFonts w:ascii="Arial" w:eastAsia="Times New Roman" w:hAnsi="Arial" w:cs="Arial"/>
                <w:i/>
                <w:iCs/>
                <w:color w:val="000000"/>
                <w:lang w:eastAsia="en-IN"/>
              </w:rPr>
              <w:t xml:space="preserve"> </w:t>
            </w:r>
            <w:r w:rsidRPr="004128DB">
              <w:rPr>
                <w:rFonts w:ascii="Arial" w:eastAsia="Times New Roman" w:hAnsi="Arial" w:cs="Arial"/>
                <w:iCs/>
                <w:color w:val="000000"/>
                <w:lang w:eastAsia="en-IN"/>
              </w:rPr>
              <w:t>(GB)</w:t>
            </w:r>
          </w:p>
        </w:tc>
        <w:tc>
          <w:tcPr>
            <w:tcW w:w="1388" w:type="dxa"/>
            <w:tcBorders>
              <w:top w:val="single" w:sz="4" w:space="0" w:color="auto"/>
              <w:left w:val="single" w:sz="4" w:space="0" w:color="auto"/>
              <w:bottom w:val="single" w:sz="4" w:space="0" w:color="auto"/>
              <w:right w:val="single" w:sz="4" w:space="0" w:color="auto"/>
            </w:tcBorders>
            <w:noWrap/>
            <w:hideMark/>
          </w:tcPr>
          <w:p w14:paraId="3AAC6C55"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03C4C1CA"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2E4B0BBF"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100E5C0E"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499FDCDC"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7DCE3D85"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7</w:t>
            </w:r>
          </w:p>
        </w:tc>
        <w:tc>
          <w:tcPr>
            <w:tcW w:w="3513" w:type="dxa"/>
            <w:tcBorders>
              <w:top w:val="single" w:sz="4" w:space="0" w:color="auto"/>
              <w:left w:val="single" w:sz="4" w:space="0" w:color="auto"/>
              <w:bottom w:val="single" w:sz="4" w:space="0" w:color="auto"/>
              <w:right w:val="single" w:sz="4" w:space="0" w:color="auto"/>
            </w:tcBorders>
            <w:noWrap/>
            <w:hideMark/>
          </w:tcPr>
          <w:p w14:paraId="6C1B187E" w14:textId="77777777" w:rsidR="00EF2630" w:rsidRPr="004128DB" w:rsidRDefault="00EF2630" w:rsidP="002D4145">
            <w:pPr>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color w:val="000000"/>
                <w:lang w:eastAsia="en-IN"/>
              </w:rPr>
              <w:t>Licmophora</w:t>
            </w:r>
            <w:proofErr w:type="spellEnd"/>
            <w:r w:rsidRPr="004128DB">
              <w:rPr>
                <w:rFonts w:ascii="Arial" w:eastAsia="Times New Roman" w:hAnsi="Arial" w:cs="Arial"/>
                <w:i/>
                <w:iCs/>
                <w:color w:val="000000"/>
                <w:lang w:eastAsia="en-IN"/>
              </w:rPr>
              <w:t xml:space="preserve"> </w:t>
            </w:r>
            <w:proofErr w:type="spellStart"/>
            <w:r w:rsidRPr="004128DB">
              <w:rPr>
                <w:rFonts w:ascii="Arial" w:eastAsia="Times New Roman" w:hAnsi="Arial" w:cs="Arial"/>
                <w:i/>
                <w:iCs/>
                <w:color w:val="000000"/>
                <w:lang w:eastAsia="en-IN"/>
              </w:rPr>
              <w:t>delicatula</w:t>
            </w:r>
            <w:proofErr w:type="spellEnd"/>
            <w:r w:rsidRPr="004128DB">
              <w:rPr>
                <w:rFonts w:ascii="Arial" w:eastAsia="Times New Roman" w:hAnsi="Arial" w:cs="Arial"/>
                <w:i/>
                <w:iCs/>
                <w:color w:val="000000"/>
                <w:lang w:eastAsia="en-IN"/>
              </w:rPr>
              <w:t xml:space="preserve"> </w:t>
            </w:r>
            <w:r w:rsidRPr="004128DB">
              <w:rPr>
                <w:rFonts w:ascii="Arial" w:eastAsia="Times New Roman" w:hAnsi="Arial" w:cs="Arial"/>
                <w:iCs/>
                <w:color w:val="000000"/>
                <w:lang w:eastAsia="en-IN"/>
              </w:rPr>
              <w:t>(LD)</w:t>
            </w:r>
          </w:p>
        </w:tc>
        <w:tc>
          <w:tcPr>
            <w:tcW w:w="1388" w:type="dxa"/>
            <w:tcBorders>
              <w:top w:val="single" w:sz="4" w:space="0" w:color="auto"/>
              <w:left w:val="single" w:sz="4" w:space="0" w:color="auto"/>
              <w:bottom w:val="single" w:sz="4" w:space="0" w:color="auto"/>
              <w:right w:val="single" w:sz="4" w:space="0" w:color="auto"/>
            </w:tcBorders>
            <w:noWrap/>
            <w:hideMark/>
          </w:tcPr>
          <w:p w14:paraId="6687794E"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764595F3"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66968BB4"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387A5F1E"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424A88A1"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14E8D165"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8</w:t>
            </w:r>
          </w:p>
        </w:tc>
        <w:tc>
          <w:tcPr>
            <w:tcW w:w="3513" w:type="dxa"/>
            <w:tcBorders>
              <w:top w:val="single" w:sz="4" w:space="0" w:color="auto"/>
              <w:left w:val="single" w:sz="4" w:space="0" w:color="auto"/>
              <w:bottom w:val="single" w:sz="4" w:space="0" w:color="auto"/>
              <w:right w:val="single" w:sz="4" w:space="0" w:color="auto"/>
            </w:tcBorders>
            <w:noWrap/>
            <w:hideMark/>
          </w:tcPr>
          <w:p w14:paraId="42B5D1A1" w14:textId="77777777" w:rsidR="00EF2630" w:rsidRPr="004128DB" w:rsidRDefault="00EF2630" w:rsidP="002D4145">
            <w:pPr>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color w:val="000000"/>
                <w:lang w:eastAsia="en-IN"/>
              </w:rPr>
              <w:t>Mastogloia</w:t>
            </w:r>
            <w:proofErr w:type="spellEnd"/>
            <w:r w:rsidRPr="004128DB">
              <w:rPr>
                <w:rFonts w:ascii="Arial" w:eastAsia="Times New Roman" w:hAnsi="Arial" w:cs="Arial"/>
                <w:i/>
                <w:iCs/>
                <w:color w:val="000000"/>
                <w:lang w:eastAsia="en-IN"/>
              </w:rPr>
              <w:t xml:space="preserve"> exilis </w:t>
            </w:r>
            <w:r w:rsidRPr="004128DB">
              <w:rPr>
                <w:rFonts w:ascii="Arial" w:eastAsia="Times New Roman" w:hAnsi="Arial" w:cs="Arial"/>
                <w:iCs/>
                <w:color w:val="000000"/>
                <w:lang w:eastAsia="en-IN"/>
              </w:rPr>
              <w:t>(ME)</w:t>
            </w:r>
          </w:p>
        </w:tc>
        <w:tc>
          <w:tcPr>
            <w:tcW w:w="1388" w:type="dxa"/>
            <w:tcBorders>
              <w:top w:val="single" w:sz="4" w:space="0" w:color="auto"/>
              <w:left w:val="single" w:sz="4" w:space="0" w:color="auto"/>
              <w:bottom w:val="single" w:sz="4" w:space="0" w:color="auto"/>
              <w:right w:val="single" w:sz="4" w:space="0" w:color="auto"/>
            </w:tcBorders>
            <w:noWrap/>
            <w:hideMark/>
          </w:tcPr>
          <w:p w14:paraId="5437E155"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7ECC5D88"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012D1A94"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3A615018"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4CCC32F2"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40685A9C"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9</w:t>
            </w:r>
          </w:p>
        </w:tc>
        <w:tc>
          <w:tcPr>
            <w:tcW w:w="3513" w:type="dxa"/>
            <w:tcBorders>
              <w:top w:val="single" w:sz="4" w:space="0" w:color="auto"/>
              <w:left w:val="single" w:sz="4" w:space="0" w:color="auto"/>
              <w:bottom w:val="single" w:sz="4" w:space="0" w:color="auto"/>
              <w:right w:val="single" w:sz="4" w:space="0" w:color="auto"/>
            </w:tcBorders>
            <w:noWrap/>
            <w:hideMark/>
          </w:tcPr>
          <w:p w14:paraId="7E68EF81" w14:textId="77777777" w:rsidR="00EF2630" w:rsidRPr="004128DB" w:rsidRDefault="00EF2630" w:rsidP="002D4145">
            <w:pPr>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color w:val="000000"/>
                <w:lang w:eastAsia="en-IN"/>
              </w:rPr>
              <w:t>Navicula</w:t>
            </w:r>
            <w:proofErr w:type="spellEnd"/>
            <w:r w:rsidRPr="004128DB">
              <w:rPr>
                <w:rFonts w:ascii="Arial" w:eastAsia="Times New Roman" w:hAnsi="Arial" w:cs="Arial"/>
                <w:i/>
                <w:iCs/>
                <w:color w:val="000000"/>
                <w:lang w:eastAsia="en-IN"/>
              </w:rPr>
              <w:t xml:space="preserve"> sp. </w:t>
            </w:r>
            <w:r w:rsidRPr="004128DB">
              <w:rPr>
                <w:rFonts w:ascii="Arial" w:eastAsia="Times New Roman" w:hAnsi="Arial" w:cs="Arial"/>
                <w:iCs/>
                <w:color w:val="000000"/>
                <w:lang w:eastAsia="en-IN"/>
              </w:rPr>
              <w:t>(Nav)</w:t>
            </w:r>
          </w:p>
        </w:tc>
        <w:tc>
          <w:tcPr>
            <w:tcW w:w="1388" w:type="dxa"/>
            <w:tcBorders>
              <w:top w:val="single" w:sz="4" w:space="0" w:color="auto"/>
              <w:left w:val="single" w:sz="4" w:space="0" w:color="auto"/>
              <w:bottom w:val="single" w:sz="4" w:space="0" w:color="auto"/>
              <w:right w:val="single" w:sz="4" w:space="0" w:color="auto"/>
            </w:tcBorders>
            <w:noWrap/>
            <w:hideMark/>
          </w:tcPr>
          <w:p w14:paraId="1AB92A17"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4C908281"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5EEB7A02"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433" w:type="dxa"/>
            <w:tcBorders>
              <w:top w:val="single" w:sz="4" w:space="0" w:color="auto"/>
              <w:left w:val="single" w:sz="4" w:space="0" w:color="auto"/>
              <w:bottom w:val="single" w:sz="4" w:space="0" w:color="auto"/>
              <w:right w:val="single" w:sz="4" w:space="0" w:color="auto"/>
            </w:tcBorders>
            <w:noWrap/>
            <w:hideMark/>
          </w:tcPr>
          <w:p w14:paraId="0AB49531"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434CD663"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50CB45F4"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10</w:t>
            </w:r>
          </w:p>
        </w:tc>
        <w:tc>
          <w:tcPr>
            <w:tcW w:w="3513" w:type="dxa"/>
            <w:tcBorders>
              <w:top w:val="single" w:sz="4" w:space="0" w:color="auto"/>
              <w:left w:val="single" w:sz="4" w:space="0" w:color="auto"/>
              <w:bottom w:val="single" w:sz="4" w:space="0" w:color="auto"/>
              <w:right w:val="single" w:sz="4" w:space="0" w:color="auto"/>
            </w:tcBorders>
            <w:noWrap/>
            <w:hideMark/>
          </w:tcPr>
          <w:p w14:paraId="21478BE4" w14:textId="77777777" w:rsidR="00EF2630" w:rsidRPr="004128DB" w:rsidRDefault="00EF2630" w:rsidP="002D4145">
            <w:pPr>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color w:val="000000"/>
                <w:lang w:eastAsia="en-IN"/>
              </w:rPr>
              <w:t>Nitzschia</w:t>
            </w:r>
            <w:proofErr w:type="spellEnd"/>
            <w:r w:rsidRPr="004128DB">
              <w:rPr>
                <w:rFonts w:ascii="Arial" w:eastAsia="Times New Roman" w:hAnsi="Arial" w:cs="Arial"/>
                <w:i/>
                <w:iCs/>
                <w:color w:val="000000"/>
                <w:lang w:eastAsia="en-IN"/>
              </w:rPr>
              <w:t xml:space="preserve"> </w:t>
            </w:r>
            <w:proofErr w:type="spellStart"/>
            <w:r w:rsidRPr="004128DB">
              <w:rPr>
                <w:rFonts w:ascii="Arial" w:eastAsia="Times New Roman" w:hAnsi="Arial" w:cs="Arial"/>
                <w:i/>
                <w:iCs/>
                <w:color w:val="000000"/>
                <w:lang w:eastAsia="en-IN"/>
              </w:rPr>
              <w:t>closterium</w:t>
            </w:r>
            <w:proofErr w:type="spellEnd"/>
            <w:r w:rsidRPr="004128DB">
              <w:rPr>
                <w:rFonts w:ascii="Arial" w:eastAsia="Times New Roman" w:hAnsi="Arial" w:cs="Arial"/>
                <w:i/>
                <w:iCs/>
                <w:color w:val="000000"/>
                <w:lang w:eastAsia="en-IN"/>
              </w:rPr>
              <w:t xml:space="preserve"> </w:t>
            </w:r>
            <w:r w:rsidRPr="004128DB">
              <w:rPr>
                <w:rFonts w:ascii="Arial" w:eastAsia="Times New Roman" w:hAnsi="Arial" w:cs="Arial"/>
                <w:iCs/>
                <w:color w:val="000000"/>
                <w:lang w:eastAsia="en-IN"/>
              </w:rPr>
              <w:t>(NC)</w:t>
            </w:r>
          </w:p>
        </w:tc>
        <w:tc>
          <w:tcPr>
            <w:tcW w:w="1388" w:type="dxa"/>
            <w:tcBorders>
              <w:top w:val="single" w:sz="4" w:space="0" w:color="auto"/>
              <w:left w:val="single" w:sz="4" w:space="0" w:color="auto"/>
              <w:bottom w:val="single" w:sz="4" w:space="0" w:color="auto"/>
              <w:right w:val="single" w:sz="4" w:space="0" w:color="auto"/>
            </w:tcBorders>
            <w:noWrap/>
            <w:hideMark/>
          </w:tcPr>
          <w:p w14:paraId="50CE7308"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1B1FE581"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31B45969"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433" w:type="dxa"/>
            <w:tcBorders>
              <w:top w:val="single" w:sz="4" w:space="0" w:color="auto"/>
              <w:left w:val="single" w:sz="4" w:space="0" w:color="auto"/>
              <w:bottom w:val="single" w:sz="4" w:space="0" w:color="auto"/>
              <w:right w:val="single" w:sz="4" w:space="0" w:color="auto"/>
            </w:tcBorders>
            <w:noWrap/>
            <w:hideMark/>
          </w:tcPr>
          <w:p w14:paraId="6ED6D8EC"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3AB597C9"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75C96928"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11</w:t>
            </w:r>
          </w:p>
        </w:tc>
        <w:tc>
          <w:tcPr>
            <w:tcW w:w="3513" w:type="dxa"/>
            <w:tcBorders>
              <w:top w:val="single" w:sz="4" w:space="0" w:color="auto"/>
              <w:left w:val="single" w:sz="4" w:space="0" w:color="auto"/>
              <w:bottom w:val="single" w:sz="4" w:space="0" w:color="auto"/>
              <w:right w:val="single" w:sz="4" w:space="0" w:color="auto"/>
            </w:tcBorders>
            <w:noWrap/>
            <w:hideMark/>
          </w:tcPr>
          <w:p w14:paraId="4AD41187" w14:textId="77777777" w:rsidR="00EF2630" w:rsidRPr="004128DB" w:rsidRDefault="00EF2630" w:rsidP="002D4145">
            <w:pPr>
              <w:tabs>
                <w:tab w:val="left" w:pos="1665"/>
              </w:tabs>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color w:val="000000"/>
                <w:lang w:eastAsia="en-IN"/>
              </w:rPr>
              <w:t>Nitzschia</w:t>
            </w:r>
            <w:proofErr w:type="spellEnd"/>
            <w:r w:rsidRPr="004128DB">
              <w:rPr>
                <w:rFonts w:ascii="Arial" w:eastAsia="Times New Roman" w:hAnsi="Arial" w:cs="Arial"/>
                <w:i/>
                <w:iCs/>
                <w:color w:val="000000"/>
                <w:lang w:eastAsia="en-IN"/>
              </w:rPr>
              <w:t xml:space="preserve"> sp. </w:t>
            </w:r>
            <w:r w:rsidRPr="004128DB">
              <w:rPr>
                <w:rFonts w:ascii="Arial" w:eastAsia="Times New Roman" w:hAnsi="Arial" w:cs="Arial"/>
                <w:iCs/>
                <w:color w:val="000000"/>
                <w:lang w:eastAsia="en-IN"/>
              </w:rPr>
              <w:t>(Nit)</w:t>
            </w:r>
          </w:p>
        </w:tc>
        <w:tc>
          <w:tcPr>
            <w:tcW w:w="1388" w:type="dxa"/>
            <w:tcBorders>
              <w:top w:val="single" w:sz="4" w:space="0" w:color="auto"/>
              <w:left w:val="single" w:sz="4" w:space="0" w:color="auto"/>
              <w:bottom w:val="single" w:sz="4" w:space="0" w:color="auto"/>
              <w:right w:val="single" w:sz="4" w:space="0" w:color="auto"/>
            </w:tcBorders>
            <w:noWrap/>
            <w:hideMark/>
          </w:tcPr>
          <w:p w14:paraId="44B13465"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5D33E40D"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2AC0AD00"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3CB9B084"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1038D1E9"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638CE012" w14:textId="77777777" w:rsidR="00EF2630" w:rsidRPr="004128DB" w:rsidRDefault="00EF2630" w:rsidP="002D4145">
            <w:pPr>
              <w:spacing w:after="0" w:line="240" w:lineRule="auto"/>
              <w:jc w:val="center"/>
              <w:rPr>
                <w:rFonts w:ascii="Arial" w:eastAsia="Times New Roman" w:hAnsi="Arial" w:cs="Arial"/>
                <w:color w:val="000000"/>
                <w:lang w:eastAsia="en-IN"/>
              </w:rPr>
            </w:pPr>
            <w:bookmarkStart w:id="6" w:name="_Hlk173766933"/>
            <w:r w:rsidRPr="004128DB">
              <w:rPr>
                <w:rFonts w:ascii="Arial" w:eastAsia="Times New Roman" w:hAnsi="Arial" w:cs="Arial"/>
                <w:color w:val="000000"/>
                <w:lang w:eastAsia="en-IN"/>
              </w:rPr>
              <w:t>12</w:t>
            </w:r>
          </w:p>
        </w:tc>
        <w:tc>
          <w:tcPr>
            <w:tcW w:w="3513" w:type="dxa"/>
            <w:tcBorders>
              <w:top w:val="single" w:sz="4" w:space="0" w:color="auto"/>
              <w:left w:val="single" w:sz="4" w:space="0" w:color="auto"/>
              <w:bottom w:val="single" w:sz="4" w:space="0" w:color="auto"/>
              <w:right w:val="single" w:sz="4" w:space="0" w:color="auto"/>
            </w:tcBorders>
            <w:noWrap/>
            <w:hideMark/>
          </w:tcPr>
          <w:p w14:paraId="2E7CFB84" w14:textId="77777777" w:rsidR="00EF2630" w:rsidRPr="004128DB" w:rsidRDefault="00EF2630" w:rsidP="002D4145">
            <w:pPr>
              <w:tabs>
                <w:tab w:val="right" w:pos="3297"/>
              </w:tabs>
              <w:spacing w:after="0" w:line="240" w:lineRule="auto"/>
              <w:jc w:val="center"/>
              <w:rPr>
                <w:rFonts w:ascii="Arial" w:eastAsia="Times New Roman" w:hAnsi="Arial" w:cs="Arial"/>
                <w:i/>
                <w:iCs/>
                <w:color w:val="FF0000"/>
                <w:highlight w:val="cyan"/>
                <w:lang w:eastAsia="en-IN"/>
              </w:rPr>
            </w:pPr>
            <w:r w:rsidRPr="004128DB">
              <w:rPr>
                <w:rFonts w:ascii="Arial" w:eastAsia="Times New Roman" w:hAnsi="Arial" w:cs="Arial"/>
                <w:i/>
                <w:iCs/>
                <w:lang w:eastAsia="en-IN"/>
              </w:rPr>
              <w:t xml:space="preserve">Rhaphoneis </w:t>
            </w:r>
            <w:proofErr w:type="spellStart"/>
            <w:r w:rsidRPr="004128DB">
              <w:rPr>
                <w:rFonts w:ascii="Arial" w:eastAsia="Times New Roman" w:hAnsi="Arial" w:cs="Arial"/>
                <w:i/>
                <w:iCs/>
                <w:lang w:eastAsia="en-IN"/>
              </w:rPr>
              <w:t>discoides</w:t>
            </w:r>
            <w:proofErr w:type="spellEnd"/>
            <w:r w:rsidRPr="004128DB">
              <w:rPr>
                <w:rFonts w:ascii="Arial" w:eastAsia="Times New Roman" w:hAnsi="Arial" w:cs="Arial"/>
                <w:i/>
                <w:iCs/>
                <w:lang w:eastAsia="en-IN"/>
              </w:rPr>
              <w:t xml:space="preserve"> </w:t>
            </w:r>
            <w:r w:rsidRPr="004128DB">
              <w:rPr>
                <w:rFonts w:ascii="Arial" w:eastAsia="Times New Roman" w:hAnsi="Arial" w:cs="Arial"/>
                <w:iCs/>
                <w:lang w:eastAsia="en-IN"/>
              </w:rPr>
              <w:t>(RD)</w:t>
            </w:r>
          </w:p>
        </w:tc>
        <w:tc>
          <w:tcPr>
            <w:tcW w:w="1388" w:type="dxa"/>
            <w:tcBorders>
              <w:top w:val="single" w:sz="4" w:space="0" w:color="auto"/>
              <w:left w:val="single" w:sz="4" w:space="0" w:color="auto"/>
              <w:bottom w:val="single" w:sz="4" w:space="0" w:color="auto"/>
              <w:right w:val="single" w:sz="4" w:space="0" w:color="auto"/>
            </w:tcBorders>
            <w:noWrap/>
            <w:hideMark/>
          </w:tcPr>
          <w:p w14:paraId="0BC9BCCA"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555C4FF2"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5173EA74"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66F6416D"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526980B8"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6ED98CEB"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13</w:t>
            </w:r>
          </w:p>
        </w:tc>
        <w:tc>
          <w:tcPr>
            <w:tcW w:w="3513" w:type="dxa"/>
            <w:tcBorders>
              <w:top w:val="single" w:sz="4" w:space="0" w:color="auto"/>
              <w:left w:val="single" w:sz="4" w:space="0" w:color="auto"/>
              <w:bottom w:val="single" w:sz="4" w:space="0" w:color="auto"/>
              <w:right w:val="single" w:sz="4" w:space="0" w:color="auto"/>
            </w:tcBorders>
            <w:noWrap/>
            <w:hideMark/>
          </w:tcPr>
          <w:p w14:paraId="2AFFF2D5" w14:textId="77777777" w:rsidR="00EF2630" w:rsidRPr="004128DB" w:rsidRDefault="00EF2630" w:rsidP="002D4145">
            <w:pPr>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lang w:eastAsia="en-IN"/>
              </w:rPr>
              <w:t>Surirella</w:t>
            </w:r>
            <w:proofErr w:type="spellEnd"/>
            <w:r w:rsidRPr="004128DB">
              <w:rPr>
                <w:rFonts w:ascii="Arial" w:eastAsia="Times New Roman" w:hAnsi="Arial" w:cs="Arial"/>
                <w:i/>
                <w:iCs/>
                <w:lang w:eastAsia="en-IN"/>
              </w:rPr>
              <w:t xml:space="preserve"> fluminensis </w:t>
            </w:r>
            <w:r w:rsidRPr="004128DB">
              <w:rPr>
                <w:rFonts w:ascii="Arial" w:eastAsia="Times New Roman" w:hAnsi="Arial" w:cs="Arial"/>
                <w:iCs/>
                <w:lang w:eastAsia="en-IN"/>
              </w:rPr>
              <w:t>(SF)</w:t>
            </w:r>
          </w:p>
        </w:tc>
        <w:tc>
          <w:tcPr>
            <w:tcW w:w="1388" w:type="dxa"/>
            <w:tcBorders>
              <w:top w:val="single" w:sz="4" w:space="0" w:color="auto"/>
              <w:left w:val="single" w:sz="4" w:space="0" w:color="auto"/>
              <w:bottom w:val="single" w:sz="4" w:space="0" w:color="auto"/>
              <w:right w:val="single" w:sz="4" w:space="0" w:color="auto"/>
            </w:tcBorders>
            <w:noWrap/>
            <w:hideMark/>
          </w:tcPr>
          <w:p w14:paraId="381398BE"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62D76FD0"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7DE960A4"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7D2D6ADC"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21C2234B"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347BE3FE"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14</w:t>
            </w:r>
          </w:p>
        </w:tc>
        <w:tc>
          <w:tcPr>
            <w:tcW w:w="3513" w:type="dxa"/>
            <w:tcBorders>
              <w:top w:val="single" w:sz="4" w:space="0" w:color="auto"/>
              <w:left w:val="single" w:sz="4" w:space="0" w:color="auto"/>
              <w:bottom w:val="single" w:sz="4" w:space="0" w:color="auto"/>
              <w:right w:val="single" w:sz="4" w:space="0" w:color="auto"/>
            </w:tcBorders>
            <w:noWrap/>
            <w:hideMark/>
          </w:tcPr>
          <w:p w14:paraId="0FE65640" w14:textId="77777777" w:rsidR="00EF2630" w:rsidRPr="004128DB" w:rsidRDefault="00EF2630" w:rsidP="002D4145">
            <w:pPr>
              <w:spacing w:after="0" w:line="240" w:lineRule="auto"/>
              <w:jc w:val="center"/>
              <w:rPr>
                <w:rFonts w:ascii="Arial" w:eastAsia="Times New Roman" w:hAnsi="Arial" w:cs="Arial"/>
                <w:i/>
                <w:iCs/>
                <w:lang w:eastAsia="en-IN"/>
              </w:rPr>
            </w:pPr>
            <w:proofErr w:type="spellStart"/>
            <w:r w:rsidRPr="004128DB">
              <w:rPr>
                <w:rFonts w:ascii="Arial" w:eastAsia="Times New Roman" w:hAnsi="Arial" w:cs="Arial"/>
                <w:i/>
                <w:iCs/>
                <w:lang w:eastAsia="en-IN"/>
              </w:rPr>
              <w:t>Thalassionema</w:t>
            </w:r>
            <w:proofErr w:type="spellEnd"/>
            <w:r w:rsidRPr="004128DB">
              <w:rPr>
                <w:rFonts w:ascii="Arial" w:eastAsia="Times New Roman" w:hAnsi="Arial" w:cs="Arial"/>
                <w:i/>
                <w:iCs/>
                <w:lang w:eastAsia="en-IN"/>
              </w:rPr>
              <w:t xml:space="preserve"> </w:t>
            </w:r>
            <w:proofErr w:type="spellStart"/>
            <w:r w:rsidRPr="004128DB">
              <w:rPr>
                <w:rFonts w:ascii="Arial" w:eastAsia="Times New Roman" w:hAnsi="Arial" w:cs="Arial"/>
                <w:i/>
                <w:iCs/>
                <w:lang w:eastAsia="en-IN"/>
              </w:rPr>
              <w:t>nitzschioides</w:t>
            </w:r>
            <w:proofErr w:type="spellEnd"/>
            <w:r w:rsidRPr="004128DB">
              <w:rPr>
                <w:rFonts w:ascii="Arial" w:eastAsia="Times New Roman" w:hAnsi="Arial" w:cs="Arial"/>
                <w:i/>
                <w:iCs/>
                <w:lang w:eastAsia="en-IN"/>
              </w:rPr>
              <w:t xml:space="preserve"> </w:t>
            </w:r>
            <w:r w:rsidRPr="004128DB">
              <w:rPr>
                <w:rFonts w:ascii="Arial" w:eastAsia="Times New Roman" w:hAnsi="Arial" w:cs="Arial"/>
                <w:iCs/>
                <w:lang w:eastAsia="en-IN"/>
              </w:rPr>
              <w:t>(TN)</w:t>
            </w:r>
          </w:p>
        </w:tc>
        <w:tc>
          <w:tcPr>
            <w:tcW w:w="1388" w:type="dxa"/>
            <w:tcBorders>
              <w:top w:val="single" w:sz="4" w:space="0" w:color="auto"/>
              <w:left w:val="single" w:sz="4" w:space="0" w:color="auto"/>
              <w:bottom w:val="single" w:sz="4" w:space="0" w:color="auto"/>
              <w:right w:val="single" w:sz="4" w:space="0" w:color="auto"/>
            </w:tcBorders>
            <w:noWrap/>
            <w:hideMark/>
          </w:tcPr>
          <w:p w14:paraId="128799F6" w14:textId="77777777" w:rsidR="00EF2630" w:rsidRPr="003F0439" w:rsidRDefault="00EF2630" w:rsidP="002D4145">
            <w:pPr>
              <w:spacing w:after="0" w:line="240" w:lineRule="auto"/>
              <w:jc w:val="center"/>
              <w:rPr>
                <w:rFonts w:ascii="Arial" w:eastAsia="Times New Roman" w:hAnsi="Arial" w:cs="Arial"/>
                <w:bCs/>
                <w:lang w:eastAsia="en-IN"/>
              </w:rPr>
            </w:pPr>
            <w:r w:rsidRPr="003F0439">
              <w:rPr>
                <w:rFonts w:ascii="Arial" w:eastAsia="Times New Roman" w:hAnsi="Arial" w:cs="Arial"/>
                <w:bCs/>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772A3B7F" w14:textId="77777777" w:rsidR="00EF2630" w:rsidRPr="003F0439" w:rsidRDefault="00EF2630" w:rsidP="002D4145">
            <w:pPr>
              <w:spacing w:after="0" w:line="240" w:lineRule="auto"/>
              <w:jc w:val="center"/>
              <w:rPr>
                <w:rFonts w:ascii="Arial" w:eastAsia="Times New Roman" w:hAnsi="Arial" w:cs="Arial"/>
                <w:bCs/>
                <w:lang w:eastAsia="en-IN"/>
              </w:rPr>
            </w:pPr>
            <w:r w:rsidRPr="003F0439">
              <w:rPr>
                <w:rFonts w:ascii="Arial" w:eastAsia="Times New Roman" w:hAnsi="Arial" w:cs="Arial"/>
                <w:bCs/>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2A395BC4" w14:textId="77777777" w:rsidR="00EF2630" w:rsidRPr="003F0439" w:rsidRDefault="00EF2630" w:rsidP="002D4145">
            <w:pPr>
              <w:spacing w:after="0" w:line="240" w:lineRule="auto"/>
              <w:jc w:val="center"/>
              <w:rPr>
                <w:rFonts w:ascii="Arial" w:eastAsia="Times New Roman" w:hAnsi="Arial" w:cs="Arial"/>
                <w:bCs/>
                <w:lang w:eastAsia="en-IN"/>
              </w:rPr>
            </w:pPr>
            <w:r w:rsidRPr="003F0439">
              <w:rPr>
                <w:rFonts w:ascii="Arial" w:eastAsia="Times New Roman" w:hAnsi="Arial" w:cs="Arial"/>
                <w:bCs/>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758245F1" w14:textId="77777777" w:rsidR="00EF2630" w:rsidRPr="003F0439" w:rsidRDefault="00EF2630" w:rsidP="002D4145">
            <w:pPr>
              <w:spacing w:after="0" w:line="240" w:lineRule="auto"/>
              <w:jc w:val="center"/>
              <w:rPr>
                <w:rFonts w:ascii="Arial" w:eastAsia="Times New Roman" w:hAnsi="Arial" w:cs="Arial"/>
                <w:lang w:eastAsia="en-IN"/>
              </w:rPr>
            </w:pPr>
            <w:r w:rsidRPr="003F0439">
              <w:rPr>
                <w:rFonts w:ascii="Arial" w:eastAsia="Times New Roman" w:hAnsi="Arial" w:cs="Arial"/>
                <w:lang w:eastAsia="en-IN"/>
              </w:rPr>
              <w:t>++</w:t>
            </w:r>
          </w:p>
        </w:tc>
      </w:tr>
      <w:tr w:rsidR="00EF2630" w:rsidRPr="004128DB" w14:paraId="71E30983"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2FD0A7B9"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15</w:t>
            </w:r>
          </w:p>
        </w:tc>
        <w:tc>
          <w:tcPr>
            <w:tcW w:w="3513" w:type="dxa"/>
            <w:tcBorders>
              <w:top w:val="single" w:sz="4" w:space="0" w:color="auto"/>
              <w:left w:val="single" w:sz="4" w:space="0" w:color="auto"/>
              <w:bottom w:val="single" w:sz="4" w:space="0" w:color="auto"/>
              <w:right w:val="single" w:sz="4" w:space="0" w:color="auto"/>
            </w:tcBorders>
            <w:noWrap/>
            <w:hideMark/>
          </w:tcPr>
          <w:p w14:paraId="72BF35E0" w14:textId="77777777" w:rsidR="00EF2630" w:rsidRPr="004128DB" w:rsidRDefault="00EF2630" w:rsidP="002D4145">
            <w:pPr>
              <w:spacing w:after="0" w:line="240" w:lineRule="auto"/>
              <w:jc w:val="center"/>
              <w:rPr>
                <w:rFonts w:ascii="Arial" w:eastAsia="Times New Roman" w:hAnsi="Arial" w:cs="Arial"/>
                <w:i/>
                <w:iCs/>
                <w:color w:val="000000"/>
                <w:highlight w:val="darkRed"/>
                <w:lang w:eastAsia="en-IN"/>
              </w:rPr>
            </w:pPr>
            <w:proofErr w:type="spellStart"/>
            <w:r w:rsidRPr="004128DB">
              <w:rPr>
                <w:rFonts w:ascii="Arial" w:eastAsia="Times New Roman" w:hAnsi="Arial" w:cs="Arial"/>
                <w:i/>
                <w:iCs/>
                <w:lang w:eastAsia="en-IN"/>
              </w:rPr>
              <w:t>Thallasiothrix</w:t>
            </w:r>
            <w:proofErr w:type="spellEnd"/>
            <w:r w:rsidRPr="004128DB">
              <w:rPr>
                <w:rFonts w:ascii="Arial" w:eastAsia="Times New Roman" w:hAnsi="Arial" w:cs="Arial"/>
                <w:i/>
                <w:iCs/>
                <w:lang w:eastAsia="en-IN"/>
              </w:rPr>
              <w:t xml:space="preserve"> </w:t>
            </w:r>
            <w:proofErr w:type="spellStart"/>
            <w:r w:rsidRPr="004128DB">
              <w:rPr>
                <w:rFonts w:ascii="Arial" w:eastAsia="Times New Roman" w:hAnsi="Arial" w:cs="Arial"/>
                <w:i/>
                <w:iCs/>
                <w:lang w:eastAsia="en-IN"/>
              </w:rPr>
              <w:t>frauenfeldii</w:t>
            </w:r>
            <w:proofErr w:type="spellEnd"/>
            <w:r w:rsidRPr="004128DB">
              <w:rPr>
                <w:rFonts w:ascii="Arial" w:eastAsia="Times New Roman" w:hAnsi="Arial" w:cs="Arial"/>
                <w:i/>
                <w:iCs/>
                <w:lang w:eastAsia="en-IN"/>
              </w:rPr>
              <w:t xml:space="preserve"> </w:t>
            </w:r>
            <w:r w:rsidRPr="004128DB">
              <w:rPr>
                <w:rFonts w:ascii="Arial" w:eastAsia="Times New Roman" w:hAnsi="Arial" w:cs="Arial"/>
                <w:iCs/>
                <w:lang w:eastAsia="en-IN"/>
              </w:rPr>
              <w:t>(TF)</w:t>
            </w:r>
          </w:p>
        </w:tc>
        <w:tc>
          <w:tcPr>
            <w:tcW w:w="1388" w:type="dxa"/>
            <w:tcBorders>
              <w:top w:val="single" w:sz="4" w:space="0" w:color="auto"/>
              <w:left w:val="single" w:sz="4" w:space="0" w:color="auto"/>
              <w:bottom w:val="single" w:sz="4" w:space="0" w:color="auto"/>
              <w:right w:val="single" w:sz="4" w:space="0" w:color="auto"/>
            </w:tcBorders>
            <w:noWrap/>
            <w:hideMark/>
          </w:tcPr>
          <w:p w14:paraId="2C82D221"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31C40A4A"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48CB8B9A"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433" w:type="dxa"/>
            <w:tcBorders>
              <w:top w:val="single" w:sz="4" w:space="0" w:color="auto"/>
              <w:left w:val="single" w:sz="4" w:space="0" w:color="auto"/>
              <w:bottom w:val="single" w:sz="4" w:space="0" w:color="auto"/>
              <w:right w:val="single" w:sz="4" w:space="0" w:color="auto"/>
            </w:tcBorders>
            <w:noWrap/>
            <w:hideMark/>
          </w:tcPr>
          <w:p w14:paraId="43B7812A"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bookmarkEnd w:id="6"/>
      <w:tr w:rsidR="00EF2630" w:rsidRPr="004128DB" w14:paraId="0C7F9AC2" w14:textId="77777777" w:rsidTr="002D4145">
        <w:trPr>
          <w:trHeight w:val="338"/>
          <w:jc w:val="center"/>
        </w:trPr>
        <w:tc>
          <w:tcPr>
            <w:tcW w:w="10114" w:type="dxa"/>
            <w:gridSpan w:val="6"/>
            <w:tcBorders>
              <w:top w:val="single" w:sz="4" w:space="0" w:color="auto"/>
              <w:left w:val="single" w:sz="4" w:space="0" w:color="auto"/>
              <w:bottom w:val="single" w:sz="4" w:space="0" w:color="auto"/>
              <w:right w:val="single" w:sz="4" w:space="0" w:color="auto"/>
            </w:tcBorders>
            <w:noWrap/>
            <w:hideMark/>
          </w:tcPr>
          <w:p w14:paraId="2DF0DDF4"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Class: Dinophyceae (</w:t>
            </w:r>
            <w:bookmarkStart w:id="7" w:name="_Hlk162364385"/>
            <w:r w:rsidRPr="004128DB">
              <w:rPr>
                <w:rFonts w:ascii="Arial" w:eastAsia="Times New Roman" w:hAnsi="Arial" w:cs="Arial"/>
                <w:color w:val="000000"/>
                <w:lang w:eastAsia="en-IN"/>
              </w:rPr>
              <w:t>Dinoflagellates</w:t>
            </w:r>
            <w:bookmarkEnd w:id="7"/>
            <w:r w:rsidRPr="004128DB">
              <w:rPr>
                <w:rFonts w:ascii="Arial" w:eastAsia="Times New Roman" w:hAnsi="Arial" w:cs="Arial"/>
                <w:color w:val="000000"/>
                <w:lang w:eastAsia="en-IN"/>
              </w:rPr>
              <w:t>)</w:t>
            </w:r>
          </w:p>
        </w:tc>
      </w:tr>
      <w:tr w:rsidR="00EF2630" w:rsidRPr="004128DB" w14:paraId="7717F2DE"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1660B209"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1</w:t>
            </w:r>
          </w:p>
        </w:tc>
        <w:tc>
          <w:tcPr>
            <w:tcW w:w="3513" w:type="dxa"/>
            <w:tcBorders>
              <w:top w:val="single" w:sz="4" w:space="0" w:color="auto"/>
              <w:left w:val="single" w:sz="4" w:space="0" w:color="auto"/>
              <w:bottom w:val="single" w:sz="4" w:space="0" w:color="auto"/>
              <w:right w:val="single" w:sz="4" w:space="0" w:color="auto"/>
            </w:tcBorders>
            <w:noWrap/>
            <w:hideMark/>
          </w:tcPr>
          <w:p w14:paraId="169AC788" w14:textId="77777777" w:rsidR="00EF2630" w:rsidRPr="004128DB" w:rsidRDefault="00EF2630" w:rsidP="002D4145">
            <w:pPr>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color w:val="000000"/>
                <w:lang w:eastAsia="en-IN"/>
              </w:rPr>
              <w:t>Amphisolenia</w:t>
            </w:r>
            <w:proofErr w:type="spellEnd"/>
            <w:r w:rsidRPr="004128DB">
              <w:rPr>
                <w:rFonts w:ascii="Arial" w:eastAsia="Times New Roman" w:hAnsi="Arial" w:cs="Arial"/>
                <w:i/>
                <w:iCs/>
                <w:color w:val="000000"/>
                <w:lang w:eastAsia="en-IN"/>
              </w:rPr>
              <w:t xml:space="preserve"> bifurcate </w:t>
            </w:r>
            <w:r w:rsidRPr="004128DB">
              <w:rPr>
                <w:rFonts w:ascii="Arial" w:eastAsia="Times New Roman" w:hAnsi="Arial" w:cs="Arial"/>
                <w:iCs/>
                <w:color w:val="000000"/>
                <w:lang w:eastAsia="en-IN"/>
              </w:rPr>
              <w:t>(AB)</w:t>
            </w:r>
          </w:p>
        </w:tc>
        <w:tc>
          <w:tcPr>
            <w:tcW w:w="1388" w:type="dxa"/>
            <w:tcBorders>
              <w:top w:val="single" w:sz="4" w:space="0" w:color="auto"/>
              <w:left w:val="single" w:sz="4" w:space="0" w:color="auto"/>
              <w:bottom w:val="single" w:sz="4" w:space="0" w:color="auto"/>
              <w:right w:val="single" w:sz="4" w:space="0" w:color="auto"/>
            </w:tcBorders>
            <w:noWrap/>
            <w:hideMark/>
          </w:tcPr>
          <w:p w14:paraId="4AE57217"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5F56B358"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1C2B32C1"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4046CC49"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2F3D5F63" w14:textId="77777777" w:rsidTr="002D4145">
        <w:trPr>
          <w:trHeight w:val="392"/>
          <w:jc w:val="center"/>
        </w:trPr>
        <w:tc>
          <w:tcPr>
            <w:tcW w:w="740" w:type="dxa"/>
            <w:tcBorders>
              <w:top w:val="single" w:sz="4" w:space="0" w:color="auto"/>
              <w:left w:val="single" w:sz="4" w:space="0" w:color="auto"/>
              <w:bottom w:val="single" w:sz="4" w:space="0" w:color="auto"/>
              <w:right w:val="single" w:sz="4" w:space="0" w:color="auto"/>
            </w:tcBorders>
            <w:noWrap/>
            <w:hideMark/>
          </w:tcPr>
          <w:p w14:paraId="6CCD337E"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2</w:t>
            </w:r>
          </w:p>
        </w:tc>
        <w:tc>
          <w:tcPr>
            <w:tcW w:w="3513" w:type="dxa"/>
            <w:tcBorders>
              <w:top w:val="single" w:sz="4" w:space="0" w:color="auto"/>
              <w:left w:val="single" w:sz="4" w:space="0" w:color="auto"/>
              <w:bottom w:val="single" w:sz="4" w:space="0" w:color="auto"/>
              <w:right w:val="single" w:sz="4" w:space="0" w:color="auto"/>
            </w:tcBorders>
            <w:noWrap/>
            <w:hideMark/>
          </w:tcPr>
          <w:p w14:paraId="173D6AED" w14:textId="77777777" w:rsidR="00EF2630" w:rsidRPr="004128DB" w:rsidRDefault="00EF2630" w:rsidP="002D4145">
            <w:pPr>
              <w:spacing w:after="0" w:line="240" w:lineRule="auto"/>
              <w:jc w:val="center"/>
              <w:rPr>
                <w:rFonts w:ascii="Arial" w:eastAsia="Times New Roman" w:hAnsi="Arial" w:cs="Arial"/>
                <w:iCs/>
                <w:color w:val="000000"/>
                <w:lang w:eastAsia="en-IN"/>
              </w:rPr>
            </w:pPr>
            <w:r w:rsidRPr="004128DB">
              <w:rPr>
                <w:rFonts w:ascii="Arial" w:eastAsia="Times New Roman" w:hAnsi="Arial" w:cs="Arial"/>
                <w:i/>
                <w:iCs/>
                <w:color w:val="000000"/>
                <w:lang w:eastAsia="en-IN"/>
              </w:rPr>
              <w:t xml:space="preserve">Ceratium </w:t>
            </w:r>
            <w:proofErr w:type="spellStart"/>
            <w:r w:rsidRPr="004128DB">
              <w:rPr>
                <w:rFonts w:ascii="Arial" w:eastAsia="Times New Roman" w:hAnsi="Arial" w:cs="Arial"/>
                <w:i/>
                <w:iCs/>
                <w:color w:val="000000"/>
                <w:lang w:eastAsia="en-IN"/>
              </w:rPr>
              <w:t>declinatum</w:t>
            </w:r>
            <w:proofErr w:type="spellEnd"/>
            <w:r w:rsidRPr="004128DB">
              <w:rPr>
                <w:rFonts w:ascii="Arial" w:eastAsia="Times New Roman" w:hAnsi="Arial" w:cs="Arial"/>
                <w:i/>
                <w:iCs/>
                <w:color w:val="000000"/>
                <w:lang w:eastAsia="en-IN"/>
              </w:rPr>
              <w:t xml:space="preserve"> </w:t>
            </w:r>
            <w:r w:rsidRPr="004128DB">
              <w:rPr>
                <w:rFonts w:ascii="Arial" w:eastAsia="Times New Roman" w:hAnsi="Arial" w:cs="Arial"/>
                <w:iCs/>
                <w:color w:val="000000"/>
                <w:lang w:eastAsia="en-IN"/>
              </w:rPr>
              <w:t>(CD)</w:t>
            </w:r>
          </w:p>
        </w:tc>
        <w:tc>
          <w:tcPr>
            <w:tcW w:w="1388" w:type="dxa"/>
            <w:tcBorders>
              <w:top w:val="single" w:sz="4" w:space="0" w:color="auto"/>
              <w:left w:val="single" w:sz="4" w:space="0" w:color="auto"/>
              <w:bottom w:val="single" w:sz="4" w:space="0" w:color="auto"/>
              <w:right w:val="single" w:sz="4" w:space="0" w:color="auto"/>
            </w:tcBorders>
            <w:noWrap/>
            <w:hideMark/>
          </w:tcPr>
          <w:p w14:paraId="2A3BCD35"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533C2C31"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467827A5"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0A95C89A"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724217B8"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60812F95"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3</w:t>
            </w:r>
          </w:p>
        </w:tc>
        <w:tc>
          <w:tcPr>
            <w:tcW w:w="3513" w:type="dxa"/>
            <w:tcBorders>
              <w:top w:val="single" w:sz="4" w:space="0" w:color="auto"/>
              <w:left w:val="single" w:sz="4" w:space="0" w:color="auto"/>
              <w:bottom w:val="single" w:sz="4" w:space="0" w:color="auto"/>
              <w:right w:val="single" w:sz="4" w:space="0" w:color="auto"/>
            </w:tcBorders>
            <w:noWrap/>
            <w:hideMark/>
          </w:tcPr>
          <w:p w14:paraId="570B4011" w14:textId="77777777" w:rsidR="00EF2630" w:rsidRPr="004128DB" w:rsidRDefault="00EF2630" w:rsidP="002D4145">
            <w:pPr>
              <w:spacing w:after="0" w:line="240" w:lineRule="auto"/>
              <w:jc w:val="center"/>
              <w:rPr>
                <w:rFonts w:ascii="Arial" w:eastAsia="Times New Roman" w:hAnsi="Arial" w:cs="Arial"/>
                <w:i/>
                <w:iCs/>
                <w:color w:val="000000"/>
                <w:lang w:eastAsia="en-IN"/>
              </w:rPr>
            </w:pPr>
            <w:r w:rsidRPr="004128DB">
              <w:rPr>
                <w:rFonts w:ascii="Arial" w:eastAsia="Times New Roman" w:hAnsi="Arial" w:cs="Arial"/>
                <w:i/>
                <w:iCs/>
                <w:color w:val="000000"/>
                <w:lang w:eastAsia="en-IN"/>
              </w:rPr>
              <w:t xml:space="preserve">Ceratium sp. </w:t>
            </w:r>
            <w:r w:rsidRPr="004128DB">
              <w:rPr>
                <w:rFonts w:ascii="Arial" w:eastAsia="Times New Roman" w:hAnsi="Arial" w:cs="Arial"/>
                <w:iCs/>
                <w:color w:val="000000"/>
                <w:lang w:eastAsia="en-IN"/>
              </w:rPr>
              <w:t>(Cer)</w:t>
            </w:r>
          </w:p>
        </w:tc>
        <w:tc>
          <w:tcPr>
            <w:tcW w:w="1388" w:type="dxa"/>
            <w:tcBorders>
              <w:top w:val="single" w:sz="4" w:space="0" w:color="auto"/>
              <w:left w:val="single" w:sz="4" w:space="0" w:color="auto"/>
              <w:bottom w:val="single" w:sz="4" w:space="0" w:color="auto"/>
              <w:right w:val="single" w:sz="4" w:space="0" w:color="auto"/>
            </w:tcBorders>
            <w:noWrap/>
            <w:hideMark/>
          </w:tcPr>
          <w:p w14:paraId="65A5BD51"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225CB0E8"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58FB7E02"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431E08BD"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485881E0"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6C94DE9C"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4</w:t>
            </w:r>
          </w:p>
        </w:tc>
        <w:tc>
          <w:tcPr>
            <w:tcW w:w="3513" w:type="dxa"/>
            <w:tcBorders>
              <w:top w:val="single" w:sz="4" w:space="0" w:color="auto"/>
              <w:left w:val="single" w:sz="4" w:space="0" w:color="auto"/>
              <w:bottom w:val="single" w:sz="4" w:space="0" w:color="auto"/>
              <w:right w:val="single" w:sz="4" w:space="0" w:color="auto"/>
            </w:tcBorders>
            <w:noWrap/>
            <w:hideMark/>
          </w:tcPr>
          <w:p w14:paraId="262CEEC0" w14:textId="77777777" w:rsidR="00EF2630" w:rsidRPr="004128DB" w:rsidRDefault="00EF2630" w:rsidP="002D4145">
            <w:pPr>
              <w:spacing w:after="0" w:line="240" w:lineRule="auto"/>
              <w:jc w:val="center"/>
              <w:rPr>
                <w:rFonts w:ascii="Arial" w:eastAsia="Times New Roman" w:hAnsi="Arial" w:cs="Arial"/>
                <w:iCs/>
                <w:color w:val="000000"/>
                <w:lang w:eastAsia="en-IN"/>
              </w:rPr>
            </w:pPr>
            <w:proofErr w:type="spellStart"/>
            <w:r w:rsidRPr="004128DB">
              <w:rPr>
                <w:rFonts w:ascii="Arial" w:eastAsia="Times New Roman" w:hAnsi="Arial" w:cs="Arial"/>
                <w:i/>
                <w:iCs/>
                <w:color w:val="000000"/>
                <w:lang w:eastAsia="en-IN"/>
              </w:rPr>
              <w:t>Cochlodinium</w:t>
            </w:r>
            <w:proofErr w:type="spellEnd"/>
            <w:r w:rsidRPr="004128DB">
              <w:rPr>
                <w:rFonts w:ascii="Arial" w:eastAsia="Times New Roman" w:hAnsi="Arial" w:cs="Arial"/>
                <w:i/>
                <w:iCs/>
                <w:color w:val="000000"/>
                <w:lang w:eastAsia="en-IN"/>
              </w:rPr>
              <w:t xml:space="preserve"> citron </w:t>
            </w:r>
            <w:r w:rsidRPr="004128DB">
              <w:rPr>
                <w:rFonts w:ascii="Arial" w:eastAsia="Times New Roman" w:hAnsi="Arial" w:cs="Arial"/>
                <w:iCs/>
                <w:color w:val="000000"/>
                <w:lang w:eastAsia="en-IN"/>
              </w:rPr>
              <w:t>(CC)</w:t>
            </w:r>
          </w:p>
        </w:tc>
        <w:tc>
          <w:tcPr>
            <w:tcW w:w="1388" w:type="dxa"/>
            <w:tcBorders>
              <w:top w:val="single" w:sz="4" w:space="0" w:color="auto"/>
              <w:left w:val="single" w:sz="4" w:space="0" w:color="auto"/>
              <w:bottom w:val="single" w:sz="4" w:space="0" w:color="auto"/>
              <w:right w:val="single" w:sz="4" w:space="0" w:color="auto"/>
            </w:tcBorders>
            <w:noWrap/>
            <w:hideMark/>
          </w:tcPr>
          <w:p w14:paraId="24CFFAC4"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59D401D3"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3556E693"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61D876F5"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10F37F99"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067B454C"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5</w:t>
            </w:r>
          </w:p>
        </w:tc>
        <w:tc>
          <w:tcPr>
            <w:tcW w:w="3513" w:type="dxa"/>
            <w:tcBorders>
              <w:top w:val="single" w:sz="4" w:space="0" w:color="auto"/>
              <w:left w:val="single" w:sz="4" w:space="0" w:color="auto"/>
              <w:bottom w:val="single" w:sz="4" w:space="0" w:color="auto"/>
              <w:right w:val="single" w:sz="4" w:space="0" w:color="auto"/>
            </w:tcBorders>
            <w:noWrap/>
            <w:hideMark/>
          </w:tcPr>
          <w:p w14:paraId="421E1CB2" w14:textId="77777777" w:rsidR="00EF2630" w:rsidRPr="004128DB" w:rsidRDefault="00EF2630" w:rsidP="002D4145">
            <w:pPr>
              <w:spacing w:after="0" w:line="240" w:lineRule="auto"/>
              <w:jc w:val="center"/>
              <w:rPr>
                <w:rFonts w:ascii="Arial" w:eastAsia="Times New Roman" w:hAnsi="Arial" w:cs="Arial"/>
                <w:i/>
                <w:iCs/>
                <w:color w:val="000000"/>
                <w:lang w:eastAsia="en-IN"/>
              </w:rPr>
            </w:pPr>
            <w:r w:rsidRPr="004128DB">
              <w:rPr>
                <w:rFonts w:ascii="Arial" w:eastAsia="Times New Roman" w:hAnsi="Arial" w:cs="Arial"/>
                <w:i/>
                <w:iCs/>
                <w:color w:val="000000"/>
                <w:lang w:eastAsia="en-IN"/>
              </w:rPr>
              <w:t xml:space="preserve">Dinophysis caudata </w:t>
            </w:r>
            <w:r w:rsidRPr="004128DB">
              <w:rPr>
                <w:rFonts w:ascii="Arial" w:eastAsia="Times New Roman" w:hAnsi="Arial" w:cs="Arial"/>
                <w:iCs/>
                <w:color w:val="000000"/>
                <w:lang w:eastAsia="en-IN"/>
              </w:rPr>
              <w:t>(DC)</w:t>
            </w:r>
          </w:p>
        </w:tc>
        <w:tc>
          <w:tcPr>
            <w:tcW w:w="1388" w:type="dxa"/>
            <w:tcBorders>
              <w:top w:val="single" w:sz="4" w:space="0" w:color="auto"/>
              <w:left w:val="single" w:sz="4" w:space="0" w:color="auto"/>
              <w:bottom w:val="single" w:sz="4" w:space="0" w:color="auto"/>
              <w:right w:val="single" w:sz="4" w:space="0" w:color="auto"/>
            </w:tcBorders>
            <w:noWrap/>
            <w:hideMark/>
          </w:tcPr>
          <w:p w14:paraId="183FB953"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5FB564C4"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4CE79535"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433" w:type="dxa"/>
            <w:tcBorders>
              <w:top w:val="single" w:sz="4" w:space="0" w:color="auto"/>
              <w:left w:val="single" w:sz="4" w:space="0" w:color="auto"/>
              <w:bottom w:val="single" w:sz="4" w:space="0" w:color="auto"/>
              <w:right w:val="single" w:sz="4" w:space="0" w:color="auto"/>
            </w:tcBorders>
            <w:noWrap/>
            <w:hideMark/>
          </w:tcPr>
          <w:p w14:paraId="6B540292"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3C654B2D"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6872BB10"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6</w:t>
            </w:r>
          </w:p>
        </w:tc>
        <w:tc>
          <w:tcPr>
            <w:tcW w:w="3513" w:type="dxa"/>
            <w:tcBorders>
              <w:top w:val="single" w:sz="4" w:space="0" w:color="auto"/>
              <w:left w:val="single" w:sz="4" w:space="0" w:color="auto"/>
              <w:bottom w:val="single" w:sz="4" w:space="0" w:color="auto"/>
              <w:right w:val="single" w:sz="4" w:space="0" w:color="auto"/>
            </w:tcBorders>
            <w:noWrap/>
            <w:hideMark/>
          </w:tcPr>
          <w:p w14:paraId="147F54A5" w14:textId="77777777" w:rsidR="00EF2630" w:rsidRPr="004128DB" w:rsidRDefault="00EF2630" w:rsidP="002D4145">
            <w:pPr>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color w:val="000000"/>
                <w:lang w:eastAsia="en-IN"/>
              </w:rPr>
              <w:t>Diplopsalis</w:t>
            </w:r>
            <w:proofErr w:type="spellEnd"/>
            <w:r w:rsidRPr="004128DB">
              <w:rPr>
                <w:rFonts w:ascii="Arial" w:eastAsia="Times New Roman" w:hAnsi="Arial" w:cs="Arial"/>
                <w:i/>
                <w:iCs/>
                <w:color w:val="000000"/>
                <w:lang w:eastAsia="en-IN"/>
              </w:rPr>
              <w:t xml:space="preserve"> sp. </w:t>
            </w:r>
            <w:r w:rsidRPr="004128DB">
              <w:rPr>
                <w:rFonts w:ascii="Arial" w:eastAsia="Times New Roman" w:hAnsi="Arial" w:cs="Arial"/>
                <w:iCs/>
                <w:color w:val="000000"/>
                <w:lang w:eastAsia="en-IN"/>
              </w:rPr>
              <w:t>(Di)</w:t>
            </w:r>
          </w:p>
        </w:tc>
        <w:tc>
          <w:tcPr>
            <w:tcW w:w="1388" w:type="dxa"/>
            <w:tcBorders>
              <w:top w:val="single" w:sz="4" w:space="0" w:color="auto"/>
              <w:left w:val="single" w:sz="4" w:space="0" w:color="auto"/>
              <w:bottom w:val="single" w:sz="4" w:space="0" w:color="auto"/>
              <w:right w:val="single" w:sz="4" w:space="0" w:color="auto"/>
            </w:tcBorders>
            <w:noWrap/>
            <w:hideMark/>
          </w:tcPr>
          <w:p w14:paraId="73DEECC5"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4A2E2F90"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68E373AA"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78D91E1E"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15CA83BC"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1501D4F1"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7</w:t>
            </w:r>
          </w:p>
        </w:tc>
        <w:tc>
          <w:tcPr>
            <w:tcW w:w="3513" w:type="dxa"/>
            <w:tcBorders>
              <w:top w:val="single" w:sz="4" w:space="0" w:color="auto"/>
              <w:left w:val="single" w:sz="4" w:space="0" w:color="auto"/>
              <w:bottom w:val="single" w:sz="4" w:space="0" w:color="auto"/>
              <w:right w:val="single" w:sz="4" w:space="0" w:color="auto"/>
            </w:tcBorders>
            <w:noWrap/>
            <w:hideMark/>
          </w:tcPr>
          <w:p w14:paraId="0252E1FE" w14:textId="77777777" w:rsidR="00EF2630" w:rsidRPr="004128DB" w:rsidRDefault="00EF2630" w:rsidP="002D4145">
            <w:pPr>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color w:val="000000"/>
                <w:lang w:eastAsia="en-IN"/>
              </w:rPr>
              <w:t>Ornithocercus</w:t>
            </w:r>
            <w:proofErr w:type="spellEnd"/>
            <w:r w:rsidRPr="004128DB">
              <w:rPr>
                <w:rFonts w:ascii="Arial" w:eastAsia="Times New Roman" w:hAnsi="Arial" w:cs="Arial"/>
                <w:i/>
                <w:iCs/>
                <w:color w:val="000000"/>
                <w:lang w:eastAsia="en-IN"/>
              </w:rPr>
              <w:t xml:space="preserve"> magnificus </w:t>
            </w:r>
            <w:r w:rsidRPr="004128DB">
              <w:rPr>
                <w:rFonts w:ascii="Arial" w:eastAsia="Times New Roman" w:hAnsi="Arial" w:cs="Arial"/>
                <w:iCs/>
                <w:color w:val="000000"/>
                <w:lang w:eastAsia="en-IN"/>
              </w:rPr>
              <w:t>(OM)</w:t>
            </w:r>
          </w:p>
        </w:tc>
        <w:tc>
          <w:tcPr>
            <w:tcW w:w="1388" w:type="dxa"/>
            <w:tcBorders>
              <w:top w:val="single" w:sz="4" w:space="0" w:color="auto"/>
              <w:left w:val="single" w:sz="4" w:space="0" w:color="auto"/>
              <w:bottom w:val="single" w:sz="4" w:space="0" w:color="auto"/>
              <w:right w:val="single" w:sz="4" w:space="0" w:color="auto"/>
            </w:tcBorders>
            <w:noWrap/>
            <w:hideMark/>
          </w:tcPr>
          <w:p w14:paraId="40B488D7"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68F28974"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3B9026D2"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242E0D8C"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07300740"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152C8EE7"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lastRenderedPageBreak/>
              <w:t>8</w:t>
            </w:r>
          </w:p>
        </w:tc>
        <w:tc>
          <w:tcPr>
            <w:tcW w:w="3513" w:type="dxa"/>
            <w:tcBorders>
              <w:top w:val="single" w:sz="4" w:space="0" w:color="auto"/>
              <w:left w:val="single" w:sz="4" w:space="0" w:color="auto"/>
              <w:bottom w:val="single" w:sz="4" w:space="0" w:color="auto"/>
              <w:right w:val="single" w:sz="4" w:space="0" w:color="auto"/>
            </w:tcBorders>
            <w:noWrap/>
            <w:hideMark/>
          </w:tcPr>
          <w:p w14:paraId="6972F1F5" w14:textId="77777777" w:rsidR="00EF2630" w:rsidRPr="004128DB" w:rsidRDefault="00EF2630" w:rsidP="002D4145">
            <w:pPr>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color w:val="000000"/>
                <w:lang w:eastAsia="en-IN"/>
              </w:rPr>
              <w:t>Peridinium</w:t>
            </w:r>
            <w:proofErr w:type="spellEnd"/>
            <w:r w:rsidRPr="004128DB">
              <w:rPr>
                <w:rFonts w:ascii="Arial" w:eastAsia="Times New Roman" w:hAnsi="Arial" w:cs="Arial"/>
                <w:i/>
                <w:iCs/>
                <w:color w:val="000000"/>
                <w:lang w:eastAsia="en-IN"/>
              </w:rPr>
              <w:t xml:space="preserve"> </w:t>
            </w:r>
            <w:proofErr w:type="spellStart"/>
            <w:r w:rsidRPr="004128DB">
              <w:rPr>
                <w:rFonts w:ascii="Arial" w:eastAsia="Times New Roman" w:hAnsi="Arial" w:cs="Arial"/>
                <w:i/>
                <w:iCs/>
                <w:color w:val="000000"/>
                <w:lang w:eastAsia="en-IN"/>
              </w:rPr>
              <w:t>claudicans</w:t>
            </w:r>
            <w:proofErr w:type="spellEnd"/>
            <w:r w:rsidRPr="004128DB">
              <w:rPr>
                <w:rFonts w:ascii="Arial" w:eastAsia="Times New Roman" w:hAnsi="Arial" w:cs="Arial"/>
                <w:i/>
                <w:iCs/>
                <w:color w:val="000000"/>
                <w:lang w:eastAsia="en-IN"/>
              </w:rPr>
              <w:t xml:space="preserve"> </w:t>
            </w:r>
            <w:r w:rsidRPr="004128DB">
              <w:rPr>
                <w:rFonts w:ascii="Arial" w:eastAsia="Times New Roman" w:hAnsi="Arial" w:cs="Arial"/>
                <w:iCs/>
                <w:color w:val="000000"/>
                <w:lang w:eastAsia="en-IN"/>
              </w:rPr>
              <w:t>(PC)</w:t>
            </w:r>
          </w:p>
        </w:tc>
        <w:tc>
          <w:tcPr>
            <w:tcW w:w="1388" w:type="dxa"/>
            <w:tcBorders>
              <w:top w:val="single" w:sz="4" w:space="0" w:color="auto"/>
              <w:left w:val="single" w:sz="4" w:space="0" w:color="auto"/>
              <w:bottom w:val="single" w:sz="4" w:space="0" w:color="auto"/>
              <w:right w:val="single" w:sz="4" w:space="0" w:color="auto"/>
            </w:tcBorders>
            <w:noWrap/>
            <w:hideMark/>
          </w:tcPr>
          <w:p w14:paraId="79B92D20"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50051EC2"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6F79D54F"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2FF939ED"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712C6B16"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5892E708"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9</w:t>
            </w:r>
          </w:p>
        </w:tc>
        <w:tc>
          <w:tcPr>
            <w:tcW w:w="3513" w:type="dxa"/>
            <w:tcBorders>
              <w:top w:val="single" w:sz="4" w:space="0" w:color="auto"/>
              <w:left w:val="single" w:sz="4" w:space="0" w:color="auto"/>
              <w:bottom w:val="single" w:sz="4" w:space="0" w:color="auto"/>
              <w:right w:val="single" w:sz="4" w:space="0" w:color="auto"/>
            </w:tcBorders>
            <w:noWrap/>
            <w:hideMark/>
          </w:tcPr>
          <w:p w14:paraId="16B6145F" w14:textId="77777777" w:rsidR="00EF2630" w:rsidRPr="004128DB" w:rsidRDefault="00EF2630" w:rsidP="002D4145">
            <w:pPr>
              <w:spacing w:after="0" w:line="240" w:lineRule="auto"/>
              <w:jc w:val="center"/>
              <w:rPr>
                <w:rFonts w:ascii="Arial" w:eastAsia="Times New Roman" w:hAnsi="Arial" w:cs="Arial"/>
                <w:iCs/>
                <w:color w:val="000000"/>
                <w:lang w:eastAsia="en-IN"/>
              </w:rPr>
            </w:pPr>
            <w:proofErr w:type="spellStart"/>
            <w:r w:rsidRPr="004128DB">
              <w:rPr>
                <w:rFonts w:ascii="Arial" w:eastAsia="Times New Roman" w:hAnsi="Arial" w:cs="Arial"/>
                <w:i/>
                <w:iCs/>
                <w:color w:val="000000"/>
                <w:lang w:eastAsia="en-IN"/>
              </w:rPr>
              <w:t>Podolampas</w:t>
            </w:r>
            <w:proofErr w:type="spellEnd"/>
            <w:r w:rsidRPr="004128DB">
              <w:rPr>
                <w:rFonts w:ascii="Arial" w:eastAsia="Times New Roman" w:hAnsi="Arial" w:cs="Arial"/>
                <w:i/>
                <w:iCs/>
                <w:color w:val="000000"/>
                <w:lang w:eastAsia="en-IN"/>
              </w:rPr>
              <w:t xml:space="preserve"> </w:t>
            </w:r>
            <w:proofErr w:type="spellStart"/>
            <w:r w:rsidRPr="004128DB">
              <w:rPr>
                <w:rFonts w:ascii="Arial" w:eastAsia="Times New Roman" w:hAnsi="Arial" w:cs="Arial"/>
                <w:i/>
                <w:iCs/>
                <w:color w:val="000000"/>
                <w:lang w:eastAsia="en-IN"/>
              </w:rPr>
              <w:t>bipes</w:t>
            </w:r>
            <w:proofErr w:type="spellEnd"/>
            <w:r w:rsidRPr="004128DB">
              <w:rPr>
                <w:rFonts w:ascii="Arial" w:eastAsia="Times New Roman" w:hAnsi="Arial" w:cs="Arial"/>
                <w:i/>
                <w:iCs/>
                <w:color w:val="000000"/>
                <w:lang w:eastAsia="en-IN"/>
              </w:rPr>
              <w:t xml:space="preserve"> </w:t>
            </w:r>
            <w:r w:rsidRPr="004128DB">
              <w:rPr>
                <w:rFonts w:ascii="Arial" w:eastAsia="Times New Roman" w:hAnsi="Arial" w:cs="Arial"/>
                <w:iCs/>
                <w:color w:val="000000"/>
                <w:lang w:eastAsia="en-IN"/>
              </w:rPr>
              <w:t>(PB)</w:t>
            </w:r>
          </w:p>
        </w:tc>
        <w:tc>
          <w:tcPr>
            <w:tcW w:w="1388" w:type="dxa"/>
            <w:tcBorders>
              <w:top w:val="single" w:sz="4" w:space="0" w:color="auto"/>
              <w:left w:val="single" w:sz="4" w:space="0" w:color="auto"/>
              <w:bottom w:val="single" w:sz="4" w:space="0" w:color="auto"/>
              <w:right w:val="single" w:sz="4" w:space="0" w:color="auto"/>
            </w:tcBorders>
            <w:noWrap/>
            <w:hideMark/>
          </w:tcPr>
          <w:p w14:paraId="62383AA8"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 +</w:t>
            </w:r>
          </w:p>
        </w:tc>
        <w:tc>
          <w:tcPr>
            <w:tcW w:w="1520" w:type="dxa"/>
            <w:tcBorders>
              <w:top w:val="single" w:sz="4" w:space="0" w:color="auto"/>
              <w:left w:val="single" w:sz="4" w:space="0" w:color="auto"/>
              <w:bottom w:val="single" w:sz="4" w:space="0" w:color="auto"/>
              <w:right w:val="single" w:sz="4" w:space="0" w:color="auto"/>
            </w:tcBorders>
            <w:noWrap/>
            <w:hideMark/>
          </w:tcPr>
          <w:p w14:paraId="222F1713"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0394F7CB"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04F2C997"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5F8E160F"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501524E6"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10</w:t>
            </w:r>
          </w:p>
        </w:tc>
        <w:tc>
          <w:tcPr>
            <w:tcW w:w="3513" w:type="dxa"/>
            <w:tcBorders>
              <w:top w:val="single" w:sz="4" w:space="0" w:color="auto"/>
              <w:left w:val="single" w:sz="4" w:space="0" w:color="auto"/>
              <w:bottom w:val="single" w:sz="4" w:space="0" w:color="auto"/>
              <w:right w:val="single" w:sz="4" w:space="0" w:color="auto"/>
            </w:tcBorders>
            <w:noWrap/>
            <w:hideMark/>
          </w:tcPr>
          <w:p w14:paraId="563579C6" w14:textId="77777777" w:rsidR="00EF2630" w:rsidRPr="004128DB" w:rsidRDefault="00EF2630" w:rsidP="002D4145">
            <w:pPr>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color w:val="000000"/>
                <w:lang w:eastAsia="en-IN"/>
              </w:rPr>
              <w:t>Prorocentrum</w:t>
            </w:r>
            <w:proofErr w:type="spellEnd"/>
            <w:r w:rsidRPr="004128DB">
              <w:rPr>
                <w:rFonts w:ascii="Arial" w:eastAsia="Times New Roman" w:hAnsi="Arial" w:cs="Arial"/>
                <w:i/>
                <w:iCs/>
                <w:color w:val="000000"/>
                <w:lang w:eastAsia="en-IN"/>
              </w:rPr>
              <w:t xml:space="preserve"> sp. </w:t>
            </w:r>
            <w:r w:rsidRPr="004128DB">
              <w:rPr>
                <w:rFonts w:ascii="Arial" w:eastAsia="Times New Roman" w:hAnsi="Arial" w:cs="Arial"/>
                <w:iCs/>
                <w:color w:val="000000"/>
                <w:lang w:eastAsia="en-IN"/>
              </w:rPr>
              <w:t>(Pro)</w:t>
            </w:r>
          </w:p>
        </w:tc>
        <w:tc>
          <w:tcPr>
            <w:tcW w:w="1388" w:type="dxa"/>
            <w:tcBorders>
              <w:top w:val="single" w:sz="4" w:space="0" w:color="auto"/>
              <w:left w:val="single" w:sz="4" w:space="0" w:color="auto"/>
              <w:bottom w:val="single" w:sz="4" w:space="0" w:color="auto"/>
              <w:right w:val="single" w:sz="4" w:space="0" w:color="auto"/>
            </w:tcBorders>
            <w:noWrap/>
            <w:hideMark/>
          </w:tcPr>
          <w:p w14:paraId="5C8D822F"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3BC83C70"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 +</w:t>
            </w:r>
          </w:p>
        </w:tc>
        <w:tc>
          <w:tcPr>
            <w:tcW w:w="1520" w:type="dxa"/>
            <w:tcBorders>
              <w:top w:val="single" w:sz="4" w:space="0" w:color="auto"/>
              <w:left w:val="single" w:sz="4" w:space="0" w:color="auto"/>
              <w:bottom w:val="single" w:sz="4" w:space="0" w:color="auto"/>
              <w:right w:val="single" w:sz="4" w:space="0" w:color="auto"/>
            </w:tcBorders>
            <w:noWrap/>
            <w:hideMark/>
          </w:tcPr>
          <w:p w14:paraId="0BC355BB"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5FBC8D85"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tr w:rsidR="00EF2630" w:rsidRPr="004128DB" w14:paraId="4D09F32E" w14:textId="77777777" w:rsidTr="002D4145">
        <w:trPr>
          <w:trHeight w:val="338"/>
          <w:jc w:val="center"/>
        </w:trPr>
        <w:tc>
          <w:tcPr>
            <w:tcW w:w="740" w:type="dxa"/>
            <w:tcBorders>
              <w:top w:val="single" w:sz="4" w:space="0" w:color="auto"/>
              <w:left w:val="single" w:sz="4" w:space="0" w:color="auto"/>
              <w:bottom w:val="single" w:sz="4" w:space="0" w:color="auto"/>
              <w:right w:val="single" w:sz="4" w:space="0" w:color="auto"/>
            </w:tcBorders>
            <w:noWrap/>
            <w:hideMark/>
          </w:tcPr>
          <w:p w14:paraId="68F1291E" w14:textId="77777777" w:rsidR="00EF2630" w:rsidRPr="004128DB" w:rsidRDefault="00EF2630" w:rsidP="002D4145">
            <w:pPr>
              <w:spacing w:after="0" w:line="240" w:lineRule="auto"/>
              <w:jc w:val="center"/>
              <w:rPr>
                <w:rFonts w:ascii="Arial" w:eastAsia="Times New Roman" w:hAnsi="Arial" w:cs="Arial"/>
                <w:color w:val="000000"/>
                <w:lang w:eastAsia="en-IN"/>
              </w:rPr>
            </w:pPr>
            <w:r w:rsidRPr="004128DB">
              <w:rPr>
                <w:rFonts w:ascii="Arial" w:eastAsia="Times New Roman" w:hAnsi="Arial" w:cs="Arial"/>
                <w:color w:val="000000"/>
                <w:lang w:eastAsia="en-IN"/>
              </w:rPr>
              <w:t>11</w:t>
            </w:r>
          </w:p>
        </w:tc>
        <w:tc>
          <w:tcPr>
            <w:tcW w:w="3513" w:type="dxa"/>
            <w:tcBorders>
              <w:top w:val="single" w:sz="4" w:space="0" w:color="auto"/>
              <w:left w:val="single" w:sz="4" w:space="0" w:color="auto"/>
              <w:bottom w:val="single" w:sz="4" w:space="0" w:color="auto"/>
              <w:right w:val="single" w:sz="4" w:space="0" w:color="auto"/>
            </w:tcBorders>
            <w:noWrap/>
            <w:hideMark/>
          </w:tcPr>
          <w:p w14:paraId="06C364C7" w14:textId="77777777" w:rsidR="00EF2630" w:rsidRPr="004128DB" w:rsidRDefault="00EF2630" w:rsidP="002D4145">
            <w:pPr>
              <w:spacing w:after="0" w:line="240" w:lineRule="auto"/>
              <w:jc w:val="center"/>
              <w:rPr>
                <w:rFonts w:ascii="Arial" w:eastAsia="Times New Roman" w:hAnsi="Arial" w:cs="Arial"/>
                <w:i/>
                <w:iCs/>
                <w:color w:val="000000"/>
                <w:lang w:eastAsia="en-IN"/>
              </w:rPr>
            </w:pPr>
            <w:proofErr w:type="spellStart"/>
            <w:r w:rsidRPr="004128DB">
              <w:rPr>
                <w:rFonts w:ascii="Arial" w:eastAsia="Times New Roman" w:hAnsi="Arial" w:cs="Arial"/>
                <w:i/>
                <w:iCs/>
                <w:color w:val="000000"/>
                <w:lang w:eastAsia="en-IN"/>
              </w:rPr>
              <w:t>Pyrophacus</w:t>
            </w:r>
            <w:proofErr w:type="spellEnd"/>
            <w:r w:rsidRPr="004128DB">
              <w:rPr>
                <w:rFonts w:ascii="Arial" w:eastAsia="Times New Roman" w:hAnsi="Arial" w:cs="Arial"/>
                <w:i/>
                <w:iCs/>
                <w:color w:val="000000"/>
                <w:lang w:eastAsia="en-IN"/>
              </w:rPr>
              <w:t xml:space="preserve"> Horologium </w:t>
            </w:r>
            <w:r w:rsidRPr="004128DB">
              <w:rPr>
                <w:rFonts w:ascii="Arial" w:eastAsia="Times New Roman" w:hAnsi="Arial" w:cs="Arial"/>
                <w:iCs/>
                <w:color w:val="000000"/>
                <w:lang w:eastAsia="en-IN"/>
              </w:rPr>
              <w:t>(PH)</w:t>
            </w:r>
          </w:p>
        </w:tc>
        <w:tc>
          <w:tcPr>
            <w:tcW w:w="1388" w:type="dxa"/>
            <w:tcBorders>
              <w:top w:val="single" w:sz="4" w:space="0" w:color="auto"/>
              <w:left w:val="single" w:sz="4" w:space="0" w:color="auto"/>
              <w:bottom w:val="single" w:sz="4" w:space="0" w:color="auto"/>
              <w:right w:val="single" w:sz="4" w:space="0" w:color="auto"/>
            </w:tcBorders>
            <w:noWrap/>
            <w:hideMark/>
          </w:tcPr>
          <w:p w14:paraId="10FDE9F5"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7805104D"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520" w:type="dxa"/>
            <w:tcBorders>
              <w:top w:val="single" w:sz="4" w:space="0" w:color="auto"/>
              <w:left w:val="single" w:sz="4" w:space="0" w:color="auto"/>
              <w:bottom w:val="single" w:sz="4" w:space="0" w:color="auto"/>
              <w:right w:val="single" w:sz="4" w:space="0" w:color="auto"/>
            </w:tcBorders>
            <w:noWrap/>
            <w:hideMark/>
          </w:tcPr>
          <w:p w14:paraId="754F51EE" w14:textId="77777777" w:rsidR="00EF2630" w:rsidRPr="003F0439" w:rsidRDefault="00EF2630" w:rsidP="002D4145">
            <w:pPr>
              <w:spacing w:after="0" w:line="240" w:lineRule="auto"/>
              <w:jc w:val="center"/>
              <w:rPr>
                <w:rFonts w:ascii="Arial" w:eastAsia="Times New Roman" w:hAnsi="Arial" w:cs="Arial"/>
                <w:bCs/>
                <w:color w:val="000000"/>
                <w:lang w:eastAsia="en-IN"/>
              </w:rPr>
            </w:pPr>
            <w:r w:rsidRPr="003F0439">
              <w:rPr>
                <w:rFonts w:ascii="Arial" w:eastAsia="Times New Roman" w:hAnsi="Arial" w:cs="Arial"/>
                <w:bCs/>
                <w:color w:val="000000"/>
                <w:lang w:eastAsia="en-IN"/>
              </w:rPr>
              <w:t>-</w:t>
            </w:r>
          </w:p>
        </w:tc>
        <w:tc>
          <w:tcPr>
            <w:tcW w:w="1433" w:type="dxa"/>
            <w:tcBorders>
              <w:top w:val="single" w:sz="4" w:space="0" w:color="auto"/>
              <w:left w:val="single" w:sz="4" w:space="0" w:color="auto"/>
              <w:bottom w:val="single" w:sz="4" w:space="0" w:color="auto"/>
              <w:right w:val="single" w:sz="4" w:space="0" w:color="auto"/>
            </w:tcBorders>
            <w:noWrap/>
            <w:hideMark/>
          </w:tcPr>
          <w:p w14:paraId="7F071051" w14:textId="77777777" w:rsidR="00EF2630" w:rsidRPr="003F0439" w:rsidRDefault="00EF2630" w:rsidP="002D4145">
            <w:pPr>
              <w:spacing w:after="0" w:line="240" w:lineRule="auto"/>
              <w:jc w:val="center"/>
              <w:rPr>
                <w:rFonts w:ascii="Arial" w:eastAsia="Times New Roman" w:hAnsi="Arial" w:cs="Arial"/>
                <w:color w:val="000000"/>
                <w:lang w:eastAsia="en-IN"/>
              </w:rPr>
            </w:pPr>
            <w:r w:rsidRPr="003F0439">
              <w:rPr>
                <w:rFonts w:ascii="Arial" w:eastAsia="Times New Roman" w:hAnsi="Arial" w:cs="Arial"/>
                <w:color w:val="000000"/>
                <w:lang w:eastAsia="en-IN"/>
              </w:rPr>
              <w:t>-</w:t>
            </w:r>
          </w:p>
        </w:tc>
      </w:tr>
      <w:bookmarkEnd w:id="3"/>
      <w:bookmarkEnd w:id="4"/>
      <w:bookmarkEnd w:id="5"/>
      <w:tr w:rsidR="00EF2630" w:rsidRPr="004128DB" w14:paraId="7FFE17CF" w14:textId="77777777" w:rsidTr="002D4145">
        <w:trPr>
          <w:trHeight w:val="215"/>
          <w:jc w:val="center"/>
        </w:trPr>
        <w:tc>
          <w:tcPr>
            <w:tcW w:w="10114" w:type="dxa"/>
            <w:gridSpan w:val="6"/>
            <w:tcBorders>
              <w:top w:val="single" w:sz="4" w:space="0" w:color="auto"/>
              <w:left w:val="single" w:sz="4" w:space="0" w:color="auto"/>
              <w:bottom w:val="single" w:sz="4" w:space="0" w:color="auto"/>
              <w:right w:val="single" w:sz="4" w:space="0" w:color="auto"/>
            </w:tcBorders>
            <w:noWrap/>
            <w:hideMark/>
          </w:tcPr>
          <w:p w14:paraId="11C2FA04" w14:textId="77777777" w:rsidR="00EF2630" w:rsidRPr="004128DB" w:rsidRDefault="00EF2630" w:rsidP="002D4145">
            <w:pPr>
              <w:spacing w:after="0" w:line="240" w:lineRule="auto"/>
              <w:jc w:val="center"/>
              <w:rPr>
                <w:rFonts w:ascii="Arial" w:eastAsia="Times New Roman" w:hAnsi="Arial" w:cs="Arial"/>
                <w:b/>
                <w:bCs/>
                <w:color w:val="000000"/>
                <w:lang w:eastAsia="en-IN"/>
              </w:rPr>
            </w:pPr>
            <w:r w:rsidRPr="004128DB">
              <w:rPr>
                <w:rFonts w:ascii="Arial" w:eastAsia="Times New Roman" w:hAnsi="Arial" w:cs="Arial"/>
                <w:color w:val="000000"/>
                <w:lang w:eastAsia="en-IN"/>
              </w:rPr>
              <w:t>*Abundant = + + +; Average = + +; Less in Number = +; Absent = -</w:t>
            </w:r>
          </w:p>
        </w:tc>
      </w:tr>
    </w:tbl>
    <w:bookmarkEnd w:id="2"/>
    <w:p w14:paraId="51E44E6B" w14:textId="77777777" w:rsidR="00EF2630" w:rsidRPr="002C66E5" w:rsidRDefault="00EF2630" w:rsidP="00EF2630">
      <w:pPr>
        <w:spacing w:line="240" w:lineRule="auto"/>
        <w:jc w:val="center"/>
        <w:rPr>
          <w:rFonts w:ascii="Arial" w:hAnsi="Arial" w:cs="Arial"/>
          <w:b/>
          <w:bCs/>
        </w:rPr>
      </w:pPr>
      <w:r w:rsidRPr="004128DB">
        <w:rPr>
          <w:rFonts w:ascii="Arial" w:hAnsi="Arial" w:cs="Arial"/>
          <w:b/>
          <w:bCs/>
          <w:lang w:val="en-US"/>
        </w:rPr>
        <w:t>Note-</w:t>
      </w:r>
      <w:r w:rsidRPr="004128DB">
        <w:rPr>
          <w:rFonts w:ascii="Arial" w:hAnsi="Arial" w:cs="Arial"/>
          <w:lang w:val="en-US"/>
        </w:rPr>
        <w:t xml:space="preserve"> Ranges (cells/micro liter)</w:t>
      </w:r>
      <w:r w:rsidRPr="004128DB">
        <w:rPr>
          <w:rFonts w:ascii="Arial" w:hAnsi="Arial" w:cs="Arial"/>
          <w:lang w:val="en-US"/>
        </w:rPr>
        <w:sym w:font="Wingdings" w:char="F0E0"/>
      </w:r>
      <w:r w:rsidRPr="004128DB">
        <w:rPr>
          <w:rFonts w:ascii="Arial" w:hAnsi="Arial" w:cs="Arial"/>
          <w:lang w:val="en-US"/>
        </w:rPr>
        <w:t xml:space="preserve"> Abundance (+++) 0.5-0.8; Average (++) 0.1-0.5; Less in Number (+) 0.01-0.1; Absent (-) 0</w:t>
      </w:r>
    </w:p>
    <w:p w14:paraId="15EF6604" w14:textId="77777777" w:rsidR="00EF2630" w:rsidRPr="00EF2630" w:rsidRDefault="00EF2630" w:rsidP="00EF2630">
      <w:pPr>
        <w:jc w:val="both"/>
        <w:rPr>
          <w:rFonts w:ascii="Arial" w:hAnsi="Arial" w:cs="Arial"/>
          <w:bCs/>
          <w:sz w:val="20"/>
        </w:rPr>
      </w:pPr>
    </w:p>
    <w:p w14:paraId="1B50FC95" w14:textId="77777777" w:rsidR="0055080F" w:rsidRPr="00E312E3" w:rsidRDefault="0055080F" w:rsidP="00CF5F73">
      <w:pPr>
        <w:jc w:val="both"/>
        <w:rPr>
          <w:rFonts w:ascii="Arial" w:hAnsi="Arial" w:cs="Arial"/>
          <w:bCs/>
          <w:sz w:val="20"/>
        </w:rPr>
      </w:pPr>
    </w:p>
    <w:p w14:paraId="0CF6ADAF" w14:textId="77777777" w:rsidR="008A6955" w:rsidRDefault="008A6955" w:rsidP="00CF5F73">
      <w:pPr>
        <w:jc w:val="both"/>
        <w:rPr>
          <w:rFonts w:ascii="Arial" w:hAnsi="Arial" w:cs="Arial"/>
          <w:b/>
          <w:bCs/>
        </w:rPr>
      </w:pPr>
    </w:p>
    <w:p w14:paraId="6E71C5F9" w14:textId="77777777" w:rsidR="00866CA4" w:rsidRPr="002C66E5" w:rsidRDefault="00866CA4" w:rsidP="00CF5F73">
      <w:pPr>
        <w:jc w:val="both"/>
        <w:rPr>
          <w:rFonts w:ascii="Arial" w:hAnsi="Arial" w:cs="Arial"/>
          <w:b/>
          <w:bCs/>
        </w:rPr>
      </w:pPr>
    </w:p>
    <w:p w14:paraId="1DC4D287" w14:textId="77777777" w:rsidR="006C1828" w:rsidRDefault="006C1828" w:rsidP="006C1828">
      <w:pPr>
        <w:spacing w:before="100" w:beforeAutospacing="1" w:after="100" w:afterAutospacing="1" w:line="240" w:lineRule="auto"/>
        <w:jc w:val="both"/>
        <w:rPr>
          <w:rFonts w:ascii="Arial" w:eastAsia="Times New Roman" w:hAnsi="Arial" w:cs="Arial"/>
          <w:b/>
          <w:lang w:eastAsia="en-IN"/>
        </w:rPr>
        <w:sectPr w:rsidR="006C1828" w:rsidSect="00DF72F3">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985" w:left="1440" w:header="708" w:footer="708" w:gutter="0"/>
          <w:cols w:space="708"/>
          <w:titlePg/>
          <w:docGrid w:linePitch="360"/>
        </w:sectPr>
      </w:pPr>
    </w:p>
    <w:p w14:paraId="368DD186" w14:textId="77777777" w:rsidR="00A41559" w:rsidRPr="004128DB" w:rsidRDefault="00A41559" w:rsidP="006C1828">
      <w:pPr>
        <w:spacing w:before="100" w:beforeAutospacing="1" w:after="100" w:afterAutospacing="1" w:line="240" w:lineRule="auto"/>
        <w:jc w:val="both"/>
        <w:rPr>
          <w:rFonts w:ascii="Arial" w:hAnsi="Arial" w:cs="Arial"/>
          <w:b/>
        </w:rPr>
      </w:pPr>
      <w:r w:rsidRPr="004128DB">
        <w:rPr>
          <w:rFonts w:ascii="Arial" w:hAnsi="Arial" w:cs="Arial"/>
          <w:b/>
        </w:rPr>
        <w:lastRenderedPageBreak/>
        <w:t>Table A</w:t>
      </w:r>
      <w:r w:rsidR="002A2F6C" w:rsidRPr="004128DB">
        <w:rPr>
          <w:rFonts w:ascii="Arial" w:hAnsi="Arial" w:cs="Arial"/>
          <w:b/>
        </w:rPr>
        <w:t>2</w:t>
      </w:r>
      <w:r w:rsidRPr="004128DB">
        <w:rPr>
          <w:rFonts w:ascii="Arial" w:hAnsi="Arial" w:cs="Arial"/>
          <w:b/>
        </w:rPr>
        <w:t xml:space="preserve">. </w:t>
      </w:r>
      <w:r w:rsidRPr="004128DB">
        <w:rPr>
          <w:rFonts w:ascii="Arial" w:hAnsi="Arial" w:cs="Arial"/>
        </w:rPr>
        <w:t>Proximate composition of trash fishes supplied as feed for Spiny Lobster in sea cages</w:t>
      </w:r>
    </w:p>
    <w:tbl>
      <w:tblPr>
        <w:tblStyle w:val="PlainTable2"/>
        <w:tblW w:w="13876" w:type="dxa"/>
        <w:tblInd w:w="-142" w:type="dxa"/>
        <w:tblLook w:val="04A0" w:firstRow="1" w:lastRow="0" w:firstColumn="1" w:lastColumn="0" w:noHBand="0" w:noVBand="1"/>
      </w:tblPr>
      <w:tblGrid>
        <w:gridCol w:w="879"/>
        <w:gridCol w:w="3031"/>
        <w:gridCol w:w="2051"/>
        <w:gridCol w:w="2018"/>
        <w:gridCol w:w="1983"/>
        <w:gridCol w:w="1957"/>
        <w:gridCol w:w="1957"/>
      </w:tblGrid>
      <w:tr w:rsidR="00A41559" w:rsidRPr="004128DB" w14:paraId="06135B34" w14:textId="77777777" w:rsidTr="002A2F6C">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879" w:type="dxa"/>
            <w:tcBorders>
              <w:bottom w:val="single" w:sz="4" w:space="0" w:color="auto"/>
            </w:tcBorders>
          </w:tcPr>
          <w:p w14:paraId="79ABCCD4" w14:textId="77777777" w:rsidR="00A41559" w:rsidRPr="004128DB" w:rsidRDefault="00A41559" w:rsidP="00B8169F">
            <w:pPr>
              <w:spacing w:line="360" w:lineRule="auto"/>
              <w:jc w:val="both"/>
              <w:rPr>
                <w:rFonts w:ascii="Arial" w:hAnsi="Arial" w:cs="Arial"/>
              </w:rPr>
            </w:pPr>
            <w:r w:rsidRPr="004128DB">
              <w:rPr>
                <w:rFonts w:ascii="Arial" w:hAnsi="Arial" w:cs="Arial"/>
              </w:rPr>
              <w:t>Sr. No.</w:t>
            </w:r>
          </w:p>
        </w:tc>
        <w:tc>
          <w:tcPr>
            <w:tcW w:w="3031" w:type="dxa"/>
            <w:tcBorders>
              <w:bottom w:val="single" w:sz="4" w:space="0" w:color="auto"/>
            </w:tcBorders>
          </w:tcPr>
          <w:p w14:paraId="4EDDE856" w14:textId="77777777" w:rsidR="00A41559" w:rsidRPr="004128DB" w:rsidRDefault="00A41559" w:rsidP="00B8169F">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4128DB">
              <w:rPr>
                <w:rFonts w:ascii="Arial" w:hAnsi="Arial" w:cs="Arial"/>
              </w:rPr>
              <w:t>Fish</w:t>
            </w:r>
          </w:p>
        </w:tc>
        <w:tc>
          <w:tcPr>
            <w:tcW w:w="2051" w:type="dxa"/>
            <w:tcBorders>
              <w:bottom w:val="single" w:sz="4" w:space="0" w:color="auto"/>
            </w:tcBorders>
          </w:tcPr>
          <w:p w14:paraId="322706E1" w14:textId="77777777" w:rsidR="00A41559" w:rsidRPr="004128DB" w:rsidRDefault="00A41559" w:rsidP="00B8169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128DB">
              <w:rPr>
                <w:rFonts w:ascii="Arial" w:hAnsi="Arial" w:cs="Arial"/>
              </w:rPr>
              <w:t>Moisture (%)</w:t>
            </w:r>
          </w:p>
        </w:tc>
        <w:tc>
          <w:tcPr>
            <w:tcW w:w="2018" w:type="dxa"/>
            <w:tcBorders>
              <w:bottom w:val="single" w:sz="4" w:space="0" w:color="auto"/>
            </w:tcBorders>
          </w:tcPr>
          <w:p w14:paraId="1E3FC533" w14:textId="77777777" w:rsidR="00A41559" w:rsidRPr="004128DB" w:rsidRDefault="00A41559" w:rsidP="00B8169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128DB">
              <w:rPr>
                <w:rFonts w:ascii="Arial" w:hAnsi="Arial" w:cs="Arial"/>
              </w:rPr>
              <w:t>Protein (%)</w:t>
            </w:r>
          </w:p>
        </w:tc>
        <w:tc>
          <w:tcPr>
            <w:tcW w:w="1983" w:type="dxa"/>
            <w:tcBorders>
              <w:bottom w:val="single" w:sz="4" w:space="0" w:color="auto"/>
            </w:tcBorders>
          </w:tcPr>
          <w:p w14:paraId="0F7CF8BE" w14:textId="77777777" w:rsidR="00A41559" w:rsidRPr="004128DB" w:rsidRDefault="00A41559" w:rsidP="00B8169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128DB">
              <w:rPr>
                <w:rFonts w:ascii="Arial" w:hAnsi="Arial" w:cs="Arial"/>
              </w:rPr>
              <w:t>Lipid (%)</w:t>
            </w:r>
          </w:p>
        </w:tc>
        <w:tc>
          <w:tcPr>
            <w:tcW w:w="1957" w:type="dxa"/>
            <w:tcBorders>
              <w:bottom w:val="single" w:sz="4" w:space="0" w:color="auto"/>
            </w:tcBorders>
          </w:tcPr>
          <w:p w14:paraId="485F41E0" w14:textId="77777777" w:rsidR="00A41559" w:rsidRPr="004128DB" w:rsidRDefault="00A41559" w:rsidP="00B8169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128DB">
              <w:rPr>
                <w:rFonts w:ascii="Arial" w:hAnsi="Arial" w:cs="Arial"/>
              </w:rPr>
              <w:t>Ash (%)</w:t>
            </w:r>
          </w:p>
        </w:tc>
        <w:tc>
          <w:tcPr>
            <w:tcW w:w="1957" w:type="dxa"/>
            <w:tcBorders>
              <w:bottom w:val="single" w:sz="4" w:space="0" w:color="auto"/>
            </w:tcBorders>
          </w:tcPr>
          <w:p w14:paraId="096F18B4" w14:textId="77777777" w:rsidR="00A41559" w:rsidRPr="004128DB" w:rsidRDefault="00A41559" w:rsidP="00B8169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128DB">
              <w:rPr>
                <w:rFonts w:ascii="Arial" w:hAnsi="Arial" w:cs="Arial"/>
              </w:rPr>
              <w:t>Phosphorous (mg/100gm)</w:t>
            </w:r>
          </w:p>
        </w:tc>
      </w:tr>
      <w:tr w:rsidR="00A41559" w:rsidRPr="004128DB" w14:paraId="53A3DFB1" w14:textId="77777777" w:rsidTr="002A2F6C">
        <w:trPr>
          <w:cnfStyle w:val="000000100000" w:firstRow="0" w:lastRow="0" w:firstColumn="0" w:lastColumn="0" w:oddVBand="0" w:evenVBand="0" w:oddHBand="1"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879" w:type="dxa"/>
            <w:tcBorders>
              <w:top w:val="single" w:sz="4" w:space="0" w:color="auto"/>
              <w:bottom w:val="nil"/>
            </w:tcBorders>
          </w:tcPr>
          <w:p w14:paraId="2F9E9B01" w14:textId="77777777" w:rsidR="00A41559" w:rsidRPr="004128DB" w:rsidRDefault="00A41559" w:rsidP="00A41559">
            <w:pPr>
              <w:pStyle w:val="ListParagraph"/>
              <w:numPr>
                <w:ilvl w:val="0"/>
                <w:numId w:val="2"/>
              </w:numPr>
              <w:spacing w:line="360" w:lineRule="auto"/>
              <w:jc w:val="both"/>
              <w:rPr>
                <w:rFonts w:ascii="Arial" w:hAnsi="Arial" w:cs="Arial"/>
              </w:rPr>
            </w:pPr>
          </w:p>
        </w:tc>
        <w:tc>
          <w:tcPr>
            <w:tcW w:w="3031" w:type="dxa"/>
            <w:tcBorders>
              <w:top w:val="single" w:sz="4" w:space="0" w:color="auto"/>
              <w:bottom w:val="nil"/>
            </w:tcBorders>
          </w:tcPr>
          <w:p w14:paraId="72AD4948" w14:textId="77777777" w:rsidR="00A41559" w:rsidRPr="004128DB" w:rsidRDefault="00A41559" w:rsidP="00B8169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4128DB">
              <w:rPr>
                <w:rFonts w:ascii="Arial" w:hAnsi="Arial" w:cs="Arial"/>
              </w:rPr>
              <w:t>Croackers</w:t>
            </w:r>
            <w:proofErr w:type="spellEnd"/>
            <w:r w:rsidRPr="004128DB">
              <w:rPr>
                <w:rFonts w:ascii="Arial" w:hAnsi="Arial" w:cs="Arial"/>
              </w:rPr>
              <w:t xml:space="preserve"> (</w:t>
            </w:r>
            <w:proofErr w:type="spellStart"/>
            <w:r w:rsidRPr="004128DB">
              <w:rPr>
                <w:rFonts w:ascii="Arial" w:hAnsi="Arial" w:cs="Arial"/>
                <w:i/>
              </w:rPr>
              <w:t>Johnius</w:t>
            </w:r>
            <w:proofErr w:type="spellEnd"/>
            <w:r w:rsidRPr="004128DB">
              <w:rPr>
                <w:rFonts w:ascii="Arial" w:hAnsi="Arial" w:cs="Arial"/>
                <w:i/>
              </w:rPr>
              <w:t xml:space="preserve"> </w:t>
            </w:r>
            <w:proofErr w:type="spellStart"/>
            <w:r w:rsidRPr="004128DB">
              <w:rPr>
                <w:rFonts w:ascii="Arial" w:hAnsi="Arial" w:cs="Arial"/>
                <w:i/>
              </w:rPr>
              <w:t>spp</w:t>
            </w:r>
            <w:proofErr w:type="spellEnd"/>
            <w:r w:rsidRPr="004128DB">
              <w:rPr>
                <w:rFonts w:ascii="Arial" w:hAnsi="Arial" w:cs="Arial"/>
              </w:rPr>
              <w:t>)</w:t>
            </w:r>
          </w:p>
        </w:tc>
        <w:tc>
          <w:tcPr>
            <w:tcW w:w="2051" w:type="dxa"/>
            <w:tcBorders>
              <w:top w:val="single" w:sz="4" w:space="0" w:color="auto"/>
              <w:bottom w:val="nil"/>
            </w:tcBorders>
          </w:tcPr>
          <w:p w14:paraId="7CE139C7" w14:textId="77777777" w:rsidR="00A41559" w:rsidRPr="004128DB" w:rsidRDefault="00A41559" w:rsidP="00B8169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128DB">
              <w:rPr>
                <w:rFonts w:ascii="Arial" w:hAnsi="Arial" w:cs="Arial"/>
              </w:rPr>
              <w:t>76.02</w:t>
            </w:r>
          </w:p>
        </w:tc>
        <w:tc>
          <w:tcPr>
            <w:tcW w:w="2018" w:type="dxa"/>
            <w:tcBorders>
              <w:top w:val="single" w:sz="4" w:space="0" w:color="auto"/>
              <w:bottom w:val="nil"/>
            </w:tcBorders>
          </w:tcPr>
          <w:p w14:paraId="6772736A" w14:textId="77777777" w:rsidR="00A41559" w:rsidRPr="004128DB" w:rsidRDefault="00A41559" w:rsidP="00B8169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128DB">
              <w:rPr>
                <w:rFonts w:ascii="Arial" w:hAnsi="Arial" w:cs="Arial"/>
              </w:rPr>
              <w:t>20.44</w:t>
            </w:r>
          </w:p>
        </w:tc>
        <w:tc>
          <w:tcPr>
            <w:tcW w:w="1983" w:type="dxa"/>
            <w:tcBorders>
              <w:top w:val="single" w:sz="4" w:space="0" w:color="auto"/>
              <w:bottom w:val="nil"/>
            </w:tcBorders>
          </w:tcPr>
          <w:p w14:paraId="2CC2878B" w14:textId="77777777" w:rsidR="00A41559" w:rsidRPr="004128DB" w:rsidRDefault="00A41559" w:rsidP="00B8169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128DB">
              <w:rPr>
                <w:rFonts w:ascii="Arial" w:hAnsi="Arial" w:cs="Arial"/>
              </w:rPr>
              <w:t>2.51</w:t>
            </w:r>
          </w:p>
        </w:tc>
        <w:tc>
          <w:tcPr>
            <w:tcW w:w="1957" w:type="dxa"/>
            <w:tcBorders>
              <w:top w:val="single" w:sz="4" w:space="0" w:color="auto"/>
              <w:bottom w:val="nil"/>
            </w:tcBorders>
          </w:tcPr>
          <w:p w14:paraId="3DD6B7C3" w14:textId="77777777" w:rsidR="00A41559" w:rsidRPr="004128DB" w:rsidRDefault="00A41559" w:rsidP="00B8169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128DB">
              <w:rPr>
                <w:rFonts w:ascii="Arial" w:hAnsi="Arial" w:cs="Arial"/>
              </w:rPr>
              <w:t>0.89</w:t>
            </w:r>
          </w:p>
        </w:tc>
        <w:tc>
          <w:tcPr>
            <w:tcW w:w="1957" w:type="dxa"/>
            <w:tcBorders>
              <w:top w:val="single" w:sz="4" w:space="0" w:color="auto"/>
              <w:bottom w:val="nil"/>
            </w:tcBorders>
          </w:tcPr>
          <w:p w14:paraId="71548CA1" w14:textId="77777777" w:rsidR="00A41559" w:rsidRPr="004128DB" w:rsidRDefault="00A41559" w:rsidP="00B8169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128DB">
              <w:rPr>
                <w:rFonts w:ascii="Arial" w:hAnsi="Arial" w:cs="Arial"/>
              </w:rPr>
              <w:t>241</w:t>
            </w:r>
          </w:p>
        </w:tc>
      </w:tr>
      <w:tr w:rsidR="00A41559" w:rsidRPr="004128DB" w14:paraId="598163B9" w14:textId="77777777" w:rsidTr="002A2F6C">
        <w:trPr>
          <w:trHeight w:val="861"/>
        </w:trPr>
        <w:tc>
          <w:tcPr>
            <w:cnfStyle w:val="001000000000" w:firstRow="0" w:lastRow="0" w:firstColumn="1" w:lastColumn="0" w:oddVBand="0" w:evenVBand="0" w:oddHBand="0" w:evenHBand="0" w:firstRowFirstColumn="0" w:firstRowLastColumn="0" w:lastRowFirstColumn="0" w:lastRowLastColumn="0"/>
            <w:tcW w:w="879" w:type="dxa"/>
            <w:tcBorders>
              <w:top w:val="nil"/>
              <w:bottom w:val="nil"/>
            </w:tcBorders>
          </w:tcPr>
          <w:p w14:paraId="50C97605" w14:textId="77777777" w:rsidR="00A41559" w:rsidRPr="004128DB" w:rsidRDefault="00A41559" w:rsidP="00A41559">
            <w:pPr>
              <w:pStyle w:val="ListParagraph"/>
              <w:numPr>
                <w:ilvl w:val="0"/>
                <w:numId w:val="2"/>
              </w:numPr>
              <w:spacing w:line="360" w:lineRule="auto"/>
              <w:jc w:val="both"/>
              <w:rPr>
                <w:rFonts w:ascii="Arial" w:hAnsi="Arial" w:cs="Arial"/>
              </w:rPr>
            </w:pPr>
          </w:p>
        </w:tc>
        <w:tc>
          <w:tcPr>
            <w:tcW w:w="3031" w:type="dxa"/>
            <w:tcBorders>
              <w:top w:val="nil"/>
              <w:bottom w:val="nil"/>
            </w:tcBorders>
          </w:tcPr>
          <w:p w14:paraId="5BC18D29" w14:textId="77777777" w:rsidR="00A41559" w:rsidRPr="004128DB" w:rsidRDefault="00A41559" w:rsidP="00B8169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128DB">
              <w:rPr>
                <w:rFonts w:ascii="Arial" w:hAnsi="Arial" w:cs="Arial"/>
              </w:rPr>
              <w:t>Lizard fish (</w:t>
            </w:r>
            <w:proofErr w:type="spellStart"/>
            <w:r w:rsidRPr="004128DB">
              <w:rPr>
                <w:rFonts w:ascii="Arial" w:hAnsi="Arial" w:cs="Arial"/>
                <w:i/>
              </w:rPr>
              <w:t>Saurida</w:t>
            </w:r>
            <w:proofErr w:type="spellEnd"/>
            <w:r w:rsidRPr="004128DB">
              <w:rPr>
                <w:rFonts w:ascii="Arial" w:hAnsi="Arial" w:cs="Arial"/>
                <w:i/>
              </w:rPr>
              <w:t xml:space="preserve"> </w:t>
            </w:r>
            <w:proofErr w:type="spellStart"/>
            <w:r w:rsidRPr="004128DB">
              <w:rPr>
                <w:rFonts w:ascii="Arial" w:hAnsi="Arial" w:cs="Arial"/>
                <w:i/>
              </w:rPr>
              <w:t>thumbil</w:t>
            </w:r>
            <w:proofErr w:type="spellEnd"/>
            <w:r w:rsidRPr="004128DB">
              <w:rPr>
                <w:rFonts w:ascii="Arial" w:hAnsi="Arial" w:cs="Arial"/>
              </w:rPr>
              <w:t>)</w:t>
            </w:r>
          </w:p>
        </w:tc>
        <w:tc>
          <w:tcPr>
            <w:tcW w:w="2051" w:type="dxa"/>
            <w:tcBorders>
              <w:top w:val="nil"/>
              <w:bottom w:val="nil"/>
            </w:tcBorders>
          </w:tcPr>
          <w:p w14:paraId="2B513497" w14:textId="77777777" w:rsidR="00A41559" w:rsidRPr="004128DB" w:rsidRDefault="00A41559" w:rsidP="00B8169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4128DB">
              <w:rPr>
                <w:rFonts w:ascii="Arial" w:hAnsi="Arial" w:cs="Arial"/>
              </w:rPr>
              <w:t>75.24</w:t>
            </w:r>
          </w:p>
        </w:tc>
        <w:tc>
          <w:tcPr>
            <w:tcW w:w="2018" w:type="dxa"/>
            <w:tcBorders>
              <w:top w:val="nil"/>
              <w:bottom w:val="nil"/>
            </w:tcBorders>
          </w:tcPr>
          <w:p w14:paraId="655B3E66" w14:textId="77777777" w:rsidR="00A41559" w:rsidRPr="004128DB" w:rsidRDefault="00A41559" w:rsidP="00B8169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4128DB">
              <w:rPr>
                <w:rFonts w:ascii="Arial" w:hAnsi="Arial" w:cs="Arial"/>
              </w:rPr>
              <w:t>17.76</w:t>
            </w:r>
          </w:p>
        </w:tc>
        <w:tc>
          <w:tcPr>
            <w:tcW w:w="1983" w:type="dxa"/>
            <w:tcBorders>
              <w:top w:val="nil"/>
              <w:bottom w:val="nil"/>
            </w:tcBorders>
          </w:tcPr>
          <w:p w14:paraId="7875BC12" w14:textId="77777777" w:rsidR="00A41559" w:rsidRPr="004128DB" w:rsidRDefault="00A41559" w:rsidP="00B8169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4128DB">
              <w:rPr>
                <w:rFonts w:ascii="Arial" w:hAnsi="Arial" w:cs="Arial"/>
              </w:rPr>
              <w:t>2.36</w:t>
            </w:r>
          </w:p>
        </w:tc>
        <w:tc>
          <w:tcPr>
            <w:tcW w:w="1957" w:type="dxa"/>
            <w:tcBorders>
              <w:top w:val="nil"/>
              <w:bottom w:val="nil"/>
            </w:tcBorders>
          </w:tcPr>
          <w:p w14:paraId="57BD09C1" w14:textId="77777777" w:rsidR="00A41559" w:rsidRPr="004128DB" w:rsidRDefault="00A41559" w:rsidP="00B8169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4128DB">
              <w:rPr>
                <w:rFonts w:ascii="Arial" w:hAnsi="Arial" w:cs="Arial"/>
              </w:rPr>
              <w:t>4.12</w:t>
            </w:r>
          </w:p>
        </w:tc>
        <w:tc>
          <w:tcPr>
            <w:tcW w:w="1957" w:type="dxa"/>
            <w:tcBorders>
              <w:top w:val="nil"/>
              <w:bottom w:val="nil"/>
            </w:tcBorders>
          </w:tcPr>
          <w:p w14:paraId="0A2C1DD6" w14:textId="77777777" w:rsidR="00A41559" w:rsidRPr="004128DB" w:rsidRDefault="00A41559" w:rsidP="00B8169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4128DB">
              <w:rPr>
                <w:rFonts w:ascii="Arial" w:hAnsi="Arial" w:cs="Arial"/>
              </w:rPr>
              <w:t>291</w:t>
            </w:r>
          </w:p>
        </w:tc>
      </w:tr>
      <w:tr w:rsidR="00A41559" w:rsidRPr="004128DB" w14:paraId="1BF9D59F" w14:textId="77777777" w:rsidTr="002A2F6C">
        <w:trPr>
          <w:cnfStyle w:val="000000100000" w:firstRow="0" w:lastRow="0" w:firstColumn="0" w:lastColumn="0" w:oddVBand="0" w:evenVBand="0" w:oddHBand="1" w:evenHBand="0" w:firstRowFirstColumn="0" w:firstRowLastColumn="0" w:lastRowFirstColumn="0" w:lastRowLastColumn="0"/>
          <w:trHeight w:val="1036"/>
        </w:trPr>
        <w:tc>
          <w:tcPr>
            <w:cnfStyle w:val="001000000000" w:firstRow="0" w:lastRow="0" w:firstColumn="1" w:lastColumn="0" w:oddVBand="0" w:evenVBand="0" w:oddHBand="0" w:evenHBand="0" w:firstRowFirstColumn="0" w:firstRowLastColumn="0" w:lastRowFirstColumn="0" w:lastRowLastColumn="0"/>
            <w:tcW w:w="879" w:type="dxa"/>
            <w:tcBorders>
              <w:top w:val="nil"/>
              <w:bottom w:val="single" w:sz="4" w:space="0" w:color="auto"/>
            </w:tcBorders>
          </w:tcPr>
          <w:p w14:paraId="53DB86E6" w14:textId="77777777" w:rsidR="00A41559" w:rsidRPr="004128DB" w:rsidRDefault="00A41559" w:rsidP="00A41559">
            <w:pPr>
              <w:pStyle w:val="ListParagraph"/>
              <w:numPr>
                <w:ilvl w:val="0"/>
                <w:numId w:val="2"/>
              </w:numPr>
              <w:spacing w:line="360" w:lineRule="auto"/>
              <w:jc w:val="both"/>
              <w:rPr>
                <w:rFonts w:ascii="Arial" w:hAnsi="Arial" w:cs="Arial"/>
              </w:rPr>
            </w:pPr>
          </w:p>
        </w:tc>
        <w:tc>
          <w:tcPr>
            <w:tcW w:w="3031" w:type="dxa"/>
            <w:tcBorders>
              <w:top w:val="nil"/>
              <w:bottom w:val="single" w:sz="4" w:space="0" w:color="auto"/>
            </w:tcBorders>
          </w:tcPr>
          <w:p w14:paraId="27D30577" w14:textId="77777777" w:rsidR="00A41559" w:rsidRPr="004128DB" w:rsidRDefault="00A41559" w:rsidP="00B8169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128DB">
              <w:rPr>
                <w:rFonts w:ascii="Arial" w:hAnsi="Arial" w:cs="Arial"/>
              </w:rPr>
              <w:t>Japanese threadfin bream (</w:t>
            </w:r>
            <w:proofErr w:type="spellStart"/>
            <w:r w:rsidRPr="004128DB">
              <w:rPr>
                <w:rFonts w:ascii="Arial" w:hAnsi="Arial" w:cs="Arial"/>
                <w:i/>
              </w:rPr>
              <w:t>Nemipterus</w:t>
            </w:r>
            <w:proofErr w:type="spellEnd"/>
            <w:r w:rsidRPr="004128DB">
              <w:rPr>
                <w:rFonts w:ascii="Arial" w:hAnsi="Arial" w:cs="Arial"/>
                <w:i/>
              </w:rPr>
              <w:t xml:space="preserve"> japonicus</w:t>
            </w:r>
            <w:r w:rsidRPr="004128DB">
              <w:rPr>
                <w:rFonts w:ascii="Arial" w:hAnsi="Arial" w:cs="Arial"/>
              </w:rPr>
              <w:t>)</w:t>
            </w:r>
          </w:p>
        </w:tc>
        <w:tc>
          <w:tcPr>
            <w:tcW w:w="2051" w:type="dxa"/>
            <w:tcBorders>
              <w:top w:val="nil"/>
              <w:bottom w:val="single" w:sz="4" w:space="0" w:color="auto"/>
            </w:tcBorders>
          </w:tcPr>
          <w:p w14:paraId="65856CE3" w14:textId="77777777" w:rsidR="00A41559" w:rsidRPr="004128DB" w:rsidRDefault="00A41559" w:rsidP="00B8169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128DB">
              <w:rPr>
                <w:rFonts w:ascii="Arial" w:hAnsi="Arial" w:cs="Arial"/>
              </w:rPr>
              <w:t>74.26</w:t>
            </w:r>
          </w:p>
        </w:tc>
        <w:tc>
          <w:tcPr>
            <w:tcW w:w="2018" w:type="dxa"/>
            <w:tcBorders>
              <w:top w:val="nil"/>
              <w:bottom w:val="single" w:sz="4" w:space="0" w:color="auto"/>
            </w:tcBorders>
          </w:tcPr>
          <w:p w14:paraId="4AAF2551" w14:textId="77777777" w:rsidR="00A41559" w:rsidRPr="004128DB" w:rsidRDefault="00A41559" w:rsidP="00B8169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128DB">
              <w:rPr>
                <w:rFonts w:ascii="Arial" w:hAnsi="Arial" w:cs="Arial"/>
              </w:rPr>
              <w:t>18.32</w:t>
            </w:r>
          </w:p>
        </w:tc>
        <w:tc>
          <w:tcPr>
            <w:tcW w:w="1983" w:type="dxa"/>
            <w:tcBorders>
              <w:top w:val="nil"/>
              <w:bottom w:val="single" w:sz="4" w:space="0" w:color="auto"/>
            </w:tcBorders>
          </w:tcPr>
          <w:p w14:paraId="3C3780FF" w14:textId="77777777" w:rsidR="00A41559" w:rsidRPr="004128DB" w:rsidRDefault="00A41559" w:rsidP="00B8169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128DB">
              <w:rPr>
                <w:rFonts w:ascii="Arial" w:hAnsi="Arial" w:cs="Arial"/>
              </w:rPr>
              <w:t>3.10</w:t>
            </w:r>
          </w:p>
        </w:tc>
        <w:tc>
          <w:tcPr>
            <w:tcW w:w="1957" w:type="dxa"/>
            <w:tcBorders>
              <w:top w:val="nil"/>
              <w:bottom w:val="single" w:sz="4" w:space="0" w:color="auto"/>
            </w:tcBorders>
          </w:tcPr>
          <w:p w14:paraId="385C980B" w14:textId="77777777" w:rsidR="00A41559" w:rsidRPr="004128DB" w:rsidRDefault="00A41559" w:rsidP="00B8169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128DB">
              <w:rPr>
                <w:rFonts w:ascii="Arial" w:hAnsi="Arial" w:cs="Arial"/>
              </w:rPr>
              <w:t>4.15</w:t>
            </w:r>
          </w:p>
        </w:tc>
        <w:tc>
          <w:tcPr>
            <w:tcW w:w="1957" w:type="dxa"/>
            <w:tcBorders>
              <w:top w:val="nil"/>
              <w:bottom w:val="single" w:sz="4" w:space="0" w:color="auto"/>
            </w:tcBorders>
          </w:tcPr>
          <w:p w14:paraId="5341BCEE" w14:textId="77777777" w:rsidR="00A41559" w:rsidRPr="004128DB" w:rsidRDefault="00A41559" w:rsidP="00B8169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128DB">
              <w:rPr>
                <w:rFonts w:ascii="Arial" w:hAnsi="Arial" w:cs="Arial"/>
              </w:rPr>
              <w:t>253</w:t>
            </w:r>
          </w:p>
        </w:tc>
      </w:tr>
    </w:tbl>
    <w:p w14:paraId="5A850276" w14:textId="77777777" w:rsidR="00A41559" w:rsidRPr="004128DB" w:rsidRDefault="00A41559" w:rsidP="00A41559">
      <w:pPr>
        <w:spacing w:line="360" w:lineRule="auto"/>
        <w:ind w:left="709" w:hanging="709"/>
        <w:jc w:val="both"/>
        <w:rPr>
          <w:rFonts w:ascii="Arial" w:hAnsi="Arial" w:cs="Arial"/>
        </w:rPr>
      </w:pPr>
    </w:p>
    <w:p w14:paraId="3BBC5092" w14:textId="77777777" w:rsidR="00A41559" w:rsidRPr="004128DB" w:rsidRDefault="00A41559" w:rsidP="00A41559">
      <w:pPr>
        <w:spacing w:line="360" w:lineRule="auto"/>
        <w:ind w:left="709" w:hanging="709"/>
        <w:jc w:val="both"/>
        <w:rPr>
          <w:rFonts w:ascii="Arial" w:hAnsi="Arial" w:cs="Arial"/>
        </w:rPr>
      </w:pPr>
      <w:r w:rsidRPr="004128DB">
        <w:rPr>
          <w:rFonts w:ascii="Arial" w:hAnsi="Arial" w:cs="Arial"/>
          <w:b/>
        </w:rPr>
        <w:t>Table A</w:t>
      </w:r>
      <w:r w:rsidR="002A2F6C" w:rsidRPr="004128DB">
        <w:rPr>
          <w:rFonts w:ascii="Arial" w:hAnsi="Arial" w:cs="Arial"/>
          <w:b/>
        </w:rPr>
        <w:t>3</w:t>
      </w:r>
      <w:r w:rsidRPr="004128DB">
        <w:rPr>
          <w:rFonts w:ascii="Arial" w:hAnsi="Arial" w:cs="Arial"/>
          <w:b/>
        </w:rPr>
        <w:t>.</w:t>
      </w:r>
      <w:r w:rsidRPr="004128DB">
        <w:rPr>
          <w:rFonts w:ascii="Arial" w:hAnsi="Arial" w:cs="Arial"/>
        </w:rPr>
        <w:t xml:space="preserve"> Quantity of trash fish given as Feed to Culture species (Spiny Lobster)</w:t>
      </w:r>
    </w:p>
    <w:tbl>
      <w:tblPr>
        <w:tblStyle w:val="TableGrid"/>
        <w:tblW w:w="1455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1"/>
        <w:gridCol w:w="3198"/>
        <w:gridCol w:w="3552"/>
        <w:gridCol w:w="3374"/>
        <w:gridCol w:w="3013"/>
      </w:tblGrid>
      <w:tr w:rsidR="00A41559" w:rsidRPr="004128DB" w14:paraId="6E4CE6A5" w14:textId="77777777" w:rsidTr="002A2F6C">
        <w:trPr>
          <w:trHeight w:val="374"/>
        </w:trPr>
        <w:tc>
          <w:tcPr>
            <w:tcW w:w="1421" w:type="dxa"/>
            <w:vMerge w:val="restart"/>
            <w:tcBorders>
              <w:top w:val="single" w:sz="4" w:space="0" w:color="auto"/>
            </w:tcBorders>
          </w:tcPr>
          <w:p w14:paraId="426BB380" w14:textId="77777777" w:rsidR="00A41559" w:rsidRPr="004128DB" w:rsidRDefault="00A41559" w:rsidP="00B8169F">
            <w:pPr>
              <w:spacing w:before="240" w:line="360" w:lineRule="auto"/>
              <w:jc w:val="center"/>
              <w:rPr>
                <w:rFonts w:ascii="Arial" w:hAnsi="Arial" w:cs="Arial"/>
                <w:b/>
              </w:rPr>
            </w:pPr>
            <w:r w:rsidRPr="004128DB">
              <w:rPr>
                <w:rFonts w:ascii="Arial" w:hAnsi="Arial" w:cs="Arial"/>
                <w:b/>
              </w:rPr>
              <w:t>Cage No.</w:t>
            </w:r>
          </w:p>
        </w:tc>
        <w:tc>
          <w:tcPr>
            <w:tcW w:w="13137" w:type="dxa"/>
            <w:gridSpan w:val="4"/>
            <w:tcBorders>
              <w:top w:val="single" w:sz="4" w:space="0" w:color="auto"/>
            </w:tcBorders>
          </w:tcPr>
          <w:p w14:paraId="38D213C3" w14:textId="77777777" w:rsidR="00A41559" w:rsidRPr="004128DB" w:rsidRDefault="00A41559" w:rsidP="00B8169F">
            <w:pPr>
              <w:spacing w:line="360" w:lineRule="auto"/>
              <w:jc w:val="center"/>
              <w:rPr>
                <w:rFonts w:ascii="Arial" w:hAnsi="Arial" w:cs="Arial"/>
                <w:b/>
              </w:rPr>
            </w:pPr>
            <w:r w:rsidRPr="004128DB">
              <w:rPr>
                <w:rFonts w:ascii="Arial" w:hAnsi="Arial" w:cs="Arial"/>
                <w:b/>
              </w:rPr>
              <w:t>Feed given per Month (kg)</w:t>
            </w:r>
          </w:p>
        </w:tc>
      </w:tr>
      <w:tr w:rsidR="00A41559" w:rsidRPr="004128DB" w14:paraId="3D042302" w14:textId="77777777" w:rsidTr="006C1828">
        <w:trPr>
          <w:trHeight w:val="409"/>
        </w:trPr>
        <w:tc>
          <w:tcPr>
            <w:tcW w:w="1421" w:type="dxa"/>
            <w:vMerge/>
            <w:tcBorders>
              <w:bottom w:val="single" w:sz="4" w:space="0" w:color="auto"/>
            </w:tcBorders>
          </w:tcPr>
          <w:p w14:paraId="17393ABC" w14:textId="77777777" w:rsidR="00A41559" w:rsidRPr="004128DB" w:rsidRDefault="00A41559" w:rsidP="00B8169F">
            <w:pPr>
              <w:spacing w:line="360" w:lineRule="auto"/>
              <w:jc w:val="both"/>
              <w:rPr>
                <w:rFonts w:ascii="Arial" w:hAnsi="Arial" w:cs="Arial"/>
              </w:rPr>
            </w:pPr>
          </w:p>
        </w:tc>
        <w:tc>
          <w:tcPr>
            <w:tcW w:w="3198" w:type="dxa"/>
            <w:tcBorders>
              <w:bottom w:val="single" w:sz="4" w:space="0" w:color="auto"/>
            </w:tcBorders>
          </w:tcPr>
          <w:p w14:paraId="098EFC44" w14:textId="77777777" w:rsidR="00A41559" w:rsidRPr="004128DB" w:rsidRDefault="00A41559" w:rsidP="00B8169F">
            <w:pPr>
              <w:spacing w:line="360" w:lineRule="auto"/>
              <w:jc w:val="center"/>
              <w:rPr>
                <w:rFonts w:ascii="Arial" w:hAnsi="Arial" w:cs="Arial"/>
                <w:b/>
              </w:rPr>
            </w:pPr>
            <w:r w:rsidRPr="004128DB">
              <w:rPr>
                <w:rFonts w:ascii="Arial" w:hAnsi="Arial" w:cs="Arial"/>
                <w:b/>
              </w:rPr>
              <w:t>January (kg)</w:t>
            </w:r>
          </w:p>
        </w:tc>
        <w:tc>
          <w:tcPr>
            <w:tcW w:w="3552" w:type="dxa"/>
            <w:tcBorders>
              <w:bottom w:val="single" w:sz="4" w:space="0" w:color="auto"/>
            </w:tcBorders>
          </w:tcPr>
          <w:p w14:paraId="4D70787F" w14:textId="77777777" w:rsidR="00A41559" w:rsidRPr="004128DB" w:rsidRDefault="00A41559" w:rsidP="00B8169F">
            <w:pPr>
              <w:spacing w:line="360" w:lineRule="auto"/>
              <w:jc w:val="center"/>
              <w:rPr>
                <w:rFonts w:ascii="Arial" w:hAnsi="Arial" w:cs="Arial"/>
                <w:b/>
              </w:rPr>
            </w:pPr>
            <w:r w:rsidRPr="004128DB">
              <w:rPr>
                <w:rFonts w:ascii="Arial" w:hAnsi="Arial" w:cs="Arial"/>
                <w:b/>
              </w:rPr>
              <w:t>February (kg)</w:t>
            </w:r>
          </w:p>
        </w:tc>
        <w:tc>
          <w:tcPr>
            <w:tcW w:w="3374" w:type="dxa"/>
            <w:tcBorders>
              <w:bottom w:val="single" w:sz="4" w:space="0" w:color="auto"/>
            </w:tcBorders>
          </w:tcPr>
          <w:p w14:paraId="6ECB7806" w14:textId="77777777" w:rsidR="00A41559" w:rsidRPr="004128DB" w:rsidRDefault="00A41559" w:rsidP="00B8169F">
            <w:pPr>
              <w:spacing w:line="360" w:lineRule="auto"/>
              <w:jc w:val="center"/>
              <w:rPr>
                <w:rFonts w:ascii="Arial" w:hAnsi="Arial" w:cs="Arial"/>
                <w:b/>
              </w:rPr>
            </w:pPr>
            <w:r w:rsidRPr="004128DB">
              <w:rPr>
                <w:rFonts w:ascii="Arial" w:hAnsi="Arial" w:cs="Arial"/>
                <w:b/>
              </w:rPr>
              <w:t>March (kg)</w:t>
            </w:r>
          </w:p>
        </w:tc>
        <w:tc>
          <w:tcPr>
            <w:tcW w:w="3013" w:type="dxa"/>
            <w:tcBorders>
              <w:bottom w:val="single" w:sz="4" w:space="0" w:color="auto"/>
            </w:tcBorders>
          </w:tcPr>
          <w:p w14:paraId="0EC880DC" w14:textId="77777777" w:rsidR="00A41559" w:rsidRPr="004128DB" w:rsidRDefault="00A41559" w:rsidP="00B8169F">
            <w:pPr>
              <w:spacing w:line="360" w:lineRule="auto"/>
              <w:jc w:val="center"/>
              <w:rPr>
                <w:rFonts w:ascii="Arial" w:hAnsi="Arial" w:cs="Arial"/>
                <w:b/>
              </w:rPr>
            </w:pPr>
            <w:r w:rsidRPr="004128DB">
              <w:rPr>
                <w:rFonts w:ascii="Arial" w:hAnsi="Arial" w:cs="Arial"/>
                <w:b/>
              </w:rPr>
              <w:t>April (kg)</w:t>
            </w:r>
          </w:p>
        </w:tc>
      </w:tr>
      <w:tr w:rsidR="00A41559" w:rsidRPr="004128DB" w14:paraId="7F6813E7" w14:textId="77777777" w:rsidTr="006C1828">
        <w:trPr>
          <w:trHeight w:val="374"/>
        </w:trPr>
        <w:tc>
          <w:tcPr>
            <w:tcW w:w="1421" w:type="dxa"/>
            <w:tcBorders>
              <w:top w:val="single" w:sz="4" w:space="0" w:color="auto"/>
            </w:tcBorders>
          </w:tcPr>
          <w:p w14:paraId="62BFC836" w14:textId="77777777" w:rsidR="00A41559" w:rsidRPr="004128DB" w:rsidRDefault="00A41559" w:rsidP="00A41559">
            <w:pPr>
              <w:pStyle w:val="ListParagraph"/>
              <w:numPr>
                <w:ilvl w:val="0"/>
                <w:numId w:val="3"/>
              </w:numPr>
              <w:spacing w:line="360" w:lineRule="auto"/>
              <w:jc w:val="both"/>
              <w:rPr>
                <w:rFonts w:ascii="Arial" w:hAnsi="Arial" w:cs="Arial"/>
                <w:b/>
              </w:rPr>
            </w:pPr>
          </w:p>
        </w:tc>
        <w:tc>
          <w:tcPr>
            <w:tcW w:w="3198" w:type="dxa"/>
            <w:tcBorders>
              <w:top w:val="single" w:sz="4" w:space="0" w:color="auto"/>
            </w:tcBorders>
            <w:vAlign w:val="bottom"/>
          </w:tcPr>
          <w:p w14:paraId="72709A34"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96.45</w:t>
            </w:r>
          </w:p>
        </w:tc>
        <w:tc>
          <w:tcPr>
            <w:tcW w:w="3552" w:type="dxa"/>
            <w:tcBorders>
              <w:top w:val="single" w:sz="4" w:space="0" w:color="auto"/>
            </w:tcBorders>
            <w:vAlign w:val="bottom"/>
          </w:tcPr>
          <w:p w14:paraId="64D8ADE1"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108.05</w:t>
            </w:r>
          </w:p>
        </w:tc>
        <w:tc>
          <w:tcPr>
            <w:tcW w:w="3374" w:type="dxa"/>
            <w:tcBorders>
              <w:top w:val="single" w:sz="4" w:space="0" w:color="auto"/>
            </w:tcBorders>
            <w:vAlign w:val="bottom"/>
          </w:tcPr>
          <w:p w14:paraId="67938DA4"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133.6</w:t>
            </w:r>
          </w:p>
        </w:tc>
        <w:tc>
          <w:tcPr>
            <w:tcW w:w="3013" w:type="dxa"/>
            <w:tcBorders>
              <w:top w:val="single" w:sz="4" w:space="0" w:color="auto"/>
            </w:tcBorders>
            <w:vAlign w:val="bottom"/>
          </w:tcPr>
          <w:p w14:paraId="22ADC4EA"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166.95</w:t>
            </w:r>
          </w:p>
        </w:tc>
      </w:tr>
      <w:tr w:rsidR="00A41559" w:rsidRPr="004128DB" w14:paraId="76F5C4E2" w14:textId="77777777" w:rsidTr="006C1828">
        <w:trPr>
          <w:trHeight w:val="374"/>
        </w:trPr>
        <w:tc>
          <w:tcPr>
            <w:tcW w:w="1421" w:type="dxa"/>
          </w:tcPr>
          <w:p w14:paraId="56D08F62" w14:textId="77777777" w:rsidR="00A41559" w:rsidRPr="004128DB" w:rsidRDefault="00A41559" w:rsidP="00A41559">
            <w:pPr>
              <w:pStyle w:val="ListParagraph"/>
              <w:numPr>
                <w:ilvl w:val="0"/>
                <w:numId w:val="3"/>
              </w:numPr>
              <w:spacing w:line="360" w:lineRule="auto"/>
              <w:jc w:val="both"/>
              <w:rPr>
                <w:rFonts w:ascii="Arial" w:hAnsi="Arial" w:cs="Arial"/>
                <w:b/>
              </w:rPr>
            </w:pPr>
          </w:p>
        </w:tc>
        <w:tc>
          <w:tcPr>
            <w:tcW w:w="3198" w:type="dxa"/>
            <w:vAlign w:val="bottom"/>
          </w:tcPr>
          <w:p w14:paraId="1A199638"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88.70</w:t>
            </w:r>
          </w:p>
        </w:tc>
        <w:tc>
          <w:tcPr>
            <w:tcW w:w="3552" w:type="dxa"/>
            <w:vAlign w:val="bottom"/>
          </w:tcPr>
          <w:p w14:paraId="62A4A03C"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97.55</w:t>
            </w:r>
          </w:p>
        </w:tc>
        <w:tc>
          <w:tcPr>
            <w:tcW w:w="3374" w:type="dxa"/>
            <w:vAlign w:val="bottom"/>
          </w:tcPr>
          <w:p w14:paraId="60A3F8FC"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125.45</w:t>
            </w:r>
          </w:p>
        </w:tc>
        <w:tc>
          <w:tcPr>
            <w:tcW w:w="3013" w:type="dxa"/>
            <w:vAlign w:val="bottom"/>
          </w:tcPr>
          <w:p w14:paraId="0D93B790"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151.4</w:t>
            </w:r>
          </w:p>
        </w:tc>
      </w:tr>
      <w:tr w:rsidR="00A41559" w:rsidRPr="004128DB" w14:paraId="268FE109" w14:textId="77777777" w:rsidTr="006C1828">
        <w:trPr>
          <w:trHeight w:val="374"/>
        </w:trPr>
        <w:tc>
          <w:tcPr>
            <w:tcW w:w="1421" w:type="dxa"/>
          </w:tcPr>
          <w:p w14:paraId="4D8F0D6F" w14:textId="77777777" w:rsidR="00A41559" w:rsidRPr="004128DB" w:rsidRDefault="00A41559" w:rsidP="00A41559">
            <w:pPr>
              <w:pStyle w:val="ListParagraph"/>
              <w:numPr>
                <w:ilvl w:val="0"/>
                <w:numId w:val="3"/>
              </w:numPr>
              <w:spacing w:line="360" w:lineRule="auto"/>
              <w:jc w:val="both"/>
              <w:rPr>
                <w:rFonts w:ascii="Arial" w:hAnsi="Arial" w:cs="Arial"/>
                <w:b/>
              </w:rPr>
            </w:pPr>
          </w:p>
        </w:tc>
        <w:tc>
          <w:tcPr>
            <w:tcW w:w="3198" w:type="dxa"/>
            <w:vAlign w:val="bottom"/>
          </w:tcPr>
          <w:p w14:paraId="04033491"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104.95</w:t>
            </w:r>
          </w:p>
        </w:tc>
        <w:tc>
          <w:tcPr>
            <w:tcW w:w="3552" w:type="dxa"/>
            <w:vAlign w:val="bottom"/>
          </w:tcPr>
          <w:p w14:paraId="0A045EF8"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107.26</w:t>
            </w:r>
          </w:p>
        </w:tc>
        <w:tc>
          <w:tcPr>
            <w:tcW w:w="3374" w:type="dxa"/>
            <w:vAlign w:val="bottom"/>
          </w:tcPr>
          <w:p w14:paraId="64BBFDB9"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132.99</w:t>
            </w:r>
          </w:p>
        </w:tc>
        <w:tc>
          <w:tcPr>
            <w:tcW w:w="3013" w:type="dxa"/>
            <w:vAlign w:val="bottom"/>
          </w:tcPr>
          <w:p w14:paraId="1B0193CD"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164.22</w:t>
            </w:r>
          </w:p>
        </w:tc>
      </w:tr>
      <w:tr w:rsidR="00A41559" w:rsidRPr="004128DB" w14:paraId="6E0C7F4A" w14:textId="77777777" w:rsidTr="006C1828">
        <w:trPr>
          <w:trHeight w:val="392"/>
        </w:trPr>
        <w:tc>
          <w:tcPr>
            <w:tcW w:w="1421" w:type="dxa"/>
          </w:tcPr>
          <w:p w14:paraId="78B8EDA2" w14:textId="77777777" w:rsidR="00A41559" w:rsidRPr="004128DB" w:rsidRDefault="00A41559" w:rsidP="00A41559">
            <w:pPr>
              <w:pStyle w:val="ListParagraph"/>
              <w:numPr>
                <w:ilvl w:val="0"/>
                <w:numId w:val="3"/>
              </w:numPr>
              <w:spacing w:line="360" w:lineRule="auto"/>
              <w:jc w:val="both"/>
              <w:rPr>
                <w:rFonts w:ascii="Arial" w:hAnsi="Arial" w:cs="Arial"/>
                <w:b/>
              </w:rPr>
            </w:pPr>
          </w:p>
        </w:tc>
        <w:tc>
          <w:tcPr>
            <w:tcW w:w="3198" w:type="dxa"/>
            <w:vAlign w:val="bottom"/>
          </w:tcPr>
          <w:p w14:paraId="6981581C"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100.62</w:t>
            </w:r>
          </w:p>
        </w:tc>
        <w:tc>
          <w:tcPr>
            <w:tcW w:w="3552" w:type="dxa"/>
            <w:vAlign w:val="bottom"/>
          </w:tcPr>
          <w:p w14:paraId="221E188B"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107.26</w:t>
            </w:r>
          </w:p>
        </w:tc>
        <w:tc>
          <w:tcPr>
            <w:tcW w:w="3374" w:type="dxa"/>
            <w:vAlign w:val="bottom"/>
          </w:tcPr>
          <w:p w14:paraId="77A05553"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128.755</w:t>
            </w:r>
          </w:p>
        </w:tc>
        <w:tc>
          <w:tcPr>
            <w:tcW w:w="3013" w:type="dxa"/>
            <w:vAlign w:val="bottom"/>
          </w:tcPr>
          <w:p w14:paraId="5CF64045"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154.655</w:t>
            </w:r>
          </w:p>
        </w:tc>
      </w:tr>
      <w:tr w:rsidR="00A41559" w:rsidRPr="004128DB" w14:paraId="6F6CAB7F" w14:textId="77777777" w:rsidTr="006C1828">
        <w:trPr>
          <w:trHeight w:val="357"/>
        </w:trPr>
        <w:tc>
          <w:tcPr>
            <w:tcW w:w="1421" w:type="dxa"/>
          </w:tcPr>
          <w:p w14:paraId="707C2D1F" w14:textId="77777777" w:rsidR="00A41559" w:rsidRPr="004128DB" w:rsidRDefault="00A41559" w:rsidP="00A41559">
            <w:pPr>
              <w:pStyle w:val="ListParagraph"/>
              <w:numPr>
                <w:ilvl w:val="0"/>
                <w:numId w:val="3"/>
              </w:numPr>
              <w:spacing w:line="360" w:lineRule="auto"/>
              <w:jc w:val="both"/>
              <w:rPr>
                <w:rFonts w:ascii="Arial" w:hAnsi="Arial" w:cs="Arial"/>
                <w:b/>
              </w:rPr>
            </w:pPr>
          </w:p>
        </w:tc>
        <w:tc>
          <w:tcPr>
            <w:tcW w:w="3198" w:type="dxa"/>
            <w:vAlign w:val="bottom"/>
          </w:tcPr>
          <w:p w14:paraId="66DBE62F"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109.05</w:t>
            </w:r>
          </w:p>
        </w:tc>
        <w:tc>
          <w:tcPr>
            <w:tcW w:w="3552" w:type="dxa"/>
            <w:vAlign w:val="bottom"/>
          </w:tcPr>
          <w:p w14:paraId="1D1A96E2"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111.45</w:t>
            </w:r>
          </w:p>
        </w:tc>
        <w:tc>
          <w:tcPr>
            <w:tcW w:w="3374" w:type="dxa"/>
            <w:vAlign w:val="bottom"/>
          </w:tcPr>
          <w:p w14:paraId="201B0E9B"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133.22</w:t>
            </w:r>
          </w:p>
        </w:tc>
        <w:tc>
          <w:tcPr>
            <w:tcW w:w="3013" w:type="dxa"/>
            <w:vAlign w:val="bottom"/>
          </w:tcPr>
          <w:p w14:paraId="490C141E"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159.425</w:t>
            </w:r>
          </w:p>
        </w:tc>
      </w:tr>
      <w:tr w:rsidR="00A41559" w:rsidRPr="004128DB" w14:paraId="16A56494" w14:textId="77777777" w:rsidTr="006C1828">
        <w:trPr>
          <w:trHeight w:val="357"/>
        </w:trPr>
        <w:tc>
          <w:tcPr>
            <w:tcW w:w="1421" w:type="dxa"/>
          </w:tcPr>
          <w:p w14:paraId="36FC16DB" w14:textId="77777777" w:rsidR="00A41559" w:rsidRPr="004128DB" w:rsidRDefault="00A41559" w:rsidP="00A41559">
            <w:pPr>
              <w:pStyle w:val="ListParagraph"/>
              <w:numPr>
                <w:ilvl w:val="0"/>
                <w:numId w:val="3"/>
              </w:numPr>
              <w:spacing w:line="360" w:lineRule="auto"/>
              <w:jc w:val="both"/>
              <w:rPr>
                <w:rFonts w:ascii="Arial" w:hAnsi="Arial" w:cs="Arial"/>
                <w:b/>
              </w:rPr>
            </w:pPr>
          </w:p>
        </w:tc>
        <w:tc>
          <w:tcPr>
            <w:tcW w:w="3198" w:type="dxa"/>
            <w:vAlign w:val="bottom"/>
          </w:tcPr>
          <w:p w14:paraId="0005A2CF"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104.34</w:t>
            </w:r>
          </w:p>
        </w:tc>
        <w:tc>
          <w:tcPr>
            <w:tcW w:w="3552" w:type="dxa"/>
            <w:vAlign w:val="bottom"/>
          </w:tcPr>
          <w:p w14:paraId="73438B1B"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107.09</w:t>
            </w:r>
          </w:p>
        </w:tc>
        <w:tc>
          <w:tcPr>
            <w:tcW w:w="3374" w:type="dxa"/>
            <w:vAlign w:val="bottom"/>
          </w:tcPr>
          <w:p w14:paraId="013C7596"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128.535</w:t>
            </w:r>
          </w:p>
        </w:tc>
        <w:tc>
          <w:tcPr>
            <w:tcW w:w="3013" w:type="dxa"/>
            <w:vAlign w:val="bottom"/>
          </w:tcPr>
          <w:p w14:paraId="0777B69D" w14:textId="77777777" w:rsidR="00A41559" w:rsidRPr="004128DB" w:rsidRDefault="00A41559" w:rsidP="00B8169F">
            <w:pPr>
              <w:spacing w:line="360" w:lineRule="auto"/>
              <w:jc w:val="center"/>
              <w:rPr>
                <w:rFonts w:ascii="Arial" w:hAnsi="Arial" w:cs="Arial"/>
              </w:rPr>
            </w:pPr>
            <w:r w:rsidRPr="004128DB">
              <w:rPr>
                <w:rFonts w:ascii="Arial" w:hAnsi="Arial" w:cs="Arial"/>
                <w:color w:val="000000"/>
              </w:rPr>
              <w:t>150.21</w:t>
            </w:r>
          </w:p>
        </w:tc>
      </w:tr>
      <w:tr w:rsidR="00A41559" w:rsidRPr="004128DB" w14:paraId="29A9EBF2" w14:textId="77777777" w:rsidTr="006C1828">
        <w:trPr>
          <w:trHeight w:val="357"/>
        </w:trPr>
        <w:tc>
          <w:tcPr>
            <w:tcW w:w="1421" w:type="dxa"/>
            <w:tcBorders>
              <w:top w:val="single" w:sz="4" w:space="0" w:color="auto"/>
              <w:bottom w:val="single" w:sz="4" w:space="0" w:color="auto"/>
            </w:tcBorders>
          </w:tcPr>
          <w:p w14:paraId="621041F1" w14:textId="77777777" w:rsidR="00A41559" w:rsidRPr="004128DB" w:rsidRDefault="00A41559" w:rsidP="00B8169F">
            <w:pPr>
              <w:spacing w:line="360" w:lineRule="auto"/>
              <w:jc w:val="center"/>
              <w:rPr>
                <w:rFonts w:ascii="Arial" w:hAnsi="Arial" w:cs="Arial"/>
                <w:b/>
              </w:rPr>
            </w:pPr>
            <w:r w:rsidRPr="004128DB">
              <w:rPr>
                <w:rFonts w:ascii="Arial" w:hAnsi="Arial" w:cs="Arial"/>
                <w:b/>
              </w:rPr>
              <w:t>Total (Kg)</w:t>
            </w:r>
          </w:p>
        </w:tc>
        <w:tc>
          <w:tcPr>
            <w:tcW w:w="3198" w:type="dxa"/>
            <w:tcBorders>
              <w:top w:val="single" w:sz="4" w:space="0" w:color="auto"/>
              <w:bottom w:val="single" w:sz="4" w:space="0" w:color="auto"/>
            </w:tcBorders>
            <w:vAlign w:val="bottom"/>
          </w:tcPr>
          <w:p w14:paraId="24BE9747" w14:textId="77777777" w:rsidR="00A41559" w:rsidRPr="004128DB" w:rsidRDefault="00A41559" w:rsidP="00B8169F">
            <w:pPr>
              <w:spacing w:line="360" w:lineRule="auto"/>
              <w:jc w:val="center"/>
              <w:rPr>
                <w:rFonts w:ascii="Arial" w:hAnsi="Arial" w:cs="Arial"/>
                <w:b/>
                <w:color w:val="000000"/>
              </w:rPr>
            </w:pPr>
            <w:r w:rsidRPr="004128DB">
              <w:rPr>
                <w:rFonts w:ascii="Arial" w:hAnsi="Arial" w:cs="Arial"/>
                <w:b/>
                <w:color w:val="000000"/>
              </w:rPr>
              <w:t>604.11</w:t>
            </w:r>
          </w:p>
        </w:tc>
        <w:tc>
          <w:tcPr>
            <w:tcW w:w="3552" w:type="dxa"/>
            <w:tcBorders>
              <w:top w:val="single" w:sz="4" w:space="0" w:color="auto"/>
              <w:bottom w:val="single" w:sz="4" w:space="0" w:color="auto"/>
            </w:tcBorders>
            <w:vAlign w:val="bottom"/>
          </w:tcPr>
          <w:p w14:paraId="3EBE3CFC" w14:textId="77777777" w:rsidR="00A41559" w:rsidRPr="004128DB" w:rsidRDefault="00A41559" w:rsidP="00B8169F">
            <w:pPr>
              <w:spacing w:line="360" w:lineRule="auto"/>
              <w:jc w:val="center"/>
              <w:rPr>
                <w:rFonts w:ascii="Arial" w:hAnsi="Arial" w:cs="Arial"/>
                <w:b/>
                <w:color w:val="000000"/>
              </w:rPr>
            </w:pPr>
            <w:r w:rsidRPr="004128DB">
              <w:rPr>
                <w:rFonts w:ascii="Arial" w:hAnsi="Arial" w:cs="Arial"/>
                <w:b/>
                <w:color w:val="000000"/>
              </w:rPr>
              <w:t>638.66</w:t>
            </w:r>
          </w:p>
        </w:tc>
        <w:tc>
          <w:tcPr>
            <w:tcW w:w="3374" w:type="dxa"/>
            <w:tcBorders>
              <w:top w:val="single" w:sz="4" w:space="0" w:color="auto"/>
              <w:bottom w:val="single" w:sz="4" w:space="0" w:color="auto"/>
            </w:tcBorders>
            <w:vAlign w:val="bottom"/>
          </w:tcPr>
          <w:p w14:paraId="2336603F" w14:textId="77777777" w:rsidR="00A41559" w:rsidRPr="004128DB" w:rsidRDefault="00A41559" w:rsidP="00B8169F">
            <w:pPr>
              <w:spacing w:line="360" w:lineRule="auto"/>
              <w:jc w:val="center"/>
              <w:rPr>
                <w:rFonts w:ascii="Arial" w:hAnsi="Arial" w:cs="Arial"/>
                <w:b/>
                <w:color w:val="000000"/>
              </w:rPr>
            </w:pPr>
            <w:r w:rsidRPr="004128DB">
              <w:rPr>
                <w:rFonts w:ascii="Arial" w:hAnsi="Arial" w:cs="Arial"/>
                <w:b/>
                <w:color w:val="000000"/>
              </w:rPr>
              <w:t>782.55</w:t>
            </w:r>
          </w:p>
        </w:tc>
        <w:tc>
          <w:tcPr>
            <w:tcW w:w="3013" w:type="dxa"/>
            <w:tcBorders>
              <w:top w:val="single" w:sz="4" w:space="0" w:color="auto"/>
              <w:bottom w:val="single" w:sz="4" w:space="0" w:color="auto"/>
            </w:tcBorders>
            <w:vAlign w:val="bottom"/>
          </w:tcPr>
          <w:p w14:paraId="78171C69" w14:textId="77777777" w:rsidR="00A41559" w:rsidRPr="004128DB" w:rsidRDefault="00A41559" w:rsidP="00B8169F">
            <w:pPr>
              <w:spacing w:line="360" w:lineRule="auto"/>
              <w:jc w:val="center"/>
              <w:rPr>
                <w:rFonts w:ascii="Arial" w:hAnsi="Arial" w:cs="Arial"/>
                <w:b/>
                <w:color w:val="000000"/>
              </w:rPr>
            </w:pPr>
            <w:r w:rsidRPr="004128DB">
              <w:rPr>
                <w:rFonts w:ascii="Arial" w:hAnsi="Arial" w:cs="Arial"/>
                <w:b/>
                <w:color w:val="000000"/>
              </w:rPr>
              <w:t>157.81</w:t>
            </w:r>
          </w:p>
        </w:tc>
      </w:tr>
    </w:tbl>
    <w:p w14:paraId="25C68972" w14:textId="35152739" w:rsidR="00A41559" w:rsidRPr="002C66E5" w:rsidRDefault="00A41559" w:rsidP="00EF2630">
      <w:pPr>
        <w:autoSpaceDE w:val="0"/>
        <w:autoSpaceDN w:val="0"/>
        <w:adjustRightInd w:val="0"/>
        <w:spacing w:after="0" w:line="480" w:lineRule="auto"/>
        <w:jc w:val="center"/>
        <w:rPr>
          <w:rFonts w:ascii="Arial" w:hAnsi="Arial" w:cs="Arial"/>
          <w:b/>
          <w:bCs/>
        </w:rPr>
      </w:pPr>
    </w:p>
    <w:sectPr w:rsidR="00A41559" w:rsidRPr="002C66E5" w:rsidSect="006C1828">
      <w:pgSz w:w="16838" w:h="11906" w:orient="landscape"/>
      <w:pgMar w:top="1134" w:right="1440" w:bottom="1440"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D6395" w14:textId="77777777" w:rsidR="00EA0CD4" w:rsidRDefault="00EA0CD4" w:rsidP="00DF72F3">
      <w:pPr>
        <w:spacing w:after="0" w:line="240" w:lineRule="auto"/>
      </w:pPr>
      <w:r>
        <w:separator/>
      </w:r>
    </w:p>
  </w:endnote>
  <w:endnote w:type="continuationSeparator" w:id="0">
    <w:p w14:paraId="19A1E951" w14:textId="77777777" w:rsidR="00EA0CD4" w:rsidRDefault="00EA0CD4" w:rsidP="00DF7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1AC6" w14:textId="77777777" w:rsidR="0074150D" w:rsidRDefault="00741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9E5A3" w14:textId="77777777" w:rsidR="0074150D" w:rsidRDefault="007415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BCE6B" w14:textId="77777777" w:rsidR="0074150D" w:rsidRDefault="00741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AD207" w14:textId="77777777" w:rsidR="00EA0CD4" w:rsidRDefault="00EA0CD4" w:rsidP="00DF72F3">
      <w:pPr>
        <w:spacing w:after="0" w:line="240" w:lineRule="auto"/>
      </w:pPr>
      <w:r>
        <w:separator/>
      </w:r>
    </w:p>
  </w:footnote>
  <w:footnote w:type="continuationSeparator" w:id="0">
    <w:p w14:paraId="42C8179C" w14:textId="77777777" w:rsidR="00EA0CD4" w:rsidRDefault="00EA0CD4" w:rsidP="00DF72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CCAF" w14:textId="62C82368" w:rsidR="0074150D" w:rsidRDefault="0074150D">
    <w:pPr>
      <w:pStyle w:val="Header"/>
    </w:pPr>
    <w:r>
      <w:rPr>
        <w:noProof/>
      </w:rPr>
      <w:pict w14:anchorId="651146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56021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DD05" w14:textId="540BDD27" w:rsidR="0074150D" w:rsidRDefault="0074150D">
    <w:pPr>
      <w:pStyle w:val="Header"/>
    </w:pPr>
    <w:r>
      <w:rPr>
        <w:noProof/>
      </w:rPr>
      <w:pict w14:anchorId="6AAEEE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56022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FC08" w14:textId="348CA1DA" w:rsidR="0074150D" w:rsidRDefault="0074150D">
    <w:pPr>
      <w:pStyle w:val="Header"/>
    </w:pPr>
    <w:r>
      <w:rPr>
        <w:noProof/>
      </w:rPr>
      <w:pict w14:anchorId="1DF0A8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56021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789"/>
    <w:multiLevelType w:val="hybridMultilevel"/>
    <w:tmpl w:val="1EFC0FA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5FA5C04"/>
    <w:multiLevelType w:val="multilevel"/>
    <w:tmpl w:val="7908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456425"/>
    <w:multiLevelType w:val="hybridMultilevel"/>
    <w:tmpl w:val="767CF02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5B4B0EE7"/>
    <w:multiLevelType w:val="hybridMultilevel"/>
    <w:tmpl w:val="CBC837C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797211300">
    <w:abstractNumId w:val="1"/>
  </w:num>
  <w:num w:numId="2" w16cid:durableId="171115906">
    <w:abstractNumId w:val="2"/>
  </w:num>
  <w:num w:numId="3" w16cid:durableId="1187215100">
    <w:abstractNumId w:val="3"/>
  </w:num>
  <w:num w:numId="4" w16cid:durableId="28862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EC"/>
    <w:rsid w:val="000025DF"/>
    <w:rsid w:val="00017DF9"/>
    <w:rsid w:val="0002779F"/>
    <w:rsid w:val="00031162"/>
    <w:rsid w:val="00044488"/>
    <w:rsid w:val="00063513"/>
    <w:rsid w:val="00070C03"/>
    <w:rsid w:val="000710F0"/>
    <w:rsid w:val="00073000"/>
    <w:rsid w:val="00081D0D"/>
    <w:rsid w:val="00090F6B"/>
    <w:rsid w:val="000B4EDC"/>
    <w:rsid w:val="000B6E43"/>
    <w:rsid w:val="000C7696"/>
    <w:rsid w:val="000D47E4"/>
    <w:rsid w:val="000F77EB"/>
    <w:rsid w:val="00126B18"/>
    <w:rsid w:val="001415E9"/>
    <w:rsid w:val="0015188E"/>
    <w:rsid w:val="00160931"/>
    <w:rsid w:val="00190E57"/>
    <w:rsid w:val="0019228C"/>
    <w:rsid w:val="00197A23"/>
    <w:rsid w:val="001C78EA"/>
    <w:rsid w:val="001E1BBD"/>
    <w:rsid w:val="001E266D"/>
    <w:rsid w:val="001E42EE"/>
    <w:rsid w:val="00213255"/>
    <w:rsid w:val="00214F9A"/>
    <w:rsid w:val="002236E8"/>
    <w:rsid w:val="002368B8"/>
    <w:rsid w:val="00250C65"/>
    <w:rsid w:val="00252078"/>
    <w:rsid w:val="0026055A"/>
    <w:rsid w:val="00263A05"/>
    <w:rsid w:val="00266342"/>
    <w:rsid w:val="0026773B"/>
    <w:rsid w:val="00271797"/>
    <w:rsid w:val="00284F9F"/>
    <w:rsid w:val="00285840"/>
    <w:rsid w:val="002868E9"/>
    <w:rsid w:val="00295A2D"/>
    <w:rsid w:val="002A2F6C"/>
    <w:rsid w:val="002B1FAD"/>
    <w:rsid w:val="002C1EAB"/>
    <w:rsid w:val="002C427F"/>
    <w:rsid w:val="002C66E5"/>
    <w:rsid w:val="002C7FD6"/>
    <w:rsid w:val="002D5FD8"/>
    <w:rsid w:val="002E54A9"/>
    <w:rsid w:val="002F16C0"/>
    <w:rsid w:val="00303AFD"/>
    <w:rsid w:val="003140B8"/>
    <w:rsid w:val="003306D8"/>
    <w:rsid w:val="003465A1"/>
    <w:rsid w:val="00365D68"/>
    <w:rsid w:val="00366549"/>
    <w:rsid w:val="003717CB"/>
    <w:rsid w:val="003A542B"/>
    <w:rsid w:val="003D20CF"/>
    <w:rsid w:val="003E3FBB"/>
    <w:rsid w:val="003F0439"/>
    <w:rsid w:val="003F24F5"/>
    <w:rsid w:val="003F74D5"/>
    <w:rsid w:val="00403298"/>
    <w:rsid w:val="00403FCB"/>
    <w:rsid w:val="004128DB"/>
    <w:rsid w:val="004146DA"/>
    <w:rsid w:val="00426839"/>
    <w:rsid w:val="00432DD4"/>
    <w:rsid w:val="0046360D"/>
    <w:rsid w:val="005412B4"/>
    <w:rsid w:val="0055080F"/>
    <w:rsid w:val="00553514"/>
    <w:rsid w:val="005579A9"/>
    <w:rsid w:val="00565326"/>
    <w:rsid w:val="00566A95"/>
    <w:rsid w:val="005A5FE3"/>
    <w:rsid w:val="005B323E"/>
    <w:rsid w:val="005B7EFC"/>
    <w:rsid w:val="005C7744"/>
    <w:rsid w:val="005C7D06"/>
    <w:rsid w:val="00602E70"/>
    <w:rsid w:val="0061262A"/>
    <w:rsid w:val="00651CBE"/>
    <w:rsid w:val="0065444F"/>
    <w:rsid w:val="00694715"/>
    <w:rsid w:val="00696E9D"/>
    <w:rsid w:val="006A183C"/>
    <w:rsid w:val="006B0365"/>
    <w:rsid w:val="006B76B5"/>
    <w:rsid w:val="006B79DF"/>
    <w:rsid w:val="006C02C3"/>
    <w:rsid w:val="006C1828"/>
    <w:rsid w:val="006D42AB"/>
    <w:rsid w:val="006D5642"/>
    <w:rsid w:val="006E7AB1"/>
    <w:rsid w:val="007129A0"/>
    <w:rsid w:val="0074150D"/>
    <w:rsid w:val="00761344"/>
    <w:rsid w:val="00762EB2"/>
    <w:rsid w:val="00762EE4"/>
    <w:rsid w:val="00764665"/>
    <w:rsid w:val="00765BAE"/>
    <w:rsid w:val="00773F7E"/>
    <w:rsid w:val="007D3FAC"/>
    <w:rsid w:val="007F3EAF"/>
    <w:rsid w:val="008029B8"/>
    <w:rsid w:val="008051BF"/>
    <w:rsid w:val="00820D17"/>
    <w:rsid w:val="00824EB2"/>
    <w:rsid w:val="0083266B"/>
    <w:rsid w:val="008331AB"/>
    <w:rsid w:val="00864D15"/>
    <w:rsid w:val="00866CA4"/>
    <w:rsid w:val="00894DBC"/>
    <w:rsid w:val="00897ADA"/>
    <w:rsid w:val="008A6955"/>
    <w:rsid w:val="008B140D"/>
    <w:rsid w:val="008E5836"/>
    <w:rsid w:val="008E7933"/>
    <w:rsid w:val="008F79F5"/>
    <w:rsid w:val="00916B4E"/>
    <w:rsid w:val="00927837"/>
    <w:rsid w:val="009302E1"/>
    <w:rsid w:val="0093544A"/>
    <w:rsid w:val="0095129F"/>
    <w:rsid w:val="00960FAE"/>
    <w:rsid w:val="0096630A"/>
    <w:rsid w:val="00984BE9"/>
    <w:rsid w:val="00993144"/>
    <w:rsid w:val="009935A6"/>
    <w:rsid w:val="009B09EA"/>
    <w:rsid w:val="009B21EA"/>
    <w:rsid w:val="009C2513"/>
    <w:rsid w:val="009C6CC0"/>
    <w:rsid w:val="00A02599"/>
    <w:rsid w:val="00A03BD6"/>
    <w:rsid w:val="00A2700D"/>
    <w:rsid w:val="00A40B50"/>
    <w:rsid w:val="00A41559"/>
    <w:rsid w:val="00A5390B"/>
    <w:rsid w:val="00A55BA9"/>
    <w:rsid w:val="00A76033"/>
    <w:rsid w:val="00A96FDE"/>
    <w:rsid w:val="00AA5AF8"/>
    <w:rsid w:val="00AA7E10"/>
    <w:rsid w:val="00AE2CDB"/>
    <w:rsid w:val="00AF29C0"/>
    <w:rsid w:val="00B0006D"/>
    <w:rsid w:val="00B108AA"/>
    <w:rsid w:val="00B54FBC"/>
    <w:rsid w:val="00B748AF"/>
    <w:rsid w:val="00B96980"/>
    <w:rsid w:val="00BA05A5"/>
    <w:rsid w:val="00BA7AAC"/>
    <w:rsid w:val="00BB4B3A"/>
    <w:rsid w:val="00BC3ED9"/>
    <w:rsid w:val="00BE3F3B"/>
    <w:rsid w:val="00C44992"/>
    <w:rsid w:val="00C605CB"/>
    <w:rsid w:val="00C61268"/>
    <w:rsid w:val="00C73AAB"/>
    <w:rsid w:val="00CA2F3E"/>
    <w:rsid w:val="00CB1EBB"/>
    <w:rsid w:val="00CB4483"/>
    <w:rsid w:val="00CD1DE3"/>
    <w:rsid w:val="00CE64D6"/>
    <w:rsid w:val="00CF5A62"/>
    <w:rsid w:val="00CF5F73"/>
    <w:rsid w:val="00D0169A"/>
    <w:rsid w:val="00D23B98"/>
    <w:rsid w:val="00D24215"/>
    <w:rsid w:val="00D30B2D"/>
    <w:rsid w:val="00D538EC"/>
    <w:rsid w:val="00D63721"/>
    <w:rsid w:val="00D73DEC"/>
    <w:rsid w:val="00D871C0"/>
    <w:rsid w:val="00D91EBA"/>
    <w:rsid w:val="00DA4008"/>
    <w:rsid w:val="00DC0409"/>
    <w:rsid w:val="00DF72F3"/>
    <w:rsid w:val="00E07A28"/>
    <w:rsid w:val="00E12B73"/>
    <w:rsid w:val="00E17F85"/>
    <w:rsid w:val="00E23583"/>
    <w:rsid w:val="00E312E3"/>
    <w:rsid w:val="00E420D7"/>
    <w:rsid w:val="00E55E71"/>
    <w:rsid w:val="00E73445"/>
    <w:rsid w:val="00E76F01"/>
    <w:rsid w:val="00E95E1A"/>
    <w:rsid w:val="00EA0CD4"/>
    <w:rsid w:val="00EB7615"/>
    <w:rsid w:val="00EC1D58"/>
    <w:rsid w:val="00ED56AA"/>
    <w:rsid w:val="00EE3AB9"/>
    <w:rsid w:val="00EF1BC5"/>
    <w:rsid w:val="00EF2630"/>
    <w:rsid w:val="00F23043"/>
    <w:rsid w:val="00F3455D"/>
    <w:rsid w:val="00F478C2"/>
    <w:rsid w:val="00F6606F"/>
    <w:rsid w:val="00FA7BEE"/>
    <w:rsid w:val="00FB75E0"/>
    <w:rsid w:val="00FC05EB"/>
    <w:rsid w:val="00FD40AE"/>
    <w:rsid w:val="00FE50C9"/>
    <w:rsid w:val="00FE687D"/>
    <w:rsid w:val="00FF0A5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824D3"/>
  <w15:chartTrackingRefBased/>
  <w15:docId w15:val="{2325C298-A19D-4DBE-A819-2CE00AE69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5E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55E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5E71"/>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iPriority w:val="9"/>
    <w:semiHidden/>
    <w:unhideWhenUsed/>
    <w:qFormat/>
    <w:rsid w:val="002C1EA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38EC"/>
    <w:rPr>
      <w:color w:val="808080"/>
    </w:rPr>
  </w:style>
  <w:style w:type="character" w:customStyle="1" w:styleId="Heading3Char">
    <w:name w:val="Heading 3 Char"/>
    <w:basedOn w:val="DefaultParagraphFont"/>
    <w:link w:val="Heading3"/>
    <w:uiPriority w:val="9"/>
    <w:rsid w:val="00E55E71"/>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E55E7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E55E71"/>
    <w:rPr>
      <w:b/>
      <w:bCs/>
    </w:rPr>
  </w:style>
  <w:style w:type="character" w:customStyle="1" w:styleId="Heading1Char">
    <w:name w:val="Heading 1 Char"/>
    <w:basedOn w:val="DefaultParagraphFont"/>
    <w:link w:val="Heading1"/>
    <w:uiPriority w:val="9"/>
    <w:rsid w:val="00E55E7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55E71"/>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2C1EAB"/>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764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080F"/>
    <w:rPr>
      <w:color w:val="0563C1" w:themeColor="hyperlink"/>
      <w:u w:val="single"/>
    </w:rPr>
  </w:style>
  <w:style w:type="character" w:styleId="UnresolvedMention">
    <w:name w:val="Unresolved Mention"/>
    <w:basedOn w:val="DefaultParagraphFont"/>
    <w:uiPriority w:val="99"/>
    <w:semiHidden/>
    <w:unhideWhenUsed/>
    <w:rsid w:val="0055080F"/>
    <w:rPr>
      <w:color w:val="605E5C"/>
      <w:shd w:val="clear" w:color="auto" w:fill="E1DFDD"/>
    </w:rPr>
  </w:style>
  <w:style w:type="paragraph" w:styleId="ListParagraph">
    <w:name w:val="List Paragraph"/>
    <w:basedOn w:val="Normal"/>
    <w:uiPriority w:val="34"/>
    <w:qFormat/>
    <w:rsid w:val="008029B8"/>
    <w:pPr>
      <w:ind w:left="720"/>
      <w:contextualSpacing/>
    </w:pPr>
  </w:style>
  <w:style w:type="table" w:styleId="PlainTable2">
    <w:name w:val="Plain Table 2"/>
    <w:basedOn w:val="TableNormal"/>
    <w:uiPriority w:val="42"/>
    <w:rsid w:val="00A41559"/>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DF72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2F3"/>
  </w:style>
  <w:style w:type="paragraph" w:styleId="Footer">
    <w:name w:val="footer"/>
    <w:basedOn w:val="Normal"/>
    <w:link w:val="FooterChar"/>
    <w:uiPriority w:val="99"/>
    <w:unhideWhenUsed/>
    <w:rsid w:val="00DF72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4371">
      <w:bodyDiv w:val="1"/>
      <w:marLeft w:val="0"/>
      <w:marRight w:val="0"/>
      <w:marTop w:val="0"/>
      <w:marBottom w:val="0"/>
      <w:divBdr>
        <w:top w:val="none" w:sz="0" w:space="0" w:color="auto"/>
        <w:left w:val="none" w:sz="0" w:space="0" w:color="auto"/>
        <w:bottom w:val="none" w:sz="0" w:space="0" w:color="auto"/>
        <w:right w:val="none" w:sz="0" w:space="0" w:color="auto"/>
      </w:divBdr>
    </w:div>
    <w:div w:id="47533283">
      <w:bodyDiv w:val="1"/>
      <w:marLeft w:val="0"/>
      <w:marRight w:val="0"/>
      <w:marTop w:val="0"/>
      <w:marBottom w:val="0"/>
      <w:divBdr>
        <w:top w:val="none" w:sz="0" w:space="0" w:color="auto"/>
        <w:left w:val="none" w:sz="0" w:space="0" w:color="auto"/>
        <w:bottom w:val="none" w:sz="0" w:space="0" w:color="auto"/>
        <w:right w:val="none" w:sz="0" w:space="0" w:color="auto"/>
      </w:divBdr>
    </w:div>
    <w:div w:id="63068888">
      <w:bodyDiv w:val="1"/>
      <w:marLeft w:val="0"/>
      <w:marRight w:val="0"/>
      <w:marTop w:val="0"/>
      <w:marBottom w:val="0"/>
      <w:divBdr>
        <w:top w:val="none" w:sz="0" w:space="0" w:color="auto"/>
        <w:left w:val="none" w:sz="0" w:space="0" w:color="auto"/>
        <w:bottom w:val="none" w:sz="0" w:space="0" w:color="auto"/>
        <w:right w:val="none" w:sz="0" w:space="0" w:color="auto"/>
      </w:divBdr>
    </w:div>
    <w:div w:id="96147119">
      <w:bodyDiv w:val="1"/>
      <w:marLeft w:val="0"/>
      <w:marRight w:val="0"/>
      <w:marTop w:val="0"/>
      <w:marBottom w:val="0"/>
      <w:divBdr>
        <w:top w:val="none" w:sz="0" w:space="0" w:color="auto"/>
        <w:left w:val="none" w:sz="0" w:space="0" w:color="auto"/>
        <w:bottom w:val="none" w:sz="0" w:space="0" w:color="auto"/>
        <w:right w:val="none" w:sz="0" w:space="0" w:color="auto"/>
      </w:divBdr>
    </w:div>
    <w:div w:id="109321708">
      <w:bodyDiv w:val="1"/>
      <w:marLeft w:val="0"/>
      <w:marRight w:val="0"/>
      <w:marTop w:val="0"/>
      <w:marBottom w:val="0"/>
      <w:divBdr>
        <w:top w:val="none" w:sz="0" w:space="0" w:color="auto"/>
        <w:left w:val="none" w:sz="0" w:space="0" w:color="auto"/>
        <w:bottom w:val="none" w:sz="0" w:space="0" w:color="auto"/>
        <w:right w:val="none" w:sz="0" w:space="0" w:color="auto"/>
      </w:divBdr>
    </w:div>
    <w:div w:id="220823515">
      <w:bodyDiv w:val="1"/>
      <w:marLeft w:val="0"/>
      <w:marRight w:val="0"/>
      <w:marTop w:val="0"/>
      <w:marBottom w:val="0"/>
      <w:divBdr>
        <w:top w:val="none" w:sz="0" w:space="0" w:color="auto"/>
        <w:left w:val="none" w:sz="0" w:space="0" w:color="auto"/>
        <w:bottom w:val="none" w:sz="0" w:space="0" w:color="auto"/>
        <w:right w:val="none" w:sz="0" w:space="0" w:color="auto"/>
      </w:divBdr>
      <w:divsChild>
        <w:div w:id="1148088041">
          <w:marLeft w:val="0"/>
          <w:marRight w:val="0"/>
          <w:marTop w:val="0"/>
          <w:marBottom w:val="0"/>
          <w:divBdr>
            <w:top w:val="none" w:sz="0" w:space="0" w:color="auto"/>
            <w:left w:val="none" w:sz="0" w:space="0" w:color="auto"/>
            <w:bottom w:val="none" w:sz="0" w:space="0" w:color="auto"/>
            <w:right w:val="none" w:sz="0" w:space="0" w:color="auto"/>
          </w:divBdr>
          <w:divsChild>
            <w:div w:id="24943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936684">
      <w:bodyDiv w:val="1"/>
      <w:marLeft w:val="0"/>
      <w:marRight w:val="0"/>
      <w:marTop w:val="0"/>
      <w:marBottom w:val="0"/>
      <w:divBdr>
        <w:top w:val="none" w:sz="0" w:space="0" w:color="auto"/>
        <w:left w:val="none" w:sz="0" w:space="0" w:color="auto"/>
        <w:bottom w:val="none" w:sz="0" w:space="0" w:color="auto"/>
        <w:right w:val="none" w:sz="0" w:space="0" w:color="auto"/>
      </w:divBdr>
    </w:div>
    <w:div w:id="304355035">
      <w:bodyDiv w:val="1"/>
      <w:marLeft w:val="0"/>
      <w:marRight w:val="0"/>
      <w:marTop w:val="0"/>
      <w:marBottom w:val="0"/>
      <w:divBdr>
        <w:top w:val="none" w:sz="0" w:space="0" w:color="auto"/>
        <w:left w:val="none" w:sz="0" w:space="0" w:color="auto"/>
        <w:bottom w:val="none" w:sz="0" w:space="0" w:color="auto"/>
        <w:right w:val="none" w:sz="0" w:space="0" w:color="auto"/>
      </w:divBdr>
    </w:div>
    <w:div w:id="391277141">
      <w:bodyDiv w:val="1"/>
      <w:marLeft w:val="0"/>
      <w:marRight w:val="0"/>
      <w:marTop w:val="0"/>
      <w:marBottom w:val="0"/>
      <w:divBdr>
        <w:top w:val="none" w:sz="0" w:space="0" w:color="auto"/>
        <w:left w:val="none" w:sz="0" w:space="0" w:color="auto"/>
        <w:bottom w:val="none" w:sz="0" w:space="0" w:color="auto"/>
        <w:right w:val="none" w:sz="0" w:space="0" w:color="auto"/>
      </w:divBdr>
    </w:div>
    <w:div w:id="402292552">
      <w:bodyDiv w:val="1"/>
      <w:marLeft w:val="0"/>
      <w:marRight w:val="0"/>
      <w:marTop w:val="0"/>
      <w:marBottom w:val="0"/>
      <w:divBdr>
        <w:top w:val="none" w:sz="0" w:space="0" w:color="auto"/>
        <w:left w:val="none" w:sz="0" w:space="0" w:color="auto"/>
        <w:bottom w:val="none" w:sz="0" w:space="0" w:color="auto"/>
        <w:right w:val="none" w:sz="0" w:space="0" w:color="auto"/>
      </w:divBdr>
    </w:div>
    <w:div w:id="416099519">
      <w:bodyDiv w:val="1"/>
      <w:marLeft w:val="0"/>
      <w:marRight w:val="0"/>
      <w:marTop w:val="0"/>
      <w:marBottom w:val="0"/>
      <w:divBdr>
        <w:top w:val="none" w:sz="0" w:space="0" w:color="auto"/>
        <w:left w:val="none" w:sz="0" w:space="0" w:color="auto"/>
        <w:bottom w:val="none" w:sz="0" w:space="0" w:color="auto"/>
        <w:right w:val="none" w:sz="0" w:space="0" w:color="auto"/>
      </w:divBdr>
    </w:div>
    <w:div w:id="432240349">
      <w:bodyDiv w:val="1"/>
      <w:marLeft w:val="0"/>
      <w:marRight w:val="0"/>
      <w:marTop w:val="0"/>
      <w:marBottom w:val="0"/>
      <w:divBdr>
        <w:top w:val="none" w:sz="0" w:space="0" w:color="auto"/>
        <w:left w:val="none" w:sz="0" w:space="0" w:color="auto"/>
        <w:bottom w:val="none" w:sz="0" w:space="0" w:color="auto"/>
        <w:right w:val="none" w:sz="0" w:space="0" w:color="auto"/>
      </w:divBdr>
    </w:div>
    <w:div w:id="448356989">
      <w:bodyDiv w:val="1"/>
      <w:marLeft w:val="0"/>
      <w:marRight w:val="0"/>
      <w:marTop w:val="0"/>
      <w:marBottom w:val="0"/>
      <w:divBdr>
        <w:top w:val="none" w:sz="0" w:space="0" w:color="auto"/>
        <w:left w:val="none" w:sz="0" w:space="0" w:color="auto"/>
        <w:bottom w:val="none" w:sz="0" w:space="0" w:color="auto"/>
        <w:right w:val="none" w:sz="0" w:space="0" w:color="auto"/>
      </w:divBdr>
    </w:div>
    <w:div w:id="462037196">
      <w:bodyDiv w:val="1"/>
      <w:marLeft w:val="0"/>
      <w:marRight w:val="0"/>
      <w:marTop w:val="0"/>
      <w:marBottom w:val="0"/>
      <w:divBdr>
        <w:top w:val="none" w:sz="0" w:space="0" w:color="auto"/>
        <w:left w:val="none" w:sz="0" w:space="0" w:color="auto"/>
        <w:bottom w:val="none" w:sz="0" w:space="0" w:color="auto"/>
        <w:right w:val="none" w:sz="0" w:space="0" w:color="auto"/>
      </w:divBdr>
    </w:div>
    <w:div w:id="641040255">
      <w:bodyDiv w:val="1"/>
      <w:marLeft w:val="0"/>
      <w:marRight w:val="0"/>
      <w:marTop w:val="0"/>
      <w:marBottom w:val="0"/>
      <w:divBdr>
        <w:top w:val="none" w:sz="0" w:space="0" w:color="auto"/>
        <w:left w:val="none" w:sz="0" w:space="0" w:color="auto"/>
        <w:bottom w:val="none" w:sz="0" w:space="0" w:color="auto"/>
        <w:right w:val="none" w:sz="0" w:space="0" w:color="auto"/>
      </w:divBdr>
    </w:div>
    <w:div w:id="714699243">
      <w:bodyDiv w:val="1"/>
      <w:marLeft w:val="0"/>
      <w:marRight w:val="0"/>
      <w:marTop w:val="0"/>
      <w:marBottom w:val="0"/>
      <w:divBdr>
        <w:top w:val="none" w:sz="0" w:space="0" w:color="auto"/>
        <w:left w:val="none" w:sz="0" w:space="0" w:color="auto"/>
        <w:bottom w:val="none" w:sz="0" w:space="0" w:color="auto"/>
        <w:right w:val="none" w:sz="0" w:space="0" w:color="auto"/>
      </w:divBdr>
    </w:div>
    <w:div w:id="745761323">
      <w:bodyDiv w:val="1"/>
      <w:marLeft w:val="0"/>
      <w:marRight w:val="0"/>
      <w:marTop w:val="0"/>
      <w:marBottom w:val="0"/>
      <w:divBdr>
        <w:top w:val="none" w:sz="0" w:space="0" w:color="auto"/>
        <w:left w:val="none" w:sz="0" w:space="0" w:color="auto"/>
        <w:bottom w:val="none" w:sz="0" w:space="0" w:color="auto"/>
        <w:right w:val="none" w:sz="0" w:space="0" w:color="auto"/>
      </w:divBdr>
    </w:div>
    <w:div w:id="746732100">
      <w:bodyDiv w:val="1"/>
      <w:marLeft w:val="0"/>
      <w:marRight w:val="0"/>
      <w:marTop w:val="0"/>
      <w:marBottom w:val="0"/>
      <w:divBdr>
        <w:top w:val="none" w:sz="0" w:space="0" w:color="auto"/>
        <w:left w:val="none" w:sz="0" w:space="0" w:color="auto"/>
        <w:bottom w:val="none" w:sz="0" w:space="0" w:color="auto"/>
        <w:right w:val="none" w:sz="0" w:space="0" w:color="auto"/>
      </w:divBdr>
    </w:div>
    <w:div w:id="783229124">
      <w:bodyDiv w:val="1"/>
      <w:marLeft w:val="0"/>
      <w:marRight w:val="0"/>
      <w:marTop w:val="0"/>
      <w:marBottom w:val="0"/>
      <w:divBdr>
        <w:top w:val="none" w:sz="0" w:space="0" w:color="auto"/>
        <w:left w:val="none" w:sz="0" w:space="0" w:color="auto"/>
        <w:bottom w:val="none" w:sz="0" w:space="0" w:color="auto"/>
        <w:right w:val="none" w:sz="0" w:space="0" w:color="auto"/>
      </w:divBdr>
    </w:div>
    <w:div w:id="860628562">
      <w:bodyDiv w:val="1"/>
      <w:marLeft w:val="0"/>
      <w:marRight w:val="0"/>
      <w:marTop w:val="0"/>
      <w:marBottom w:val="0"/>
      <w:divBdr>
        <w:top w:val="none" w:sz="0" w:space="0" w:color="auto"/>
        <w:left w:val="none" w:sz="0" w:space="0" w:color="auto"/>
        <w:bottom w:val="none" w:sz="0" w:space="0" w:color="auto"/>
        <w:right w:val="none" w:sz="0" w:space="0" w:color="auto"/>
      </w:divBdr>
    </w:div>
    <w:div w:id="1015113154">
      <w:bodyDiv w:val="1"/>
      <w:marLeft w:val="0"/>
      <w:marRight w:val="0"/>
      <w:marTop w:val="0"/>
      <w:marBottom w:val="0"/>
      <w:divBdr>
        <w:top w:val="none" w:sz="0" w:space="0" w:color="auto"/>
        <w:left w:val="none" w:sz="0" w:space="0" w:color="auto"/>
        <w:bottom w:val="none" w:sz="0" w:space="0" w:color="auto"/>
        <w:right w:val="none" w:sz="0" w:space="0" w:color="auto"/>
      </w:divBdr>
    </w:div>
    <w:div w:id="1100686481">
      <w:bodyDiv w:val="1"/>
      <w:marLeft w:val="0"/>
      <w:marRight w:val="0"/>
      <w:marTop w:val="0"/>
      <w:marBottom w:val="0"/>
      <w:divBdr>
        <w:top w:val="none" w:sz="0" w:space="0" w:color="auto"/>
        <w:left w:val="none" w:sz="0" w:space="0" w:color="auto"/>
        <w:bottom w:val="none" w:sz="0" w:space="0" w:color="auto"/>
        <w:right w:val="none" w:sz="0" w:space="0" w:color="auto"/>
      </w:divBdr>
    </w:div>
    <w:div w:id="1317415989">
      <w:bodyDiv w:val="1"/>
      <w:marLeft w:val="0"/>
      <w:marRight w:val="0"/>
      <w:marTop w:val="0"/>
      <w:marBottom w:val="0"/>
      <w:divBdr>
        <w:top w:val="none" w:sz="0" w:space="0" w:color="auto"/>
        <w:left w:val="none" w:sz="0" w:space="0" w:color="auto"/>
        <w:bottom w:val="none" w:sz="0" w:space="0" w:color="auto"/>
        <w:right w:val="none" w:sz="0" w:space="0" w:color="auto"/>
      </w:divBdr>
    </w:div>
    <w:div w:id="1431048345">
      <w:bodyDiv w:val="1"/>
      <w:marLeft w:val="0"/>
      <w:marRight w:val="0"/>
      <w:marTop w:val="0"/>
      <w:marBottom w:val="0"/>
      <w:divBdr>
        <w:top w:val="none" w:sz="0" w:space="0" w:color="auto"/>
        <w:left w:val="none" w:sz="0" w:space="0" w:color="auto"/>
        <w:bottom w:val="none" w:sz="0" w:space="0" w:color="auto"/>
        <w:right w:val="none" w:sz="0" w:space="0" w:color="auto"/>
      </w:divBdr>
    </w:div>
    <w:div w:id="1443842446">
      <w:bodyDiv w:val="1"/>
      <w:marLeft w:val="0"/>
      <w:marRight w:val="0"/>
      <w:marTop w:val="0"/>
      <w:marBottom w:val="0"/>
      <w:divBdr>
        <w:top w:val="none" w:sz="0" w:space="0" w:color="auto"/>
        <w:left w:val="none" w:sz="0" w:space="0" w:color="auto"/>
        <w:bottom w:val="none" w:sz="0" w:space="0" w:color="auto"/>
        <w:right w:val="none" w:sz="0" w:space="0" w:color="auto"/>
      </w:divBdr>
    </w:div>
    <w:div w:id="1784299817">
      <w:bodyDiv w:val="1"/>
      <w:marLeft w:val="0"/>
      <w:marRight w:val="0"/>
      <w:marTop w:val="0"/>
      <w:marBottom w:val="0"/>
      <w:divBdr>
        <w:top w:val="none" w:sz="0" w:space="0" w:color="auto"/>
        <w:left w:val="none" w:sz="0" w:space="0" w:color="auto"/>
        <w:bottom w:val="none" w:sz="0" w:space="0" w:color="auto"/>
        <w:right w:val="none" w:sz="0" w:space="0" w:color="auto"/>
      </w:divBdr>
    </w:div>
    <w:div w:id="1826236089">
      <w:bodyDiv w:val="1"/>
      <w:marLeft w:val="0"/>
      <w:marRight w:val="0"/>
      <w:marTop w:val="0"/>
      <w:marBottom w:val="0"/>
      <w:divBdr>
        <w:top w:val="none" w:sz="0" w:space="0" w:color="auto"/>
        <w:left w:val="none" w:sz="0" w:space="0" w:color="auto"/>
        <w:bottom w:val="none" w:sz="0" w:space="0" w:color="auto"/>
        <w:right w:val="none" w:sz="0" w:space="0" w:color="auto"/>
      </w:divBdr>
    </w:div>
    <w:div w:id="1874880162">
      <w:bodyDiv w:val="1"/>
      <w:marLeft w:val="0"/>
      <w:marRight w:val="0"/>
      <w:marTop w:val="0"/>
      <w:marBottom w:val="0"/>
      <w:divBdr>
        <w:top w:val="none" w:sz="0" w:space="0" w:color="auto"/>
        <w:left w:val="none" w:sz="0" w:space="0" w:color="auto"/>
        <w:bottom w:val="none" w:sz="0" w:space="0" w:color="auto"/>
        <w:right w:val="none" w:sz="0" w:space="0" w:color="auto"/>
      </w:divBdr>
    </w:div>
    <w:div w:id="206255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38/s41467-023-40774-0" TargetMode="External"/><Relationship Id="rId18" Type="http://schemas.openxmlformats.org/officeDocument/2006/relationships/hyperlink" Target="https://doi.org/10.3390/rs13020231"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fisheries.noaa.gov/aquaculture/nutrient-impacts-finfish-aquaculture" TargetMode="External"/><Relationship Id="rId7" Type="http://schemas.openxmlformats.org/officeDocument/2006/relationships/endnotes" Target="endnotes.xml"/><Relationship Id="rId12" Type="http://schemas.openxmlformats.org/officeDocument/2006/relationships/hyperlink" Target="https://doi.org/10.3390/phycology4010010" TargetMode="External"/><Relationship Id="rId17" Type="http://schemas.openxmlformats.org/officeDocument/2006/relationships/hyperlink" Target="https://doi.org/10.1016/j.jclepro.2020.12476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16/j.jclepro.2023.136759" TargetMode="External"/><Relationship Id="rId20" Type="http://schemas.openxmlformats.org/officeDocument/2006/relationships/hyperlink" Target="https://doi.org/10.1111/raq.12625"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hyperlink" Target="https://doi.org/10.1016/0025-326X(95)00100-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07/s10499-017-0187-1" TargetMode="External"/><Relationship Id="rId23" Type="http://schemas.openxmlformats.org/officeDocument/2006/relationships/hyperlink" Target="https://doi.org/10.1007/s11769-007-0370-9" TargetMode="External"/><Relationship Id="rId28" Type="http://schemas.openxmlformats.org/officeDocument/2006/relationships/footer" Target="footer2.xml"/><Relationship Id="rId10" Type="http://schemas.openxmlformats.org/officeDocument/2006/relationships/image" Target="media/image3.tiff"/><Relationship Id="rId19" Type="http://schemas.openxmlformats.org/officeDocument/2006/relationships/hyperlink" Target="https://doi.org/10.4319/lo.2006.51.1_part_2.036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s://doi.org/10.1016/S0044-8486(03)00475-7" TargetMode="External"/><Relationship Id="rId22" Type="http://schemas.openxmlformats.org/officeDocument/2006/relationships/hyperlink" Target="https://doi.org/10.3354/aei00122"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85794-C986-4132-BADD-D9111A1D5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16</Pages>
  <Words>6265</Words>
  <Characters>35717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SDI 1084</cp:lastModifiedBy>
  <cp:revision>196</cp:revision>
  <dcterms:created xsi:type="dcterms:W3CDTF">2026-06-15T09:07:00Z</dcterms:created>
  <dcterms:modified xsi:type="dcterms:W3CDTF">2026-06-20T10:35:00Z</dcterms:modified>
</cp:coreProperties>
</file>