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1CFF" w14:textId="77777777" w:rsidR="00BB1673" w:rsidRPr="00BB1673" w:rsidRDefault="00BB1673" w:rsidP="00BB167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B1673">
        <w:rPr>
          <w:rFonts w:ascii="Times New Roman" w:eastAsia="Times New Roman" w:hAnsi="Times New Roman" w:cs="Times New Roman"/>
          <w:b/>
          <w:bCs/>
          <w:sz w:val="36"/>
          <w:szCs w:val="36"/>
          <w:lang w:eastAsia="en-GB"/>
        </w:rPr>
        <w:t xml:space="preserve">Exploring the Role of Probiotics Inhabiting the </w:t>
      </w:r>
      <w:r w:rsidRPr="00BB1673">
        <w:rPr>
          <w:rFonts w:ascii="Times New Roman" w:eastAsia="Times New Roman" w:hAnsi="Times New Roman" w:cs="Times New Roman"/>
          <w:b/>
          <w:bCs/>
          <w:i/>
          <w:iCs/>
          <w:sz w:val="36"/>
          <w:szCs w:val="36"/>
          <w:lang w:eastAsia="en-GB"/>
        </w:rPr>
        <w:t>Apis mellifera</w:t>
      </w:r>
      <w:r w:rsidRPr="00BB1673">
        <w:rPr>
          <w:rFonts w:ascii="Times New Roman" w:eastAsia="Times New Roman" w:hAnsi="Times New Roman" w:cs="Times New Roman"/>
          <w:b/>
          <w:bCs/>
          <w:sz w:val="36"/>
          <w:szCs w:val="36"/>
          <w:lang w:eastAsia="en-GB"/>
        </w:rPr>
        <w:t xml:space="preserve"> Gut as Inherent Antibiotics and a Boon for Human Welfare</w:t>
      </w:r>
    </w:p>
    <w:p w14:paraId="6EA12253"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Abstract</w:t>
      </w:r>
    </w:p>
    <w:p w14:paraId="36AEB321"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gut of the Western honeybee,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harbours a compact and highly conserved bacterial community that performs functions extending well beyond digestion. Core symbionts such as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clusters, and </w:t>
      </w:r>
      <w:r w:rsidRPr="00BB1673">
        <w:rPr>
          <w:rFonts w:ascii="Times New Roman" w:eastAsia="Times New Roman" w:hAnsi="Times New Roman" w:cs="Times New Roman"/>
          <w:i/>
          <w:iCs/>
          <w:sz w:val="24"/>
          <w:szCs w:val="24"/>
          <w:lang w:eastAsia="en-GB"/>
        </w:rPr>
        <w:t xml:space="preserve">Bifidobacterium </w:t>
      </w:r>
      <w:proofErr w:type="spellStart"/>
      <w:r w:rsidRPr="00BB1673">
        <w:rPr>
          <w:rFonts w:ascii="Times New Roman" w:eastAsia="Times New Roman" w:hAnsi="Times New Roman" w:cs="Times New Roman"/>
          <w:i/>
          <w:iCs/>
          <w:sz w:val="24"/>
          <w:szCs w:val="24"/>
          <w:lang w:eastAsia="en-GB"/>
        </w:rPr>
        <w:t>asteroides</w:t>
      </w:r>
      <w:proofErr w:type="spellEnd"/>
      <w:r w:rsidRPr="00BB1673">
        <w:rPr>
          <w:rFonts w:ascii="Times New Roman" w:eastAsia="Times New Roman" w:hAnsi="Times New Roman" w:cs="Times New Roman"/>
          <w:sz w:val="24"/>
          <w:szCs w:val="24"/>
          <w:lang w:eastAsia="en-GB"/>
        </w:rPr>
        <w:t xml:space="preserve"> produce organic acids, bacteriocins, exopolysaccharides and other metabolites that suppress bee pathogens and stimulate host antimicrobial peptide expression. These properties place the bee gut microbiota within a broader category of naturally occurring antimicrobial systems, and they have prompted growing interest in whether such organisms, or the hive products they help create, might offer practical value for human health in an era of accelerating antimicrobial resistance. This review draws together evidence on the composition and antimicrobial functioning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the mechanisms by which resident lactic acid bacteria and associated taxa restrict honeybee pathogens, and the translational evidence linking honeybee-derived bacteria, honey, propolis and bee bread to inhibition of clinically relevant human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and multidrug-resistant Gram-negative organisms. Particular attention is given to candidate probiotic strains such as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honey-associated lactic acid bacteria that have shown gastrointestinal stress tolerance and antagonism toward wound pathogens in preliminary human-relevant assays. Environmental stressors, notably agrochemical exposure and veterinary antibiotic use in apiculture, are examined as drivers of gut dysbiosis that compromise these protective functions and that may themselves contribute to the spread of resistance determinants. The review closes by outlining research priorities, including standardised strain characterisation, controlled human and preclinical trials, and regulatory pathways, that would be required before honeybee gut-derived probiotics could be considered a genuine adjunct or alternative to conventional antimicrobials.</w:t>
      </w:r>
    </w:p>
    <w:p w14:paraId="671ABEE5"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Keywords: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gut microbiota; probiotics; lactic acid bacteria; antimicrobial resistance; apitherapy</w:t>
      </w:r>
    </w:p>
    <w:p w14:paraId="081A4318"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 Introduction</w:t>
      </w:r>
    </w:p>
    <w:p w14:paraId="728C9268"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1.1 The Honeybee as an Ecological and Economic Keystone</w:t>
      </w:r>
    </w:p>
    <w:p w14:paraId="15D9A3C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Western honeybee,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occupies a position in global agriculture and natural ecosystems that is disproportionate to its individual size. As a generalist pollinator, it supports the reproduction of a substantial share of flowering plant species and contributes materially to the yield of numerous food crops (Nowak et al., 2021). Beyond pollination, honeybee colonies generate a suite of hive products, including honey, propolis, bee bread and royal jelly, that have been used across cultures for centuries in both nutrition and traditional medicine. The sustained health of managed and wild colonies is therefore a matter of agricultural, economic and public-health relevance, and this has directed sustained scientific attention toward the biological systems that keep individual bees and their colonies functioning, chief among them the gut microbiota.</w:t>
      </w:r>
    </w:p>
    <w:p w14:paraId="596DF1C6"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lastRenderedPageBreak/>
        <w:t>1.2 A Simple but Functionally Rich Gut Microbiota</w:t>
      </w:r>
    </w:p>
    <w:p w14:paraId="69E10DE5"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Unlike the compositionally complex gut communities of mammals, the adult worker honeybee gut is colonised by a comparatively small and highly conserved set of bacterial lineages, generally described as nine core phylotypes that together occupy more than ninety per cent of the bacterial biomass in a healthy gut (Kwong &amp; Moran, 2016). This simplicity, combined with the </w:t>
      </w:r>
      <w:proofErr w:type="spellStart"/>
      <w:r w:rsidRPr="00BB1673">
        <w:rPr>
          <w:rFonts w:ascii="Times New Roman" w:eastAsia="Times New Roman" w:hAnsi="Times New Roman" w:cs="Times New Roman"/>
          <w:sz w:val="24"/>
          <w:szCs w:val="24"/>
          <w:lang w:eastAsia="en-GB"/>
        </w:rPr>
        <w:t>culturability</w:t>
      </w:r>
      <w:proofErr w:type="spellEnd"/>
      <w:r w:rsidRPr="00BB1673">
        <w:rPr>
          <w:rFonts w:ascii="Times New Roman" w:eastAsia="Times New Roman" w:hAnsi="Times New Roman" w:cs="Times New Roman"/>
          <w:sz w:val="24"/>
          <w:szCs w:val="24"/>
          <w:lang w:eastAsia="en-GB"/>
        </w:rPr>
        <w:t xml:space="preserve"> of nearly all core members and the availability of gnotobiotic bee models, has made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an increasingly used comparative system for studying host–microbiota interactions more generally (Motta &amp; Moran, 2024). Despite their taxonomic austerity, these bacteria perform an outsized functional role: they assist in carbohydrate and pollen-wall digestion, contribute to detoxification of dietary xenobiotics, and, most relevant to the present review, produce a range of antimicrobial metabolites and stimulate the bee's own innate immune defences (Engel et al., 2012; Kwong et al., 2017).</w:t>
      </w:r>
    </w:p>
    <w:p w14:paraId="79DF09A4"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1.3 Antimicrobial Potential and the Wider Public-Health Context</w:t>
      </w:r>
    </w:p>
    <w:p w14:paraId="7C81D7A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recognition that lactic acid bacteria (LAB) and associated symbionts within the bee gut can inhibit economically damaging bee pathogens such as </w:t>
      </w: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xml:space="preserve"> has, over roughly the past decade, been extended by a smaller but growing body of work testing whether the same organisms, or the fermented hive products they help generate, retain antagonistic activity against pathogens of direct concern to human medicine (Olofsson et al., 2016; Butler et al., 2016). This question arrives at a moment of considerable urgency. Bacterial antimicrobial resistance was associated with close to five million deaths globally in 2019, and current forecasts place it among the leading contributors to global mortality through the middle of the century (Antimicrobial Resistance Collaborators, 2022; GBD 2021 Antimicrobial Resistance Collaborators, 2024). Against this backdrop, naturally derived antimicrobial systems, including those associated with social insects, have attracted renewed scientific interest as potential sources of novel bioactive compounds or as candidate probiotic organisms in their own right.</w:t>
      </w:r>
    </w:p>
    <w:p w14:paraId="1C3B244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1.4 Scope, Research Gap and Objectives</w:t>
      </w:r>
    </w:p>
    <w:p w14:paraId="23EB359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review addresses the honeybee gut microbiota specifically as a source of inherent antimicrobial activity, and it evaluates the evidence connecting that activity to potential human welfare applications. Several existing reviews have described the taxonomic composition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in detail, and others have separately reviewed the apitherapeutic properties of honey and propolis; comparatively few have brought these two literatures together to ask, in a single synthesis, how the mechanistic antimicrobial biology of bee gut symbionts relates to the translational evidence for human-relevant probiotic or antimicrobial use. This represents a discernible gap, particularly because the strongest mechanistic data on antimicrobial peptide induction and pathogen exclusion come from the bee-health literature, whereas the strongest translational signals for human application come from a comparatively small and geographically concentrated set of wound-pathogen and food-science studies. The objectives of this review are threefold: first, to characterise the composition and antimicrobial mechanisms of the core and accessory members of the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gut microbiota; second, to evaluate the evidence linking honeybee-derived bacteria and hive products to inhibition of pathogens relevant to human health, including the specific strains and products for which translational data exist; and third, to identify the environmental stressors and methodological gaps that currently limit confident </w:t>
      </w:r>
      <w:r w:rsidRPr="00BB1673">
        <w:rPr>
          <w:rFonts w:ascii="Times New Roman" w:eastAsia="Times New Roman" w:hAnsi="Times New Roman" w:cs="Times New Roman"/>
          <w:sz w:val="24"/>
          <w:szCs w:val="24"/>
          <w:lang w:eastAsia="en-GB"/>
        </w:rPr>
        <w:lastRenderedPageBreak/>
        <w:t>extrapolation from bee-health findings to human applications, thereby framing priorities for future research.</w:t>
      </w:r>
    </w:p>
    <w:p w14:paraId="1174E457"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2. Methods for Literature Selection</w:t>
      </w:r>
    </w:p>
    <w:p w14:paraId="4C688D56"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2.1 Databases and Search Strategy</w:t>
      </w:r>
    </w:p>
    <w:p w14:paraId="6202EAC4"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Literature was identified through structured searches of four general bibliographic databases, Web of Science, Scopus, Google Scholar and PubMed, supplemented by six field-specific indexing databases selected for their coverage of apicultural science, microbiology and agricultural literature: CAB Abstracts, BIOSIS Previews, Apicultural Abstracts (International Bee Research Association), AGRICOLA (United States National Agricultural Library), AGRIS (Food and Agriculture Organization of the United Nations International System for Agricultural Science and Technology), and Entomology Abstracts. These databases were selected jointly to capture both the microbiological and the entomological dimensions of the topic, since neither general biomedical databases nor general life-science databases alone provide adequate coverage of the apicultural literature.</w:t>
      </w:r>
    </w:p>
    <w:p w14:paraId="24F548D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2.2 Search Strings and Date Range</w:t>
      </w:r>
    </w:p>
    <w:p w14:paraId="70F7CED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Search strings combined controlled vocabulary and free-text terms across three conceptual blocks connected with the Boolean operator AND, with terms within each block connected by OR: (</w:t>
      </w:r>
      <w:proofErr w:type="spellStart"/>
      <w:r w:rsidRPr="00BB1673">
        <w:rPr>
          <w:rFonts w:ascii="Times New Roman" w:eastAsia="Times New Roman" w:hAnsi="Times New Roman" w:cs="Times New Roman"/>
          <w:sz w:val="24"/>
          <w:szCs w:val="24"/>
          <w:lang w:eastAsia="en-GB"/>
        </w:rPr>
        <w:t>i</w:t>
      </w:r>
      <w:proofErr w:type="spellEnd"/>
      <w:r w:rsidRPr="00BB1673">
        <w:rPr>
          <w:rFonts w:ascii="Times New Roman" w:eastAsia="Times New Roman" w:hAnsi="Times New Roman" w:cs="Times New Roman"/>
          <w:sz w:val="24"/>
          <w:szCs w:val="24"/>
          <w:lang w:eastAsia="en-GB"/>
        </w:rPr>
        <w:t>) organism terms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OR "honey bee" OR "honeybee"); (ii) microbiota terms ("gut microbiota" OR "gut microbiome" OR "gut symbiont*" OR "lactic acid bacteria" OR probiotic*); and (iii) function terms (antimicrobial OR antibacterial OR "antimicrobial peptide*" OR bacteriocin* OR "antimicrobial resistance" OR apitherapy). A parallel search combined block (ii) with human-health terms ("human health" OR "wound pathogen*" OR "probiotic potential" OR "food-borne pathogen*") to capture the translational literature specifically. The principal search window covered January 2015 to 8 April 2026, chosen because this period captures the substantial expansion of culture-independent and gnotobiotic approaches to the bee gut microbiota that followed the establishment of the core-phylotype framework. A smaller set of methodologically foundational or highly cited studies published before 2015 was retained where these works remain the primary reference point for taxonomic, mechanistic or methodological claims still in active use.</w:t>
      </w:r>
    </w:p>
    <w:p w14:paraId="6DC82364"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2.3 Inclusion and Exclusion Criteria</w:t>
      </w:r>
    </w:p>
    <w:p w14:paraId="3202A033"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Studies were included if they were published in English in a peer-reviewed journal, reported primary data or synthesised evidence on the gut microbiota of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xml:space="preserve"> (or, for comparative purposes, closely related </w:t>
      </w:r>
      <w:r w:rsidRPr="00BB1673">
        <w:rPr>
          <w:rFonts w:ascii="Times New Roman" w:eastAsia="Times New Roman" w:hAnsi="Times New Roman" w:cs="Times New Roman"/>
          <w:i/>
          <w:iCs/>
          <w:sz w:val="24"/>
          <w:szCs w:val="24"/>
          <w:lang w:eastAsia="en-GB"/>
        </w:rPr>
        <w:t>Apis</w:t>
      </w:r>
      <w:r w:rsidRPr="00BB1673">
        <w:rPr>
          <w:rFonts w:ascii="Times New Roman" w:eastAsia="Times New Roman" w:hAnsi="Times New Roman" w:cs="Times New Roman"/>
          <w:sz w:val="24"/>
          <w:szCs w:val="24"/>
          <w:lang w:eastAsia="en-GB"/>
        </w:rPr>
        <w:t xml:space="preserve"> species), and addressed at least one of the following: microbiota composition, antimicrobial mechanisms, pathogen inhibition, environmental or agrochemical disruption of the microbiota, or the antimicrobial or probiotic properties of honeybee-derived organisms or hive products in relation to human-relevant pathogens. Authoritative institutional reports from bodies such as the World Health Organization, the Food and Agriculture Organization and comparable agencies were eligible where no peer-reviewed equivalent existed and a verifiable uniform resource locator could be confirmed. Grey literature, non-peer-reviewed preprints, conference abstracts without accompanying full-text publication, patents, trade publications and studies without a traceable digital object identifier were excluded, as were non-English publications for which no validated translation was available.</w:t>
      </w:r>
    </w:p>
    <w:p w14:paraId="29C89B8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lastRenderedPageBreak/>
        <w:t>2.4 Screening Workflow and Study Selection</w:t>
      </w:r>
    </w:p>
    <w:p w14:paraId="100312BD"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Records retrieved from each database were consolidated and screened at the title and abstract level for topical relevance, with duplicate records identified through reference-manager deduplication and removed prior to full-text review. Full texts of apparently relevant records were then assessed against the inclusion and exclusion criteria described above. Where multiple studies addressed a closely related question, priority for inclusion and discussion was given to studies with larger sample sizes, more rigorous experimental controls (for example, gnotobiotic or germ-free bee models where mechanistic claims were made), or greater methodological influence on the subsequent literature, as judged by citation pattern and by explicit reliance on the study in later reviews. Reference lists of eligible articles and of major prior reviews were hand-searched to identify additional studies not captured by the electronic search, a supplementary strategy consistent with recommended practice for narrative synthesis (Green et al., 2006).</w:t>
      </w:r>
    </w:p>
    <w:p w14:paraId="60F292D5" w14:textId="77777777" w:rsidR="00BB1673" w:rsidRPr="00BB1673" w:rsidRDefault="00BB1673" w:rsidP="00BB167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2.5 Rationale for a Narrative Review Approach</w:t>
      </w:r>
    </w:p>
    <w:p w14:paraId="54F7DBB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 narrative rather than a systematic review approach was adopted because the objective of this article is to integrate mechanistic microbiological evidence from the apicultural literature with translational evidence from the human-health and food-science literatures, a synthesis that spans heterogeneous study designs, outcome measures and disciplinary conventions poorly suited to the pooled quantitative synthesis that characterises systematic review and meta-analysis. Narrative review methodology remains appropriate for this purpose provided that the search strategy, source selection and screening procedure are made explicit and reproducible, a principle followed throughout the present methods section (Green et al., 2006).</w:t>
      </w:r>
    </w:p>
    <w:p w14:paraId="43B5736B"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 xml:space="preserve">3. Composition and Architecture of the </w:t>
      </w:r>
      <w:r w:rsidRPr="00BB1673">
        <w:rPr>
          <w:rFonts w:ascii="Times New Roman" w:eastAsia="Times New Roman" w:hAnsi="Times New Roman" w:cs="Times New Roman"/>
          <w:b/>
          <w:bCs/>
          <w:i/>
          <w:iCs/>
          <w:sz w:val="27"/>
          <w:szCs w:val="27"/>
          <w:lang w:eastAsia="en-GB"/>
        </w:rPr>
        <w:t>Apis mellifera</w:t>
      </w:r>
      <w:r w:rsidRPr="00BB1673">
        <w:rPr>
          <w:rFonts w:ascii="Times New Roman" w:eastAsia="Times New Roman" w:hAnsi="Times New Roman" w:cs="Times New Roman"/>
          <w:b/>
          <w:bCs/>
          <w:sz w:val="27"/>
          <w:szCs w:val="27"/>
          <w:lang w:eastAsia="en-GB"/>
        </w:rPr>
        <w:t xml:space="preserve"> Gut Microbiota</w:t>
      </w:r>
    </w:p>
    <w:p w14:paraId="2319AB96"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adult worker honeybee gut is anatomically divided into the crop, midgut and hindgut, the latter comprising the ileum and rectum, and bacterial colonisation is markedly regionalised within this structure. Two Gram-negative species,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dominate the ileum, where </w:t>
      </w:r>
      <w:r w:rsidRPr="00BB1673">
        <w:rPr>
          <w:rFonts w:ascii="Times New Roman" w:eastAsia="Times New Roman" w:hAnsi="Times New Roman" w:cs="Times New Roman"/>
          <w:i/>
          <w:iCs/>
          <w:sz w:val="24"/>
          <w:szCs w:val="24"/>
          <w:lang w:eastAsia="en-GB"/>
        </w:rPr>
        <w:t xml:space="preserve">S.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forms a biofilm directly against the gut epithelium while </w:t>
      </w:r>
      <w:r w:rsidRPr="00BB1673">
        <w:rPr>
          <w:rFonts w:ascii="Times New Roman" w:eastAsia="Times New Roman" w:hAnsi="Times New Roman" w:cs="Times New Roman"/>
          <w:i/>
          <w:iCs/>
          <w:sz w:val="24"/>
          <w:szCs w:val="24"/>
          <w:lang w:eastAsia="en-GB"/>
        </w:rPr>
        <w:t xml:space="preserve">G.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occupies the more central lumen (Kwong &amp; Moran, 2016). The rectum, by contrast, is dominated by Gram-positive Firmicutes, principally the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cluster together with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(formerly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Firm-4), alongside </w:t>
      </w:r>
      <w:r w:rsidRPr="00BB1673">
        <w:rPr>
          <w:rFonts w:ascii="Times New Roman" w:eastAsia="Times New Roman" w:hAnsi="Times New Roman" w:cs="Times New Roman"/>
          <w:i/>
          <w:iCs/>
          <w:sz w:val="24"/>
          <w:szCs w:val="24"/>
          <w:lang w:eastAsia="en-GB"/>
        </w:rPr>
        <w:t xml:space="preserve">Bifidobacterium </w:t>
      </w:r>
      <w:proofErr w:type="spellStart"/>
      <w:r w:rsidRPr="00BB1673">
        <w:rPr>
          <w:rFonts w:ascii="Times New Roman" w:eastAsia="Times New Roman" w:hAnsi="Times New Roman" w:cs="Times New Roman"/>
          <w:i/>
          <w:iCs/>
          <w:sz w:val="24"/>
          <w:szCs w:val="24"/>
          <w:lang w:eastAsia="en-GB"/>
        </w:rPr>
        <w:t>asteroides</w:t>
      </w:r>
      <w:proofErr w:type="spellEnd"/>
      <w:r w:rsidRPr="00BB1673">
        <w:rPr>
          <w:rFonts w:ascii="Times New Roman" w:eastAsia="Times New Roman" w:hAnsi="Times New Roman" w:cs="Times New Roman"/>
          <w:sz w:val="24"/>
          <w:szCs w:val="24"/>
          <w:lang w:eastAsia="en-GB"/>
        </w:rPr>
        <w:t xml:space="preserve"> of the phylum Actinobacteria (Engel et al., 2012). Metagenomic and deep-sequencing surveys conducted across geographically diverse bee populations have repeatedly recovered this same set of core taxa, indicating a high degree of evolutionary conservation despite substantial environmental variation (Moran et al., 2012; Corby-Harris et al., 2014).</w:t>
      </w:r>
    </w:p>
    <w:p w14:paraId="2AD8598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Colonisation of the newly emerged worker gut proceeds rapidly and in a broadly predictable sequence.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establish within the first day after emergence, while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populations become dominant slightly later, typically by the third day, following social contact with older nestmates and exposure to hive-stored food (Dong et al., 2020; Nowak et al., 2021). This transmission route, dependent on trophallaxis and contact with faecal material within the hive, parallels the socially mediated transmission observed in other group-living animals and is thought to underlie the strong host specificity documented for several core taxa, including divergent, host-restricted </w:t>
      </w:r>
      <w:r w:rsidRPr="00BB1673">
        <w:rPr>
          <w:rFonts w:ascii="Times New Roman" w:eastAsia="Times New Roman" w:hAnsi="Times New Roman" w:cs="Times New Roman"/>
          <w:sz w:val="24"/>
          <w:szCs w:val="24"/>
          <w:lang w:eastAsia="en-GB"/>
        </w:rPr>
        <w:lastRenderedPageBreak/>
        <w:t xml:space="preserve">lineages of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recovered from honeybees as opposed to bumblebees (Kwong et al., 2014).</w:t>
      </w:r>
    </w:p>
    <w:p w14:paraId="48F0820A"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Beyond the numerically dominant core, a set of less consistently detected but functionally significant taxa </w:t>
      </w:r>
      <w:proofErr w:type="gramStart"/>
      <w:r w:rsidRPr="00BB1673">
        <w:rPr>
          <w:rFonts w:ascii="Times New Roman" w:eastAsia="Times New Roman" w:hAnsi="Times New Roman" w:cs="Times New Roman"/>
          <w:sz w:val="24"/>
          <w:szCs w:val="24"/>
          <w:lang w:eastAsia="en-GB"/>
        </w:rPr>
        <w:t>contributes</w:t>
      </w:r>
      <w:proofErr w:type="gramEnd"/>
      <w:r w:rsidRPr="00BB1673">
        <w:rPr>
          <w:rFonts w:ascii="Times New Roman" w:eastAsia="Times New Roman" w:hAnsi="Times New Roman" w:cs="Times New Roman"/>
          <w:sz w:val="24"/>
          <w:szCs w:val="24"/>
          <w:lang w:eastAsia="en-GB"/>
        </w:rPr>
        <w:t xml:space="preserve"> further to the antimicrobial landscape of the gut.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colonises the pylorus and induces a distinctive melanised "scab" response in the gut epithelium, a phenomenon associated with localised immune activation (Kwong &amp; Moran, 2016). </w:t>
      </w: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apis</w:t>
      </w:r>
      <w:proofErr w:type="spellEnd"/>
      <w:r w:rsidRPr="00BB1673">
        <w:rPr>
          <w:rFonts w:ascii="Times New Roman" w:eastAsia="Times New Roman" w:hAnsi="Times New Roman" w:cs="Times New Roman"/>
          <w:sz w:val="24"/>
          <w:szCs w:val="24"/>
          <w:lang w:eastAsia="en-GB"/>
        </w:rPr>
        <w:t xml:space="preserve"> and related </w:t>
      </w:r>
      <w:proofErr w:type="spellStart"/>
      <w:r w:rsidRPr="00BB1673">
        <w:rPr>
          <w:rFonts w:ascii="Times New Roman" w:eastAsia="Times New Roman" w:hAnsi="Times New Roman" w:cs="Times New Roman"/>
          <w:sz w:val="24"/>
          <w:szCs w:val="24"/>
          <w:lang w:eastAsia="en-GB"/>
        </w:rPr>
        <w:t>Acetobacteraceae</w:t>
      </w:r>
      <w:proofErr w:type="spellEnd"/>
      <w:r w:rsidRPr="00BB1673">
        <w:rPr>
          <w:rFonts w:ascii="Times New Roman" w:eastAsia="Times New Roman" w:hAnsi="Times New Roman" w:cs="Times New Roman"/>
          <w:sz w:val="24"/>
          <w:szCs w:val="24"/>
          <w:lang w:eastAsia="en-GB"/>
        </w:rPr>
        <w:t xml:space="preserve">, sometimes referred to under the earlier name </w:t>
      </w:r>
      <w:proofErr w:type="spellStart"/>
      <w:r w:rsidRPr="00BB1673">
        <w:rPr>
          <w:rFonts w:ascii="Times New Roman" w:eastAsia="Times New Roman" w:hAnsi="Times New Roman" w:cs="Times New Roman"/>
          <w:i/>
          <w:iCs/>
          <w:sz w:val="24"/>
          <w:szCs w:val="24"/>
          <w:lang w:eastAsia="en-GB"/>
        </w:rPr>
        <w:t>Parasaccharibacter</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apium</w:t>
      </w:r>
      <w:proofErr w:type="spellEnd"/>
      <w:r w:rsidRPr="00BB1673">
        <w:rPr>
          <w:rFonts w:ascii="Times New Roman" w:eastAsia="Times New Roman" w:hAnsi="Times New Roman" w:cs="Times New Roman"/>
          <w:sz w:val="24"/>
          <w:szCs w:val="24"/>
          <w:lang w:eastAsia="en-GB"/>
        </w:rPr>
        <w:t xml:space="preserve">, are recovered preferentially from the hypopharyngeal glands, royal jelly and larval food, where they appear to protect developing larvae from fungal and bacterial invasion (Motta &amp; Moran, 2024).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 </w:t>
      </w: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lactic acid bacterium, is characteristically abundant in the crop, in fresh nectar and honey, and in bee bread, where it contributes to the low pH environment that limits spoilage organisms (Vásquez et al., 2012). The functional roles, gut localisation and principal supporting evidence for these taxa are summarised in Table 1.</w:t>
      </w:r>
    </w:p>
    <w:p w14:paraId="4DB99139"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 xml:space="preserve">Table 1. Core and Notable Non-Core Bacterial Taxa of the </w:t>
      </w:r>
      <w:r w:rsidRPr="00BB1673">
        <w:rPr>
          <w:rFonts w:ascii="Times New Roman" w:eastAsia="Times New Roman" w:hAnsi="Times New Roman" w:cs="Times New Roman"/>
          <w:b/>
          <w:bCs/>
          <w:i/>
          <w:iCs/>
          <w:sz w:val="24"/>
          <w:szCs w:val="24"/>
          <w:lang w:eastAsia="en-GB"/>
        </w:rPr>
        <w:t>Apis mellifera</w:t>
      </w:r>
      <w:r w:rsidRPr="00BB1673">
        <w:rPr>
          <w:rFonts w:ascii="Times New Roman" w:eastAsia="Times New Roman" w:hAnsi="Times New Roman" w:cs="Times New Roman"/>
          <w:b/>
          <w:bCs/>
          <w:sz w:val="24"/>
          <w:szCs w:val="24"/>
          <w:lang w:eastAsia="en-GB"/>
        </w:rPr>
        <w:t xml:space="preserve"> Gut</w:t>
      </w:r>
    </w:p>
    <w:tbl>
      <w:tblPr>
        <w:tblStyle w:val="TableGridLight"/>
        <w:tblW w:w="0" w:type="auto"/>
        <w:tblLook w:val="04A0" w:firstRow="1" w:lastRow="0" w:firstColumn="1" w:lastColumn="0" w:noHBand="0" w:noVBand="1"/>
      </w:tblPr>
      <w:tblGrid>
        <w:gridCol w:w="2084"/>
        <w:gridCol w:w="2509"/>
        <w:gridCol w:w="1816"/>
        <w:gridCol w:w="1657"/>
        <w:gridCol w:w="1176"/>
      </w:tblGrid>
      <w:tr w:rsidR="00BB1673" w:rsidRPr="00BB1673" w14:paraId="28333A6E" w14:textId="77777777" w:rsidTr="00BB1673">
        <w:tc>
          <w:tcPr>
            <w:tcW w:w="0" w:type="auto"/>
            <w:hideMark/>
          </w:tcPr>
          <w:p w14:paraId="63051E82"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Taxon</w:t>
            </w:r>
          </w:p>
        </w:tc>
        <w:tc>
          <w:tcPr>
            <w:tcW w:w="0" w:type="auto"/>
            <w:hideMark/>
          </w:tcPr>
          <w:p w14:paraId="56704328"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Phylum/Class</w:t>
            </w:r>
          </w:p>
        </w:tc>
        <w:tc>
          <w:tcPr>
            <w:tcW w:w="0" w:type="auto"/>
            <w:hideMark/>
          </w:tcPr>
          <w:p w14:paraId="2BCD3EE2"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Principal Gut Region</w:t>
            </w:r>
          </w:p>
        </w:tc>
        <w:tc>
          <w:tcPr>
            <w:tcW w:w="0" w:type="auto"/>
            <w:hideMark/>
          </w:tcPr>
          <w:p w14:paraId="7BF22669"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Antimicrobial or Protective Function</w:t>
            </w:r>
          </w:p>
        </w:tc>
        <w:tc>
          <w:tcPr>
            <w:tcW w:w="0" w:type="auto"/>
            <w:hideMark/>
          </w:tcPr>
          <w:p w14:paraId="13B880D5"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1B811459" w14:textId="77777777" w:rsidTr="00BB1673">
        <w:tc>
          <w:tcPr>
            <w:tcW w:w="0" w:type="auto"/>
            <w:hideMark/>
          </w:tcPr>
          <w:p w14:paraId="505559A3"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p>
        </w:tc>
        <w:tc>
          <w:tcPr>
            <w:tcW w:w="0" w:type="auto"/>
            <w:hideMark/>
          </w:tcPr>
          <w:p w14:paraId="755CAD9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(Betaproteobacteria)</w:t>
            </w:r>
          </w:p>
        </w:tc>
        <w:tc>
          <w:tcPr>
            <w:tcW w:w="0" w:type="auto"/>
            <w:hideMark/>
          </w:tcPr>
          <w:p w14:paraId="7F7C387E"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Ileum</w:t>
            </w:r>
          </w:p>
        </w:tc>
        <w:tc>
          <w:tcPr>
            <w:tcW w:w="0" w:type="auto"/>
            <w:hideMark/>
          </w:tcPr>
          <w:p w14:paraId="5B90344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Epithelial biofilm formation; oxidation of carboxylic acids; induces host antimicrobial peptide expression</w:t>
            </w:r>
          </w:p>
        </w:tc>
        <w:tc>
          <w:tcPr>
            <w:tcW w:w="0" w:type="auto"/>
            <w:hideMark/>
          </w:tcPr>
          <w:p w14:paraId="4632876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 Kwong et al., 2017</w:t>
            </w:r>
          </w:p>
        </w:tc>
      </w:tr>
      <w:tr w:rsidR="00BB1673" w:rsidRPr="00BB1673" w14:paraId="32155EAE" w14:textId="77777777" w:rsidTr="00BB1673">
        <w:tc>
          <w:tcPr>
            <w:tcW w:w="0" w:type="auto"/>
            <w:hideMark/>
          </w:tcPr>
          <w:p w14:paraId="41F647F7"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p>
        </w:tc>
        <w:tc>
          <w:tcPr>
            <w:tcW w:w="0" w:type="auto"/>
            <w:hideMark/>
          </w:tcPr>
          <w:p w14:paraId="203399F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(Gammaproteobacteria)</w:t>
            </w:r>
          </w:p>
        </w:tc>
        <w:tc>
          <w:tcPr>
            <w:tcW w:w="0" w:type="auto"/>
            <w:hideMark/>
          </w:tcPr>
          <w:p w14:paraId="76A633E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Ileum</w:t>
            </w:r>
          </w:p>
        </w:tc>
        <w:tc>
          <w:tcPr>
            <w:tcW w:w="0" w:type="auto"/>
            <w:hideMark/>
          </w:tcPr>
          <w:p w14:paraId="612308D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Ferments and detoxifies dietary sugars; niche exclusion of opportunists</w:t>
            </w:r>
          </w:p>
        </w:tc>
        <w:tc>
          <w:tcPr>
            <w:tcW w:w="0" w:type="auto"/>
            <w:hideMark/>
          </w:tcPr>
          <w:p w14:paraId="18167F1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 Zheng et al., 2016</w:t>
            </w:r>
          </w:p>
        </w:tc>
      </w:tr>
      <w:tr w:rsidR="00BB1673" w:rsidRPr="00BB1673" w14:paraId="37D1DC21" w14:textId="77777777" w:rsidTr="00BB1673">
        <w:tc>
          <w:tcPr>
            <w:tcW w:w="0" w:type="auto"/>
            <w:hideMark/>
          </w:tcPr>
          <w:p w14:paraId="78DE193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 </w:t>
            </w:r>
            <w:proofErr w:type="spellStart"/>
            <w:r w:rsidRPr="00BB1673">
              <w:rPr>
                <w:rFonts w:ascii="Times New Roman" w:eastAsia="Times New Roman" w:hAnsi="Times New Roman" w:cs="Times New Roman"/>
                <w:i/>
                <w:iCs/>
                <w:sz w:val="24"/>
                <w:szCs w:val="24"/>
                <w:lang w:eastAsia="en-GB"/>
              </w:rPr>
              <w:t>Bombilactobacillus</w:t>
            </w:r>
            <w:proofErr w:type="spellEnd"/>
            <w:r w:rsidRPr="00BB1673">
              <w:rPr>
                <w:rFonts w:ascii="Times New Roman" w:eastAsia="Times New Roman" w:hAnsi="Times New Roman" w:cs="Times New Roman"/>
                <w:sz w:val="24"/>
                <w:szCs w:val="24"/>
                <w:lang w:eastAsia="en-GB"/>
              </w:rPr>
              <w:t xml:space="preserve"> (Firm-4)</w:t>
            </w:r>
          </w:p>
        </w:tc>
        <w:tc>
          <w:tcPr>
            <w:tcW w:w="0" w:type="auto"/>
            <w:hideMark/>
          </w:tcPr>
          <w:p w14:paraId="7B7960C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Firmicutes</w:t>
            </w:r>
          </w:p>
        </w:tc>
        <w:tc>
          <w:tcPr>
            <w:tcW w:w="0" w:type="auto"/>
            <w:hideMark/>
          </w:tcPr>
          <w:p w14:paraId="7A83061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Rectum</w:t>
            </w:r>
          </w:p>
        </w:tc>
        <w:tc>
          <w:tcPr>
            <w:tcW w:w="0" w:type="auto"/>
            <w:hideMark/>
          </w:tcPr>
          <w:p w14:paraId="0F8E738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Organic acid and bacteriocin-like metabolite production; immune stimulation</w:t>
            </w:r>
          </w:p>
        </w:tc>
        <w:tc>
          <w:tcPr>
            <w:tcW w:w="0" w:type="auto"/>
            <w:hideMark/>
          </w:tcPr>
          <w:p w14:paraId="66F3F38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Engel et al., 2012; Kwong et al., 2017</w:t>
            </w:r>
          </w:p>
        </w:tc>
      </w:tr>
      <w:tr w:rsidR="00BB1673" w:rsidRPr="00BB1673" w14:paraId="0F8243DC" w14:textId="77777777" w:rsidTr="00BB1673">
        <w:tc>
          <w:tcPr>
            <w:tcW w:w="0" w:type="auto"/>
            <w:hideMark/>
          </w:tcPr>
          <w:p w14:paraId="08F6BB4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 xml:space="preserve">Bifidobacterium </w:t>
            </w:r>
            <w:proofErr w:type="spellStart"/>
            <w:r w:rsidRPr="00BB1673">
              <w:rPr>
                <w:rFonts w:ascii="Times New Roman" w:eastAsia="Times New Roman" w:hAnsi="Times New Roman" w:cs="Times New Roman"/>
                <w:i/>
                <w:iCs/>
                <w:sz w:val="24"/>
                <w:szCs w:val="24"/>
                <w:lang w:eastAsia="en-GB"/>
              </w:rPr>
              <w:t>asteroides</w:t>
            </w:r>
            <w:proofErr w:type="spellEnd"/>
          </w:p>
        </w:tc>
        <w:tc>
          <w:tcPr>
            <w:tcW w:w="0" w:type="auto"/>
            <w:hideMark/>
          </w:tcPr>
          <w:p w14:paraId="7C7B4BB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Actinobacteria</w:t>
            </w:r>
          </w:p>
        </w:tc>
        <w:tc>
          <w:tcPr>
            <w:tcW w:w="0" w:type="auto"/>
            <w:hideMark/>
          </w:tcPr>
          <w:p w14:paraId="21156D4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Rectum</w:t>
            </w:r>
          </w:p>
        </w:tc>
        <w:tc>
          <w:tcPr>
            <w:tcW w:w="0" w:type="auto"/>
            <w:hideMark/>
          </w:tcPr>
          <w:p w14:paraId="4E0EDC2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Short-chain fatty acid production; pollen-wall polysaccharide </w:t>
            </w:r>
            <w:r w:rsidRPr="00BB1673">
              <w:rPr>
                <w:rFonts w:ascii="Times New Roman" w:eastAsia="Times New Roman" w:hAnsi="Times New Roman" w:cs="Times New Roman"/>
                <w:sz w:val="24"/>
                <w:szCs w:val="24"/>
                <w:lang w:eastAsia="en-GB"/>
              </w:rPr>
              <w:lastRenderedPageBreak/>
              <w:t>breakdown</w:t>
            </w:r>
          </w:p>
        </w:tc>
        <w:tc>
          <w:tcPr>
            <w:tcW w:w="0" w:type="auto"/>
            <w:hideMark/>
          </w:tcPr>
          <w:p w14:paraId="2B20419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Engel et al., 2012; Nowak et al., 2021</w:t>
            </w:r>
          </w:p>
        </w:tc>
      </w:tr>
      <w:tr w:rsidR="00BB1673" w:rsidRPr="00BB1673" w14:paraId="40E2C354" w14:textId="77777777" w:rsidTr="00BB1673">
        <w:tc>
          <w:tcPr>
            <w:tcW w:w="0" w:type="auto"/>
            <w:hideMark/>
          </w:tcPr>
          <w:p w14:paraId="13721342"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p>
        </w:tc>
        <w:tc>
          <w:tcPr>
            <w:tcW w:w="0" w:type="auto"/>
            <w:hideMark/>
          </w:tcPr>
          <w:p w14:paraId="1A5997A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(Gammaproteobacteria)</w:t>
            </w:r>
          </w:p>
        </w:tc>
        <w:tc>
          <w:tcPr>
            <w:tcW w:w="0" w:type="auto"/>
            <w:hideMark/>
          </w:tcPr>
          <w:p w14:paraId="7A1ACE5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Pylorus</w:t>
            </w:r>
          </w:p>
        </w:tc>
        <w:tc>
          <w:tcPr>
            <w:tcW w:w="0" w:type="auto"/>
            <w:hideMark/>
          </w:tcPr>
          <w:p w14:paraId="716B753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Localised epithelial immune activation; competitive niche occupation</w:t>
            </w:r>
          </w:p>
        </w:tc>
        <w:tc>
          <w:tcPr>
            <w:tcW w:w="0" w:type="auto"/>
            <w:hideMark/>
          </w:tcPr>
          <w:p w14:paraId="427C981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w:t>
            </w:r>
          </w:p>
        </w:tc>
      </w:tr>
      <w:tr w:rsidR="00BB1673" w:rsidRPr="00BB1673" w14:paraId="58CC636D" w14:textId="77777777" w:rsidTr="00BB1673">
        <w:tc>
          <w:tcPr>
            <w:tcW w:w="0" w:type="auto"/>
            <w:hideMark/>
          </w:tcPr>
          <w:p w14:paraId="566C50B8"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apis</w:t>
            </w:r>
            <w:proofErr w:type="spellEnd"/>
          </w:p>
        </w:tc>
        <w:tc>
          <w:tcPr>
            <w:tcW w:w="0" w:type="auto"/>
            <w:hideMark/>
          </w:tcPr>
          <w:p w14:paraId="14618F9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Proteobacteria (</w:t>
            </w:r>
            <w:proofErr w:type="spellStart"/>
            <w:r w:rsidRPr="00BB1673">
              <w:rPr>
                <w:rFonts w:ascii="Times New Roman" w:eastAsia="Times New Roman" w:hAnsi="Times New Roman" w:cs="Times New Roman"/>
                <w:sz w:val="24"/>
                <w:szCs w:val="24"/>
                <w:lang w:eastAsia="en-GB"/>
              </w:rPr>
              <w:t>Alphaproteobacteria</w:t>
            </w:r>
            <w:proofErr w:type="spellEnd"/>
            <w:r w:rsidRPr="00BB1673">
              <w:rPr>
                <w:rFonts w:ascii="Times New Roman" w:eastAsia="Times New Roman" w:hAnsi="Times New Roman" w:cs="Times New Roman"/>
                <w:sz w:val="24"/>
                <w:szCs w:val="24"/>
                <w:lang w:eastAsia="en-GB"/>
              </w:rPr>
              <w:t>)</w:t>
            </w:r>
          </w:p>
        </w:tc>
        <w:tc>
          <w:tcPr>
            <w:tcW w:w="0" w:type="auto"/>
            <w:hideMark/>
          </w:tcPr>
          <w:p w14:paraId="7DCD76A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Hypopharyngeal glands, larval food</w:t>
            </w:r>
          </w:p>
        </w:tc>
        <w:tc>
          <w:tcPr>
            <w:tcW w:w="0" w:type="auto"/>
            <w:hideMark/>
          </w:tcPr>
          <w:p w14:paraId="4E4DE1B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Antifungal and osmotolerant protection of larvae</w:t>
            </w:r>
          </w:p>
        </w:tc>
        <w:tc>
          <w:tcPr>
            <w:tcW w:w="0" w:type="auto"/>
            <w:hideMark/>
          </w:tcPr>
          <w:p w14:paraId="1CD9563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Motta &amp; Moran, 2024</w:t>
            </w:r>
          </w:p>
        </w:tc>
      </w:tr>
      <w:tr w:rsidR="00BB1673" w:rsidRPr="00BB1673" w14:paraId="447CD616" w14:textId="77777777" w:rsidTr="00BB1673">
        <w:tc>
          <w:tcPr>
            <w:tcW w:w="0" w:type="auto"/>
            <w:hideMark/>
          </w:tcPr>
          <w:p w14:paraId="340F2D55"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p>
        </w:tc>
        <w:tc>
          <w:tcPr>
            <w:tcW w:w="0" w:type="auto"/>
            <w:hideMark/>
          </w:tcPr>
          <w:p w14:paraId="454ADC7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Firmicutes</w:t>
            </w:r>
          </w:p>
        </w:tc>
        <w:tc>
          <w:tcPr>
            <w:tcW w:w="0" w:type="auto"/>
            <w:hideMark/>
          </w:tcPr>
          <w:p w14:paraId="63F878C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Crop, honey, bee bread</w:t>
            </w:r>
          </w:p>
        </w:tc>
        <w:tc>
          <w:tcPr>
            <w:tcW w:w="0" w:type="auto"/>
            <w:hideMark/>
          </w:tcPr>
          <w:p w14:paraId="4E3D4E71"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acid production; maintenance of low pH, spoilage resistance</w:t>
            </w:r>
          </w:p>
        </w:tc>
        <w:tc>
          <w:tcPr>
            <w:tcW w:w="0" w:type="auto"/>
            <w:hideMark/>
          </w:tcPr>
          <w:p w14:paraId="20F7261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Vásquez et al., 2012; </w:t>
            </w: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w:t>
            </w:r>
          </w:p>
        </w:tc>
      </w:tr>
    </w:tbl>
    <w:p w14:paraId="042DD766"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As Table 1 illustrates, the antimicrobial contribution of the bee gut microbiota does not rest on a single dominant organism but rather emerges from complementary, regionally distinct activities across several taxa, ranging from direct metabolite production to physical niche occupation and host immune priming. The following sections examine these mechanisms in greater mechanistic detail.</w:t>
      </w:r>
    </w:p>
    <w:p w14:paraId="6DAD0984"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4. Antimicrobial Mechanisms of Gut Symbionts: Metabolites, Bacteriocins and Niche Exclusion</w:t>
      </w:r>
    </w:p>
    <w:p w14:paraId="22530644"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The antimicrobial character of the honeybee gut microbiota rests on several overlapping mechanisms rather than a single unifying process. The most extensively documented is acidification through organic acid production. Lactic acid bacteria native to the bee gut generate lactic, acetic and other organic acids as principal fermentation products, lowering local pH to levels that many bee and non-bee pathogens cannot tolerate; this same acidification underlies the preservative properties long observed in fermented bee bread and in fresh honey, both of which are seeded by the same LAB community present in the honey stomach (Vásquez et al., 2012; Olofsson et al., 2016). Beyond simple acidification, several bee-associated LAB strains produce hydrogen peroxide and bacteriocin-like inhibitory substances that act directly on competitor bacteria, and cell-free supernatants prepared from these strains retain antibacterial activity even after cells are removed, indicating that the active principle is a secreted, diffusible metabolite rather than a requirement for live-cell contact (Olofsson et al., 2016).</w:t>
      </w:r>
    </w:p>
    <w:p w14:paraId="6624152D"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second mechanism operates through competitive exclusion rather than direct metabolite toxicity. Core symbionts such as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occupy specific spatial niches within the gut and metabolise substrates, including toxic dietary sugars, in ways that limit the resources and physical space available to invading opportunists (Zheng et al., 2016; Kwong &amp; Moran, 2016). This form of colonisation resistance is analogous to </w:t>
      </w:r>
      <w:r w:rsidRPr="00BB1673">
        <w:rPr>
          <w:rFonts w:ascii="Times New Roman" w:eastAsia="Times New Roman" w:hAnsi="Times New Roman" w:cs="Times New Roman"/>
          <w:sz w:val="24"/>
          <w:szCs w:val="24"/>
          <w:lang w:eastAsia="en-GB"/>
        </w:rPr>
        <w:lastRenderedPageBreak/>
        <w:t>mechanisms described in mammalian gut ecology, where an intact resident community limits pathogen establishment largely through resource competition rather than active antagonism.</w:t>
      </w:r>
    </w:p>
    <w:p w14:paraId="114D3B3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third and mechanistically distinct route involves modulation of surface structures and biofilm architecture.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forms a structured biofilm against the ileal epithelium, and genomic comparisons between honeybee- and bumblebee-associated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sz w:val="24"/>
          <w:szCs w:val="24"/>
          <w:lang w:eastAsia="en-GB"/>
        </w:rPr>
        <w:t xml:space="preserve"> strains have identified an enrichment of genes encoding type VI secretion systems, repeat-in-toxin proteins and adhesins, structures implicated in both interbacterial competition and host-surface attachment (Kwong et al., 2014). Related exopolysaccharide-producing taxa isolated from the bee gut have independently demonstrated antimicrobial and antibiofilm activity against non-bee pathogens in vitro, suggesting that structural and secreted antimicrobial functions can coexist within a single organism. Table 2 summarises the principal mechanistic categories, the taxa most strongly associated with each, and representative reported outcomes.</w:t>
      </w:r>
    </w:p>
    <w:p w14:paraId="5AE5549E"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2. Documented Antimicrobial Mechanisms of Honeybee Gut Symbionts</w:t>
      </w:r>
    </w:p>
    <w:tbl>
      <w:tblPr>
        <w:tblStyle w:val="TableGridLight"/>
        <w:tblW w:w="0" w:type="auto"/>
        <w:tblLook w:val="04A0" w:firstRow="1" w:lastRow="0" w:firstColumn="1" w:lastColumn="0" w:noHBand="0" w:noVBand="1"/>
      </w:tblPr>
      <w:tblGrid>
        <w:gridCol w:w="1888"/>
        <w:gridCol w:w="1961"/>
        <w:gridCol w:w="1899"/>
        <w:gridCol w:w="2116"/>
        <w:gridCol w:w="1378"/>
      </w:tblGrid>
      <w:tr w:rsidR="00BB1673" w:rsidRPr="00BB1673" w14:paraId="4C92EB44" w14:textId="77777777" w:rsidTr="00BB1673">
        <w:tc>
          <w:tcPr>
            <w:tcW w:w="0" w:type="auto"/>
            <w:hideMark/>
          </w:tcPr>
          <w:p w14:paraId="2AEC0E9C"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Mechanism</w:t>
            </w:r>
          </w:p>
        </w:tc>
        <w:tc>
          <w:tcPr>
            <w:tcW w:w="0" w:type="auto"/>
            <w:hideMark/>
          </w:tcPr>
          <w:p w14:paraId="3CF94F03"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Representative Taxa</w:t>
            </w:r>
          </w:p>
        </w:tc>
        <w:tc>
          <w:tcPr>
            <w:tcW w:w="0" w:type="auto"/>
            <w:hideMark/>
          </w:tcPr>
          <w:p w14:paraId="435905D9"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Target(s)</w:t>
            </w:r>
          </w:p>
        </w:tc>
        <w:tc>
          <w:tcPr>
            <w:tcW w:w="0" w:type="auto"/>
            <w:hideMark/>
          </w:tcPr>
          <w:p w14:paraId="494234EA"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Summary of Effect</w:t>
            </w:r>
          </w:p>
        </w:tc>
        <w:tc>
          <w:tcPr>
            <w:tcW w:w="0" w:type="auto"/>
            <w:hideMark/>
          </w:tcPr>
          <w:p w14:paraId="0BF4E21B"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6916B571" w14:textId="77777777" w:rsidTr="00BB1673">
        <w:tc>
          <w:tcPr>
            <w:tcW w:w="0" w:type="auto"/>
            <w:hideMark/>
          </w:tcPr>
          <w:p w14:paraId="3B58782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Organic acid / pH-mediated inhibition</w:t>
            </w:r>
          </w:p>
        </w:tc>
        <w:tc>
          <w:tcPr>
            <w:tcW w:w="0" w:type="auto"/>
            <w:hideMark/>
          </w:tcPr>
          <w:p w14:paraId="4C0651F3"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w:t>
            </w:r>
          </w:p>
        </w:tc>
        <w:tc>
          <w:tcPr>
            <w:tcW w:w="0" w:type="auto"/>
            <w:hideMark/>
          </w:tcPr>
          <w:p w14:paraId="2982B2B1"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p>
        </w:tc>
        <w:tc>
          <w:tcPr>
            <w:tcW w:w="0" w:type="auto"/>
            <w:hideMark/>
          </w:tcPr>
          <w:p w14:paraId="160DFAD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Growth suppression via acidification of local environment</w:t>
            </w:r>
          </w:p>
        </w:tc>
        <w:tc>
          <w:tcPr>
            <w:tcW w:w="0" w:type="auto"/>
            <w:hideMark/>
          </w:tcPr>
          <w:p w14:paraId="315D732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Vásquez et al., 2012; Olofsson et al., 2016</w:t>
            </w:r>
          </w:p>
        </w:tc>
      </w:tr>
      <w:tr w:rsidR="00BB1673" w:rsidRPr="00BB1673" w14:paraId="1DED462E" w14:textId="77777777" w:rsidTr="00BB1673">
        <w:tc>
          <w:tcPr>
            <w:tcW w:w="0" w:type="auto"/>
            <w:hideMark/>
          </w:tcPr>
          <w:p w14:paraId="273BA4F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Secreted bacteriocin-like metabolites</w:t>
            </w:r>
          </w:p>
        </w:tc>
        <w:tc>
          <w:tcPr>
            <w:tcW w:w="0" w:type="auto"/>
            <w:hideMark/>
          </w:tcPr>
          <w:p w14:paraId="363372D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Honey-associated LAB consortium</w:t>
            </w:r>
          </w:p>
        </w:tc>
        <w:tc>
          <w:tcPr>
            <w:tcW w:w="0" w:type="auto"/>
            <w:hideMark/>
          </w:tcPr>
          <w:p w14:paraId="6EC8776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Gram-positive and Gram-negative bee and human pathogens</w:t>
            </w:r>
          </w:p>
        </w:tc>
        <w:tc>
          <w:tcPr>
            <w:tcW w:w="0" w:type="auto"/>
            <w:hideMark/>
          </w:tcPr>
          <w:p w14:paraId="1B9A264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Direct antagonism retained in cell-free supernatants</w:t>
            </w:r>
          </w:p>
        </w:tc>
        <w:tc>
          <w:tcPr>
            <w:tcW w:w="0" w:type="auto"/>
            <w:hideMark/>
          </w:tcPr>
          <w:p w14:paraId="03BA522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Olofsson et al., 2016; Butler et al., 2016</w:t>
            </w:r>
          </w:p>
        </w:tc>
      </w:tr>
      <w:tr w:rsidR="00BB1673" w:rsidRPr="00BB1673" w14:paraId="55BD05C3" w14:textId="77777777" w:rsidTr="00BB1673">
        <w:tc>
          <w:tcPr>
            <w:tcW w:w="0" w:type="auto"/>
            <w:hideMark/>
          </w:tcPr>
          <w:p w14:paraId="32AA212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Antimicrobial peptide induction in host</w:t>
            </w:r>
          </w:p>
        </w:tc>
        <w:tc>
          <w:tcPr>
            <w:tcW w:w="0" w:type="auto"/>
            <w:hideMark/>
          </w:tcPr>
          <w:p w14:paraId="43C7028D"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w:t>
            </w:r>
          </w:p>
        </w:tc>
        <w:tc>
          <w:tcPr>
            <w:tcW w:w="0" w:type="auto"/>
            <w:hideMark/>
          </w:tcPr>
          <w:p w14:paraId="44B9C13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Escherichia coli</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Hafnia alvei</w:t>
            </w:r>
          </w:p>
        </w:tc>
        <w:tc>
          <w:tcPr>
            <w:tcW w:w="0" w:type="auto"/>
            <w:hideMark/>
          </w:tcPr>
          <w:p w14:paraId="2535A38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Upregulation of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enhanced pathogen clearance</w:t>
            </w:r>
          </w:p>
        </w:tc>
        <w:tc>
          <w:tcPr>
            <w:tcW w:w="0" w:type="auto"/>
            <w:hideMark/>
          </w:tcPr>
          <w:p w14:paraId="15CF88B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2017</w:t>
            </w:r>
          </w:p>
        </w:tc>
      </w:tr>
      <w:tr w:rsidR="00BB1673" w:rsidRPr="00BB1673" w14:paraId="551A623F" w14:textId="77777777" w:rsidTr="00BB1673">
        <w:tc>
          <w:tcPr>
            <w:tcW w:w="0" w:type="auto"/>
            <w:hideMark/>
          </w:tcPr>
          <w:p w14:paraId="4F92DA8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Competitive nutrient/niche exclusion</w:t>
            </w:r>
          </w:p>
        </w:tc>
        <w:tc>
          <w:tcPr>
            <w:tcW w:w="0" w:type="auto"/>
            <w:hideMark/>
          </w:tcPr>
          <w:p w14:paraId="4FD6ABA9"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p>
        </w:tc>
        <w:tc>
          <w:tcPr>
            <w:tcW w:w="0" w:type="auto"/>
            <w:hideMark/>
          </w:tcPr>
          <w:p w14:paraId="79844FD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Opportunistic gut colonisers</w:t>
            </w:r>
          </w:p>
        </w:tc>
        <w:tc>
          <w:tcPr>
            <w:tcW w:w="0" w:type="auto"/>
            <w:hideMark/>
          </w:tcPr>
          <w:p w14:paraId="63F7654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Reduced establishment of non-core taxa</w:t>
            </w:r>
          </w:p>
        </w:tc>
        <w:tc>
          <w:tcPr>
            <w:tcW w:w="0" w:type="auto"/>
            <w:hideMark/>
          </w:tcPr>
          <w:p w14:paraId="24F48EE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&amp; Moran, 2016; Zheng et al., 2016</w:t>
            </w:r>
          </w:p>
        </w:tc>
      </w:tr>
      <w:tr w:rsidR="00BB1673" w:rsidRPr="00BB1673" w14:paraId="2FE4DEA4" w14:textId="77777777" w:rsidTr="00BB1673">
        <w:tc>
          <w:tcPr>
            <w:tcW w:w="0" w:type="auto"/>
            <w:hideMark/>
          </w:tcPr>
          <w:p w14:paraId="7037E52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Adhesin- and secretion-system-mediated interbacterial competition</w:t>
            </w:r>
          </w:p>
        </w:tc>
        <w:tc>
          <w:tcPr>
            <w:tcW w:w="0" w:type="auto"/>
            <w:hideMark/>
          </w:tcPr>
          <w:p w14:paraId="2B5FC478"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p>
        </w:tc>
        <w:tc>
          <w:tcPr>
            <w:tcW w:w="0" w:type="auto"/>
            <w:hideMark/>
          </w:tcPr>
          <w:p w14:paraId="1400F04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Competing bacterial strains</w:t>
            </w:r>
          </w:p>
        </w:tc>
        <w:tc>
          <w:tcPr>
            <w:tcW w:w="0" w:type="auto"/>
            <w:hideMark/>
          </w:tcPr>
          <w:p w14:paraId="030DE47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Biofilm structuring and host-specific colonisation advantage</w:t>
            </w:r>
          </w:p>
        </w:tc>
        <w:tc>
          <w:tcPr>
            <w:tcW w:w="0" w:type="auto"/>
            <w:hideMark/>
          </w:tcPr>
          <w:p w14:paraId="4701ECC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2014</w:t>
            </w:r>
          </w:p>
        </w:tc>
      </w:tr>
    </w:tbl>
    <w:p w14:paraId="7A3E1656"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5. Antimicrobial Peptides and Host Immune Modulation</w:t>
      </w:r>
    </w:p>
    <w:p w14:paraId="3AEBDC8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defining feature of the relationship between the honeybee gut microbiota and antimicrobial defence is that the microbiota does not act solely through its own secreted products; it also actively conditions the host's innate immune system. Honeybees possess four principal families of antimicrobial peptides, </w:t>
      </w:r>
      <w:proofErr w:type="spellStart"/>
      <w:r w:rsidRPr="00BB1673">
        <w:rPr>
          <w:rFonts w:ascii="Times New Roman" w:eastAsia="Times New Roman" w:hAnsi="Times New Roman" w:cs="Times New Roman"/>
          <w:sz w:val="24"/>
          <w:szCs w:val="24"/>
          <w:lang w:eastAsia="en-GB"/>
        </w:rPr>
        <w:t>abaecin</w:t>
      </w:r>
      <w:proofErr w:type="spellEnd"/>
      <w:r w:rsidRPr="00BB1673">
        <w:rPr>
          <w:rFonts w:ascii="Times New Roman" w:eastAsia="Times New Roman" w:hAnsi="Times New Roman" w:cs="Times New Roman"/>
          <w:sz w:val="24"/>
          <w:szCs w:val="24"/>
          <w:lang w:eastAsia="en-GB"/>
        </w:rPr>
        <w:t xml:space="preserve">,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defensin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induced </w:t>
      </w:r>
      <w:r w:rsidRPr="00BB1673">
        <w:rPr>
          <w:rFonts w:ascii="Times New Roman" w:eastAsia="Times New Roman" w:hAnsi="Times New Roman" w:cs="Times New Roman"/>
          <w:sz w:val="24"/>
          <w:szCs w:val="24"/>
          <w:lang w:eastAsia="en-GB"/>
        </w:rPr>
        <w:lastRenderedPageBreak/>
        <w:t>through the Toll and immune deficiency (</w:t>
      </w:r>
      <w:proofErr w:type="spellStart"/>
      <w:r w:rsidRPr="00BB1673">
        <w:rPr>
          <w:rFonts w:ascii="Times New Roman" w:eastAsia="Times New Roman" w:hAnsi="Times New Roman" w:cs="Times New Roman"/>
          <w:sz w:val="24"/>
          <w:szCs w:val="24"/>
          <w:lang w:eastAsia="en-GB"/>
        </w:rPr>
        <w:t>Imd</w:t>
      </w:r>
      <w:proofErr w:type="spellEnd"/>
      <w:r w:rsidRPr="00BB1673">
        <w:rPr>
          <w:rFonts w:ascii="Times New Roman" w:eastAsia="Times New Roman" w:hAnsi="Times New Roman" w:cs="Times New Roman"/>
          <w:sz w:val="24"/>
          <w:szCs w:val="24"/>
          <w:lang w:eastAsia="en-GB"/>
        </w:rPr>
        <w:t xml:space="preserve">) signalling pathways in response to bacterial challenge. Comparative studies of conventionally reared bees against microbiota-depleted or germ-free bees have shown that the presence of a normal gut microbiota is required for baseline induction of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within gut tissue, with proteomic analysis confirming elevated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concentrations in both gut lumen and haemolymph of colonised bees relative to microbiota-free controls (Kwong et al., 2017).</w:t>
      </w:r>
    </w:p>
    <w:p w14:paraId="0576ECB3"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immune-priming effect appears to be strain- and species-specific rather than a generic consequence of bacterial presence. Mono-colonisation experiments using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alone were sufficient to stimulate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xml:space="preserve"> expression, whereas subsequent work examining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found that surface-layer proteins unique to certain isolates were associated with enhanced Toll-pathway activation and improved clearance of the opportunistic pathogen </w:t>
      </w: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a bacterium implicated as a secondary invader in colonies affected by American foulbrood (Kwong et al., 2017). Notably, core symbiont taxa themselves display differential susceptibility to the very antimicrobial peptides their presence helps induce: Gram-positive members such as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are comparatively resistant to </w:t>
      </w:r>
      <w:proofErr w:type="spellStart"/>
      <w:r w:rsidRPr="00BB1673">
        <w:rPr>
          <w:rFonts w:ascii="Times New Roman" w:eastAsia="Times New Roman" w:hAnsi="Times New Roman" w:cs="Times New Roman"/>
          <w:sz w:val="24"/>
          <w:szCs w:val="24"/>
          <w:lang w:eastAsia="en-GB"/>
        </w:rPr>
        <w:t>apidaecin</w:t>
      </w:r>
      <w:proofErr w:type="spellEnd"/>
      <w:r w:rsidRPr="00BB1673">
        <w:rPr>
          <w:rFonts w:ascii="Times New Roman" w:eastAsia="Times New Roman" w:hAnsi="Times New Roman" w:cs="Times New Roman"/>
          <w:sz w:val="24"/>
          <w:szCs w:val="24"/>
          <w:lang w:eastAsia="en-GB"/>
        </w:rPr>
        <w:t xml:space="preserve"> and </w:t>
      </w:r>
      <w:proofErr w:type="spellStart"/>
      <w:r w:rsidRPr="00BB1673">
        <w:rPr>
          <w:rFonts w:ascii="Times New Roman" w:eastAsia="Times New Roman" w:hAnsi="Times New Roman" w:cs="Times New Roman"/>
          <w:sz w:val="24"/>
          <w:szCs w:val="24"/>
          <w:lang w:eastAsia="en-GB"/>
        </w:rPr>
        <w:t>hymenoptaecin</w:t>
      </w:r>
      <w:proofErr w:type="spellEnd"/>
      <w:r w:rsidRPr="00BB1673">
        <w:rPr>
          <w:rFonts w:ascii="Times New Roman" w:eastAsia="Times New Roman" w:hAnsi="Times New Roman" w:cs="Times New Roman"/>
          <w:sz w:val="24"/>
          <w:szCs w:val="24"/>
          <w:lang w:eastAsia="en-GB"/>
        </w:rPr>
        <w:t>, whereas some Gram-negative symbionts show intermediate sensitivity, a pattern consistent with a coevolved relationship in which resident bacteria tolerate the host defences they help to elicit while transient or pathogenic invaders remain more vulnerable.</w:t>
      </w:r>
    </w:p>
    <w:p w14:paraId="3E634C78"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This dual mode of protection, direct microbial antagonism combined with host immune conditioning, mirrors mechanisms increasingly recognised in mammalian systems and reinforces the conceptual basis for describing the honeybee gut microbiota as functioning collectively as an inherent antimicrobial system rather than as a passive digestive community.</w:t>
      </w:r>
    </w:p>
    <w:p w14:paraId="02796F57"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6. Gut-Symbiont-Mediated Protection Against Honeybee Pathogens</w:t>
      </w:r>
    </w:p>
    <w:p w14:paraId="07B1049F"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practical significance of these antimicrobial mechanisms is most clearly demonstrated in studies examining protection against major honeybee diseases. American foulbrood, caused by the spore-forming bacterium </w:t>
      </w: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remains among the most economically damaging bacterial diseases of managed colonies, and several native LAB strains isolated from bee bread and the honeybee gut, including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various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species, have demonstrated in vitro inhibitory activity against the pathogen (Vásquez et al., 2012). Comparable antagonism has been documented against </w:t>
      </w: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the causative agent of European foulbrood, with cell-free supernatants from selected LAB strains suppressing pathogen growth through the combined effect of organic acids and secreted inhibitory metabolites (Olofsson et al., 2016).</w:t>
      </w:r>
    </w:p>
    <w:p w14:paraId="2D0AFB1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Beyond classical foulbrood pathogens, gut-symbiont-mediated protection has been documented against the opportunistic pathogen </w:t>
      </w: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associated with bee septicaemia, where colonisation by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and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cleared the pathogen through antimicrobial peptide induction described in the preceding section (Kwong et al., 2017). A structurally distinct but conceptually related line of research has applied synthetic biology to the bee gut symbiont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itself, engineering the bacterium to express double-stranded ribonucleic acid targeted against genes of the deformed wing virus and the parasitic mite </w:t>
      </w:r>
      <w:r w:rsidRPr="00BB1673">
        <w:rPr>
          <w:rFonts w:ascii="Times New Roman" w:eastAsia="Times New Roman" w:hAnsi="Times New Roman" w:cs="Times New Roman"/>
          <w:i/>
          <w:iCs/>
          <w:sz w:val="24"/>
          <w:szCs w:val="24"/>
          <w:lang w:eastAsia="en-GB"/>
        </w:rPr>
        <w:t>Varroa destructor</w:t>
      </w:r>
      <w:r w:rsidRPr="00BB1673">
        <w:rPr>
          <w:rFonts w:ascii="Times New Roman" w:eastAsia="Times New Roman" w:hAnsi="Times New Roman" w:cs="Times New Roman"/>
          <w:sz w:val="24"/>
          <w:szCs w:val="24"/>
          <w:lang w:eastAsia="en-GB"/>
        </w:rPr>
        <w:t xml:space="preserve">. This engineered symbiont approach achieved measurable reductions in viral titre and increased mite mortality following stable gut recolonisation, representing a novel extension of the native protective role of gut bacteria into a directed antiviral and acaricidal tool, although independent commentary has cautioned that </w:t>
      </w:r>
      <w:r w:rsidRPr="00BB1673">
        <w:rPr>
          <w:rFonts w:ascii="Times New Roman" w:eastAsia="Times New Roman" w:hAnsi="Times New Roman" w:cs="Times New Roman"/>
          <w:sz w:val="24"/>
          <w:szCs w:val="24"/>
          <w:lang w:eastAsia="en-GB"/>
        </w:rPr>
        <w:lastRenderedPageBreak/>
        <w:t xml:space="preserve">its field applicability, particularly against phoretic-phase mites on adult bees, requires further evaluation before practical deployment (Leonard et al., 2020;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w:t>
      </w:r>
    </w:p>
    <w:p w14:paraId="194F7C16"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 further dimension of protection concerns resilience of the microbiota itself under antibiotic pressure, since apicultural use of antibiotics such as oxytetracycline can deplete key symbionts including </w:t>
      </w:r>
      <w:proofErr w:type="spellStart"/>
      <w:r w:rsidRPr="00BB1673">
        <w:rPr>
          <w:rFonts w:ascii="Times New Roman" w:eastAsia="Times New Roman" w:hAnsi="Times New Roman" w:cs="Times New Roman"/>
          <w:i/>
          <w:iCs/>
          <w:sz w:val="24"/>
          <w:szCs w:val="24"/>
          <w:lang w:eastAsia="en-GB"/>
        </w:rPr>
        <w:t>Frischella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perrara</w:t>
      </w:r>
      <w:proofErr w:type="spellEnd"/>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Firm-5 strains, with measurable downstream consequences for capped brood counts and haemolymph antimicrobial capacity; supplementation with a defined consortium of immunostimulatory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strains during antibiotic recovery has been shown to mitigate these deficits, restoring both microbiota composition and immune competence (Daisley et al., 2020). Table 3 summarises these pathogen-specific findings.</w:t>
      </w:r>
    </w:p>
    <w:p w14:paraId="1958215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3. Selected Evidence on Gut-Symbiont-Mediated Protection Against Honeybee Pathogens and Stressors</w:t>
      </w:r>
    </w:p>
    <w:tbl>
      <w:tblPr>
        <w:tblStyle w:val="TableGridLight"/>
        <w:tblW w:w="0" w:type="auto"/>
        <w:tblLook w:val="04A0" w:firstRow="1" w:lastRow="0" w:firstColumn="1" w:lastColumn="0" w:noHBand="0" w:noVBand="1"/>
      </w:tblPr>
      <w:tblGrid>
        <w:gridCol w:w="2358"/>
        <w:gridCol w:w="2601"/>
        <w:gridCol w:w="2694"/>
        <w:gridCol w:w="1589"/>
      </w:tblGrid>
      <w:tr w:rsidR="00BB1673" w:rsidRPr="00BB1673" w14:paraId="676F1745" w14:textId="77777777" w:rsidTr="00BB1673">
        <w:tc>
          <w:tcPr>
            <w:tcW w:w="0" w:type="auto"/>
            <w:hideMark/>
          </w:tcPr>
          <w:p w14:paraId="6502B69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Pathogen / Stressor</w:t>
            </w:r>
          </w:p>
        </w:tc>
        <w:tc>
          <w:tcPr>
            <w:tcW w:w="0" w:type="auto"/>
            <w:hideMark/>
          </w:tcPr>
          <w:p w14:paraId="3422B939"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Symbiont-Based Intervention</w:t>
            </w:r>
          </w:p>
        </w:tc>
        <w:tc>
          <w:tcPr>
            <w:tcW w:w="0" w:type="auto"/>
            <w:hideMark/>
          </w:tcPr>
          <w:p w14:paraId="33288817"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Reported Outcome</w:t>
            </w:r>
          </w:p>
        </w:tc>
        <w:tc>
          <w:tcPr>
            <w:tcW w:w="0" w:type="auto"/>
            <w:hideMark/>
          </w:tcPr>
          <w:p w14:paraId="34F99FAA"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746296CE" w14:textId="77777777" w:rsidTr="00BB1673">
        <w:tc>
          <w:tcPr>
            <w:tcW w:w="0" w:type="auto"/>
            <w:hideMark/>
          </w:tcPr>
          <w:p w14:paraId="2BDC9C17"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Paenibacillus</w:t>
            </w:r>
            <w:proofErr w:type="spellEnd"/>
            <w:r w:rsidRPr="00BB1673">
              <w:rPr>
                <w:rFonts w:ascii="Times New Roman" w:eastAsia="Times New Roman" w:hAnsi="Times New Roman" w:cs="Times New Roman"/>
                <w:i/>
                <w:iCs/>
                <w:sz w:val="24"/>
                <w:szCs w:val="24"/>
                <w:lang w:eastAsia="en-GB"/>
              </w:rPr>
              <w:t xml:space="preserve"> larvae</w:t>
            </w:r>
            <w:r w:rsidRPr="00BB1673">
              <w:rPr>
                <w:rFonts w:ascii="Times New Roman" w:eastAsia="Times New Roman" w:hAnsi="Times New Roman" w:cs="Times New Roman"/>
                <w:sz w:val="24"/>
                <w:szCs w:val="24"/>
                <w:lang w:eastAsia="en-GB"/>
              </w:rPr>
              <w:t xml:space="preserve"> (American foulbrood)</w:t>
            </w:r>
          </w:p>
        </w:tc>
        <w:tc>
          <w:tcPr>
            <w:tcW w:w="0" w:type="auto"/>
            <w:hideMark/>
          </w:tcPr>
          <w:p w14:paraId="495CF90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Native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strains</w:t>
            </w:r>
          </w:p>
        </w:tc>
        <w:tc>
          <w:tcPr>
            <w:tcW w:w="0" w:type="auto"/>
            <w:hideMark/>
          </w:tcPr>
          <w:p w14:paraId="0ECA066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In vitro growth inhibition; proposed biocontrol candidates</w:t>
            </w:r>
          </w:p>
        </w:tc>
        <w:tc>
          <w:tcPr>
            <w:tcW w:w="0" w:type="auto"/>
            <w:hideMark/>
          </w:tcPr>
          <w:p w14:paraId="7764E2E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Vásquez et al., 2012</w:t>
            </w:r>
          </w:p>
        </w:tc>
      </w:tr>
      <w:tr w:rsidR="00BB1673" w:rsidRPr="00BB1673" w14:paraId="703A1337" w14:textId="77777777" w:rsidTr="00BB1673">
        <w:tc>
          <w:tcPr>
            <w:tcW w:w="0" w:type="auto"/>
            <w:hideMark/>
          </w:tcPr>
          <w:p w14:paraId="05404EA8"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Melissococcus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plutonius</w:t>
            </w:r>
            <w:proofErr w:type="spellEnd"/>
            <w:r w:rsidRPr="00BB1673">
              <w:rPr>
                <w:rFonts w:ascii="Times New Roman" w:eastAsia="Times New Roman" w:hAnsi="Times New Roman" w:cs="Times New Roman"/>
                <w:sz w:val="24"/>
                <w:szCs w:val="24"/>
                <w:lang w:eastAsia="en-GB"/>
              </w:rPr>
              <w:t xml:space="preserve"> (European foulbrood)</w:t>
            </w:r>
          </w:p>
        </w:tc>
        <w:tc>
          <w:tcPr>
            <w:tcW w:w="0" w:type="auto"/>
            <w:hideMark/>
          </w:tcPr>
          <w:p w14:paraId="0F16333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LAB cell-free supernatants</w:t>
            </w:r>
          </w:p>
        </w:tc>
        <w:tc>
          <w:tcPr>
            <w:tcW w:w="0" w:type="auto"/>
            <w:hideMark/>
          </w:tcPr>
          <w:p w14:paraId="61B7709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Antagonistic activity attributable to organic acids and secreted metabolites</w:t>
            </w:r>
          </w:p>
        </w:tc>
        <w:tc>
          <w:tcPr>
            <w:tcW w:w="0" w:type="auto"/>
            <w:hideMark/>
          </w:tcPr>
          <w:p w14:paraId="55671FC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Olofsson et al., 2016</w:t>
            </w:r>
          </w:p>
        </w:tc>
      </w:tr>
      <w:tr w:rsidR="00BB1673" w:rsidRPr="00BB1673" w14:paraId="1BCDF753" w14:textId="77777777" w:rsidTr="00BB1673">
        <w:tc>
          <w:tcPr>
            <w:tcW w:w="0" w:type="auto"/>
            <w:hideMark/>
          </w:tcPr>
          <w:p w14:paraId="7F00189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Hafnia alvei</w:t>
            </w:r>
            <w:r w:rsidRPr="00BB1673">
              <w:rPr>
                <w:rFonts w:ascii="Times New Roman" w:eastAsia="Times New Roman" w:hAnsi="Times New Roman" w:cs="Times New Roman"/>
                <w:sz w:val="24"/>
                <w:szCs w:val="24"/>
                <w:lang w:eastAsia="en-GB"/>
              </w:rPr>
              <w:t xml:space="preserve"> (bee septicaemia)</w:t>
            </w:r>
          </w:p>
        </w:tc>
        <w:tc>
          <w:tcPr>
            <w:tcW w:w="0" w:type="auto"/>
            <w:hideMark/>
          </w:tcPr>
          <w:p w14:paraId="41BC638C"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 specific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mono-colonisation</w:t>
            </w:r>
          </w:p>
        </w:tc>
        <w:tc>
          <w:tcPr>
            <w:tcW w:w="0" w:type="auto"/>
            <w:hideMark/>
          </w:tcPr>
          <w:p w14:paraId="7343D41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Antimicrobial-peptide-mediated pathogen clearance</w:t>
            </w:r>
          </w:p>
        </w:tc>
        <w:tc>
          <w:tcPr>
            <w:tcW w:w="0" w:type="auto"/>
            <w:hideMark/>
          </w:tcPr>
          <w:p w14:paraId="0C2C553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Kwong et al., 2017</w:t>
            </w:r>
          </w:p>
        </w:tc>
      </w:tr>
      <w:tr w:rsidR="00BB1673" w:rsidRPr="00BB1673" w14:paraId="26844D5E" w14:textId="77777777" w:rsidTr="00BB1673">
        <w:tc>
          <w:tcPr>
            <w:tcW w:w="0" w:type="auto"/>
            <w:hideMark/>
          </w:tcPr>
          <w:p w14:paraId="4795E48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Deformed wing virus / </w:t>
            </w:r>
            <w:r w:rsidRPr="00BB1673">
              <w:rPr>
                <w:rFonts w:ascii="Times New Roman" w:eastAsia="Times New Roman" w:hAnsi="Times New Roman" w:cs="Times New Roman"/>
                <w:i/>
                <w:iCs/>
                <w:sz w:val="24"/>
                <w:szCs w:val="24"/>
                <w:lang w:eastAsia="en-GB"/>
              </w:rPr>
              <w:t>Varroa destructor</w:t>
            </w:r>
          </w:p>
        </w:tc>
        <w:tc>
          <w:tcPr>
            <w:tcW w:w="0" w:type="auto"/>
            <w:hideMark/>
          </w:tcPr>
          <w:p w14:paraId="5C6DADF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Engineered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expressing targeted dsRNA</w:t>
            </w:r>
          </w:p>
        </w:tc>
        <w:tc>
          <w:tcPr>
            <w:tcW w:w="0" w:type="auto"/>
            <w:hideMark/>
          </w:tcPr>
          <w:p w14:paraId="76B6E3A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Reduced viral load; increased mite mortality</w:t>
            </w:r>
          </w:p>
        </w:tc>
        <w:tc>
          <w:tcPr>
            <w:tcW w:w="0" w:type="auto"/>
            <w:hideMark/>
          </w:tcPr>
          <w:p w14:paraId="61481CC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Leonard et al., 2020;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w:t>
            </w:r>
          </w:p>
        </w:tc>
      </w:tr>
      <w:tr w:rsidR="00BB1673" w:rsidRPr="00BB1673" w14:paraId="5A60FDC0" w14:textId="77777777" w:rsidTr="00BB1673">
        <w:tc>
          <w:tcPr>
            <w:tcW w:w="0" w:type="auto"/>
            <w:hideMark/>
          </w:tcPr>
          <w:p w14:paraId="3C98D18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Oxytetracycline-induced dysbiosis</w:t>
            </w:r>
          </w:p>
        </w:tc>
        <w:tc>
          <w:tcPr>
            <w:tcW w:w="0" w:type="auto"/>
            <w:hideMark/>
          </w:tcPr>
          <w:p w14:paraId="4DAB4C0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Multi-strain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supplementation during recovery</w:t>
            </w:r>
          </w:p>
        </w:tc>
        <w:tc>
          <w:tcPr>
            <w:tcW w:w="0" w:type="auto"/>
            <w:hideMark/>
          </w:tcPr>
          <w:p w14:paraId="3F91CCBE"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Restoration of microbiota composition and immune competence</w:t>
            </w:r>
          </w:p>
        </w:tc>
        <w:tc>
          <w:tcPr>
            <w:tcW w:w="0" w:type="auto"/>
            <w:hideMark/>
          </w:tcPr>
          <w:p w14:paraId="57686113"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Daisley et al., 2020</w:t>
            </w:r>
          </w:p>
        </w:tc>
      </w:tr>
    </w:tbl>
    <w:p w14:paraId="55F3A583"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7. Environmental Stressors, Dysbiosis and Links to Antimicrobial Resistance</w:t>
      </w:r>
    </w:p>
    <w:p w14:paraId="7F21689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protective capacity described above is not fixed but is contingent on the integrity of the resident microbial community, and this integrity is increasingly threatened by anthropogenic stressors. Agrochemical exposure, particularly to neonicotinoid insecticides and to glyphosate-based herbicides, has been shown to reduce the abundance of core symbionts including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populations, with consequences for detoxification capacity and susceptibility to opportunistic infection (Nowak et al., 2021; Motta &amp; Moran, 2024). Veterinary antibiotic use within apiculture compounds this problem. Longstanding use of oxytetracycline and related compounds to manage foulbrood in some countries has produced measurable enrichment of antibiotic-resistance determinants, including efflux-pump genes, within the core gut microbiota of honeybees, a pattern most pronounced in regions with the longest history of antibiotic application in beekeeping (Daisley et al., 2020).</w:t>
      </w:r>
    </w:p>
    <w:p w14:paraId="3FB6F03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It is notable, in this context, that experimental comparisons of commercially available and native probiotic strains have found that non-native commercial products generally fail to establish within the bee gut, whereas cultured strains of native gut bacteria colonise robustly, and that overall evidence for meaningful health benefit from commercial bee probiotics remains mixed. This distinction underscores the importance of strain provenance and prior characterisation in any probiotic intervention, whether directed at bees or, by extension, at humans (Motta et al., 2022).</w:t>
      </w:r>
    </w:p>
    <w:p w14:paraId="682ACCE4"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This observation carries implications that extend beyond bee health. Where antibiotic-exposed bee microbiota harbour elevated frequencies of resistance genes, and where horizontal gene transfer among gut community members has been documented in both honeybee and mammalian systems, honeybee colonies and their products represent a potential, if currently under-characterised, reservoir and vector for resistance determinants within the broader agricultural and environmental landscape (Nowak et al., 2021). This possibility does not contradict the antimicrobial potential described earlier in this review; rather, the same selective pressure created by antibiotic exposure can deplete beneficial antagonistic taxa while simultaneously enriching resistance genes among the bacteria that persist.</w:t>
      </w:r>
    </w:p>
    <w:p w14:paraId="4D032F47"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The wider public-health backdrop against which these findings should be interpreted is substantial. Bacterial antimicrobial resistance was estimated to be directly responsible for over a million deaths and to be associated with close to five million deaths globally in 2019 (Antimicrobial Resistance Collaborators, 2022), and updated modelling projects that resistance-attributable mortality will continue to rise in absolute terms through 2050 even as age-standardised rates begin to decline in some regions (GBD 2021 Antimicrobial Resistance Collaborators, 2024). It is against this trajectory that interest in naturally occurring antimicrobial systems, honeybee-associated bacteria among them, has intensified, though the environmental evidence reviewed here also counsels caution regarding the unqualified assumption that all honeybee-derived material is free of resistance-relevant genetic material.</w:t>
      </w:r>
    </w:p>
    <w:p w14:paraId="0E399894"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8. From Hive to Human: Apitherapeutic Products and Antimicrobial Activity Against Human Pathogens</w:t>
      </w:r>
    </w:p>
    <w:p w14:paraId="529F1AD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translational relevance of the honeybee gut microbiota to human health is most directly evidenced through the fermented products it helps generate and through the direct application of bee-associated bacteria against human pathogens. Honey itself is now understood to derive part of its long-recognised antibacterial reputation not merely from enzymatically generated hydrogen peroxide, low water activity and acidity, but also from the lactic acid bacterial community seeded into fresh honey from the honey stomach of forager bees. Work applying these honey-associated LAB directly against clinically significant wound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xml:space="preserve"> and vancomycin-resistant enterococci, demonstrated substantial antagonistic activity, suggesting that the bacteria themselves, rather than honey's abiotic properties alone, may account for a meaningful proportion of its traditional therapeutic efficacy (Olofsson et al., 2016). A companion pilot study applying the same lactic acid bacterial symbionts to samples from human chronic wounds reported inhibitory activity against a broad panel of wound-associated pathogens, offering preliminary clinical-context evidence that these organisms retain antimicrobial function outside the hive environment (Butler et al., 2016). Seasonal sampling of the honey stomach itself indicates that antimicrobial production by this resident LAB community is not constant but fluctuates across the year, implying that the antibacterial </w:t>
      </w:r>
      <w:r w:rsidRPr="00BB1673">
        <w:rPr>
          <w:rFonts w:ascii="Times New Roman" w:eastAsia="Times New Roman" w:hAnsi="Times New Roman" w:cs="Times New Roman"/>
          <w:sz w:val="24"/>
          <w:szCs w:val="24"/>
          <w:lang w:eastAsia="en-GB"/>
        </w:rPr>
        <w:lastRenderedPageBreak/>
        <w:t>potency of fresh honey depends in part on hive and environmental conditions at the time of collection rather than being a fixed property of the product (Mundo et al., 2023).</w:t>
      </w:r>
    </w:p>
    <w:p w14:paraId="3CD48E7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Propolis, the resinous material bees collect from plant exudates and modify with salivary and enzymatic secretions, exerts antibacterial activity through a chemically distinct route dominated by flavonoids such as </w:t>
      </w:r>
      <w:proofErr w:type="spellStart"/>
      <w:r w:rsidRPr="00BB1673">
        <w:rPr>
          <w:rFonts w:ascii="Times New Roman" w:eastAsia="Times New Roman" w:hAnsi="Times New Roman" w:cs="Times New Roman"/>
          <w:sz w:val="24"/>
          <w:szCs w:val="24"/>
          <w:lang w:eastAsia="en-GB"/>
        </w:rPr>
        <w:t>galangin</w:t>
      </w:r>
      <w:proofErr w:type="spellEnd"/>
      <w:r w:rsidRPr="00BB1673">
        <w:rPr>
          <w:rFonts w:ascii="Times New Roman" w:eastAsia="Times New Roman" w:hAnsi="Times New Roman" w:cs="Times New Roman"/>
          <w:sz w:val="24"/>
          <w:szCs w:val="24"/>
          <w:lang w:eastAsia="en-GB"/>
        </w:rPr>
        <w:t xml:space="preserve">, chrysin and quercetin together with phenolic acids. These compounds have been shown to inhibit bacterial cell-wall synthesis, disrupt membrane integrity and interfere with nucleic acid synthesis by targeting DNA gyrase and topoisomerase enzymes, with greater potency generally reported against Gram-positive organisms such as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than against Gram-negative species (</w:t>
      </w: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2020). Region-specific propolis extracts have demonstrated activity against both methicillin-sensitive and methicillin-resistant strains of </w:t>
      </w:r>
      <w:r w:rsidRPr="00BB1673">
        <w:rPr>
          <w:rFonts w:ascii="Times New Roman" w:eastAsia="Times New Roman" w:hAnsi="Times New Roman" w:cs="Times New Roman"/>
          <w:i/>
          <w:iCs/>
          <w:sz w:val="24"/>
          <w:szCs w:val="24"/>
          <w:lang w:eastAsia="en-GB"/>
        </w:rPr>
        <w:t>S. aureus</w:t>
      </w:r>
      <w:r w:rsidRPr="00BB1673">
        <w:rPr>
          <w:rFonts w:ascii="Times New Roman" w:eastAsia="Times New Roman" w:hAnsi="Times New Roman" w:cs="Times New Roman"/>
          <w:sz w:val="24"/>
          <w:szCs w:val="24"/>
          <w:lang w:eastAsia="en-GB"/>
        </w:rPr>
        <w:t>, with total phenolic and flavonoid content shown to correlate with the strength of this effect, and evidence of synergistic enhancement when combined with conventional antibiotics has renewed interest in propolis as an adjunct rather than a standalone antimicrobial agent (</w:t>
      </w:r>
      <w:r w:rsidRPr="00BB1673">
        <w:rPr>
          <w:rFonts w:ascii="Times New Roman" w:eastAsia="Times New Roman" w:hAnsi="Times New Roman" w:cs="Times New Roman"/>
          <w:b/>
          <w:bCs/>
          <w:sz w:val="24"/>
          <w:szCs w:val="24"/>
          <w:lang w:eastAsia="en-GB"/>
        </w:rPr>
        <w:t>Bouchelaghem et al., 2022</w:t>
      </w:r>
      <w:r w:rsidRPr="00BB1673">
        <w:rPr>
          <w:rFonts w:ascii="Times New Roman" w:eastAsia="Times New Roman" w:hAnsi="Times New Roman" w:cs="Times New Roman"/>
          <w:sz w:val="24"/>
          <w:szCs w:val="24"/>
          <w:lang w:eastAsia="en-GB"/>
        </w:rPr>
        <w:t>).</w:t>
      </w:r>
    </w:p>
    <w:p w14:paraId="416AD44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formed through lactic fermentation of pollen within the comb, represents a further product in which the same LAB community responsible for gut and honey antimicrobial activity plays a preservative role, lowering pH and generating antimicrobial metabolites that protect the stored pollen from spoilage organisms while simultaneously enhancing its nutritional bioavailability for both bees and, when consumed as a functional food, for humans (</w:t>
      </w: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 Table 4 draws together these product-level findings.</w:t>
      </w:r>
    </w:p>
    <w:p w14:paraId="3A5DBE1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4. Antimicrobial Properties of Hive-Derived Products Relevant to Human Pathogens</w:t>
      </w:r>
    </w:p>
    <w:tbl>
      <w:tblPr>
        <w:tblStyle w:val="TableGridLight"/>
        <w:tblW w:w="0" w:type="auto"/>
        <w:tblLook w:val="04A0" w:firstRow="1" w:lastRow="0" w:firstColumn="1" w:lastColumn="0" w:noHBand="0" w:noVBand="1"/>
      </w:tblPr>
      <w:tblGrid>
        <w:gridCol w:w="1629"/>
        <w:gridCol w:w="2263"/>
        <w:gridCol w:w="2910"/>
        <w:gridCol w:w="2440"/>
      </w:tblGrid>
      <w:tr w:rsidR="00BB1673" w:rsidRPr="00BB1673" w14:paraId="6992CE2B" w14:textId="77777777" w:rsidTr="00BB1673">
        <w:tc>
          <w:tcPr>
            <w:tcW w:w="0" w:type="auto"/>
            <w:hideMark/>
          </w:tcPr>
          <w:p w14:paraId="3951871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Product</w:t>
            </w:r>
          </w:p>
        </w:tc>
        <w:tc>
          <w:tcPr>
            <w:tcW w:w="0" w:type="auto"/>
            <w:hideMark/>
          </w:tcPr>
          <w:p w14:paraId="07B7587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Principal Bioactive Basis</w:t>
            </w:r>
          </w:p>
        </w:tc>
        <w:tc>
          <w:tcPr>
            <w:tcW w:w="0" w:type="auto"/>
            <w:hideMark/>
          </w:tcPr>
          <w:p w14:paraId="1FC8A28C"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Human-Relevant Pathogens/Targets</w:t>
            </w:r>
          </w:p>
        </w:tc>
        <w:tc>
          <w:tcPr>
            <w:tcW w:w="0" w:type="auto"/>
            <w:hideMark/>
          </w:tcPr>
          <w:p w14:paraId="6F1090E0"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1F21CA41" w14:textId="77777777" w:rsidTr="00BB1673">
        <w:tc>
          <w:tcPr>
            <w:tcW w:w="0" w:type="auto"/>
            <w:hideMark/>
          </w:tcPr>
          <w:p w14:paraId="3FFC3DEF"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(LAB-associated fraction)</w:t>
            </w:r>
          </w:p>
        </w:tc>
        <w:tc>
          <w:tcPr>
            <w:tcW w:w="0" w:type="auto"/>
            <w:hideMark/>
          </w:tcPr>
          <w:p w14:paraId="4AE0CC6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stomach lactic acid bacterial symbionts, organic acids</w:t>
            </w:r>
          </w:p>
        </w:tc>
        <w:tc>
          <w:tcPr>
            <w:tcW w:w="0" w:type="auto"/>
            <w:hideMark/>
          </w:tcPr>
          <w:p w14:paraId="2D0E1EF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MRSA,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vancomycin-resistant enterococci</w:t>
            </w:r>
          </w:p>
        </w:tc>
        <w:tc>
          <w:tcPr>
            <w:tcW w:w="0" w:type="auto"/>
            <w:hideMark/>
          </w:tcPr>
          <w:p w14:paraId="11C71FF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Olofsson et al., 2016; Butler et al., 2016; Mundo et al., 2023</w:t>
            </w:r>
          </w:p>
        </w:tc>
      </w:tr>
      <w:tr w:rsidR="00BB1673" w:rsidRPr="00BB1673" w14:paraId="1734A9D8" w14:textId="77777777" w:rsidTr="00BB1673">
        <w:tc>
          <w:tcPr>
            <w:tcW w:w="0" w:type="auto"/>
            <w:hideMark/>
          </w:tcPr>
          <w:p w14:paraId="6E58E7B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Propolis</w:t>
            </w:r>
          </w:p>
        </w:tc>
        <w:tc>
          <w:tcPr>
            <w:tcW w:w="0" w:type="auto"/>
            <w:hideMark/>
          </w:tcPr>
          <w:p w14:paraId="63BD677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Flavonoids (</w:t>
            </w:r>
            <w:proofErr w:type="spellStart"/>
            <w:r w:rsidRPr="00BB1673">
              <w:rPr>
                <w:rFonts w:ascii="Times New Roman" w:eastAsia="Times New Roman" w:hAnsi="Times New Roman" w:cs="Times New Roman"/>
                <w:sz w:val="24"/>
                <w:szCs w:val="24"/>
                <w:lang w:eastAsia="en-GB"/>
              </w:rPr>
              <w:t>galangin</w:t>
            </w:r>
            <w:proofErr w:type="spellEnd"/>
            <w:r w:rsidRPr="00BB1673">
              <w:rPr>
                <w:rFonts w:ascii="Times New Roman" w:eastAsia="Times New Roman" w:hAnsi="Times New Roman" w:cs="Times New Roman"/>
                <w:sz w:val="24"/>
                <w:szCs w:val="24"/>
                <w:lang w:eastAsia="en-GB"/>
              </w:rPr>
              <w:t>, chrysin, quercetin) and phenolic acids</w:t>
            </w:r>
          </w:p>
        </w:tc>
        <w:tc>
          <w:tcPr>
            <w:tcW w:w="0" w:type="auto"/>
            <w:hideMark/>
          </w:tcPr>
          <w:p w14:paraId="743704F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(including MRSA), </w:t>
            </w:r>
            <w:r w:rsidRPr="00BB1673">
              <w:rPr>
                <w:rFonts w:ascii="Times New Roman" w:eastAsia="Times New Roman" w:hAnsi="Times New Roman" w:cs="Times New Roman"/>
                <w:i/>
                <w:iCs/>
                <w:sz w:val="24"/>
                <w:szCs w:val="24"/>
                <w:lang w:eastAsia="en-GB"/>
              </w:rPr>
              <w:t>Candida albicans</w:t>
            </w:r>
          </w:p>
        </w:tc>
        <w:tc>
          <w:tcPr>
            <w:tcW w:w="0" w:type="auto"/>
            <w:hideMark/>
          </w:tcPr>
          <w:p w14:paraId="7DC55AAD"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2020; </w:t>
            </w:r>
            <w:r w:rsidRPr="00BB1673">
              <w:rPr>
                <w:rFonts w:ascii="Times New Roman" w:eastAsia="Times New Roman" w:hAnsi="Times New Roman" w:cs="Times New Roman"/>
                <w:b/>
                <w:bCs/>
                <w:sz w:val="24"/>
                <w:szCs w:val="24"/>
                <w:lang w:eastAsia="en-GB"/>
              </w:rPr>
              <w:t>Bouchelaghem et al., 2022</w:t>
            </w:r>
          </w:p>
        </w:tc>
      </w:tr>
      <w:tr w:rsidR="00BB1673" w:rsidRPr="00BB1673" w14:paraId="25DD39F0" w14:textId="77777777" w:rsidTr="00BB1673">
        <w:tc>
          <w:tcPr>
            <w:tcW w:w="0" w:type="auto"/>
            <w:hideMark/>
          </w:tcPr>
          <w:p w14:paraId="5A6474D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(fermented pollen)</w:t>
            </w:r>
          </w:p>
        </w:tc>
        <w:tc>
          <w:tcPr>
            <w:tcW w:w="0" w:type="auto"/>
            <w:hideMark/>
          </w:tcPr>
          <w:p w14:paraId="5AE37735"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LAB fermentation metabolites, low pH environment</w:t>
            </w:r>
          </w:p>
        </w:tc>
        <w:tc>
          <w:tcPr>
            <w:tcW w:w="0" w:type="auto"/>
            <w:hideMark/>
          </w:tcPr>
          <w:p w14:paraId="636105F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Food-spoilage and enteric organisms (in vitro/preservative context)</w:t>
            </w:r>
          </w:p>
        </w:tc>
        <w:tc>
          <w:tcPr>
            <w:tcW w:w="0" w:type="auto"/>
            <w:hideMark/>
          </w:tcPr>
          <w:p w14:paraId="1C2DD8A7"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w:t>
            </w:r>
          </w:p>
        </w:tc>
      </w:tr>
      <w:tr w:rsidR="00BB1673" w:rsidRPr="00BB1673" w14:paraId="3FA7BB87" w14:textId="77777777" w:rsidTr="00BB1673">
        <w:tc>
          <w:tcPr>
            <w:tcW w:w="0" w:type="auto"/>
            <w:hideMark/>
          </w:tcPr>
          <w:p w14:paraId="330479A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Larval food / royal jelly milieu</w:t>
            </w:r>
          </w:p>
        </w:tc>
        <w:tc>
          <w:tcPr>
            <w:tcW w:w="0" w:type="auto"/>
            <w:hideMark/>
          </w:tcPr>
          <w:p w14:paraId="4DBC418E"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Bombella</w:t>
            </w:r>
            <w:proofErr w:type="spellEnd"/>
            <w:r w:rsidRPr="00BB1673">
              <w:rPr>
                <w:rFonts w:ascii="Times New Roman" w:eastAsia="Times New Roman" w:hAnsi="Times New Roman" w:cs="Times New Roman"/>
                <w:sz w:val="24"/>
                <w:szCs w:val="24"/>
                <w:lang w:eastAsia="en-GB"/>
              </w:rPr>
              <w:t>-associated antimicrobial and osmotolerant activity</w:t>
            </w:r>
          </w:p>
        </w:tc>
        <w:tc>
          <w:tcPr>
            <w:tcW w:w="0" w:type="auto"/>
            <w:hideMark/>
          </w:tcPr>
          <w:p w14:paraId="4A2BB36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Gram-positive opportunists, fungal invaders</w:t>
            </w:r>
          </w:p>
        </w:tc>
        <w:tc>
          <w:tcPr>
            <w:tcW w:w="0" w:type="auto"/>
            <w:hideMark/>
          </w:tcPr>
          <w:p w14:paraId="098EA049"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Motta &amp; Moran, 2024</w:t>
            </w:r>
          </w:p>
        </w:tc>
      </w:tr>
    </w:tbl>
    <w:p w14:paraId="20D20DED"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9. Honeybee-Derived Probiotic Candidates for Human Health Applications</w:t>
      </w:r>
    </w:p>
    <w:p w14:paraId="356CF57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Distinct from the antimicrobial properties of hive products themselves, a smaller body of work has evaluated whether individual honeybee gut- or hive-derived bacterial strains meet recognised criteria for human probiotic use. The internationally accepted definition, developed jointly by the Food and Agriculture Organization and the World Health Organization and subsequently refined by an expert consensus panel, specifies that a </w:t>
      </w:r>
      <w:r w:rsidRPr="00BB1673">
        <w:rPr>
          <w:rFonts w:ascii="Times New Roman" w:eastAsia="Times New Roman" w:hAnsi="Times New Roman" w:cs="Times New Roman"/>
          <w:sz w:val="24"/>
          <w:szCs w:val="24"/>
          <w:lang w:eastAsia="en-GB"/>
        </w:rPr>
        <w:lastRenderedPageBreak/>
        <w:t>probiotic is a living microbial preparation which, given in sufficient dose, produces a measurable benefit for the host's health (Hill et al., 2014). Meeting this definition requires evidence of strain-level safety, tolerance of gastrointestinal transit conditions including gastric acidity and bile salts, and a documented mechanism of benefit, criteria considerably more stringent than simple demonstration of in vitro antimicrobial activity.</w:t>
      </w:r>
    </w:p>
    <w:p w14:paraId="3010E0AB"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 </w:t>
      </w:r>
      <w:proofErr w:type="spellStart"/>
      <w:r w:rsidRPr="00BB1673">
        <w:rPr>
          <w:rFonts w:ascii="Times New Roman" w:eastAsia="Times New Roman" w:hAnsi="Times New Roman" w:cs="Times New Roman"/>
          <w:sz w:val="24"/>
          <w:szCs w:val="24"/>
          <w:lang w:eastAsia="en-GB"/>
        </w:rPr>
        <w:t>fructophilic</w:t>
      </w:r>
      <w:proofErr w:type="spellEnd"/>
      <w:r w:rsidRPr="00BB1673">
        <w:rPr>
          <w:rFonts w:ascii="Times New Roman" w:eastAsia="Times New Roman" w:hAnsi="Times New Roman" w:cs="Times New Roman"/>
          <w:sz w:val="24"/>
          <w:szCs w:val="24"/>
          <w:lang w:eastAsia="en-GB"/>
        </w:rPr>
        <w:t xml:space="preserve"> lactic acid bacterium recurrently isolated from bee bread and the honeybee gut, has received the most direct evaluation against these criteria. Strains isolated from hive products have demonstrated favourable enzymatic profiles, including β-glucosidase and β-galactosidase activity, low intrinsic antibiotic resistance, inhibitory activity against </w:t>
      </w:r>
      <w:r w:rsidRPr="00BB1673">
        <w:rPr>
          <w:rFonts w:ascii="Times New Roman" w:eastAsia="Times New Roman" w:hAnsi="Times New Roman" w:cs="Times New Roman"/>
          <w:i/>
          <w:iCs/>
          <w:sz w:val="24"/>
          <w:szCs w:val="24"/>
          <w:lang w:eastAsia="en-GB"/>
        </w:rPr>
        <w:t>Pseudomonas aeruginosa</w:t>
      </w:r>
      <w:r w:rsidRPr="00BB1673">
        <w:rPr>
          <w:rFonts w:ascii="Times New Roman" w:eastAsia="Times New Roman" w:hAnsi="Times New Roman" w:cs="Times New Roman"/>
          <w:sz w:val="24"/>
          <w:szCs w:val="24"/>
          <w:lang w:eastAsia="en-GB"/>
        </w:rPr>
        <w:t xml:space="preserve"> and, in some strains, against </w:t>
      </w:r>
      <w:r w:rsidRPr="00BB1673">
        <w:rPr>
          <w:rFonts w:ascii="Times New Roman" w:eastAsia="Times New Roman" w:hAnsi="Times New Roman" w:cs="Times New Roman"/>
          <w:i/>
          <w:iCs/>
          <w:sz w:val="24"/>
          <w:szCs w:val="24"/>
          <w:lang w:eastAsia="en-GB"/>
        </w:rPr>
        <w:t>Enterococcus faecalis</w:t>
      </w:r>
      <w:r w:rsidRPr="00BB1673">
        <w:rPr>
          <w:rFonts w:ascii="Times New Roman" w:eastAsia="Times New Roman" w:hAnsi="Times New Roman" w:cs="Times New Roman"/>
          <w:sz w:val="24"/>
          <w:szCs w:val="24"/>
          <w:lang w:eastAsia="en-GB"/>
        </w:rPr>
        <w:t xml:space="preserve">, and survival through simulated gastrointestinal transit comparable to or better than that of </w:t>
      </w:r>
      <w:proofErr w:type="spellStart"/>
      <w:r w:rsidRPr="00BB1673">
        <w:rPr>
          <w:rFonts w:ascii="Times New Roman" w:eastAsia="Times New Roman" w:hAnsi="Times New Roman" w:cs="Times New Roman"/>
          <w:i/>
          <w:iCs/>
          <w:sz w:val="24"/>
          <w:szCs w:val="24"/>
          <w:lang w:eastAsia="en-GB"/>
        </w:rPr>
        <w:t>Lacticaseibacillus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rhamnosus</w:t>
      </w:r>
      <w:proofErr w:type="spellEnd"/>
      <w:r w:rsidRPr="00BB1673">
        <w:rPr>
          <w:rFonts w:ascii="Times New Roman" w:eastAsia="Times New Roman" w:hAnsi="Times New Roman" w:cs="Times New Roman"/>
          <w:sz w:val="24"/>
          <w:szCs w:val="24"/>
          <w:lang w:eastAsia="en-GB"/>
        </w:rPr>
        <w:t xml:space="preserve"> GG, a benchmark commercial probiotic strain (</w:t>
      </w: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 The recurrent natural presence of this organism in honey and other traditionally consumed hive products lends indirect support to an argument for its likely safety in human consumption, although this inference falls short of the direct safety and efficacy data that formal regulatory approval would require.</w:t>
      </w:r>
    </w:p>
    <w:p w14:paraId="1287DA30"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broader honey-associated LAB consortium characterised by Olofsson, Vásquez and colleagues has similarly been positioned as a candidate source of human-relevant probiotic and antimicrobial material, with the same strains implicated in honey's antibacterial activity against wound pathogens also proposed, on the basis of their natural dietary presence, as candidates for further probiotic development (Vásquez et al., 2012; Olofsson et al., 2016). More broadly, reviews of honey and honeybee-associated bacteria as sources of probiotic and prebiotic products have catalogued a wider range of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and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isolates from bee bread and honey exhibiting gastrointestinal stress tolerance and prebiotic substrate utilisation relevant to human digestive health, although the authors of these reviews consistently note that most such evidence remains preclinical, derived predominantly from in vitro gastrointestinal simulation rather than controlled human trials (</w:t>
      </w: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&amp; Ibrahim, 2022). Table 5 summarises the principal candidate strains and the human-relevant probiotic traits documented for each.</w:t>
      </w:r>
    </w:p>
    <w:p w14:paraId="00CA23A8"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b/>
          <w:bCs/>
          <w:sz w:val="24"/>
          <w:szCs w:val="24"/>
          <w:lang w:eastAsia="en-GB"/>
        </w:rPr>
        <w:t>Table 5. Candidate Honeybee-Derived Lactic Acid Bacteria Evaluated Against Human Probiotic Criteria</w:t>
      </w:r>
    </w:p>
    <w:tbl>
      <w:tblPr>
        <w:tblStyle w:val="TableGridLight"/>
        <w:tblW w:w="0" w:type="auto"/>
        <w:tblLook w:val="04A0" w:firstRow="1" w:lastRow="0" w:firstColumn="1" w:lastColumn="0" w:noHBand="0" w:noVBand="1"/>
      </w:tblPr>
      <w:tblGrid>
        <w:gridCol w:w="2569"/>
        <w:gridCol w:w="1719"/>
        <w:gridCol w:w="3135"/>
        <w:gridCol w:w="1819"/>
      </w:tblGrid>
      <w:tr w:rsidR="00BB1673" w:rsidRPr="00BB1673" w14:paraId="7A50BB00" w14:textId="77777777" w:rsidTr="00BB1673">
        <w:tc>
          <w:tcPr>
            <w:tcW w:w="0" w:type="auto"/>
            <w:hideMark/>
          </w:tcPr>
          <w:p w14:paraId="65C68AB1"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Strain / Consortium</w:t>
            </w:r>
          </w:p>
        </w:tc>
        <w:tc>
          <w:tcPr>
            <w:tcW w:w="0" w:type="auto"/>
            <w:hideMark/>
          </w:tcPr>
          <w:p w14:paraId="0CC39E05"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Isolation Source</w:t>
            </w:r>
          </w:p>
        </w:tc>
        <w:tc>
          <w:tcPr>
            <w:tcW w:w="0" w:type="auto"/>
            <w:hideMark/>
          </w:tcPr>
          <w:p w14:paraId="4791CC1B"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Human-Relevant Probiotic Trait Demonstrated</w:t>
            </w:r>
          </w:p>
        </w:tc>
        <w:tc>
          <w:tcPr>
            <w:tcW w:w="0" w:type="auto"/>
            <w:hideMark/>
          </w:tcPr>
          <w:p w14:paraId="3F4FFAAE" w14:textId="77777777" w:rsidR="00BB1673" w:rsidRPr="00BB1673" w:rsidRDefault="00BB1673" w:rsidP="00BB1673">
            <w:pPr>
              <w:jc w:val="center"/>
              <w:rPr>
                <w:rFonts w:ascii="Times New Roman" w:eastAsia="Times New Roman" w:hAnsi="Times New Roman" w:cs="Times New Roman"/>
                <w:b/>
                <w:bCs/>
                <w:sz w:val="24"/>
                <w:szCs w:val="24"/>
                <w:lang w:eastAsia="en-GB"/>
              </w:rPr>
            </w:pPr>
            <w:r w:rsidRPr="00BB1673">
              <w:rPr>
                <w:rFonts w:ascii="Times New Roman" w:eastAsia="Times New Roman" w:hAnsi="Times New Roman" w:cs="Times New Roman"/>
                <w:b/>
                <w:bCs/>
                <w:sz w:val="24"/>
                <w:szCs w:val="24"/>
                <w:lang w:eastAsia="en-GB"/>
              </w:rPr>
              <w:t>Source(s)</w:t>
            </w:r>
          </w:p>
        </w:tc>
      </w:tr>
      <w:tr w:rsidR="00BB1673" w:rsidRPr="00BB1673" w14:paraId="48AE4317" w14:textId="77777777" w:rsidTr="00BB1673">
        <w:tc>
          <w:tcPr>
            <w:tcW w:w="0" w:type="auto"/>
            <w:hideMark/>
          </w:tcPr>
          <w:p w14:paraId="0622EE62"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p>
        </w:tc>
        <w:tc>
          <w:tcPr>
            <w:tcW w:w="0" w:type="auto"/>
            <w:hideMark/>
          </w:tcPr>
          <w:p w14:paraId="051FD0FD"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Bee bread, honeybee gut</w:t>
            </w:r>
          </w:p>
        </w:tc>
        <w:tc>
          <w:tcPr>
            <w:tcW w:w="0" w:type="auto"/>
            <w:hideMark/>
          </w:tcPr>
          <w:p w14:paraId="30A133E8"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Gastrointestinal transit tolerance, low antibiotic resistance, inhibition of </w:t>
            </w:r>
            <w:r w:rsidRPr="00BB1673">
              <w:rPr>
                <w:rFonts w:ascii="Times New Roman" w:eastAsia="Times New Roman" w:hAnsi="Times New Roman" w:cs="Times New Roman"/>
                <w:i/>
                <w:iCs/>
                <w:sz w:val="24"/>
                <w:szCs w:val="24"/>
                <w:lang w:eastAsia="en-GB"/>
              </w:rPr>
              <w:t>P. aeruginosa</w:t>
            </w:r>
          </w:p>
        </w:tc>
        <w:tc>
          <w:tcPr>
            <w:tcW w:w="0" w:type="auto"/>
            <w:hideMark/>
          </w:tcPr>
          <w:p w14:paraId="33511563"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et al., 2020</w:t>
            </w:r>
          </w:p>
        </w:tc>
      </w:tr>
      <w:tr w:rsidR="00BB1673" w:rsidRPr="00BB1673" w14:paraId="22FE37D7" w14:textId="77777777" w:rsidTr="00BB1673">
        <w:tc>
          <w:tcPr>
            <w:tcW w:w="0" w:type="auto"/>
            <w:hideMark/>
          </w:tcPr>
          <w:p w14:paraId="6050B82C"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Honey-associated LAB consortium</w:t>
            </w:r>
          </w:p>
        </w:tc>
        <w:tc>
          <w:tcPr>
            <w:tcW w:w="0" w:type="auto"/>
            <w:hideMark/>
          </w:tcPr>
          <w:p w14:paraId="13B662A1"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Fresh honey (worldwide)</w:t>
            </w:r>
          </w:p>
        </w:tc>
        <w:tc>
          <w:tcPr>
            <w:tcW w:w="0" w:type="auto"/>
            <w:hideMark/>
          </w:tcPr>
          <w:p w14:paraId="56F26A84"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Broad antimicrobial spectrum against MRSA, VRE, </w:t>
            </w:r>
            <w:r w:rsidRPr="00BB1673">
              <w:rPr>
                <w:rFonts w:ascii="Times New Roman" w:eastAsia="Times New Roman" w:hAnsi="Times New Roman" w:cs="Times New Roman"/>
                <w:i/>
                <w:iCs/>
                <w:sz w:val="24"/>
                <w:szCs w:val="24"/>
                <w:lang w:eastAsia="en-GB"/>
              </w:rPr>
              <w:t>P. aeruginosa</w:t>
            </w:r>
          </w:p>
        </w:tc>
        <w:tc>
          <w:tcPr>
            <w:tcW w:w="0" w:type="auto"/>
            <w:hideMark/>
          </w:tcPr>
          <w:p w14:paraId="2CED345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Vásquez et al., 2012; Olofsson et al., 2016</w:t>
            </w:r>
          </w:p>
        </w:tc>
      </w:tr>
      <w:tr w:rsidR="00BB1673" w:rsidRPr="00BB1673" w14:paraId="59715934" w14:textId="77777777" w:rsidTr="00BB1673">
        <w:tc>
          <w:tcPr>
            <w:tcW w:w="0" w:type="auto"/>
            <w:hideMark/>
          </w:tcPr>
          <w:p w14:paraId="0DB0F01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 stomach lactic acid bacterial symbionts</w:t>
            </w:r>
          </w:p>
        </w:tc>
        <w:tc>
          <w:tcPr>
            <w:tcW w:w="0" w:type="auto"/>
            <w:hideMark/>
          </w:tcPr>
          <w:p w14:paraId="57F7C360"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Honeybee honey stomach</w:t>
            </w:r>
          </w:p>
        </w:tc>
        <w:tc>
          <w:tcPr>
            <w:tcW w:w="0" w:type="auto"/>
            <w:hideMark/>
          </w:tcPr>
          <w:p w14:paraId="570F20FA"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Inhibition of human chronic wound pathogens (preliminary clinical-context assay)</w:t>
            </w:r>
          </w:p>
        </w:tc>
        <w:tc>
          <w:tcPr>
            <w:tcW w:w="0" w:type="auto"/>
            <w:hideMark/>
          </w:tcPr>
          <w:p w14:paraId="7A70EE42"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Butler et al., 2016</w:t>
            </w:r>
          </w:p>
        </w:tc>
      </w:tr>
      <w:tr w:rsidR="00BB1673" w:rsidRPr="00BB1673" w14:paraId="1F675654" w14:textId="77777777" w:rsidTr="00BB1673">
        <w:tc>
          <w:tcPr>
            <w:tcW w:w="0" w:type="auto"/>
            <w:hideMark/>
          </w:tcPr>
          <w:p w14:paraId="6C780A36"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 </w:t>
            </w:r>
            <w:r w:rsidRPr="00BB1673">
              <w:rPr>
                <w:rFonts w:ascii="Times New Roman" w:eastAsia="Times New Roman" w:hAnsi="Times New Roman" w:cs="Times New Roman"/>
                <w:i/>
                <w:iCs/>
                <w:sz w:val="24"/>
                <w:szCs w:val="24"/>
                <w:lang w:eastAsia="en-GB"/>
              </w:rPr>
              <w:t>Bifidobacterium</w:t>
            </w:r>
            <w:r w:rsidRPr="00BB1673">
              <w:rPr>
                <w:rFonts w:ascii="Times New Roman" w:eastAsia="Times New Roman" w:hAnsi="Times New Roman" w:cs="Times New Roman"/>
                <w:sz w:val="24"/>
                <w:szCs w:val="24"/>
                <w:lang w:eastAsia="en-GB"/>
              </w:rPr>
              <w:t xml:space="preserve"> isolates </w:t>
            </w:r>
            <w:r w:rsidRPr="00BB1673">
              <w:rPr>
                <w:rFonts w:ascii="Times New Roman" w:eastAsia="Times New Roman" w:hAnsi="Times New Roman" w:cs="Times New Roman"/>
                <w:sz w:val="24"/>
                <w:szCs w:val="24"/>
                <w:lang w:eastAsia="en-GB"/>
              </w:rPr>
              <w:lastRenderedPageBreak/>
              <w:t>from bee bread</w:t>
            </w:r>
          </w:p>
        </w:tc>
        <w:tc>
          <w:tcPr>
            <w:tcW w:w="0" w:type="auto"/>
            <w:hideMark/>
          </w:tcPr>
          <w:p w14:paraId="542CB027"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 xml:space="preserve">Bee bread, fermented </w:t>
            </w:r>
            <w:r w:rsidRPr="00BB1673">
              <w:rPr>
                <w:rFonts w:ascii="Times New Roman" w:eastAsia="Times New Roman" w:hAnsi="Times New Roman" w:cs="Times New Roman"/>
                <w:sz w:val="24"/>
                <w:szCs w:val="24"/>
                <w:lang w:eastAsia="en-GB"/>
              </w:rPr>
              <w:lastRenderedPageBreak/>
              <w:t>pollen</w:t>
            </w:r>
          </w:p>
        </w:tc>
        <w:tc>
          <w:tcPr>
            <w:tcW w:w="0" w:type="auto"/>
            <w:hideMark/>
          </w:tcPr>
          <w:p w14:paraId="516EAFCB" w14:textId="77777777" w:rsidR="00BB1673" w:rsidRPr="00BB1673" w:rsidRDefault="00BB1673" w:rsidP="00BB1673">
            <w:pPr>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 xml:space="preserve">Simulated gastrointestinal stress tolerance, prebiotic </w:t>
            </w:r>
            <w:r w:rsidRPr="00BB1673">
              <w:rPr>
                <w:rFonts w:ascii="Times New Roman" w:eastAsia="Times New Roman" w:hAnsi="Times New Roman" w:cs="Times New Roman"/>
                <w:sz w:val="24"/>
                <w:szCs w:val="24"/>
                <w:lang w:eastAsia="en-GB"/>
              </w:rPr>
              <w:lastRenderedPageBreak/>
              <w:t>substrate utilisation</w:t>
            </w:r>
          </w:p>
        </w:tc>
        <w:tc>
          <w:tcPr>
            <w:tcW w:w="0" w:type="auto"/>
            <w:hideMark/>
          </w:tcPr>
          <w:p w14:paraId="1E5AE09B" w14:textId="77777777" w:rsidR="00BB1673" w:rsidRPr="00BB1673" w:rsidRDefault="00BB1673" w:rsidP="00BB1673">
            <w:pPr>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lastRenderedPageBreak/>
              <w:t>Mustar</w:t>
            </w:r>
            <w:proofErr w:type="spellEnd"/>
            <w:r w:rsidRPr="00BB1673">
              <w:rPr>
                <w:rFonts w:ascii="Times New Roman" w:eastAsia="Times New Roman" w:hAnsi="Times New Roman" w:cs="Times New Roman"/>
                <w:sz w:val="24"/>
                <w:szCs w:val="24"/>
                <w:lang w:eastAsia="en-GB"/>
              </w:rPr>
              <w:t xml:space="preserve"> &amp; Ibrahim, 2022</w:t>
            </w:r>
          </w:p>
        </w:tc>
      </w:tr>
    </w:tbl>
    <w:p w14:paraId="5A679AF2"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Taken together, the evidence assembled in this section indicates that several honeybee- and hive-derived organisms satisfy preliminary in vitro criteria for probiotic classification, but none has yet progressed to the controlled human intervention trials that formal validation under the Hill et al. (2014) framework requires. This gap is addressed further in the discussion of future research priorities below.</w:t>
      </w:r>
    </w:p>
    <w:p w14:paraId="53B02C3A"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10. Biotechnological and Engineering Frontiers</w:t>
      </w:r>
    </w:p>
    <w:p w14:paraId="289D7FA5"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Advances in genetic tractability have opened a further avenue by which the honeybee gut microbiota may inform applications beyond its native antimicrobial functions. The demonstration that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 xml:space="preserve"> can be stably engineered to express targeted double-stranded ribonucleic acid, thereby directing the host's own ribonucleic acid interference machinery against viral and parasitic targets, established the honeybee gut symbiont as a genuinely programmable biological platform rather than solely a passive antimicrobial reservoir (Leonard et al., 2020). Subsequent work has extended the same modular engineering toolkit to develop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alvi</w:t>
      </w:r>
      <w:proofErr w:type="spellEnd"/>
      <w:r w:rsidRPr="00BB1673">
        <w:rPr>
          <w:rFonts w:ascii="Times New Roman" w:eastAsia="Times New Roman" w:hAnsi="Times New Roman" w:cs="Times New Roman"/>
          <w:sz w:val="24"/>
          <w:szCs w:val="24"/>
          <w:lang w:eastAsia="en-GB"/>
        </w:rPr>
        <w:t>-based biosensors capable of reporting on gut chemical conditions non-invasively through faecal sampling, a technical advance that, while developed primarily for fundamental host–microbiota research, illustrates the broader potential for engineered bee symbionts to serve monitoring or diagnostic functions (Chhun et al., 2024).</w:t>
      </w:r>
    </w:p>
    <w:p w14:paraId="3D3696DD"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These engineering approaches remain at an early, largely laboratory-based stage, and independent commentary has noted specific biological constraints, including the observation that </w:t>
      </w:r>
      <w:proofErr w:type="spellStart"/>
      <w:r w:rsidRPr="00BB1673">
        <w:rPr>
          <w:rFonts w:ascii="Times New Roman" w:eastAsia="Times New Roman" w:hAnsi="Times New Roman" w:cs="Times New Roman"/>
          <w:i/>
          <w:iCs/>
          <w:sz w:val="24"/>
          <w:szCs w:val="24"/>
          <w:lang w:eastAsia="en-GB"/>
        </w:rPr>
        <w:t>Snodgrassella</w:t>
      </w:r>
      <w:proofErr w:type="spellEnd"/>
      <w:r w:rsidRPr="00BB1673">
        <w:rPr>
          <w:rFonts w:ascii="Times New Roman" w:eastAsia="Times New Roman" w:hAnsi="Times New Roman" w:cs="Times New Roman"/>
          <w:sz w:val="24"/>
          <w:szCs w:val="24"/>
          <w:lang w:eastAsia="en-GB"/>
        </w:rPr>
        <w:t xml:space="preserve">-based interventions act primarily on adult bees rather than on the pre-imaginal life stages where </w:t>
      </w:r>
      <w:r w:rsidRPr="00BB1673">
        <w:rPr>
          <w:rFonts w:ascii="Times New Roman" w:eastAsia="Times New Roman" w:hAnsi="Times New Roman" w:cs="Times New Roman"/>
          <w:i/>
          <w:iCs/>
          <w:sz w:val="24"/>
          <w:szCs w:val="24"/>
          <w:lang w:eastAsia="en-GB"/>
        </w:rPr>
        <w:t>Varroa destructor</w:t>
      </w:r>
      <w:r w:rsidRPr="00BB1673">
        <w:rPr>
          <w:rFonts w:ascii="Times New Roman" w:eastAsia="Times New Roman" w:hAnsi="Times New Roman" w:cs="Times New Roman"/>
          <w:sz w:val="24"/>
          <w:szCs w:val="24"/>
          <w:lang w:eastAsia="en-GB"/>
        </w:rPr>
        <w:t xml:space="preserve"> reproduces, limiting the scope of protection achievable through this particular symbiont without complementary approaches (</w:t>
      </w:r>
      <w:proofErr w:type="spellStart"/>
      <w:r w:rsidRPr="00BB1673">
        <w:rPr>
          <w:rFonts w:ascii="Times New Roman" w:eastAsia="Times New Roman" w:hAnsi="Times New Roman" w:cs="Times New Roman"/>
          <w:sz w:val="24"/>
          <w:szCs w:val="24"/>
          <w:lang w:eastAsia="en-GB"/>
        </w:rPr>
        <w:t>Nazzi</w:t>
      </w:r>
      <w:proofErr w:type="spellEnd"/>
      <w:r w:rsidRPr="00BB1673">
        <w:rPr>
          <w:rFonts w:ascii="Times New Roman" w:eastAsia="Times New Roman" w:hAnsi="Times New Roman" w:cs="Times New Roman"/>
          <w:sz w:val="24"/>
          <w:szCs w:val="24"/>
          <w:lang w:eastAsia="en-GB"/>
        </w:rPr>
        <w:t>, 2020). Nonetheless, the demonstrated feasibility of directed genetic modification within a native, stably colonising gut bacterium provides a template that could, in principle, be adapted toward engineered delivery of therapeutic peptides or antimicrobial factors, extending the concept of the bee gut microbiota as inherent antimicrobial machinery into a deliberately engineered domain.</w:t>
      </w:r>
    </w:p>
    <w:p w14:paraId="72465F6B"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11. Future Directions</w:t>
      </w:r>
    </w:p>
    <w:p w14:paraId="10C7827C"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Several research priorities emerge from the evidence synthesised in this review. First, strain-level characterisation of candidate honeybee-derived probiotics requires substantial expansion beyond the handful of well-studied organisms discussed above, with particular attention to whole-genome sequencing to confirm the absence of transferable antibiotic-resistance determinants and virulence factors before any strain is proposed for human application, a precaution made more pressing by the documented enrichment of resistance genes in antibiotic-exposed bee microbiota (Daisley et al., 2020). Second, controlled human intervention studies are essential; the existing evidence base rests almost entirely on in vitro antimicrobial assays and simulated gastrointestinal models, and formal validation against the internationally recognised probiotic definition requires demonstrated health benefit in living human subjects, not merely in vitro inhibition of isolated pathogens (Hill et al., 2014). Third, the relationship between environmental stressors, particularly agrochemical exposure and veterinary antibiotic use, and the antimicrobial competence of the bee gut microbiota merits closer integration with One Health surveillance frameworks, given the plausible role of </w:t>
      </w:r>
      <w:r w:rsidRPr="00BB1673">
        <w:rPr>
          <w:rFonts w:ascii="Times New Roman" w:eastAsia="Times New Roman" w:hAnsi="Times New Roman" w:cs="Times New Roman"/>
          <w:sz w:val="24"/>
          <w:szCs w:val="24"/>
          <w:lang w:eastAsia="en-GB"/>
        </w:rPr>
        <w:lastRenderedPageBreak/>
        <w:t xml:space="preserve">managed pollinator populations as an under-monitored node in the broader ecology of antimicrobial resistance (GBD 2021 Antimicrobial Resistance Collaborators, 2024). Fourth, the engineered-symbiont approaches described in Section 10 warrant expansion beyond antiviral and acaricidal applications to explore whether directed expression of antimicrobial peptides or bacteriocin genes within stably colonising strains could enhance native protective capacity, both for bee health and, speculatively, as a platform technology transferable to other applications (Leonard et al., 2020; Chhun et al., 2024). Finally, comparative work across additional </w:t>
      </w:r>
      <w:r w:rsidRPr="00BB1673">
        <w:rPr>
          <w:rFonts w:ascii="Times New Roman" w:eastAsia="Times New Roman" w:hAnsi="Times New Roman" w:cs="Times New Roman"/>
          <w:i/>
          <w:iCs/>
          <w:sz w:val="24"/>
          <w:szCs w:val="24"/>
          <w:lang w:eastAsia="en-GB"/>
        </w:rPr>
        <w:t>Apis</w:t>
      </w:r>
      <w:r w:rsidRPr="00BB1673">
        <w:rPr>
          <w:rFonts w:ascii="Times New Roman" w:eastAsia="Times New Roman" w:hAnsi="Times New Roman" w:cs="Times New Roman"/>
          <w:sz w:val="24"/>
          <w:szCs w:val="24"/>
          <w:lang w:eastAsia="en-GB"/>
        </w:rPr>
        <w:t xml:space="preserve"> species, building on the growing body of evidence from </w:t>
      </w:r>
      <w:r w:rsidRPr="00BB1673">
        <w:rPr>
          <w:rFonts w:ascii="Times New Roman" w:eastAsia="Times New Roman" w:hAnsi="Times New Roman" w:cs="Times New Roman"/>
          <w:i/>
          <w:iCs/>
          <w:sz w:val="24"/>
          <w:szCs w:val="24"/>
          <w:lang w:eastAsia="en-GB"/>
        </w:rPr>
        <w:t>Apis cerana</w:t>
      </w:r>
      <w:r w:rsidRPr="00BB1673">
        <w:rPr>
          <w:rFonts w:ascii="Times New Roman" w:eastAsia="Times New Roman" w:hAnsi="Times New Roman" w:cs="Times New Roman"/>
          <w:sz w:val="24"/>
          <w:szCs w:val="24"/>
          <w:lang w:eastAsia="en-GB"/>
        </w:rPr>
        <w:t xml:space="preserve"> populations, may help distinguish antimicrobial mechanisms that are broadly conserved across the genus from those specific to </w:t>
      </w:r>
      <w:r w:rsidRPr="00BB1673">
        <w:rPr>
          <w:rFonts w:ascii="Times New Roman" w:eastAsia="Times New Roman" w:hAnsi="Times New Roman" w:cs="Times New Roman"/>
          <w:i/>
          <w:iCs/>
          <w:sz w:val="24"/>
          <w:szCs w:val="24"/>
          <w:lang w:eastAsia="en-GB"/>
        </w:rPr>
        <w:t>A. mellifera</w:t>
      </w:r>
      <w:r w:rsidRPr="00BB1673">
        <w:rPr>
          <w:rFonts w:ascii="Times New Roman" w:eastAsia="Times New Roman" w:hAnsi="Times New Roman" w:cs="Times New Roman"/>
          <w:sz w:val="24"/>
          <w:szCs w:val="24"/>
          <w:lang w:eastAsia="en-GB"/>
        </w:rPr>
        <w:t>, thereby clarifying which findings can be generalised with greater confidence (</w:t>
      </w:r>
      <w:proofErr w:type="spellStart"/>
      <w:r w:rsidRPr="00BB1673">
        <w:rPr>
          <w:rFonts w:ascii="Times New Roman" w:eastAsia="Times New Roman" w:hAnsi="Times New Roman" w:cs="Times New Roman"/>
          <w:sz w:val="24"/>
          <w:szCs w:val="24"/>
          <w:lang w:eastAsia="en-GB"/>
        </w:rPr>
        <w:t>Lanh</w:t>
      </w:r>
      <w:proofErr w:type="spellEnd"/>
      <w:r w:rsidRPr="00BB1673">
        <w:rPr>
          <w:rFonts w:ascii="Times New Roman" w:eastAsia="Times New Roman" w:hAnsi="Times New Roman" w:cs="Times New Roman"/>
          <w:sz w:val="24"/>
          <w:szCs w:val="24"/>
          <w:lang w:eastAsia="en-GB"/>
        </w:rPr>
        <w:t xml:space="preserve"> et al., 2022; Yun et al., 2022).</w:t>
      </w:r>
    </w:p>
    <w:p w14:paraId="50E59734"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12. Conclusions</w:t>
      </w:r>
    </w:p>
    <w:p w14:paraId="12E67CA9" w14:textId="7777777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The gut microbiota of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functions as a compact but mechanistically diverse antimicrobial system, combining direct metabolite-based antagonism, competitive niche exclusion and host immune priming to protect the bee against a range of bacterial and viral pathogens. This protective capacity extends, through the same bacterial community and the hive products it helps generate, to measurable inhibitory activity against clinically significant human pathogens, including methicillin-resistant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and multidrug-resistant Gram-negative organisms, observed in honey, propolis and directly applied lactic acid bacterial isolates. Several individual strains, most notably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and the honey-associated lactic acid bacterial consortium first characterised in Swedish honey, satisfy preliminary in vitro criteria consistent with probiotic candidacy. At the same time, the same environmental pressures that threaten honeybee colony health, agrochemical exposure and veterinary antibiotic use foremost among them, also compromise the antimicrobial integrity of the gut microbiota and may promote the accumulation of resistance determinants within it, a finding that tempers any presumption that honeybee-derived material is inherently free of resistance-associated risk. The honeybee gut microbiota therefore represents a genuinely promising, but as yet incompletely validated, source of naturally occurring antimicrobial biology, one whose translation from apicultural observation to human therapeutic application will depend on the strain-level safety characterisation and controlled clinical evaluation identified as priorities above.</w:t>
      </w:r>
    </w:p>
    <w:p w14:paraId="2F491FE9"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13. Limitations</w:t>
      </w:r>
    </w:p>
    <w:p w14:paraId="2359F02F" w14:textId="77777777" w:rsid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This review is subject to several limitations that should inform interpretation of its conclusions. The evidence base for human-relevant applications remains small relative to the substantially larger literature on bee-health outcomes, and conclusions regarding human probiotic potential rest on a comparatively narrow set of studies, several of which originate from a small number of research groups, raising the possibility of limited independent replication. Most translational studies to date have relied on in vitro or simulated gastrointestinal assays rather than controlled human trials, and extrapolation from these preclinical findings to genuine clinical benefit should be regarded as provisional. The narrative review methodology adopted here, while appropriate for the interdisciplinary synthesis attempted, does not include the formal quality-appraisal or risk-of-bias scoring associated with systematic review methodology, and the selection and weighting of evidence, although conducted according to the explicit criteria described in the methods section, retains an element of author judgement. Finally, the literature search was restricted to English-language, peer-reviewed publications with verifiable digital object identifiers, a criterion that, </w:t>
      </w:r>
      <w:r w:rsidRPr="00BB1673">
        <w:rPr>
          <w:rFonts w:ascii="Times New Roman" w:eastAsia="Times New Roman" w:hAnsi="Times New Roman" w:cs="Times New Roman"/>
          <w:sz w:val="24"/>
          <w:szCs w:val="24"/>
          <w:lang w:eastAsia="en-GB"/>
        </w:rPr>
        <w:lastRenderedPageBreak/>
        <w:t>while protecting against inclusion of unreliable or fabricated sources, may have excluded relevant regional or non-English-language research, particularly work conducted in regions with substantial apicultural traditions but comparatively limited representation in the indexed international literature.</w:t>
      </w:r>
    </w:p>
    <w:p w14:paraId="39D370D3" w14:textId="77777777" w:rsidR="003668C2" w:rsidRDefault="003668C2" w:rsidP="00BB1673">
      <w:pPr>
        <w:spacing w:before="100" w:beforeAutospacing="1" w:after="100" w:afterAutospacing="1" w:line="240" w:lineRule="auto"/>
        <w:rPr>
          <w:rFonts w:ascii="Times New Roman" w:eastAsia="Times New Roman" w:hAnsi="Times New Roman" w:cs="Times New Roman"/>
          <w:sz w:val="24"/>
          <w:szCs w:val="24"/>
          <w:lang w:eastAsia="en-GB"/>
        </w:rPr>
      </w:pPr>
    </w:p>
    <w:p w14:paraId="223B88F5" w14:textId="77777777" w:rsidR="003668C2" w:rsidRPr="00C04DA0" w:rsidRDefault="003668C2" w:rsidP="003668C2">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6101D3FA" w14:textId="77777777" w:rsidR="003668C2" w:rsidRPr="00C04DA0" w:rsidRDefault="003668C2" w:rsidP="003668C2">
      <w:pPr>
        <w:spacing w:after="0" w:line="240" w:lineRule="auto"/>
        <w:rPr>
          <w:rFonts w:ascii="Times New Roman" w:eastAsia="Calibri" w:hAnsi="Times New Roman" w:cs="Times New Roman"/>
        </w:rPr>
      </w:pPr>
    </w:p>
    <w:p w14:paraId="1E2E07C5" w14:textId="77777777" w:rsidR="003668C2" w:rsidRDefault="003668C2" w:rsidP="003668C2">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6ECE442" w14:textId="77777777" w:rsidR="003668C2" w:rsidRDefault="003668C2" w:rsidP="003668C2">
      <w:pPr>
        <w:spacing w:after="0" w:line="240" w:lineRule="auto"/>
        <w:jc w:val="both"/>
        <w:rPr>
          <w:rFonts w:ascii="Times New Roman" w:eastAsia="Calibri" w:hAnsi="Times New Roman" w:cs="Times New Roman"/>
        </w:rPr>
      </w:pPr>
    </w:p>
    <w:p w14:paraId="28FDB40F" w14:textId="77777777" w:rsidR="003668C2" w:rsidRDefault="003668C2" w:rsidP="003668C2">
      <w:pPr>
        <w:spacing w:after="0" w:line="240" w:lineRule="auto"/>
        <w:jc w:val="both"/>
        <w:rPr>
          <w:rFonts w:ascii="Times New Roman" w:eastAsia="Calibri" w:hAnsi="Times New Roman" w:cs="Times New Roman"/>
        </w:rPr>
      </w:pPr>
    </w:p>
    <w:p w14:paraId="27F1757F" w14:textId="77777777" w:rsidR="003668C2" w:rsidRPr="00DA60C2" w:rsidRDefault="003668C2" w:rsidP="003668C2">
      <w:pPr>
        <w:rPr>
          <w:rFonts w:ascii="Cambria" w:eastAsia="Times New Roman" w:hAnsi="Cambria" w:cs="Arial"/>
          <w:b/>
          <w:bCs/>
          <w:lang w:eastAsia="en-GB"/>
        </w:rPr>
      </w:pPr>
      <w:r w:rsidRPr="00DA60C2">
        <w:rPr>
          <w:rFonts w:ascii="Cambria" w:eastAsia="Times New Roman" w:hAnsi="Cambria" w:cs="Arial"/>
          <w:b/>
          <w:bCs/>
          <w:lang w:eastAsia="en-GB"/>
        </w:rPr>
        <w:t>COMPETING INTERESTS DISCLAIMER:</w:t>
      </w:r>
    </w:p>
    <w:p w14:paraId="75355F00" w14:textId="77777777" w:rsidR="003668C2" w:rsidRPr="00DA60C2" w:rsidRDefault="003668C2" w:rsidP="003668C2">
      <w:pPr>
        <w:rPr>
          <w:rFonts w:ascii="Cambria" w:eastAsia="Times New Roman" w:hAnsi="Cambria" w:cs="Times New Roman"/>
          <w:lang w:eastAsia="en-GB"/>
        </w:rPr>
      </w:pPr>
      <w:r w:rsidRPr="00DA60C2">
        <w:rPr>
          <w:rFonts w:ascii="Cambria" w:eastAsia="Times New Roman" w:hAnsi="Cambria" w:cs="Arial"/>
          <w:lang w:eastAsia="en-GB"/>
        </w:rPr>
        <w:t>Authors have declared that they have no known competing financial interests OR non-financial interests OR personal relationships that could have appeared to influence the work reported in this paper.</w:t>
      </w:r>
    </w:p>
    <w:p w14:paraId="22631720" w14:textId="77777777" w:rsidR="003668C2" w:rsidRPr="00BB1673" w:rsidRDefault="003668C2" w:rsidP="00BB1673">
      <w:pPr>
        <w:spacing w:before="100" w:beforeAutospacing="1" w:after="100" w:afterAutospacing="1" w:line="240" w:lineRule="auto"/>
        <w:rPr>
          <w:rFonts w:ascii="Times New Roman" w:eastAsia="Times New Roman" w:hAnsi="Times New Roman" w:cs="Times New Roman"/>
          <w:sz w:val="24"/>
          <w:szCs w:val="24"/>
          <w:lang w:eastAsia="en-GB"/>
        </w:rPr>
      </w:pPr>
    </w:p>
    <w:p w14:paraId="4C5FF9F0" w14:textId="61739A06" w:rsidR="00BB1673" w:rsidRPr="00BB1673" w:rsidRDefault="00BB1673" w:rsidP="00BB1673">
      <w:pPr>
        <w:spacing w:after="0" w:line="240" w:lineRule="auto"/>
        <w:rPr>
          <w:rFonts w:ascii="Times New Roman" w:eastAsia="Times New Roman" w:hAnsi="Times New Roman" w:cs="Times New Roman"/>
          <w:sz w:val="24"/>
          <w:szCs w:val="24"/>
          <w:lang w:eastAsia="en-GB"/>
        </w:rPr>
      </w:pPr>
    </w:p>
    <w:p w14:paraId="1904553D" w14:textId="77777777" w:rsidR="00BB1673" w:rsidRPr="00BB1673" w:rsidRDefault="00BB1673" w:rsidP="00BB167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B1673">
        <w:rPr>
          <w:rFonts w:ascii="Times New Roman" w:eastAsia="Times New Roman" w:hAnsi="Times New Roman" w:cs="Times New Roman"/>
          <w:b/>
          <w:bCs/>
          <w:sz w:val="27"/>
          <w:szCs w:val="27"/>
          <w:lang w:eastAsia="en-GB"/>
        </w:rPr>
        <w:t>References</w:t>
      </w:r>
    </w:p>
    <w:p w14:paraId="5646D1F6" w14:textId="740AE80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Almuhayawi</w:t>
      </w:r>
      <w:proofErr w:type="spellEnd"/>
      <w:r w:rsidRPr="00BB1673">
        <w:rPr>
          <w:rFonts w:ascii="Times New Roman" w:eastAsia="Times New Roman" w:hAnsi="Times New Roman" w:cs="Times New Roman"/>
          <w:sz w:val="24"/>
          <w:szCs w:val="24"/>
          <w:lang w:eastAsia="en-GB"/>
        </w:rPr>
        <w:t xml:space="preserve">, M. S. (2020). Propolis as a novel antibacterial agent. </w:t>
      </w:r>
      <w:r w:rsidRPr="00BB1673">
        <w:rPr>
          <w:rFonts w:ascii="Times New Roman" w:eastAsia="Times New Roman" w:hAnsi="Times New Roman" w:cs="Times New Roman"/>
          <w:i/>
          <w:iCs/>
          <w:sz w:val="24"/>
          <w:szCs w:val="24"/>
          <w:lang w:eastAsia="en-GB"/>
        </w:rPr>
        <w:t>Saudi Journal of Biological Sciences, 27</w:t>
      </w:r>
      <w:r w:rsidRPr="00BB1673">
        <w:rPr>
          <w:rFonts w:ascii="Times New Roman" w:eastAsia="Times New Roman" w:hAnsi="Times New Roman" w:cs="Times New Roman"/>
          <w:sz w:val="24"/>
          <w:szCs w:val="24"/>
          <w:lang w:eastAsia="en-GB"/>
        </w:rPr>
        <w:t xml:space="preserve">(11), 3079–3086. </w:t>
      </w:r>
      <w:r w:rsidRPr="00BB1673">
        <w:rPr>
          <w:rFonts w:ascii="Times New Roman" w:eastAsia="Times New Roman" w:hAnsi="Times New Roman" w:cs="Times New Roman"/>
          <w:color w:val="0000FF"/>
          <w:sz w:val="24"/>
          <w:szCs w:val="24"/>
          <w:u w:val="single"/>
          <w:lang w:eastAsia="en-GB"/>
        </w:rPr>
        <w:t>https://doi.org/10.1016/j.sjbs.2020.09.016</w:t>
      </w:r>
    </w:p>
    <w:p w14:paraId="75F1AB2C" w14:textId="18FB918A"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Antimicrobial Resistance Collaborators. (2022). Global burden of bacterial antimicrobial resistance in 2019: A systematic analysis. </w:t>
      </w:r>
      <w:r w:rsidRPr="00BB1673">
        <w:rPr>
          <w:rFonts w:ascii="Times New Roman" w:eastAsia="Times New Roman" w:hAnsi="Times New Roman" w:cs="Times New Roman"/>
          <w:i/>
          <w:iCs/>
          <w:sz w:val="24"/>
          <w:szCs w:val="24"/>
          <w:lang w:eastAsia="en-GB"/>
        </w:rPr>
        <w:t>The Lancet, 399</w:t>
      </w:r>
      <w:r w:rsidRPr="00BB1673">
        <w:rPr>
          <w:rFonts w:ascii="Times New Roman" w:eastAsia="Times New Roman" w:hAnsi="Times New Roman" w:cs="Times New Roman"/>
          <w:sz w:val="24"/>
          <w:szCs w:val="24"/>
          <w:lang w:eastAsia="en-GB"/>
        </w:rPr>
        <w:t xml:space="preserve">(10325), 629–655. </w:t>
      </w:r>
      <w:r w:rsidRPr="00BB1673">
        <w:rPr>
          <w:rFonts w:ascii="Times New Roman" w:eastAsia="Times New Roman" w:hAnsi="Times New Roman" w:cs="Times New Roman"/>
          <w:color w:val="0000FF"/>
          <w:sz w:val="24"/>
          <w:szCs w:val="24"/>
          <w:u w:val="single"/>
          <w:lang w:eastAsia="en-GB"/>
        </w:rPr>
        <w:t>https://doi.org/10.1016/S0140-6736(21)02724-0</w:t>
      </w:r>
    </w:p>
    <w:p w14:paraId="5340AAE6" w14:textId="0B023E7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Bouchelaghem, S., Das, S., </w:t>
      </w:r>
      <w:proofErr w:type="spellStart"/>
      <w:r w:rsidRPr="00BB1673">
        <w:rPr>
          <w:rFonts w:ascii="Times New Roman" w:eastAsia="Times New Roman" w:hAnsi="Times New Roman" w:cs="Times New Roman"/>
          <w:sz w:val="24"/>
          <w:szCs w:val="24"/>
          <w:lang w:eastAsia="en-GB"/>
        </w:rPr>
        <w:t>Naorem</w:t>
      </w:r>
      <w:proofErr w:type="spellEnd"/>
      <w:r w:rsidRPr="00BB1673">
        <w:rPr>
          <w:rFonts w:ascii="Times New Roman" w:eastAsia="Times New Roman" w:hAnsi="Times New Roman" w:cs="Times New Roman"/>
          <w:sz w:val="24"/>
          <w:szCs w:val="24"/>
          <w:lang w:eastAsia="en-GB"/>
        </w:rPr>
        <w:t xml:space="preserve">, R. S., </w:t>
      </w:r>
      <w:proofErr w:type="spellStart"/>
      <w:r w:rsidRPr="00BB1673">
        <w:rPr>
          <w:rFonts w:ascii="Times New Roman" w:eastAsia="Times New Roman" w:hAnsi="Times New Roman" w:cs="Times New Roman"/>
          <w:sz w:val="24"/>
          <w:szCs w:val="24"/>
          <w:lang w:eastAsia="en-GB"/>
        </w:rPr>
        <w:t>Czuni</w:t>
      </w:r>
      <w:proofErr w:type="spellEnd"/>
      <w:r w:rsidRPr="00BB1673">
        <w:rPr>
          <w:rFonts w:ascii="Times New Roman" w:eastAsia="Times New Roman" w:hAnsi="Times New Roman" w:cs="Times New Roman"/>
          <w:sz w:val="24"/>
          <w:szCs w:val="24"/>
          <w:lang w:eastAsia="en-GB"/>
        </w:rPr>
        <w:t xml:space="preserve">, L., Papp, G., &amp; Kocsis, M. (2022). Evaluation of total phenolic and flavonoid contents, antibacterial and antibiofilm activities of Hungarian propolis ethanolic extract against </w:t>
      </w:r>
      <w:r w:rsidRPr="00BB1673">
        <w:rPr>
          <w:rFonts w:ascii="Times New Roman" w:eastAsia="Times New Roman" w:hAnsi="Times New Roman" w:cs="Times New Roman"/>
          <w:i/>
          <w:iCs/>
          <w:sz w:val="24"/>
          <w:szCs w:val="24"/>
          <w:lang w:eastAsia="en-GB"/>
        </w:rPr>
        <w:t>Staphylococcus aureus</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Molecules, 27</w:t>
      </w:r>
      <w:r w:rsidRPr="00BB1673">
        <w:rPr>
          <w:rFonts w:ascii="Times New Roman" w:eastAsia="Times New Roman" w:hAnsi="Times New Roman" w:cs="Times New Roman"/>
          <w:sz w:val="24"/>
          <w:szCs w:val="24"/>
          <w:lang w:eastAsia="en-GB"/>
        </w:rPr>
        <w:t xml:space="preserve">(2), 574. </w:t>
      </w:r>
      <w:r w:rsidRPr="00BB1673">
        <w:rPr>
          <w:rFonts w:ascii="Times New Roman" w:eastAsia="Times New Roman" w:hAnsi="Times New Roman" w:cs="Times New Roman"/>
          <w:color w:val="0000FF"/>
          <w:sz w:val="24"/>
          <w:szCs w:val="24"/>
          <w:u w:val="single"/>
          <w:lang w:eastAsia="en-GB"/>
        </w:rPr>
        <w:t>https://doi.org/10.3390/molecules27020574</w:t>
      </w:r>
    </w:p>
    <w:p w14:paraId="72E91364" w14:textId="715D5FD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Butler, É., Oien, R. F., Lindholm, C., Olofsson, T. C., Nilson, B., &amp; Vásquez, A. (2016). A pilot study investigating lactic acid bacterial symbionts from the honeybee in inhibiting human chronic wound pathogens. </w:t>
      </w:r>
      <w:r w:rsidRPr="00BB1673">
        <w:rPr>
          <w:rFonts w:ascii="Times New Roman" w:eastAsia="Times New Roman" w:hAnsi="Times New Roman" w:cs="Times New Roman"/>
          <w:i/>
          <w:iCs/>
          <w:sz w:val="24"/>
          <w:szCs w:val="24"/>
          <w:lang w:eastAsia="en-GB"/>
        </w:rPr>
        <w:t>International Wound Journal, 13</w:t>
      </w:r>
      <w:r w:rsidRPr="00BB1673">
        <w:rPr>
          <w:rFonts w:ascii="Times New Roman" w:eastAsia="Times New Roman" w:hAnsi="Times New Roman" w:cs="Times New Roman"/>
          <w:sz w:val="24"/>
          <w:szCs w:val="24"/>
          <w:lang w:eastAsia="en-GB"/>
        </w:rPr>
        <w:t xml:space="preserve">(5), 729–737. </w:t>
      </w:r>
      <w:r w:rsidRPr="00BB1673">
        <w:rPr>
          <w:rFonts w:ascii="Times New Roman" w:eastAsia="Times New Roman" w:hAnsi="Times New Roman" w:cs="Times New Roman"/>
          <w:color w:val="0000FF"/>
          <w:sz w:val="24"/>
          <w:szCs w:val="24"/>
          <w:u w:val="single"/>
          <w:lang w:eastAsia="en-GB"/>
        </w:rPr>
        <w:t>https://doi.org/10.1111/iwj.12360</w:t>
      </w:r>
    </w:p>
    <w:p w14:paraId="7299DB5C" w14:textId="2B2B2B9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Chhun, A., </w:t>
      </w:r>
      <w:proofErr w:type="spellStart"/>
      <w:r w:rsidRPr="00BB1673">
        <w:rPr>
          <w:rFonts w:ascii="Times New Roman" w:eastAsia="Times New Roman" w:hAnsi="Times New Roman" w:cs="Times New Roman"/>
          <w:sz w:val="24"/>
          <w:szCs w:val="24"/>
          <w:lang w:eastAsia="en-GB"/>
        </w:rPr>
        <w:t>Moriano</w:t>
      </w:r>
      <w:proofErr w:type="spellEnd"/>
      <w:r w:rsidRPr="00BB1673">
        <w:rPr>
          <w:rFonts w:ascii="Times New Roman" w:eastAsia="Times New Roman" w:hAnsi="Times New Roman" w:cs="Times New Roman"/>
          <w:sz w:val="24"/>
          <w:szCs w:val="24"/>
          <w:lang w:eastAsia="en-GB"/>
        </w:rPr>
        <w:t xml:space="preserve">-Gutierrez, S., Zoppi, F., </w:t>
      </w:r>
      <w:proofErr w:type="spellStart"/>
      <w:r w:rsidRPr="00BB1673">
        <w:rPr>
          <w:rFonts w:ascii="Times New Roman" w:eastAsia="Times New Roman" w:hAnsi="Times New Roman" w:cs="Times New Roman"/>
          <w:sz w:val="24"/>
          <w:szCs w:val="24"/>
          <w:lang w:eastAsia="en-GB"/>
        </w:rPr>
        <w:t>Cabirol</w:t>
      </w:r>
      <w:proofErr w:type="spellEnd"/>
      <w:r w:rsidRPr="00BB1673">
        <w:rPr>
          <w:rFonts w:ascii="Times New Roman" w:eastAsia="Times New Roman" w:hAnsi="Times New Roman" w:cs="Times New Roman"/>
          <w:sz w:val="24"/>
          <w:szCs w:val="24"/>
          <w:lang w:eastAsia="en-GB"/>
        </w:rPr>
        <w:t xml:space="preserve">, A., Engel, P., &amp; </w:t>
      </w:r>
      <w:proofErr w:type="spellStart"/>
      <w:r w:rsidRPr="00BB1673">
        <w:rPr>
          <w:rFonts w:ascii="Times New Roman" w:eastAsia="Times New Roman" w:hAnsi="Times New Roman" w:cs="Times New Roman"/>
          <w:sz w:val="24"/>
          <w:szCs w:val="24"/>
          <w:lang w:eastAsia="en-GB"/>
        </w:rPr>
        <w:t>Schaerli</w:t>
      </w:r>
      <w:proofErr w:type="spellEnd"/>
      <w:r w:rsidRPr="00BB1673">
        <w:rPr>
          <w:rFonts w:ascii="Times New Roman" w:eastAsia="Times New Roman" w:hAnsi="Times New Roman" w:cs="Times New Roman"/>
          <w:sz w:val="24"/>
          <w:szCs w:val="24"/>
          <w:lang w:eastAsia="en-GB"/>
        </w:rPr>
        <w:t xml:space="preserve">, Y. (2024). An engineered bacterial symbiont allows </w:t>
      </w:r>
      <w:proofErr w:type="spellStart"/>
      <w:r w:rsidRPr="00BB1673">
        <w:rPr>
          <w:rFonts w:ascii="Times New Roman" w:eastAsia="Times New Roman" w:hAnsi="Times New Roman" w:cs="Times New Roman"/>
          <w:sz w:val="24"/>
          <w:szCs w:val="24"/>
          <w:lang w:eastAsia="en-GB"/>
        </w:rPr>
        <w:t>noninvasive</w:t>
      </w:r>
      <w:proofErr w:type="spellEnd"/>
      <w:r w:rsidRPr="00BB1673">
        <w:rPr>
          <w:rFonts w:ascii="Times New Roman" w:eastAsia="Times New Roman" w:hAnsi="Times New Roman" w:cs="Times New Roman"/>
          <w:sz w:val="24"/>
          <w:szCs w:val="24"/>
          <w:lang w:eastAsia="en-GB"/>
        </w:rPr>
        <w:t xml:space="preserve"> biosensing of the honey bee gut environment. </w:t>
      </w:r>
      <w:r w:rsidRPr="00BB1673">
        <w:rPr>
          <w:rFonts w:ascii="Times New Roman" w:eastAsia="Times New Roman" w:hAnsi="Times New Roman" w:cs="Times New Roman"/>
          <w:i/>
          <w:iCs/>
          <w:sz w:val="24"/>
          <w:szCs w:val="24"/>
          <w:lang w:eastAsia="en-GB"/>
        </w:rPr>
        <w:t>PLOS Biology, 22</w:t>
      </w:r>
      <w:r w:rsidRPr="00BB1673">
        <w:rPr>
          <w:rFonts w:ascii="Times New Roman" w:eastAsia="Times New Roman" w:hAnsi="Times New Roman" w:cs="Times New Roman"/>
          <w:sz w:val="24"/>
          <w:szCs w:val="24"/>
          <w:lang w:eastAsia="en-GB"/>
        </w:rPr>
        <w:t xml:space="preserve">(3), e3002523. </w:t>
      </w:r>
      <w:r w:rsidRPr="00BB1673">
        <w:rPr>
          <w:rFonts w:ascii="Times New Roman" w:eastAsia="Times New Roman" w:hAnsi="Times New Roman" w:cs="Times New Roman"/>
          <w:color w:val="0000FF"/>
          <w:sz w:val="24"/>
          <w:szCs w:val="24"/>
          <w:u w:val="single"/>
          <w:lang w:eastAsia="en-GB"/>
        </w:rPr>
        <w:t>https://doi.org/10.1371/journal.pbio.3002523</w:t>
      </w:r>
    </w:p>
    <w:p w14:paraId="13815854" w14:textId="3BD22505"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lastRenderedPageBreak/>
        <w:t>Corby-Harris, V., Maes, P., &amp; Anderson, K. E. (2014). The bacterial communities associated with honey 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foragers. </w:t>
      </w:r>
      <w:proofErr w:type="spellStart"/>
      <w:r w:rsidRPr="00BB1673">
        <w:rPr>
          <w:rFonts w:ascii="Times New Roman" w:eastAsia="Times New Roman" w:hAnsi="Times New Roman" w:cs="Times New Roman"/>
          <w:i/>
          <w:iCs/>
          <w:sz w:val="24"/>
          <w:szCs w:val="24"/>
          <w:lang w:eastAsia="en-GB"/>
        </w:rPr>
        <w:t>PLoS</w:t>
      </w:r>
      <w:proofErr w:type="spellEnd"/>
      <w:r w:rsidRPr="00BB1673">
        <w:rPr>
          <w:rFonts w:ascii="Times New Roman" w:eastAsia="Times New Roman" w:hAnsi="Times New Roman" w:cs="Times New Roman"/>
          <w:i/>
          <w:iCs/>
          <w:sz w:val="24"/>
          <w:szCs w:val="24"/>
          <w:lang w:eastAsia="en-GB"/>
        </w:rPr>
        <w:t xml:space="preserve"> ONE, 9</w:t>
      </w:r>
      <w:r w:rsidRPr="00BB1673">
        <w:rPr>
          <w:rFonts w:ascii="Times New Roman" w:eastAsia="Times New Roman" w:hAnsi="Times New Roman" w:cs="Times New Roman"/>
          <w:sz w:val="24"/>
          <w:szCs w:val="24"/>
          <w:lang w:eastAsia="en-GB"/>
        </w:rPr>
        <w:t xml:space="preserve">(4), e95056. </w:t>
      </w:r>
      <w:r w:rsidRPr="00BB1673">
        <w:rPr>
          <w:rFonts w:ascii="Times New Roman" w:eastAsia="Times New Roman" w:hAnsi="Times New Roman" w:cs="Times New Roman"/>
          <w:color w:val="0000FF"/>
          <w:sz w:val="24"/>
          <w:szCs w:val="24"/>
          <w:u w:val="single"/>
          <w:lang w:eastAsia="en-GB"/>
        </w:rPr>
        <w:t>https://doi.org/10.1371/journal.pone.0095056</w:t>
      </w:r>
    </w:p>
    <w:p w14:paraId="64264463" w14:textId="5F19B3D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Daisley, B. A., Pitek, A. P., Chmiel, J. A., Gibbons, S., Chernyshova, A. M., Al, K. F., Faragalla, K. M., Burton, J. P., Thompson, G. J., &amp; Reid, G. (2020). </w:t>
      </w:r>
      <w:r w:rsidRPr="00BB1673">
        <w:rPr>
          <w:rFonts w:ascii="Times New Roman" w:eastAsia="Times New Roman" w:hAnsi="Times New Roman" w:cs="Times New Roman"/>
          <w:i/>
          <w:iCs/>
          <w:sz w:val="24"/>
          <w:szCs w:val="24"/>
          <w:lang w:eastAsia="en-GB"/>
        </w:rPr>
        <w:t>Lactobacillus</w:t>
      </w:r>
      <w:r w:rsidRPr="00BB1673">
        <w:rPr>
          <w:rFonts w:ascii="Times New Roman" w:eastAsia="Times New Roman" w:hAnsi="Times New Roman" w:cs="Times New Roman"/>
          <w:sz w:val="24"/>
          <w:szCs w:val="24"/>
          <w:lang w:eastAsia="en-GB"/>
        </w:rPr>
        <w:t xml:space="preserve"> spp. attenuate antibiotic-induced immune and microbiota dysregulation in honey bees. </w:t>
      </w:r>
      <w:r w:rsidRPr="00BB1673">
        <w:rPr>
          <w:rFonts w:ascii="Times New Roman" w:eastAsia="Times New Roman" w:hAnsi="Times New Roman" w:cs="Times New Roman"/>
          <w:i/>
          <w:iCs/>
          <w:sz w:val="24"/>
          <w:szCs w:val="24"/>
          <w:lang w:eastAsia="en-GB"/>
        </w:rPr>
        <w:t>Communications Biology, 3</w:t>
      </w:r>
      <w:r w:rsidRPr="00BB1673">
        <w:rPr>
          <w:rFonts w:ascii="Times New Roman" w:eastAsia="Times New Roman" w:hAnsi="Times New Roman" w:cs="Times New Roman"/>
          <w:sz w:val="24"/>
          <w:szCs w:val="24"/>
          <w:lang w:eastAsia="en-GB"/>
        </w:rPr>
        <w:t xml:space="preserve">, Article 534. </w:t>
      </w:r>
      <w:r w:rsidRPr="00BB1673">
        <w:rPr>
          <w:rFonts w:ascii="Times New Roman" w:eastAsia="Times New Roman" w:hAnsi="Times New Roman" w:cs="Times New Roman"/>
          <w:color w:val="0000FF"/>
          <w:sz w:val="24"/>
          <w:szCs w:val="24"/>
          <w:u w:val="single"/>
          <w:lang w:eastAsia="en-GB"/>
        </w:rPr>
        <w:t>https://doi.org/10.1038/s42003-020-01259-8</w:t>
      </w:r>
    </w:p>
    <w:p w14:paraId="2B1A7ACF" w14:textId="4B0E9D8D"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Dong, Z.-X., Li, H.-Y., Chen, Y.-F., Wang, F., Deng, X.-Y., Lin, L.-B., Zhang, Q.-L., Li, J.-L., &amp; Guo, J. (2020). Colonization of the gut microbiota of honey 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workers at different developmental stages. </w:t>
      </w:r>
      <w:r w:rsidRPr="00BB1673">
        <w:rPr>
          <w:rFonts w:ascii="Times New Roman" w:eastAsia="Times New Roman" w:hAnsi="Times New Roman" w:cs="Times New Roman"/>
          <w:i/>
          <w:iCs/>
          <w:sz w:val="24"/>
          <w:szCs w:val="24"/>
          <w:lang w:eastAsia="en-GB"/>
        </w:rPr>
        <w:t>Microbiological Research, 231</w:t>
      </w:r>
      <w:r w:rsidRPr="00BB1673">
        <w:rPr>
          <w:rFonts w:ascii="Times New Roman" w:eastAsia="Times New Roman" w:hAnsi="Times New Roman" w:cs="Times New Roman"/>
          <w:sz w:val="24"/>
          <w:szCs w:val="24"/>
          <w:lang w:eastAsia="en-GB"/>
        </w:rPr>
        <w:t xml:space="preserve">, Article 126370. </w:t>
      </w:r>
      <w:r w:rsidRPr="00BB1673">
        <w:rPr>
          <w:rFonts w:ascii="Times New Roman" w:eastAsia="Times New Roman" w:hAnsi="Times New Roman" w:cs="Times New Roman"/>
          <w:color w:val="0000FF"/>
          <w:sz w:val="24"/>
          <w:szCs w:val="24"/>
          <w:u w:val="single"/>
          <w:lang w:eastAsia="en-GB"/>
        </w:rPr>
        <w:t>https://doi.org/10.1016/j.micres.2019.126370</w:t>
      </w:r>
    </w:p>
    <w:p w14:paraId="31E61FCE" w14:textId="4FD423E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Engel, P., Martinson, V. G., &amp; Moran, N. A. (2012). Functional diversity within the simple gut microbiota of the honey bee. </w:t>
      </w:r>
      <w:r w:rsidRPr="00BB1673">
        <w:rPr>
          <w:rFonts w:ascii="Times New Roman" w:eastAsia="Times New Roman" w:hAnsi="Times New Roman" w:cs="Times New Roman"/>
          <w:i/>
          <w:iCs/>
          <w:sz w:val="24"/>
          <w:szCs w:val="24"/>
          <w:lang w:eastAsia="en-GB"/>
        </w:rPr>
        <w:t>Proceedings of the National Academy of Sciences, 109</w:t>
      </w:r>
      <w:r w:rsidRPr="00BB1673">
        <w:rPr>
          <w:rFonts w:ascii="Times New Roman" w:eastAsia="Times New Roman" w:hAnsi="Times New Roman" w:cs="Times New Roman"/>
          <w:sz w:val="24"/>
          <w:szCs w:val="24"/>
          <w:lang w:eastAsia="en-GB"/>
        </w:rPr>
        <w:t xml:space="preserve">(27), 11002–11007. </w:t>
      </w:r>
      <w:r w:rsidRPr="00BB1673">
        <w:rPr>
          <w:rFonts w:ascii="Times New Roman" w:eastAsia="Times New Roman" w:hAnsi="Times New Roman" w:cs="Times New Roman"/>
          <w:color w:val="0000FF"/>
          <w:sz w:val="24"/>
          <w:szCs w:val="24"/>
          <w:u w:val="single"/>
          <w:lang w:eastAsia="en-GB"/>
        </w:rPr>
        <w:t>https://doi.org/10.1073/pnas.1202970109</w:t>
      </w:r>
    </w:p>
    <w:p w14:paraId="645EFC0C" w14:textId="5FE47415"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GBD 2021 Antimicrobial Resistance Collaborators. (2024). Global burden of bacterial antimicrobial resistance 1990–2021: A systematic analysis with forecasts to 2050. </w:t>
      </w:r>
      <w:r w:rsidRPr="00BB1673">
        <w:rPr>
          <w:rFonts w:ascii="Times New Roman" w:eastAsia="Times New Roman" w:hAnsi="Times New Roman" w:cs="Times New Roman"/>
          <w:i/>
          <w:iCs/>
          <w:sz w:val="24"/>
          <w:szCs w:val="24"/>
          <w:lang w:eastAsia="en-GB"/>
        </w:rPr>
        <w:t>The Lancet, 404</w:t>
      </w:r>
      <w:r w:rsidRPr="00BB1673">
        <w:rPr>
          <w:rFonts w:ascii="Times New Roman" w:eastAsia="Times New Roman" w:hAnsi="Times New Roman" w:cs="Times New Roman"/>
          <w:sz w:val="24"/>
          <w:szCs w:val="24"/>
          <w:lang w:eastAsia="en-GB"/>
        </w:rPr>
        <w:t xml:space="preserve">(10459), 1199–1226. </w:t>
      </w:r>
      <w:r w:rsidRPr="00BB1673">
        <w:rPr>
          <w:rFonts w:ascii="Times New Roman" w:eastAsia="Times New Roman" w:hAnsi="Times New Roman" w:cs="Times New Roman"/>
          <w:color w:val="0000FF"/>
          <w:sz w:val="24"/>
          <w:szCs w:val="24"/>
          <w:u w:val="single"/>
          <w:lang w:eastAsia="en-GB"/>
        </w:rPr>
        <w:t>https://doi.org/10.1016/S0140-6736(24)01867-1</w:t>
      </w:r>
    </w:p>
    <w:p w14:paraId="2AF84CE0" w14:textId="267C7307"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Green, B. N., Johnson, C. D., &amp; Adams, A. (2006). Writing narrative literature reviews for peer-reviewed journals: Secrets of the trade. </w:t>
      </w:r>
      <w:r w:rsidRPr="00BB1673">
        <w:rPr>
          <w:rFonts w:ascii="Times New Roman" w:eastAsia="Times New Roman" w:hAnsi="Times New Roman" w:cs="Times New Roman"/>
          <w:i/>
          <w:iCs/>
          <w:sz w:val="24"/>
          <w:szCs w:val="24"/>
          <w:lang w:eastAsia="en-GB"/>
        </w:rPr>
        <w:t>Journal of Chiropractic Medicine, 5</w:t>
      </w:r>
      <w:r w:rsidRPr="00BB1673">
        <w:rPr>
          <w:rFonts w:ascii="Times New Roman" w:eastAsia="Times New Roman" w:hAnsi="Times New Roman" w:cs="Times New Roman"/>
          <w:sz w:val="24"/>
          <w:szCs w:val="24"/>
          <w:lang w:eastAsia="en-GB"/>
        </w:rPr>
        <w:t xml:space="preserve">(3), 101–117. </w:t>
      </w:r>
      <w:r w:rsidRPr="00BB1673">
        <w:rPr>
          <w:rFonts w:ascii="Times New Roman" w:eastAsia="Times New Roman" w:hAnsi="Times New Roman" w:cs="Times New Roman"/>
          <w:color w:val="0000FF"/>
          <w:sz w:val="24"/>
          <w:szCs w:val="24"/>
          <w:u w:val="single"/>
          <w:lang w:eastAsia="en-GB"/>
        </w:rPr>
        <w:t>https://doi.org/10.1016/S0899-3467(07)60142-6</w:t>
      </w:r>
    </w:p>
    <w:p w14:paraId="12A9F22A" w14:textId="46F0619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Hill, C., </w:t>
      </w:r>
      <w:proofErr w:type="spellStart"/>
      <w:r w:rsidRPr="00BB1673">
        <w:rPr>
          <w:rFonts w:ascii="Times New Roman" w:eastAsia="Times New Roman" w:hAnsi="Times New Roman" w:cs="Times New Roman"/>
          <w:sz w:val="24"/>
          <w:szCs w:val="24"/>
          <w:lang w:eastAsia="en-GB"/>
        </w:rPr>
        <w:t>Guarner</w:t>
      </w:r>
      <w:proofErr w:type="spellEnd"/>
      <w:r w:rsidRPr="00BB1673">
        <w:rPr>
          <w:rFonts w:ascii="Times New Roman" w:eastAsia="Times New Roman" w:hAnsi="Times New Roman" w:cs="Times New Roman"/>
          <w:sz w:val="24"/>
          <w:szCs w:val="24"/>
          <w:lang w:eastAsia="en-GB"/>
        </w:rPr>
        <w:t xml:space="preserve">, F., Reid, G., Gibson, G. R., Merenstein, D. J., Pot, B., Morelli, L., </w:t>
      </w:r>
      <w:proofErr w:type="spellStart"/>
      <w:r w:rsidRPr="00BB1673">
        <w:rPr>
          <w:rFonts w:ascii="Times New Roman" w:eastAsia="Times New Roman" w:hAnsi="Times New Roman" w:cs="Times New Roman"/>
          <w:sz w:val="24"/>
          <w:szCs w:val="24"/>
          <w:lang w:eastAsia="en-GB"/>
        </w:rPr>
        <w:t>Canani</w:t>
      </w:r>
      <w:proofErr w:type="spellEnd"/>
      <w:r w:rsidRPr="00BB1673">
        <w:rPr>
          <w:rFonts w:ascii="Times New Roman" w:eastAsia="Times New Roman" w:hAnsi="Times New Roman" w:cs="Times New Roman"/>
          <w:sz w:val="24"/>
          <w:szCs w:val="24"/>
          <w:lang w:eastAsia="en-GB"/>
        </w:rPr>
        <w:t xml:space="preserve">, R. B., Flint, H. J., Salminen, S., Calder, P. C., &amp; Sanders, M. E. (2014). Expert consensus document: The International Scientific Association for Probiotics and Prebiotics consensus statement on the scope and appropriate use of the term probiotic. </w:t>
      </w:r>
      <w:r w:rsidRPr="00BB1673">
        <w:rPr>
          <w:rFonts w:ascii="Times New Roman" w:eastAsia="Times New Roman" w:hAnsi="Times New Roman" w:cs="Times New Roman"/>
          <w:i/>
          <w:iCs/>
          <w:sz w:val="24"/>
          <w:szCs w:val="24"/>
          <w:lang w:eastAsia="en-GB"/>
        </w:rPr>
        <w:t>Nature Reviews Gastroenterology &amp; Hepatology, 11</w:t>
      </w:r>
      <w:r w:rsidRPr="00BB1673">
        <w:rPr>
          <w:rFonts w:ascii="Times New Roman" w:eastAsia="Times New Roman" w:hAnsi="Times New Roman" w:cs="Times New Roman"/>
          <w:sz w:val="24"/>
          <w:szCs w:val="24"/>
          <w:lang w:eastAsia="en-GB"/>
        </w:rPr>
        <w:t xml:space="preserve">(8), 506–514. </w:t>
      </w:r>
      <w:r w:rsidRPr="00BB1673">
        <w:rPr>
          <w:rFonts w:ascii="Times New Roman" w:eastAsia="Times New Roman" w:hAnsi="Times New Roman" w:cs="Times New Roman"/>
          <w:color w:val="0000FF"/>
          <w:sz w:val="24"/>
          <w:szCs w:val="24"/>
          <w:u w:val="single"/>
          <w:lang w:eastAsia="en-GB"/>
        </w:rPr>
        <w:t>https://doi.org/10.1038/nrgastro.2014.66</w:t>
      </w:r>
    </w:p>
    <w:p w14:paraId="1CBBDEFF" w14:textId="737AE498"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Kwong, W. K., Engel, P., Koch, H., &amp; Moran, N. A. (2014). Genomics and host specialization of honey bee and bumble bee gut symbionts. </w:t>
      </w:r>
      <w:r w:rsidRPr="00BB1673">
        <w:rPr>
          <w:rFonts w:ascii="Times New Roman" w:eastAsia="Times New Roman" w:hAnsi="Times New Roman" w:cs="Times New Roman"/>
          <w:i/>
          <w:iCs/>
          <w:sz w:val="24"/>
          <w:szCs w:val="24"/>
          <w:lang w:eastAsia="en-GB"/>
        </w:rPr>
        <w:t>Proceedings of the National Academy of Sciences, 111</w:t>
      </w:r>
      <w:r w:rsidRPr="00BB1673">
        <w:rPr>
          <w:rFonts w:ascii="Times New Roman" w:eastAsia="Times New Roman" w:hAnsi="Times New Roman" w:cs="Times New Roman"/>
          <w:sz w:val="24"/>
          <w:szCs w:val="24"/>
          <w:lang w:eastAsia="en-GB"/>
        </w:rPr>
        <w:t xml:space="preserve">(31), 11509–11514. </w:t>
      </w:r>
      <w:r w:rsidRPr="00BB1673">
        <w:rPr>
          <w:rFonts w:ascii="Times New Roman" w:eastAsia="Times New Roman" w:hAnsi="Times New Roman" w:cs="Times New Roman"/>
          <w:color w:val="0000FF"/>
          <w:sz w:val="24"/>
          <w:szCs w:val="24"/>
          <w:u w:val="single"/>
          <w:lang w:eastAsia="en-GB"/>
        </w:rPr>
        <w:t>https://doi.org/10.1073/pnas.1405838111</w:t>
      </w:r>
    </w:p>
    <w:p w14:paraId="6E6696C7" w14:textId="32E4674B"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Kwong, W. K., </w:t>
      </w:r>
      <w:proofErr w:type="spellStart"/>
      <w:r w:rsidRPr="00BB1673">
        <w:rPr>
          <w:rFonts w:ascii="Times New Roman" w:eastAsia="Times New Roman" w:hAnsi="Times New Roman" w:cs="Times New Roman"/>
          <w:sz w:val="24"/>
          <w:szCs w:val="24"/>
          <w:lang w:eastAsia="en-GB"/>
        </w:rPr>
        <w:t>Mancenido</w:t>
      </w:r>
      <w:proofErr w:type="spellEnd"/>
      <w:r w:rsidRPr="00BB1673">
        <w:rPr>
          <w:rFonts w:ascii="Times New Roman" w:eastAsia="Times New Roman" w:hAnsi="Times New Roman" w:cs="Times New Roman"/>
          <w:sz w:val="24"/>
          <w:szCs w:val="24"/>
          <w:lang w:eastAsia="en-GB"/>
        </w:rPr>
        <w:t xml:space="preserve">, A. L., &amp; Moran, N. A. (2017). Immune system stimulation by the native gut microbiota of honey bees. </w:t>
      </w:r>
      <w:r w:rsidRPr="00BB1673">
        <w:rPr>
          <w:rFonts w:ascii="Times New Roman" w:eastAsia="Times New Roman" w:hAnsi="Times New Roman" w:cs="Times New Roman"/>
          <w:i/>
          <w:iCs/>
          <w:sz w:val="24"/>
          <w:szCs w:val="24"/>
          <w:lang w:eastAsia="en-GB"/>
        </w:rPr>
        <w:t>Royal Society Open Science, 4</w:t>
      </w:r>
      <w:r w:rsidRPr="00BB1673">
        <w:rPr>
          <w:rFonts w:ascii="Times New Roman" w:eastAsia="Times New Roman" w:hAnsi="Times New Roman" w:cs="Times New Roman"/>
          <w:sz w:val="24"/>
          <w:szCs w:val="24"/>
          <w:lang w:eastAsia="en-GB"/>
        </w:rPr>
        <w:t xml:space="preserve">(2), Article 170003. </w:t>
      </w:r>
      <w:r w:rsidRPr="00BB1673">
        <w:rPr>
          <w:rFonts w:ascii="Times New Roman" w:eastAsia="Times New Roman" w:hAnsi="Times New Roman" w:cs="Times New Roman"/>
          <w:color w:val="0000FF"/>
          <w:sz w:val="24"/>
          <w:szCs w:val="24"/>
          <w:u w:val="single"/>
          <w:lang w:eastAsia="en-GB"/>
        </w:rPr>
        <w:t>https://doi.org/10.1098/rsos.170003</w:t>
      </w:r>
    </w:p>
    <w:p w14:paraId="70B34EB2" w14:textId="778CC694"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Kwong, W. K., &amp; Moran, N. A. (2016). Gut microbial communities of social bees. </w:t>
      </w:r>
      <w:r w:rsidRPr="00BB1673">
        <w:rPr>
          <w:rFonts w:ascii="Times New Roman" w:eastAsia="Times New Roman" w:hAnsi="Times New Roman" w:cs="Times New Roman"/>
          <w:i/>
          <w:iCs/>
          <w:sz w:val="24"/>
          <w:szCs w:val="24"/>
          <w:lang w:eastAsia="en-GB"/>
        </w:rPr>
        <w:t>Nature Reviews Microbiology, 14</w:t>
      </w:r>
      <w:r w:rsidRPr="00BB1673">
        <w:rPr>
          <w:rFonts w:ascii="Times New Roman" w:eastAsia="Times New Roman" w:hAnsi="Times New Roman" w:cs="Times New Roman"/>
          <w:sz w:val="24"/>
          <w:szCs w:val="24"/>
          <w:lang w:eastAsia="en-GB"/>
        </w:rPr>
        <w:t xml:space="preserve">(6), 374–384. </w:t>
      </w:r>
      <w:r w:rsidRPr="00BB1673">
        <w:rPr>
          <w:rFonts w:ascii="Times New Roman" w:eastAsia="Times New Roman" w:hAnsi="Times New Roman" w:cs="Times New Roman"/>
          <w:color w:val="0000FF"/>
          <w:sz w:val="24"/>
          <w:szCs w:val="24"/>
          <w:u w:val="single"/>
          <w:lang w:eastAsia="en-GB"/>
        </w:rPr>
        <w:t>https://doi.org/10.1038/nrmicro.2016.43</w:t>
      </w:r>
    </w:p>
    <w:p w14:paraId="29DEECFD" w14:textId="23613788"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Lanh</w:t>
      </w:r>
      <w:proofErr w:type="spellEnd"/>
      <w:r w:rsidRPr="00BB1673">
        <w:rPr>
          <w:rFonts w:ascii="Times New Roman" w:eastAsia="Times New Roman" w:hAnsi="Times New Roman" w:cs="Times New Roman"/>
          <w:sz w:val="24"/>
          <w:szCs w:val="24"/>
          <w:lang w:eastAsia="en-GB"/>
        </w:rPr>
        <w:t xml:space="preserve">, P. T., Duong, B. T. T., Thu, H. T., Hoa, N. T., Yoo, M. S., Cho, Y. S., &amp; Quyen, D. V. (2022). The gut microbiota at different developmental stages of </w:t>
      </w:r>
      <w:r w:rsidRPr="00BB1673">
        <w:rPr>
          <w:rFonts w:ascii="Times New Roman" w:eastAsia="Times New Roman" w:hAnsi="Times New Roman" w:cs="Times New Roman"/>
          <w:i/>
          <w:iCs/>
          <w:sz w:val="24"/>
          <w:szCs w:val="24"/>
          <w:lang w:eastAsia="en-GB"/>
        </w:rPr>
        <w:t>Apis cerana</w:t>
      </w:r>
      <w:r w:rsidRPr="00BB1673">
        <w:rPr>
          <w:rFonts w:ascii="Times New Roman" w:eastAsia="Times New Roman" w:hAnsi="Times New Roman" w:cs="Times New Roman"/>
          <w:sz w:val="24"/>
          <w:szCs w:val="24"/>
          <w:lang w:eastAsia="en-GB"/>
        </w:rPr>
        <w:t xml:space="preserve"> reveals potential probiotic bacteria for improving honeybee health. </w:t>
      </w:r>
      <w:r w:rsidRPr="00BB1673">
        <w:rPr>
          <w:rFonts w:ascii="Times New Roman" w:eastAsia="Times New Roman" w:hAnsi="Times New Roman" w:cs="Times New Roman"/>
          <w:i/>
          <w:iCs/>
          <w:sz w:val="24"/>
          <w:szCs w:val="24"/>
          <w:lang w:eastAsia="en-GB"/>
        </w:rPr>
        <w:t>Microorganisms, 10</w:t>
      </w:r>
      <w:r w:rsidRPr="00BB1673">
        <w:rPr>
          <w:rFonts w:ascii="Times New Roman" w:eastAsia="Times New Roman" w:hAnsi="Times New Roman" w:cs="Times New Roman"/>
          <w:sz w:val="24"/>
          <w:szCs w:val="24"/>
          <w:lang w:eastAsia="en-GB"/>
        </w:rPr>
        <w:t xml:space="preserve">(10), Article 1938. </w:t>
      </w:r>
      <w:r w:rsidRPr="00BB1673">
        <w:rPr>
          <w:rFonts w:ascii="Times New Roman" w:eastAsia="Times New Roman" w:hAnsi="Times New Roman" w:cs="Times New Roman"/>
          <w:color w:val="0000FF"/>
          <w:sz w:val="24"/>
          <w:szCs w:val="24"/>
          <w:u w:val="single"/>
          <w:lang w:eastAsia="en-GB"/>
        </w:rPr>
        <w:t>https://doi.org/10.3390/microorganisms10101938</w:t>
      </w:r>
    </w:p>
    <w:p w14:paraId="68367628" w14:textId="03D1BA36"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Leonard, S. P., Powell, J. E., </w:t>
      </w:r>
      <w:proofErr w:type="spellStart"/>
      <w:r w:rsidRPr="00BB1673">
        <w:rPr>
          <w:rFonts w:ascii="Times New Roman" w:eastAsia="Times New Roman" w:hAnsi="Times New Roman" w:cs="Times New Roman"/>
          <w:sz w:val="24"/>
          <w:szCs w:val="24"/>
          <w:lang w:eastAsia="en-GB"/>
        </w:rPr>
        <w:t>Perutka</w:t>
      </w:r>
      <w:proofErr w:type="spellEnd"/>
      <w:r w:rsidRPr="00BB1673">
        <w:rPr>
          <w:rFonts w:ascii="Times New Roman" w:eastAsia="Times New Roman" w:hAnsi="Times New Roman" w:cs="Times New Roman"/>
          <w:sz w:val="24"/>
          <w:szCs w:val="24"/>
          <w:lang w:eastAsia="en-GB"/>
        </w:rPr>
        <w:t xml:space="preserve">, J., Geng, P., Heckmann, L. C., Horak, R. D., Davies, B. W., Ellington, A. D., Barrick, J. E., &amp; Moran, N. A. (2020). Engineered symbionts activate </w:t>
      </w:r>
      <w:r w:rsidRPr="00BB1673">
        <w:rPr>
          <w:rFonts w:ascii="Times New Roman" w:eastAsia="Times New Roman" w:hAnsi="Times New Roman" w:cs="Times New Roman"/>
          <w:sz w:val="24"/>
          <w:szCs w:val="24"/>
          <w:lang w:eastAsia="en-GB"/>
        </w:rPr>
        <w:lastRenderedPageBreak/>
        <w:t xml:space="preserve">honey bee immunity and limit pathogens. </w:t>
      </w:r>
      <w:r w:rsidRPr="00BB1673">
        <w:rPr>
          <w:rFonts w:ascii="Times New Roman" w:eastAsia="Times New Roman" w:hAnsi="Times New Roman" w:cs="Times New Roman"/>
          <w:i/>
          <w:iCs/>
          <w:sz w:val="24"/>
          <w:szCs w:val="24"/>
          <w:lang w:eastAsia="en-GB"/>
        </w:rPr>
        <w:t>Science, 367</w:t>
      </w:r>
      <w:r w:rsidRPr="00BB1673">
        <w:rPr>
          <w:rFonts w:ascii="Times New Roman" w:eastAsia="Times New Roman" w:hAnsi="Times New Roman" w:cs="Times New Roman"/>
          <w:sz w:val="24"/>
          <w:szCs w:val="24"/>
          <w:lang w:eastAsia="en-GB"/>
        </w:rPr>
        <w:t xml:space="preserve">(6477), 573–576. </w:t>
      </w:r>
      <w:r w:rsidRPr="00BB1673">
        <w:rPr>
          <w:rFonts w:ascii="Times New Roman" w:eastAsia="Times New Roman" w:hAnsi="Times New Roman" w:cs="Times New Roman"/>
          <w:color w:val="0000FF"/>
          <w:sz w:val="24"/>
          <w:szCs w:val="24"/>
          <w:u w:val="single"/>
          <w:lang w:eastAsia="en-GB"/>
        </w:rPr>
        <w:t>https://doi.org/10.1126/science.aax9039</w:t>
      </w:r>
    </w:p>
    <w:p w14:paraId="0C5FCAFB" w14:textId="07EBC0FD"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Moran, N. A., Hansen, A. K., Powell, J. E., &amp; Sabree, Z. L. (2012). Distinctive gut microbiota of honey bees assessed using deep sampling from individual worker bees. </w:t>
      </w:r>
      <w:proofErr w:type="spellStart"/>
      <w:r w:rsidRPr="00BB1673">
        <w:rPr>
          <w:rFonts w:ascii="Times New Roman" w:eastAsia="Times New Roman" w:hAnsi="Times New Roman" w:cs="Times New Roman"/>
          <w:i/>
          <w:iCs/>
          <w:sz w:val="24"/>
          <w:szCs w:val="24"/>
          <w:lang w:eastAsia="en-GB"/>
        </w:rPr>
        <w:t>PLoS</w:t>
      </w:r>
      <w:proofErr w:type="spellEnd"/>
      <w:r w:rsidRPr="00BB1673">
        <w:rPr>
          <w:rFonts w:ascii="Times New Roman" w:eastAsia="Times New Roman" w:hAnsi="Times New Roman" w:cs="Times New Roman"/>
          <w:i/>
          <w:iCs/>
          <w:sz w:val="24"/>
          <w:szCs w:val="24"/>
          <w:lang w:eastAsia="en-GB"/>
        </w:rPr>
        <w:t xml:space="preserve"> ONE, 7</w:t>
      </w:r>
      <w:r w:rsidRPr="00BB1673">
        <w:rPr>
          <w:rFonts w:ascii="Times New Roman" w:eastAsia="Times New Roman" w:hAnsi="Times New Roman" w:cs="Times New Roman"/>
          <w:sz w:val="24"/>
          <w:szCs w:val="24"/>
          <w:lang w:eastAsia="en-GB"/>
        </w:rPr>
        <w:t xml:space="preserve">(4), e36393. </w:t>
      </w:r>
      <w:r w:rsidRPr="00BB1673">
        <w:rPr>
          <w:rFonts w:ascii="Times New Roman" w:eastAsia="Times New Roman" w:hAnsi="Times New Roman" w:cs="Times New Roman"/>
          <w:color w:val="0000FF"/>
          <w:sz w:val="24"/>
          <w:szCs w:val="24"/>
          <w:u w:val="single"/>
          <w:lang w:eastAsia="en-GB"/>
        </w:rPr>
        <w:t>https://doi.org/10.1371/journal.pone.0036393</w:t>
      </w:r>
    </w:p>
    <w:p w14:paraId="51FAA89E" w14:textId="575933A5"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Motta, E. V. S., &amp; Moran, N. A. (2024). The honeybee microbiota and its impact on health and disease. </w:t>
      </w:r>
      <w:r w:rsidRPr="00BB1673">
        <w:rPr>
          <w:rFonts w:ascii="Times New Roman" w:eastAsia="Times New Roman" w:hAnsi="Times New Roman" w:cs="Times New Roman"/>
          <w:i/>
          <w:iCs/>
          <w:sz w:val="24"/>
          <w:szCs w:val="24"/>
          <w:lang w:eastAsia="en-GB"/>
        </w:rPr>
        <w:t>Nature Reviews Microbiology, 22</w:t>
      </w:r>
      <w:r w:rsidRPr="00BB1673">
        <w:rPr>
          <w:rFonts w:ascii="Times New Roman" w:eastAsia="Times New Roman" w:hAnsi="Times New Roman" w:cs="Times New Roman"/>
          <w:sz w:val="24"/>
          <w:szCs w:val="24"/>
          <w:lang w:eastAsia="en-GB"/>
        </w:rPr>
        <w:t xml:space="preserve">(3), 122–137. </w:t>
      </w:r>
      <w:r w:rsidRPr="00BB1673">
        <w:rPr>
          <w:rFonts w:ascii="Times New Roman" w:eastAsia="Times New Roman" w:hAnsi="Times New Roman" w:cs="Times New Roman"/>
          <w:color w:val="0000FF"/>
          <w:sz w:val="24"/>
          <w:szCs w:val="24"/>
          <w:u w:val="single"/>
          <w:lang w:eastAsia="en-GB"/>
        </w:rPr>
        <w:t>https://doi.org/10.1038/s41579-023-00990-3</w:t>
      </w:r>
    </w:p>
    <w:p w14:paraId="1823A066" w14:textId="6AB9311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Motta, E. V. S., Powell, J. E., Leonard, S. P., &amp; Moran, N. A. (2022). Prospects for probiotics in social bees. </w:t>
      </w:r>
      <w:r w:rsidRPr="00BB1673">
        <w:rPr>
          <w:rFonts w:ascii="Times New Roman" w:eastAsia="Times New Roman" w:hAnsi="Times New Roman" w:cs="Times New Roman"/>
          <w:i/>
          <w:iCs/>
          <w:sz w:val="24"/>
          <w:szCs w:val="24"/>
          <w:lang w:eastAsia="en-GB"/>
        </w:rPr>
        <w:t>Philosophical Transactions of the Royal Society B: Biological Sciences, 377</w:t>
      </w:r>
      <w:r w:rsidRPr="00BB1673">
        <w:rPr>
          <w:rFonts w:ascii="Times New Roman" w:eastAsia="Times New Roman" w:hAnsi="Times New Roman" w:cs="Times New Roman"/>
          <w:sz w:val="24"/>
          <w:szCs w:val="24"/>
          <w:lang w:eastAsia="en-GB"/>
        </w:rPr>
        <w:t xml:space="preserve">(1853), Article 20210156. </w:t>
      </w:r>
      <w:r w:rsidRPr="00BB1673">
        <w:rPr>
          <w:rFonts w:ascii="Times New Roman" w:eastAsia="Times New Roman" w:hAnsi="Times New Roman" w:cs="Times New Roman"/>
          <w:color w:val="0000FF"/>
          <w:sz w:val="24"/>
          <w:szCs w:val="24"/>
          <w:u w:val="single"/>
          <w:lang w:eastAsia="en-GB"/>
        </w:rPr>
        <w:t>https://doi.org/10.1098/rstb.2021.0156</w:t>
      </w:r>
    </w:p>
    <w:p w14:paraId="29CD2B38" w14:textId="5C01DB72"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Mundo, M. A., Xiong, Z. R., </w:t>
      </w:r>
      <w:proofErr w:type="spellStart"/>
      <w:r w:rsidRPr="00BB1673">
        <w:rPr>
          <w:rFonts w:ascii="Times New Roman" w:eastAsia="Times New Roman" w:hAnsi="Times New Roman" w:cs="Times New Roman"/>
          <w:sz w:val="24"/>
          <w:szCs w:val="24"/>
          <w:lang w:eastAsia="en-GB"/>
        </w:rPr>
        <w:t>Galasong</w:t>
      </w:r>
      <w:proofErr w:type="spellEnd"/>
      <w:r w:rsidRPr="00BB1673">
        <w:rPr>
          <w:rFonts w:ascii="Times New Roman" w:eastAsia="Times New Roman" w:hAnsi="Times New Roman" w:cs="Times New Roman"/>
          <w:sz w:val="24"/>
          <w:szCs w:val="24"/>
          <w:lang w:eastAsia="en-GB"/>
        </w:rPr>
        <w:t xml:space="preserve">, Y., Manns, D. C., Seeley, T. D., </w:t>
      </w:r>
      <w:proofErr w:type="spellStart"/>
      <w:r w:rsidRPr="00BB1673">
        <w:rPr>
          <w:rFonts w:ascii="Times New Roman" w:eastAsia="Times New Roman" w:hAnsi="Times New Roman" w:cs="Times New Roman"/>
          <w:sz w:val="24"/>
          <w:szCs w:val="24"/>
          <w:lang w:eastAsia="en-GB"/>
        </w:rPr>
        <w:t>Vegdahl</w:t>
      </w:r>
      <w:proofErr w:type="spellEnd"/>
      <w:r w:rsidRPr="00BB1673">
        <w:rPr>
          <w:rFonts w:ascii="Times New Roman" w:eastAsia="Times New Roman" w:hAnsi="Times New Roman" w:cs="Times New Roman"/>
          <w:sz w:val="24"/>
          <w:szCs w:val="24"/>
          <w:lang w:eastAsia="en-GB"/>
        </w:rPr>
        <w:t xml:space="preserve">, A. C., &amp; </w:t>
      </w:r>
      <w:proofErr w:type="spellStart"/>
      <w:r w:rsidRPr="00BB1673">
        <w:rPr>
          <w:rFonts w:ascii="Times New Roman" w:eastAsia="Times New Roman" w:hAnsi="Times New Roman" w:cs="Times New Roman"/>
          <w:sz w:val="24"/>
          <w:szCs w:val="24"/>
          <w:lang w:eastAsia="en-GB"/>
        </w:rPr>
        <w:t>Worobo</w:t>
      </w:r>
      <w:proofErr w:type="spellEnd"/>
      <w:r w:rsidRPr="00BB1673">
        <w:rPr>
          <w:rFonts w:ascii="Times New Roman" w:eastAsia="Times New Roman" w:hAnsi="Times New Roman" w:cs="Times New Roman"/>
          <w:sz w:val="24"/>
          <w:szCs w:val="24"/>
          <w:lang w:eastAsia="en-GB"/>
        </w:rPr>
        <w:t xml:space="preserve">, R. W. (2023). Diversity, antimicrobial production, and seasonal variation of honey bee microbiota isolated from the honey stomachs of the domestic honey bee,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Frontiers in Sustainable Food Systems, 6</w:t>
      </w:r>
      <w:r w:rsidRPr="00BB1673">
        <w:rPr>
          <w:rFonts w:ascii="Times New Roman" w:eastAsia="Times New Roman" w:hAnsi="Times New Roman" w:cs="Times New Roman"/>
          <w:sz w:val="24"/>
          <w:szCs w:val="24"/>
          <w:lang w:eastAsia="en-GB"/>
        </w:rPr>
        <w:t xml:space="preserve">, Article 931363. </w:t>
      </w:r>
      <w:r w:rsidRPr="00BB1673">
        <w:rPr>
          <w:rFonts w:ascii="Times New Roman" w:eastAsia="Times New Roman" w:hAnsi="Times New Roman" w:cs="Times New Roman"/>
          <w:color w:val="0000FF"/>
          <w:sz w:val="24"/>
          <w:szCs w:val="24"/>
          <w:u w:val="single"/>
          <w:lang w:eastAsia="en-GB"/>
        </w:rPr>
        <w:t>https://doi.org/10.3389/fsufs.2022.931363</w:t>
      </w:r>
    </w:p>
    <w:p w14:paraId="3EFFC5BB" w14:textId="19D61AEB"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Mustar</w:t>
      </w:r>
      <w:proofErr w:type="spellEnd"/>
      <w:r w:rsidRPr="00BB1673">
        <w:rPr>
          <w:rFonts w:ascii="Times New Roman" w:eastAsia="Times New Roman" w:hAnsi="Times New Roman" w:cs="Times New Roman"/>
          <w:sz w:val="24"/>
          <w:szCs w:val="24"/>
          <w:lang w:eastAsia="en-GB"/>
        </w:rPr>
        <w:t xml:space="preserve">, S., &amp; Ibrahim, N. (2022). A sweeter pill to swallow: A review of honey bees and honey as a source of probiotic and prebiotic products. </w:t>
      </w:r>
      <w:r w:rsidRPr="00BB1673">
        <w:rPr>
          <w:rFonts w:ascii="Times New Roman" w:eastAsia="Times New Roman" w:hAnsi="Times New Roman" w:cs="Times New Roman"/>
          <w:i/>
          <w:iCs/>
          <w:sz w:val="24"/>
          <w:szCs w:val="24"/>
          <w:lang w:eastAsia="en-GB"/>
        </w:rPr>
        <w:t>Foods, 11</w:t>
      </w:r>
      <w:r w:rsidRPr="00BB1673">
        <w:rPr>
          <w:rFonts w:ascii="Times New Roman" w:eastAsia="Times New Roman" w:hAnsi="Times New Roman" w:cs="Times New Roman"/>
          <w:sz w:val="24"/>
          <w:szCs w:val="24"/>
          <w:lang w:eastAsia="en-GB"/>
        </w:rPr>
        <w:t xml:space="preserve">(14), Article 2102. </w:t>
      </w:r>
      <w:r w:rsidRPr="00BB1673">
        <w:rPr>
          <w:rFonts w:ascii="Times New Roman" w:eastAsia="Times New Roman" w:hAnsi="Times New Roman" w:cs="Times New Roman"/>
          <w:color w:val="0000FF"/>
          <w:sz w:val="24"/>
          <w:szCs w:val="24"/>
          <w:u w:val="single"/>
          <w:lang w:eastAsia="en-GB"/>
        </w:rPr>
        <w:t>https://doi.org/10.3390/foods11142102</w:t>
      </w:r>
    </w:p>
    <w:p w14:paraId="75516E39" w14:textId="5068E2CC"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Nazzi, F. (2020). Commentary: Engineered symbionts activate honey bee immunity and limit pathogens. </w:t>
      </w:r>
      <w:r w:rsidRPr="00BB1673">
        <w:rPr>
          <w:rFonts w:ascii="Times New Roman" w:eastAsia="Times New Roman" w:hAnsi="Times New Roman" w:cs="Times New Roman"/>
          <w:i/>
          <w:iCs/>
          <w:sz w:val="24"/>
          <w:szCs w:val="24"/>
          <w:lang w:eastAsia="en-GB"/>
        </w:rPr>
        <w:t>Frontiers in Ecology and Evolution, 8</w:t>
      </w:r>
      <w:r w:rsidRPr="00BB1673">
        <w:rPr>
          <w:rFonts w:ascii="Times New Roman" w:eastAsia="Times New Roman" w:hAnsi="Times New Roman" w:cs="Times New Roman"/>
          <w:sz w:val="24"/>
          <w:szCs w:val="24"/>
          <w:lang w:eastAsia="en-GB"/>
        </w:rPr>
        <w:t xml:space="preserve">, Article 538520. </w:t>
      </w:r>
      <w:r w:rsidRPr="00BB1673">
        <w:rPr>
          <w:rFonts w:ascii="Times New Roman" w:eastAsia="Times New Roman" w:hAnsi="Times New Roman" w:cs="Times New Roman"/>
          <w:color w:val="0000FF"/>
          <w:sz w:val="24"/>
          <w:szCs w:val="24"/>
          <w:u w:val="single"/>
          <w:lang w:eastAsia="en-GB"/>
        </w:rPr>
        <w:t>https://doi.org/10.3389/fevo.2020.538520</w:t>
      </w:r>
    </w:p>
    <w:p w14:paraId="4FFE71FF" w14:textId="5791254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Nowak, A., Szczuka, D., </w:t>
      </w:r>
      <w:proofErr w:type="spellStart"/>
      <w:r w:rsidRPr="00BB1673">
        <w:rPr>
          <w:rFonts w:ascii="Times New Roman" w:eastAsia="Times New Roman" w:hAnsi="Times New Roman" w:cs="Times New Roman"/>
          <w:sz w:val="24"/>
          <w:szCs w:val="24"/>
          <w:lang w:eastAsia="en-GB"/>
        </w:rPr>
        <w:t>Górczyńska</w:t>
      </w:r>
      <w:proofErr w:type="spellEnd"/>
      <w:r w:rsidRPr="00BB1673">
        <w:rPr>
          <w:rFonts w:ascii="Times New Roman" w:eastAsia="Times New Roman" w:hAnsi="Times New Roman" w:cs="Times New Roman"/>
          <w:sz w:val="24"/>
          <w:szCs w:val="24"/>
          <w:lang w:eastAsia="en-GB"/>
        </w:rPr>
        <w:t xml:space="preserve">, A., Motyl, I., &amp; </w:t>
      </w:r>
      <w:proofErr w:type="spellStart"/>
      <w:r w:rsidRPr="00BB1673">
        <w:rPr>
          <w:rFonts w:ascii="Times New Roman" w:eastAsia="Times New Roman" w:hAnsi="Times New Roman" w:cs="Times New Roman"/>
          <w:sz w:val="24"/>
          <w:szCs w:val="24"/>
          <w:lang w:eastAsia="en-GB"/>
        </w:rPr>
        <w:t>Kręgiel</w:t>
      </w:r>
      <w:proofErr w:type="spellEnd"/>
      <w:r w:rsidRPr="00BB1673">
        <w:rPr>
          <w:rFonts w:ascii="Times New Roman" w:eastAsia="Times New Roman" w:hAnsi="Times New Roman" w:cs="Times New Roman"/>
          <w:sz w:val="24"/>
          <w:szCs w:val="24"/>
          <w:lang w:eastAsia="en-GB"/>
        </w:rPr>
        <w:t xml:space="preserve">, D. (2021). Characterization of </w:t>
      </w:r>
      <w:r w:rsidRPr="00BB1673">
        <w:rPr>
          <w:rFonts w:ascii="Times New Roman" w:eastAsia="Times New Roman" w:hAnsi="Times New Roman" w:cs="Times New Roman"/>
          <w:i/>
          <w:iCs/>
          <w:sz w:val="24"/>
          <w:szCs w:val="24"/>
          <w:lang w:eastAsia="en-GB"/>
        </w:rPr>
        <w:t>Apis mellifera</w:t>
      </w:r>
      <w:r w:rsidRPr="00BB1673">
        <w:rPr>
          <w:rFonts w:ascii="Times New Roman" w:eastAsia="Times New Roman" w:hAnsi="Times New Roman" w:cs="Times New Roman"/>
          <w:sz w:val="24"/>
          <w:szCs w:val="24"/>
          <w:lang w:eastAsia="en-GB"/>
        </w:rPr>
        <w:t xml:space="preserve"> gastrointestinal microbiota and lactic acid bacteria for honeybee protection—A review. </w:t>
      </w:r>
      <w:r w:rsidRPr="00BB1673">
        <w:rPr>
          <w:rFonts w:ascii="Times New Roman" w:eastAsia="Times New Roman" w:hAnsi="Times New Roman" w:cs="Times New Roman"/>
          <w:i/>
          <w:iCs/>
          <w:sz w:val="24"/>
          <w:szCs w:val="24"/>
          <w:lang w:eastAsia="en-GB"/>
        </w:rPr>
        <w:t>Cells, 10</w:t>
      </w:r>
      <w:r w:rsidRPr="00BB1673">
        <w:rPr>
          <w:rFonts w:ascii="Times New Roman" w:eastAsia="Times New Roman" w:hAnsi="Times New Roman" w:cs="Times New Roman"/>
          <w:sz w:val="24"/>
          <w:szCs w:val="24"/>
          <w:lang w:eastAsia="en-GB"/>
        </w:rPr>
        <w:t xml:space="preserve">(3), Article 701. </w:t>
      </w:r>
      <w:r w:rsidRPr="00BB1673">
        <w:rPr>
          <w:rFonts w:ascii="Times New Roman" w:eastAsia="Times New Roman" w:hAnsi="Times New Roman" w:cs="Times New Roman"/>
          <w:color w:val="0000FF"/>
          <w:sz w:val="24"/>
          <w:szCs w:val="24"/>
          <w:u w:val="single"/>
          <w:lang w:eastAsia="en-GB"/>
        </w:rPr>
        <w:t>https://doi.org/10.3390/cells10030701</w:t>
      </w:r>
    </w:p>
    <w:p w14:paraId="6F68360D" w14:textId="2EBE417F"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Olofsson, T. C., Butler, É., Markowicz, P., Lindholm, C., Larsson, L., &amp; Vásquez, A. (2016). Lactic acid bacterial symbionts in honeybees—An unknown key to honey's antimicrobial and therapeutic activities. </w:t>
      </w:r>
      <w:r w:rsidRPr="00BB1673">
        <w:rPr>
          <w:rFonts w:ascii="Times New Roman" w:eastAsia="Times New Roman" w:hAnsi="Times New Roman" w:cs="Times New Roman"/>
          <w:i/>
          <w:iCs/>
          <w:sz w:val="24"/>
          <w:szCs w:val="24"/>
          <w:lang w:eastAsia="en-GB"/>
        </w:rPr>
        <w:t>International Wound Journal, 13</w:t>
      </w:r>
      <w:r w:rsidRPr="00BB1673">
        <w:rPr>
          <w:rFonts w:ascii="Times New Roman" w:eastAsia="Times New Roman" w:hAnsi="Times New Roman" w:cs="Times New Roman"/>
          <w:sz w:val="24"/>
          <w:szCs w:val="24"/>
          <w:lang w:eastAsia="en-GB"/>
        </w:rPr>
        <w:t xml:space="preserve">(5), 668–679. </w:t>
      </w:r>
      <w:r w:rsidRPr="00BB1673">
        <w:rPr>
          <w:rFonts w:ascii="Times New Roman" w:eastAsia="Times New Roman" w:hAnsi="Times New Roman" w:cs="Times New Roman"/>
          <w:color w:val="0000FF"/>
          <w:sz w:val="24"/>
          <w:szCs w:val="24"/>
          <w:u w:val="single"/>
          <w:lang w:eastAsia="en-GB"/>
        </w:rPr>
        <w:t>https://doi.org/10.1111/iwj.12345</w:t>
      </w:r>
    </w:p>
    <w:p w14:paraId="0BEE7894" w14:textId="69F45873"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Vásquez, A., Forsgren, E., Fries, I., Paxton, R. J., </w:t>
      </w:r>
      <w:proofErr w:type="spellStart"/>
      <w:r w:rsidRPr="00BB1673">
        <w:rPr>
          <w:rFonts w:ascii="Times New Roman" w:eastAsia="Times New Roman" w:hAnsi="Times New Roman" w:cs="Times New Roman"/>
          <w:sz w:val="24"/>
          <w:szCs w:val="24"/>
          <w:lang w:eastAsia="en-GB"/>
        </w:rPr>
        <w:t>Flaberg</w:t>
      </w:r>
      <w:proofErr w:type="spellEnd"/>
      <w:r w:rsidRPr="00BB1673">
        <w:rPr>
          <w:rFonts w:ascii="Times New Roman" w:eastAsia="Times New Roman" w:hAnsi="Times New Roman" w:cs="Times New Roman"/>
          <w:sz w:val="24"/>
          <w:szCs w:val="24"/>
          <w:lang w:eastAsia="en-GB"/>
        </w:rPr>
        <w:t xml:space="preserve">, E., Szekely, L., &amp; Olofsson, T. C. (2012). Symbionts as major modulators of insect health: Lactic acid bacteria and honeybees. </w:t>
      </w:r>
      <w:proofErr w:type="spellStart"/>
      <w:r w:rsidRPr="00BB1673">
        <w:rPr>
          <w:rFonts w:ascii="Times New Roman" w:eastAsia="Times New Roman" w:hAnsi="Times New Roman" w:cs="Times New Roman"/>
          <w:i/>
          <w:iCs/>
          <w:sz w:val="24"/>
          <w:szCs w:val="24"/>
          <w:lang w:eastAsia="en-GB"/>
        </w:rPr>
        <w:t>PLoS</w:t>
      </w:r>
      <w:proofErr w:type="spellEnd"/>
      <w:r w:rsidRPr="00BB1673">
        <w:rPr>
          <w:rFonts w:ascii="Times New Roman" w:eastAsia="Times New Roman" w:hAnsi="Times New Roman" w:cs="Times New Roman"/>
          <w:i/>
          <w:iCs/>
          <w:sz w:val="24"/>
          <w:szCs w:val="24"/>
          <w:lang w:eastAsia="en-GB"/>
        </w:rPr>
        <w:t xml:space="preserve"> ONE, 7</w:t>
      </w:r>
      <w:r w:rsidRPr="00BB1673">
        <w:rPr>
          <w:rFonts w:ascii="Times New Roman" w:eastAsia="Times New Roman" w:hAnsi="Times New Roman" w:cs="Times New Roman"/>
          <w:sz w:val="24"/>
          <w:szCs w:val="24"/>
          <w:lang w:eastAsia="en-GB"/>
        </w:rPr>
        <w:t xml:space="preserve">(3), e33188. </w:t>
      </w:r>
      <w:r w:rsidRPr="00BB1673">
        <w:rPr>
          <w:rFonts w:ascii="Times New Roman" w:eastAsia="Times New Roman" w:hAnsi="Times New Roman" w:cs="Times New Roman"/>
          <w:color w:val="0000FF"/>
          <w:sz w:val="24"/>
          <w:szCs w:val="24"/>
          <w:u w:val="single"/>
          <w:lang w:eastAsia="en-GB"/>
        </w:rPr>
        <w:t>https://doi.org/10.1371/journal.pone.0033188</w:t>
      </w:r>
    </w:p>
    <w:p w14:paraId="56946FF3" w14:textId="3D0293F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B1673">
        <w:rPr>
          <w:rFonts w:ascii="Times New Roman" w:eastAsia="Times New Roman" w:hAnsi="Times New Roman" w:cs="Times New Roman"/>
          <w:sz w:val="24"/>
          <w:szCs w:val="24"/>
          <w:lang w:eastAsia="en-GB"/>
        </w:rPr>
        <w:t>Vergalito</w:t>
      </w:r>
      <w:proofErr w:type="spellEnd"/>
      <w:r w:rsidRPr="00BB1673">
        <w:rPr>
          <w:rFonts w:ascii="Times New Roman" w:eastAsia="Times New Roman" w:hAnsi="Times New Roman" w:cs="Times New Roman"/>
          <w:sz w:val="24"/>
          <w:szCs w:val="24"/>
          <w:lang w:eastAsia="en-GB"/>
        </w:rPr>
        <w:t xml:space="preserve">, F., Testa, B., Cozzolino, A., Letizia, F., Succi, M., Lombardi, S. J., Tremonte, P., Pannella, G., Di Marco, R., Sorrentino, E., Coppola, R., &amp; Iorizzo, M. (2020). Potential application of </w:t>
      </w:r>
      <w:proofErr w:type="spellStart"/>
      <w:r w:rsidRPr="00BB1673">
        <w:rPr>
          <w:rFonts w:ascii="Times New Roman" w:eastAsia="Times New Roman" w:hAnsi="Times New Roman" w:cs="Times New Roman"/>
          <w:i/>
          <w:iCs/>
          <w:sz w:val="24"/>
          <w:szCs w:val="24"/>
          <w:lang w:eastAsia="en-GB"/>
        </w:rPr>
        <w:t>Apilactobacillus</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kunkeei</w:t>
      </w:r>
      <w:proofErr w:type="spellEnd"/>
      <w:r w:rsidRPr="00BB1673">
        <w:rPr>
          <w:rFonts w:ascii="Times New Roman" w:eastAsia="Times New Roman" w:hAnsi="Times New Roman" w:cs="Times New Roman"/>
          <w:sz w:val="24"/>
          <w:szCs w:val="24"/>
          <w:lang w:eastAsia="en-GB"/>
        </w:rPr>
        <w:t xml:space="preserve"> for human use: Evaluation of probiotic and functional properties. </w:t>
      </w:r>
      <w:r w:rsidRPr="00BB1673">
        <w:rPr>
          <w:rFonts w:ascii="Times New Roman" w:eastAsia="Times New Roman" w:hAnsi="Times New Roman" w:cs="Times New Roman"/>
          <w:i/>
          <w:iCs/>
          <w:sz w:val="24"/>
          <w:szCs w:val="24"/>
          <w:lang w:eastAsia="en-GB"/>
        </w:rPr>
        <w:t>Foods, 9</w:t>
      </w:r>
      <w:r w:rsidRPr="00BB1673">
        <w:rPr>
          <w:rFonts w:ascii="Times New Roman" w:eastAsia="Times New Roman" w:hAnsi="Times New Roman" w:cs="Times New Roman"/>
          <w:sz w:val="24"/>
          <w:szCs w:val="24"/>
          <w:lang w:eastAsia="en-GB"/>
        </w:rPr>
        <w:t xml:space="preserve">(11), Article 1535. </w:t>
      </w:r>
      <w:r w:rsidRPr="00BB1673">
        <w:rPr>
          <w:rFonts w:ascii="Times New Roman" w:eastAsia="Times New Roman" w:hAnsi="Times New Roman" w:cs="Times New Roman"/>
          <w:color w:val="0000FF"/>
          <w:sz w:val="24"/>
          <w:szCs w:val="24"/>
          <w:u w:val="single"/>
          <w:lang w:eastAsia="en-GB"/>
        </w:rPr>
        <w:t>https://doi.org/10.3390/foods9111535</w:t>
      </w:r>
    </w:p>
    <w:p w14:paraId="1797A13C" w14:textId="5CAB0C81"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Yun, B.-R., Truong, A.-T., Choi, Y. S., Lee, M. Y., Kim, B. Y., Seo, M., Yoon, S.-S., Yoo, M.-S., Van Quyen, D., &amp; Cho, Y. S. (2022). Comparison of the gut microbiome of </w:t>
      </w:r>
      <w:proofErr w:type="spellStart"/>
      <w:r w:rsidRPr="00BB1673">
        <w:rPr>
          <w:rFonts w:ascii="Times New Roman" w:eastAsia="Times New Roman" w:hAnsi="Times New Roman" w:cs="Times New Roman"/>
          <w:sz w:val="24"/>
          <w:szCs w:val="24"/>
          <w:lang w:eastAsia="en-GB"/>
        </w:rPr>
        <w:t>sacbrood</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sz w:val="24"/>
          <w:szCs w:val="24"/>
          <w:lang w:eastAsia="en-GB"/>
        </w:rPr>
        <w:lastRenderedPageBreak/>
        <w:t xml:space="preserve">virus-resistant and -susceptible </w:t>
      </w:r>
      <w:r w:rsidRPr="00BB1673">
        <w:rPr>
          <w:rFonts w:ascii="Times New Roman" w:eastAsia="Times New Roman" w:hAnsi="Times New Roman" w:cs="Times New Roman"/>
          <w:i/>
          <w:iCs/>
          <w:sz w:val="24"/>
          <w:szCs w:val="24"/>
          <w:lang w:eastAsia="en-GB"/>
        </w:rPr>
        <w:t>Apis cerana</w:t>
      </w:r>
      <w:r w:rsidRPr="00BB1673">
        <w:rPr>
          <w:rFonts w:ascii="Times New Roman" w:eastAsia="Times New Roman" w:hAnsi="Times New Roman" w:cs="Times New Roman"/>
          <w:sz w:val="24"/>
          <w:szCs w:val="24"/>
          <w:lang w:eastAsia="en-GB"/>
        </w:rPr>
        <w:t xml:space="preserve"> from South Korea. </w:t>
      </w:r>
      <w:r w:rsidRPr="00BB1673">
        <w:rPr>
          <w:rFonts w:ascii="Times New Roman" w:eastAsia="Times New Roman" w:hAnsi="Times New Roman" w:cs="Times New Roman"/>
          <w:i/>
          <w:iCs/>
          <w:sz w:val="24"/>
          <w:szCs w:val="24"/>
          <w:lang w:eastAsia="en-GB"/>
        </w:rPr>
        <w:t>Scientific Reports, 12</w:t>
      </w:r>
      <w:r w:rsidRPr="00BB1673">
        <w:rPr>
          <w:rFonts w:ascii="Times New Roman" w:eastAsia="Times New Roman" w:hAnsi="Times New Roman" w:cs="Times New Roman"/>
          <w:sz w:val="24"/>
          <w:szCs w:val="24"/>
          <w:lang w:eastAsia="en-GB"/>
        </w:rPr>
        <w:t xml:space="preserve">, Article 10010. </w:t>
      </w:r>
      <w:r w:rsidRPr="00BB1673">
        <w:rPr>
          <w:rFonts w:ascii="Times New Roman" w:eastAsia="Times New Roman" w:hAnsi="Times New Roman" w:cs="Times New Roman"/>
          <w:color w:val="0000FF"/>
          <w:sz w:val="24"/>
          <w:szCs w:val="24"/>
          <w:u w:val="single"/>
          <w:lang w:eastAsia="en-GB"/>
        </w:rPr>
        <w:t>https://doi.org/10.1038/s41598-022-13535-0</w:t>
      </w:r>
    </w:p>
    <w:p w14:paraId="2F113A1D" w14:textId="561C9949" w:rsidR="00BB1673" w:rsidRPr="00BB1673" w:rsidRDefault="00BB1673" w:rsidP="00BB1673">
      <w:pPr>
        <w:spacing w:before="100" w:beforeAutospacing="1" w:after="100" w:afterAutospacing="1" w:line="240" w:lineRule="auto"/>
        <w:rPr>
          <w:rFonts w:ascii="Times New Roman" w:eastAsia="Times New Roman" w:hAnsi="Times New Roman" w:cs="Times New Roman"/>
          <w:sz w:val="24"/>
          <w:szCs w:val="24"/>
          <w:lang w:eastAsia="en-GB"/>
        </w:rPr>
      </w:pPr>
      <w:r w:rsidRPr="00BB1673">
        <w:rPr>
          <w:rFonts w:ascii="Times New Roman" w:eastAsia="Times New Roman" w:hAnsi="Times New Roman" w:cs="Times New Roman"/>
          <w:sz w:val="24"/>
          <w:szCs w:val="24"/>
          <w:lang w:eastAsia="en-GB"/>
        </w:rPr>
        <w:t xml:space="preserve">Zheng, H., Nishida, A., Kwong, W. K., Koch, H., Engel, P., Steele, M. I., &amp; Moran, N. A. (2016). Metabolism of toxic sugars by strains of the bee gut symbiont </w:t>
      </w:r>
      <w:proofErr w:type="spellStart"/>
      <w:r w:rsidRPr="00BB1673">
        <w:rPr>
          <w:rFonts w:ascii="Times New Roman" w:eastAsia="Times New Roman" w:hAnsi="Times New Roman" w:cs="Times New Roman"/>
          <w:i/>
          <w:iCs/>
          <w:sz w:val="24"/>
          <w:szCs w:val="24"/>
          <w:lang w:eastAsia="en-GB"/>
        </w:rPr>
        <w:t>Gilliamella</w:t>
      </w:r>
      <w:proofErr w:type="spellEnd"/>
      <w:r w:rsidRPr="00BB1673">
        <w:rPr>
          <w:rFonts w:ascii="Times New Roman" w:eastAsia="Times New Roman" w:hAnsi="Times New Roman" w:cs="Times New Roman"/>
          <w:i/>
          <w:iCs/>
          <w:sz w:val="24"/>
          <w:szCs w:val="24"/>
          <w:lang w:eastAsia="en-GB"/>
        </w:rPr>
        <w:t xml:space="preserve"> </w:t>
      </w:r>
      <w:proofErr w:type="spellStart"/>
      <w:r w:rsidRPr="00BB1673">
        <w:rPr>
          <w:rFonts w:ascii="Times New Roman" w:eastAsia="Times New Roman" w:hAnsi="Times New Roman" w:cs="Times New Roman"/>
          <w:i/>
          <w:iCs/>
          <w:sz w:val="24"/>
          <w:szCs w:val="24"/>
          <w:lang w:eastAsia="en-GB"/>
        </w:rPr>
        <w:t>apicola</w:t>
      </w:r>
      <w:proofErr w:type="spellEnd"/>
      <w:r w:rsidRPr="00BB1673">
        <w:rPr>
          <w:rFonts w:ascii="Times New Roman" w:eastAsia="Times New Roman" w:hAnsi="Times New Roman" w:cs="Times New Roman"/>
          <w:sz w:val="24"/>
          <w:szCs w:val="24"/>
          <w:lang w:eastAsia="en-GB"/>
        </w:rPr>
        <w:t xml:space="preserve">. </w:t>
      </w:r>
      <w:r w:rsidRPr="00BB1673">
        <w:rPr>
          <w:rFonts w:ascii="Times New Roman" w:eastAsia="Times New Roman" w:hAnsi="Times New Roman" w:cs="Times New Roman"/>
          <w:i/>
          <w:iCs/>
          <w:sz w:val="24"/>
          <w:szCs w:val="24"/>
          <w:lang w:eastAsia="en-GB"/>
        </w:rPr>
        <w:t>mBio, 7</w:t>
      </w:r>
      <w:r w:rsidRPr="00BB1673">
        <w:rPr>
          <w:rFonts w:ascii="Times New Roman" w:eastAsia="Times New Roman" w:hAnsi="Times New Roman" w:cs="Times New Roman"/>
          <w:sz w:val="24"/>
          <w:szCs w:val="24"/>
          <w:lang w:eastAsia="en-GB"/>
        </w:rPr>
        <w:t xml:space="preserve">(6), e01326-16. </w:t>
      </w:r>
      <w:r w:rsidRPr="00BB1673">
        <w:rPr>
          <w:rFonts w:ascii="Times New Roman" w:eastAsia="Times New Roman" w:hAnsi="Times New Roman" w:cs="Times New Roman"/>
          <w:color w:val="0000FF"/>
          <w:sz w:val="24"/>
          <w:szCs w:val="24"/>
          <w:u w:val="single"/>
          <w:lang w:eastAsia="en-GB"/>
        </w:rPr>
        <w:t>https://doi.org/10.1128/mBio.01326-16</w:t>
      </w:r>
    </w:p>
    <w:p w14:paraId="30AF33D3"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D98B9" w14:textId="77777777" w:rsidR="000A7BD5" w:rsidRDefault="000A7BD5" w:rsidP="00F918A1">
      <w:pPr>
        <w:spacing w:after="0" w:line="240" w:lineRule="auto"/>
      </w:pPr>
      <w:r>
        <w:separator/>
      </w:r>
    </w:p>
  </w:endnote>
  <w:endnote w:type="continuationSeparator" w:id="0">
    <w:p w14:paraId="3BB991E9" w14:textId="77777777" w:rsidR="000A7BD5" w:rsidRDefault="000A7BD5" w:rsidP="00F9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FEB6" w14:textId="77777777" w:rsidR="00F918A1" w:rsidRDefault="00F91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3ECB" w14:textId="77777777" w:rsidR="00F918A1" w:rsidRDefault="00F91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42AC" w14:textId="77777777" w:rsidR="00F918A1" w:rsidRDefault="00F91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E007" w14:textId="77777777" w:rsidR="000A7BD5" w:rsidRDefault="000A7BD5" w:rsidP="00F918A1">
      <w:pPr>
        <w:spacing w:after="0" w:line="240" w:lineRule="auto"/>
      </w:pPr>
      <w:r>
        <w:separator/>
      </w:r>
    </w:p>
  </w:footnote>
  <w:footnote w:type="continuationSeparator" w:id="0">
    <w:p w14:paraId="58814469" w14:textId="77777777" w:rsidR="000A7BD5" w:rsidRDefault="000A7BD5" w:rsidP="00F91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FA66" w14:textId="21DCC9E5" w:rsidR="00F918A1" w:rsidRDefault="00F918A1">
    <w:pPr>
      <w:pStyle w:val="Header"/>
    </w:pPr>
    <w:r>
      <w:rPr>
        <w:noProof/>
      </w:rPr>
      <w:pict w14:anchorId="4D2F1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252F" w14:textId="2EECF7C0" w:rsidR="00F918A1" w:rsidRDefault="00F918A1">
    <w:pPr>
      <w:pStyle w:val="Header"/>
    </w:pPr>
    <w:r>
      <w:rPr>
        <w:noProof/>
      </w:rPr>
      <w:pict w14:anchorId="448B4B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B730" w14:textId="2425F166" w:rsidR="00F918A1" w:rsidRDefault="00F918A1">
    <w:pPr>
      <w:pStyle w:val="Header"/>
    </w:pPr>
    <w:r>
      <w:rPr>
        <w:noProof/>
      </w:rPr>
      <w:pict w14:anchorId="2E238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320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32FF1"/>
    <w:rsid w:val="000A7BD5"/>
    <w:rsid w:val="00345F3B"/>
    <w:rsid w:val="003668C2"/>
    <w:rsid w:val="004841B3"/>
    <w:rsid w:val="00632FF1"/>
    <w:rsid w:val="0074443B"/>
    <w:rsid w:val="00804DA0"/>
    <w:rsid w:val="00824882"/>
    <w:rsid w:val="00BB1673"/>
    <w:rsid w:val="00CC64AE"/>
    <w:rsid w:val="00F91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DACB9"/>
  <w15:chartTrackingRefBased/>
  <w15:docId w15:val="{76BFC909-42EF-4BB0-ADA6-0643FC4C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632F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32F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32FF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32FF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32FF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32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632FF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32FF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32FF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32FF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32FF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32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FF1"/>
    <w:rPr>
      <w:rFonts w:eastAsiaTheme="majorEastAsia" w:cstheme="majorBidi"/>
      <w:color w:val="272727" w:themeColor="text1" w:themeTint="D8"/>
    </w:rPr>
  </w:style>
  <w:style w:type="paragraph" w:styleId="Title">
    <w:name w:val="Title"/>
    <w:basedOn w:val="Normal"/>
    <w:next w:val="Normal"/>
    <w:link w:val="TitleChar"/>
    <w:uiPriority w:val="10"/>
    <w:qFormat/>
    <w:rsid w:val="00632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F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F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2FF1"/>
    <w:rPr>
      <w:i/>
      <w:iCs/>
      <w:color w:val="404040" w:themeColor="text1" w:themeTint="BF"/>
    </w:rPr>
  </w:style>
  <w:style w:type="paragraph" w:styleId="ListParagraph">
    <w:name w:val="List Paragraph"/>
    <w:basedOn w:val="Normal"/>
    <w:uiPriority w:val="34"/>
    <w:qFormat/>
    <w:rsid w:val="00632FF1"/>
    <w:pPr>
      <w:ind w:left="720"/>
      <w:contextualSpacing/>
    </w:pPr>
  </w:style>
  <w:style w:type="character" w:styleId="IntenseEmphasis">
    <w:name w:val="Intense Emphasis"/>
    <w:basedOn w:val="DefaultParagraphFont"/>
    <w:uiPriority w:val="21"/>
    <w:qFormat/>
    <w:rsid w:val="00632FF1"/>
    <w:rPr>
      <w:i/>
      <w:iCs/>
      <w:color w:val="365F91" w:themeColor="accent1" w:themeShade="BF"/>
    </w:rPr>
  </w:style>
  <w:style w:type="paragraph" w:styleId="IntenseQuote">
    <w:name w:val="Intense Quote"/>
    <w:basedOn w:val="Normal"/>
    <w:next w:val="Normal"/>
    <w:link w:val="IntenseQuoteChar"/>
    <w:uiPriority w:val="30"/>
    <w:qFormat/>
    <w:rsid w:val="00632F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32FF1"/>
    <w:rPr>
      <w:i/>
      <w:iCs/>
      <w:color w:val="365F91" w:themeColor="accent1" w:themeShade="BF"/>
    </w:rPr>
  </w:style>
  <w:style w:type="character" w:styleId="IntenseReference">
    <w:name w:val="Intense Reference"/>
    <w:basedOn w:val="DefaultParagraphFont"/>
    <w:uiPriority w:val="32"/>
    <w:qFormat/>
    <w:rsid w:val="00632FF1"/>
    <w:rPr>
      <w:b/>
      <w:bCs/>
      <w:smallCaps/>
      <w:color w:val="365F91" w:themeColor="accent1" w:themeShade="BF"/>
      <w:spacing w:val="5"/>
    </w:rPr>
  </w:style>
  <w:style w:type="table" w:styleId="TableGridLight">
    <w:name w:val="Grid Table Light"/>
    <w:basedOn w:val="TableNormal"/>
    <w:uiPriority w:val="40"/>
    <w:rsid w:val="00BB16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91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8A1"/>
  </w:style>
  <w:style w:type="paragraph" w:styleId="Footer">
    <w:name w:val="footer"/>
    <w:basedOn w:val="Normal"/>
    <w:link w:val="FooterChar"/>
    <w:uiPriority w:val="99"/>
    <w:unhideWhenUsed/>
    <w:rsid w:val="00F91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8266</Words>
  <Characters>47117</Characters>
  <Application>Microsoft Office Word</Application>
  <DocSecurity>0</DocSecurity>
  <Lines>392</Lines>
  <Paragraphs>110</Paragraphs>
  <ScaleCrop>false</ScaleCrop>
  <Company>HP</Company>
  <LinksUpToDate>false</LinksUpToDate>
  <CharactersWithSpaces>55273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1084</cp:lastModifiedBy>
  <cp:revision>4</cp:revision>
  <dcterms:created xsi:type="dcterms:W3CDTF">2026-07-17T12:36:00Z</dcterms:created>
  <dcterms:modified xsi:type="dcterms:W3CDTF">2026-07-17T13:12:00Z</dcterms:modified>
</cp:coreProperties>
</file>