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B8BB51" w14:textId="6572C260" w:rsidR="00187285" w:rsidRPr="00187285" w:rsidRDefault="00187285" w:rsidP="007A71DF">
      <w:pPr>
        <w:spacing w:before="100" w:beforeAutospacing="1" w:after="100" w:afterAutospacing="1" w:line="240" w:lineRule="auto"/>
        <w:outlineLvl w:val="1"/>
        <w:rPr>
          <w:rFonts w:ascii="Times New Roman" w:eastAsia="Times New Roman" w:hAnsi="Times New Roman" w:cs="Times New Roman"/>
          <w:b/>
          <w:bCs/>
          <w:sz w:val="36"/>
          <w:szCs w:val="36"/>
          <w:u w:val="single"/>
          <w:lang w:eastAsia="en-GB"/>
        </w:rPr>
      </w:pPr>
      <w:r w:rsidRPr="00187285">
        <w:rPr>
          <w:rFonts w:ascii="Times New Roman" w:eastAsia="Times New Roman" w:hAnsi="Times New Roman" w:cs="Times New Roman"/>
          <w:b/>
          <w:bCs/>
          <w:sz w:val="36"/>
          <w:szCs w:val="36"/>
          <w:u w:val="single"/>
          <w:lang w:eastAsia="en-GB"/>
        </w:rPr>
        <w:t>Review Article</w:t>
      </w:r>
    </w:p>
    <w:p w14:paraId="30940DBC" w14:textId="1A4A2D4E" w:rsidR="007A71DF" w:rsidRPr="007A71DF" w:rsidRDefault="007A71DF" w:rsidP="007A71DF">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7A71DF">
        <w:rPr>
          <w:rFonts w:ascii="Times New Roman" w:eastAsia="Times New Roman" w:hAnsi="Times New Roman" w:cs="Times New Roman"/>
          <w:b/>
          <w:bCs/>
          <w:sz w:val="36"/>
          <w:szCs w:val="36"/>
          <w:lang w:eastAsia="en-GB"/>
        </w:rPr>
        <w:t>Application of Machine Learning and Artificial Intelligence for Disease Detection in Dairy Animals: A Critical Review</w:t>
      </w:r>
    </w:p>
    <w:p w14:paraId="3ADFAC8E" w14:textId="77777777" w:rsidR="007A71DF" w:rsidRPr="007A71DF" w:rsidRDefault="007A71DF" w:rsidP="007A71DF">
      <w:pPr>
        <w:spacing w:after="0" w:line="240" w:lineRule="auto"/>
        <w:rPr>
          <w:rFonts w:ascii="Times New Roman" w:eastAsia="Times New Roman" w:hAnsi="Times New Roman" w:cs="Times New Roman"/>
          <w:sz w:val="24"/>
          <w:szCs w:val="24"/>
          <w:lang w:eastAsia="en-GB"/>
        </w:rPr>
      </w:pPr>
    </w:p>
    <w:p w14:paraId="31EB9376" w14:textId="77777777" w:rsidR="007A71DF" w:rsidRPr="007A71DF" w:rsidRDefault="007A71DF" w:rsidP="007A71DF">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7A71DF">
        <w:rPr>
          <w:rFonts w:ascii="Times New Roman" w:eastAsia="Times New Roman" w:hAnsi="Times New Roman" w:cs="Times New Roman"/>
          <w:b/>
          <w:bCs/>
          <w:sz w:val="27"/>
          <w:szCs w:val="27"/>
          <w:lang w:eastAsia="en-GB"/>
        </w:rPr>
        <w:t>Abstract</w:t>
      </w:r>
    </w:p>
    <w:p w14:paraId="3584E179"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The global dairy industry suffers persistent productivity losses from poorly detected infectious, metabolic, and locomotion-related diseases in cattle. Early, accurate diagnosis matters enormously—for animal welfare, farm economics, and antimicrobial stewardship alike. Machine learning (ML) and artificial intelligence (AI) have, over the past two decades, become central tools within precision livestock farming, promising automated, continuous, and non-invasive health surveillance at herd scale. This review synthesises peer-reviewed literature from 2006 to May 2026, covering the principal ML algorithms—artificial neural networks, support vector machines, random forests, gradient boosting, and deep learning architectures—as applied to the most economically important dairy cattle diseases: mastitis, lameness, metabolic disorders, bovine respiratory disease, and deteriorating body condition. It evaluates the sensor modalities used, including accelerometers, pressure mats, infrared thermography, acoustic sensors, computer vision systems, and milk composition analysers, and assesses data integration strategies that have been proposed. Despite encouraging accuracy metrics under controlled conditions, inconsistent validation standards, limited dataset sizes, poor generalisation across farm environments, and a thin body of real-world implementation evidence remain major obstacles to clinical adoption. Ethical questions around data ownership, farmer digital literacy, and algorithmic accountability are also addressed. Progress towards genuine clinical utility will require standardised benchmarking, larger multi-farm prospective datasets, and transparent, explainable models aligned with emerging regulatory requirements and farmer needs.</w:t>
      </w:r>
    </w:p>
    <w:p w14:paraId="45CA9CFF"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b/>
          <w:bCs/>
          <w:sz w:val="24"/>
          <w:szCs w:val="24"/>
          <w:lang w:eastAsia="en-GB"/>
        </w:rPr>
        <w:t>Keywords:</w:t>
      </w:r>
      <w:r w:rsidRPr="007A71DF">
        <w:rPr>
          <w:rFonts w:ascii="Times New Roman" w:eastAsia="Times New Roman" w:hAnsi="Times New Roman" w:cs="Times New Roman"/>
          <w:sz w:val="24"/>
          <w:szCs w:val="24"/>
          <w:lang w:eastAsia="en-GB"/>
        </w:rPr>
        <w:t xml:space="preserve"> machine learning; artificial intelligence; dairy cattle; disease detection; precision livestock farming; mastitis; lameness; metabolic disorders; deep learning; sensor technology</w:t>
      </w:r>
    </w:p>
    <w:p w14:paraId="08F5CBC4" w14:textId="77777777" w:rsidR="007A71DF" w:rsidRPr="007A71DF" w:rsidRDefault="007A71DF" w:rsidP="007A71DF">
      <w:pPr>
        <w:spacing w:after="0" w:line="240" w:lineRule="auto"/>
        <w:rPr>
          <w:rFonts w:ascii="Times New Roman" w:eastAsia="Times New Roman" w:hAnsi="Times New Roman" w:cs="Times New Roman"/>
          <w:sz w:val="24"/>
          <w:szCs w:val="24"/>
          <w:lang w:eastAsia="en-GB"/>
        </w:rPr>
      </w:pPr>
    </w:p>
    <w:p w14:paraId="5896CB9C" w14:textId="77777777" w:rsidR="007A71DF" w:rsidRPr="007A71DF" w:rsidRDefault="007A71DF" w:rsidP="007A71DF">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7A71DF">
        <w:rPr>
          <w:rFonts w:ascii="Times New Roman" w:eastAsia="Times New Roman" w:hAnsi="Times New Roman" w:cs="Times New Roman"/>
          <w:b/>
          <w:bCs/>
          <w:sz w:val="27"/>
          <w:szCs w:val="27"/>
          <w:lang w:eastAsia="en-GB"/>
        </w:rPr>
        <w:t>1. Introduction</w:t>
      </w:r>
    </w:p>
    <w:p w14:paraId="2C0DFC5C" w14:textId="77777777" w:rsidR="007A71DF" w:rsidRPr="007A71DF" w:rsidRDefault="007A71DF" w:rsidP="007A71DF">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1.1 Background and Significance</w:t>
      </w:r>
    </w:p>
    <w:p w14:paraId="2F972359"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 xml:space="preserve">The dairy sector is one of the most economically significant branches of global food production, sustaining the livelihoods of hundreds of millions of people and supporting rural economies on every inhabited continent. According to the Food and Agriculture Organisation of the United Nations, world milk production from all species reached approximately 906 million tonnes in 2020, with demand continuing to grow in emerging economies (FAO, 2021). Against this backdrop, the industry faces serious pressure from disease-related productivity losses, elevated involuntary culling rates, reduced reproductive efficiency, and mounting scrutiny of antimicrobial use. Disease caught early—when treatment works best, </w:t>
      </w:r>
      <w:r w:rsidRPr="007A71DF">
        <w:rPr>
          <w:rFonts w:ascii="Times New Roman" w:eastAsia="Times New Roman" w:hAnsi="Times New Roman" w:cs="Times New Roman"/>
          <w:sz w:val="24"/>
          <w:szCs w:val="24"/>
          <w:lang w:eastAsia="en-GB"/>
        </w:rPr>
        <w:lastRenderedPageBreak/>
        <w:t>welfare damage is lowest, and spread is most easily contained—is thus a priority for producers, veterinarians, and public health authorities alike.</w:t>
      </w:r>
    </w:p>
    <w:p w14:paraId="5433E393"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Conventional disease detection in dairy cattle relies primarily on clinical observation by stockpersons and veterinarians, supplemented by periodic sampling of milk, blood, and faeces. These approaches have been refined over decades and remain the reference standard in most contexts, but they carry inherent limitations: they are episodic rather than continuous, depend on the availability and skills of trained personnel, and frequently reveal disease only after physiological changes have already moved beyond the earliest treatable stage (LeBlanc et al., 2006). These constraints have sharpened as dairy operations have grown in scale, with individual herds routinely numbering several thousand animals. At that scale, attentive individual monitoring becomes structurally difficult.</w:t>
      </w:r>
    </w:p>
    <w:p w14:paraId="65AE5ADD"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Precision livestock farming (PLF) has opened new possibilities for addressing this challenge. Defined by Berckmans (2017) as the real-time, continuous monitoring of individual animals to support better management decisions, PLF draws on affordable sensors, wireless communications, and cloud computing to generate data at a resolution and frequency unattainable through manual inspection. Machine learning and AI have attracted particular attention within this framework because they can extract clinically meaningful signals from the complex, high-dimensional data streams that sensors produce—something conventional statistical tools often cannot do.</w:t>
      </w:r>
    </w:p>
    <w:p w14:paraId="6CE0AFAB" w14:textId="77777777" w:rsidR="007A71DF" w:rsidRPr="007A71DF" w:rsidRDefault="007A71DF" w:rsidP="007A71DF">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1.2 Overview of Disease Burden in Dairy Cattle</w:t>
      </w:r>
    </w:p>
    <w:p w14:paraId="02C015BB"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 xml:space="preserve">Disease costs the dairy industry heavily. Mastitis—mammary gland inflammation driven primarily by bacterial infection—is consistently the most expensive single condition, with global annual losses running to many billions of US dollars once milk yield reductions, veterinary costs, discarded milk, and premature culling are combined (Hogeveen et al., 2011). Lameness from hoof and limb disorders suppresses voluntary feed intake, reduces reproductive performance, and substantially raises the risk of involuntary culling (Schlageter-Tello et al., </w:t>
      </w:r>
      <w:r>
        <w:rPr>
          <w:rFonts w:ascii="Times New Roman" w:eastAsia="Times New Roman" w:hAnsi="Times New Roman" w:cs="Times New Roman"/>
          <w:sz w:val="24"/>
          <w:szCs w:val="24"/>
          <w:lang w:eastAsia="en-GB"/>
        </w:rPr>
        <w:t>2014</w:t>
      </w:r>
      <w:r w:rsidRPr="007A71DF">
        <w:rPr>
          <w:rFonts w:ascii="Times New Roman" w:eastAsia="Times New Roman" w:hAnsi="Times New Roman" w:cs="Times New Roman"/>
          <w:sz w:val="24"/>
          <w:szCs w:val="24"/>
          <w:lang w:eastAsia="en-GB"/>
        </w:rPr>
        <w:t>). Metabolic disorders—subclinical ketosis, milk fever, and displaced abomasum in particular—add further productivity penalties, especially in the periparturient period, when they also predispose cows to secondary disease and death (Xu et al., 2019). Bovine respiratory disease (BRD), while more prominent in beef and calf-rearing settings, affects dairy herds too and is one of the biggest drivers of antimicrobial use in the species (Vandermeulen et al., 2016).</w:t>
      </w:r>
    </w:p>
    <w:p w14:paraId="1E0E5BE9"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The shortcomings of routine detection are well documented. LeBlanc et al. (2006) showed that actual disease prevalence—based on laboratory and post-mortem findings—consistently exceeds the clinical disease recorded on farm, and that subclinical infections and early metabolic imbalances in particular are routinely missed. That detection gap is both an economic and a welfare problem, and it motivates the case for technologies capable of monitoring continuously and flagging deviations from individual baselines without relying on human presence.</w:t>
      </w:r>
    </w:p>
    <w:p w14:paraId="27E8BD3C" w14:textId="77777777" w:rsidR="007A71DF" w:rsidRPr="007A71DF" w:rsidRDefault="007A71DF" w:rsidP="007A71DF">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1.3 Scope and Objectives of the Review</w:t>
      </w:r>
    </w:p>
    <w:p w14:paraId="26B06B22"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 xml:space="preserve">This review provides a comprehensive and critical appraisal of ML and AI methods applied to disease detection in dairy cattle. It covers the principal algorithmic approaches, the sensor modalities that supply input data, and the major disease categories that have attracted the </w:t>
      </w:r>
      <w:r w:rsidRPr="007A71DF">
        <w:rPr>
          <w:rFonts w:ascii="Times New Roman" w:eastAsia="Times New Roman" w:hAnsi="Times New Roman" w:cs="Times New Roman"/>
          <w:sz w:val="24"/>
          <w:szCs w:val="24"/>
          <w:lang w:eastAsia="en-GB"/>
        </w:rPr>
        <w:lastRenderedPageBreak/>
        <w:t>most sustained research attention. The evidence for effectiveness is evaluated alongside the methodological quality of the underlying studies, and the main barriers to real-world adoption are identified. Future directions are addressed, including multi-modal data integration, advances in deep learning architectures, and the regulatory and ethical dimensions of deploying AI in livestock farming. The scope is confined to dairy cattle; work in other livestock species is cited only where directly relevant.</w:t>
      </w:r>
    </w:p>
    <w:p w14:paraId="590AC401" w14:textId="77777777" w:rsidR="007A71DF" w:rsidRPr="007A71DF" w:rsidRDefault="007A71DF" w:rsidP="007A71DF">
      <w:pPr>
        <w:spacing w:after="0" w:line="240" w:lineRule="auto"/>
        <w:rPr>
          <w:rFonts w:ascii="Times New Roman" w:eastAsia="Times New Roman" w:hAnsi="Times New Roman" w:cs="Times New Roman"/>
          <w:sz w:val="24"/>
          <w:szCs w:val="24"/>
          <w:lang w:eastAsia="en-GB"/>
        </w:rPr>
      </w:pPr>
    </w:p>
    <w:p w14:paraId="0D0E2D3D" w14:textId="77777777" w:rsidR="007A71DF" w:rsidRPr="007A71DF" w:rsidRDefault="007A71DF" w:rsidP="007A71DF">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7A71DF">
        <w:rPr>
          <w:rFonts w:ascii="Times New Roman" w:eastAsia="Times New Roman" w:hAnsi="Times New Roman" w:cs="Times New Roman"/>
          <w:b/>
          <w:bCs/>
          <w:sz w:val="27"/>
          <w:szCs w:val="27"/>
          <w:lang w:eastAsia="en-GB"/>
        </w:rPr>
        <w:t>2. Methods for Literature Selection</w:t>
      </w:r>
    </w:p>
    <w:p w14:paraId="73EA2C96"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The literature search drew on the following electronic databases: Web of Science (Science Citation Index Expanded), Scopus, PubMed, Google Scholar, CAB Abstracts, AGRIS, AGRICOLA, Biosis Previews, Food Science and Technology Abstracts, and the Veterinary Science Database. This broad selection reflects the interdisciplinary nature of the topic, which spans veterinary medicine, animal science, computer science, and agricultural engineering. Specialist agricultural and veterinary services—CAB Abstracts, AGRIS, AGRICOLA, and the Veterinary Science Database—were included to capture practitioner-oriented and region-specific work that generalist databases sometimes miss.</w:t>
      </w:r>
    </w:p>
    <w:p w14:paraId="79BD75DE"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The search was restricted to publications from 2006 onwards. This start date marks the period when PLF began to mature as a distinct research field, when accelerometers and electronic identification systems started entering commercial dairy practice, and when rigorous comparative studies of automated disease detection systems first appeared in the peer-reviewed literature with reasonable frequency. The end date was 28 May 2026. Boolean search strings, adapted to each database's syntax, included: ("machine learning" OR "artificial intelligence" OR "deep learning" OR "neural network" OR "support vector machine" OR "random forest" OR "convolutional neural network" OR "computer vision") AND ("dairy cattle" OR "dairy cow" OR "bovine" OR "dairy herd") AND ("disease detection" OR "health monitoring" OR "mastitis" OR "lameness" OR "ketosis" OR "metabolic disease" OR "bovine respiratory disease" OR "body condition score"). Sub-topic strings—for example, ("precision livestock farming" AND "sensor" AND "dairy")—were applied iteratively as the search extended into specific disease domains.</w:t>
      </w:r>
    </w:p>
    <w:p w14:paraId="745FBDC1"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Articles were included if they were published in peer-reviewed journals, written in English, and presented either original empirical data or a critical or systematic review of the existing literature. Authoritative reports from international organisations such as the FAO were included where they supplied essential contextual data unavailable in the primary literature. Conference papers, book chapters, grey literature, preprints, patents, and trade publications were excluded on grounds of variable methodological transparency. Duplicate records across databases were removed by matching on title, author, and journal. Screening proceeded first by title and abstract, then by full-text review against the predefined criteria.</w:t>
      </w:r>
    </w:p>
    <w:p w14:paraId="17FF9BE9"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 xml:space="preserve">A narrative rather than systematic review approach was adopted, deliberately. The literature on AI for dairy disease detection spans multiple disciplines, uses heterogeneous outcome measures, and covers a spectrum of study designs that cannot be meaningfully pooled through meta-analysis. As Snyder (2019) has argued, narrative reviews are well-suited to synthesising and critically evaluating diverse forms of evidence across a rapidly developing interdisciplinary field where identifying research themes and gaps matters more than generating a single pooled effect estimate. Priority in study selection was given to the largest </w:t>
      </w:r>
      <w:r w:rsidRPr="007A71DF">
        <w:rPr>
          <w:rFonts w:ascii="Times New Roman" w:eastAsia="Times New Roman" w:hAnsi="Times New Roman" w:cs="Times New Roman"/>
          <w:sz w:val="24"/>
          <w:szCs w:val="24"/>
          <w:lang w:eastAsia="en-GB"/>
        </w:rPr>
        <w:lastRenderedPageBreak/>
        <w:t>and most heterogeneous datasets, the most rigorous validation procedures, and journals with the highest impact in the relevant fields. Influential earlier studies that established foundational concepts or widely cited methodological baselines were retained for context even when they pre-dated the primary search window.</w:t>
      </w:r>
    </w:p>
    <w:p w14:paraId="440D0ACB" w14:textId="77777777" w:rsidR="007A71DF" w:rsidRPr="007A71DF" w:rsidRDefault="007A71DF" w:rsidP="007A71DF">
      <w:pPr>
        <w:spacing w:after="0" w:line="240" w:lineRule="auto"/>
        <w:rPr>
          <w:rFonts w:ascii="Times New Roman" w:eastAsia="Times New Roman" w:hAnsi="Times New Roman" w:cs="Times New Roman"/>
          <w:sz w:val="24"/>
          <w:szCs w:val="24"/>
          <w:lang w:eastAsia="en-GB"/>
        </w:rPr>
      </w:pPr>
    </w:p>
    <w:p w14:paraId="4363DCB8" w14:textId="77777777" w:rsidR="007A71DF" w:rsidRPr="007A71DF" w:rsidRDefault="007A71DF" w:rsidP="007A71DF">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7A71DF">
        <w:rPr>
          <w:rFonts w:ascii="Times New Roman" w:eastAsia="Times New Roman" w:hAnsi="Times New Roman" w:cs="Times New Roman"/>
          <w:b/>
          <w:bCs/>
          <w:sz w:val="27"/>
          <w:szCs w:val="27"/>
          <w:lang w:eastAsia="en-GB"/>
        </w:rPr>
        <w:t>3. Precision Livestock Farming and the Emergence of AI-Based Monitoring</w:t>
      </w:r>
    </w:p>
    <w:p w14:paraId="691769EA" w14:textId="77777777" w:rsidR="007A71DF" w:rsidRPr="007A71DF" w:rsidRDefault="007A71DF" w:rsidP="007A71DF">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3.1 Evolution of Precision Livestock Farming</w:t>
      </w:r>
    </w:p>
    <w:p w14:paraId="42472580"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Berckmans (2014) articulated PLF's core logic clearly: rather than managing cattle as a herd against static reference ranges, PLF technology monitors each animal in real time and enables responses tailored to individual need. This was a meaningful departure from earlier, predominantly reactive approaches to herd health. Through the following decade, PLF matured considerably, propelled in parallel by advances in sensor miniaturisation, wireless networking, cloud computing, and analytical methods capable of making sense of the resulting data volumes. Berckmans (2017) subsequently extended this framing, positioning PLF as a tool not just for disease detection but for the broader optimisation of production, welfare, and environmental footprint, and stressing that individual baselines—rather than population norms—should ground health alert systems.</w:t>
      </w:r>
    </w:p>
    <w:p w14:paraId="3E768421"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Rutten et al. (2013) traced this trajectory in an influential invited review, from single-purpose sensors such as activity meters for oestrus detection to more complex multi-parameter systems. Their key observation was that sensor technology had outpaced the analytical tools needed to convert sensor signals into actionable alerts. That observation proved prescient: reliable, specific alert generation has since become the central challenge in the field, and the move toward individual-baseline models that learn each cow's normal pattern before flagging deviations is now standard in the ML literature (Dominiak &amp; Kristensen, 2017).</w:t>
      </w:r>
    </w:p>
    <w:p w14:paraId="63B7BDA7"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Early automated monitoring relied on rule-based or threshold-based alerts, and their limitations—especially persistent high false-positive rates and inability to accommodate natural variation across animals, seasons, and management systems—motivated the shift to statistical learning (</w:t>
      </w:r>
      <w:proofErr w:type="spellStart"/>
      <w:r w:rsidRPr="007A71DF">
        <w:rPr>
          <w:rFonts w:ascii="Times New Roman" w:eastAsia="Times New Roman" w:hAnsi="Times New Roman" w:cs="Times New Roman"/>
          <w:sz w:val="24"/>
          <w:szCs w:val="24"/>
          <w:lang w:eastAsia="en-GB"/>
        </w:rPr>
        <w:t>Steeneveld</w:t>
      </w:r>
      <w:proofErr w:type="spellEnd"/>
      <w:r w:rsidRPr="007A71DF">
        <w:rPr>
          <w:rFonts w:ascii="Times New Roman" w:eastAsia="Times New Roman" w:hAnsi="Times New Roman" w:cs="Times New Roman"/>
          <w:sz w:val="24"/>
          <w:szCs w:val="24"/>
          <w:lang w:eastAsia="en-GB"/>
        </w:rPr>
        <w:t xml:space="preserve"> et al., 2010). ML promised alert systems that improve with data, that handle the non-linear relationships typical of biological sensor streams, and that adapt in ways static rules cannot. Monteiro et al. (2021), surveying precision agriculture across livestock and crop sectors, confirmed that AI-based monitoring had become a core distinguishing feature of modern PLF.</w:t>
      </w:r>
    </w:p>
    <w:p w14:paraId="1AF39D71" w14:textId="77777777" w:rsidR="007A71DF" w:rsidRPr="007A71DF" w:rsidRDefault="007A71DF" w:rsidP="007A71DF">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3.2 Data Sources and Sensor Modalities</w:t>
      </w:r>
    </w:p>
    <w:p w14:paraId="0EEBAF80"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 xml:space="preserve">Contemporary dairy farms generate rich, varied data streams. The main sources exploited in AI-based disease detection include automated milking system (AMS) outputs—milking frequency, yield, electrical conductivity, and flow rate—activity data from pedometers and accelerometers, body temperature from rumination collars and bolus sensors, acoustic data from microphones on collars or ear tags, and images from fixed or mobile cameras (Rutten et al., 2013; </w:t>
      </w:r>
      <w:proofErr w:type="spellStart"/>
      <w:r w:rsidRPr="007A71DF">
        <w:rPr>
          <w:rFonts w:ascii="Times New Roman" w:eastAsia="Times New Roman" w:hAnsi="Times New Roman" w:cs="Times New Roman"/>
          <w:sz w:val="24"/>
          <w:szCs w:val="24"/>
          <w:lang w:eastAsia="en-GB"/>
        </w:rPr>
        <w:t>Neethirajan</w:t>
      </w:r>
      <w:proofErr w:type="spellEnd"/>
      <w:r w:rsidRPr="007A71DF">
        <w:rPr>
          <w:rFonts w:ascii="Times New Roman" w:eastAsia="Times New Roman" w:hAnsi="Times New Roman" w:cs="Times New Roman"/>
          <w:sz w:val="24"/>
          <w:szCs w:val="24"/>
          <w:lang w:eastAsia="en-GB"/>
        </w:rPr>
        <w:t>, 2017). Electronic identification linking sensor outputs to individual cow records has been fundamental in generating the longitudinal, individual-level datasets that supervised ML requires.</w:t>
      </w:r>
    </w:p>
    <w:p w14:paraId="02B884DD"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7A71DF">
        <w:rPr>
          <w:rFonts w:ascii="Times New Roman" w:eastAsia="Times New Roman" w:hAnsi="Times New Roman" w:cs="Times New Roman"/>
          <w:sz w:val="24"/>
          <w:szCs w:val="24"/>
          <w:lang w:eastAsia="en-GB"/>
        </w:rPr>
        <w:lastRenderedPageBreak/>
        <w:t>Neethirajan</w:t>
      </w:r>
      <w:proofErr w:type="spellEnd"/>
      <w:r w:rsidRPr="007A71DF">
        <w:rPr>
          <w:rFonts w:ascii="Times New Roman" w:eastAsia="Times New Roman" w:hAnsi="Times New Roman" w:cs="Times New Roman"/>
          <w:sz w:val="24"/>
          <w:szCs w:val="24"/>
          <w:lang w:eastAsia="en-GB"/>
        </w:rPr>
        <w:t xml:space="preserve"> (2017) catalogued wearable sensor technologies for animal health management comprehensively, covering physiological parameters—core temperature, rumination time, heart rate variability, and step frequency—that can be measured non-invasively and that carry prognostic significance for a range of diseases. The survey illustrated both the extraordinary potential and the practical difficulty: sensor durability, data transmission reliability, and battery longevity all present real challenges in intensive dairy environments.</w:t>
      </w:r>
    </w:p>
    <w:p w14:paraId="7BCDD112"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 xml:space="preserve">The sheer volume of data these systems produce has changed the analytical landscape. </w:t>
      </w:r>
      <w:proofErr w:type="spellStart"/>
      <w:r w:rsidRPr="007A71DF">
        <w:rPr>
          <w:rFonts w:ascii="Times New Roman" w:eastAsia="Times New Roman" w:hAnsi="Times New Roman" w:cs="Times New Roman"/>
          <w:sz w:val="24"/>
          <w:szCs w:val="24"/>
          <w:lang w:eastAsia="en-GB"/>
        </w:rPr>
        <w:t>Morota</w:t>
      </w:r>
      <w:proofErr w:type="spellEnd"/>
      <w:r w:rsidRPr="007A71DF">
        <w:rPr>
          <w:rFonts w:ascii="Times New Roman" w:eastAsia="Times New Roman" w:hAnsi="Times New Roman" w:cs="Times New Roman"/>
          <w:sz w:val="24"/>
          <w:szCs w:val="24"/>
          <w:lang w:eastAsia="en-GB"/>
        </w:rPr>
        <w:t xml:space="preserve"> et al. (2018) argued directly that the rise of high-throughput phenotyping and sensor-based monitoring had outstripped conventional statistics, calling explicitly for ML and data-mining approaches as a necessary response to the dimensionality and complexity of modern agricultural datasets. That argument has since become a repeated refrain in the literature—and rightly so, given the data volumes involved.</w:t>
      </w:r>
    </w:p>
    <w:p w14:paraId="21DAA7FD"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b/>
          <w:bCs/>
          <w:sz w:val="24"/>
          <w:szCs w:val="24"/>
          <w:lang w:eastAsia="en-GB"/>
        </w:rPr>
        <w:t>Table 1</w:t>
      </w:r>
      <w:r w:rsidRPr="007A71DF">
        <w:rPr>
          <w:rFonts w:ascii="Times New Roman" w:eastAsia="Times New Roman" w:hAnsi="Times New Roman" w:cs="Times New Roman"/>
          <w:sz w:val="24"/>
          <w:szCs w:val="24"/>
          <w:lang w:eastAsia="en-GB"/>
        </w:rPr>
        <w:t xml:space="preserve"> summarises the major dairy cattle disease categories covered in this review, their principal clinical features, conventional detection methods, and the sensor modalities most commonly used in AI-based detection systems, providing a quick reference for the specific applications discussed in subsequent sections.</w:t>
      </w:r>
    </w:p>
    <w:p w14:paraId="5C6B5679" w14:textId="77777777" w:rsidR="007A71DF" w:rsidRPr="007A71DF" w:rsidRDefault="007A71DF" w:rsidP="007A71DF">
      <w:pPr>
        <w:spacing w:after="0" w:line="240" w:lineRule="auto"/>
        <w:rPr>
          <w:rFonts w:ascii="Times New Roman" w:eastAsia="Times New Roman" w:hAnsi="Times New Roman" w:cs="Times New Roman"/>
          <w:sz w:val="24"/>
          <w:szCs w:val="24"/>
          <w:lang w:eastAsia="en-GB"/>
        </w:rPr>
      </w:pPr>
    </w:p>
    <w:p w14:paraId="1CE13753"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b/>
          <w:bCs/>
          <w:sz w:val="24"/>
          <w:szCs w:val="24"/>
          <w:lang w:eastAsia="en-GB"/>
        </w:rPr>
        <w:t>Table 1.</w:t>
      </w:r>
      <w:r w:rsidRPr="007A71DF">
        <w:rPr>
          <w:rFonts w:ascii="Times New Roman" w:eastAsia="Times New Roman" w:hAnsi="Times New Roman" w:cs="Times New Roman"/>
          <w:sz w:val="24"/>
          <w:szCs w:val="24"/>
          <w:lang w:eastAsia="en-GB"/>
        </w:rPr>
        <w:t xml:space="preserve"> Overview of major dairy cattle disease categories, conventional detection approaches, and principal sensor modalities employed in AI-based detection systems.</w:t>
      </w:r>
    </w:p>
    <w:tbl>
      <w:tblPr>
        <w:tblStyle w:val="TableGrid"/>
        <w:tblW w:w="0" w:type="auto"/>
        <w:tblLook w:val="04A0" w:firstRow="1" w:lastRow="0" w:firstColumn="1" w:lastColumn="0" w:noHBand="0" w:noVBand="1"/>
      </w:tblPr>
      <w:tblGrid>
        <w:gridCol w:w="2023"/>
        <w:gridCol w:w="2534"/>
        <w:gridCol w:w="2039"/>
        <w:gridCol w:w="2646"/>
      </w:tblGrid>
      <w:tr w:rsidR="007A71DF" w:rsidRPr="007A71DF" w14:paraId="3FC9A6F4" w14:textId="77777777" w:rsidTr="005C7535">
        <w:tc>
          <w:tcPr>
            <w:tcW w:w="0" w:type="auto"/>
            <w:hideMark/>
          </w:tcPr>
          <w:p w14:paraId="07143D0E" w14:textId="77777777" w:rsidR="007A71DF" w:rsidRPr="007A71DF" w:rsidRDefault="007A71DF" w:rsidP="007A71DF">
            <w:pPr>
              <w:jc w:val="center"/>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Disease</w:t>
            </w:r>
          </w:p>
        </w:tc>
        <w:tc>
          <w:tcPr>
            <w:tcW w:w="0" w:type="auto"/>
            <w:hideMark/>
          </w:tcPr>
          <w:p w14:paraId="2E76E3A8" w14:textId="77777777" w:rsidR="007A71DF" w:rsidRPr="007A71DF" w:rsidRDefault="007A71DF" w:rsidP="007A71DF">
            <w:pPr>
              <w:jc w:val="center"/>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Principal Aetiology</w:t>
            </w:r>
          </w:p>
        </w:tc>
        <w:tc>
          <w:tcPr>
            <w:tcW w:w="0" w:type="auto"/>
            <w:hideMark/>
          </w:tcPr>
          <w:p w14:paraId="220865E5" w14:textId="77777777" w:rsidR="007A71DF" w:rsidRPr="007A71DF" w:rsidRDefault="007A71DF" w:rsidP="007A71DF">
            <w:pPr>
              <w:jc w:val="center"/>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Conventional Detection</w:t>
            </w:r>
          </w:p>
        </w:tc>
        <w:tc>
          <w:tcPr>
            <w:tcW w:w="0" w:type="auto"/>
            <w:hideMark/>
          </w:tcPr>
          <w:p w14:paraId="3739CF12" w14:textId="77777777" w:rsidR="007A71DF" w:rsidRPr="007A71DF" w:rsidRDefault="007A71DF" w:rsidP="007A71DF">
            <w:pPr>
              <w:jc w:val="center"/>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Sensor Modalities in AI Systems</w:t>
            </w:r>
          </w:p>
        </w:tc>
      </w:tr>
      <w:tr w:rsidR="007A71DF" w:rsidRPr="007A71DF" w14:paraId="16622A4F" w14:textId="77777777" w:rsidTr="005C7535">
        <w:tc>
          <w:tcPr>
            <w:tcW w:w="0" w:type="auto"/>
            <w:hideMark/>
          </w:tcPr>
          <w:p w14:paraId="3616A812"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Mastitis</w:t>
            </w:r>
          </w:p>
        </w:tc>
        <w:tc>
          <w:tcPr>
            <w:tcW w:w="0" w:type="auto"/>
            <w:hideMark/>
          </w:tcPr>
          <w:p w14:paraId="1E3A94AE"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Bacterial (</w:t>
            </w:r>
            <w:r w:rsidRPr="007A71DF">
              <w:rPr>
                <w:rFonts w:ascii="Times New Roman" w:eastAsia="Times New Roman" w:hAnsi="Times New Roman" w:cs="Times New Roman"/>
                <w:i/>
                <w:iCs/>
                <w:sz w:val="24"/>
                <w:szCs w:val="24"/>
                <w:lang w:eastAsia="en-GB"/>
              </w:rPr>
              <w:t>E. coli</w:t>
            </w:r>
            <w:r w:rsidRPr="007A71DF">
              <w:rPr>
                <w:rFonts w:ascii="Times New Roman" w:eastAsia="Times New Roman" w:hAnsi="Times New Roman" w:cs="Times New Roman"/>
                <w:sz w:val="24"/>
                <w:szCs w:val="24"/>
                <w:lang w:eastAsia="en-GB"/>
              </w:rPr>
              <w:t xml:space="preserve">, </w:t>
            </w:r>
            <w:r w:rsidRPr="007A71DF">
              <w:rPr>
                <w:rFonts w:ascii="Times New Roman" w:eastAsia="Times New Roman" w:hAnsi="Times New Roman" w:cs="Times New Roman"/>
                <w:i/>
                <w:iCs/>
                <w:sz w:val="24"/>
                <w:szCs w:val="24"/>
                <w:lang w:eastAsia="en-GB"/>
              </w:rPr>
              <w:t>Staphylococcus</w:t>
            </w:r>
            <w:r w:rsidRPr="007A71DF">
              <w:rPr>
                <w:rFonts w:ascii="Times New Roman" w:eastAsia="Times New Roman" w:hAnsi="Times New Roman" w:cs="Times New Roman"/>
                <w:sz w:val="24"/>
                <w:szCs w:val="24"/>
                <w:lang w:eastAsia="en-GB"/>
              </w:rPr>
              <w:t xml:space="preserve"> spp., </w:t>
            </w:r>
            <w:r w:rsidRPr="007A71DF">
              <w:rPr>
                <w:rFonts w:ascii="Times New Roman" w:eastAsia="Times New Roman" w:hAnsi="Times New Roman" w:cs="Times New Roman"/>
                <w:i/>
                <w:iCs/>
                <w:sz w:val="24"/>
                <w:szCs w:val="24"/>
                <w:lang w:eastAsia="en-GB"/>
              </w:rPr>
              <w:t>Streptococcus</w:t>
            </w:r>
            <w:r w:rsidRPr="007A71DF">
              <w:rPr>
                <w:rFonts w:ascii="Times New Roman" w:eastAsia="Times New Roman" w:hAnsi="Times New Roman" w:cs="Times New Roman"/>
                <w:sz w:val="24"/>
                <w:szCs w:val="24"/>
                <w:lang w:eastAsia="en-GB"/>
              </w:rPr>
              <w:t xml:space="preserve"> spp.)</w:t>
            </w:r>
          </w:p>
        </w:tc>
        <w:tc>
          <w:tcPr>
            <w:tcW w:w="0" w:type="auto"/>
            <w:hideMark/>
          </w:tcPr>
          <w:p w14:paraId="48669E65"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Clinical examination; SCC; bacteriology</w:t>
            </w:r>
          </w:p>
        </w:tc>
        <w:tc>
          <w:tcPr>
            <w:tcW w:w="0" w:type="auto"/>
            <w:hideMark/>
          </w:tcPr>
          <w:p w14:paraId="23D75199"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Milk conductivity; in-line SCC; AMS data; infrared thermography</w:t>
            </w:r>
          </w:p>
        </w:tc>
      </w:tr>
      <w:tr w:rsidR="007A71DF" w:rsidRPr="007A71DF" w14:paraId="1443647E" w14:textId="77777777" w:rsidTr="005C7535">
        <w:tc>
          <w:tcPr>
            <w:tcW w:w="0" w:type="auto"/>
            <w:hideMark/>
          </w:tcPr>
          <w:p w14:paraId="4EFDD65D"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Lameness</w:t>
            </w:r>
          </w:p>
        </w:tc>
        <w:tc>
          <w:tcPr>
            <w:tcW w:w="0" w:type="auto"/>
            <w:hideMark/>
          </w:tcPr>
          <w:p w14:paraId="7B159A6E"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Hoof disorders (digital dermatitis, sole ulcer, white line disease)</w:t>
            </w:r>
          </w:p>
        </w:tc>
        <w:tc>
          <w:tcPr>
            <w:tcW w:w="0" w:type="auto"/>
            <w:hideMark/>
          </w:tcPr>
          <w:p w14:paraId="06D25657"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Visual locomotion scoring</w:t>
            </w:r>
          </w:p>
        </w:tc>
        <w:tc>
          <w:tcPr>
            <w:tcW w:w="0" w:type="auto"/>
            <w:hideMark/>
          </w:tcPr>
          <w:p w14:paraId="4E46FC21"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Accelerometers; pressure plates; 3D depth cameras; pedometers</w:t>
            </w:r>
          </w:p>
        </w:tc>
      </w:tr>
      <w:tr w:rsidR="007A71DF" w:rsidRPr="007A71DF" w14:paraId="425DD31C" w14:textId="77777777" w:rsidTr="005C7535">
        <w:tc>
          <w:tcPr>
            <w:tcW w:w="0" w:type="auto"/>
            <w:hideMark/>
          </w:tcPr>
          <w:p w14:paraId="7872FBD4"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Subclinical ketosis</w:t>
            </w:r>
          </w:p>
        </w:tc>
        <w:tc>
          <w:tcPr>
            <w:tcW w:w="0" w:type="auto"/>
            <w:hideMark/>
          </w:tcPr>
          <w:p w14:paraId="6E33EDD9"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Negative energy balance; periparturient</w:t>
            </w:r>
          </w:p>
        </w:tc>
        <w:tc>
          <w:tcPr>
            <w:tcW w:w="0" w:type="auto"/>
            <w:hideMark/>
          </w:tcPr>
          <w:p w14:paraId="59388528"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Blood/milk BHB measurement</w:t>
            </w:r>
          </w:p>
        </w:tc>
        <w:tc>
          <w:tcPr>
            <w:tcW w:w="0" w:type="auto"/>
            <w:hideMark/>
          </w:tcPr>
          <w:p w14:paraId="68593BF3"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AMS production data; rumination sensors; milk MIR spectrometry</w:t>
            </w:r>
          </w:p>
        </w:tc>
      </w:tr>
      <w:tr w:rsidR="007A71DF" w:rsidRPr="007A71DF" w14:paraId="3C9A68D4" w14:textId="77777777" w:rsidTr="005C7535">
        <w:tc>
          <w:tcPr>
            <w:tcW w:w="0" w:type="auto"/>
            <w:hideMark/>
          </w:tcPr>
          <w:p w14:paraId="2478C05A"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Bovine respiratory disease</w:t>
            </w:r>
          </w:p>
        </w:tc>
        <w:tc>
          <w:tcPr>
            <w:tcW w:w="0" w:type="auto"/>
            <w:hideMark/>
          </w:tcPr>
          <w:p w14:paraId="4777F4BE"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Viral/bacterial co-infection</w:t>
            </w:r>
          </w:p>
        </w:tc>
        <w:tc>
          <w:tcPr>
            <w:tcW w:w="0" w:type="auto"/>
            <w:hideMark/>
          </w:tcPr>
          <w:p w14:paraId="5FF4F1C4"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Clinical observation; lung auscultation</w:t>
            </w:r>
          </w:p>
        </w:tc>
        <w:tc>
          <w:tcPr>
            <w:tcW w:w="0" w:type="auto"/>
            <w:hideMark/>
          </w:tcPr>
          <w:p w14:paraId="52EBD6C0"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Acoustic sensors; activity monitoring; thermography</w:t>
            </w:r>
          </w:p>
        </w:tc>
      </w:tr>
      <w:tr w:rsidR="007A71DF" w:rsidRPr="007A71DF" w14:paraId="348CB1C4" w14:textId="77777777" w:rsidTr="005C7535">
        <w:tc>
          <w:tcPr>
            <w:tcW w:w="0" w:type="auto"/>
            <w:hideMark/>
          </w:tcPr>
          <w:p w14:paraId="0AB46822"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Milk fever (hypocalcaemia)</w:t>
            </w:r>
          </w:p>
        </w:tc>
        <w:tc>
          <w:tcPr>
            <w:tcW w:w="0" w:type="auto"/>
            <w:hideMark/>
          </w:tcPr>
          <w:p w14:paraId="460B8F08"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Periparturient calcium deficiency</w:t>
            </w:r>
          </w:p>
        </w:tc>
        <w:tc>
          <w:tcPr>
            <w:tcW w:w="0" w:type="auto"/>
            <w:hideMark/>
          </w:tcPr>
          <w:p w14:paraId="447B05F7"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Blood calcium; clinical signs</w:t>
            </w:r>
          </w:p>
        </w:tc>
        <w:tc>
          <w:tcPr>
            <w:tcW w:w="0" w:type="auto"/>
            <w:hideMark/>
          </w:tcPr>
          <w:p w14:paraId="3EA0A953"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Rumen bolus sensors; AMS data; BCS cameras</w:t>
            </w:r>
          </w:p>
        </w:tc>
      </w:tr>
      <w:tr w:rsidR="007A71DF" w:rsidRPr="007A71DF" w14:paraId="398B0990" w14:textId="77777777" w:rsidTr="005C7535">
        <w:tc>
          <w:tcPr>
            <w:tcW w:w="0" w:type="auto"/>
            <w:hideMark/>
          </w:tcPr>
          <w:p w14:paraId="148C732A"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Body condition deterioration</w:t>
            </w:r>
          </w:p>
        </w:tc>
        <w:tc>
          <w:tcPr>
            <w:tcW w:w="0" w:type="auto"/>
            <w:hideMark/>
          </w:tcPr>
          <w:p w14:paraId="6B2AC641"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Multi-factorial (nutrition, disease, genetics)</w:t>
            </w:r>
          </w:p>
        </w:tc>
        <w:tc>
          <w:tcPr>
            <w:tcW w:w="0" w:type="auto"/>
            <w:hideMark/>
          </w:tcPr>
          <w:p w14:paraId="6304AE10"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Manual BCS assessment</w:t>
            </w:r>
          </w:p>
        </w:tc>
        <w:tc>
          <w:tcPr>
            <w:tcW w:w="0" w:type="auto"/>
            <w:hideMark/>
          </w:tcPr>
          <w:p w14:paraId="45967ECB"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3D cameras; thermal imaging; RGB digital cameras</w:t>
            </w:r>
          </w:p>
        </w:tc>
      </w:tr>
    </w:tbl>
    <w:p w14:paraId="25FAAEA8"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i/>
          <w:iCs/>
          <w:sz w:val="24"/>
          <w:szCs w:val="24"/>
          <w:lang w:eastAsia="en-GB"/>
        </w:rPr>
        <w:t>Sources: Rutten et al. (2013); Hogeveen et al. (2011); Schlageter-Tello et al. (</w:t>
      </w:r>
      <w:r>
        <w:rPr>
          <w:rFonts w:ascii="Times New Roman" w:eastAsia="Times New Roman" w:hAnsi="Times New Roman" w:cs="Times New Roman"/>
          <w:sz w:val="24"/>
          <w:szCs w:val="24"/>
          <w:lang w:eastAsia="en-GB"/>
        </w:rPr>
        <w:t>2014</w:t>
      </w:r>
      <w:r w:rsidRPr="007A71DF">
        <w:rPr>
          <w:rFonts w:ascii="Times New Roman" w:eastAsia="Times New Roman" w:hAnsi="Times New Roman" w:cs="Times New Roman"/>
          <w:i/>
          <w:iCs/>
          <w:sz w:val="24"/>
          <w:szCs w:val="24"/>
          <w:lang w:eastAsia="en-GB"/>
        </w:rPr>
        <w:t>); Xu et al. (2019); Vandermeulen et al. (2016); Song et al. (2019).</w:t>
      </w:r>
    </w:p>
    <w:p w14:paraId="1D0B389A" w14:textId="77777777" w:rsidR="007A71DF" w:rsidRPr="007A71DF" w:rsidRDefault="007A71DF" w:rsidP="007A71DF">
      <w:pPr>
        <w:spacing w:after="0" w:line="240" w:lineRule="auto"/>
        <w:rPr>
          <w:rFonts w:ascii="Times New Roman" w:eastAsia="Times New Roman" w:hAnsi="Times New Roman" w:cs="Times New Roman"/>
          <w:sz w:val="24"/>
          <w:szCs w:val="24"/>
          <w:lang w:eastAsia="en-GB"/>
        </w:rPr>
      </w:pPr>
    </w:p>
    <w:p w14:paraId="5287300E" w14:textId="77777777" w:rsidR="007A71DF" w:rsidRPr="007A71DF" w:rsidRDefault="007A71DF" w:rsidP="007A71DF">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7A71DF">
        <w:rPr>
          <w:rFonts w:ascii="Times New Roman" w:eastAsia="Times New Roman" w:hAnsi="Times New Roman" w:cs="Times New Roman"/>
          <w:b/>
          <w:bCs/>
          <w:sz w:val="27"/>
          <w:szCs w:val="27"/>
          <w:lang w:eastAsia="en-GB"/>
        </w:rPr>
        <w:lastRenderedPageBreak/>
        <w:t>4. Machine Learning Approaches for Disease Detection</w:t>
      </w:r>
    </w:p>
    <w:p w14:paraId="274B6733" w14:textId="77777777" w:rsidR="007A71DF" w:rsidRPr="007A71DF" w:rsidRDefault="007A71DF" w:rsidP="007A71DF">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4.1 Conventional Machine Learning Algorithms</w:t>
      </w:r>
    </w:p>
    <w:p w14:paraId="12C2C867"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ML was being applied to dairy disease detection well before the current deep learning era. De Mol et al. (</w:t>
      </w:r>
      <w:r w:rsidR="005C7535">
        <w:rPr>
          <w:rFonts w:ascii="Times New Roman" w:eastAsia="Times New Roman" w:hAnsi="Times New Roman" w:cs="Times New Roman"/>
          <w:sz w:val="24"/>
          <w:szCs w:val="24"/>
          <w:lang w:eastAsia="en-GB"/>
        </w:rPr>
        <w:t>1997</w:t>
      </w:r>
      <w:r w:rsidRPr="007A71DF">
        <w:rPr>
          <w:rFonts w:ascii="Times New Roman" w:eastAsia="Times New Roman" w:hAnsi="Times New Roman" w:cs="Times New Roman"/>
          <w:sz w:val="24"/>
          <w:szCs w:val="24"/>
          <w:lang w:eastAsia="en-GB"/>
        </w:rPr>
        <w:t>) used a multivariate approach to automated oestrus and mastitis detection, establishing the foundational idea that longitudinal sensor data could detect departures from individual baselines—a principle that still underpins most modern systems. Cavero et al. (</w:t>
      </w:r>
      <w:r>
        <w:rPr>
          <w:rFonts w:ascii="Times New Roman" w:eastAsia="Times New Roman" w:hAnsi="Times New Roman" w:cs="Times New Roman"/>
          <w:sz w:val="24"/>
          <w:szCs w:val="24"/>
          <w:lang w:eastAsia="en-GB"/>
        </w:rPr>
        <w:t>2008</w:t>
      </w:r>
      <w:r w:rsidRPr="007A71DF">
        <w:rPr>
          <w:rFonts w:ascii="Times New Roman" w:eastAsia="Times New Roman" w:hAnsi="Times New Roman" w:cs="Times New Roman"/>
          <w:sz w:val="24"/>
          <w:szCs w:val="24"/>
          <w:lang w:eastAsia="en-GB"/>
        </w:rPr>
        <w:t>) followed with a three-layer backpropagation neural network applied to AMS parameters—conductivity, milk yield, and milking frequency—showing that clinical mastitis events were detectable at reasonable sensitivity, though with specificity constraints that limited practical value.</w:t>
      </w:r>
    </w:p>
    <w:p w14:paraId="558EC5B9"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 xml:space="preserve">ANNs have since been used across a wide range of dairy health management tasks. Adamczyk et al. (2021) showed that ANN models substantially outperformed general discriminant analysis in predicting culling reasons in Holstein-Friesian cows from first-lactation performance records, capturing non-linear interactions among variables such as production performance, parity, and reproductive outcome that linear models miss entirely—an advantage that becomes especially important for outcomes with complex, multifactorial determinants. Support vector machines (SVMs) have attracted sustained interest because of their strong theoretical foundations, capacity to handle high-dimensional feature spaces, and relatively modest data requirements. </w:t>
      </w:r>
      <w:proofErr w:type="spellStart"/>
      <w:r w:rsidRPr="007A71DF">
        <w:rPr>
          <w:rFonts w:ascii="Times New Roman" w:eastAsia="Times New Roman" w:hAnsi="Times New Roman" w:cs="Times New Roman"/>
          <w:sz w:val="24"/>
          <w:szCs w:val="24"/>
          <w:lang w:eastAsia="en-GB"/>
        </w:rPr>
        <w:t>Martiskainen</w:t>
      </w:r>
      <w:proofErr w:type="spellEnd"/>
      <w:r w:rsidRPr="007A71DF">
        <w:rPr>
          <w:rFonts w:ascii="Times New Roman" w:eastAsia="Times New Roman" w:hAnsi="Times New Roman" w:cs="Times New Roman"/>
          <w:sz w:val="24"/>
          <w:szCs w:val="24"/>
          <w:lang w:eastAsia="en-GB"/>
        </w:rPr>
        <w:t xml:space="preserve"> et al. (2009) used an SVM with a radial basis function kernel to classify cattle behaviour—lying, standing, walking, and eating—from three-dimensional accelerometer data, achieving classification accuracy above 90% for several behavioural states and demonstrating that behaviour-based health inference from wearable sensors was feasible.</w:t>
      </w:r>
    </w:p>
    <w:p w14:paraId="61442DC9"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 xml:space="preserve">Decision-tree models applied as post-hoc filters to AMS alert lists proved capable of substantially reducing false-positive clinical mastitis alerts while preserving diagnostic sensitivity, as </w:t>
      </w:r>
      <w:proofErr w:type="spellStart"/>
      <w:r w:rsidRPr="007A71DF">
        <w:rPr>
          <w:rFonts w:ascii="Times New Roman" w:eastAsia="Times New Roman" w:hAnsi="Times New Roman" w:cs="Times New Roman"/>
          <w:sz w:val="24"/>
          <w:szCs w:val="24"/>
          <w:lang w:eastAsia="en-GB"/>
        </w:rPr>
        <w:t>Steeneveld</w:t>
      </w:r>
      <w:proofErr w:type="spellEnd"/>
      <w:r w:rsidRPr="007A71DF">
        <w:rPr>
          <w:rFonts w:ascii="Times New Roman" w:eastAsia="Times New Roman" w:hAnsi="Times New Roman" w:cs="Times New Roman"/>
          <w:sz w:val="24"/>
          <w:szCs w:val="24"/>
          <w:lang w:eastAsia="en-GB"/>
        </w:rPr>
        <w:t xml:space="preserve"> et al. (2010) demonstrated—a methodologically important finding that much of the actionable improvement in deployed systems lies in the analytical layer, not in sensor hardware. Random forests and gradient-boosted trees have become prominent more recently as ensemble methods that handle mixed data types, tolerate missing values, and return variable importance rankings. Ebrahimi et al. (2019) benchmarked multiple ML models for subclinical mastitis prediction, finding that gradient-boosted trees and deep learning outperformed logistic regression, decision trees, and naïve Bayes across all metrics, with AUC values exceeding 0.85 in the best configurations.</w:t>
      </w:r>
    </w:p>
    <w:p w14:paraId="0F9D6139"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Xu et al. (2019) compared random forests, partial least squares, linear regression, and neural networks for predicting metabolic status in early-lactation cows using AMS and milk mid-infrared (MIR) data. Random forests and neural networks performed best, with milk MIR spectral features among the most informative predictors. Shahinfar et al. (2014) found that gradient-boosted trees consistently outperformed logistic regression and decision trees when predicting insemination outcomes in Holstein cows—early evidence, now widely replicated, that ensemble methods tend to outperform single-algorithm approaches for complex bovine health management problems.</w:t>
      </w:r>
    </w:p>
    <w:p w14:paraId="23A77C15" w14:textId="77777777" w:rsidR="007A71DF" w:rsidRPr="007A71DF" w:rsidRDefault="007A71DF" w:rsidP="007A71DF">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4.2 Deep Learning Approaches</w:t>
      </w:r>
    </w:p>
    <w:p w14:paraId="6B500A31"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lastRenderedPageBreak/>
        <w:t>Deep learning—particularly CNNs and RNNs—has accelerated into dairy disease detection since around 2018, driven by larger labelled datasets, falling computation costs, and pre-trained models that can be fine-tuned with relatively little domain-specific data.</w:t>
      </w:r>
    </w:p>
    <w:p w14:paraId="78A3EE76"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 xml:space="preserve">CNNs have been applied to image-based tasks including automated BCS estimation, lameness detection from gait video, and individual animal identification. Tassinari et al. (2021) built a CNN-based computer vision system for real-time dairy cow detection and tracking in commercial </w:t>
      </w:r>
      <w:proofErr w:type="spellStart"/>
      <w:r w:rsidRPr="007A71DF">
        <w:rPr>
          <w:rFonts w:ascii="Times New Roman" w:eastAsia="Times New Roman" w:hAnsi="Times New Roman" w:cs="Times New Roman"/>
          <w:sz w:val="24"/>
          <w:szCs w:val="24"/>
          <w:lang w:eastAsia="en-GB"/>
        </w:rPr>
        <w:t>freestall</w:t>
      </w:r>
      <w:proofErr w:type="spellEnd"/>
      <w:r w:rsidRPr="007A71DF">
        <w:rPr>
          <w:rFonts w:ascii="Times New Roman" w:eastAsia="Times New Roman" w:hAnsi="Times New Roman" w:cs="Times New Roman"/>
          <w:sz w:val="24"/>
          <w:szCs w:val="24"/>
          <w:lang w:eastAsia="en-GB"/>
        </w:rPr>
        <w:t xml:space="preserve"> barns under real-world conditions. The study showed that transfer learning—fine-tuning models pre-trained on large general-purpose image datasets—substantially reduced the training data needed to achieve adequate performance under the occlusions and variable lighting of commercial dairy housing, a practically important result given the limited size of available labelled livestock image datasets.</w:t>
      </w:r>
    </w:p>
    <w:p w14:paraId="44001E07"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RNNs, specifically long short-term memory (LSTM) networks, suit sequential sensor data where temporal patterns carry health-relevant information. Peng et al. (2019) applied LSTM to cattle behaviour classification from accelerometer and inertial measurement unit data, showing a clear advantage over static classifiers applied to windowed feature summaries, particularly for inherently sequential activities such as posture transitions. Many pathological behavioural changes—prolonged lying associated with lameness, altered rumination in ketosis—manifest as shifts in temporal structure rather than simple deviations in instantaneous values, so this temporal modelling capacity has direct diagnostic relevance.</w:t>
      </w:r>
    </w:p>
    <w:p w14:paraId="538CC171"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 xml:space="preserve">Van </w:t>
      </w:r>
      <w:proofErr w:type="spellStart"/>
      <w:r w:rsidRPr="007A71DF">
        <w:rPr>
          <w:rFonts w:ascii="Times New Roman" w:eastAsia="Times New Roman" w:hAnsi="Times New Roman" w:cs="Times New Roman"/>
          <w:sz w:val="24"/>
          <w:szCs w:val="24"/>
          <w:lang w:eastAsia="en-GB"/>
        </w:rPr>
        <w:t>Hertem</w:t>
      </w:r>
      <w:proofErr w:type="spellEnd"/>
      <w:r w:rsidRPr="007A71DF">
        <w:rPr>
          <w:rFonts w:ascii="Times New Roman" w:eastAsia="Times New Roman" w:hAnsi="Times New Roman" w:cs="Times New Roman"/>
          <w:sz w:val="24"/>
          <w:szCs w:val="24"/>
          <w:lang w:eastAsia="en-GB"/>
        </w:rPr>
        <w:t xml:space="preserve"> et al. (2018) implemented and evaluated an automatic 3D vision monitor for locomotion scoring in a commercial Belgian dairy farm, recording data across 633 milking sessions. The system assessed the full herd automatically during routine milking, without additional handling, and automated locomotion scores were broadly comparable with expert visual assessments at the population level. The authors nonetheless noted that camera placement, floor surface, and environmental lighting all materially affected performance—practical constraints that require standardised installation protocols before the system can be deployed reliably at scale.</w:t>
      </w:r>
    </w:p>
    <w:p w14:paraId="59E5F027" w14:textId="77777777" w:rsidR="007A71DF" w:rsidRPr="007A71DF" w:rsidRDefault="007A71DF" w:rsidP="007A71DF">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4.3 Hybrid and Ensemble Methods</w:t>
      </w:r>
    </w:p>
    <w:p w14:paraId="653AFBC8"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Hybrid methods—combining multiple ML algorithms or integrating ML with domain knowledge—offer one route to reducing the false-positive rates that constrain uptake of single-model alert systems. Dominiak and Kristensen (2017) examined alarm management in sensor-based livestock production, documenting persistently high false-positive rates and proposing an alarm-prioritisation framework based on ML filtering; combining probabilistic models with rule-based filters substantially reduced the clinical burden of spurious alerts without meaningfully compromising sensitivity. Dutta et al. (2015) showed that ensemble classifiers combining decision trees and SVMs could reliably classify multiple cattle behavioural states from real-time accelerometer recordings, illustrating the practical value of combining algorithms when sensor signals are variable and overlapping.</w:t>
      </w:r>
    </w:p>
    <w:p w14:paraId="22DA0BEA"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 xml:space="preserve">Data fusion—integrating inputs from multiple modalities—follows similar logic. González et al. (2008) provided early evidence that systematic changes in feeding behaviour were associated with subsequent disease events in dairy cows, and argued that multi-parameter monitoring combining feeding behaviour with other health indicators would outperform single-sensor approaches. This principle has since been consistently validated: multi-modal </w:t>
      </w:r>
      <w:r w:rsidRPr="007A71DF">
        <w:rPr>
          <w:rFonts w:ascii="Times New Roman" w:eastAsia="Times New Roman" w:hAnsi="Times New Roman" w:cs="Times New Roman"/>
          <w:sz w:val="24"/>
          <w:szCs w:val="24"/>
          <w:lang w:eastAsia="en-GB"/>
        </w:rPr>
        <w:lastRenderedPageBreak/>
        <w:t>integration reliably outperforms individual sensor streams, particularly for diseases with non-specific prodromal signs.</w:t>
      </w:r>
    </w:p>
    <w:p w14:paraId="2207C4D6"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b/>
          <w:bCs/>
          <w:sz w:val="24"/>
          <w:szCs w:val="24"/>
          <w:lang w:eastAsia="en-GB"/>
        </w:rPr>
        <w:t>Table 2</w:t>
      </w:r>
      <w:r w:rsidRPr="007A71DF">
        <w:rPr>
          <w:rFonts w:ascii="Times New Roman" w:eastAsia="Times New Roman" w:hAnsi="Times New Roman" w:cs="Times New Roman"/>
          <w:sz w:val="24"/>
          <w:szCs w:val="24"/>
          <w:lang w:eastAsia="en-GB"/>
        </w:rPr>
        <w:t xml:space="preserve"> summarises the principal ML algorithms applied to dairy disease detection, their data requirements, key advantages, main limitations, and illustrative applications.</w:t>
      </w:r>
    </w:p>
    <w:p w14:paraId="1F16FB65" w14:textId="77777777" w:rsidR="007A71DF" w:rsidRPr="007A71DF" w:rsidRDefault="007A71DF" w:rsidP="007A71DF">
      <w:pPr>
        <w:spacing w:after="0" w:line="240" w:lineRule="auto"/>
        <w:rPr>
          <w:rFonts w:ascii="Times New Roman" w:eastAsia="Times New Roman" w:hAnsi="Times New Roman" w:cs="Times New Roman"/>
          <w:sz w:val="24"/>
          <w:szCs w:val="24"/>
          <w:lang w:eastAsia="en-GB"/>
        </w:rPr>
      </w:pPr>
    </w:p>
    <w:p w14:paraId="4FB70744"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b/>
          <w:bCs/>
          <w:sz w:val="24"/>
          <w:szCs w:val="24"/>
          <w:lang w:eastAsia="en-GB"/>
        </w:rPr>
        <w:t>Table 2.</w:t>
      </w:r>
      <w:r w:rsidRPr="007A71DF">
        <w:rPr>
          <w:rFonts w:ascii="Times New Roman" w:eastAsia="Times New Roman" w:hAnsi="Times New Roman" w:cs="Times New Roman"/>
          <w:sz w:val="24"/>
          <w:szCs w:val="24"/>
          <w:lang w:eastAsia="en-GB"/>
        </w:rPr>
        <w:t xml:space="preserve"> Summary of principal machine learning algorithms applied to dairy cattle disease detection.</w:t>
      </w:r>
    </w:p>
    <w:tbl>
      <w:tblPr>
        <w:tblStyle w:val="TableGrid"/>
        <w:tblW w:w="0" w:type="auto"/>
        <w:tblLook w:val="04A0" w:firstRow="1" w:lastRow="0" w:firstColumn="1" w:lastColumn="0" w:noHBand="0" w:noVBand="1"/>
      </w:tblPr>
      <w:tblGrid>
        <w:gridCol w:w="1961"/>
        <w:gridCol w:w="1627"/>
        <w:gridCol w:w="1843"/>
        <w:gridCol w:w="1954"/>
        <w:gridCol w:w="1857"/>
      </w:tblGrid>
      <w:tr w:rsidR="007A71DF" w:rsidRPr="007A71DF" w14:paraId="12817DC6" w14:textId="77777777" w:rsidTr="005C7535">
        <w:tc>
          <w:tcPr>
            <w:tcW w:w="0" w:type="auto"/>
            <w:hideMark/>
          </w:tcPr>
          <w:p w14:paraId="3B9E90AC" w14:textId="77777777" w:rsidR="007A71DF" w:rsidRPr="007A71DF" w:rsidRDefault="007A71DF" w:rsidP="007A71DF">
            <w:pPr>
              <w:jc w:val="center"/>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Algorithm</w:t>
            </w:r>
          </w:p>
        </w:tc>
        <w:tc>
          <w:tcPr>
            <w:tcW w:w="0" w:type="auto"/>
            <w:hideMark/>
          </w:tcPr>
          <w:p w14:paraId="4D20EF93" w14:textId="77777777" w:rsidR="007A71DF" w:rsidRPr="007A71DF" w:rsidRDefault="007A71DF" w:rsidP="007A71DF">
            <w:pPr>
              <w:jc w:val="center"/>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Data Type</w:t>
            </w:r>
          </w:p>
        </w:tc>
        <w:tc>
          <w:tcPr>
            <w:tcW w:w="0" w:type="auto"/>
            <w:hideMark/>
          </w:tcPr>
          <w:p w14:paraId="0393B31F" w14:textId="77777777" w:rsidR="007A71DF" w:rsidRPr="007A71DF" w:rsidRDefault="007A71DF" w:rsidP="007A71DF">
            <w:pPr>
              <w:jc w:val="center"/>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Key Advantages</w:t>
            </w:r>
          </w:p>
        </w:tc>
        <w:tc>
          <w:tcPr>
            <w:tcW w:w="0" w:type="auto"/>
            <w:hideMark/>
          </w:tcPr>
          <w:p w14:paraId="544B6222" w14:textId="77777777" w:rsidR="007A71DF" w:rsidRPr="007A71DF" w:rsidRDefault="007A71DF" w:rsidP="007A71DF">
            <w:pPr>
              <w:jc w:val="center"/>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Key Limitations</w:t>
            </w:r>
          </w:p>
        </w:tc>
        <w:tc>
          <w:tcPr>
            <w:tcW w:w="0" w:type="auto"/>
            <w:hideMark/>
          </w:tcPr>
          <w:p w14:paraId="6B00A331" w14:textId="77777777" w:rsidR="007A71DF" w:rsidRPr="007A71DF" w:rsidRDefault="007A71DF" w:rsidP="007A71DF">
            <w:pPr>
              <w:jc w:val="center"/>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Example Applications</w:t>
            </w:r>
          </w:p>
        </w:tc>
      </w:tr>
      <w:tr w:rsidR="007A71DF" w:rsidRPr="007A71DF" w14:paraId="09F16EBA" w14:textId="77777777" w:rsidTr="005C7535">
        <w:tc>
          <w:tcPr>
            <w:tcW w:w="0" w:type="auto"/>
            <w:hideMark/>
          </w:tcPr>
          <w:p w14:paraId="0CC2C8DC"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Artificial neural network (ANN)</w:t>
            </w:r>
          </w:p>
        </w:tc>
        <w:tc>
          <w:tcPr>
            <w:tcW w:w="0" w:type="auto"/>
            <w:hideMark/>
          </w:tcPr>
          <w:p w14:paraId="27A04EAE"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Tabular, sensor time series</w:t>
            </w:r>
          </w:p>
        </w:tc>
        <w:tc>
          <w:tcPr>
            <w:tcW w:w="0" w:type="auto"/>
            <w:hideMark/>
          </w:tcPr>
          <w:p w14:paraId="4BF729E0"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Captures non-linear patterns; flexible architecture</w:t>
            </w:r>
          </w:p>
        </w:tc>
        <w:tc>
          <w:tcPr>
            <w:tcW w:w="0" w:type="auto"/>
            <w:hideMark/>
          </w:tcPr>
          <w:p w14:paraId="640E46D9"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Requires substantial training data; limited interpretability</w:t>
            </w:r>
          </w:p>
        </w:tc>
        <w:tc>
          <w:tcPr>
            <w:tcW w:w="0" w:type="auto"/>
            <w:hideMark/>
          </w:tcPr>
          <w:p w14:paraId="12C0CFD2"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Culling reason prediction; mastitis detection; force-plate lameness scoring</w:t>
            </w:r>
          </w:p>
        </w:tc>
      </w:tr>
      <w:tr w:rsidR="007A71DF" w:rsidRPr="007A71DF" w14:paraId="157C6A5D" w14:textId="77777777" w:rsidTr="005C7535">
        <w:tc>
          <w:tcPr>
            <w:tcW w:w="0" w:type="auto"/>
            <w:hideMark/>
          </w:tcPr>
          <w:p w14:paraId="0E319B55"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Support vector machine (SVM)</w:t>
            </w:r>
          </w:p>
        </w:tc>
        <w:tc>
          <w:tcPr>
            <w:tcW w:w="0" w:type="auto"/>
            <w:hideMark/>
          </w:tcPr>
          <w:p w14:paraId="2020C37A"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Tabular, accelerometer</w:t>
            </w:r>
          </w:p>
        </w:tc>
        <w:tc>
          <w:tcPr>
            <w:tcW w:w="0" w:type="auto"/>
            <w:hideMark/>
          </w:tcPr>
          <w:p w14:paraId="23F7F09F"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Effective in high dimensions; robust with small samples</w:t>
            </w:r>
          </w:p>
        </w:tc>
        <w:tc>
          <w:tcPr>
            <w:tcW w:w="0" w:type="auto"/>
            <w:hideMark/>
          </w:tcPr>
          <w:p w14:paraId="79D6BA4E"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Kernel selection sensitivity; computational cost at scale</w:t>
            </w:r>
          </w:p>
        </w:tc>
        <w:tc>
          <w:tcPr>
            <w:tcW w:w="0" w:type="auto"/>
            <w:hideMark/>
          </w:tcPr>
          <w:p w14:paraId="3DB64B88"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Behaviour classification; BRD cough detection</w:t>
            </w:r>
          </w:p>
        </w:tc>
      </w:tr>
      <w:tr w:rsidR="007A71DF" w:rsidRPr="007A71DF" w14:paraId="31DCE786" w14:textId="77777777" w:rsidTr="005C7535">
        <w:tc>
          <w:tcPr>
            <w:tcW w:w="0" w:type="auto"/>
            <w:hideMark/>
          </w:tcPr>
          <w:p w14:paraId="61092FF9"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Random forest</w:t>
            </w:r>
          </w:p>
        </w:tc>
        <w:tc>
          <w:tcPr>
            <w:tcW w:w="0" w:type="auto"/>
            <w:hideMark/>
          </w:tcPr>
          <w:p w14:paraId="38825A85"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Tabular, mixed</w:t>
            </w:r>
          </w:p>
        </w:tc>
        <w:tc>
          <w:tcPr>
            <w:tcW w:w="0" w:type="auto"/>
            <w:hideMark/>
          </w:tcPr>
          <w:p w14:paraId="7BD76BD7"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Handles missing data; variable importance ranking; robust</w:t>
            </w:r>
          </w:p>
        </w:tc>
        <w:tc>
          <w:tcPr>
            <w:tcW w:w="0" w:type="auto"/>
            <w:hideMark/>
          </w:tcPr>
          <w:p w14:paraId="12511AE8"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Less effective for sequential or image data</w:t>
            </w:r>
          </w:p>
        </w:tc>
        <w:tc>
          <w:tcPr>
            <w:tcW w:w="0" w:type="auto"/>
            <w:hideMark/>
          </w:tcPr>
          <w:p w14:paraId="4C81FD3D"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Mastitis risk scoring; ketosis prediction</w:t>
            </w:r>
          </w:p>
        </w:tc>
      </w:tr>
      <w:tr w:rsidR="007A71DF" w:rsidRPr="007A71DF" w14:paraId="2517D4C3" w14:textId="77777777" w:rsidTr="005C7535">
        <w:tc>
          <w:tcPr>
            <w:tcW w:w="0" w:type="auto"/>
            <w:hideMark/>
          </w:tcPr>
          <w:p w14:paraId="02AADBC5"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 xml:space="preserve">Gradient boosting (e.g., </w:t>
            </w:r>
            <w:proofErr w:type="spellStart"/>
            <w:r w:rsidRPr="007A71DF">
              <w:rPr>
                <w:rFonts w:ascii="Times New Roman" w:eastAsia="Times New Roman" w:hAnsi="Times New Roman" w:cs="Times New Roman"/>
                <w:sz w:val="24"/>
                <w:szCs w:val="24"/>
                <w:lang w:eastAsia="en-GB"/>
              </w:rPr>
              <w:t>XGBoost</w:t>
            </w:r>
            <w:proofErr w:type="spellEnd"/>
            <w:r w:rsidRPr="007A71DF">
              <w:rPr>
                <w:rFonts w:ascii="Times New Roman" w:eastAsia="Times New Roman" w:hAnsi="Times New Roman" w:cs="Times New Roman"/>
                <w:sz w:val="24"/>
                <w:szCs w:val="24"/>
                <w:lang w:eastAsia="en-GB"/>
              </w:rPr>
              <w:t>)</w:t>
            </w:r>
          </w:p>
        </w:tc>
        <w:tc>
          <w:tcPr>
            <w:tcW w:w="0" w:type="auto"/>
            <w:hideMark/>
          </w:tcPr>
          <w:p w14:paraId="6FBDD11B"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Tabular</w:t>
            </w:r>
          </w:p>
        </w:tc>
        <w:tc>
          <w:tcPr>
            <w:tcW w:w="0" w:type="auto"/>
            <w:hideMark/>
          </w:tcPr>
          <w:p w14:paraId="600BF005"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High predictive accuracy; handles class imbalance well</w:t>
            </w:r>
          </w:p>
        </w:tc>
        <w:tc>
          <w:tcPr>
            <w:tcW w:w="0" w:type="auto"/>
            <w:hideMark/>
          </w:tcPr>
          <w:p w14:paraId="4503E049"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Prone to overfitting; requires careful hyperparameter tuning</w:t>
            </w:r>
          </w:p>
        </w:tc>
        <w:tc>
          <w:tcPr>
            <w:tcW w:w="0" w:type="auto"/>
            <w:hideMark/>
          </w:tcPr>
          <w:p w14:paraId="40C01CA6"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Subclinical mastitis; insemination outcome prediction</w:t>
            </w:r>
          </w:p>
        </w:tc>
      </w:tr>
      <w:tr w:rsidR="007A71DF" w:rsidRPr="007A71DF" w14:paraId="38916E07" w14:textId="77777777" w:rsidTr="005C7535">
        <w:tc>
          <w:tcPr>
            <w:tcW w:w="0" w:type="auto"/>
            <w:hideMark/>
          </w:tcPr>
          <w:p w14:paraId="1E4A091F"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Convolutional neural network (CNN)</w:t>
            </w:r>
          </w:p>
        </w:tc>
        <w:tc>
          <w:tcPr>
            <w:tcW w:w="0" w:type="auto"/>
            <w:hideMark/>
          </w:tcPr>
          <w:p w14:paraId="194C9A4B"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Image, video</w:t>
            </w:r>
          </w:p>
        </w:tc>
        <w:tc>
          <w:tcPr>
            <w:tcW w:w="0" w:type="auto"/>
            <w:hideMark/>
          </w:tcPr>
          <w:p w14:paraId="2AC7F348"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State-of-the-art for visual tasks; transfer learning</w:t>
            </w:r>
          </w:p>
        </w:tc>
        <w:tc>
          <w:tcPr>
            <w:tcW w:w="0" w:type="auto"/>
            <w:hideMark/>
          </w:tcPr>
          <w:p w14:paraId="53CCE84C"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Large labelled datasets required; high computational demand</w:t>
            </w:r>
          </w:p>
        </w:tc>
        <w:tc>
          <w:tcPr>
            <w:tcW w:w="0" w:type="auto"/>
            <w:hideMark/>
          </w:tcPr>
          <w:p w14:paraId="76F88EF6"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Individual cow detection; BCS estimation; gait analysis</w:t>
            </w:r>
          </w:p>
        </w:tc>
      </w:tr>
      <w:tr w:rsidR="007A71DF" w:rsidRPr="007A71DF" w14:paraId="772EA8FA" w14:textId="77777777" w:rsidTr="005C7535">
        <w:tc>
          <w:tcPr>
            <w:tcW w:w="0" w:type="auto"/>
            <w:hideMark/>
          </w:tcPr>
          <w:p w14:paraId="3E36C35B"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Long short-term memory (LSTM)</w:t>
            </w:r>
          </w:p>
        </w:tc>
        <w:tc>
          <w:tcPr>
            <w:tcW w:w="0" w:type="auto"/>
            <w:hideMark/>
          </w:tcPr>
          <w:p w14:paraId="55F15878"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Time series</w:t>
            </w:r>
          </w:p>
        </w:tc>
        <w:tc>
          <w:tcPr>
            <w:tcW w:w="0" w:type="auto"/>
            <w:hideMark/>
          </w:tcPr>
          <w:p w14:paraId="26DBC857"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Models temporal dependencies; sequential pattern learning</w:t>
            </w:r>
          </w:p>
        </w:tc>
        <w:tc>
          <w:tcPr>
            <w:tcW w:w="0" w:type="auto"/>
            <w:hideMark/>
          </w:tcPr>
          <w:p w14:paraId="58A175CA"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Training complexity; substantial data volume requirements</w:t>
            </w:r>
          </w:p>
        </w:tc>
        <w:tc>
          <w:tcPr>
            <w:tcW w:w="0" w:type="auto"/>
            <w:hideMark/>
          </w:tcPr>
          <w:p w14:paraId="4530AB76"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Behaviour classification; rumination monitoring</w:t>
            </w:r>
          </w:p>
        </w:tc>
      </w:tr>
      <w:tr w:rsidR="007A71DF" w:rsidRPr="007A71DF" w14:paraId="47AF12EA" w14:textId="77777777" w:rsidTr="005C7535">
        <w:tc>
          <w:tcPr>
            <w:tcW w:w="0" w:type="auto"/>
            <w:hideMark/>
          </w:tcPr>
          <w:p w14:paraId="54157A3A"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Bayesian network</w:t>
            </w:r>
          </w:p>
        </w:tc>
        <w:tc>
          <w:tcPr>
            <w:tcW w:w="0" w:type="auto"/>
            <w:hideMark/>
          </w:tcPr>
          <w:p w14:paraId="56FEE334"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Mixed</w:t>
            </w:r>
          </w:p>
        </w:tc>
        <w:tc>
          <w:tcPr>
            <w:tcW w:w="0" w:type="auto"/>
            <w:hideMark/>
          </w:tcPr>
          <w:p w14:paraId="0B5F1D75"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Uncertainty quantification; domain knowledge integration</w:t>
            </w:r>
          </w:p>
        </w:tc>
        <w:tc>
          <w:tcPr>
            <w:tcW w:w="0" w:type="auto"/>
            <w:hideMark/>
          </w:tcPr>
          <w:p w14:paraId="5AF9C3A1"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Assumptions about variable independence</w:t>
            </w:r>
          </w:p>
        </w:tc>
        <w:tc>
          <w:tcPr>
            <w:tcW w:w="0" w:type="auto"/>
            <w:hideMark/>
          </w:tcPr>
          <w:p w14:paraId="3AD2E52F"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Mastitis alert post-processing</w:t>
            </w:r>
          </w:p>
        </w:tc>
      </w:tr>
      <w:tr w:rsidR="007A71DF" w:rsidRPr="007A71DF" w14:paraId="0D0E45EC" w14:textId="77777777" w:rsidTr="005C7535">
        <w:tc>
          <w:tcPr>
            <w:tcW w:w="0" w:type="auto"/>
            <w:hideMark/>
          </w:tcPr>
          <w:p w14:paraId="227588DB"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Ensemble/hybrid</w:t>
            </w:r>
          </w:p>
        </w:tc>
        <w:tc>
          <w:tcPr>
            <w:tcW w:w="0" w:type="auto"/>
            <w:hideMark/>
          </w:tcPr>
          <w:p w14:paraId="120FF7FA"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Mixed</w:t>
            </w:r>
          </w:p>
        </w:tc>
        <w:tc>
          <w:tcPr>
            <w:tcW w:w="0" w:type="auto"/>
            <w:hideMark/>
          </w:tcPr>
          <w:p w14:paraId="09A8F110"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 xml:space="preserve">Reduced variance; improved </w:t>
            </w:r>
            <w:r w:rsidRPr="007A71DF">
              <w:rPr>
                <w:rFonts w:ascii="Times New Roman" w:eastAsia="Times New Roman" w:hAnsi="Times New Roman" w:cs="Times New Roman"/>
                <w:sz w:val="24"/>
                <w:szCs w:val="24"/>
                <w:lang w:eastAsia="en-GB"/>
              </w:rPr>
              <w:lastRenderedPageBreak/>
              <w:t>generalisation</w:t>
            </w:r>
          </w:p>
        </w:tc>
        <w:tc>
          <w:tcPr>
            <w:tcW w:w="0" w:type="auto"/>
            <w:hideMark/>
          </w:tcPr>
          <w:p w14:paraId="3134B1FA"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lastRenderedPageBreak/>
              <w:t>Increased model complexity; harder to interpret</w:t>
            </w:r>
          </w:p>
        </w:tc>
        <w:tc>
          <w:tcPr>
            <w:tcW w:w="0" w:type="auto"/>
            <w:hideMark/>
          </w:tcPr>
          <w:p w14:paraId="4D9CA261"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 xml:space="preserve">Multi-disease alert prioritisation </w:t>
            </w:r>
            <w:r w:rsidRPr="007A71DF">
              <w:rPr>
                <w:rFonts w:ascii="Times New Roman" w:eastAsia="Times New Roman" w:hAnsi="Times New Roman" w:cs="Times New Roman"/>
                <w:sz w:val="24"/>
                <w:szCs w:val="24"/>
                <w:lang w:eastAsia="en-GB"/>
              </w:rPr>
              <w:lastRenderedPageBreak/>
              <w:t>systems</w:t>
            </w:r>
          </w:p>
        </w:tc>
      </w:tr>
    </w:tbl>
    <w:p w14:paraId="779D2AAD"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i/>
          <w:iCs/>
          <w:sz w:val="24"/>
          <w:szCs w:val="24"/>
          <w:lang w:eastAsia="en-GB"/>
        </w:rPr>
        <w:lastRenderedPageBreak/>
        <w:t xml:space="preserve">Sources: Ebrahimi et al. (2019); Xu et al. (2019); Peng et al. (2019); Van </w:t>
      </w:r>
      <w:proofErr w:type="spellStart"/>
      <w:r w:rsidRPr="007A71DF">
        <w:rPr>
          <w:rFonts w:ascii="Times New Roman" w:eastAsia="Times New Roman" w:hAnsi="Times New Roman" w:cs="Times New Roman"/>
          <w:i/>
          <w:iCs/>
          <w:sz w:val="24"/>
          <w:szCs w:val="24"/>
          <w:lang w:eastAsia="en-GB"/>
        </w:rPr>
        <w:t>Hertem</w:t>
      </w:r>
      <w:proofErr w:type="spellEnd"/>
      <w:r w:rsidRPr="007A71DF">
        <w:rPr>
          <w:rFonts w:ascii="Times New Roman" w:eastAsia="Times New Roman" w:hAnsi="Times New Roman" w:cs="Times New Roman"/>
          <w:i/>
          <w:iCs/>
          <w:sz w:val="24"/>
          <w:szCs w:val="24"/>
          <w:lang w:eastAsia="en-GB"/>
        </w:rPr>
        <w:t xml:space="preserve"> et al. (2018); Tassinari et al. (2021); </w:t>
      </w:r>
      <w:proofErr w:type="spellStart"/>
      <w:r w:rsidRPr="007A71DF">
        <w:rPr>
          <w:rFonts w:ascii="Times New Roman" w:eastAsia="Times New Roman" w:hAnsi="Times New Roman" w:cs="Times New Roman"/>
          <w:i/>
          <w:iCs/>
          <w:sz w:val="24"/>
          <w:szCs w:val="24"/>
          <w:lang w:eastAsia="en-GB"/>
        </w:rPr>
        <w:t>Steeneveld</w:t>
      </w:r>
      <w:proofErr w:type="spellEnd"/>
      <w:r w:rsidRPr="007A71DF">
        <w:rPr>
          <w:rFonts w:ascii="Times New Roman" w:eastAsia="Times New Roman" w:hAnsi="Times New Roman" w:cs="Times New Roman"/>
          <w:i/>
          <w:iCs/>
          <w:sz w:val="24"/>
          <w:szCs w:val="24"/>
          <w:lang w:eastAsia="en-GB"/>
        </w:rPr>
        <w:t xml:space="preserve"> et al. (2010); </w:t>
      </w:r>
      <w:proofErr w:type="spellStart"/>
      <w:r w:rsidRPr="007A71DF">
        <w:rPr>
          <w:rFonts w:ascii="Times New Roman" w:eastAsia="Times New Roman" w:hAnsi="Times New Roman" w:cs="Times New Roman"/>
          <w:i/>
          <w:iCs/>
          <w:sz w:val="24"/>
          <w:szCs w:val="24"/>
          <w:lang w:eastAsia="en-GB"/>
        </w:rPr>
        <w:t>Martiskainen</w:t>
      </w:r>
      <w:proofErr w:type="spellEnd"/>
      <w:r w:rsidRPr="007A71DF">
        <w:rPr>
          <w:rFonts w:ascii="Times New Roman" w:eastAsia="Times New Roman" w:hAnsi="Times New Roman" w:cs="Times New Roman"/>
          <w:i/>
          <w:iCs/>
          <w:sz w:val="24"/>
          <w:szCs w:val="24"/>
          <w:lang w:eastAsia="en-GB"/>
        </w:rPr>
        <w:t xml:space="preserve"> et al. (2009); Shahinfar et al. (2014); Cockburn (2020); </w:t>
      </w:r>
      <w:proofErr w:type="spellStart"/>
      <w:r w:rsidRPr="007A71DF">
        <w:rPr>
          <w:rFonts w:ascii="Times New Roman" w:eastAsia="Times New Roman" w:hAnsi="Times New Roman" w:cs="Times New Roman"/>
          <w:i/>
          <w:iCs/>
          <w:sz w:val="24"/>
          <w:szCs w:val="24"/>
          <w:lang w:eastAsia="en-GB"/>
        </w:rPr>
        <w:t>Ghotoorlar</w:t>
      </w:r>
      <w:proofErr w:type="spellEnd"/>
      <w:r w:rsidRPr="007A71DF">
        <w:rPr>
          <w:rFonts w:ascii="Times New Roman" w:eastAsia="Times New Roman" w:hAnsi="Times New Roman" w:cs="Times New Roman"/>
          <w:i/>
          <w:iCs/>
          <w:sz w:val="24"/>
          <w:szCs w:val="24"/>
          <w:lang w:eastAsia="en-GB"/>
        </w:rPr>
        <w:t xml:space="preserve"> et al. (2012).</w:t>
      </w:r>
    </w:p>
    <w:p w14:paraId="637B14AC" w14:textId="77777777" w:rsidR="007A71DF" w:rsidRPr="007A71DF" w:rsidRDefault="007A71DF" w:rsidP="007A71DF">
      <w:pPr>
        <w:spacing w:after="0" w:line="240" w:lineRule="auto"/>
        <w:rPr>
          <w:rFonts w:ascii="Times New Roman" w:eastAsia="Times New Roman" w:hAnsi="Times New Roman" w:cs="Times New Roman"/>
          <w:sz w:val="24"/>
          <w:szCs w:val="24"/>
          <w:lang w:eastAsia="en-GB"/>
        </w:rPr>
      </w:pPr>
    </w:p>
    <w:p w14:paraId="03D504FF" w14:textId="77777777" w:rsidR="007A71DF" w:rsidRPr="007A71DF" w:rsidRDefault="007A71DF" w:rsidP="007A71DF">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7A71DF">
        <w:rPr>
          <w:rFonts w:ascii="Times New Roman" w:eastAsia="Times New Roman" w:hAnsi="Times New Roman" w:cs="Times New Roman"/>
          <w:b/>
          <w:bCs/>
          <w:sz w:val="27"/>
          <w:szCs w:val="27"/>
          <w:lang w:eastAsia="en-GB"/>
        </w:rPr>
        <w:t>5. AI Applications for Specific Disease Categories</w:t>
      </w:r>
    </w:p>
    <w:p w14:paraId="1E2D5D71" w14:textId="77777777" w:rsidR="007A71DF" w:rsidRPr="007A71DF" w:rsidRDefault="007A71DF" w:rsidP="007A71DF">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5.1 Mastitis Detection</w:t>
      </w:r>
    </w:p>
    <w:p w14:paraId="4D66715F"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Mastitis is the most studied disease in the AI-based dairy detection literature, a reflection of its economic weight and of the particularly dense data streams that AMS milking systems generate. The primary signal most systems exploit is milk electrical conductivity, which rises during infection as increased sodium and chloride ions—released by the disrupted blood–milk barrier—alter the ionic composition of milk (Hogeveen et al., 2011). Combined with changes in yield, milking frequency, and duration, conductivity offers a multivariate signal well-suited to ML classification.</w:t>
      </w:r>
    </w:p>
    <w:p w14:paraId="6E1821A0"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 xml:space="preserve">Kamphuis et al. (2010) prospectively validated a decision-tree model applied to AMS milking data against veterinary-confirmed clinical mastitis cases—a more rigorous design than the retrospective approaches common in later work. Farm-to-farm variation emerged as a major determinant of system performance, suggesting that models requiring farm-specific calibration will likely outperform those applying universal thresholds across the heterogeneous environments of commercial dairy production. Ebrahimi et al. (2019) extended this work, showing that deep learning and gradient-boosted tree models outperformed more traditional classifiers in subclinical mastitis prediction, and that temporal feature engineering—capturing trends and variability over rolling time windows—mattered as much as algorithm choice. </w:t>
      </w:r>
      <w:proofErr w:type="spellStart"/>
      <w:r w:rsidRPr="007A71DF">
        <w:rPr>
          <w:rFonts w:ascii="Times New Roman" w:eastAsia="Times New Roman" w:hAnsi="Times New Roman" w:cs="Times New Roman"/>
          <w:sz w:val="24"/>
          <w:szCs w:val="24"/>
          <w:lang w:eastAsia="en-GB"/>
        </w:rPr>
        <w:t>Steeneveld</w:t>
      </w:r>
      <w:proofErr w:type="spellEnd"/>
      <w:r w:rsidRPr="007A71DF">
        <w:rPr>
          <w:rFonts w:ascii="Times New Roman" w:eastAsia="Times New Roman" w:hAnsi="Times New Roman" w:cs="Times New Roman"/>
          <w:sz w:val="24"/>
          <w:szCs w:val="24"/>
          <w:lang w:eastAsia="en-GB"/>
        </w:rPr>
        <w:t xml:space="preserve"> et al. (2010) demonstrated that decision-tree filters applied post-hoc to AMS alert lists could cut the false-positive load substantially while preserving sensitivity, a finding with direct practical value for any farm using automated milking.</w:t>
      </w:r>
    </w:p>
    <w:p w14:paraId="2ECEE858" w14:textId="77777777" w:rsidR="007A71DF" w:rsidRPr="007A71DF" w:rsidRDefault="007A71DF" w:rsidP="007A71DF">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5.2 Lameness and Locomotion Disorders</w:t>
      </w:r>
    </w:p>
    <w:p w14:paraId="52B43D20"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 xml:space="preserve">Lameness affects an estimated 20–55% of cows in housed systems, and its early detection is a priority on both welfare and economic grounds (Schlageter-Tello et al., </w:t>
      </w:r>
      <w:r>
        <w:rPr>
          <w:rFonts w:ascii="Times New Roman" w:eastAsia="Times New Roman" w:hAnsi="Times New Roman" w:cs="Times New Roman"/>
          <w:sz w:val="24"/>
          <w:szCs w:val="24"/>
          <w:lang w:eastAsia="en-GB"/>
        </w:rPr>
        <w:t>2014</w:t>
      </w:r>
      <w:r w:rsidRPr="007A71DF">
        <w:rPr>
          <w:rFonts w:ascii="Times New Roman" w:eastAsia="Times New Roman" w:hAnsi="Times New Roman" w:cs="Times New Roman"/>
          <w:sz w:val="24"/>
          <w:szCs w:val="24"/>
          <w:lang w:eastAsia="en-GB"/>
        </w:rPr>
        <w:t xml:space="preserve">). The characteristic asymmetric or stilted gait is, in principle, amenable to automated detection by multiple sensing modalities. </w:t>
      </w:r>
      <w:proofErr w:type="spellStart"/>
      <w:r w:rsidRPr="007A71DF">
        <w:rPr>
          <w:rFonts w:ascii="Times New Roman" w:eastAsia="Times New Roman" w:hAnsi="Times New Roman" w:cs="Times New Roman"/>
          <w:sz w:val="24"/>
          <w:szCs w:val="24"/>
          <w:lang w:eastAsia="en-GB"/>
        </w:rPr>
        <w:t>Alsaaod</w:t>
      </w:r>
      <w:proofErr w:type="spellEnd"/>
      <w:r w:rsidRPr="007A71DF">
        <w:rPr>
          <w:rFonts w:ascii="Times New Roman" w:eastAsia="Times New Roman" w:hAnsi="Times New Roman" w:cs="Times New Roman"/>
          <w:sz w:val="24"/>
          <w:szCs w:val="24"/>
          <w:lang w:eastAsia="en-GB"/>
        </w:rPr>
        <w:t xml:space="preserve"> et al. (2015) reviewed infrared thermography for lameness detection, confirming that skin surface temperature differences between affected and healthy limbs are </w:t>
      </w:r>
      <w:proofErr w:type="spellStart"/>
      <w:r w:rsidRPr="007A71DF">
        <w:rPr>
          <w:rFonts w:ascii="Times New Roman" w:eastAsia="Times New Roman" w:hAnsi="Times New Roman" w:cs="Times New Roman"/>
          <w:sz w:val="24"/>
          <w:szCs w:val="24"/>
          <w:lang w:eastAsia="en-GB"/>
        </w:rPr>
        <w:t>thermographically</w:t>
      </w:r>
      <w:proofErr w:type="spellEnd"/>
      <w:r w:rsidRPr="007A71DF">
        <w:rPr>
          <w:rFonts w:ascii="Times New Roman" w:eastAsia="Times New Roman" w:hAnsi="Times New Roman" w:cs="Times New Roman"/>
          <w:sz w:val="24"/>
          <w:szCs w:val="24"/>
          <w:lang w:eastAsia="en-GB"/>
        </w:rPr>
        <w:t xml:space="preserve"> measurable and could underpin automated screening at milking or sorting points. Practical confounders—ambient temperature and coat moisture—require active correction in any deployed system.</w:t>
      </w:r>
    </w:p>
    <w:p w14:paraId="6799E790"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 xml:space="preserve">Van </w:t>
      </w:r>
      <w:proofErr w:type="spellStart"/>
      <w:r w:rsidRPr="007A71DF">
        <w:rPr>
          <w:rFonts w:ascii="Times New Roman" w:eastAsia="Times New Roman" w:hAnsi="Times New Roman" w:cs="Times New Roman"/>
          <w:sz w:val="24"/>
          <w:szCs w:val="24"/>
          <w:lang w:eastAsia="en-GB"/>
        </w:rPr>
        <w:t>Hertem</w:t>
      </w:r>
      <w:proofErr w:type="spellEnd"/>
      <w:r w:rsidRPr="007A71DF">
        <w:rPr>
          <w:rFonts w:ascii="Times New Roman" w:eastAsia="Times New Roman" w:hAnsi="Times New Roman" w:cs="Times New Roman"/>
          <w:sz w:val="24"/>
          <w:szCs w:val="24"/>
          <w:lang w:eastAsia="en-GB"/>
        </w:rPr>
        <w:t xml:space="preserve"> et al. (2018) showed that 3D depth-camera-based locomotion monitoring was feasible at commercial scale, automatically scoring the full herd during routine milking across 633 sessions. Population-level agreement with expert visual scores was broadly acceptable, but the study also made clear that camera placement, floor surface, and lighting are significant practical variables that need standardised installation protocols before consistent autonomous scoring is achievable. </w:t>
      </w:r>
      <w:proofErr w:type="spellStart"/>
      <w:r w:rsidRPr="007A71DF">
        <w:rPr>
          <w:rFonts w:ascii="Times New Roman" w:eastAsia="Times New Roman" w:hAnsi="Times New Roman" w:cs="Times New Roman"/>
          <w:sz w:val="24"/>
          <w:szCs w:val="24"/>
          <w:lang w:eastAsia="en-GB"/>
        </w:rPr>
        <w:t>Ghotoorlar</w:t>
      </w:r>
      <w:proofErr w:type="spellEnd"/>
      <w:r w:rsidRPr="007A71DF">
        <w:rPr>
          <w:rFonts w:ascii="Times New Roman" w:eastAsia="Times New Roman" w:hAnsi="Times New Roman" w:cs="Times New Roman"/>
          <w:sz w:val="24"/>
          <w:szCs w:val="24"/>
          <w:lang w:eastAsia="en-GB"/>
        </w:rPr>
        <w:t xml:space="preserve"> et al. (2012), using ANN classifiers </w:t>
      </w:r>
      <w:r w:rsidRPr="007A71DF">
        <w:rPr>
          <w:rFonts w:ascii="Times New Roman" w:eastAsia="Times New Roman" w:hAnsi="Times New Roman" w:cs="Times New Roman"/>
          <w:sz w:val="24"/>
          <w:szCs w:val="24"/>
          <w:lang w:eastAsia="en-GB"/>
        </w:rPr>
        <w:lastRenderedPageBreak/>
        <w:t>applied to force-plate walkway data, achieved a lameness scoring system with sensitivity and specificity above 72% across most locomotion score groups and repeatability superior to conventional subjective assessment—though the cost and logistics of instrumented walkways limit their commercial translation.</w:t>
      </w:r>
    </w:p>
    <w:p w14:paraId="16557195"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 xml:space="preserve">Behaviour-based detection—inferring lameness from changes in lying duration, lying </w:t>
      </w:r>
      <w:proofErr w:type="spellStart"/>
      <w:r w:rsidRPr="007A71DF">
        <w:rPr>
          <w:rFonts w:ascii="Times New Roman" w:eastAsia="Times New Roman" w:hAnsi="Times New Roman" w:cs="Times New Roman"/>
          <w:sz w:val="24"/>
          <w:szCs w:val="24"/>
          <w:lang w:eastAsia="en-GB"/>
        </w:rPr>
        <w:t>bout</w:t>
      </w:r>
      <w:proofErr w:type="spellEnd"/>
      <w:r w:rsidRPr="007A71DF">
        <w:rPr>
          <w:rFonts w:ascii="Times New Roman" w:eastAsia="Times New Roman" w:hAnsi="Times New Roman" w:cs="Times New Roman"/>
          <w:sz w:val="24"/>
          <w:szCs w:val="24"/>
          <w:lang w:eastAsia="en-GB"/>
        </w:rPr>
        <w:t xml:space="preserve"> frequency, and walking speed—is particularly attractive because it can detect early-stage lameness when gait abnormalities are too subtle for visual scoring. Peng et al. (2019) confirmed that LSTM models outperformed static classifiers for behaviour recognition from accelerometer data, and there is growing evidence that reductions in activity detectable by commercial activity monitors can precede clinical lameness recognition by several days—potentially enabling earlier intervention. González et al. (2008) had shown earlier that feeding behaviour changes accompany disease events in dairy cows, reinforcing the case for multi-parameter approaches.</w:t>
      </w:r>
    </w:p>
    <w:p w14:paraId="66F314AD" w14:textId="77777777" w:rsidR="007A71DF" w:rsidRPr="007A71DF" w:rsidRDefault="007A71DF" w:rsidP="007A71DF">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5.3 Metabolic Disorders</w:t>
      </w:r>
    </w:p>
    <w:p w14:paraId="166D2FDB"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The periparturient period imposes severe physiological demands on dairy cows: the shift from late pregnancy to peak lactation strains metabolic reserves and can precipitate ketosis, hypocalcaemia, hepatic lipidosis, and related conditions. Subclinical ketosis—defined by elevated blood beta-hydroxybutyrate (BHB) concentrations in the absence of overt clinical signs—affects a material proportion of cows each lactation and is associated with reduced milk yield, impaired reproduction, and heightened susceptibility to secondary periparturient disease (Xu et al., 2019).</w:t>
      </w:r>
    </w:p>
    <w:p w14:paraId="75D19376"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The scientific rationale for ML-based metabolic monitoring rests on the observation that subclinical imbalances alter behavioural and production parameters days before they produce recognisable clinical signs. Xu et al. (2019) showed that random forest and neural network models applied to AMS production data and milk MIR spectral features could predict individual cows' metabolic status in early lactation with competitive accuracy, identifying ketosis risk before BHB concentrations would typically prompt veterinary concern. Crucially, this study used an external validation design on commercial farms—placing it among the methodologically strongest contributions in the field. The combination of routine AMS records and MIR spectral data is notable for its accessibility: both data types are routinely generated on farms with AMS and routine milk analysis, requiring no additional hardware investment.</w:t>
      </w:r>
    </w:p>
    <w:p w14:paraId="04130AD6" w14:textId="77777777" w:rsidR="007A71DF" w:rsidRPr="007A71DF" w:rsidRDefault="007A71DF" w:rsidP="007A71DF">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5.4 Bovine Respiratory Disease</w:t>
      </w:r>
    </w:p>
    <w:p w14:paraId="699355AF"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BRD is the leading infectious condition in pre-weaned dairy calves and a major driver of antibiotic use on dairy farms. Its complex, multi-agent aetiology—viral and bacterial pathogens acting in concert with immunosuppressive management factors—makes early individual detection difficult without specific point-of-care tools.</w:t>
      </w:r>
    </w:p>
    <w:p w14:paraId="544AFF47"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 xml:space="preserve">Acoustic monitoring has attracted research interest on the premise that respiratory infections produce characteristic changes in cough sounds detectable by microphone sensors. Vandermeulen et al. (2016) developed an automated BRD detection system for calves using continuous cough sound monitoring with spectral feature extraction and SVM classification, demonstrating promising experimental sensitivity. The authors were frank about the key barrier: translating this to commercial barn environments, where background noise is </w:t>
      </w:r>
      <w:r w:rsidRPr="007A71DF">
        <w:rPr>
          <w:rFonts w:ascii="Times New Roman" w:eastAsia="Times New Roman" w:hAnsi="Times New Roman" w:cs="Times New Roman"/>
          <w:sz w:val="24"/>
          <w:szCs w:val="24"/>
          <w:lang w:eastAsia="en-GB"/>
        </w:rPr>
        <w:lastRenderedPageBreak/>
        <w:t>substantially higher and more variable, would require robust noise-cancellation and signal-separation approaches that the field has not yet fully solved.</w:t>
      </w:r>
    </w:p>
    <w:p w14:paraId="5C30256D"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Activity monitoring has also been applied to BRD detection, on the premise that the febrile response and musculoskeletal malaise associated with respiratory infection reduce activity levels detectable by accelerometers. Achieving adequate sensitivity for early detection while maintaining specificity is challenging, given the wide natural variability in calf activity with age, feeding schedule, and ambient temperature.</w:t>
      </w:r>
    </w:p>
    <w:p w14:paraId="3E18B03F" w14:textId="77777777" w:rsidR="007A71DF" w:rsidRPr="007A71DF" w:rsidRDefault="007A71DF" w:rsidP="007A71DF">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5.5 Body Condition Scoring and Nutritional Monitoring</w:t>
      </w:r>
    </w:p>
    <w:p w14:paraId="542E3F12"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Body condition score (BCS) is a routine surrogate measure of energy reserves in dairy cattle, closely tied to disease risk, reproductive performance, and welfare. Traditional BCS assessment demands trained personnel and is known to be inconsistent across observers, particularly between herds and production systems.</w:t>
      </w:r>
    </w:p>
    <w:p w14:paraId="0D367BBF"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 xml:space="preserve">Azzaro et al. (2011) demonstrated that digital image analysis of standardised hindquarter photographs could yield objective BCS estimates that correlated well with experienced observer scores, suggesting that image-based assessment could serve as a consistent, scalable alternative to manual scoring. Bewley et al. (2008) confirmed the generalisability of this image-based approach across a diverse herd population. Song et al. (2019) extended these methods to 3D depth cameras, extracting features from multiple body regions—the rump, tailhead, and spine—and achieving agreement with expert manual scores comparable to inter-observer agreement among trained scorers. </w:t>
      </w:r>
      <w:proofErr w:type="spellStart"/>
      <w:r w:rsidRPr="007A71DF">
        <w:rPr>
          <w:rFonts w:ascii="Times New Roman" w:eastAsia="Times New Roman" w:hAnsi="Times New Roman" w:cs="Times New Roman"/>
          <w:sz w:val="24"/>
          <w:szCs w:val="24"/>
          <w:lang w:eastAsia="en-GB"/>
        </w:rPr>
        <w:t>Halachmi</w:t>
      </w:r>
      <w:proofErr w:type="spellEnd"/>
      <w:r w:rsidRPr="007A71DF">
        <w:rPr>
          <w:rFonts w:ascii="Times New Roman" w:eastAsia="Times New Roman" w:hAnsi="Times New Roman" w:cs="Times New Roman"/>
          <w:sz w:val="24"/>
          <w:szCs w:val="24"/>
          <w:lang w:eastAsia="en-GB"/>
        </w:rPr>
        <w:t xml:space="preserve"> et al. (2013) showed that thermal imaging could complement visible-light approaches, with the thermal signature of subcutaneous fat adding predictive information that improved BCS estimation accuracy relative to either modality alone.</w:t>
      </w:r>
    </w:p>
    <w:p w14:paraId="7E35F891"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Qiao et al. (2021) reviewed intelligent perception approaches for cattle monitoring more broadly, documenting that the best-performing depth-camera ML models for body weight prediction had achieved mean absolute errors approaching or below 20 kg under near-farm conditions—a precision broadly sufficient for practical nutritional management. Jorquera-Chavez et al. (2019) went further, validating computer vision methods for non-invasive monitoring of multiple physiological parameters simultaneously—body surface temperature, ear posture, and respiration rate—illustrating the potential for machine vision to support comprehensive physiological surveillance in commercial settings.</w:t>
      </w:r>
    </w:p>
    <w:p w14:paraId="778DDCFE"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b/>
          <w:bCs/>
          <w:sz w:val="24"/>
          <w:szCs w:val="24"/>
          <w:lang w:eastAsia="en-GB"/>
        </w:rPr>
        <w:t>Table 3</w:t>
      </w:r>
      <w:r w:rsidRPr="007A71DF">
        <w:rPr>
          <w:rFonts w:ascii="Times New Roman" w:eastAsia="Times New Roman" w:hAnsi="Times New Roman" w:cs="Times New Roman"/>
          <w:sz w:val="24"/>
          <w:szCs w:val="24"/>
          <w:lang w:eastAsia="en-GB"/>
        </w:rPr>
        <w:t xml:space="preserve"> provides a selective summary of AI and ML applications for the major disease categories reviewed in this section.</w:t>
      </w:r>
    </w:p>
    <w:p w14:paraId="1863E21B" w14:textId="77777777" w:rsidR="007A71DF" w:rsidRPr="007A71DF" w:rsidRDefault="007A71DF" w:rsidP="007A71DF">
      <w:pPr>
        <w:spacing w:after="0" w:line="240" w:lineRule="auto"/>
        <w:rPr>
          <w:rFonts w:ascii="Times New Roman" w:eastAsia="Times New Roman" w:hAnsi="Times New Roman" w:cs="Times New Roman"/>
          <w:sz w:val="24"/>
          <w:szCs w:val="24"/>
          <w:lang w:eastAsia="en-GB"/>
        </w:rPr>
      </w:pPr>
    </w:p>
    <w:p w14:paraId="4AE5D397"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b/>
          <w:bCs/>
          <w:sz w:val="24"/>
          <w:szCs w:val="24"/>
          <w:lang w:eastAsia="en-GB"/>
        </w:rPr>
        <w:t>Table 3.</w:t>
      </w:r>
      <w:r w:rsidRPr="007A71DF">
        <w:rPr>
          <w:rFonts w:ascii="Times New Roman" w:eastAsia="Times New Roman" w:hAnsi="Times New Roman" w:cs="Times New Roman"/>
          <w:sz w:val="24"/>
          <w:szCs w:val="24"/>
          <w:lang w:eastAsia="en-GB"/>
        </w:rPr>
        <w:t xml:space="preserve"> Selected AI and ML applications for major dairy cattle disease categories, with algorithms, data sources, and reported performance.</w:t>
      </w:r>
    </w:p>
    <w:tbl>
      <w:tblPr>
        <w:tblStyle w:val="TableGrid"/>
        <w:tblW w:w="0" w:type="auto"/>
        <w:tblLook w:val="04A0" w:firstRow="1" w:lastRow="0" w:firstColumn="1" w:lastColumn="0" w:noHBand="0" w:noVBand="1"/>
      </w:tblPr>
      <w:tblGrid>
        <w:gridCol w:w="1550"/>
        <w:gridCol w:w="1728"/>
        <w:gridCol w:w="1893"/>
        <w:gridCol w:w="1711"/>
        <w:gridCol w:w="2360"/>
      </w:tblGrid>
      <w:tr w:rsidR="007A71DF" w:rsidRPr="007A71DF" w14:paraId="44E0D4EA" w14:textId="77777777" w:rsidTr="005C7535">
        <w:tc>
          <w:tcPr>
            <w:tcW w:w="0" w:type="auto"/>
            <w:hideMark/>
          </w:tcPr>
          <w:p w14:paraId="6DF32105" w14:textId="77777777" w:rsidR="007A71DF" w:rsidRPr="007A71DF" w:rsidRDefault="007A71DF" w:rsidP="007A71DF">
            <w:pPr>
              <w:jc w:val="center"/>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Disease / Outcome</w:t>
            </w:r>
          </w:p>
        </w:tc>
        <w:tc>
          <w:tcPr>
            <w:tcW w:w="0" w:type="auto"/>
            <w:hideMark/>
          </w:tcPr>
          <w:p w14:paraId="23469C80" w14:textId="77777777" w:rsidR="007A71DF" w:rsidRPr="007A71DF" w:rsidRDefault="007A71DF" w:rsidP="007A71DF">
            <w:pPr>
              <w:jc w:val="center"/>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Study</w:t>
            </w:r>
          </w:p>
        </w:tc>
        <w:tc>
          <w:tcPr>
            <w:tcW w:w="0" w:type="auto"/>
            <w:hideMark/>
          </w:tcPr>
          <w:p w14:paraId="66EEB2B0" w14:textId="77777777" w:rsidR="007A71DF" w:rsidRPr="007A71DF" w:rsidRDefault="007A71DF" w:rsidP="007A71DF">
            <w:pPr>
              <w:jc w:val="center"/>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Algorithm</w:t>
            </w:r>
          </w:p>
        </w:tc>
        <w:tc>
          <w:tcPr>
            <w:tcW w:w="0" w:type="auto"/>
            <w:hideMark/>
          </w:tcPr>
          <w:p w14:paraId="6E4A021F" w14:textId="77777777" w:rsidR="007A71DF" w:rsidRPr="007A71DF" w:rsidRDefault="007A71DF" w:rsidP="007A71DF">
            <w:pPr>
              <w:jc w:val="center"/>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Data / Sensor</w:t>
            </w:r>
          </w:p>
        </w:tc>
        <w:tc>
          <w:tcPr>
            <w:tcW w:w="0" w:type="auto"/>
            <w:hideMark/>
          </w:tcPr>
          <w:p w14:paraId="28404697" w14:textId="77777777" w:rsidR="007A71DF" w:rsidRPr="007A71DF" w:rsidRDefault="007A71DF" w:rsidP="007A71DF">
            <w:pPr>
              <w:jc w:val="center"/>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Reported Performance</w:t>
            </w:r>
          </w:p>
        </w:tc>
      </w:tr>
      <w:tr w:rsidR="007A71DF" w:rsidRPr="007A71DF" w14:paraId="26BDA3DC" w14:textId="77777777" w:rsidTr="005C7535">
        <w:tc>
          <w:tcPr>
            <w:tcW w:w="0" w:type="auto"/>
            <w:hideMark/>
          </w:tcPr>
          <w:p w14:paraId="0054E87B"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Mastitis (subclinical)</w:t>
            </w:r>
          </w:p>
        </w:tc>
        <w:tc>
          <w:tcPr>
            <w:tcW w:w="0" w:type="auto"/>
            <w:hideMark/>
          </w:tcPr>
          <w:p w14:paraId="5467777F"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Ebrahimi et al. (2019)</w:t>
            </w:r>
          </w:p>
        </w:tc>
        <w:tc>
          <w:tcPr>
            <w:tcW w:w="0" w:type="auto"/>
            <w:hideMark/>
          </w:tcPr>
          <w:p w14:paraId="2060218D"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Deep learning; gradient boosting</w:t>
            </w:r>
          </w:p>
        </w:tc>
        <w:tc>
          <w:tcPr>
            <w:tcW w:w="0" w:type="auto"/>
            <w:hideMark/>
          </w:tcPr>
          <w:p w14:paraId="22F3DAFE"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AMS data; SCC</w:t>
            </w:r>
          </w:p>
        </w:tc>
        <w:tc>
          <w:tcPr>
            <w:tcW w:w="0" w:type="auto"/>
            <w:hideMark/>
          </w:tcPr>
          <w:p w14:paraId="002501AB"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AUC &gt; 0.85</w:t>
            </w:r>
          </w:p>
        </w:tc>
      </w:tr>
      <w:tr w:rsidR="007A71DF" w:rsidRPr="007A71DF" w14:paraId="7C2C83C6" w14:textId="77777777" w:rsidTr="005C7535">
        <w:tc>
          <w:tcPr>
            <w:tcW w:w="0" w:type="auto"/>
            <w:hideMark/>
          </w:tcPr>
          <w:p w14:paraId="5444053D"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 xml:space="preserve">Mastitis </w:t>
            </w:r>
            <w:r w:rsidRPr="007A71DF">
              <w:rPr>
                <w:rFonts w:ascii="Times New Roman" w:eastAsia="Times New Roman" w:hAnsi="Times New Roman" w:cs="Times New Roman"/>
                <w:sz w:val="24"/>
                <w:szCs w:val="24"/>
                <w:lang w:eastAsia="en-GB"/>
              </w:rPr>
              <w:lastRenderedPageBreak/>
              <w:t>(clinical)</w:t>
            </w:r>
          </w:p>
        </w:tc>
        <w:tc>
          <w:tcPr>
            <w:tcW w:w="0" w:type="auto"/>
            <w:hideMark/>
          </w:tcPr>
          <w:p w14:paraId="5089E6FA"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lastRenderedPageBreak/>
              <w:t xml:space="preserve">Kamphuis et </w:t>
            </w:r>
            <w:r w:rsidRPr="007A71DF">
              <w:rPr>
                <w:rFonts w:ascii="Times New Roman" w:eastAsia="Times New Roman" w:hAnsi="Times New Roman" w:cs="Times New Roman"/>
                <w:sz w:val="24"/>
                <w:szCs w:val="24"/>
                <w:lang w:eastAsia="en-GB"/>
              </w:rPr>
              <w:lastRenderedPageBreak/>
              <w:t>al. (2010)</w:t>
            </w:r>
          </w:p>
        </w:tc>
        <w:tc>
          <w:tcPr>
            <w:tcW w:w="0" w:type="auto"/>
            <w:hideMark/>
          </w:tcPr>
          <w:p w14:paraId="556EDB49"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lastRenderedPageBreak/>
              <w:t xml:space="preserve">Decision-tree </w:t>
            </w:r>
            <w:r w:rsidRPr="007A71DF">
              <w:rPr>
                <w:rFonts w:ascii="Times New Roman" w:eastAsia="Times New Roman" w:hAnsi="Times New Roman" w:cs="Times New Roman"/>
                <w:sz w:val="24"/>
                <w:szCs w:val="24"/>
                <w:lang w:eastAsia="en-GB"/>
              </w:rPr>
              <w:lastRenderedPageBreak/>
              <w:t>model</w:t>
            </w:r>
          </w:p>
        </w:tc>
        <w:tc>
          <w:tcPr>
            <w:tcW w:w="0" w:type="auto"/>
            <w:hideMark/>
          </w:tcPr>
          <w:p w14:paraId="18DF70E4"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lastRenderedPageBreak/>
              <w:t xml:space="preserve">AMS milking </w:t>
            </w:r>
            <w:r w:rsidRPr="007A71DF">
              <w:rPr>
                <w:rFonts w:ascii="Times New Roman" w:eastAsia="Times New Roman" w:hAnsi="Times New Roman" w:cs="Times New Roman"/>
                <w:sz w:val="24"/>
                <w:szCs w:val="24"/>
                <w:lang w:eastAsia="en-GB"/>
              </w:rPr>
              <w:lastRenderedPageBreak/>
              <w:t>parameters</w:t>
            </w:r>
          </w:p>
        </w:tc>
        <w:tc>
          <w:tcPr>
            <w:tcW w:w="0" w:type="auto"/>
            <w:hideMark/>
          </w:tcPr>
          <w:p w14:paraId="4EFA877C"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lastRenderedPageBreak/>
              <w:t xml:space="preserve">Prospectively </w:t>
            </w:r>
            <w:r w:rsidRPr="007A71DF">
              <w:rPr>
                <w:rFonts w:ascii="Times New Roman" w:eastAsia="Times New Roman" w:hAnsi="Times New Roman" w:cs="Times New Roman"/>
                <w:sz w:val="24"/>
                <w:szCs w:val="24"/>
                <w:lang w:eastAsia="en-GB"/>
              </w:rPr>
              <w:lastRenderedPageBreak/>
              <w:t>validated; farm-level performance variation noted</w:t>
            </w:r>
          </w:p>
        </w:tc>
      </w:tr>
      <w:tr w:rsidR="007A71DF" w:rsidRPr="007A71DF" w14:paraId="2A17228B" w14:textId="77777777" w:rsidTr="005C7535">
        <w:tc>
          <w:tcPr>
            <w:tcW w:w="0" w:type="auto"/>
            <w:hideMark/>
          </w:tcPr>
          <w:p w14:paraId="52C83A11"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lastRenderedPageBreak/>
              <w:t>Mastitis alert filtering</w:t>
            </w:r>
          </w:p>
        </w:tc>
        <w:tc>
          <w:tcPr>
            <w:tcW w:w="0" w:type="auto"/>
            <w:hideMark/>
          </w:tcPr>
          <w:p w14:paraId="666870D2" w14:textId="77777777" w:rsidR="007A71DF" w:rsidRPr="007A71DF" w:rsidRDefault="007A71DF" w:rsidP="007A71DF">
            <w:pPr>
              <w:rPr>
                <w:rFonts w:ascii="Times New Roman" w:eastAsia="Times New Roman" w:hAnsi="Times New Roman" w:cs="Times New Roman"/>
                <w:sz w:val="24"/>
                <w:szCs w:val="24"/>
                <w:lang w:eastAsia="en-GB"/>
              </w:rPr>
            </w:pPr>
            <w:proofErr w:type="spellStart"/>
            <w:r w:rsidRPr="007A71DF">
              <w:rPr>
                <w:rFonts w:ascii="Times New Roman" w:eastAsia="Times New Roman" w:hAnsi="Times New Roman" w:cs="Times New Roman"/>
                <w:sz w:val="24"/>
                <w:szCs w:val="24"/>
                <w:lang w:eastAsia="en-GB"/>
              </w:rPr>
              <w:t>Steeneveld</w:t>
            </w:r>
            <w:proofErr w:type="spellEnd"/>
            <w:r w:rsidRPr="007A71DF">
              <w:rPr>
                <w:rFonts w:ascii="Times New Roman" w:eastAsia="Times New Roman" w:hAnsi="Times New Roman" w:cs="Times New Roman"/>
                <w:sz w:val="24"/>
                <w:szCs w:val="24"/>
                <w:lang w:eastAsia="en-GB"/>
              </w:rPr>
              <w:t xml:space="preserve"> et al. (2010)</w:t>
            </w:r>
          </w:p>
        </w:tc>
        <w:tc>
          <w:tcPr>
            <w:tcW w:w="0" w:type="auto"/>
            <w:hideMark/>
          </w:tcPr>
          <w:p w14:paraId="4FBD0F8A"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Decision-tree filtering model</w:t>
            </w:r>
          </w:p>
        </w:tc>
        <w:tc>
          <w:tcPr>
            <w:tcW w:w="0" w:type="auto"/>
            <w:hideMark/>
          </w:tcPr>
          <w:p w14:paraId="230A0683"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AMS alert data and cow-level information</w:t>
            </w:r>
          </w:p>
        </w:tc>
        <w:tc>
          <w:tcPr>
            <w:tcW w:w="0" w:type="auto"/>
            <w:hideMark/>
          </w:tcPr>
          <w:p w14:paraId="52A8A036"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Significant false-positive reduction</w:t>
            </w:r>
          </w:p>
        </w:tc>
      </w:tr>
      <w:tr w:rsidR="007A71DF" w:rsidRPr="007A71DF" w14:paraId="7289CFC1" w14:textId="77777777" w:rsidTr="005C7535">
        <w:tc>
          <w:tcPr>
            <w:tcW w:w="0" w:type="auto"/>
            <w:hideMark/>
          </w:tcPr>
          <w:p w14:paraId="5494E9B0"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Lameness</w:t>
            </w:r>
          </w:p>
        </w:tc>
        <w:tc>
          <w:tcPr>
            <w:tcW w:w="0" w:type="auto"/>
            <w:hideMark/>
          </w:tcPr>
          <w:p w14:paraId="6FD5F1CE"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 xml:space="preserve">Van </w:t>
            </w:r>
            <w:proofErr w:type="spellStart"/>
            <w:r w:rsidRPr="007A71DF">
              <w:rPr>
                <w:rFonts w:ascii="Times New Roman" w:eastAsia="Times New Roman" w:hAnsi="Times New Roman" w:cs="Times New Roman"/>
                <w:sz w:val="24"/>
                <w:szCs w:val="24"/>
                <w:lang w:eastAsia="en-GB"/>
              </w:rPr>
              <w:t>Hertem</w:t>
            </w:r>
            <w:proofErr w:type="spellEnd"/>
            <w:r w:rsidRPr="007A71DF">
              <w:rPr>
                <w:rFonts w:ascii="Times New Roman" w:eastAsia="Times New Roman" w:hAnsi="Times New Roman" w:cs="Times New Roman"/>
                <w:sz w:val="24"/>
                <w:szCs w:val="24"/>
                <w:lang w:eastAsia="en-GB"/>
              </w:rPr>
              <w:t xml:space="preserve"> et al. (2018)</w:t>
            </w:r>
          </w:p>
        </w:tc>
        <w:tc>
          <w:tcPr>
            <w:tcW w:w="0" w:type="auto"/>
            <w:hideMark/>
          </w:tcPr>
          <w:p w14:paraId="7DAA691D"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3D vision + image feature extraction</w:t>
            </w:r>
          </w:p>
        </w:tc>
        <w:tc>
          <w:tcPr>
            <w:tcW w:w="0" w:type="auto"/>
            <w:hideMark/>
          </w:tcPr>
          <w:p w14:paraId="0D8F725A"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Depth camera (commercial farm)</w:t>
            </w:r>
          </w:p>
        </w:tc>
        <w:tc>
          <w:tcPr>
            <w:tcW w:w="0" w:type="auto"/>
            <w:hideMark/>
          </w:tcPr>
          <w:p w14:paraId="5322A110"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Automated locomotion assessment feasible at herd scale; environmental sensitivity noted</w:t>
            </w:r>
          </w:p>
        </w:tc>
      </w:tr>
      <w:tr w:rsidR="007A71DF" w:rsidRPr="007A71DF" w14:paraId="7B9D634E" w14:textId="77777777" w:rsidTr="005C7535">
        <w:tc>
          <w:tcPr>
            <w:tcW w:w="0" w:type="auto"/>
            <w:hideMark/>
          </w:tcPr>
          <w:p w14:paraId="2BF4235D"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Lameness</w:t>
            </w:r>
          </w:p>
        </w:tc>
        <w:tc>
          <w:tcPr>
            <w:tcW w:w="0" w:type="auto"/>
            <w:hideMark/>
          </w:tcPr>
          <w:p w14:paraId="4FFD7130" w14:textId="77777777" w:rsidR="007A71DF" w:rsidRPr="007A71DF" w:rsidRDefault="007A71DF" w:rsidP="007A71DF">
            <w:pPr>
              <w:rPr>
                <w:rFonts w:ascii="Times New Roman" w:eastAsia="Times New Roman" w:hAnsi="Times New Roman" w:cs="Times New Roman"/>
                <w:sz w:val="24"/>
                <w:szCs w:val="24"/>
                <w:lang w:eastAsia="en-GB"/>
              </w:rPr>
            </w:pPr>
            <w:proofErr w:type="spellStart"/>
            <w:r w:rsidRPr="007A71DF">
              <w:rPr>
                <w:rFonts w:ascii="Times New Roman" w:eastAsia="Times New Roman" w:hAnsi="Times New Roman" w:cs="Times New Roman"/>
                <w:sz w:val="24"/>
                <w:szCs w:val="24"/>
                <w:lang w:eastAsia="en-GB"/>
              </w:rPr>
              <w:t>Alsaaod</w:t>
            </w:r>
            <w:proofErr w:type="spellEnd"/>
            <w:r w:rsidRPr="007A71DF">
              <w:rPr>
                <w:rFonts w:ascii="Times New Roman" w:eastAsia="Times New Roman" w:hAnsi="Times New Roman" w:cs="Times New Roman"/>
                <w:sz w:val="24"/>
                <w:szCs w:val="24"/>
                <w:lang w:eastAsia="en-GB"/>
              </w:rPr>
              <w:t xml:space="preserve"> et al. (2015)</w:t>
            </w:r>
          </w:p>
        </w:tc>
        <w:tc>
          <w:tcPr>
            <w:tcW w:w="0" w:type="auto"/>
            <w:hideMark/>
          </w:tcPr>
          <w:p w14:paraId="48EC2670"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Thermographic feature analysis (review)</w:t>
            </w:r>
          </w:p>
        </w:tc>
        <w:tc>
          <w:tcPr>
            <w:tcW w:w="0" w:type="auto"/>
            <w:hideMark/>
          </w:tcPr>
          <w:p w14:paraId="268B7506"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Infrared camera</w:t>
            </w:r>
          </w:p>
        </w:tc>
        <w:tc>
          <w:tcPr>
            <w:tcW w:w="0" w:type="auto"/>
            <w:hideMark/>
          </w:tcPr>
          <w:p w14:paraId="4F1534F4"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Skin temperature differences between lame and non-lame limbs detectable</w:t>
            </w:r>
          </w:p>
        </w:tc>
      </w:tr>
      <w:tr w:rsidR="007A71DF" w:rsidRPr="007A71DF" w14:paraId="00634D33" w14:textId="77777777" w:rsidTr="005C7535">
        <w:tc>
          <w:tcPr>
            <w:tcW w:w="0" w:type="auto"/>
            <w:hideMark/>
          </w:tcPr>
          <w:p w14:paraId="5FF7B267"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Lameness (force plate)</w:t>
            </w:r>
          </w:p>
        </w:tc>
        <w:tc>
          <w:tcPr>
            <w:tcW w:w="0" w:type="auto"/>
            <w:hideMark/>
          </w:tcPr>
          <w:p w14:paraId="3C83F80E" w14:textId="77777777" w:rsidR="007A71DF" w:rsidRPr="007A71DF" w:rsidRDefault="007A71DF" w:rsidP="007A71DF">
            <w:pPr>
              <w:rPr>
                <w:rFonts w:ascii="Times New Roman" w:eastAsia="Times New Roman" w:hAnsi="Times New Roman" w:cs="Times New Roman"/>
                <w:sz w:val="24"/>
                <w:szCs w:val="24"/>
                <w:lang w:eastAsia="en-GB"/>
              </w:rPr>
            </w:pPr>
            <w:proofErr w:type="spellStart"/>
            <w:r w:rsidRPr="007A71DF">
              <w:rPr>
                <w:rFonts w:ascii="Times New Roman" w:eastAsia="Times New Roman" w:hAnsi="Times New Roman" w:cs="Times New Roman"/>
                <w:sz w:val="24"/>
                <w:szCs w:val="24"/>
                <w:lang w:eastAsia="en-GB"/>
              </w:rPr>
              <w:t>Ghotoorlar</w:t>
            </w:r>
            <w:proofErr w:type="spellEnd"/>
            <w:r w:rsidRPr="007A71DF">
              <w:rPr>
                <w:rFonts w:ascii="Times New Roman" w:eastAsia="Times New Roman" w:hAnsi="Times New Roman" w:cs="Times New Roman"/>
                <w:sz w:val="24"/>
                <w:szCs w:val="24"/>
                <w:lang w:eastAsia="en-GB"/>
              </w:rPr>
              <w:t xml:space="preserve"> et al. (2012)</w:t>
            </w:r>
          </w:p>
        </w:tc>
        <w:tc>
          <w:tcPr>
            <w:tcW w:w="0" w:type="auto"/>
            <w:hideMark/>
          </w:tcPr>
          <w:p w14:paraId="2DCFF45F"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ANN + force plates</w:t>
            </w:r>
          </w:p>
        </w:tc>
        <w:tc>
          <w:tcPr>
            <w:tcW w:w="0" w:type="auto"/>
            <w:hideMark/>
          </w:tcPr>
          <w:p w14:paraId="1DDEBEB3"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Instrumented walkway</w:t>
            </w:r>
          </w:p>
        </w:tc>
        <w:tc>
          <w:tcPr>
            <w:tcW w:w="0" w:type="auto"/>
            <w:hideMark/>
          </w:tcPr>
          <w:p w14:paraId="054698DF"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Sensitivity and specificity &gt;72% in most locomotion groups; high repeatability vs subjective scoring</w:t>
            </w:r>
          </w:p>
        </w:tc>
      </w:tr>
      <w:tr w:rsidR="007A71DF" w:rsidRPr="007A71DF" w14:paraId="55386E82" w14:textId="77777777" w:rsidTr="005C7535">
        <w:tc>
          <w:tcPr>
            <w:tcW w:w="0" w:type="auto"/>
            <w:hideMark/>
          </w:tcPr>
          <w:p w14:paraId="7C955B1D"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Subclinical ketosis</w:t>
            </w:r>
          </w:p>
        </w:tc>
        <w:tc>
          <w:tcPr>
            <w:tcW w:w="0" w:type="auto"/>
            <w:hideMark/>
          </w:tcPr>
          <w:p w14:paraId="08D57395"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Xu et al. (2019)</w:t>
            </w:r>
          </w:p>
        </w:tc>
        <w:tc>
          <w:tcPr>
            <w:tcW w:w="0" w:type="auto"/>
            <w:hideMark/>
          </w:tcPr>
          <w:p w14:paraId="7FBFC95B"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Random forest; ANN</w:t>
            </w:r>
          </w:p>
        </w:tc>
        <w:tc>
          <w:tcPr>
            <w:tcW w:w="0" w:type="auto"/>
            <w:hideMark/>
          </w:tcPr>
          <w:p w14:paraId="7B9CAB08"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AMS data; milk MIR</w:t>
            </w:r>
          </w:p>
        </w:tc>
        <w:tc>
          <w:tcPr>
            <w:tcW w:w="0" w:type="auto"/>
            <w:hideMark/>
          </w:tcPr>
          <w:p w14:paraId="445A3F3A"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Competitive AUC; validated on commercial farms</w:t>
            </w:r>
          </w:p>
        </w:tc>
      </w:tr>
      <w:tr w:rsidR="007A71DF" w:rsidRPr="007A71DF" w14:paraId="79A2656F" w14:textId="77777777" w:rsidTr="005C7535">
        <w:tc>
          <w:tcPr>
            <w:tcW w:w="0" w:type="auto"/>
            <w:hideMark/>
          </w:tcPr>
          <w:p w14:paraId="70F45447"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Culling / longevity prediction</w:t>
            </w:r>
          </w:p>
        </w:tc>
        <w:tc>
          <w:tcPr>
            <w:tcW w:w="0" w:type="auto"/>
            <w:hideMark/>
          </w:tcPr>
          <w:p w14:paraId="68522CF0"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Adamczyk et al. (2021)</w:t>
            </w:r>
          </w:p>
        </w:tc>
        <w:tc>
          <w:tcPr>
            <w:tcW w:w="0" w:type="auto"/>
            <w:hideMark/>
          </w:tcPr>
          <w:p w14:paraId="3392EAD9"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ANN + discriminant analysis</w:t>
            </w:r>
          </w:p>
        </w:tc>
        <w:tc>
          <w:tcPr>
            <w:tcW w:w="0" w:type="auto"/>
            <w:hideMark/>
          </w:tcPr>
          <w:p w14:paraId="264863BF"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First-lactation performance records</w:t>
            </w:r>
          </w:p>
        </w:tc>
        <w:tc>
          <w:tcPr>
            <w:tcW w:w="0" w:type="auto"/>
            <w:hideMark/>
          </w:tcPr>
          <w:p w14:paraId="422752DB"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ANN superior to linear discriminant analysis; high correct classification for culling due to age and reproduction</w:t>
            </w:r>
          </w:p>
        </w:tc>
      </w:tr>
      <w:tr w:rsidR="007A71DF" w:rsidRPr="007A71DF" w14:paraId="7071358B" w14:textId="77777777" w:rsidTr="005C7535">
        <w:tc>
          <w:tcPr>
            <w:tcW w:w="0" w:type="auto"/>
            <w:hideMark/>
          </w:tcPr>
          <w:p w14:paraId="661A5745"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Bovine respiratory disease</w:t>
            </w:r>
          </w:p>
        </w:tc>
        <w:tc>
          <w:tcPr>
            <w:tcW w:w="0" w:type="auto"/>
            <w:hideMark/>
          </w:tcPr>
          <w:p w14:paraId="1B92ED53"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Vandermeulen et al. (2016)</w:t>
            </w:r>
          </w:p>
        </w:tc>
        <w:tc>
          <w:tcPr>
            <w:tcW w:w="0" w:type="auto"/>
            <w:hideMark/>
          </w:tcPr>
          <w:p w14:paraId="6EA75B45"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SVM</w:t>
            </w:r>
          </w:p>
        </w:tc>
        <w:tc>
          <w:tcPr>
            <w:tcW w:w="0" w:type="auto"/>
            <w:hideMark/>
          </w:tcPr>
          <w:p w14:paraId="25656945"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Acoustic (cough) sensors</w:t>
            </w:r>
          </w:p>
        </w:tc>
        <w:tc>
          <w:tcPr>
            <w:tcW w:w="0" w:type="auto"/>
            <w:hideMark/>
          </w:tcPr>
          <w:p w14:paraId="3E8431A4"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Promising sensitivity in experimental setting; barn noise sensitivity noted</w:t>
            </w:r>
          </w:p>
        </w:tc>
      </w:tr>
      <w:tr w:rsidR="007A71DF" w:rsidRPr="007A71DF" w14:paraId="0A4BBA07" w14:textId="77777777" w:rsidTr="005C7535">
        <w:tc>
          <w:tcPr>
            <w:tcW w:w="0" w:type="auto"/>
            <w:hideMark/>
          </w:tcPr>
          <w:p w14:paraId="422014F3"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BCS estimation (3D)</w:t>
            </w:r>
          </w:p>
        </w:tc>
        <w:tc>
          <w:tcPr>
            <w:tcW w:w="0" w:type="auto"/>
            <w:hideMark/>
          </w:tcPr>
          <w:p w14:paraId="63D08711"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Song et al. (2019)</w:t>
            </w:r>
          </w:p>
        </w:tc>
        <w:tc>
          <w:tcPr>
            <w:tcW w:w="0" w:type="auto"/>
            <w:hideMark/>
          </w:tcPr>
          <w:p w14:paraId="51DA7A61"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ML + 3D depth camera</w:t>
            </w:r>
          </w:p>
        </w:tc>
        <w:tc>
          <w:tcPr>
            <w:tcW w:w="0" w:type="auto"/>
            <w:hideMark/>
          </w:tcPr>
          <w:p w14:paraId="4595C7F6"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Depth camera; multiple body regions</w:t>
            </w:r>
          </w:p>
        </w:tc>
        <w:tc>
          <w:tcPr>
            <w:tcW w:w="0" w:type="auto"/>
            <w:hideMark/>
          </w:tcPr>
          <w:p w14:paraId="1E24F15A"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Agreement with expert scores comparable to inter-observer agreement</w:t>
            </w:r>
          </w:p>
        </w:tc>
      </w:tr>
      <w:tr w:rsidR="007A71DF" w:rsidRPr="007A71DF" w14:paraId="5D60BB0E" w14:textId="77777777" w:rsidTr="005C7535">
        <w:tc>
          <w:tcPr>
            <w:tcW w:w="0" w:type="auto"/>
            <w:hideMark/>
          </w:tcPr>
          <w:p w14:paraId="162C5817"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Body weight / BCS (review)</w:t>
            </w:r>
          </w:p>
        </w:tc>
        <w:tc>
          <w:tcPr>
            <w:tcW w:w="0" w:type="auto"/>
            <w:hideMark/>
          </w:tcPr>
          <w:p w14:paraId="3E3C3103"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Qiao et al. (2021)</w:t>
            </w:r>
          </w:p>
        </w:tc>
        <w:tc>
          <w:tcPr>
            <w:tcW w:w="0" w:type="auto"/>
            <w:hideMark/>
          </w:tcPr>
          <w:p w14:paraId="263124F2"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ML + 3D vision (review)</w:t>
            </w:r>
          </w:p>
        </w:tc>
        <w:tc>
          <w:tcPr>
            <w:tcW w:w="0" w:type="auto"/>
            <w:hideMark/>
          </w:tcPr>
          <w:p w14:paraId="46631E1F"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Depth camera</w:t>
            </w:r>
          </w:p>
        </w:tc>
        <w:tc>
          <w:tcPr>
            <w:tcW w:w="0" w:type="auto"/>
            <w:hideMark/>
          </w:tcPr>
          <w:p w14:paraId="63876CAB"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Body weight MAE approximately ≤20 kg in best-performing systems</w:t>
            </w:r>
          </w:p>
        </w:tc>
      </w:tr>
      <w:tr w:rsidR="007A71DF" w:rsidRPr="007A71DF" w14:paraId="206DB7C6" w14:textId="77777777" w:rsidTr="005C7535">
        <w:tc>
          <w:tcPr>
            <w:tcW w:w="0" w:type="auto"/>
            <w:hideMark/>
          </w:tcPr>
          <w:p w14:paraId="62F4E73E"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Individual cow detection</w:t>
            </w:r>
          </w:p>
        </w:tc>
        <w:tc>
          <w:tcPr>
            <w:tcW w:w="0" w:type="auto"/>
            <w:hideMark/>
          </w:tcPr>
          <w:p w14:paraId="68582996"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Tassinari et al. (2021)</w:t>
            </w:r>
          </w:p>
        </w:tc>
        <w:tc>
          <w:tcPr>
            <w:tcW w:w="0" w:type="auto"/>
            <w:hideMark/>
          </w:tcPr>
          <w:p w14:paraId="19404732"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CNN (deep learning)</w:t>
            </w:r>
          </w:p>
        </w:tc>
        <w:tc>
          <w:tcPr>
            <w:tcW w:w="0" w:type="auto"/>
            <w:hideMark/>
          </w:tcPr>
          <w:p w14:paraId="51F80BA0"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 xml:space="preserve">Standard camera; </w:t>
            </w:r>
            <w:proofErr w:type="spellStart"/>
            <w:r w:rsidRPr="007A71DF">
              <w:rPr>
                <w:rFonts w:ascii="Times New Roman" w:eastAsia="Times New Roman" w:hAnsi="Times New Roman" w:cs="Times New Roman"/>
                <w:sz w:val="24"/>
                <w:szCs w:val="24"/>
                <w:lang w:eastAsia="en-GB"/>
              </w:rPr>
              <w:t>freestall</w:t>
            </w:r>
            <w:proofErr w:type="spellEnd"/>
            <w:r w:rsidRPr="007A71DF">
              <w:rPr>
                <w:rFonts w:ascii="Times New Roman" w:eastAsia="Times New Roman" w:hAnsi="Times New Roman" w:cs="Times New Roman"/>
                <w:sz w:val="24"/>
                <w:szCs w:val="24"/>
                <w:lang w:eastAsia="en-GB"/>
              </w:rPr>
              <w:t xml:space="preserve"> barn</w:t>
            </w:r>
          </w:p>
        </w:tc>
        <w:tc>
          <w:tcPr>
            <w:tcW w:w="0" w:type="auto"/>
            <w:hideMark/>
          </w:tcPr>
          <w:p w14:paraId="33E2D763"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Reliable individual cow detection and tracking under commercial conditions</w:t>
            </w:r>
          </w:p>
        </w:tc>
      </w:tr>
    </w:tbl>
    <w:p w14:paraId="2C2FF35C"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i/>
          <w:iCs/>
          <w:sz w:val="24"/>
          <w:szCs w:val="24"/>
          <w:lang w:eastAsia="en-GB"/>
        </w:rPr>
        <w:lastRenderedPageBreak/>
        <w:t xml:space="preserve">Sources: Ebrahimi et al. (2019); Kamphuis et al. (2010); </w:t>
      </w:r>
      <w:proofErr w:type="spellStart"/>
      <w:r w:rsidRPr="007A71DF">
        <w:rPr>
          <w:rFonts w:ascii="Times New Roman" w:eastAsia="Times New Roman" w:hAnsi="Times New Roman" w:cs="Times New Roman"/>
          <w:i/>
          <w:iCs/>
          <w:sz w:val="24"/>
          <w:szCs w:val="24"/>
          <w:lang w:eastAsia="en-GB"/>
        </w:rPr>
        <w:t>Steeneveld</w:t>
      </w:r>
      <w:proofErr w:type="spellEnd"/>
      <w:r w:rsidRPr="007A71DF">
        <w:rPr>
          <w:rFonts w:ascii="Times New Roman" w:eastAsia="Times New Roman" w:hAnsi="Times New Roman" w:cs="Times New Roman"/>
          <w:i/>
          <w:iCs/>
          <w:sz w:val="24"/>
          <w:szCs w:val="24"/>
          <w:lang w:eastAsia="en-GB"/>
        </w:rPr>
        <w:t xml:space="preserve"> et al. (2010); Van </w:t>
      </w:r>
      <w:proofErr w:type="spellStart"/>
      <w:r w:rsidRPr="007A71DF">
        <w:rPr>
          <w:rFonts w:ascii="Times New Roman" w:eastAsia="Times New Roman" w:hAnsi="Times New Roman" w:cs="Times New Roman"/>
          <w:i/>
          <w:iCs/>
          <w:sz w:val="24"/>
          <w:szCs w:val="24"/>
          <w:lang w:eastAsia="en-GB"/>
        </w:rPr>
        <w:t>Hertem</w:t>
      </w:r>
      <w:proofErr w:type="spellEnd"/>
      <w:r w:rsidRPr="007A71DF">
        <w:rPr>
          <w:rFonts w:ascii="Times New Roman" w:eastAsia="Times New Roman" w:hAnsi="Times New Roman" w:cs="Times New Roman"/>
          <w:i/>
          <w:iCs/>
          <w:sz w:val="24"/>
          <w:szCs w:val="24"/>
          <w:lang w:eastAsia="en-GB"/>
        </w:rPr>
        <w:t xml:space="preserve"> et al. (2018); </w:t>
      </w:r>
      <w:proofErr w:type="spellStart"/>
      <w:r w:rsidRPr="007A71DF">
        <w:rPr>
          <w:rFonts w:ascii="Times New Roman" w:eastAsia="Times New Roman" w:hAnsi="Times New Roman" w:cs="Times New Roman"/>
          <w:i/>
          <w:iCs/>
          <w:sz w:val="24"/>
          <w:szCs w:val="24"/>
          <w:lang w:eastAsia="en-GB"/>
        </w:rPr>
        <w:t>Alsaaod</w:t>
      </w:r>
      <w:proofErr w:type="spellEnd"/>
      <w:r w:rsidRPr="007A71DF">
        <w:rPr>
          <w:rFonts w:ascii="Times New Roman" w:eastAsia="Times New Roman" w:hAnsi="Times New Roman" w:cs="Times New Roman"/>
          <w:i/>
          <w:iCs/>
          <w:sz w:val="24"/>
          <w:szCs w:val="24"/>
          <w:lang w:eastAsia="en-GB"/>
        </w:rPr>
        <w:t xml:space="preserve"> et al. (2015); </w:t>
      </w:r>
      <w:proofErr w:type="spellStart"/>
      <w:r w:rsidRPr="007A71DF">
        <w:rPr>
          <w:rFonts w:ascii="Times New Roman" w:eastAsia="Times New Roman" w:hAnsi="Times New Roman" w:cs="Times New Roman"/>
          <w:i/>
          <w:iCs/>
          <w:sz w:val="24"/>
          <w:szCs w:val="24"/>
          <w:lang w:eastAsia="en-GB"/>
        </w:rPr>
        <w:t>Ghotoorlar</w:t>
      </w:r>
      <w:proofErr w:type="spellEnd"/>
      <w:r w:rsidRPr="007A71DF">
        <w:rPr>
          <w:rFonts w:ascii="Times New Roman" w:eastAsia="Times New Roman" w:hAnsi="Times New Roman" w:cs="Times New Roman"/>
          <w:i/>
          <w:iCs/>
          <w:sz w:val="24"/>
          <w:szCs w:val="24"/>
          <w:lang w:eastAsia="en-GB"/>
        </w:rPr>
        <w:t xml:space="preserve"> et al. (2012); Xu et al. (2019); Adamczyk et al. (2021); Vandermeulen et al. (2016); Song et al. (2019); Qiao et al. (2021); Tassinari et al. (2021).</w:t>
      </w:r>
    </w:p>
    <w:p w14:paraId="4697CE63" w14:textId="77777777" w:rsidR="007A71DF" w:rsidRPr="007A71DF" w:rsidRDefault="007A71DF" w:rsidP="007A71DF">
      <w:pPr>
        <w:spacing w:after="0" w:line="240" w:lineRule="auto"/>
        <w:rPr>
          <w:rFonts w:ascii="Times New Roman" w:eastAsia="Times New Roman" w:hAnsi="Times New Roman" w:cs="Times New Roman"/>
          <w:sz w:val="24"/>
          <w:szCs w:val="24"/>
          <w:lang w:eastAsia="en-GB"/>
        </w:rPr>
      </w:pPr>
    </w:p>
    <w:p w14:paraId="48D58E1F" w14:textId="77777777" w:rsidR="007A71DF" w:rsidRPr="007A71DF" w:rsidRDefault="007A71DF" w:rsidP="007A71DF">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7A71DF">
        <w:rPr>
          <w:rFonts w:ascii="Times New Roman" w:eastAsia="Times New Roman" w:hAnsi="Times New Roman" w:cs="Times New Roman"/>
          <w:b/>
          <w:bCs/>
          <w:sz w:val="27"/>
          <w:szCs w:val="27"/>
          <w:lang w:eastAsia="en-GB"/>
        </w:rPr>
        <w:t>6. Sensor Technologies and Data Acquisition</w:t>
      </w:r>
    </w:p>
    <w:p w14:paraId="43BA1327" w14:textId="77777777" w:rsidR="007A71DF" w:rsidRPr="007A71DF" w:rsidRDefault="007A71DF" w:rsidP="007A71DF">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6.1 Wearable and Implantable Sensors</w:t>
      </w:r>
    </w:p>
    <w:p w14:paraId="547D9B7B"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 xml:space="preserve">The commercial wearable sensor market for dairy cattle has expanded rapidly over the past decade, now offering systems for activity monitoring, rumination recording, oestrus detection, and body temperature measurement, among others. </w:t>
      </w:r>
      <w:proofErr w:type="spellStart"/>
      <w:r w:rsidRPr="007A71DF">
        <w:rPr>
          <w:rFonts w:ascii="Times New Roman" w:eastAsia="Times New Roman" w:hAnsi="Times New Roman" w:cs="Times New Roman"/>
          <w:sz w:val="24"/>
          <w:szCs w:val="24"/>
          <w:lang w:eastAsia="en-GB"/>
        </w:rPr>
        <w:t>Neethirajan</w:t>
      </w:r>
      <w:proofErr w:type="spellEnd"/>
      <w:r w:rsidRPr="007A71DF">
        <w:rPr>
          <w:rFonts w:ascii="Times New Roman" w:eastAsia="Times New Roman" w:hAnsi="Times New Roman" w:cs="Times New Roman"/>
          <w:sz w:val="24"/>
          <w:szCs w:val="24"/>
          <w:lang w:eastAsia="en-GB"/>
        </w:rPr>
        <w:t xml:space="preserve"> (2017) surveyed the landscape in detail, emphasising that data quality and clinical value depend critically on sensor placement, attachment security, and calibration protocols suited to the rigours of intensive farm environments. The trend toward integrating multiple modalities in a single device—combining </w:t>
      </w:r>
      <w:proofErr w:type="spellStart"/>
      <w:r w:rsidRPr="007A71DF">
        <w:rPr>
          <w:rFonts w:ascii="Times New Roman" w:eastAsia="Times New Roman" w:hAnsi="Times New Roman" w:cs="Times New Roman"/>
          <w:sz w:val="24"/>
          <w:szCs w:val="24"/>
          <w:lang w:eastAsia="en-GB"/>
        </w:rPr>
        <w:t>accelerometry</w:t>
      </w:r>
      <w:proofErr w:type="spellEnd"/>
      <w:r w:rsidRPr="007A71DF">
        <w:rPr>
          <w:rFonts w:ascii="Times New Roman" w:eastAsia="Times New Roman" w:hAnsi="Times New Roman" w:cs="Times New Roman"/>
          <w:sz w:val="24"/>
          <w:szCs w:val="24"/>
          <w:lang w:eastAsia="en-GB"/>
        </w:rPr>
        <w:t>, temperature, and rumination detection in one collar or ear tag—promises richer data, though it adds complexity to downstream analysis.</w:t>
      </w:r>
    </w:p>
    <w:p w14:paraId="71C28F21"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 xml:space="preserve">Rumen boluses that continuously transmit temperature and pH data have attracted growing interest as early disease detectors, given that ruminal temperature reflects systemic inflammation and acidotic episodes accompanying both metabolic and infectious disease. </w:t>
      </w:r>
      <w:proofErr w:type="spellStart"/>
      <w:r w:rsidRPr="007A71DF">
        <w:rPr>
          <w:rFonts w:ascii="Times New Roman" w:eastAsia="Times New Roman" w:hAnsi="Times New Roman" w:cs="Times New Roman"/>
          <w:sz w:val="24"/>
          <w:szCs w:val="24"/>
          <w:lang w:eastAsia="en-GB"/>
        </w:rPr>
        <w:t>Neethirajan</w:t>
      </w:r>
      <w:proofErr w:type="spellEnd"/>
      <w:r w:rsidRPr="007A71DF">
        <w:rPr>
          <w:rFonts w:ascii="Times New Roman" w:eastAsia="Times New Roman" w:hAnsi="Times New Roman" w:cs="Times New Roman"/>
          <w:sz w:val="24"/>
          <w:szCs w:val="24"/>
          <w:lang w:eastAsia="en-GB"/>
        </w:rPr>
        <w:t xml:space="preserve"> and Kemp (2021) reviewed the digital livestock farming landscape, identifying IoT-integrated boluses and smart ear tags as among the most promising near-term developments, and highlighting edge computing—processing data close to the source rather than in the cloud—as a way to reduce communication bandwidth needs and improve alert latency. </w:t>
      </w:r>
      <w:r>
        <w:rPr>
          <w:rFonts w:ascii="Times New Roman" w:eastAsia="Times New Roman" w:hAnsi="Times New Roman" w:cs="Times New Roman"/>
          <w:sz w:val="24"/>
          <w:szCs w:val="24"/>
          <w:lang w:eastAsia="en-GB"/>
        </w:rPr>
        <w:t>Werner et al. (2018)</w:t>
      </w:r>
      <w:r w:rsidRPr="007A71DF">
        <w:rPr>
          <w:rFonts w:ascii="Times New Roman" w:eastAsia="Times New Roman" w:hAnsi="Times New Roman" w:cs="Times New Roman"/>
          <w:sz w:val="24"/>
          <w:szCs w:val="24"/>
          <w:lang w:eastAsia="en-GB"/>
        </w:rPr>
        <w:t xml:space="preserve"> showed that commercially available automatic monitoring systems can detect changes in lying behaviour and feeding patterns consistent with health-relevant stress, extending wearable sensor utility beyond direct disease detection to broader environmental health monitoring.</w:t>
      </w:r>
    </w:p>
    <w:p w14:paraId="4FF9CFD6"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 xml:space="preserve">Leg-mounted accelerometers and pedometers have the deepest commercial evidence base among wearable sensors. </w:t>
      </w:r>
      <w:proofErr w:type="spellStart"/>
      <w:r w:rsidRPr="007A71DF">
        <w:rPr>
          <w:rFonts w:ascii="Times New Roman" w:eastAsia="Times New Roman" w:hAnsi="Times New Roman" w:cs="Times New Roman"/>
          <w:sz w:val="24"/>
          <w:szCs w:val="24"/>
          <w:lang w:eastAsia="en-GB"/>
        </w:rPr>
        <w:t>Riaboff</w:t>
      </w:r>
      <w:proofErr w:type="spellEnd"/>
      <w:r w:rsidRPr="007A71DF">
        <w:rPr>
          <w:rFonts w:ascii="Times New Roman" w:eastAsia="Times New Roman" w:hAnsi="Times New Roman" w:cs="Times New Roman"/>
          <w:sz w:val="24"/>
          <w:szCs w:val="24"/>
          <w:lang w:eastAsia="en-GB"/>
        </w:rPr>
        <w:t xml:space="preserve"> et al. (2022) systematically reviewed data processing techniques for ruminant behaviour prediction from raw accelerometer data, cataloguing time-domain, frequency-domain, and wavelet-based feature extraction strategies alongside the classification algorithms that have been paired with them. A central finding was that the lack of standardisation in feature engineering remains a substantial obstacle to cross-study comparison—a methodological gap the field has yet to adequately address.</w:t>
      </w:r>
    </w:p>
    <w:p w14:paraId="3DA71F7B" w14:textId="77777777" w:rsidR="007A71DF" w:rsidRPr="007A71DF" w:rsidRDefault="007A71DF" w:rsidP="007A71DF">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6.2 Image-Based Approaches</w:t>
      </w:r>
    </w:p>
    <w:p w14:paraId="4F6F8A40"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Computer vision and thermal imaging have matured rapidly as dairy disease detection modalities. Pre-trained deep learning models, combined with falling camera costs, have lowered the barrier to image-based health monitoring systems. Bewley et al. (2008) established early evidence for BCS estimation from digital photographs, and subsequent 3D depth-camera work—providing both RGB images and point-cloud representations of animal morphology—has substantially improved automated BCS and body weight estimation accuracy.</w:t>
      </w:r>
    </w:p>
    <w:p w14:paraId="0517878E"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lastRenderedPageBreak/>
        <w:t xml:space="preserve">Infrared thermography has attracted particular attention as a non-contact tool for detecting local tissue temperature elevations associated with infection, inflammation, and vascular change. </w:t>
      </w:r>
      <w:proofErr w:type="spellStart"/>
      <w:r w:rsidRPr="007A71DF">
        <w:rPr>
          <w:rFonts w:ascii="Times New Roman" w:eastAsia="Times New Roman" w:hAnsi="Times New Roman" w:cs="Times New Roman"/>
          <w:sz w:val="24"/>
          <w:szCs w:val="24"/>
          <w:lang w:eastAsia="en-GB"/>
        </w:rPr>
        <w:t>Halachmi</w:t>
      </w:r>
      <w:proofErr w:type="spellEnd"/>
      <w:r w:rsidRPr="007A71DF">
        <w:rPr>
          <w:rFonts w:ascii="Times New Roman" w:eastAsia="Times New Roman" w:hAnsi="Times New Roman" w:cs="Times New Roman"/>
          <w:sz w:val="24"/>
          <w:szCs w:val="24"/>
          <w:lang w:eastAsia="en-GB"/>
        </w:rPr>
        <w:t xml:space="preserve"> et al. (2013) showed automated BCS estimation from thermal images was feasible, while </w:t>
      </w:r>
      <w:proofErr w:type="spellStart"/>
      <w:r w:rsidRPr="007A71DF">
        <w:rPr>
          <w:rFonts w:ascii="Times New Roman" w:eastAsia="Times New Roman" w:hAnsi="Times New Roman" w:cs="Times New Roman"/>
          <w:sz w:val="24"/>
          <w:szCs w:val="24"/>
          <w:lang w:eastAsia="en-GB"/>
        </w:rPr>
        <w:t>Alsaaod</w:t>
      </w:r>
      <w:proofErr w:type="spellEnd"/>
      <w:r w:rsidRPr="007A71DF">
        <w:rPr>
          <w:rFonts w:ascii="Times New Roman" w:eastAsia="Times New Roman" w:hAnsi="Times New Roman" w:cs="Times New Roman"/>
          <w:sz w:val="24"/>
          <w:szCs w:val="24"/>
          <w:lang w:eastAsia="en-GB"/>
        </w:rPr>
        <w:t xml:space="preserve"> et al. (2015) reviewed evidence that thermographic detection of temperature asymmetries in the lower limbs could serve as a non-invasive lameness screening tool. Fuentes et al. (2020) integrated milking robot data with ambient environmental sensor inputs using AI models, demonstrating that multi-modal machine learning captured production and health-relevant variation attributable to both animal and environmental factors—confirming the importance of contextual data in improving model accuracy.</w:t>
      </w:r>
    </w:p>
    <w:p w14:paraId="72B7FEF1"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 xml:space="preserve">Tassinari et al. (2021) showed that deep learning applied to standard camera footage could achieve reliable individual cow detection and position tracking in commercial </w:t>
      </w:r>
      <w:proofErr w:type="spellStart"/>
      <w:r w:rsidRPr="007A71DF">
        <w:rPr>
          <w:rFonts w:ascii="Times New Roman" w:eastAsia="Times New Roman" w:hAnsi="Times New Roman" w:cs="Times New Roman"/>
          <w:sz w:val="24"/>
          <w:szCs w:val="24"/>
          <w:lang w:eastAsia="en-GB"/>
        </w:rPr>
        <w:t>freestall</w:t>
      </w:r>
      <w:proofErr w:type="spellEnd"/>
      <w:r w:rsidRPr="007A71DF">
        <w:rPr>
          <w:rFonts w:ascii="Times New Roman" w:eastAsia="Times New Roman" w:hAnsi="Times New Roman" w:cs="Times New Roman"/>
          <w:sz w:val="24"/>
          <w:szCs w:val="24"/>
          <w:lang w:eastAsia="en-GB"/>
        </w:rPr>
        <w:t xml:space="preserve"> barns, including under the occlusions and variable lighting typical of real dairy housing. The transfer learning approach used in that study significantly reduced annotation requirements—practically important given how expensive it is to generate large labelled livestock image datasets. This detection capability provides the fundamental infrastructure for individual-level health monitoring at commercial scale.</w:t>
      </w:r>
    </w:p>
    <w:p w14:paraId="17BC51C6" w14:textId="77777777" w:rsidR="007A71DF" w:rsidRPr="007A71DF" w:rsidRDefault="007A71DF" w:rsidP="007A71DF">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6.3 Acoustic and Milk Composition Sensors</w:t>
      </w:r>
    </w:p>
    <w:p w14:paraId="2E99D3E6"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Acoustic monitoring for BRD cough detection, oestrus vocalisation, and rumination sounds has been an active research area. Vandermeulen et al. (2016) established technical feasibility for automated cough detection in calves using microphone arrays and SVM classifiers, but background barn noise—spectrally overlapping with target signals—is a persistent barrier that still limits field deployment. Developing robust noise-cancellation and signal-separation algorithms specifically for agricultural environments remains an open research need.</w:t>
      </w:r>
    </w:p>
    <w:p w14:paraId="5E62F685"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Milk MIR spectroscopy generates a high-dimensional compositional fingerprint at each milking, with information content far exceeding the standard fat, protein, and lactose values that laboratories routinely report. Xu et al. (2019) demonstrated that MIR-derived spectral features are effective metabolic status predictors, complementing AMS production parameters. Because MIR spectra can be transmitted electronically to centralised platforms, they offer a practical route to building large national or international training datasets—one of the most accessible near-term pathways to validating AI-based health prediction in dairy herds at scale.</w:t>
      </w:r>
    </w:p>
    <w:p w14:paraId="15982F99" w14:textId="77777777" w:rsidR="007A71DF" w:rsidRPr="007A71DF" w:rsidRDefault="007A71DF" w:rsidP="007A71DF">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6.4 Data Integration and Fusion</w:t>
      </w:r>
    </w:p>
    <w:p w14:paraId="0A66CDE9"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That multi-modal data integration outperforms single-sensor approaches is now well-established. González et al. (2008) showed early that combining feeding behaviour data with other health indicators improved disease detection, and data fusion architectures—from simple feature concatenation to attention-based deep learning that learns to weight different input streams—have since become an active research area. Guarino et al. (2008) showed that electronic ear tags integrating temperature, activity, and acoustic data in a single device, linked automatically to farm management software, already foreshadowed where commercial product development was heading.</w:t>
      </w:r>
    </w:p>
    <w:p w14:paraId="24F62881"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 xml:space="preserve">Monteiro et al. (2021), in a review spanning livestock and crop precision agriculture, identified multi-sensor data integration as a core enabler of next-generation farm management platforms, noting that individual sensor streams gain value when contextualised </w:t>
      </w:r>
      <w:r w:rsidRPr="007A71DF">
        <w:rPr>
          <w:rFonts w:ascii="Times New Roman" w:eastAsia="Times New Roman" w:hAnsi="Times New Roman" w:cs="Times New Roman"/>
          <w:sz w:val="24"/>
          <w:szCs w:val="24"/>
          <w:lang w:eastAsia="en-GB"/>
        </w:rPr>
        <w:lastRenderedPageBreak/>
        <w:t>within a broader environmental and management data framework. This observation aligns closely with what the dairy disease detection literature shows: the whole is reliably greater than the sum of its sensor parts.</w:t>
      </w:r>
    </w:p>
    <w:p w14:paraId="127CB3EF"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b/>
          <w:bCs/>
          <w:sz w:val="24"/>
          <w:szCs w:val="24"/>
          <w:lang w:eastAsia="en-GB"/>
        </w:rPr>
        <w:t>Table 4</w:t>
      </w:r>
      <w:r w:rsidRPr="007A71DF">
        <w:rPr>
          <w:rFonts w:ascii="Times New Roman" w:eastAsia="Times New Roman" w:hAnsi="Times New Roman" w:cs="Times New Roman"/>
          <w:sz w:val="24"/>
          <w:szCs w:val="24"/>
          <w:lang w:eastAsia="en-GB"/>
        </w:rPr>
        <w:t xml:space="preserve"> summarises the principal sensor modalities in AI-based dairy disease detection, their physiological targets, disease relevance, and the practical limitations relevant to commercial deployment.</w:t>
      </w:r>
    </w:p>
    <w:p w14:paraId="550F8DD9" w14:textId="77777777" w:rsidR="007A71DF" w:rsidRPr="007A71DF" w:rsidRDefault="007A71DF" w:rsidP="007A71DF">
      <w:pPr>
        <w:spacing w:after="0" w:line="240" w:lineRule="auto"/>
        <w:rPr>
          <w:rFonts w:ascii="Times New Roman" w:eastAsia="Times New Roman" w:hAnsi="Times New Roman" w:cs="Times New Roman"/>
          <w:sz w:val="24"/>
          <w:szCs w:val="24"/>
          <w:lang w:eastAsia="en-GB"/>
        </w:rPr>
      </w:pPr>
    </w:p>
    <w:p w14:paraId="50C1963F"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b/>
          <w:bCs/>
          <w:sz w:val="24"/>
          <w:szCs w:val="24"/>
          <w:lang w:eastAsia="en-GB"/>
        </w:rPr>
        <w:t>Table 4.</w:t>
      </w:r>
      <w:r w:rsidRPr="007A71DF">
        <w:rPr>
          <w:rFonts w:ascii="Times New Roman" w:eastAsia="Times New Roman" w:hAnsi="Times New Roman" w:cs="Times New Roman"/>
          <w:sz w:val="24"/>
          <w:szCs w:val="24"/>
          <w:lang w:eastAsia="en-GB"/>
        </w:rPr>
        <w:t xml:space="preserve"> Principal sensor technologies employed in AI-based dairy cattle disease detection systems.</w:t>
      </w:r>
    </w:p>
    <w:tbl>
      <w:tblPr>
        <w:tblStyle w:val="TableGrid"/>
        <w:tblW w:w="0" w:type="auto"/>
        <w:tblLook w:val="04A0" w:firstRow="1" w:lastRow="0" w:firstColumn="1" w:lastColumn="0" w:noHBand="0" w:noVBand="1"/>
      </w:tblPr>
      <w:tblGrid>
        <w:gridCol w:w="1938"/>
        <w:gridCol w:w="2212"/>
        <w:gridCol w:w="2170"/>
        <w:gridCol w:w="2922"/>
      </w:tblGrid>
      <w:tr w:rsidR="007A71DF" w:rsidRPr="007A71DF" w14:paraId="2F48C38F" w14:textId="77777777" w:rsidTr="005C7535">
        <w:tc>
          <w:tcPr>
            <w:tcW w:w="0" w:type="auto"/>
            <w:hideMark/>
          </w:tcPr>
          <w:p w14:paraId="2DADD59D" w14:textId="77777777" w:rsidR="007A71DF" w:rsidRPr="007A71DF" w:rsidRDefault="007A71DF" w:rsidP="007A71DF">
            <w:pPr>
              <w:jc w:val="center"/>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Sensor Modality</w:t>
            </w:r>
          </w:p>
        </w:tc>
        <w:tc>
          <w:tcPr>
            <w:tcW w:w="0" w:type="auto"/>
            <w:hideMark/>
          </w:tcPr>
          <w:p w14:paraId="00E8C301" w14:textId="77777777" w:rsidR="007A71DF" w:rsidRPr="007A71DF" w:rsidRDefault="007A71DF" w:rsidP="007A71DF">
            <w:pPr>
              <w:jc w:val="center"/>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Physiological Target</w:t>
            </w:r>
          </w:p>
        </w:tc>
        <w:tc>
          <w:tcPr>
            <w:tcW w:w="0" w:type="auto"/>
            <w:hideMark/>
          </w:tcPr>
          <w:p w14:paraId="7C8D9E1B" w14:textId="77777777" w:rsidR="007A71DF" w:rsidRPr="007A71DF" w:rsidRDefault="007A71DF" w:rsidP="007A71DF">
            <w:pPr>
              <w:jc w:val="center"/>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Disease Relevance</w:t>
            </w:r>
          </w:p>
        </w:tc>
        <w:tc>
          <w:tcPr>
            <w:tcW w:w="0" w:type="auto"/>
            <w:hideMark/>
          </w:tcPr>
          <w:p w14:paraId="5FF75A1C" w14:textId="77777777" w:rsidR="007A71DF" w:rsidRPr="007A71DF" w:rsidRDefault="007A71DF" w:rsidP="007A71DF">
            <w:pPr>
              <w:jc w:val="center"/>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Key Practical Limitations</w:t>
            </w:r>
          </w:p>
        </w:tc>
      </w:tr>
      <w:tr w:rsidR="007A71DF" w:rsidRPr="007A71DF" w14:paraId="65D768DB" w14:textId="77777777" w:rsidTr="005C7535">
        <w:tc>
          <w:tcPr>
            <w:tcW w:w="0" w:type="auto"/>
            <w:hideMark/>
          </w:tcPr>
          <w:p w14:paraId="15830132"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Accelerometer / pedometer</w:t>
            </w:r>
          </w:p>
        </w:tc>
        <w:tc>
          <w:tcPr>
            <w:tcW w:w="0" w:type="auto"/>
            <w:hideMark/>
          </w:tcPr>
          <w:p w14:paraId="5DD19023"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Activity level; gait kinematics; posture</w:t>
            </w:r>
          </w:p>
        </w:tc>
        <w:tc>
          <w:tcPr>
            <w:tcW w:w="0" w:type="auto"/>
            <w:hideMark/>
          </w:tcPr>
          <w:p w14:paraId="4B9378AA"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Lameness; oestrus; general illness</w:t>
            </w:r>
          </w:p>
        </w:tc>
        <w:tc>
          <w:tcPr>
            <w:tcW w:w="0" w:type="auto"/>
            <w:hideMark/>
          </w:tcPr>
          <w:p w14:paraId="7388E573"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Battery longevity; attachment consistency; motion artefacts</w:t>
            </w:r>
          </w:p>
        </w:tc>
      </w:tr>
      <w:tr w:rsidR="007A71DF" w:rsidRPr="007A71DF" w14:paraId="1975CD87" w14:textId="77777777" w:rsidTr="005C7535">
        <w:tc>
          <w:tcPr>
            <w:tcW w:w="0" w:type="auto"/>
            <w:hideMark/>
          </w:tcPr>
          <w:p w14:paraId="13DE91F9"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Milk conductivity sensor</w:t>
            </w:r>
          </w:p>
        </w:tc>
        <w:tc>
          <w:tcPr>
            <w:tcW w:w="0" w:type="auto"/>
            <w:hideMark/>
          </w:tcPr>
          <w:p w14:paraId="5C92ACF6"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Electrical conductivity of milk</w:t>
            </w:r>
          </w:p>
        </w:tc>
        <w:tc>
          <w:tcPr>
            <w:tcW w:w="0" w:type="auto"/>
            <w:hideMark/>
          </w:tcPr>
          <w:p w14:paraId="0202395B"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Mastitis</w:t>
            </w:r>
          </w:p>
        </w:tc>
        <w:tc>
          <w:tcPr>
            <w:tcW w:w="0" w:type="auto"/>
            <w:hideMark/>
          </w:tcPr>
          <w:p w14:paraId="2A5EFF53"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Teat condition; milking technique; cross-quarter comparison needed</w:t>
            </w:r>
          </w:p>
        </w:tc>
      </w:tr>
      <w:tr w:rsidR="007A71DF" w:rsidRPr="007A71DF" w14:paraId="475365BB" w14:textId="77777777" w:rsidTr="005C7535">
        <w:tc>
          <w:tcPr>
            <w:tcW w:w="0" w:type="auto"/>
            <w:hideMark/>
          </w:tcPr>
          <w:p w14:paraId="575A6B44"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In-line SCC sensor</w:t>
            </w:r>
          </w:p>
        </w:tc>
        <w:tc>
          <w:tcPr>
            <w:tcW w:w="0" w:type="auto"/>
            <w:hideMark/>
          </w:tcPr>
          <w:p w14:paraId="42D1E486"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Somatic cell count</w:t>
            </w:r>
          </w:p>
        </w:tc>
        <w:tc>
          <w:tcPr>
            <w:tcW w:w="0" w:type="auto"/>
            <w:hideMark/>
          </w:tcPr>
          <w:p w14:paraId="0938B3D6"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Mastitis</w:t>
            </w:r>
          </w:p>
        </w:tc>
        <w:tc>
          <w:tcPr>
            <w:tcW w:w="0" w:type="auto"/>
            <w:hideMark/>
          </w:tcPr>
          <w:p w14:paraId="5F57D356"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High capital cost; calibration requirements</w:t>
            </w:r>
          </w:p>
        </w:tc>
      </w:tr>
      <w:tr w:rsidR="007A71DF" w:rsidRPr="007A71DF" w14:paraId="37248821" w14:textId="77777777" w:rsidTr="005C7535">
        <w:tc>
          <w:tcPr>
            <w:tcW w:w="0" w:type="auto"/>
            <w:hideMark/>
          </w:tcPr>
          <w:p w14:paraId="65728874"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Infrared thermography</w:t>
            </w:r>
          </w:p>
        </w:tc>
        <w:tc>
          <w:tcPr>
            <w:tcW w:w="0" w:type="auto"/>
            <w:hideMark/>
          </w:tcPr>
          <w:p w14:paraId="75E9BBF4"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Surface and body temperature</w:t>
            </w:r>
          </w:p>
        </w:tc>
        <w:tc>
          <w:tcPr>
            <w:tcW w:w="0" w:type="auto"/>
            <w:hideMark/>
          </w:tcPr>
          <w:p w14:paraId="22DC7C79"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Lameness (hoof); mastitis; BRD</w:t>
            </w:r>
          </w:p>
        </w:tc>
        <w:tc>
          <w:tcPr>
            <w:tcW w:w="0" w:type="auto"/>
            <w:hideMark/>
          </w:tcPr>
          <w:p w14:paraId="7F9FF91B"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Ambient temperature; coat condition; moisture effects</w:t>
            </w:r>
          </w:p>
        </w:tc>
      </w:tr>
      <w:tr w:rsidR="007A71DF" w:rsidRPr="007A71DF" w14:paraId="17241BA2" w14:textId="77777777" w:rsidTr="005C7535">
        <w:tc>
          <w:tcPr>
            <w:tcW w:w="0" w:type="auto"/>
            <w:hideMark/>
          </w:tcPr>
          <w:p w14:paraId="0F8735A1"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3D depth camera</w:t>
            </w:r>
          </w:p>
        </w:tc>
        <w:tc>
          <w:tcPr>
            <w:tcW w:w="0" w:type="auto"/>
            <w:hideMark/>
          </w:tcPr>
          <w:p w14:paraId="51211A95"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Body morphology; gait kinematics</w:t>
            </w:r>
          </w:p>
        </w:tc>
        <w:tc>
          <w:tcPr>
            <w:tcW w:w="0" w:type="auto"/>
            <w:hideMark/>
          </w:tcPr>
          <w:p w14:paraId="7E05AFB3"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BCS; lameness; body weight; cow detection</w:t>
            </w:r>
          </w:p>
        </w:tc>
        <w:tc>
          <w:tcPr>
            <w:tcW w:w="0" w:type="auto"/>
            <w:hideMark/>
          </w:tcPr>
          <w:p w14:paraId="3B32639C"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Camera placement; lighting; computational demands</w:t>
            </w:r>
          </w:p>
        </w:tc>
      </w:tr>
      <w:tr w:rsidR="007A71DF" w:rsidRPr="007A71DF" w14:paraId="339FAE9A" w14:textId="77777777" w:rsidTr="005C7535">
        <w:tc>
          <w:tcPr>
            <w:tcW w:w="0" w:type="auto"/>
            <w:hideMark/>
          </w:tcPr>
          <w:p w14:paraId="5F44E606"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Acoustic microphone</w:t>
            </w:r>
          </w:p>
        </w:tc>
        <w:tc>
          <w:tcPr>
            <w:tcW w:w="0" w:type="auto"/>
            <w:hideMark/>
          </w:tcPr>
          <w:p w14:paraId="71395BA7"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Cough sounds; vocalisation; rumination</w:t>
            </w:r>
          </w:p>
        </w:tc>
        <w:tc>
          <w:tcPr>
            <w:tcW w:w="0" w:type="auto"/>
            <w:hideMark/>
          </w:tcPr>
          <w:p w14:paraId="407E0FF4"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BRD; oestrus; digestive health</w:t>
            </w:r>
          </w:p>
        </w:tc>
        <w:tc>
          <w:tcPr>
            <w:tcW w:w="0" w:type="auto"/>
            <w:hideMark/>
          </w:tcPr>
          <w:p w14:paraId="3F36C7E7"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Background barn noise; signal-to-noise ratio</w:t>
            </w:r>
          </w:p>
        </w:tc>
      </w:tr>
      <w:tr w:rsidR="007A71DF" w:rsidRPr="007A71DF" w14:paraId="09B16CC7" w14:textId="77777777" w:rsidTr="005C7535">
        <w:tc>
          <w:tcPr>
            <w:tcW w:w="0" w:type="auto"/>
            <w:hideMark/>
          </w:tcPr>
          <w:p w14:paraId="0FFA20F1"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Rumen bolus sensor</w:t>
            </w:r>
          </w:p>
        </w:tc>
        <w:tc>
          <w:tcPr>
            <w:tcW w:w="0" w:type="auto"/>
            <w:hideMark/>
          </w:tcPr>
          <w:p w14:paraId="09CE6C9C"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Ruminal pH and temperature</w:t>
            </w:r>
          </w:p>
        </w:tc>
        <w:tc>
          <w:tcPr>
            <w:tcW w:w="0" w:type="auto"/>
            <w:hideMark/>
          </w:tcPr>
          <w:p w14:paraId="4F2952D8"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Acidosis; metabolic disease; fever</w:t>
            </w:r>
          </w:p>
        </w:tc>
        <w:tc>
          <w:tcPr>
            <w:tcW w:w="0" w:type="auto"/>
            <w:hideMark/>
          </w:tcPr>
          <w:p w14:paraId="7F5C0ED1"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Cost; longevity; post-slaughter recovery requirements</w:t>
            </w:r>
          </w:p>
        </w:tc>
      </w:tr>
      <w:tr w:rsidR="007A71DF" w:rsidRPr="007A71DF" w14:paraId="55E782FE" w14:textId="77777777" w:rsidTr="005C7535">
        <w:tc>
          <w:tcPr>
            <w:tcW w:w="0" w:type="auto"/>
            <w:hideMark/>
          </w:tcPr>
          <w:p w14:paraId="76A6C3B7"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Milk MIR spectrometer</w:t>
            </w:r>
          </w:p>
        </w:tc>
        <w:tc>
          <w:tcPr>
            <w:tcW w:w="0" w:type="auto"/>
            <w:hideMark/>
          </w:tcPr>
          <w:p w14:paraId="76AF30DF"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Milk compositional spectrum</w:t>
            </w:r>
          </w:p>
        </w:tc>
        <w:tc>
          <w:tcPr>
            <w:tcW w:w="0" w:type="auto"/>
            <w:hideMark/>
          </w:tcPr>
          <w:p w14:paraId="39F2E2B5"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Ketosis; energy balance; liver function</w:t>
            </w:r>
          </w:p>
        </w:tc>
        <w:tc>
          <w:tcPr>
            <w:tcW w:w="0" w:type="auto"/>
            <w:hideMark/>
          </w:tcPr>
          <w:p w14:paraId="35F011CC"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Primarily available at herd-level in AMS systems</w:t>
            </w:r>
          </w:p>
        </w:tc>
      </w:tr>
      <w:tr w:rsidR="007A71DF" w:rsidRPr="007A71DF" w14:paraId="44366E62" w14:textId="77777777" w:rsidTr="005C7535">
        <w:tc>
          <w:tcPr>
            <w:tcW w:w="0" w:type="auto"/>
            <w:hideMark/>
          </w:tcPr>
          <w:p w14:paraId="2D9939D8"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Electronic ear / neck tag</w:t>
            </w:r>
          </w:p>
        </w:tc>
        <w:tc>
          <w:tcPr>
            <w:tcW w:w="0" w:type="auto"/>
            <w:hideMark/>
          </w:tcPr>
          <w:p w14:paraId="6A4CD8B3"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Multi-parameter telemetry</w:t>
            </w:r>
          </w:p>
        </w:tc>
        <w:tc>
          <w:tcPr>
            <w:tcW w:w="0" w:type="auto"/>
            <w:hideMark/>
          </w:tcPr>
          <w:p w14:paraId="212244F0"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Broad health surveillance</w:t>
            </w:r>
          </w:p>
        </w:tc>
        <w:tc>
          <w:tcPr>
            <w:tcW w:w="0" w:type="auto"/>
            <w:hideMark/>
          </w:tcPr>
          <w:p w14:paraId="3ABB72F8"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Durability; attachment security; data transmission reliability</w:t>
            </w:r>
          </w:p>
        </w:tc>
      </w:tr>
    </w:tbl>
    <w:p w14:paraId="77357AB8"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i/>
          <w:iCs/>
          <w:sz w:val="24"/>
          <w:szCs w:val="24"/>
          <w:lang w:eastAsia="en-GB"/>
        </w:rPr>
        <w:t xml:space="preserve">Sources: </w:t>
      </w:r>
      <w:proofErr w:type="spellStart"/>
      <w:r w:rsidRPr="007A71DF">
        <w:rPr>
          <w:rFonts w:ascii="Times New Roman" w:eastAsia="Times New Roman" w:hAnsi="Times New Roman" w:cs="Times New Roman"/>
          <w:i/>
          <w:iCs/>
          <w:sz w:val="24"/>
          <w:szCs w:val="24"/>
          <w:lang w:eastAsia="en-GB"/>
        </w:rPr>
        <w:t>Neethirajan</w:t>
      </w:r>
      <w:proofErr w:type="spellEnd"/>
      <w:r w:rsidRPr="007A71DF">
        <w:rPr>
          <w:rFonts w:ascii="Times New Roman" w:eastAsia="Times New Roman" w:hAnsi="Times New Roman" w:cs="Times New Roman"/>
          <w:i/>
          <w:iCs/>
          <w:sz w:val="24"/>
          <w:szCs w:val="24"/>
          <w:lang w:eastAsia="en-GB"/>
        </w:rPr>
        <w:t xml:space="preserve"> (2017); Rutten et al. (2013); Hogeveen et al. (2011); </w:t>
      </w:r>
      <w:proofErr w:type="spellStart"/>
      <w:r w:rsidRPr="007A71DF">
        <w:rPr>
          <w:rFonts w:ascii="Times New Roman" w:eastAsia="Times New Roman" w:hAnsi="Times New Roman" w:cs="Times New Roman"/>
          <w:i/>
          <w:iCs/>
          <w:sz w:val="24"/>
          <w:szCs w:val="24"/>
          <w:lang w:eastAsia="en-GB"/>
        </w:rPr>
        <w:t>Alsaaod</w:t>
      </w:r>
      <w:proofErr w:type="spellEnd"/>
      <w:r w:rsidRPr="007A71DF">
        <w:rPr>
          <w:rFonts w:ascii="Times New Roman" w:eastAsia="Times New Roman" w:hAnsi="Times New Roman" w:cs="Times New Roman"/>
          <w:i/>
          <w:iCs/>
          <w:sz w:val="24"/>
          <w:szCs w:val="24"/>
          <w:lang w:eastAsia="en-GB"/>
        </w:rPr>
        <w:t xml:space="preserve"> et al. (2015); Van </w:t>
      </w:r>
      <w:proofErr w:type="spellStart"/>
      <w:r w:rsidRPr="007A71DF">
        <w:rPr>
          <w:rFonts w:ascii="Times New Roman" w:eastAsia="Times New Roman" w:hAnsi="Times New Roman" w:cs="Times New Roman"/>
          <w:i/>
          <w:iCs/>
          <w:sz w:val="24"/>
          <w:szCs w:val="24"/>
          <w:lang w:eastAsia="en-GB"/>
        </w:rPr>
        <w:t>Hertem</w:t>
      </w:r>
      <w:proofErr w:type="spellEnd"/>
      <w:r w:rsidRPr="007A71DF">
        <w:rPr>
          <w:rFonts w:ascii="Times New Roman" w:eastAsia="Times New Roman" w:hAnsi="Times New Roman" w:cs="Times New Roman"/>
          <w:i/>
          <w:iCs/>
          <w:sz w:val="24"/>
          <w:szCs w:val="24"/>
          <w:lang w:eastAsia="en-GB"/>
        </w:rPr>
        <w:t xml:space="preserve"> et al. (2018); Vandermeulen et al. (2016); Xu et al. (2019); Guarino et al. (2008); </w:t>
      </w:r>
      <w:proofErr w:type="spellStart"/>
      <w:r w:rsidRPr="007A71DF">
        <w:rPr>
          <w:rFonts w:ascii="Times New Roman" w:eastAsia="Times New Roman" w:hAnsi="Times New Roman" w:cs="Times New Roman"/>
          <w:i/>
          <w:iCs/>
          <w:sz w:val="24"/>
          <w:szCs w:val="24"/>
          <w:lang w:eastAsia="en-GB"/>
        </w:rPr>
        <w:t>Neethirajan</w:t>
      </w:r>
      <w:proofErr w:type="spellEnd"/>
      <w:r w:rsidRPr="007A71DF">
        <w:rPr>
          <w:rFonts w:ascii="Times New Roman" w:eastAsia="Times New Roman" w:hAnsi="Times New Roman" w:cs="Times New Roman"/>
          <w:i/>
          <w:iCs/>
          <w:sz w:val="24"/>
          <w:szCs w:val="24"/>
          <w:lang w:eastAsia="en-GB"/>
        </w:rPr>
        <w:t xml:space="preserve"> &amp; Kemp (2021); Tassinari et al. (2021).</w:t>
      </w:r>
    </w:p>
    <w:p w14:paraId="59B1CBDE" w14:textId="77777777" w:rsidR="007A71DF" w:rsidRPr="007A71DF" w:rsidRDefault="007A71DF" w:rsidP="007A71DF">
      <w:pPr>
        <w:spacing w:after="0" w:line="240" w:lineRule="auto"/>
        <w:rPr>
          <w:rFonts w:ascii="Times New Roman" w:eastAsia="Times New Roman" w:hAnsi="Times New Roman" w:cs="Times New Roman"/>
          <w:sz w:val="24"/>
          <w:szCs w:val="24"/>
          <w:lang w:eastAsia="en-GB"/>
        </w:rPr>
      </w:pPr>
    </w:p>
    <w:p w14:paraId="14E6FA90" w14:textId="77777777" w:rsidR="007A71DF" w:rsidRPr="007A71DF" w:rsidRDefault="007A71DF" w:rsidP="007A71DF">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7A71DF">
        <w:rPr>
          <w:rFonts w:ascii="Times New Roman" w:eastAsia="Times New Roman" w:hAnsi="Times New Roman" w:cs="Times New Roman"/>
          <w:b/>
          <w:bCs/>
          <w:sz w:val="27"/>
          <w:szCs w:val="27"/>
          <w:lang w:eastAsia="en-GB"/>
        </w:rPr>
        <w:t>7. Performance Evaluation and Validation Challenges</w:t>
      </w:r>
    </w:p>
    <w:p w14:paraId="7C2723E6" w14:textId="77777777" w:rsidR="007A71DF" w:rsidRPr="007A71DF" w:rsidRDefault="007A71DF" w:rsidP="007A71DF">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lastRenderedPageBreak/>
        <w:t>7.1 Performance Metrics and Reporting Standards</w:t>
      </w:r>
    </w:p>
    <w:p w14:paraId="04993A9A"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ML-based disease detection systems are most commonly evaluated using sensitivity, specificity, positive and negative predictive value, AUC, and—where class imbalance is severe—the F1 score or Matthews correlation coefficient. The choice matters practically: systems tuned for high sensitivity will catch more true disease events but generate more false-positive alerts, burdening staff; those tuned for high specificity generate fewer false alarms but miss more genuine cases. Dominiak and Kristensen (2017) identified a systematic tendency in the literature to report results at optimal threshold settings rather than at the operating points where systems would realistically be deployed. Without consistent frameworks for specifying thresholds and the prevalence assumptions underlying predictive values, cross-study comparison has limited validity.</w:t>
      </w:r>
    </w:p>
    <w:p w14:paraId="0569C5CB"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Reference standards—the criteria against which model predictions are evaluated—introduce additional heterogeneity. For mastitis, veterinary-confirmed clinical diagnosis, laboratory culture, and SCC threshold definitions have all been used, and they do not identify the same cases. For lameness, manual locomotion scoring is standard but inter-observer agreement is only moderate even among experienced raters, imposing a ceiling on what automated systems can realistically be expected to match. Schlageter-Tello et al. (</w:t>
      </w:r>
      <w:r>
        <w:rPr>
          <w:rFonts w:ascii="Times New Roman" w:eastAsia="Times New Roman" w:hAnsi="Times New Roman" w:cs="Times New Roman"/>
          <w:sz w:val="24"/>
          <w:szCs w:val="24"/>
          <w:lang w:eastAsia="en-GB"/>
        </w:rPr>
        <w:t>2014</w:t>
      </w:r>
      <w:r w:rsidRPr="007A71DF">
        <w:rPr>
          <w:rFonts w:ascii="Times New Roman" w:eastAsia="Times New Roman" w:hAnsi="Times New Roman" w:cs="Times New Roman"/>
          <w:sz w:val="24"/>
          <w:szCs w:val="24"/>
          <w:lang w:eastAsia="en-GB"/>
        </w:rPr>
        <w:t>) argued that developing validated, reproducible reference standards is as urgent a research priority as developing new algorithms—a point that the field has acknowledged without yet fully resolving.</w:t>
      </w:r>
    </w:p>
    <w:p w14:paraId="45D5B7CA" w14:textId="77777777" w:rsidR="007A71DF" w:rsidRPr="007A71DF" w:rsidRDefault="007A71DF" w:rsidP="007A71DF">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7.2 Validation, Generalisation, and Real-World Performance</w:t>
      </w:r>
    </w:p>
    <w:p w14:paraId="32F89F51"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There is a persistent, consequential gap between performance metrics reported in experimental studies and what actually happens in commercial deployment. Most published studies use within-study cross-validation, drawing training and test data from the same farm or set of farms, which tends to produce optimistic estimates. External validation—testing models trained on one population against independently collected data from different farms—is more demanding and more realistic; studies using this design consistently report lower performance metrics (Cockburn, 2020). Part of this degradation reflects genuine farm-to-farm variation in sensor data quality, housing type, floor surface, equipment maintenance, and cow genetics—variation that models trained on a handful of farms cannot fully anticipate.</w:t>
      </w:r>
    </w:p>
    <w:p w14:paraId="0704C597"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Liakos et al. (2018), in a wide-ranging review of ML in agriculture, identified the absence of standardised data collection protocols and the heterogeneity of farm management systems as two of the biggest barriers to broadly applicable ML models—an assessment that applies with particular force to disease detection, where the clinical stakes of false negatives and false positives are direct. Class imbalance compounds this: disease events are rare at the individual observation level, so datasets built from continuous monitoring will almost always contain far more normal than pathological records. Without countermeasures such as minority-class oversampling, cost-sensitive learning, or threshold adjustment, models will tend to optimise aggregate accuracy by predicting the majority class, yielding unacceptably low sensitivity for the disease events that matter.</w:t>
      </w:r>
    </w:p>
    <w:p w14:paraId="5D1CD931"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 xml:space="preserve">Cockburn (2020), reviewing ML in the dairy sector, concluded that although ML methods had been applied to a wide range of dairy management problems, most published algorithms had not yet achieved performance levels sufficient for reliable practical deployment. The shortfall was attributed principally to poor data quality in training sets, insufficient dataset </w:t>
      </w:r>
      <w:r w:rsidRPr="007A71DF">
        <w:rPr>
          <w:rFonts w:ascii="Times New Roman" w:eastAsia="Times New Roman" w:hAnsi="Times New Roman" w:cs="Times New Roman"/>
          <w:sz w:val="24"/>
          <w:szCs w:val="24"/>
          <w:lang w:eastAsia="en-GB"/>
        </w:rPr>
        <w:lastRenderedPageBreak/>
        <w:t>sizes, and the near-total absence of prospective validation studies on independent farm populations. That assessment remains largely accurate.</w:t>
      </w:r>
    </w:p>
    <w:p w14:paraId="36C51481" w14:textId="77777777" w:rsidR="007A71DF" w:rsidRPr="007A71DF" w:rsidRDefault="007A71DF" w:rsidP="007A71DF">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7.3 Explainability and Trustworthiness</w:t>
      </w:r>
    </w:p>
    <w:p w14:paraId="41B05B53"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Deep learning models' opacity—the inability to explain, in human-interpretable terms, why a particular prediction was made—is a recognised concern in any clinical decision support application. In dairy disease detection, where the economic and welfare consequences of misclassification are real, farmers and veterinarians need to be able to exercise informed judgement in response to an alert rather than accepting it uncritically. A model that cannot explain its reasoning is difficult to trust, difficult to audit, and difficult to improve.</w:t>
      </w:r>
    </w:p>
    <w:p w14:paraId="25AC5D6A"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The explainable AI (XAI) field has produced methods such as SHAP (</w:t>
      </w:r>
      <w:proofErr w:type="spellStart"/>
      <w:r w:rsidRPr="007A71DF">
        <w:rPr>
          <w:rFonts w:ascii="Times New Roman" w:eastAsia="Times New Roman" w:hAnsi="Times New Roman" w:cs="Times New Roman"/>
          <w:sz w:val="24"/>
          <w:szCs w:val="24"/>
          <w:lang w:eastAsia="en-GB"/>
        </w:rPr>
        <w:t>SHapley</w:t>
      </w:r>
      <w:proofErr w:type="spellEnd"/>
      <w:r w:rsidRPr="007A71DF">
        <w:rPr>
          <w:rFonts w:ascii="Times New Roman" w:eastAsia="Times New Roman" w:hAnsi="Times New Roman" w:cs="Times New Roman"/>
          <w:sz w:val="24"/>
          <w:szCs w:val="24"/>
          <w:lang w:eastAsia="en-GB"/>
        </w:rPr>
        <w:t xml:space="preserve"> Additive </w:t>
      </w:r>
      <w:proofErr w:type="spellStart"/>
      <w:r w:rsidRPr="007A71DF">
        <w:rPr>
          <w:rFonts w:ascii="Times New Roman" w:eastAsia="Times New Roman" w:hAnsi="Times New Roman" w:cs="Times New Roman"/>
          <w:sz w:val="24"/>
          <w:szCs w:val="24"/>
          <w:lang w:eastAsia="en-GB"/>
        </w:rPr>
        <w:t>exPlanations</w:t>
      </w:r>
      <w:proofErr w:type="spellEnd"/>
      <w:r w:rsidRPr="007A71DF">
        <w:rPr>
          <w:rFonts w:ascii="Times New Roman" w:eastAsia="Times New Roman" w:hAnsi="Times New Roman" w:cs="Times New Roman"/>
          <w:sz w:val="24"/>
          <w:szCs w:val="24"/>
          <w:lang w:eastAsia="en-GB"/>
        </w:rPr>
        <w:t>), LIME (Local Interpretable Model-agnostic Explanations), and Grad-CAM for image-based models that can provide post-hoc explanations of individual predictions. Liakos et al. (2018) highlighted the importance of interpretability in agricultural settings, where practitioners often bring deep domain knowledge and legitimately want to evaluate AI-generated recommendations against their own experience. Developing and validating XAI approaches specifically adapted to veterinary decision contexts is an important gap, made more pressing by the EU AI Act—which came into force in August 2024—and its transparency requirements for high-risk AI systems in professional settings.</w:t>
      </w:r>
    </w:p>
    <w:p w14:paraId="60887250" w14:textId="77777777" w:rsidR="007A71DF" w:rsidRPr="007A71DF" w:rsidRDefault="007A71DF" w:rsidP="007A71DF">
      <w:pPr>
        <w:spacing w:after="0" w:line="240" w:lineRule="auto"/>
        <w:rPr>
          <w:rFonts w:ascii="Times New Roman" w:eastAsia="Times New Roman" w:hAnsi="Times New Roman" w:cs="Times New Roman"/>
          <w:sz w:val="24"/>
          <w:szCs w:val="24"/>
          <w:lang w:eastAsia="en-GB"/>
        </w:rPr>
      </w:pPr>
    </w:p>
    <w:p w14:paraId="6D9659DA" w14:textId="77777777" w:rsidR="007A71DF" w:rsidRPr="007A71DF" w:rsidRDefault="007A71DF" w:rsidP="007A71DF">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7A71DF">
        <w:rPr>
          <w:rFonts w:ascii="Times New Roman" w:eastAsia="Times New Roman" w:hAnsi="Times New Roman" w:cs="Times New Roman"/>
          <w:b/>
          <w:bCs/>
          <w:sz w:val="27"/>
          <w:szCs w:val="27"/>
          <w:lang w:eastAsia="en-GB"/>
        </w:rPr>
        <w:t>8. Integration, Implementation, and Practical Considerations</w:t>
      </w:r>
    </w:p>
    <w:p w14:paraId="3C01E486" w14:textId="77777777" w:rsidR="007A71DF" w:rsidRPr="007A71DF" w:rsidRDefault="007A71DF" w:rsidP="007A71DF">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8.1 Farm-Level Integration</w:t>
      </w:r>
    </w:p>
    <w:p w14:paraId="2FA8CAE9"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Moving AI-based disease detection from research demonstration to working component of commercial farm management involves a set of practical and organisational challenges that scientific papers often understate. Data management infrastructure—network connectivity, storage, and cloud computing capacity—must handle continuous high-frequency sensor streams; reliable high-speed internet connectivity remains limited in many rural dairy farming regions globally, where digital infrastructure investment has lagged urban areas (</w:t>
      </w:r>
      <w:proofErr w:type="spellStart"/>
      <w:r w:rsidRPr="007A71DF">
        <w:rPr>
          <w:rFonts w:ascii="Times New Roman" w:eastAsia="Times New Roman" w:hAnsi="Times New Roman" w:cs="Times New Roman"/>
          <w:sz w:val="24"/>
          <w:szCs w:val="24"/>
          <w:lang w:eastAsia="en-GB"/>
        </w:rPr>
        <w:t>Neethirajan</w:t>
      </w:r>
      <w:proofErr w:type="spellEnd"/>
      <w:r w:rsidRPr="007A71DF">
        <w:rPr>
          <w:rFonts w:ascii="Times New Roman" w:eastAsia="Times New Roman" w:hAnsi="Times New Roman" w:cs="Times New Roman"/>
          <w:sz w:val="24"/>
          <w:szCs w:val="24"/>
          <w:lang w:eastAsia="en-GB"/>
        </w:rPr>
        <w:t xml:space="preserve"> &amp; Kemp, 2021). Sensor outputs must integrate with existing farm management software without duplicating data entry or creating isolated data silos. Alert interfaces must be designed with cognitive load and decision fatigue in mind, or the alarm fatigue problem that Dominiak and Kristensen (2017) documented will simply be reproduced in a digital form.</w:t>
      </w:r>
    </w:p>
    <w:p w14:paraId="797D2B80"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Interoperability between sensor systems from different manufacturers is a further structural problem. Commercial dairy sensors come from multiple vendors with proprietary data formats and communication protocols. Without common data standards, combining streams from different sources in a unified analytical framework is difficult, slowing the accumulation of the large, multi-vendor datasets needed to train robust generalised models. This fragmentation is a structural inefficiency the industry has been slow to address.</w:t>
      </w:r>
    </w:p>
    <w:p w14:paraId="51FACC0E" w14:textId="77777777" w:rsidR="007A71DF" w:rsidRPr="007A71DF" w:rsidRDefault="007A71DF" w:rsidP="007A71DF">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8.2 Farmer Adoption and Digital Literacy</w:t>
      </w:r>
    </w:p>
    <w:p w14:paraId="1D7306FC"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Technical performance of the algorithm is necessary but not sufficient for successful implementation. Farmers and farm managers must be willing and able to engage with AI-</w:t>
      </w:r>
      <w:r w:rsidRPr="007A71DF">
        <w:rPr>
          <w:rFonts w:ascii="Times New Roman" w:eastAsia="Times New Roman" w:hAnsi="Times New Roman" w:cs="Times New Roman"/>
          <w:sz w:val="24"/>
          <w:szCs w:val="24"/>
          <w:lang w:eastAsia="en-GB"/>
        </w:rPr>
        <w:lastRenderedPageBreak/>
        <w:t>generated health alerts and act on them appropriately. Cockburn (2020), in reviewing ML for dairy farm management, emphasised that a key challenge is the gap between the controlled conditions under which algorithms are developed and validated and the variable, resource-constrained reality of working dairy farms, noting that inadequate integration of farm data into unified decision-support frameworks has so far limited the practical benefits of ML in the sector. Broader evidence on agricultural technology adoption consistently identifies user interface design, workflow integration, and post-installation technical support as decisive factors in uptake.</w:t>
      </w:r>
    </w:p>
    <w:p w14:paraId="60DFB97A"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 xml:space="preserve">Digital literacy among dairy farmers varies considerably by region and farm size, and AI disease detection system design must account for this. </w:t>
      </w:r>
      <w:proofErr w:type="spellStart"/>
      <w:r w:rsidRPr="007A71DF">
        <w:rPr>
          <w:rFonts w:ascii="Times New Roman" w:eastAsia="Times New Roman" w:hAnsi="Times New Roman" w:cs="Times New Roman"/>
          <w:sz w:val="24"/>
          <w:szCs w:val="24"/>
          <w:lang w:eastAsia="en-GB"/>
        </w:rPr>
        <w:t>Neethirajan</w:t>
      </w:r>
      <w:proofErr w:type="spellEnd"/>
      <w:r w:rsidRPr="007A71DF">
        <w:rPr>
          <w:rFonts w:ascii="Times New Roman" w:eastAsia="Times New Roman" w:hAnsi="Times New Roman" w:cs="Times New Roman"/>
          <w:sz w:val="24"/>
          <w:szCs w:val="24"/>
          <w:lang w:eastAsia="en-GB"/>
        </w:rPr>
        <w:t xml:space="preserve"> and Kemp (2021) made the point that the benefits of digital livestock farming are not universally accessible: without targeted investment in training, extension support, and affordable hardware, AI health monitoring risks being confined to large, capital-intensive operations, deepening structural inequalities in the sector. Active engagement with smaller-scale producers and with farming communities in lower-income countries is needed to ensure these tools deliver their potential welfare and productivity benefits more broadly.</w:t>
      </w:r>
    </w:p>
    <w:p w14:paraId="01DB658D" w14:textId="77777777" w:rsidR="007A71DF" w:rsidRPr="007A71DF" w:rsidRDefault="007A71DF" w:rsidP="007A71DF">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8.3 Ethical and Governance Considerations</w:t>
      </w:r>
    </w:p>
    <w:p w14:paraId="58D378BC"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 xml:space="preserve">Deploying AI in food production raises ethical questions beyond technical performance. Who owns the health data generated by sensors on a commercial dairy farm—the farmer, the sensor vendor, or the software platform provider—is not a trivial question, particularly given the commercial value of longitudinal production and health records for model training, benchmarking, and industry analysis. </w:t>
      </w:r>
      <w:proofErr w:type="spellStart"/>
      <w:r w:rsidRPr="007A71DF">
        <w:rPr>
          <w:rFonts w:ascii="Times New Roman" w:eastAsia="Times New Roman" w:hAnsi="Times New Roman" w:cs="Times New Roman"/>
          <w:sz w:val="24"/>
          <w:szCs w:val="24"/>
          <w:lang w:eastAsia="en-GB"/>
        </w:rPr>
        <w:t>Morota</w:t>
      </w:r>
      <w:proofErr w:type="spellEnd"/>
      <w:r w:rsidRPr="007A71DF">
        <w:rPr>
          <w:rFonts w:ascii="Times New Roman" w:eastAsia="Times New Roman" w:hAnsi="Times New Roman" w:cs="Times New Roman"/>
          <w:sz w:val="24"/>
          <w:szCs w:val="24"/>
          <w:lang w:eastAsia="en-GB"/>
        </w:rPr>
        <w:t xml:space="preserve"> et al. (2018) flagged data governance in digital agriculture as a significant constraint on collaborative dataset development, and argued that the absence of clear legal frameworks around agricultural data ownership and sharing was holding back the field.</w:t>
      </w:r>
    </w:p>
    <w:p w14:paraId="43CBAC13"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Algorithmic accountability—who bears responsibility when an AI-generated alert misses a disease event causing significant economic or welfare harm—has received little systematic attention in the dairy PLF literature. As AI systems become more embedded in professional agricultural practice, this question will need explicit engagement from regulators, technology developers, and veterinary professional bodies. The EU AI Act provides a starting framework in adjacent domains, and specific provisions for AI in animal production seem likely to follow as the technology matures and adoption widens.</w:t>
      </w:r>
    </w:p>
    <w:p w14:paraId="77953555" w14:textId="77777777" w:rsidR="007A71DF" w:rsidRPr="007A71DF" w:rsidRDefault="007A71DF" w:rsidP="007A71DF">
      <w:pPr>
        <w:spacing w:after="0" w:line="240" w:lineRule="auto"/>
        <w:rPr>
          <w:rFonts w:ascii="Times New Roman" w:eastAsia="Times New Roman" w:hAnsi="Times New Roman" w:cs="Times New Roman"/>
          <w:sz w:val="24"/>
          <w:szCs w:val="24"/>
          <w:lang w:eastAsia="en-GB"/>
        </w:rPr>
      </w:pPr>
    </w:p>
    <w:p w14:paraId="322BF551" w14:textId="77777777" w:rsidR="007A71DF" w:rsidRPr="007A71DF" w:rsidRDefault="007A71DF" w:rsidP="007A71DF">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7A71DF">
        <w:rPr>
          <w:rFonts w:ascii="Times New Roman" w:eastAsia="Times New Roman" w:hAnsi="Times New Roman" w:cs="Times New Roman"/>
          <w:b/>
          <w:bCs/>
          <w:sz w:val="27"/>
          <w:szCs w:val="27"/>
          <w:lang w:eastAsia="en-GB"/>
        </w:rPr>
        <w:t>9. Critical Appraisal of Limitations and Future Directions</w:t>
      </w:r>
    </w:p>
    <w:p w14:paraId="5B6EEC95" w14:textId="77777777" w:rsidR="007A71DF" w:rsidRPr="007A71DF" w:rsidRDefault="007A71DF" w:rsidP="007A71DF">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9.1 Gaps in the Current Evidence Base</w:t>
      </w:r>
    </w:p>
    <w:p w14:paraId="4976E6E5"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Three structural weaknesses in the evidence base deserve honest acknowledgement. First, prospective external validation—training on one set of farms and testing independently on a geographically or temporally separated population—remains a small fraction of the total published literature. Internal cross-validation inflates apparent generalisation capacity, and the aggregate performance metrics in the field almost certainly overestimate how well these systems would work in commercial deployment. Both Cockburn (2020) and Liakos et al. (2018) identified this as a priority, and it has not improved substantially.</w:t>
      </w:r>
    </w:p>
    <w:p w14:paraId="7184C611"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lastRenderedPageBreak/>
        <w:t>Second, the research base is heavily concentrated in high-income countries—principally Europe, North America, and Australia. The generalisability of models built in these settings to the diverse breeds, climates, management systems, and production environments of global dairy farming is largely untested. FAO (2021) has emphasised that the need for productivity growth is most acute in lower-middle-income countries, where disease-related losses are typically highest and veterinary infrastructure thinnest—yet these are precisely the settings where AI disease detection research is least represented.</w:t>
      </w:r>
    </w:p>
    <w:p w14:paraId="0DAF6314"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Third, most published studies address one disease at a time. In practice, a cow with lameness may also have subclinical ketosis, or mastitis may occur against a background of early metabolic disease. Single-condition classifiers are not equipped to handle co-morbid presentations, and multi-label classification architectures capable of detecting multiple concurrent conditions simultaneously remain relatively rare in the literature.</w:t>
      </w:r>
    </w:p>
    <w:p w14:paraId="1C78B522" w14:textId="77777777" w:rsidR="007A71DF" w:rsidRPr="007A71DF" w:rsidRDefault="007A71DF" w:rsidP="007A71DF">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9.2 Emerging Technologies and Future Research Directions</w:t>
      </w:r>
    </w:p>
    <w:p w14:paraId="5DC99C09"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Several directions hold genuine promise. Transformer-based architectures—using self-attention mechanisms to model long-range dependencies across sequential and multi-modal data—have achieved state-of-the-art results across a range of domains, from natural language processing to medical imaging, and their application to livestock sensor streams is beginning to appear in the primary literature. The ability of transformer models to process heterogeneous inputs—tabular records, time-series sensor streams, and image features—within a single unified architecture is a natural fit for the multi-modal data integration challenge in PLF.</w:t>
      </w:r>
    </w:p>
    <w:p w14:paraId="1A73F870"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Federated learning, in which models are trained collaboratively across farms without raw data ever leaving the farm, addresses the data sharing and privacy concerns that currently limit large, diverse training dataset construction. Each participating farm computes local model updates that are aggregated centrally to improve a global model, iteratively, without transmitting individual animal health records (</w:t>
      </w:r>
      <w:proofErr w:type="spellStart"/>
      <w:r w:rsidRPr="007A71DF">
        <w:rPr>
          <w:rFonts w:ascii="Times New Roman" w:eastAsia="Times New Roman" w:hAnsi="Times New Roman" w:cs="Times New Roman"/>
          <w:sz w:val="24"/>
          <w:szCs w:val="24"/>
          <w:lang w:eastAsia="en-GB"/>
        </w:rPr>
        <w:t>Neethirajan</w:t>
      </w:r>
      <w:proofErr w:type="spellEnd"/>
      <w:r w:rsidRPr="007A71DF">
        <w:rPr>
          <w:rFonts w:ascii="Times New Roman" w:eastAsia="Times New Roman" w:hAnsi="Times New Roman" w:cs="Times New Roman"/>
          <w:sz w:val="24"/>
          <w:szCs w:val="24"/>
          <w:lang w:eastAsia="en-GB"/>
        </w:rPr>
        <w:t xml:space="preserve"> &amp; Kemp, 2021). This approach directly tackles the data governance problem and could substantially accelerate the development of geographically diverse, robustly validated datasets.</w:t>
      </w:r>
    </w:p>
    <w:p w14:paraId="6E0E9B21"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 xml:space="preserve">The integration of genomic data with sensor-derived health information is a further frontier. </w:t>
      </w:r>
      <w:proofErr w:type="spellStart"/>
      <w:r w:rsidRPr="007A71DF">
        <w:rPr>
          <w:rFonts w:ascii="Times New Roman" w:eastAsia="Times New Roman" w:hAnsi="Times New Roman" w:cs="Times New Roman"/>
          <w:sz w:val="24"/>
          <w:szCs w:val="24"/>
          <w:lang w:eastAsia="en-GB"/>
        </w:rPr>
        <w:t>Morota</w:t>
      </w:r>
      <w:proofErr w:type="spellEnd"/>
      <w:r w:rsidRPr="007A71DF">
        <w:rPr>
          <w:rFonts w:ascii="Times New Roman" w:eastAsia="Times New Roman" w:hAnsi="Times New Roman" w:cs="Times New Roman"/>
          <w:sz w:val="24"/>
          <w:szCs w:val="24"/>
          <w:lang w:eastAsia="en-GB"/>
        </w:rPr>
        <w:t xml:space="preserve"> et al. (2018) argued that the convergence of high-throughput genotyping and PLF sensor streams creates conditions for fundamentally new approaches to genomic prediction, with ML models integrating both data types potentially improving both disease prediction and estimated breeding values for disease resistance traits. This is technically feasible now but remains largely unexplored in the empirical literature.</w:t>
      </w:r>
    </w:p>
    <w:p w14:paraId="416234E7"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 xml:space="preserve">Perhaps the most immediately tractable priority is the development of standardised benchmarking frameworks—common datasets, defined evaluation protocols, and agreed reference standards. Dominiak and Kristensen (2017) and </w:t>
      </w:r>
      <w:proofErr w:type="spellStart"/>
      <w:r w:rsidRPr="007A71DF">
        <w:rPr>
          <w:rFonts w:ascii="Times New Roman" w:eastAsia="Times New Roman" w:hAnsi="Times New Roman" w:cs="Times New Roman"/>
          <w:sz w:val="24"/>
          <w:szCs w:val="24"/>
          <w:lang w:eastAsia="en-GB"/>
        </w:rPr>
        <w:t>Riaboff</w:t>
      </w:r>
      <w:proofErr w:type="spellEnd"/>
      <w:r w:rsidRPr="007A71DF">
        <w:rPr>
          <w:rFonts w:ascii="Times New Roman" w:eastAsia="Times New Roman" w:hAnsi="Times New Roman" w:cs="Times New Roman"/>
          <w:sz w:val="24"/>
          <w:szCs w:val="24"/>
          <w:lang w:eastAsia="en-GB"/>
        </w:rPr>
        <w:t xml:space="preserve"> et al. (2022) have both called for this explicitly. Publicly accessible, annotated benchmark datasets for common dairy disease detection tasks would enable transparent, reproducible comparison across algorithms and research groups, and accelerate identification of approaches that genuinely generalise.</w:t>
      </w:r>
    </w:p>
    <w:p w14:paraId="6F945BC1"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b/>
          <w:bCs/>
          <w:sz w:val="24"/>
          <w:szCs w:val="24"/>
          <w:lang w:eastAsia="en-GB"/>
        </w:rPr>
        <w:t>Table 5</w:t>
      </w:r>
      <w:r w:rsidRPr="007A71DF">
        <w:rPr>
          <w:rFonts w:ascii="Times New Roman" w:eastAsia="Times New Roman" w:hAnsi="Times New Roman" w:cs="Times New Roman"/>
          <w:sz w:val="24"/>
          <w:szCs w:val="24"/>
          <w:lang w:eastAsia="en-GB"/>
        </w:rPr>
        <w:t xml:space="preserve"> summarises the key research gaps and the corresponding priorities that follow from the analysis in this review.</w:t>
      </w:r>
    </w:p>
    <w:p w14:paraId="2990F326" w14:textId="77777777" w:rsidR="007A71DF" w:rsidRPr="007A71DF" w:rsidRDefault="007A71DF" w:rsidP="007A71DF">
      <w:pPr>
        <w:spacing w:after="0" w:line="240" w:lineRule="auto"/>
        <w:rPr>
          <w:rFonts w:ascii="Times New Roman" w:eastAsia="Times New Roman" w:hAnsi="Times New Roman" w:cs="Times New Roman"/>
          <w:sz w:val="24"/>
          <w:szCs w:val="24"/>
          <w:lang w:eastAsia="en-GB"/>
        </w:rPr>
      </w:pPr>
    </w:p>
    <w:p w14:paraId="38CCD258"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b/>
          <w:bCs/>
          <w:sz w:val="24"/>
          <w:szCs w:val="24"/>
          <w:lang w:eastAsia="en-GB"/>
        </w:rPr>
        <w:t>Table 5.</w:t>
      </w:r>
      <w:r w:rsidRPr="007A71DF">
        <w:rPr>
          <w:rFonts w:ascii="Times New Roman" w:eastAsia="Times New Roman" w:hAnsi="Times New Roman" w:cs="Times New Roman"/>
          <w:sz w:val="24"/>
          <w:szCs w:val="24"/>
          <w:lang w:eastAsia="en-GB"/>
        </w:rPr>
        <w:t xml:space="preserve"> Key research gaps in AI-based dairy cattle disease detection and corresponding future research priorities.</w:t>
      </w:r>
    </w:p>
    <w:tbl>
      <w:tblPr>
        <w:tblStyle w:val="TableGrid"/>
        <w:tblW w:w="0" w:type="auto"/>
        <w:tblLook w:val="04A0" w:firstRow="1" w:lastRow="0" w:firstColumn="1" w:lastColumn="0" w:noHBand="0" w:noVBand="1"/>
      </w:tblPr>
      <w:tblGrid>
        <w:gridCol w:w="2392"/>
        <w:gridCol w:w="3181"/>
        <w:gridCol w:w="3669"/>
      </w:tblGrid>
      <w:tr w:rsidR="007A71DF" w:rsidRPr="007A71DF" w14:paraId="6CE94CED" w14:textId="77777777" w:rsidTr="005C7535">
        <w:tc>
          <w:tcPr>
            <w:tcW w:w="0" w:type="auto"/>
            <w:hideMark/>
          </w:tcPr>
          <w:p w14:paraId="24AE5622" w14:textId="77777777" w:rsidR="007A71DF" w:rsidRPr="007A71DF" w:rsidRDefault="007A71DF" w:rsidP="007A71DF">
            <w:pPr>
              <w:jc w:val="center"/>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Research Gap</w:t>
            </w:r>
          </w:p>
        </w:tc>
        <w:tc>
          <w:tcPr>
            <w:tcW w:w="0" w:type="auto"/>
            <w:hideMark/>
          </w:tcPr>
          <w:p w14:paraId="4F2B19DD" w14:textId="77777777" w:rsidR="007A71DF" w:rsidRPr="007A71DF" w:rsidRDefault="007A71DF" w:rsidP="007A71DF">
            <w:pPr>
              <w:jc w:val="center"/>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Current State</w:t>
            </w:r>
          </w:p>
        </w:tc>
        <w:tc>
          <w:tcPr>
            <w:tcW w:w="0" w:type="auto"/>
            <w:hideMark/>
          </w:tcPr>
          <w:p w14:paraId="438C0003" w14:textId="77777777" w:rsidR="007A71DF" w:rsidRPr="007A71DF" w:rsidRDefault="007A71DF" w:rsidP="007A71DF">
            <w:pPr>
              <w:jc w:val="center"/>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Future Research Priority</w:t>
            </w:r>
          </w:p>
        </w:tc>
      </w:tr>
      <w:tr w:rsidR="007A71DF" w:rsidRPr="007A71DF" w14:paraId="2A0CB2C9" w14:textId="77777777" w:rsidTr="005C7535">
        <w:tc>
          <w:tcPr>
            <w:tcW w:w="0" w:type="auto"/>
            <w:hideMark/>
          </w:tcPr>
          <w:p w14:paraId="4D391822"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External validation deficit</w:t>
            </w:r>
          </w:p>
        </w:tc>
        <w:tc>
          <w:tcPr>
            <w:tcW w:w="0" w:type="auto"/>
            <w:hideMark/>
          </w:tcPr>
          <w:p w14:paraId="225FA9E5"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Most studies use internal cross-validation; few prospective external validations</w:t>
            </w:r>
          </w:p>
        </w:tc>
        <w:tc>
          <w:tcPr>
            <w:tcW w:w="0" w:type="auto"/>
            <w:hideMark/>
          </w:tcPr>
          <w:p w14:paraId="4B056BFD"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Multi-farm, multi-national prospective validation studies</w:t>
            </w:r>
          </w:p>
        </w:tc>
      </w:tr>
      <w:tr w:rsidR="007A71DF" w:rsidRPr="007A71DF" w14:paraId="4C94766A" w14:textId="77777777" w:rsidTr="005C7535">
        <w:tc>
          <w:tcPr>
            <w:tcW w:w="0" w:type="auto"/>
            <w:hideMark/>
          </w:tcPr>
          <w:p w14:paraId="443395BF"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Geographical representativeness</w:t>
            </w:r>
          </w:p>
        </w:tc>
        <w:tc>
          <w:tcPr>
            <w:tcW w:w="0" w:type="auto"/>
            <w:hideMark/>
          </w:tcPr>
          <w:p w14:paraId="0A049A3B"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Studies concentrated in Europe, North America, Australia</w:t>
            </w:r>
          </w:p>
        </w:tc>
        <w:tc>
          <w:tcPr>
            <w:tcW w:w="0" w:type="auto"/>
            <w:hideMark/>
          </w:tcPr>
          <w:p w14:paraId="6D9D74BD"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Research in tropical, Asian, African, and South American dairy systems</w:t>
            </w:r>
          </w:p>
        </w:tc>
      </w:tr>
      <w:tr w:rsidR="007A71DF" w:rsidRPr="007A71DF" w14:paraId="3F038830" w14:textId="77777777" w:rsidTr="005C7535">
        <w:tc>
          <w:tcPr>
            <w:tcW w:w="0" w:type="auto"/>
            <w:hideMark/>
          </w:tcPr>
          <w:p w14:paraId="768F8ECE"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Single-disease focus</w:t>
            </w:r>
          </w:p>
        </w:tc>
        <w:tc>
          <w:tcPr>
            <w:tcW w:w="0" w:type="auto"/>
            <w:hideMark/>
          </w:tcPr>
          <w:p w14:paraId="7C666DEB"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Most algorithms address one disease at a time</w:t>
            </w:r>
          </w:p>
        </w:tc>
        <w:tc>
          <w:tcPr>
            <w:tcW w:w="0" w:type="auto"/>
            <w:hideMark/>
          </w:tcPr>
          <w:p w14:paraId="0093BE98"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Multi-label disease detection architectures</w:t>
            </w:r>
          </w:p>
        </w:tc>
      </w:tr>
      <w:tr w:rsidR="007A71DF" w:rsidRPr="007A71DF" w14:paraId="19216844" w14:textId="77777777" w:rsidTr="005C7535">
        <w:tc>
          <w:tcPr>
            <w:tcW w:w="0" w:type="auto"/>
            <w:hideMark/>
          </w:tcPr>
          <w:p w14:paraId="058C7169"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Data governance and sharing</w:t>
            </w:r>
          </w:p>
        </w:tc>
        <w:tc>
          <w:tcPr>
            <w:tcW w:w="0" w:type="auto"/>
            <w:hideMark/>
          </w:tcPr>
          <w:p w14:paraId="77E76B29"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Proprietary data silos; absence of common standards</w:t>
            </w:r>
          </w:p>
        </w:tc>
        <w:tc>
          <w:tcPr>
            <w:tcW w:w="0" w:type="auto"/>
            <w:hideMark/>
          </w:tcPr>
          <w:p w14:paraId="0406EF92"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Federated learning; open benchmark datasets; data sharing agreements</w:t>
            </w:r>
          </w:p>
        </w:tc>
      </w:tr>
      <w:tr w:rsidR="007A71DF" w:rsidRPr="007A71DF" w14:paraId="6A085727" w14:textId="77777777" w:rsidTr="005C7535">
        <w:tc>
          <w:tcPr>
            <w:tcW w:w="0" w:type="auto"/>
            <w:hideMark/>
          </w:tcPr>
          <w:p w14:paraId="31A9C355"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Explainability</w:t>
            </w:r>
          </w:p>
        </w:tc>
        <w:tc>
          <w:tcPr>
            <w:tcW w:w="0" w:type="auto"/>
            <w:hideMark/>
          </w:tcPr>
          <w:p w14:paraId="58B76A6B"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Black-box deep learning models predominate</w:t>
            </w:r>
          </w:p>
        </w:tc>
        <w:tc>
          <w:tcPr>
            <w:tcW w:w="0" w:type="auto"/>
            <w:hideMark/>
          </w:tcPr>
          <w:p w14:paraId="0F7A8336"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Integration of XAI methods (SHAP, LIME, Grad-CAM) adapted for livestock decision support</w:t>
            </w:r>
          </w:p>
        </w:tc>
      </w:tr>
      <w:tr w:rsidR="007A71DF" w:rsidRPr="007A71DF" w14:paraId="57E9386B" w14:textId="77777777" w:rsidTr="005C7535">
        <w:tc>
          <w:tcPr>
            <w:tcW w:w="0" w:type="auto"/>
            <w:hideMark/>
          </w:tcPr>
          <w:p w14:paraId="5D045745"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Farm-level implementation</w:t>
            </w:r>
          </w:p>
        </w:tc>
        <w:tc>
          <w:tcPr>
            <w:tcW w:w="0" w:type="auto"/>
            <w:hideMark/>
          </w:tcPr>
          <w:p w14:paraId="0A94E5AF"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Laboratory-to-farm translation largely unaddressed</w:t>
            </w:r>
          </w:p>
        </w:tc>
        <w:tc>
          <w:tcPr>
            <w:tcW w:w="0" w:type="auto"/>
            <w:hideMark/>
          </w:tcPr>
          <w:p w14:paraId="0D3C2878"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Co-design studies integrating farmer workflows and economic impact assessments</w:t>
            </w:r>
          </w:p>
        </w:tc>
      </w:tr>
      <w:tr w:rsidR="007A71DF" w:rsidRPr="007A71DF" w14:paraId="4D71A709" w14:textId="77777777" w:rsidTr="005C7535">
        <w:tc>
          <w:tcPr>
            <w:tcW w:w="0" w:type="auto"/>
            <w:hideMark/>
          </w:tcPr>
          <w:p w14:paraId="29263CE2"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Reference standard heterogeneity</w:t>
            </w:r>
          </w:p>
        </w:tc>
        <w:tc>
          <w:tcPr>
            <w:tcW w:w="0" w:type="auto"/>
            <w:hideMark/>
          </w:tcPr>
          <w:p w14:paraId="3AFA860A"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Inconsistent disease definitions across studies</w:t>
            </w:r>
          </w:p>
        </w:tc>
        <w:tc>
          <w:tcPr>
            <w:tcW w:w="0" w:type="auto"/>
            <w:hideMark/>
          </w:tcPr>
          <w:p w14:paraId="37F5029A"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Consensus reference standard protocols for all major disease categories</w:t>
            </w:r>
          </w:p>
        </w:tc>
      </w:tr>
      <w:tr w:rsidR="007A71DF" w:rsidRPr="007A71DF" w14:paraId="07F7BF1C" w14:textId="77777777" w:rsidTr="005C7535">
        <w:tc>
          <w:tcPr>
            <w:tcW w:w="0" w:type="auto"/>
            <w:hideMark/>
          </w:tcPr>
          <w:p w14:paraId="1C21DCFD"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Low-income country applicability</w:t>
            </w:r>
          </w:p>
        </w:tc>
        <w:tc>
          <w:tcPr>
            <w:tcW w:w="0" w:type="auto"/>
            <w:hideMark/>
          </w:tcPr>
          <w:p w14:paraId="5A278BC8"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Almost no published evidence from resource-limited settings</w:t>
            </w:r>
          </w:p>
        </w:tc>
        <w:tc>
          <w:tcPr>
            <w:tcW w:w="0" w:type="auto"/>
            <w:hideMark/>
          </w:tcPr>
          <w:p w14:paraId="3A2A6880"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Affordable sensor development; low-bandwidth AI solutions; capacity-building programmes</w:t>
            </w:r>
          </w:p>
        </w:tc>
      </w:tr>
    </w:tbl>
    <w:p w14:paraId="466B4906"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i/>
          <w:iCs/>
          <w:sz w:val="24"/>
          <w:szCs w:val="24"/>
          <w:lang w:eastAsia="en-GB"/>
        </w:rPr>
        <w:t xml:space="preserve">Sources: Cockburn (2020); Liakos et al. (2018); Dominiak &amp; Kristensen (2017); </w:t>
      </w:r>
      <w:proofErr w:type="spellStart"/>
      <w:r w:rsidRPr="007A71DF">
        <w:rPr>
          <w:rFonts w:ascii="Times New Roman" w:eastAsia="Times New Roman" w:hAnsi="Times New Roman" w:cs="Times New Roman"/>
          <w:i/>
          <w:iCs/>
          <w:sz w:val="24"/>
          <w:szCs w:val="24"/>
          <w:lang w:eastAsia="en-GB"/>
        </w:rPr>
        <w:t>Riaboff</w:t>
      </w:r>
      <w:proofErr w:type="spellEnd"/>
      <w:r w:rsidRPr="007A71DF">
        <w:rPr>
          <w:rFonts w:ascii="Times New Roman" w:eastAsia="Times New Roman" w:hAnsi="Times New Roman" w:cs="Times New Roman"/>
          <w:i/>
          <w:iCs/>
          <w:sz w:val="24"/>
          <w:szCs w:val="24"/>
          <w:lang w:eastAsia="en-GB"/>
        </w:rPr>
        <w:t xml:space="preserve"> et al. (2022); </w:t>
      </w:r>
      <w:proofErr w:type="spellStart"/>
      <w:r w:rsidRPr="007A71DF">
        <w:rPr>
          <w:rFonts w:ascii="Times New Roman" w:eastAsia="Times New Roman" w:hAnsi="Times New Roman" w:cs="Times New Roman"/>
          <w:i/>
          <w:iCs/>
          <w:sz w:val="24"/>
          <w:szCs w:val="24"/>
          <w:lang w:eastAsia="en-GB"/>
        </w:rPr>
        <w:t>Neethirajan</w:t>
      </w:r>
      <w:proofErr w:type="spellEnd"/>
      <w:r w:rsidRPr="007A71DF">
        <w:rPr>
          <w:rFonts w:ascii="Times New Roman" w:eastAsia="Times New Roman" w:hAnsi="Times New Roman" w:cs="Times New Roman"/>
          <w:i/>
          <w:iCs/>
          <w:sz w:val="24"/>
          <w:szCs w:val="24"/>
          <w:lang w:eastAsia="en-GB"/>
        </w:rPr>
        <w:t xml:space="preserve"> &amp; Kemp (2021); FAO (2021).</w:t>
      </w:r>
    </w:p>
    <w:p w14:paraId="1CDD3955" w14:textId="77777777" w:rsidR="007A71DF" w:rsidRPr="007A71DF" w:rsidRDefault="007A71DF" w:rsidP="007A71DF">
      <w:pPr>
        <w:spacing w:after="0" w:line="240" w:lineRule="auto"/>
        <w:rPr>
          <w:rFonts w:ascii="Times New Roman" w:eastAsia="Times New Roman" w:hAnsi="Times New Roman" w:cs="Times New Roman"/>
          <w:sz w:val="24"/>
          <w:szCs w:val="24"/>
          <w:lang w:eastAsia="en-GB"/>
        </w:rPr>
      </w:pPr>
    </w:p>
    <w:p w14:paraId="6DED36A9" w14:textId="77777777" w:rsidR="007A71DF" w:rsidRPr="007A71DF" w:rsidRDefault="007A71DF" w:rsidP="007A71DF">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7A71DF">
        <w:rPr>
          <w:rFonts w:ascii="Times New Roman" w:eastAsia="Times New Roman" w:hAnsi="Times New Roman" w:cs="Times New Roman"/>
          <w:b/>
          <w:bCs/>
          <w:sz w:val="27"/>
          <w:szCs w:val="27"/>
          <w:lang w:eastAsia="en-GB"/>
        </w:rPr>
        <w:t>10. Conclusions</w:t>
      </w:r>
    </w:p>
    <w:p w14:paraId="4056E7DB"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AI and ML methods have been applied to the full range of economically important dairy cattle diseases—mastitis, lameness, metabolic disorders, BRD, and deteriorating body condition—and the accumulated evidence shows that earlier, more consistent, and more scalable disease detection than manual clinical surveillance is technically achievable. That much is established. What is also clear, however, is the distance between what has been demonstrated in controlled or semi-controlled research settings and what has been validated for real-world clinical use.</w:t>
      </w:r>
    </w:p>
    <w:p w14:paraId="61099D24"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 xml:space="preserve">Performance metrics derived from within-study validation inflate apparent capability. The evidence base is disproportionately drawn from research farms and a handful of commercial </w:t>
      </w:r>
      <w:r w:rsidRPr="007A71DF">
        <w:rPr>
          <w:rFonts w:ascii="Times New Roman" w:eastAsia="Times New Roman" w:hAnsi="Times New Roman" w:cs="Times New Roman"/>
          <w:sz w:val="24"/>
          <w:szCs w:val="24"/>
          <w:lang w:eastAsia="en-GB"/>
        </w:rPr>
        <w:lastRenderedPageBreak/>
        <w:t>farms in wealthy countries. The diversity of sensor modalities, reference standards, performance metrics, and validation designs makes synthesis difficult and argues for the standardised benchmarking frameworks that the field has long discussed but not yet built.</w:t>
      </w:r>
    </w:p>
    <w:p w14:paraId="48DE4D16"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Progress from promising algorithm to validated clinical tool will require investment in several areas simultaneously: large, geographically diverse, prospectively collected labelled datasets; rigorous external validation frameworks; transparent and explainable model designs that support rather than replace informed professional judgement by farmers and veterinarians; and implementation research that is genuinely co-designed with farmers around the practical realities of farm workflow and varying levels of digital capacity. The EU AI Act's transparency requirements for high-risk AI add a regulatory dimension the research community and industry will need to engage constructively, not treat as a compliance burden.</w:t>
      </w:r>
    </w:p>
    <w:p w14:paraId="13402B1F"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The field has earned credit for technical ambition and genuine scientific insights. The next phase requires something harder: the discipline of rigorous prospective validation, multi-disease integration, and honest engagement with the global diversity of dairy production systems in which these tools are ultimately supposed to work.</w:t>
      </w:r>
    </w:p>
    <w:p w14:paraId="1FC30DD8" w14:textId="77777777" w:rsidR="007A71DF" w:rsidRPr="007A71DF" w:rsidRDefault="007A71DF" w:rsidP="007A71DF">
      <w:pPr>
        <w:spacing w:after="0" w:line="240" w:lineRule="auto"/>
        <w:rPr>
          <w:rFonts w:ascii="Times New Roman" w:eastAsia="Times New Roman" w:hAnsi="Times New Roman" w:cs="Times New Roman"/>
          <w:sz w:val="24"/>
          <w:szCs w:val="24"/>
          <w:lang w:eastAsia="en-GB"/>
        </w:rPr>
      </w:pPr>
    </w:p>
    <w:p w14:paraId="18F6D92F" w14:textId="77777777" w:rsidR="007A71DF" w:rsidRPr="007A71DF" w:rsidRDefault="007A71DF" w:rsidP="007A71DF">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7A71DF">
        <w:rPr>
          <w:rFonts w:ascii="Times New Roman" w:eastAsia="Times New Roman" w:hAnsi="Times New Roman" w:cs="Times New Roman"/>
          <w:b/>
          <w:bCs/>
          <w:sz w:val="27"/>
          <w:szCs w:val="27"/>
          <w:lang w:eastAsia="en-GB"/>
        </w:rPr>
        <w:t>11. Limitations</w:t>
      </w:r>
    </w:p>
    <w:p w14:paraId="50F69F03"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Several limitations of this review warrant acknowledgement. As a narrative rather than systematic review, study selection involved judgement, and bias toward highly cited or methodologically familiar work is possible. An extensive database search was conducted with explicit inclusion and exclusion criteria, but no PRISMA-compliant record of record counts and stage-by-stage screening decisions was maintained, limiting reproducibility relative to a formal systematic review.</w:t>
      </w:r>
    </w:p>
    <w:p w14:paraId="203F261C"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The restriction to English-language publications excluded a considerable body of research published in German, French, Mandarin, and other languages. Given the significance of dairy research in continental Europe and East Asia, some geographical and institutional bias in the studies reviewed is likely.</w:t>
      </w:r>
    </w:p>
    <w:p w14:paraId="31A5C8DB"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The pace of development in AI and ML means the literature as of the search end date of May 2026 may have been overtaken in some respects by the time of publication. Some of the most recently published studies reviewed here have had limited time to accumulate independent citation or replication; their findings should be treated as preliminary until confirmed.</w:t>
      </w:r>
    </w:p>
    <w:p w14:paraId="40173461" w14:textId="77777777" w:rsid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Finally, the review does not include formal economic analysis of AI-based disease detection systems from a farm business perspective. Translating clinical performance metrics—sensitivity, specificity, alert timing—into farm-level economic outcomes requires assumptions about disease prevalence, treatment costs, and management responses that vary substantially across farm types and regions, and a thorough economic appraisal would constitute a valuable but distinct complementary review.</w:t>
      </w:r>
    </w:p>
    <w:p w14:paraId="6A839F2E" w14:textId="77777777" w:rsidR="001340B8" w:rsidRDefault="001340B8" w:rsidP="007A71DF">
      <w:pPr>
        <w:spacing w:before="100" w:beforeAutospacing="1" w:after="100" w:afterAutospacing="1" w:line="240" w:lineRule="auto"/>
        <w:rPr>
          <w:rFonts w:ascii="Times New Roman" w:eastAsia="Times New Roman" w:hAnsi="Times New Roman" w:cs="Times New Roman"/>
          <w:sz w:val="24"/>
          <w:szCs w:val="24"/>
          <w:lang w:eastAsia="en-GB"/>
        </w:rPr>
      </w:pPr>
    </w:p>
    <w:p w14:paraId="3A653542" w14:textId="77777777" w:rsidR="001340B8" w:rsidRDefault="001340B8" w:rsidP="001340B8">
      <w:pPr>
        <w:spacing w:after="0" w:line="240" w:lineRule="auto"/>
        <w:rPr>
          <w:rFonts w:ascii="Times New Roman" w:eastAsia="Calibri" w:hAnsi="Times New Roman" w:cs="Times New Roman"/>
          <w:b/>
        </w:rPr>
      </w:pPr>
    </w:p>
    <w:p w14:paraId="6B48D54F" w14:textId="77777777" w:rsidR="001340B8" w:rsidRDefault="001340B8" w:rsidP="001340B8">
      <w:pPr>
        <w:spacing w:after="0" w:line="240" w:lineRule="auto"/>
        <w:rPr>
          <w:rFonts w:ascii="Times New Roman" w:eastAsia="Calibri" w:hAnsi="Times New Roman" w:cs="Times New Roman"/>
          <w:b/>
        </w:rPr>
      </w:pPr>
    </w:p>
    <w:p w14:paraId="25A7EB40" w14:textId="57B8E57D" w:rsidR="001340B8" w:rsidRPr="00C04DA0" w:rsidRDefault="001340B8" w:rsidP="001340B8">
      <w:pPr>
        <w:spacing w:after="0" w:line="240" w:lineRule="auto"/>
        <w:rPr>
          <w:rFonts w:ascii="Times New Roman" w:eastAsia="Calibri" w:hAnsi="Times New Roman" w:cs="Times New Roman"/>
          <w:b/>
        </w:rPr>
      </w:pPr>
      <w:r w:rsidRPr="00C04DA0">
        <w:rPr>
          <w:rFonts w:ascii="Times New Roman" w:eastAsia="Calibri" w:hAnsi="Times New Roman" w:cs="Times New Roman"/>
          <w:b/>
        </w:rPr>
        <w:lastRenderedPageBreak/>
        <w:t>Declaration of AI Use</w:t>
      </w:r>
    </w:p>
    <w:p w14:paraId="35F8B62A" w14:textId="77777777" w:rsidR="001340B8" w:rsidRPr="00C04DA0" w:rsidRDefault="001340B8" w:rsidP="001340B8">
      <w:pPr>
        <w:spacing w:after="0" w:line="240" w:lineRule="auto"/>
        <w:rPr>
          <w:rFonts w:ascii="Times New Roman" w:eastAsia="Calibri" w:hAnsi="Times New Roman" w:cs="Times New Roman"/>
        </w:rPr>
      </w:pPr>
    </w:p>
    <w:p w14:paraId="217140C7" w14:textId="77777777" w:rsidR="001340B8" w:rsidRDefault="001340B8" w:rsidP="001340B8">
      <w:pPr>
        <w:spacing w:after="0" w:line="240" w:lineRule="auto"/>
        <w:jc w:val="both"/>
        <w:rPr>
          <w:rFonts w:ascii="Times New Roman" w:eastAsia="Calibri" w:hAnsi="Times New Roman" w:cs="Times New Roman"/>
        </w:rPr>
      </w:pPr>
      <w:r w:rsidRPr="00C04DA0">
        <w:rPr>
          <w:rFonts w:ascii="Times New Roman" w:eastAsia="Calibri"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7AB8BE6F" w14:textId="77777777" w:rsidR="008C257E" w:rsidRDefault="008C257E" w:rsidP="001340B8">
      <w:pPr>
        <w:spacing w:after="0" w:line="240" w:lineRule="auto"/>
        <w:jc w:val="both"/>
        <w:rPr>
          <w:rFonts w:ascii="Times New Roman" w:eastAsia="Calibri" w:hAnsi="Times New Roman" w:cs="Times New Roman"/>
        </w:rPr>
      </w:pPr>
    </w:p>
    <w:p w14:paraId="5B69B58C" w14:textId="77777777" w:rsidR="008C257E" w:rsidRPr="00C04DA0" w:rsidRDefault="008C257E" w:rsidP="001340B8">
      <w:pPr>
        <w:spacing w:after="0" w:line="240" w:lineRule="auto"/>
        <w:jc w:val="both"/>
        <w:rPr>
          <w:rFonts w:ascii="Times New Roman" w:eastAsia="Calibri" w:hAnsi="Times New Roman" w:cs="Times New Roman"/>
        </w:rPr>
      </w:pPr>
    </w:p>
    <w:p w14:paraId="3033E017" w14:textId="77777777" w:rsidR="008C257E" w:rsidRPr="008C257E" w:rsidRDefault="008C257E" w:rsidP="008C257E">
      <w:pPr>
        <w:rPr>
          <w:rFonts w:ascii="Arial" w:eastAsiaTheme="minorEastAsia" w:hAnsi="Arial" w:cs="Arial"/>
          <w:b/>
          <w:bCs/>
          <w:lang w:eastAsia="en-GB"/>
        </w:rPr>
      </w:pPr>
      <w:r w:rsidRPr="008C257E">
        <w:rPr>
          <w:rFonts w:ascii="Arial" w:eastAsiaTheme="minorEastAsia" w:hAnsi="Arial" w:cs="Arial"/>
          <w:b/>
          <w:bCs/>
          <w:lang w:eastAsia="en-GB"/>
        </w:rPr>
        <w:t>COMPETING INTERESTS DISCLAIMER:</w:t>
      </w:r>
    </w:p>
    <w:p w14:paraId="51289497" w14:textId="77777777" w:rsidR="008C257E" w:rsidRPr="008C257E" w:rsidRDefault="008C257E" w:rsidP="008C257E">
      <w:pPr>
        <w:rPr>
          <w:rFonts w:eastAsiaTheme="minorEastAsia"/>
          <w:lang w:eastAsia="en-GB"/>
        </w:rPr>
      </w:pPr>
      <w:r w:rsidRPr="008C257E">
        <w:rPr>
          <w:rFonts w:ascii="Arial" w:eastAsiaTheme="minorEastAsia" w:hAnsi="Arial" w:cs="Arial"/>
          <w:b/>
          <w:bCs/>
          <w:lang w:eastAsia="en-GB"/>
        </w:rPr>
        <w:t>Authors have declared that they have no known competing financial interests OR non-financial interests OR personal relationships that could have appeared to influence the work reported in this paper.</w:t>
      </w:r>
    </w:p>
    <w:p w14:paraId="51AC6852" w14:textId="77777777" w:rsidR="001340B8" w:rsidRPr="007A71DF" w:rsidRDefault="001340B8" w:rsidP="007A71DF">
      <w:pPr>
        <w:spacing w:before="100" w:beforeAutospacing="1" w:after="100" w:afterAutospacing="1" w:line="240" w:lineRule="auto"/>
        <w:rPr>
          <w:rFonts w:ascii="Times New Roman" w:eastAsia="Times New Roman" w:hAnsi="Times New Roman" w:cs="Times New Roman"/>
          <w:sz w:val="24"/>
          <w:szCs w:val="24"/>
          <w:lang w:eastAsia="en-GB"/>
        </w:rPr>
      </w:pPr>
    </w:p>
    <w:p w14:paraId="55413744" w14:textId="77777777" w:rsidR="00012974" w:rsidRDefault="00012974" w:rsidP="00012974"/>
    <w:p w14:paraId="41F2173A" w14:textId="77777777" w:rsidR="00012974" w:rsidRDefault="00012974" w:rsidP="00012974">
      <w:pPr>
        <w:pStyle w:val="Heading3"/>
      </w:pPr>
      <w:r>
        <w:t>References</w:t>
      </w:r>
    </w:p>
    <w:p w14:paraId="7F71D8A5" w14:textId="77777777" w:rsidR="005C7535" w:rsidRPr="005C7535" w:rsidRDefault="005C7535" w:rsidP="005C7535">
      <w:pPr>
        <w:pStyle w:val="Heading3"/>
        <w:rPr>
          <w:b w:val="0"/>
          <w:sz w:val="24"/>
        </w:rPr>
      </w:pPr>
      <w:r w:rsidRPr="005C7535">
        <w:rPr>
          <w:b w:val="0"/>
          <w:sz w:val="24"/>
        </w:rPr>
        <w:t>Adamczyk, K., Grzesiak, W., &amp; Zaborski, D. (2021). The use of artificial neural networks and a general discriminant analysis for predicting culling reasons in Holstein-Friesian cows based on first-lactation performance records. Animals, 11(3), Article 721. https://doi.org/10.3390/ani11030721</w:t>
      </w:r>
    </w:p>
    <w:p w14:paraId="4D912435" w14:textId="77777777" w:rsidR="005C7535" w:rsidRPr="005C7535" w:rsidRDefault="005C7535" w:rsidP="005C7535">
      <w:pPr>
        <w:pStyle w:val="Heading3"/>
        <w:rPr>
          <w:b w:val="0"/>
          <w:sz w:val="24"/>
        </w:rPr>
      </w:pPr>
      <w:proofErr w:type="spellStart"/>
      <w:r w:rsidRPr="005C7535">
        <w:rPr>
          <w:b w:val="0"/>
          <w:sz w:val="24"/>
        </w:rPr>
        <w:t>Alsaaod</w:t>
      </w:r>
      <w:proofErr w:type="spellEnd"/>
      <w:r w:rsidRPr="005C7535">
        <w:rPr>
          <w:b w:val="0"/>
          <w:sz w:val="24"/>
        </w:rPr>
        <w:t>, M., Schaefer, A. L., Büscher, W., &amp; Steiner, A. (2015). The role of infrared thermography as a non-invasive tool for the detection of lameness in cattle. Sensors, 15(6), 14513–14525. https://doi.org/10.3390/s150614513</w:t>
      </w:r>
    </w:p>
    <w:p w14:paraId="5426DF3E" w14:textId="77777777" w:rsidR="005C7535" w:rsidRPr="005C7535" w:rsidRDefault="005C7535" w:rsidP="005C7535">
      <w:pPr>
        <w:pStyle w:val="Heading3"/>
        <w:rPr>
          <w:b w:val="0"/>
          <w:sz w:val="24"/>
        </w:rPr>
      </w:pPr>
      <w:r w:rsidRPr="005C7535">
        <w:rPr>
          <w:b w:val="0"/>
          <w:sz w:val="24"/>
        </w:rPr>
        <w:t xml:space="preserve">Azzaro, G., Caccamo, M., Ferguson, J. D., Battiato, S., Farinella, G. M., Guarnera, G. C., Puglisi, G., </w:t>
      </w:r>
      <w:proofErr w:type="spellStart"/>
      <w:r w:rsidRPr="005C7535">
        <w:rPr>
          <w:b w:val="0"/>
          <w:sz w:val="24"/>
        </w:rPr>
        <w:t>Petriglieri</w:t>
      </w:r>
      <w:proofErr w:type="spellEnd"/>
      <w:r w:rsidRPr="005C7535">
        <w:rPr>
          <w:b w:val="0"/>
          <w:sz w:val="24"/>
        </w:rPr>
        <w:t xml:space="preserve">, R., &amp; Licitra, G. (2011). Objective estimation of body condition score by </w:t>
      </w:r>
      <w:proofErr w:type="spellStart"/>
      <w:r w:rsidRPr="005C7535">
        <w:rPr>
          <w:b w:val="0"/>
          <w:sz w:val="24"/>
        </w:rPr>
        <w:t>modeling</w:t>
      </w:r>
      <w:proofErr w:type="spellEnd"/>
      <w:r w:rsidRPr="005C7535">
        <w:rPr>
          <w:b w:val="0"/>
          <w:sz w:val="24"/>
        </w:rPr>
        <w:t xml:space="preserve"> cow body shape from digital images. Journal of Dairy Science, 94(4), 2126–2137. https://doi.org/10.3168/jds.2010-3467</w:t>
      </w:r>
    </w:p>
    <w:p w14:paraId="724F2D21" w14:textId="77777777" w:rsidR="005C7535" w:rsidRPr="005C7535" w:rsidRDefault="005C7535" w:rsidP="005C7535">
      <w:pPr>
        <w:pStyle w:val="Heading3"/>
        <w:rPr>
          <w:b w:val="0"/>
          <w:sz w:val="24"/>
        </w:rPr>
      </w:pPr>
      <w:r w:rsidRPr="005C7535">
        <w:rPr>
          <w:b w:val="0"/>
          <w:sz w:val="24"/>
        </w:rPr>
        <w:t>Berckmans, D. (2014). Precision livestock farming technologies for welfare management in intensive livestock systems. Revue Scientifique et Technique, 33(1), 189–196. https://doi.org/10.20506/rst.33.1.2273</w:t>
      </w:r>
    </w:p>
    <w:p w14:paraId="6283427F" w14:textId="77777777" w:rsidR="005C7535" w:rsidRPr="005C7535" w:rsidRDefault="005C7535" w:rsidP="005C7535">
      <w:pPr>
        <w:pStyle w:val="Heading3"/>
        <w:rPr>
          <w:b w:val="0"/>
          <w:sz w:val="24"/>
        </w:rPr>
      </w:pPr>
      <w:r w:rsidRPr="005C7535">
        <w:rPr>
          <w:b w:val="0"/>
          <w:sz w:val="24"/>
        </w:rPr>
        <w:t>Berckmans, D. (2017). General introduction to precision livestock farming. Animal Frontiers, 7(1), 6–11. https://doi.org/10.2527/af.2017.0102</w:t>
      </w:r>
    </w:p>
    <w:p w14:paraId="609AF78C" w14:textId="77777777" w:rsidR="005C7535" w:rsidRPr="005C7535" w:rsidRDefault="005C7535" w:rsidP="005C7535">
      <w:pPr>
        <w:pStyle w:val="Heading3"/>
        <w:rPr>
          <w:b w:val="0"/>
          <w:sz w:val="24"/>
        </w:rPr>
      </w:pPr>
      <w:r w:rsidRPr="005C7535">
        <w:rPr>
          <w:b w:val="0"/>
          <w:sz w:val="24"/>
        </w:rPr>
        <w:t>Bewley, J. M., Peacock, A. M., Lewis, O., Boyce, R. E., Roberts, D. J., Coffey, M. P., Kenyon, S. J., &amp; Schutz, M. M. (2008). Potential for estimation of body condition scores in dairy cattle from digital images. Journal of Dairy Science, 91(9), 3439–3453. https://doi.org/10.3168/jds.2007-0836</w:t>
      </w:r>
    </w:p>
    <w:p w14:paraId="3417A7E7" w14:textId="77777777" w:rsidR="005C7535" w:rsidRPr="005C7535" w:rsidRDefault="005C7535" w:rsidP="005C7535">
      <w:pPr>
        <w:pStyle w:val="Heading3"/>
        <w:rPr>
          <w:b w:val="0"/>
          <w:sz w:val="24"/>
        </w:rPr>
      </w:pPr>
      <w:r w:rsidRPr="005C7535">
        <w:rPr>
          <w:b w:val="0"/>
          <w:sz w:val="24"/>
        </w:rPr>
        <w:lastRenderedPageBreak/>
        <w:t xml:space="preserve">Cavero, D., </w:t>
      </w:r>
      <w:proofErr w:type="spellStart"/>
      <w:r w:rsidRPr="005C7535">
        <w:rPr>
          <w:b w:val="0"/>
          <w:sz w:val="24"/>
        </w:rPr>
        <w:t>Tölle</w:t>
      </w:r>
      <w:proofErr w:type="spellEnd"/>
      <w:r w:rsidRPr="005C7535">
        <w:rPr>
          <w:b w:val="0"/>
          <w:sz w:val="24"/>
        </w:rPr>
        <w:t xml:space="preserve">, K. H., Henze, C., </w:t>
      </w:r>
      <w:proofErr w:type="spellStart"/>
      <w:r w:rsidRPr="005C7535">
        <w:rPr>
          <w:b w:val="0"/>
          <w:sz w:val="24"/>
        </w:rPr>
        <w:t>Buxadé</w:t>
      </w:r>
      <w:proofErr w:type="spellEnd"/>
      <w:r w:rsidRPr="005C7535">
        <w:rPr>
          <w:b w:val="0"/>
          <w:sz w:val="24"/>
        </w:rPr>
        <w:t xml:space="preserve">, C., &amp; Krieter, J. (2008). Mastitis detection in dairy cows by application of neural networks. Livestock Science, 114(2–3), 280–286. https://doi.org/10.1016/j.livsci.2007.05.012 </w:t>
      </w:r>
    </w:p>
    <w:p w14:paraId="0A910DEE" w14:textId="77777777" w:rsidR="005C7535" w:rsidRPr="005C7535" w:rsidRDefault="005C7535" w:rsidP="005C7535">
      <w:pPr>
        <w:pStyle w:val="Heading3"/>
        <w:rPr>
          <w:b w:val="0"/>
          <w:sz w:val="24"/>
        </w:rPr>
      </w:pPr>
      <w:r w:rsidRPr="005C7535">
        <w:rPr>
          <w:b w:val="0"/>
          <w:sz w:val="24"/>
        </w:rPr>
        <w:t>Cockburn, M. (2020). Review: Application and prospective discussion of machine learning for the management of dairy farms. Animals, 10(9), Article 1690. https://doi.org/10.3390/ani10091690</w:t>
      </w:r>
    </w:p>
    <w:p w14:paraId="79D02219" w14:textId="77777777" w:rsidR="005C7535" w:rsidRPr="005C7535" w:rsidRDefault="005C7535" w:rsidP="005C7535">
      <w:pPr>
        <w:pStyle w:val="Heading3"/>
        <w:rPr>
          <w:b w:val="0"/>
          <w:sz w:val="24"/>
        </w:rPr>
      </w:pPr>
      <w:r w:rsidRPr="005C7535">
        <w:rPr>
          <w:b w:val="0"/>
          <w:sz w:val="24"/>
        </w:rPr>
        <w:t xml:space="preserve">De Mol, R. M., Kroeze, G. H., Achten, J. M. F. H., Maatje, K., &amp; Rossing, W. (1997). Results of a multivariate approach to automated oestrus and mastitis detection. Livestock Production Science, 48(3), 219–227. https://doi.org/10.1016/S0301-6226(97)00028-6 </w:t>
      </w:r>
    </w:p>
    <w:p w14:paraId="40B91397" w14:textId="77777777" w:rsidR="005C7535" w:rsidRPr="005C7535" w:rsidRDefault="005C7535" w:rsidP="005C7535">
      <w:pPr>
        <w:pStyle w:val="Heading3"/>
        <w:rPr>
          <w:b w:val="0"/>
          <w:sz w:val="24"/>
        </w:rPr>
      </w:pPr>
      <w:r w:rsidRPr="005C7535">
        <w:rPr>
          <w:b w:val="0"/>
          <w:sz w:val="24"/>
        </w:rPr>
        <w:t>Dominiak, K. N., &amp; Kristensen, A. R. (2017). Prioritizing alarms from sensor-based detection models in livestock production: A review on model performance and alarm reducing methods. Computers and Electronics in Agriculture, 133, 46–67. https://doi.org/10.1016/j.compag.2016.12.008</w:t>
      </w:r>
    </w:p>
    <w:p w14:paraId="17316119" w14:textId="77777777" w:rsidR="005C7535" w:rsidRPr="005C7535" w:rsidRDefault="005C7535" w:rsidP="005C7535">
      <w:pPr>
        <w:pStyle w:val="Heading3"/>
        <w:rPr>
          <w:b w:val="0"/>
          <w:sz w:val="24"/>
        </w:rPr>
      </w:pPr>
      <w:r w:rsidRPr="005C7535">
        <w:rPr>
          <w:b w:val="0"/>
          <w:sz w:val="24"/>
        </w:rPr>
        <w:t>Dutta, R., Smith, D., Rawnsley, R., Bishop-Hurley, G., Hills, J., Timms, G., &amp; Henry, D. (2015). Dynamic cattle behavioural classification using supervised ensemble classifiers. Computers and Electronics in Agriculture, 111, 18–28. https://doi.org/10.1016/j.compag.2014.12.002</w:t>
      </w:r>
    </w:p>
    <w:p w14:paraId="5C66BC5E" w14:textId="77777777" w:rsidR="005C7535" w:rsidRPr="005C7535" w:rsidRDefault="005C7535" w:rsidP="005C7535">
      <w:pPr>
        <w:pStyle w:val="Heading3"/>
        <w:rPr>
          <w:b w:val="0"/>
          <w:sz w:val="24"/>
        </w:rPr>
      </w:pPr>
      <w:r w:rsidRPr="005C7535">
        <w:rPr>
          <w:b w:val="0"/>
          <w:sz w:val="24"/>
        </w:rPr>
        <w:t>Ebrahimi, M., Mohammadi-</w:t>
      </w:r>
      <w:proofErr w:type="spellStart"/>
      <w:r w:rsidRPr="005C7535">
        <w:rPr>
          <w:b w:val="0"/>
          <w:sz w:val="24"/>
        </w:rPr>
        <w:t>Dehcheshmeh</w:t>
      </w:r>
      <w:proofErr w:type="spellEnd"/>
      <w:r w:rsidRPr="005C7535">
        <w:rPr>
          <w:b w:val="0"/>
          <w:sz w:val="24"/>
        </w:rPr>
        <w:t xml:space="preserve">, M., </w:t>
      </w:r>
      <w:proofErr w:type="spellStart"/>
      <w:r w:rsidRPr="005C7535">
        <w:rPr>
          <w:b w:val="0"/>
          <w:sz w:val="24"/>
        </w:rPr>
        <w:t>Ebrahimie</w:t>
      </w:r>
      <w:proofErr w:type="spellEnd"/>
      <w:r w:rsidRPr="005C7535">
        <w:rPr>
          <w:b w:val="0"/>
          <w:sz w:val="24"/>
        </w:rPr>
        <w:t>, E., &amp; Petrovski, K. R. (2019). Comprehensive analysis of machine learning models for prediction of sub-clinical mastitis: Deep learning and gradient-boosted trees outperform other models. Computers in Biology and Medicine, 114, Article 103456. https://doi.org/10.1016/j.compbiomed.2019.103456</w:t>
      </w:r>
    </w:p>
    <w:p w14:paraId="6C555C81" w14:textId="77777777" w:rsidR="005C7535" w:rsidRPr="005C7535" w:rsidRDefault="005C7535" w:rsidP="005C7535">
      <w:pPr>
        <w:pStyle w:val="Heading3"/>
        <w:rPr>
          <w:b w:val="0"/>
          <w:sz w:val="24"/>
        </w:rPr>
      </w:pPr>
      <w:r w:rsidRPr="005C7535">
        <w:rPr>
          <w:b w:val="0"/>
          <w:sz w:val="24"/>
        </w:rPr>
        <w:t xml:space="preserve">FAO (Food and Agriculture Organization of the United Nations). (2021). World food and agriculture: Statistical yearbook 2021. FAO. https://doi.org/10.4060/cb4477en </w:t>
      </w:r>
    </w:p>
    <w:p w14:paraId="21CAB275" w14:textId="77777777" w:rsidR="005C7535" w:rsidRPr="005C7535" w:rsidRDefault="005C7535" w:rsidP="005C7535">
      <w:pPr>
        <w:pStyle w:val="Heading3"/>
        <w:rPr>
          <w:b w:val="0"/>
          <w:sz w:val="24"/>
        </w:rPr>
      </w:pPr>
      <w:r w:rsidRPr="005C7535">
        <w:rPr>
          <w:b w:val="0"/>
          <w:sz w:val="24"/>
        </w:rPr>
        <w:t xml:space="preserve">Fuentes, S., Gonzalez Viejo, C., Cullen, B., Tongson, E., Chauhan, S. S., &amp; </w:t>
      </w:r>
      <w:proofErr w:type="spellStart"/>
      <w:r w:rsidRPr="005C7535">
        <w:rPr>
          <w:b w:val="0"/>
          <w:sz w:val="24"/>
        </w:rPr>
        <w:t>Dunshea</w:t>
      </w:r>
      <w:proofErr w:type="spellEnd"/>
      <w:r w:rsidRPr="005C7535">
        <w:rPr>
          <w:b w:val="0"/>
          <w:sz w:val="24"/>
        </w:rPr>
        <w:t xml:space="preserve">, F. R. (2020). Artificial intelligence applied to a robotic dairy farm to model milk productivity and quality based on cow data and daily environmental parameters. Sensors, 20(10), Article 2975. https://doi.org/10.3390/s20102975 </w:t>
      </w:r>
    </w:p>
    <w:p w14:paraId="782CF410" w14:textId="77777777" w:rsidR="005C7535" w:rsidRPr="005C7535" w:rsidRDefault="005C7535" w:rsidP="005C7535">
      <w:pPr>
        <w:pStyle w:val="Heading3"/>
        <w:rPr>
          <w:b w:val="0"/>
          <w:sz w:val="24"/>
        </w:rPr>
      </w:pPr>
      <w:proofErr w:type="spellStart"/>
      <w:r w:rsidRPr="005C7535">
        <w:rPr>
          <w:b w:val="0"/>
          <w:sz w:val="24"/>
        </w:rPr>
        <w:t>Ghotoorlar</w:t>
      </w:r>
      <w:proofErr w:type="spellEnd"/>
      <w:r w:rsidRPr="005C7535">
        <w:rPr>
          <w:b w:val="0"/>
          <w:sz w:val="24"/>
        </w:rPr>
        <w:t xml:space="preserve">, S. M., </w:t>
      </w:r>
      <w:proofErr w:type="spellStart"/>
      <w:r w:rsidRPr="005C7535">
        <w:rPr>
          <w:b w:val="0"/>
          <w:sz w:val="24"/>
        </w:rPr>
        <w:t>Ghamsari</w:t>
      </w:r>
      <w:proofErr w:type="spellEnd"/>
      <w:r w:rsidRPr="005C7535">
        <w:rPr>
          <w:b w:val="0"/>
          <w:sz w:val="24"/>
        </w:rPr>
        <w:t xml:space="preserve">, S. M., </w:t>
      </w:r>
      <w:proofErr w:type="spellStart"/>
      <w:r w:rsidRPr="005C7535">
        <w:rPr>
          <w:b w:val="0"/>
          <w:sz w:val="24"/>
        </w:rPr>
        <w:t>Nowrouzian</w:t>
      </w:r>
      <w:proofErr w:type="spellEnd"/>
      <w:r w:rsidRPr="005C7535">
        <w:rPr>
          <w:b w:val="0"/>
          <w:sz w:val="24"/>
        </w:rPr>
        <w:t xml:space="preserve">, I., </w:t>
      </w:r>
      <w:proofErr w:type="spellStart"/>
      <w:r w:rsidRPr="005C7535">
        <w:rPr>
          <w:b w:val="0"/>
          <w:sz w:val="24"/>
        </w:rPr>
        <w:t>Ghotoorlar</w:t>
      </w:r>
      <w:proofErr w:type="spellEnd"/>
      <w:r w:rsidRPr="005C7535">
        <w:rPr>
          <w:b w:val="0"/>
          <w:sz w:val="24"/>
        </w:rPr>
        <w:t xml:space="preserve">, S. M., &amp; </w:t>
      </w:r>
      <w:proofErr w:type="spellStart"/>
      <w:r w:rsidRPr="005C7535">
        <w:rPr>
          <w:b w:val="0"/>
          <w:sz w:val="24"/>
        </w:rPr>
        <w:t>Ghidary</w:t>
      </w:r>
      <w:proofErr w:type="spellEnd"/>
      <w:r w:rsidRPr="005C7535">
        <w:rPr>
          <w:b w:val="0"/>
          <w:sz w:val="24"/>
        </w:rPr>
        <w:t>, S. S. (2012). Lameness scoring system for dairy cows using force plates and artificial intelligence. Veterinary Record, 170(5), 126. https://doi.org/10.1136/vr.100429</w:t>
      </w:r>
    </w:p>
    <w:p w14:paraId="6F9C078A" w14:textId="77777777" w:rsidR="005C7535" w:rsidRPr="005C7535" w:rsidRDefault="005C7535" w:rsidP="005C7535">
      <w:pPr>
        <w:pStyle w:val="Heading3"/>
        <w:rPr>
          <w:b w:val="0"/>
          <w:sz w:val="24"/>
        </w:rPr>
      </w:pPr>
      <w:r w:rsidRPr="005C7535">
        <w:rPr>
          <w:b w:val="0"/>
          <w:sz w:val="24"/>
        </w:rPr>
        <w:t xml:space="preserve">González, L. A., </w:t>
      </w:r>
      <w:proofErr w:type="spellStart"/>
      <w:r w:rsidRPr="005C7535">
        <w:rPr>
          <w:b w:val="0"/>
          <w:sz w:val="24"/>
        </w:rPr>
        <w:t>Tolkamp</w:t>
      </w:r>
      <w:proofErr w:type="spellEnd"/>
      <w:r w:rsidRPr="005C7535">
        <w:rPr>
          <w:b w:val="0"/>
          <w:sz w:val="24"/>
        </w:rPr>
        <w:t xml:space="preserve">, B. J., Coffey, M. P., Ferret, A., &amp; </w:t>
      </w:r>
      <w:proofErr w:type="spellStart"/>
      <w:r w:rsidRPr="005C7535">
        <w:rPr>
          <w:b w:val="0"/>
          <w:sz w:val="24"/>
        </w:rPr>
        <w:t>Kyriazakis</w:t>
      </w:r>
      <w:proofErr w:type="spellEnd"/>
      <w:r w:rsidRPr="005C7535">
        <w:rPr>
          <w:b w:val="0"/>
          <w:sz w:val="24"/>
        </w:rPr>
        <w:t xml:space="preserve">, I. (2008). Changes in feeding </w:t>
      </w:r>
      <w:proofErr w:type="spellStart"/>
      <w:r w:rsidRPr="005C7535">
        <w:rPr>
          <w:b w:val="0"/>
          <w:sz w:val="24"/>
        </w:rPr>
        <w:t>behavior</w:t>
      </w:r>
      <w:proofErr w:type="spellEnd"/>
      <w:r w:rsidRPr="005C7535">
        <w:rPr>
          <w:b w:val="0"/>
          <w:sz w:val="24"/>
        </w:rPr>
        <w:t xml:space="preserve"> as possible indicators for the automatic monitoring of health disorders in dairy cows. Journal of Dairy Science, 91(3), 1017–1028. https://doi.org/10.3168/jds.2007-0530</w:t>
      </w:r>
    </w:p>
    <w:p w14:paraId="4FDA318B" w14:textId="77777777" w:rsidR="005C7535" w:rsidRPr="005C7535" w:rsidRDefault="005C7535" w:rsidP="005C7535">
      <w:pPr>
        <w:pStyle w:val="Heading3"/>
        <w:rPr>
          <w:b w:val="0"/>
          <w:sz w:val="24"/>
        </w:rPr>
      </w:pPr>
      <w:r w:rsidRPr="005C7535">
        <w:rPr>
          <w:b w:val="0"/>
          <w:sz w:val="24"/>
        </w:rPr>
        <w:t xml:space="preserve">Guarino, M., Jans, P., Costa, A., Aerts, J.-M., &amp; Berckmans, D. (2008). Field test of algorithm for automatic cough detection in pig houses. Computers and Electronics in Agriculture, 62(1), 22–28. https://doi.org/10.1016/j.compag.2007.08.016 </w:t>
      </w:r>
    </w:p>
    <w:p w14:paraId="00AB7771" w14:textId="77777777" w:rsidR="005C7535" w:rsidRPr="005C7535" w:rsidRDefault="005C7535" w:rsidP="005C7535">
      <w:pPr>
        <w:pStyle w:val="Heading3"/>
        <w:rPr>
          <w:b w:val="0"/>
          <w:sz w:val="24"/>
        </w:rPr>
      </w:pPr>
      <w:r w:rsidRPr="005C7535">
        <w:rPr>
          <w:b w:val="0"/>
          <w:sz w:val="24"/>
        </w:rPr>
        <w:lastRenderedPageBreak/>
        <w:t>Halachmi, I., Klopcic, M., Polak, P., Roberts, D. J., &amp; Bewley, J. M. (2013). Automatic assessment of dairy cattle body condition score using thermal imaging. Computers and Electronics in Agriculture, 99, 35–40. https://doi.org/10.1016/j.compag.2013.08.012</w:t>
      </w:r>
    </w:p>
    <w:p w14:paraId="4D11EAA3" w14:textId="77777777" w:rsidR="005C7535" w:rsidRPr="005C7535" w:rsidRDefault="005C7535" w:rsidP="005C7535">
      <w:pPr>
        <w:pStyle w:val="Heading3"/>
        <w:rPr>
          <w:b w:val="0"/>
          <w:sz w:val="24"/>
        </w:rPr>
      </w:pPr>
      <w:r w:rsidRPr="005C7535">
        <w:rPr>
          <w:b w:val="0"/>
          <w:sz w:val="24"/>
        </w:rPr>
        <w:t xml:space="preserve">Hogeveen, H., </w:t>
      </w:r>
      <w:proofErr w:type="spellStart"/>
      <w:r w:rsidRPr="005C7535">
        <w:rPr>
          <w:b w:val="0"/>
          <w:sz w:val="24"/>
        </w:rPr>
        <w:t>Huijps</w:t>
      </w:r>
      <w:proofErr w:type="spellEnd"/>
      <w:r w:rsidRPr="005C7535">
        <w:rPr>
          <w:b w:val="0"/>
          <w:sz w:val="24"/>
        </w:rPr>
        <w:t>, K., &amp; Lam, T. J. G. M. (2011). Economic aspects of mastitis: New developments. New Zealand Veterinary Journal, 59(1), 16–23. https://doi.org/10.1080/00480169.2011.547165</w:t>
      </w:r>
    </w:p>
    <w:p w14:paraId="43635F16" w14:textId="77777777" w:rsidR="005C7535" w:rsidRPr="005C7535" w:rsidRDefault="005C7535" w:rsidP="005C7535">
      <w:pPr>
        <w:pStyle w:val="Heading3"/>
        <w:rPr>
          <w:b w:val="0"/>
          <w:sz w:val="24"/>
        </w:rPr>
      </w:pPr>
      <w:r w:rsidRPr="005C7535">
        <w:rPr>
          <w:b w:val="0"/>
          <w:sz w:val="24"/>
        </w:rPr>
        <w:t xml:space="preserve">Jorquera-Chavez, M., Fuentes, S., </w:t>
      </w:r>
      <w:proofErr w:type="spellStart"/>
      <w:r w:rsidRPr="005C7535">
        <w:rPr>
          <w:b w:val="0"/>
          <w:sz w:val="24"/>
        </w:rPr>
        <w:t>Dunshea</w:t>
      </w:r>
      <w:proofErr w:type="spellEnd"/>
      <w:r w:rsidRPr="005C7535">
        <w:rPr>
          <w:b w:val="0"/>
          <w:sz w:val="24"/>
        </w:rPr>
        <w:t xml:space="preserve">, F. R., Warner, R. D., Poblete, T., &amp; </w:t>
      </w:r>
      <w:proofErr w:type="spellStart"/>
      <w:r w:rsidRPr="005C7535">
        <w:rPr>
          <w:b w:val="0"/>
          <w:sz w:val="24"/>
        </w:rPr>
        <w:t>Jongman</w:t>
      </w:r>
      <w:proofErr w:type="spellEnd"/>
      <w:r w:rsidRPr="005C7535">
        <w:rPr>
          <w:b w:val="0"/>
          <w:sz w:val="24"/>
        </w:rPr>
        <w:t>, E. C. (2019). Modelling and validation of computer vision techniques to assess heart rate, eye temperature, ear-base temperature and respiration rate in cattle. Animals, 9(12), Article 1089. https://doi.org/10.3390/ani9121089</w:t>
      </w:r>
    </w:p>
    <w:p w14:paraId="56439533" w14:textId="77777777" w:rsidR="005C7535" w:rsidRPr="005C7535" w:rsidRDefault="005C7535" w:rsidP="005C7535">
      <w:pPr>
        <w:pStyle w:val="Heading3"/>
        <w:rPr>
          <w:b w:val="0"/>
          <w:sz w:val="24"/>
        </w:rPr>
      </w:pPr>
      <w:r w:rsidRPr="005C7535">
        <w:rPr>
          <w:b w:val="0"/>
          <w:sz w:val="24"/>
        </w:rPr>
        <w:t xml:space="preserve">Kamphuis, C., </w:t>
      </w:r>
      <w:proofErr w:type="spellStart"/>
      <w:r w:rsidRPr="005C7535">
        <w:rPr>
          <w:b w:val="0"/>
          <w:sz w:val="24"/>
        </w:rPr>
        <w:t>Mollenhorst</w:t>
      </w:r>
      <w:proofErr w:type="spellEnd"/>
      <w:r w:rsidRPr="005C7535">
        <w:rPr>
          <w:b w:val="0"/>
          <w:sz w:val="24"/>
        </w:rPr>
        <w:t xml:space="preserve">, H., </w:t>
      </w:r>
      <w:proofErr w:type="spellStart"/>
      <w:r w:rsidRPr="005C7535">
        <w:rPr>
          <w:b w:val="0"/>
          <w:sz w:val="24"/>
        </w:rPr>
        <w:t>Feelders</w:t>
      </w:r>
      <w:proofErr w:type="spellEnd"/>
      <w:r w:rsidRPr="005C7535">
        <w:rPr>
          <w:b w:val="0"/>
          <w:sz w:val="24"/>
        </w:rPr>
        <w:t xml:space="preserve">, A. J., </w:t>
      </w:r>
      <w:proofErr w:type="spellStart"/>
      <w:r w:rsidRPr="005C7535">
        <w:rPr>
          <w:b w:val="0"/>
          <w:sz w:val="24"/>
        </w:rPr>
        <w:t>Pietersma</w:t>
      </w:r>
      <w:proofErr w:type="spellEnd"/>
      <w:r w:rsidRPr="005C7535">
        <w:rPr>
          <w:b w:val="0"/>
          <w:sz w:val="24"/>
        </w:rPr>
        <w:t xml:space="preserve">, D., &amp; Hogeveen, H. (2010). Decision-tree induction to detect clinical mastitis with automatic milking. Computers and Electronics in Agriculture, 70(1), 60–68. https://doi.org/10.1016/j.compag.2009.08.012 </w:t>
      </w:r>
    </w:p>
    <w:p w14:paraId="79BFA6EE" w14:textId="77777777" w:rsidR="005C7535" w:rsidRPr="005C7535" w:rsidRDefault="005C7535" w:rsidP="005C7535">
      <w:pPr>
        <w:pStyle w:val="Heading3"/>
        <w:rPr>
          <w:b w:val="0"/>
          <w:sz w:val="24"/>
        </w:rPr>
      </w:pPr>
      <w:r w:rsidRPr="005C7535">
        <w:rPr>
          <w:b w:val="0"/>
          <w:sz w:val="24"/>
        </w:rPr>
        <w:t xml:space="preserve">LeBlanc, S. J., Lissemore, K. D., Kelton, D. F., Duffield, T. F., &amp; Leslie, K. E. (2006). Major advances in disease prevention in dairy cattle. Journal of Dairy Science, 89(4), 1267–1279. https://doi.org/10.3168/jds.S0022-0302(06)72195-6 </w:t>
      </w:r>
    </w:p>
    <w:p w14:paraId="4873FDC2" w14:textId="77777777" w:rsidR="005C7535" w:rsidRPr="005C7535" w:rsidRDefault="005C7535" w:rsidP="005C7535">
      <w:pPr>
        <w:pStyle w:val="Heading3"/>
        <w:rPr>
          <w:b w:val="0"/>
          <w:sz w:val="24"/>
        </w:rPr>
      </w:pPr>
      <w:r w:rsidRPr="005C7535">
        <w:rPr>
          <w:b w:val="0"/>
          <w:sz w:val="24"/>
        </w:rPr>
        <w:t xml:space="preserve">Liakos, K. G., Busato, P., </w:t>
      </w:r>
      <w:proofErr w:type="spellStart"/>
      <w:r w:rsidRPr="005C7535">
        <w:rPr>
          <w:b w:val="0"/>
          <w:sz w:val="24"/>
        </w:rPr>
        <w:t>Moshou</w:t>
      </w:r>
      <w:proofErr w:type="spellEnd"/>
      <w:r w:rsidRPr="005C7535">
        <w:rPr>
          <w:b w:val="0"/>
          <w:sz w:val="24"/>
        </w:rPr>
        <w:t xml:space="preserve">, D., Pearson, S., &amp; </w:t>
      </w:r>
      <w:proofErr w:type="spellStart"/>
      <w:r w:rsidRPr="005C7535">
        <w:rPr>
          <w:b w:val="0"/>
          <w:sz w:val="24"/>
        </w:rPr>
        <w:t>Bochtis</w:t>
      </w:r>
      <w:proofErr w:type="spellEnd"/>
      <w:r w:rsidRPr="005C7535">
        <w:rPr>
          <w:b w:val="0"/>
          <w:sz w:val="24"/>
        </w:rPr>
        <w:t xml:space="preserve">, D. (2018). Machine learning in agriculture: A review. Sensors, 18(8), 2674. https://doi.org/10.3390/s18082674 </w:t>
      </w:r>
    </w:p>
    <w:p w14:paraId="24DADAB6" w14:textId="77777777" w:rsidR="005C7535" w:rsidRPr="005C7535" w:rsidRDefault="005C7535" w:rsidP="005C7535">
      <w:pPr>
        <w:pStyle w:val="Heading3"/>
        <w:rPr>
          <w:b w:val="0"/>
          <w:sz w:val="24"/>
        </w:rPr>
      </w:pPr>
      <w:proofErr w:type="spellStart"/>
      <w:r w:rsidRPr="005C7535">
        <w:rPr>
          <w:b w:val="0"/>
          <w:sz w:val="24"/>
        </w:rPr>
        <w:t>Martiskainen</w:t>
      </w:r>
      <w:proofErr w:type="spellEnd"/>
      <w:r w:rsidRPr="005C7535">
        <w:rPr>
          <w:b w:val="0"/>
          <w:sz w:val="24"/>
        </w:rPr>
        <w:t xml:space="preserve">, P., Järvinen, M., </w:t>
      </w:r>
      <w:proofErr w:type="spellStart"/>
      <w:r w:rsidRPr="005C7535">
        <w:rPr>
          <w:b w:val="0"/>
          <w:sz w:val="24"/>
        </w:rPr>
        <w:t>Skön</w:t>
      </w:r>
      <w:proofErr w:type="spellEnd"/>
      <w:r w:rsidRPr="005C7535">
        <w:rPr>
          <w:b w:val="0"/>
          <w:sz w:val="24"/>
        </w:rPr>
        <w:t xml:space="preserve">, J. P., </w:t>
      </w:r>
      <w:proofErr w:type="spellStart"/>
      <w:r w:rsidRPr="005C7535">
        <w:rPr>
          <w:b w:val="0"/>
          <w:sz w:val="24"/>
        </w:rPr>
        <w:t>Tiirikainen</w:t>
      </w:r>
      <w:proofErr w:type="spellEnd"/>
      <w:r w:rsidRPr="005C7535">
        <w:rPr>
          <w:b w:val="0"/>
          <w:sz w:val="24"/>
        </w:rPr>
        <w:t xml:space="preserve">, J., Kolehmainen, M., &amp; Mononen, J. (2009). Cow behaviour pattern recognition using a three-dimensional accelerometer and support vector machines. Applied Animal Behaviour Science, 119(1–2), 32–38. https://doi.org/10.1016/j.applanim.2009.03.005 </w:t>
      </w:r>
    </w:p>
    <w:p w14:paraId="7B054CC8" w14:textId="77777777" w:rsidR="005C7535" w:rsidRPr="005C7535" w:rsidRDefault="005C7535" w:rsidP="005C7535">
      <w:pPr>
        <w:pStyle w:val="Heading3"/>
        <w:rPr>
          <w:b w:val="0"/>
          <w:sz w:val="24"/>
        </w:rPr>
      </w:pPr>
      <w:r w:rsidRPr="005C7535">
        <w:rPr>
          <w:b w:val="0"/>
          <w:sz w:val="24"/>
        </w:rPr>
        <w:t xml:space="preserve">Monteiro, A., Santos, S., &amp; Gonçalves, P. (2021). Precision agriculture for crop and livestock farming—Brief review. Animals, 11(8), 2345. https://doi.org/10.3390/ani11082345 </w:t>
      </w:r>
    </w:p>
    <w:p w14:paraId="155F9E9A" w14:textId="77777777" w:rsidR="005C7535" w:rsidRPr="005C7535" w:rsidRDefault="005C7535" w:rsidP="005C7535">
      <w:pPr>
        <w:pStyle w:val="Heading3"/>
        <w:rPr>
          <w:b w:val="0"/>
          <w:sz w:val="24"/>
        </w:rPr>
      </w:pPr>
      <w:proofErr w:type="spellStart"/>
      <w:r w:rsidRPr="005C7535">
        <w:rPr>
          <w:b w:val="0"/>
          <w:sz w:val="24"/>
        </w:rPr>
        <w:t>Morota</w:t>
      </w:r>
      <w:proofErr w:type="spellEnd"/>
      <w:r w:rsidRPr="005C7535">
        <w:rPr>
          <w:b w:val="0"/>
          <w:sz w:val="24"/>
        </w:rPr>
        <w:t xml:space="preserve">, G., Ventura, R. V., Silva, F. F., Koyama, M., &amp; Fernando, S. C. (2018). Big data analytics and precision animal agriculture symposium: Machine learning and data mining advance predictive big data analysis in precision animal agriculture. Journal of Animal Science, 96(4), 1540–1550. https://doi.org/10.1093/jas/sky014 </w:t>
      </w:r>
    </w:p>
    <w:p w14:paraId="10543CDC" w14:textId="77777777" w:rsidR="005C7535" w:rsidRPr="005C7535" w:rsidRDefault="005C7535" w:rsidP="005C7535">
      <w:pPr>
        <w:pStyle w:val="Heading3"/>
        <w:rPr>
          <w:b w:val="0"/>
          <w:sz w:val="24"/>
        </w:rPr>
      </w:pPr>
      <w:proofErr w:type="spellStart"/>
      <w:r w:rsidRPr="005C7535">
        <w:rPr>
          <w:b w:val="0"/>
          <w:sz w:val="24"/>
        </w:rPr>
        <w:t>Neethirajan</w:t>
      </w:r>
      <w:proofErr w:type="spellEnd"/>
      <w:r w:rsidRPr="005C7535">
        <w:rPr>
          <w:b w:val="0"/>
          <w:sz w:val="24"/>
        </w:rPr>
        <w:t xml:space="preserve">, S. (2017). Recent advances in wearable sensors for animal health management. Sensing and Bio-Sensing Research, 12, 15–29. https://doi.org/10.1016/j.sbsr.2016.11.004 </w:t>
      </w:r>
    </w:p>
    <w:p w14:paraId="0AAF7F45" w14:textId="77777777" w:rsidR="005C7535" w:rsidRPr="005C7535" w:rsidRDefault="005C7535" w:rsidP="005C7535">
      <w:pPr>
        <w:pStyle w:val="Heading3"/>
        <w:rPr>
          <w:b w:val="0"/>
          <w:sz w:val="24"/>
        </w:rPr>
      </w:pPr>
      <w:proofErr w:type="spellStart"/>
      <w:r w:rsidRPr="005C7535">
        <w:rPr>
          <w:b w:val="0"/>
          <w:sz w:val="24"/>
        </w:rPr>
        <w:t>Neethirajan</w:t>
      </w:r>
      <w:proofErr w:type="spellEnd"/>
      <w:r w:rsidRPr="005C7535">
        <w:rPr>
          <w:b w:val="0"/>
          <w:sz w:val="24"/>
        </w:rPr>
        <w:t xml:space="preserve">, S., &amp; Kemp, B. (2021). Digital livestock farming. Sensing and Bio-Sensing Research, 32, 100408. https://doi.org/10.1016/j.sbsr.2021.100408 </w:t>
      </w:r>
    </w:p>
    <w:p w14:paraId="09B22827" w14:textId="77777777" w:rsidR="005C7535" w:rsidRPr="005C7535" w:rsidRDefault="005C7535" w:rsidP="005C7535">
      <w:pPr>
        <w:pStyle w:val="Heading3"/>
        <w:rPr>
          <w:b w:val="0"/>
          <w:sz w:val="24"/>
        </w:rPr>
      </w:pPr>
      <w:r w:rsidRPr="005C7535">
        <w:rPr>
          <w:b w:val="0"/>
          <w:sz w:val="24"/>
        </w:rPr>
        <w:t xml:space="preserve">Peng, Y., Kondo, N., Fujiura, T., Suzuki, T., Wulandari, Yoshioka, H., &amp; </w:t>
      </w:r>
      <w:proofErr w:type="spellStart"/>
      <w:r w:rsidRPr="005C7535">
        <w:rPr>
          <w:b w:val="0"/>
          <w:sz w:val="24"/>
        </w:rPr>
        <w:t>Itoyama</w:t>
      </w:r>
      <w:proofErr w:type="spellEnd"/>
      <w:r w:rsidRPr="005C7535">
        <w:rPr>
          <w:b w:val="0"/>
          <w:sz w:val="24"/>
        </w:rPr>
        <w:t xml:space="preserve">, E. (2019). Classification of multiple cattle </w:t>
      </w:r>
      <w:proofErr w:type="spellStart"/>
      <w:r w:rsidRPr="005C7535">
        <w:rPr>
          <w:b w:val="0"/>
          <w:sz w:val="24"/>
        </w:rPr>
        <w:t>behavior</w:t>
      </w:r>
      <w:proofErr w:type="spellEnd"/>
      <w:r w:rsidRPr="005C7535">
        <w:rPr>
          <w:b w:val="0"/>
          <w:sz w:val="24"/>
        </w:rPr>
        <w:t xml:space="preserve"> patterns using a recurrent neural network with long short-term memory and inertial measurement units. Computers and Electronics in Agriculture, 157, 247–253. https://doi.org/10.1016/j.compag.2018.12.023 </w:t>
      </w:r>
    </w:p>
    <w:p w14:paraId="12BB087C" w14:textId="77777777" w:rsidR="005C7535" w:rsidRPr="005C7535" w:rsidRDefault="005C7535" w:rsidP="005C7535">
      <w:pPr>
        <w:pStyle w:val="Heading3"/>
        <w:rPr>
          <w:b w:val="0"/>
          <w:sz w:val="24"/>
        </w:rPr>
      </w:pPr>
      <w:r w:rsidRPr="005C7535">
        <w:rPr>
          <w:b w:val="0"/>
          <w:sz w:val="24"/>
        </w:rPr>
        <w:t xml:space="preserve">Qiao, Y., Kong, H., Clark, C. E. F., Lomax, S., Su, D., Eiffert, S., &amp; </w:t>
      </w:r>
      <w:proofErr w:type="spellStart"/>
      <w:r w:rsidRPr="005C7535">
        <w:rPr>
          <w:b w:val="0"/>
          <w:sz w:val="24"/>
        </w:rPr>
        <w:t>Sukkarieh</w:t>
      </w:r>
      <w:proofErr w:type="spellEnd"/>
      <w:r w:rsidRPr="005C7535">
        <w:rPr>
          <w:b w:val="0"/>
          <w:sz w:val="24"/>
        </w:rPr>
        <w:t xml:space="preserve">, S. (2021). Intelligent perception for cattle monitoring: A review for cattle identification, body condition </w:t>
      </w:r>
      <w:r w:rsidRPr="005C7535">
        <w:rPr>
          <w:b w:val="0"/>
          <w:sz w:val="24"/>
        </w:rPr>
        <w:lastRenderedPageBreak/>
        <w:t xml:space="preserve">score evaluation, and weight estimation. Computers and Electronics in Agriculture, 185, 106143. https://doi.org/10.1016/j.compag.2021.106143 </w:t>
      </w:r>
    </w:p>
    <w:p w14:paraId="2C4125E2" w14:textId="77777777" w:rsidR="005C7535" w:rsidRPr="005C7535" w:rsidRDefault="005C7535" w:rsidP="005C7535">
      <w:pPr>
        <w:pStyle w:val="Heading3"/>
        <w:rPr>
          <w:b w:val="0"/>
          <w:sz w:val="24"/>
        </w:rPr>
      </w:pPr>
      <w:r w:rsidRPr="005C7535">
        <w:rPr>
          <w:b w:val="0"/>
          <w:sz w:val="24"/>
        </w:rPr>
        <w:t xml:space="preserve">Riaboff, L., </w:t>
      </w:r>
      <w:proofErr w:type="spellStart"/>
      <w:r w:rsidRPr="005C7535">
        <w:rPr>
          <w:b w:val="0"/>
          <w:sz w:val="24"/>
        </w:rPr>
        <w:t>Shalloo</w:t>
      </w:r>
      <w:proofErr w:type="spellEnd"/>
      <w:r w:rsidRPr="005C7535">
        <w:rPr>
          <w:b w:val="0"/>
          <w:sz w:val="24"/>
        </w:rPr>
        <w:t xml:space="preserve">, L., Smeaton, A. F., Couvreur, S., </w:t>
      </w:r>
      <w:proofErr w:type="spellStart"/>
      <w:r w:rsidRPr="005C7535">
        <w:rPr>
          <w:b w:val="0"/>
          <w:sz w:val="24"/>
        </w:rPr>
        <w:t>Madouasse</w:t>
      </w:r>
      <w:proofErr w:type="spellEnd"/>
      <w:r w:rsidRPr="005C7535">
        <w:rPr>
          <w:b w:val="0"/>
          <w:sz w:val="24"/>
        </w:rPr>
        <w:t xml:space="preserve">, A., &amp; Keane, M. T. (2022). Predicting livestock behaviour using accelerometers: A systematic review of processing techniques for ruminant behaviour prediction from raw accelerometer data. Computers and Electronics in Agriculture, 192, 106610. https://doi.org/10.1016/j.compag.2021.106610 </w:t>
      </w:r>
    </w:p>
    <w:p w14:paraId="5A5728B7" w14:textId="77777777" w:rsidR="005C7535" w:rsidRPr="005C7535" w:rsidRDefault="005C7535" w:rsidP="005C7535">
      <w:pPr>
        <w:pStyle w:val="Heading3"/>
        <w:rPr>
          <w:b w:val="0"/>
          <w:sz w:val="24"/>
        </w:rPr>
      </w:pPr>
      <w:r w:rsidRPr="005C7535">
        <w:rPr>
          <w:b w:val="0"/>
          <w:sz w:val="24"/>
        </w:rPr>
        <w:t xml:space="preserve">Rutten, C. J., Velthuis, A. G. J., </w:t>
      </w:r>
      <w:proofErr w:type="spellStart"/>
      <w:r w:rsidRPr="005C7535">
        <w:rPr>
          <w:b w:val="0"/>
          <w:sz w:val="24"/>
        </w:rPr>
        <w:t>Steeneveld</w:t>
      </w:r>
      <w:proofErr w:type="spellEnd"/>
      <w:r w:rsidRPr="005C7535">
        <w:rPr>
          <w:b w:val="0"/>
          <w:sz w:val="24"/>
        </w:rPr>
        <w:t xml:space="preserve">, W., &amp; Hogeveen, H. (2013). Invited review: Sensors to support health management on dairy farms. Journal of Dairy Science, 96(4), 1928–1952. https://doi.org/10.3168/jds.2012-6107 </w:t>
      </w:r>
    </w:p>
    <w:p w14:paraId="5CC1D79C" w14:textId="77777777" w:rsidR="005C7535" w:rsidRPr="005C7535" w:rsidRDefault="005C7535" w:rsidP="005C7535">
      <w:pPr>
        <w:pStyle w:val="Heading3"/>
        <w:rPr>
          <w:b w:val="0"/>
          <w:sz w:val="24"/>
        </w:rPr>
      </w:pPr>
      <w:r w:rsidRPr="005C7535">
        <w:rPr>
          <w:b w:val="0"/>
          <w:sz w:val="24"/>
        </w:rPr>
        <w:t xml:space="preserve">Schlageter-Tello, A., </w:t>
      </w:r>
      <w:proofErr w:type="spellStart"/>
      <w:r w:rsidRPr="005C7535">
        <w:rPr>
          <w:b w:val="0"/>
          <w:sz w:val="24"/>
        </w:rPr>
        <w:t>Bokkers</w:t>
      </w:r>
      <w:proofErr w:type="spellEnd"/>
      <w:r w:rsidRPr="005C7535">
        <w:rPr>
          <w:b w:val="0"/>
          <w:sz w:val="24"/>
        </w:rPr>
        <w:t xml:space="preserve">, E. A. M., Groot Koerkamp, P. W. G., van </w:t>
      </w:r>
      <w:proofErr w:type="spellStart"/>
      <w:r w:rsidRPr="005C7535">
        <w:rPr>
          <w:b w:val="0"/>
          <w:sz w:val="24"/>
        </w:rPr>
        <w:t>Hertem</w:t>
      </w:r>
      <w:proofErr w:type="spellEnd"/>
      <w:r w:rsidRPr="005C7535">
        <w:rPr>
          <w:b w:val="0"/>
          <w:sz w:val="24"/>
        </w:rPr>
        <w:t xml:space="preserve">, T., </w:t>
      </w:r>
      <w:proofErr w:type="spellStart"/>
      <w:r w:rsidRPr="005C7535">
        <w:rPr>
          <w:b w:val="0"/>
          <w:sz w:val="24"/>
        </w:rPr>
        <w:t>Viazzi</w:t>
      </w:r>
      <w:proofErr w:type="spellEnd"/>
      <w:r w:rsidRPr="005C7535">
        <w:rPr>
          <w:b w:val="0"/>
          <w:sz w:val="24"/>
        </w:rPr>
        <w:t xml:space="preserve">, S., Romanini, C. E. B., </w:t>
      </w:r>
      <w:proofErr w:type="spellStart"/>
      <w:r w:rsidRPr="005C7535">
        <w:rPr>
          <w:b w:val="0"/>
          <w:sz w:val="24"/>
        </w:rPr>
        <w:t>Halachmi</w:t>
      </w:r>
      <w:proofErr w:type="spellEnd"/>
      <w:r w:rsidRPr="005C7535">
        <w:rPr>
          <w:b w:val="0"/>
          <w:sz w:val="24"/>
        </w:rPr>
        <w:t xml:space="preserve">, I., Bahr, C., Berckmans, D., &amp; </w:t>
      </w:r>
      <w:proofErr w:type="spellStart"/>
      <w:r w:rsidRPr="005C7535">
        <w:rPr>
          <w:b w:val="0"/>
          <w:sz w:val="24"/>
        </w:rPr>
        <w:t>Lokhorst</w:t>
      </w:r>
      <w:proofErr w:type="spellEnd"/>
      <w:r w:rsidRPr="005C7535">
        <w:rPr>
          <w:b w:val="0"/>
          <w:sz w:val="24"/>
        </w:rPr>
        <w:t xml:space="preserve">, K. (2014). Manual and automatic locomotion scoring systems in dairy cows: A review. Preventive Veterinary Medicine, 116(1–2), 12–25. https://doi.org/10.1016/j.prevetmed.2014.06.006 </w:t>
      </w:r>
    </w:p>
    <w:p w14:paraId="1379616D" w14:textId="77777777" w:rsidR="005C7535" w:rsidRPr="005C7535" w:rsidRDefault="005C7535" w:rsidP="005C7535">
      <w:pPr>
        <w:pStyle w:val="Heading3"/>
        <w:rPr>
          <w:b w:val="0"/>
          <w:sz w:val="24"/>
        </w:rPr>
      </w:pPr>
      <w:r w:rsidRPr="005C7535">
        <w:rPr>
          <w:b w:val="0"/>
          <w:sz w:val="24"/>
        </w:rPr>
        <w:t xml:space="preserve">Shahinfar, S., Page, D., Guenther, J., Cabrera, V., Fricke, P., &amp; Weigel, K. (2014). Prediction of insemination outcomes in Holstein dairy cattle using alternative machine learning algorithms. Journal of Dairy Science, 97(2), 731–742. https://doi.org/10.3168/jds.2013-6693 </w:t>
      </w:r>
    </w:p>
    <w:p w14:paraId="329B5FB3" w14:textId="77777777" w:rsidR="005C7535" w:rsidRPr="005C7535" w:rsidRDefault="005C7535" w:rsidP="005C7535">
      <w:pPr>
        <w:pStyle w:val="Heading3"/>
        <w:rPr>
          <w:b w:val="0"/>
          <w:sz w:val="24"/>
        </w:rPr>
      </w:pPr>
      <w:r w:rsidRPr="005C7535">
        <w:rPr>
          <w:b w:val="0"/>
          <w:sz w:val="24"/>
        </w:rPr>
        <w:t xml:space="preserve">Snyder, H. (2019). Literature review as a research methodology: An overview and guidelines. Journal of Business Research, 104, 333–339. https://doi.org/10.1016/j.jbusres.2019.07.039 </w:t>
      </w:r>
    </w:p>
    <w:p w14:paraId="0DB32C59" w14:textId="77777777" w:rsidR="005C7535" w:rsidRPr="005C7535" w:rsidRDefault="005C7535" w:rsidP="005C7535">
      <w:pPr>
        <w:pStyle w:val="Heading3"/>
        <w:rPr>
          <w:b w:val="0"/>
          <w:sz w:val="24"/>
        </w:rPr>
      </w:pPr>
      <w:r w:rsidRPr="005C7535">
        <w:rPr>
          <w:b w:val="0"/>
          <w:sz w:val="24"/>
        </w:rPr>
        <w:t xml:space="preserve">Song, X., </w:t>
      </w:r>
      <w:proofErr w:type="spellStart"/>
      <w:r w:rsidRPr="005C7535">
        <w:rPr>
          <w:b w:val="0"/>
          <w:sz w:val="24"/>
        </w:rPr>
        <w:t>Bokkers</w:t>
      </w:r>
      <w:proofErr w:type="spellEnd"/>
      <w:r w:rsidRPr="005C7535">
        <w:rPr>
          <w:b w:val="0"/>
          <w:sz w:val="24"/>
        </w:rPr>
        <w:t xml:space="preserve">, E. A. M., van </w:t>
      </w:r>
      <w:proofErr w:type="spellStart"/>
      <w:r w:rsidRPr="005C7535">
        <w:rPr>
          <w:b w:val="0"/>
          <w:sz w:val="24"/>
        </w:rPr>
        <w:t>Mourik</w:t>
      </w:r>
      <w:proofErr w:type="spellEnd"/>
      <w:r w:rsidRPr="005C7535">
        <w:rPr>
          <w:b w:val="0"/>
          <w:sz w:val="24"/>
        </w:rPr>
        <w:t xml:space="preserve">, S., Groot Koerkamp, P. W. G., &amp; van der Tol, P. P. J. (2019). Automated body condition scoring of dairy cows using 3-dimensional feature extraction from multiple body regions. Journal of Dairy Science, 102(5), 4294–4308. https://doi.org/10.3168/jds.2018-15238 </w:t>
      </w:r>
    </w:p>
    <w:p w14:paraId="2DB90F66" w14:textId="77777777" w:rsidR="005C7535" w:rsidRPr="005C7535" w:rsidRDefault="005C7535" w:rsidP="005C7535">
      <w:pPr>
        <w:pStyle w:val="Heading3"/>
        <w:rPr>
          <w:b w:val="0"/>
          <w:sz w:val="24"/>
        </w:rPr>
      </w:pPr>
      <w:proofErr w:type="spellStart"/>
      <w:r w:rsidRPr="005C7535">
        <w:rPr>
          <w:b w:val="0"/>
          <w:sz w:val="24"/>
        </w:rPr>
        <w:t>Steeneveld</w:t>
      </w:r>
      <w:proofErr w:type="spellEnd"/>
      <w:r w:rsidRPr="005C7535">
        <w:rPr>
          <w:b w:val="0"/>
          <w:sz w:val="24"/>
        </w:rPr>
        <w:t xml:space="preserve">, W., van der Gaag, L. C., </w:t>
      </w:r>
      <w:proofErr w:type="spellStart"/>
      <w:r w:rsidRPr="005C7535">
        <w:rPr>
          <w:b w:val="0"/>
          <w:sz w:val="24"/>
        </w:rPr>
        <w:t>Ouweltjes</w:t>
      </w:r>
      <w:proofErr w:type="spellEnd"/>
      <w:r w:rsidRPr="005C7535">
        <w:rPr>
          <w:b w:val="0"/>
          <w:sz w:val="24"/>
        </w:rPr>
        <w:t xml:space="preserve">, W., </w:t>
      </w:r>
      <w:proofErr w:type="spellStart"/>
      <w:r w:rsidRPr="005C7535">
        <w:rPr>
          <w:b w:val="0"/>
          <w:sz w:val="24"/>
        </w:rPr>
        <w:t>Mollenhorst</w:t>
      </w:r>
      <w:proofErr w:type="spellEnd"/>
      <w:r w:rsidRPr="005C7535">
        <w:rPr>
          <w:b w:val="0"/>
          <w:sz w:val="24"/>
        </w:rPr>
        <w:t xml:space="preserve">, H., &amp; Hogeveen, H. (2010). Discriminating between true-positive and false-positive clinical mastitis alerts from automatic milking systems. Journal of Dairy Science, 93(6), 2559–2568. https://doi.org/10.3168/jds.2009-3020 </w:t>
      </w:r>
    </w:p>
    <w:p w14:paraId="2F909752" w14:textId="77777777" w:rsidR="005C7535" w:rsidRPr="005C7535" w:rsidRDefault="005C7535" w:rsidP="005C7535">
      <w:pPr>
        <w:pStyle w:val="Heading3"/>
        <w:rPr>
          <w:b w:val="0"/>
          <w:sz w:val="24"/>
        </w:rPr>
      </w:pPr>
      <w:r w:rsidRPr="005C7535">
        <w:rPr>
          <w:b w:val="0"/>
          <w:sz w:val="24"/>
        </w:rPr>
        <w:t xml:space="preserve">Tassinari, P., Bovo, M., Benni, S., Franzoni, S., Poggi, M., </w:t>
      </w:r>
      <w:proofErr w:type="spellStart"/>
      <w:r w:rsidRPr="005C7535">
        <w:rPr>
          <w:b w:val="0"/>
          <w:sz w:val="24"/>
        </w:rPr>
        <w:t>Mammi</w:t>
      </w:r>
      <w:proofErr w:type="spellEnd"/>
      <w:r w:rsidRPr="005C7535">
        <w:rPr>
          <w:b w:val="0"/>
          <w:sz w:val="24"/>
        </w:rPr>
        <w:t xml:space="preserve">, L. M. E., </w:t>
      </w:r>
      <w:proofErr w:type="spellStart"/>
      <w:r w:rsidRPr="005C7535">
        <w:rPr>
          <w:b w:val="0"/>
          <w:sz w:val="24"/>
        </w:rPr>
        <w:t>Mattoccia</w:t>
      </w:r>
      <w:proofErr w:type="spellEnd"/>
      <w:r w:rsidRPr="005C7535">
        <w:rPr>
          <w:b w:val="0"/>
          <w:sz w:val="24"/>
        </w:rPr>
        <w:t xml:space="preserve">, S., Di Stefano, L., Bonora, F., Barbaresi, A., </w:t>
      </w:r>
      <w:proofErr w:type="spellStart"/>
      <w:r w:rsidRPr="005C7535">
        <w:rPr>
          <w:b w:val="0"/>
          <w:sz w:val="24"/>
        </w:rPr>
        <w:t>Santolini</w:t>
      </w:r>
      <w:proofErr w:type="spellEnd"/>
      <w:r w:rsidRPr="005C7535">
        <w:rPr>
          <w:b w:val="0"/>
          <w:sz w:val="24"/>
        </w:rPr>
        <w:t xml:space="preserve">, E., &amp; </w:t>
      </w:r>
      <w:proofErr w:type="spellStart"/>
      <w:r w:rsidRPr="005C7535">
        <w:rPr>
          <w:b w:val="0"/>
          <w:sz w:val="24"/>
        </w:rPr>
        <w:t>Torreggiani</w:t>
      </w:r>
      <w:proofErr w:type="spellEnd"/>
      <w:r w:rsidRPr="005C7535">
        <w:rPr>
          <w:b w:val="0"/>
          <w:sz w:val="24"/>
        </w:rPr>
        <w:t xml:space="preserve">, D. (2021). A computer vision approach based on deep learning for the detection of dairy cows in free stall barn. Computers and Electronics in Agriculture, 182, 106030. https://doi.org/10.1016/j.compag.2021.106030 </w:t>
      </w:r>
    </w:p>
    <w:p w14:paraId="5909E168" w14:textId="77777777" w:rsidR="005C7535" w:rsidRPr="005C7535" w:rsidRDefault="005C7535" w:rsidP="005C7535">
      <w:pPr>
        <w:pStyle w:val="Heading3"/>
        <w:rPr>
          <w:b w:val="0"/>
          <w:sz w:val="24"/>
        </w:rPr>
      </w:pPr>
      <w:r w:rsidRPr="005C7535">
        <w:rPr>
          <w:b w:val="0"/>
          <w:sz w:val="24"/>
        </w:rPr>
        <w:t xml:space="preserve">Van </w:t>
      </w:r>
      <w:proofErr w:type="spellStart"/>
      <w:r w:rsidRPr="005C7535">
        <w:rPr>
          <w:b w:val="0"/>
          <w:sz w:val="24"/>
        </w:rPr>
        <w:t>Hertem</w:t>
      </w:r>
      <w:proofErr w:type="spellEnd"/>
      <w:r w:rsidRPr="005C7535">
        <w:rPr>
          <w:b w:val="0"/>
          <w:sz w:val="24"/>
        </w:rPr>
        <w:t xml:space="preserve">, T., Schlageter Tello, A., </w:t>
      </w:r>
      <w:proofErr w:type="spellStart"/>
      <w:r w:rsidRPr="005C7535">
        <w:rPr>
          <w:b w:val="0"/>
          <w:sz w:val="24"/>
        </w:rPr>
        <w:t>Viazzi</w:t>
      </w:r>
      <w:proofErr w:type="spellEnd"/>
      <w:r w:rsidRPr="005C7535">
        <w:rPr>
          <w:b w:val="0"/>
          <w:sz w:val="24"/>
        </w:rPr>
        <w:t xml:space="preserve">, S., </w:t>
      </w:r>
      <w:proofErr w:type="spellStart"/>
      <w:r w:rsidRPr="005C7535">
        <w:rPr>
          <w:b w:val="0"/>
          <w:sz w:val="24"/>
        </w:rPr>
        <w:t>Steensels</w:t>
      </w:r>
      <w:proofErr w:type="spellEnd"/>
      <w:r w:rsidRPr="005C7535">
        <w:rPr>
          <w:b w:val="0"/>
          <w:sz w:val="24"/>
        </w:rPr>
        <w:t xml:space="preserve">, M., Bahr, C., Romanini, C. E. B., </w:t>
      </w:r>
      <w:proofErr w:type="spellStart"/>
      <w:r w:rsidRPr="005C7535">
        <w:rPr>
          <w:b w:val="0"/>
          <w:sz w:val="24"/>
        </w:rPr>
        <w:t>Lokhorst</w:t>
      </w:r>
      <w:proofErr w:type="spellEnd"/>
      <w:r w:rsidRPr="005C7535">
        <w:rPr>
          <w:b w:val="0"/>
          <w:sz w:val="24"/>
        </w:rPr>
        <w:t xml:space="preserve">, K., Maltz, E., </w:t>
      </w:r>
      <w:proofErr w:type="spellStart"/>
      <w:r w:rsidRPr="005C7535">
        <w:rPr>
          <w:b w:val="0"/>
          <w:sz w:val="24"/>
        </w:rPr>
        <w:t>Halachmi</w:t>
      </w:r>
      <w:proofErr w:type="spellEnd"/>
      <w:r w:rsidRPr="005C7535">
        <w:rPr>
          <w:b w:val="0"/>
          <w:sz w:val="24"/>
        </w:rPr>
        <w:t xml:space="preserve">, I., &amp; Berckmans, D. (2018). Implementation of an automatic 3D vision monitor for dairy cow locomotion in a commercial farm. Biosystems Engineering, 173, 166–175. https://doi.org/10.1016/j.biosystemseng.2017.08.011 </w:t>
      </w:r>
    </w:p>
    <w:p w14:paraId="6B192A98" w14:textId="77777777" w:rsidR="005C7535" w:rsidRPr="005C7535" w:rsidRDefault="005C7535" w:rsidP="005C7535">
      <w:pPr>
        <w:pStyle w:val="Heading3"/>
        <w:rPr>
          <w:b w:val="0"/>
          <w:sz w:val="24"/>
        </w:rPr>
      </w:pPr>
      <w:r w:rsidRPr="005C7535">
        <w:rPr>
          <w:b w:val="0"/>
          <w:sz w:val="24"/>
        </w:rPr>
        <w:t xml:space="preserve">Vandermeulen, J., Bahr, C., Johnston, D., Earley, B., Tullo, E., Fontana, I., Guarino, M., </w:t>
      </w:r>
      <w:proofErr w:type="spellStart"/>
      <w:r w:rsidRPr="005C7535">
        <w:rPr>
          <w:b w:val="0"/>
          <w:sz w:val="24"/>
        </w:rPr>
        <w:t>Exadaktylos</w:t>
      </w:r>
      <w:proofErr w:type="spellEnd"/>
      <w:r w:rsidRPr="005C7535">
        <w:rPr>
          <w:b w:val="0"/>
          <w:sz w:val="24"/>
        </w:rPr>
        <w:t xml:space="preserve">, V., &amp; Berckmans, D. (2016). Early recognition of bovine respiratory disease in calves using automated continuous monitoring of cough sounds. Computers and Electronics in Agriculture, 129, 15–26. https://doi.org/10.1016/j.compag.2016.07.014 </w:t>
      </w:r>
    </w:p>
    <w:p w14:paraId="3F8404ED" w14:textId="77777777" w:rsidR="005C7535" w:rsidRPr="005C7535" w:rsidRDefault="005C7535" w:rsidP="005C7535">
      <w:pPr>
        <w:pStyle w:val="Heading3"/>
        <w:rPr>
          <w:b w:val="0"/>
          <w:sz w:val="24"/>
        </w:rPr>
      </w:pPr>
      <w:r w:rsidRPr="005C7535">
        <w:rPr>
          <w:b w:val="0"/>
          <w:sz w:val="24"/>
        </w:rPr>
        <w:lastRenderedPageBreak/>
        <w:t xml:space="preserve">Werner, J., Leso, L., </w:t>
      </w:r>
      <w:proofErr w:type="spellStart"/>
      <w:r w:rsidRPr="005C7535">
        <w:rPr>
          <w:b w:val="0"/>
          <w:sz w:val="24"/>
        </w:rPr>
        <w:t>Umstätter</w:t>
      </w:r>
      <w:proofErr w:type="spellEnd"/>
      <w:r w:rsidRPr="005C7535">
        <w:rPr>
          <w:b w:val="0"/>
          <w:sz w:val="24"/>
        </w:rPr>
        <w:t xml:space="preserve">, C., Niederhauser, J., Kennedy, E., Geoghegan, A., </w:t>
      </w:r>
      <w:proofErr w:type="spellStart"/>
      <w:r w:rsidRPr="005C7535">
        <w:rPr>
          <w:b w:val="0"/>
          <w:sz w:val="24"/>
        </w:rPr>
        <w:t>Shalloo</w:t>
      </w:r>
      <w:proofErr w:type="spellEnd"/>
      <w:r w:rsidRPr="005C7535">
        <w:rPr>
          <w:b w:val="0"/>
          <w:sz w:val="24"/>
        </w:rPr>
        <w:t xml:space="preserve">, L., Schick, M., &amp; O’Brien, B. (2018). Evaluation of the </w:t>
      </w:r>
      <w:proofErr w:type="spellStart"/>
      <w:r w:rsidRPr="005C7535">
        <w:rPr>
          <w:b w:val="0"/>
          <w:sz w:val="24"/>
        </w:rPr>
        <w:t>RumiWatchSystem</w:t>
      </w:r>
      <w:proofErr w:type="spellEnd"/>
      <w:r w:rsidRPr="005C7535">
        <w:rPr>
          <w:b w:val="0"/>
          <w:sz w:val="24"/>
        </w:rPr>
        <w:t xml:space="preserve"> for measuring grazing behaviour of cows. Journal of Neuroscience Methods, 300, 138–146. https://doi.org/10.1016/j.jneumeth.2017.08.022 </w:t>
      </w:r>
    </w:p>
    <w:p w14:paraId="46BDCDBE" w14:textId="77777777" w:rsidR="005C7535" w:rsidRPr="005C7535" w:rsidRDefault="005C7535" w:rsidP="005C7535">
      <w:pPr>
        <w:pStyle w:val="Heading3"/>
        <w:rPr>
          <w:b w:val="0"/>
          <w:sz w:val="24"/>
        </w:rPr>
      </w:pPr>
      <w:r w:rsidRPr="005C7535">
        <w:rPr>
          <w:b w:val="0"/>
          <w:sz w:val="24"/>
        </w:rPr>
        <w:t xml:space="preserve">Xu, W., van Knegsel, A. T. M., Vervoort, J. J. M., Bruckmaier, R. M., van </w:t>
      </w:r>
      <w:proofErr w:type="spellStart"/>
      <w:r w:rsidRPr="005C7535">
        <w:rPr>
          <w:b w:val="0"/>
          <w:sz w:val="24"/>
        </w:rPr>
        <w:t>Hoeij</w:t>
      </w:r>
      <w:proofErr w:type="spellEnd"/>
      <w:r w:rsidRPr="005C7535">
        <w:rPr>
          <w:b w:val="0"/>
          <w:sz w:val="24"/>
        </w:rPr>
        <w:t xml:space="preserve">, R. J., Kemp, B., &amp; </w:t>
      </w:r>
      <w:proofErr w:type="spellStart"/>
      <w:r w:rsidRPr="005C7535">
        <w:rPr>
          <w:b w:val="0"/>
          <w:sz w:val="24"/>
        </w:rPr>
        <w:t>Saccenti</w:t>
      </w:r>
      <w:proofErr w:type="spellEnd"/>
      <w:r w:rsidRPr="005C7535">
        <w:rPr>
          <w:b w:val="0"/>
          <w:sz w:val="24"/>
        </w:rPr>
        <w:t>, E. (2019). Prediction of metabolic status of dairy cows in early lactation with on-farm cow data and machine learning algorithms. Journal of Dairy Science, 102(11), 10186–10201. https://doi.org/10.3168/jds.2018-15791</w:t>
      </w:r>
    </w:p>
    <w:sectPr w:rsidR="005C7535" w:rsidRPr="005C7535" w:rsidSect="004841B3">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BB5A1E" w14:textId="77777777" w:rsidR="00DC7B30" w:rsidRDefault="00DC7B30" w:rsidP="00F37288">
      <w:pPr>
        <w:spacing w:after="0" w:line="240" w:lineRule="auto"/>
      </w:pPr>
      <w:r>
        <w:separator/>
      </w:r>
    </w:p>
  </w:endnote>
  <w:endnote w:type="continuationSeparator" w:id="0">
    <w:p w14:paraId="289A10D3" w14:textId="77777777" w:rsidR="00DC7B30" w:rsidRDefault="00DC7B30" w:rsidP="00F372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B7822" w14:textId="77777777" w:rsidR="00F37288" w:rsidRDefault="00F372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C4967" w14:textId="77777777" w:rsidR="00F37288" w:rsidRDefault="00F3728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60EDF" w14:textId="77777777" w:rsidR="00F37288" w:rsidRDefault="00F372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5101FA" w14:textId="77777777" w:rsidR="00DC7B30" w:rsidRDefault="00DC7B30" w:rsidP="00F37288">
      <w:pPr>
        <w:spacing w:after="0" w:line="240" w:lineRule="auto"/>
      </w:pPr>
      <w:r>
        <w:separator/>
      </w:r>
    </w:p>
  </w:footnote>
  <w:footnote w:type="continuationSeparator" w:id="0">
    <w:p w14:paraId="4BE086DC" w14:textId="77777777" w:rsidR="00DC7B30" w:rsidRDefault="00DC7B30" w:rsidP="00F372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36806" w14:textId="10A773C5" w:rsidR="00F37288" w:rsidRDefault="00F37288">
    <w:pPr>
      <w:pStyle w:val="Header"/>
    </w:pPr>
    <w:r>
      <w:rPr>
        <w:noProof/>
      </w:rPr>
      <w:pict w14:anchorId="34F4066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5585610"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5FAB5" w14:textId="0C44A6CD" w:rsidR="00F37288" w:rsidRDefault="00F37288">
    <w:pPr>
      <w:pStyle w:val="Header"/>
    </w:pPr>
    <w:r>
      <w:rPr>
        <w:noProof/>
      </w:rPr>
      <w:pict w14:anchorId="646B87C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5585611"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A39CE" w14:textId="305B6F78" w:rsidR="00F37288" w:rsidRDefault="00F37288">
    <w:pPr>
      <w:pStyle w:val="Header"/>
    </w:pPr>
    <w:r>
      <w:rPr>
        <w:noProof/>
      </w:rPr>
      <w:pict w14:anchorId="38A86C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5585609"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451B9C"/>
    <w:multiLevelType w:val="hybridMultilevel"/>
    <w:tmpl w:val="C94A8E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2F61ABE"/>
    <w:multiLevelType w:val="hybridMultilevel"/>
    <w:tmpl w:val="EB1C32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6631443"/>
    <w:multiLevelType w:val="multilevel"/>
    <w:tmpl w:val="2B1C2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D2A6BF6"/>
    <w:multiLevelType w:val="hybridMultilevel"/>
    <w:tmpl w:val="0CBA8394"/>
    <w:lvl w:ilvl="0" w:tplc="AD24D07E">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2FE67C7"/>
    <w:multiLevelType w:val="hybridMultilevel"/>
    <w:tmpl w:val="1EB0C7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DBB77D9"/>
    <w:multiLevelType w:val="hybridMultilevel"/>
    <w:tmpl w:val="180855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05574768">
    <w:abstractNumId w:val="5"/>
  </w:num>
  <w:num w:numId="2" w16cid:durableId="1711105829">
    <w:abstractNumId w:val="2"/>
  </w:num>
  <w:num w:numId="3" w16cid:durableId="249775326">
    <w:abstractNumId w:val="1"/>
  </w:num>
  <w:num w:numId="4" w16cid:durableId="1627153478">
    <w:abstractNumId w:val="0"/>
  </w:num>
  <w:num w:numId="5" w16cid:durableId="841705630">
    <w:abstractNumId w:val="4"/>
  </w:num>
  <w:num w:numId="6" w16cid:durableId="13492557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26723"/>
    <w:rsid w:val="00012974"/>
    <w:rsid w:val="00063513"/>
    <w:rsid w:val="001340B8"/>
    <w:rsid w:val="00187285"/>
    <w:rsid w:val="00426723"/>
    <w:rsid w:val="004841B3"/>
    <w:rsid w:val="005356CE"/>
    <w:rsid w:val="0057147E"/>
    <w:rsid w:val="005C7535"/>
    <w:rsid w:val="00685962"/>
    <w:rsid w:val="007A71DF"/>
    <w:rsid w:val="008C257E"/>
    <w:rsid w:val="00A610EE"/>
    <w:rsid w:val="00B01A05"/>
    <w:rsid w:val="00B83531"/>
    <w:rsid w:val="00C70A8A"/>
    <w:rsid w:val="00CC1FF8"/>
    <w:rsid w:val="00DC7B30"/>
    <w:rsid w:val="00E41351"/>
    <w:rsid w:val="00F1060D"/>
    <w:rsid w:val="00F372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9806D9"/>
  <w15:docId w15:val="{757065A1-ADCE-4BF7-B70F-6254CEB7A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1B3"/>
  </w:style>
  <w:style w:type="paragraph" w:styleId="Heading2">
    <w:name w:val="heading 2"/>
    <w:basedOn w:val="Normal"/>
    <w:link w:val="Heading2Char"/>
    <w:uiPriority w:val="9"/>
    <w:qFormat/>
    <w:rsid w:val="00426723"/>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426723"/>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426723"/>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26723"/>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426723"/>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426723"/>
    <w:rPr>
      <w:rFonts w:ascii="Times New Roman" w:eastAsia="Times New Roman" w:hAnsi="Times New Roman" w:cs="Times New Roman"/>
      <w:b/>
      <w:bCs/>
      <w:sz w:val="24"/>
      <w:szCs w:val="24"/>
      <w:lang w:eastAsia="en-GB"/>
    </w:rPr>
  </w:style>
  <w:style w:type="paragraph" w:customStyle="1" w:styleId="font-claude-response-body">
    <w:name w:val="font-claude-response-body"/>
    <w:basedOn w:val="Normal"/>
    <w:rsid w:val="0042672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426723"/>
    <w:rPr>
      <w:b/>
      <w:bCs/>
    </w:rPr>
  </w:style>
  <w:style w:type="character" w:styleId="Emphasis">
    <w:name w:val="Emphasis"/>
    <w:basedOn w:val="DefaultParagraphFont"/>
    <w:uiPriority w:val="20"/>
    <w:qFormat/>
    <w:rsid w:val="00426723"/>
    <w:rPr>
      <w:i/>
      <w:iCs/>
    </w:rPr>
  </w:style>
  <w:style w:type="character" w:styleId="Hyperlink">
    <w:name w:val="Hyperlink"/>
    <w:basedOn w:val="DefaultParagraphFont"/>
    <w:uiPriority w:val="99"/>
    <w:unhideWhenUsed/>
    <w:rsid w:val="00426723"/>
    <w:rPr>
      <w:color w:val="0000FF"/>
      <w:u w:val="single"/>
    </w:rPr>
  </w:style>
  <w:style w:type="paragraph" w:styleId="ListParagraph">
    <w:name w:val="List Paragraph"/>
    <w:basedOn w:val="Normal"/>
    <w:uiPriority w:val="34"/>
    <w:qFormat/>
    <w:rsid w:val="00B01A05"/>
    <w:pPr>
      <w:ind w:left="720"/>
      <w:contextualSpacing/>
    </w:pPr>
  </w:style>
  <w:style w:type="paragraph" w:styleId="NormalWeb">
    <w:name w:val="Normal (Web)"/>
    <w:basedOn w:val="Normal"/>
    <w:uiPriority w:val="99"/>
    <w:unhideWhenUsed/>
    <w:rsid w:val="00685962"/>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59"/>
    <w:rsid w:val="005C75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372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7288"/>
  </w:style>
  <w:style w:type="paragraph" w:styleId="Footer">
    <w:name w:val="footer"/>
    <w:basedOn w:val="Normal"/>
    <w:link w:val="FooterChar"/>
    <w:uiPriority w:val="99"/>
    <w:unhideWhenUsed/>
    <w:rsid w:val="00F372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72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279209">
      <w:bodyDiv w:val="1"/>
      <w:marLeft w:val="0"/>
      <w:marRight w:val="0"/>
      <w:marTop w:val="0"/>
      <w:marBottom w:val="0"/>
      <w:divBdr>
        <w:top w:val="none" w:sz="0" w:space="0" w:color="auto"/>
        <w:left w:val="none" w:sz="0" w:space="0" w:color="auto"/>
        <w:bottom w:val="none" w:sz="0" w:space="0" w:color="auto"/>
        <w:right w:val="none" w:sz="0" w:space="0" w:color="auto"/>
      </w:divBdr>
    </w:div>
    <w:div w:id="420027101">
      <w:bodyDiv w:val="1"/>
      <w:marLeft w:val="0"/>
      <w:marRight w:val="0"/>
      <w:marTop w:val="0"/>
      <w:marBottom w:val="0"/>
      <w:divBdr>
        <w:top w:val="none" w:sz="0" w:space="0" w:color="auto"/>
        <w:left w:val="none" w:sz="0" w:space="0" w:color="auto"/>
        <w:bottom w:val="none" w:sz="0" w:space="0" w:color="auto"/>
        <w:right w:val="none" w:sz="0" w:space="0" w:color="auto"/>
      </w:divBdr>
      <w:divsChild>
        <w:div w:id="421145744">
          <w:marLeft w:val="0"/>
          <w:marRight w:val="0"/>
          <w:marTop w:val="0"/>
          <w:marBottom w:val="0"/>
          <w:divBdr>
            <w:top w:val="none" w:sz="0" w:space="0" w:color="auto"/>
            <w:left w:val="none" w:sz="0" w:space="0" w:color="auto"/>
            <w:bottom w:val="none" w:sz="0" w:space="0" w:color="auto"/>
            <w:right w:val="none" w:sz="0" w:space="0" w:color="auto"/>
          </w:divBdr>
        </w:div>
        <w:div w:id="860780766">
          <w:marLeft w:val="0"/>
          <w:marRight w:val="0"/>
          <w:marTop w:val="0"/>
          <w:marBottom w:val="0"/>
          <w:divBdr>
            <w:top w:val="none" w:sz="0" w:space="0" w:color="auto"/>
            <w:left w:val="none" w:sz="0" w:space="0" w:color="auto"/>
            <w:bottom w:val="none" w:sz="0" w:space="0" w:color="auto"/>
            <w:right w:val="none" w:sz="0" w:space="0" w:color="auto"/>
          </w:divBdr>
        </w:div>
        <w:div w:id="58988735">
          <w:marLeft w:val="0"/>
          <w:marRight w:val="0"/>
          <w:marTop w:val="0"/>
          <w:marBottom w:val="0"/>
          <w:divBdr>
            <w:top w:val="none" w:sz="0" w:space="0" w:color="auto"/>
            <w:left w:val="none" w:sz="0" w:space="0" w:color="auto"/>
            <w:bottom w:val="none" w:sz="0" w:space="0" w:color="auto"/>
            <w:right w:val="none" w:sz="0" w:space="0" w:color="auto"/>
          </w:divBdr>
        </w:div>
        <w:div w:id="1417632767">
          <w:marLeft w:val="0"/>
          <w:marRight w:val="0"/>
          <w:marTop w:val="0"/>
          <w:marBottom w:val="0"/>
          <w:divBdr>
            <w:top w:val="none" w:sz="0" w:space="0" w:color="auto"/>
            <w:left w:val="none" w:sz="0" w:space="0" w:color="auto"/>
            <w:bottom w:val="none" w:sz="0" w:space="0" w:color="auto"/>
            <w:right w:val="none" w:sz="0" w:space="0" w:color="auto"/>
          </w:divBdr>
        </w:div>
        <w:div w:id="2018536526">
          <w:marLeft w:val="0"/>
          <w:marRight w:val="0"/>
          <w:marTop w:val="0"/>
          <w:marBottom w:val="0"/>
          <w:divBdr>
            <w:top w:val="none" w:sz="0" w:space="0" w:color="auto"/>
            <w:left w:val="none" w:sz="0" w:space="0" w:color="auto"/>
            <w:bottom w:val="none" w:sz="0" w:space="0" w:color="auto"/>
            <w:right w:val="none" w:sz="0" w:space="0" w:color="auto"/>
          </w:divBdr>
        </w:div>
      </w:divsChild>
    </w:div>
    <w:div w:id="488523029">
      <w:bodyDiv w:val="1"/>
      <w:marLeft w:val="0"/>
      <w:marRight w:val="0"/>
      <w:marTop w:val="0"/>
      <w:marBottom w:val="0"/>
      <w:divBdr>
        <w:top w:val="none" w:sz="0" w:space="0" w:color="auto"/>
        <w:left w:val="none" w:sz="0" w:space="0" w:color="auto"/>
        <w:bottom w:val="none" w:sz="0" w:space="0" w:color="auto"/>
        <w:right w:val="none" w:sz="0" w:space="0" w:color="auto"/>
      </w:divBdr>
      <w:divsChild>
        <w:div w:id="411436907">
          <w:marLeft w:val="0"/>
          <w:marRight w:val="0"/>
          <w:marTop w:val="0"/>
          <w:marBottom w:val="0"/>
          <w:divBdr>
            <w:top w:val="none" w:sz="0" w:space="0" w:color="auto"/>
            <w:left w:val="none" w:sz="0" w:space="0" w:color="auto"/>
            <w:bottom w:val="none" w:sz="0" w:space="0" w:color="auto"/>
            <w:right w:val="none" w:sz="0" w:space="0" w:color="auto"/>
          </w:divBdr>
          <w:divsChild>
            <w:div w:id="543060897">
              <w:marLeft w:val="0"/>
              <w:marRight w:val="0"/>
              <w:marTop w:val="0"/>
              <w:marBottom w:val="0"/>
              <w:divBdr>
                <w:top w:val="none" w:sz="0" w:space="0" w:color="auto"/>
                <w:left w:val="none" w:sz="0" w:space="0" w:color="auto"/>
                <w:bottom w:val="none" w:sz="0" w:space="0" w:color="auto"/>
                <w:right w:val="none" w:sz="0" w:space="0" w:color="auto"/>
              </w:divBdr>
              <w:divsChild>
                <w:div w:id="132992240">
                  <w:marLeft w:val="0"/>
                  <w:marRight w:val="0"/>
                  <w:marTop w:val="0"/>
                  <w:marBottom w:val="0"/>
                  <w:divBdr>
                    <w:top w:val="none" w:sz="0" w:space="0" w:color="auto"/>
                    <w:left w:val="none" w:sz="0" w:space="0" w:color="auto"/>
                    <w:bottom w:val="none" w:sz="0" w:space="0" w:color="auto"/>
                    <w:right w:val="none" w:sz="0" w:space="0" w:color="auto"/>
                  </w:divBdr>
                  <w:divsChild>
                    <w:div w:id="1064719279">
                      <w:marLeft w:val="0"/>
                      <w:marRight w:val="0"/>
                      <w:marTop w:val="0"/>
                      <w:marBottom w:val="0"/>
                      <w:divBdr>
                        <w:top w:val="none" w:sz="0" w:space="0" w:color="auto"/>
                        <w:left w:val="none" w:sz="0" w:space="0" w:color="auto"/>
                        <w:bottom w:val="none" w:sz="0" w:space="0" w:color="auto"/>
                        <w:right w:val="none" w:sz="0" w:space="0" w:color="auto"/>
                      </w:divBdr>
                      <w:divsChild>
                        <w:div w:id="258222261">
                          <w:marLeft w:val="0"/>
                          <w:marRight w:val="0"/>
                          <w:marTop w:val="0"/>
                          <w:marBottom w:val="0"/>
                          <w:divBdr>
                            <w:top w:val="none" w:sz="0" w:space="0" w:color="auto"/>
                            <w:left w:val="none" w:sz="0" w:space="0" w:color="auto"/>
                            <w:bottom w:val="none" w:sz="0" w:space="0" w:color="auto"/>
                            <w:right w:val="none" w:sz="0" w:space="0" w:color="auto"/>
                          </w:divBdr>
                          <w:divsChild>
                            <w:div w:id="1799294484">
                              <w:marLeft w:val="0"/>
                              <w:marRight w:val="0"/>
                              <w:marTop w:val="0"/>
                              <w:marBottom w:val="0"/>
                              <w:divBdr>
                                <w:top w:val="none" w:sz="0" w:space="0" w:color="auto"/>
                                <w:left w:val="none" w:sz="0" w:space="0" w:color="auto"/>
                                <w:bottom w:val="none" w:sz="0" w:space="0" w:color="auto"/>
                                <w:right w:val="none" w:sz="0" w:space="0" w:color="auto"/>
                              </w:divBdr>
                              <w:divsChild>
                                <w:div w:id="1186598318">
                                  <w:marLeft w:val="0"/>
                                  <w:marRight w:val="0"/>
                                  <w:marTop w:val="0"/>
                                  <w:marBottom w:val="0"/>
                                  <w:divBdr>
                                    <w:top w:val="none" w:sz="0" w:space="0" w:color="auto"/>
                                    <w:left w:val="none" w:sz="0" w:space="0" w:color="auto"/>
                                    <w:bottom w:val="none" w:sz="0" w:space="0" w:color="auto"/>
                                    <w:right w:val="none" w:sz="0" w:space="0" w:color="auto"/>
                                  </w:divBdr>
                                  <w:divsChild>
                                    <w:div w:id="106673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7738139">
      <w:bodyDiv w:val="1"/>
      <w:marLeft w:val="0"/>
      <w:marRight w:val="0"/>
      <w:marTop w:val="0"/>
      <w:marBottom w:val="0"/>
      <w:divBdr>
        <w:top w:val="none" w:sz="0" w:space="0" w:color="auto"/>
        <w:left w:val="none" w:sz="0" w:space="0" w:color="auto"/>
        <w:bottom w:val="none" w:sz="0" w:space="0" w:color="auto"/>
        <w:right w:val="none" w:sz="0" w:space="0" w:color="auto"/>
      </w:divBdr>
      <w:divsChild>
        <w:div w:id="1663116573">
          <w:marLeft w:val="0"/>
          <w:marRight w:val="0"/>
          <w:marTop w:val="0"/>
          <w:marBottom w:val="0"/>
          <w:divBdr>
            <w:top w:val="none" w:sz="0" w:space="0" w:color="auto"/>
            <w:left w:val="none" w:sz="0" w:space="0" w:color="auto"/>
            <w:bottom w:val="none" w:sz="0" w:space="0" w:color="auto"/>
            <w:right w:val="none" w:sz="0" w:space="0" w:color="auto"/>
          </w:divBdr>
        </w:div>
        <w:div w:id="1729062665">
          <w:marLeft w:val="0"/>
          <w:marRight w:val="0"/>
          <w:marTop w:val="0"/>
          <w:marBottom w:val="0"/>
          <w:divBdr>
            <w:top w:val="none" w:sz="0" w:space="0" w:color="auto"/>
            <w:left w:val="none" w:sz="0" w:space="0" w:color="auto"/>
            <w:bottom w:val="none" w:sz="0" w:space="0" w:color="auto"/>
            <w:right w:val="none" w:sz="0" w:space="0" w:color="auto"/>
          </w:divBdr>
        </w:div>
        <w:div w:id="1630741070">
          <w:marLeft w:val="0"/>
          <w:marRight w:val="0"/>
          <w:marTop w:val="0"/>
          <w:marBottom w:val="0"/>
          <w:divBdr>
            <w:top w:val="none" w:sz="0" w:space="0" w:color="auto"/>
            <w:left w:val="none" w:sz="0" w:space="0" w:color="auto"/>
            <w:bottom w:val="none" w:sz="0" w:space="0" w:color="auto"/>
            <w:right w:val="none" w:sz="0" w:space="0" w:color="auto"/>
          </w:divBdr>
        </w:div>
        <w:div w:id="602614683">
          <w:marLeft w:val="0"/>
          <w:marRight w:val="0"/>
          <w:marTop w:val="0"/>
          <w:marBottom w:val="0"/>
          <w:divBdr>
            <w:top w:val="none" w:sz="0" w:space="0" w:color="auto"/>
            <w:left w:val="none" w:sz="0" w:space="0" w:color="auto"/>
            <w:bottom w:val="none" w:sz="0" w:space="0" w:color="auto"/>
            <w:right w:val="none" w:sz="0" w:space="0" w:color="auto"/>
          </w:divBdr>
        </w:div>
        <w:div w:id="1983801525">
          <w:marLeft w:val="0"/>
          <w:marRight w:val="0"/>
          <w:marTop w:val="0"/>
          <w:marBottom w:val="0"/>
          <w:divBdr>
            <w:top w:val="none" w:sz="0" w:space="0" w:color="auto"/>
            <w:left w:val="none" w:sz="0" w:space="0" w:color="auto"/>
            <w:bottom w:val="none" w:sz="0" w:space="0" w:color="auto"/>
            <w:right w:val="none" w:sz="0" w:space="0" w:color="auto"/>
          </w:divBdr>
        </w:div>
      </w:divsChild>
    </w:div>
    <w:div w:id="550920268">
      <w:bodyDiv w:val="1"/>
      <w:marLeft w:val="0"/>
      <w:marRight w:val="0"/>
      <w:marTop w:val="0"/>
      <w:marBottom w:val="0"/>
      <w:divBdr>
        <w:top w:val="none" w:sz="0" w:space="0" w:color="auto"/>
        <w:left w:val="none" w:sz="0" w:space="0" w:color="auto"/>
        <w:bottom w:val="none" w:sz="0" w:space="0" w:color="auto"/>
        <w:right w:val="none" w:sz="0" w:space="0" w:color="auto"/>
      </w:divBdr>
    </w:div>
    <w:div w:id="1357466327">
      <w:bodyDiv w:val="1"/>
      <w:marLeft w:val="0"/>
      <w:marRight w:val="0"/>
      <w:marTop w:val="0"/>
      <w:marBottom w:val="0"/>
      <w:divBdr>
        <w:top w:val="none" w:sz="0" w:space="0" w:color="auto"/>
        <w:left w:val="none" w:sz="0" w:space="0" w:color="auto"/>
        <w:bottom w:val="none" w:sz="0" w:space="0" w:color="auto"/>
        <w:right w:val="none" w:sz="0" w:space="0" w:color="auto"/>
      </w:divBdr>
      <w:divsChild>
        <w:div w:id="1798453516">
          <w:marLeft w:val="0"/>
          <w:marRight w:val="0"/>
          <w:marTop w:val="0"/>
          <w:marBottom w:val="0"/>
          <w:divBdr>
            <w:top w:val="none" w:sz="0" w:space="0" w:color="auto"/>
            <w:left w:val="none" w:sz="0" w:space="0" w:color="auto"/>
            <w:bottom w:val="none" w:sz="0" w:space="0" w:color="auto"/>
            <w:right w:val="none" w:sz="0" w:space="0" w:color="auto"/>
          </w:divBdr>
        </w:div>
        <w:div w:id="145173643">
          <w:marLeft w:val="0"/>
          <w:marRight w:val="0"/>
          <w:marTop w:val="0"/>
          <w:marBottom w:val="0"/>
          <w:divBdr>
            <w:top w:val="none" w:sz="0" w:space="0" w:color="auto"/>
            <w:left w:val="none" w:sz="0" w:space="0" w:color="auto"/>
            <w:bottom w:val="none" w:sz="0" w:space="0" w:color="auto"/>
            <w:right w:val="none" w:sz="0" w:space="0" w:color="auto"/>
          </w:divBdr>
        </w:div>
        <w:div w:id="1405568654">
          <w:marLeft w:val="0"/>
          <w:marRight w:val="0"/>
          <w:marTop w:val="0"/>
          <w:marBottom w:val="0"/>
          <w:divBdr>
            <w:top w:val="none" w:sz="0" w:space="0" w:color="auto"/>
            <w:left w:val="none" w:sz="0" w:space="0" w:color="auto"/>
            <w:bottom w:val="none" w:sz="0" w:space="0" w:color="auto"/>
            <w:right w:val="none" w:sz="0" w:space="0" w:color="auto"/>
          </w:divBdr>
        </w:div>
        <w:div w:id="1375543620">
          <w:marLeft w:val="0"/>
          <w:marRight w:val="0"/>
          <w:marTop w:val="0"/>
          <w:marBottom w:val="0"/>
          <w:divBdr>
            <w:top w:val="none" w:sz="0" w:space="0" w:color="auto"/>
            <w:left w:val="none" w:sz="0" w:space="0" w:color="auto"/>
            <w:bottom w:val="none" w:sz="0" w:space="0" w:color="auto"/>
            <w:right w:val="none" w:sz="0" w:space="0" w:color="auto"/>
          </w:divBdr>
        </w:div>
        <w:div w:id="1246455060">
          <w:marLeft w:val="0"/>
          <w:marRight w:val="0"/>
          <w:marTop w:val="0"/>
          <w:marBottom w:val="0"/>
          <w:divBdr>
            <w:top w:val="none" w:sz="0" w:space="0" w:color="auto"/>
            <w:left w:val="none" w:sz="0" w:space="0" w:color="auto"/>
            <w:bottom w:val="none" w:sz="0" w:space="0" w:color="auto"/>
            <w:right w:val="none" w:sz="0" w:space="0" w:color="auto"/>
          </w:divBdr>
        </w:div>
      </w:divsChild>
    </w:div>
    <w:div w:id="1829516027">
      <w:bodyDiv w:val="1"/>
      <w:marLeft w:val="0"/>
      <w:marRight w:val="0"/>
      <w:marTop w:val="0"/>
      <w:marBottom w:val="0"/>
      <w:divBdr>
        <w:top w:val="none" w:sz="0" w:space="0" w:color="auto"/>
        <w:left w:val="none" w:sz="0" w:space="0" w:color="auto"/>
        <w:bottom w:val="none" w:sz="0" w:space="0" w:color="auto"/>
        <w:right w:val="none" w:sz="0" w:space="0" w:color="auto"/>
      </w:divBdr>
    </w:div>
    <w:div w:id="1844664603">
      <w:bodyDiv w:val="1"/>
      <w:marLeft w:val="0"/>
      <w:marRight w:val="0"/>
      <w:marTop w:val="0"/>
      <w:marBottom w:val="0"/>
      <w:divBdr>
        <w:top w:val="none" w:sz="0" w:space="0" w:color="auto"/>
        <w:left w:val="none" w:sz="0" w:space="0" w:color="auto"/>
        <w:bottom w:val="none" w:sz="0" w:space="0" w:color="auto"/>
        <w:right w:val="none" w:sz="0" w:space="0" w:color="auto"/>
      </w:divBdr>
      <w:divsChild>
        <w:div w:id="730036873">
          <w:marLeft w:val="0"/>
          <w:marRight w:val="0"/>
          <w:marTop w:val="0"/>
          <w:marBottom w:val="0"/>
          <w:divBdr>
            <w:top w:val="none" w:sz="0" w:space="0" w:color="auto"/>
            <w:left w:val="none" w:sz="0" w:space="0" w:color="auto"/>
            <w:bottom w:val="none" w:sz="0" w:space="0" w:color="auto"/>
            <w:right w:val="none" w:sz="0" w:space="0" w:color="auto"/>
          </w:divBdr>
        </w:div>
        <w:div w:id="327750103">
          <w:marLeft w:val="0"/>
          <w:marRight w:val="0"/>
          <w:marTop w:val="0"/>
          <w:marBottom w:val="0"/>
          <w:divBdr>
            <w:top w:val="none" w:sz="0" w:space="0" w:color="auto"/>
            <w:left w:val="none" w:sz="0" w:space="0" w:color="auto"/>
            <w:bottom w:val="none" w:sz="0" w:space="0" w:color="auto"/>
            <w:right w:val="none" w:sz="0" w:space="0" w:color="auto"/>
          </w:divBdr>
        </w:div>
        <w:div w:id="1989935852">
          <w:marLeft w:val="0"/>
          <w:marRight w:val="0"/>
          <w:marTop w:val="0"/>
          <w:marBottom w:val="0"/>
          <w:divBdr>
            <w:top w:val="none" w:sz="0" w:space="0" w:color="auto"/>
            <w:left w:val="none" w:sz="0" w:space="0" w:color="auto"/>
            <w:bottom w:val="none" w:sz="0" w:space="0" w:color="auto"/>
            <w:right w:val="none" w:sz="0" w:space="0" w:color="auto"/>
          </w:divBdr>
        </w:div>
        <w:div w:id="347997155">
          <w:marLeft w:val="0"/>
          <w:marRight w:val="0"/>
          <w:marTop w:val="0"/>
          <w:marBottom w:val="0"/>
          <w:divBdr>
            <w:top w:val="none" w:sz="0" w:space="0" w:color="auto"/>
            <w:left w:val="none" w:sz="0" w:space="0" w:color="auto"/>
            <w:bottom w:val="none" w:sz="0" w:space="0" w:color="auto"/>
            <w:right w:val="none" w:sz="0" w:space="0" w:color="auto"/>
          </w:divBdr>
        </w:div>
        <w:div w:id="9285445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297</TotalTime>
  <Pages>26</Pages>
  <Words>11452</Words>
  <Characters>65279</Characters>
  <Application>Microsoft Office Word</Application>
  <DocSecurity>0</DocSecurity>
  <Lines>543</Lines>
  <Paragraphs>153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76578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Managing Editor</dc:creator>
  <cp:keywords/>
  <dc:description/>
  <cp:lastModifiedBy>SDI 1084</cp:lastModifiedBy>
  <cp:revision>13</cp:revision>
  <dcterms:created xsi:type="dcterms:W3CDTF">2026-06-16T11:19:00Z</dcterms:created>
  <dcterms:modified xsi:type="dcterms:W3CDTF">2026-06-19T13:29:00Z</dcterms:modified>
</cp:coreProperties>
</file>