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629F6" w14:textId="77777777" w:rsidR="00F80FFE" w:rsidRPr="00F80FFE" w:rsidRDefault="00F80FFE" w:rsidP="00F80FF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80FFE">
        <w:rPr>
          <w:rFonts w:ascii="Times New Roman" w:eastAsia="Times New Roman" w:hAnsi="Times New Roman" w:cs="Times New Roman"/>
          <w:b/>
          <w:bCs/>
          <w:sz w:val="36"/>
          <w:szCs w:val="36"/>
          <w:lang w:eastAsia="en-GB"/>
        </w:rPr>
        <w:t>The Impact of Artificial Intelligence on the Food Industry: A Critical Review</w:t>
      </w:r>
    </w:p>
    <w:p w14:paraId="60148C18" w14:textId="77777777" w:rsidR="00F80FFE" w:rsidRPr="00F80FFE" w:rsidRDefault="00F80FFE" w:rsidP="00F80FF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Abstract</w:t>
      </w:r>
    </w:p>
    <w:p w14:paraId="0F4F6ABC"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Artificial intelligence (AI) is reshaping the global food industry across every stage of the value chain, from primary production to consumption. This review critically synthesises recent peer-reviewed evidence on the deployment of machine learning, deep learning, computer vision, robotics and generative AI in food safety and quality assurance, processing and manufacturing, supply chain management, primary production, and consumer-facing innovation such as personalised nutrition and flavour design. Across these domains, AI has produced measurable gains in hazard detection, process optimisation, traceability, waste reduction and product development efficiency, while also exposing persistent limitations related to data quality, model interpretability, infrastructural inequality and consumer trust. The review further examines the economic, workforce and ethical dimensions of AI adoption, highlighting tensions between productivity gains and concerns over labour displacement, data governance and algorithmic accountability. Methodologically, the review adopts a narrative rather than systematic approach, given the breadth, heterogeneity and rapid evolution of the literature, and draws on a structured multi-database search of peer-reviewed sources published between 2018 and early 2026. The synthesis suggests that AI is best understood not as a single transformative technology but as a heterogeneous family of tools whose value depends heavily on data infrastructure, regulatory clarity and organisational readiness. The review concludes that realising the full potential of AI in the food sector will require coordinated investment in interoperable data systems, harmonised governance frameworks and closer collaboration between food scientists, engineers, ethicists and policymakers.</w:t>
      </w:r>
    </w:p>
    <w:p w14:paraId="74BE64FE"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b/>
          <w:bCs/>
          <w:sz w:val="24"/>
          <w:szCs w:val="24"/>
          <w:lang w:eastAsia="en-GB"/>
        </w:rPr>
        <w:t>Keywords:</w:t>
      </w:r>
      <w:r w:rsidRPr="00F80FFE">
        <w:rPr>
          <w:rFonts w:ascii="Times New Roman" w:eastAsia="Times New Roman" w:hAnsi="Times New Roman" w:cs="Times New Roman"/>
          <w:sz w:val="24"/>
          <w:szCs w:val="24"/>
          <w:lang w:eastAsia="en-GB"/>
        </w:rPr>
        <w:t xml:space="preserve"> artificial intelligence; food industry; machine learning; food safety; food supply chain; precision agriculture; personalised nutrition; food technology</w:t>
      </w:r>
    </w:p>
    <w:p w14:paraId="4735550A" w14:textId="77777777" w:rsidR="00F80FFE" w:rsidRPr="00F80FFE" w:rsidRDefault="00F80FFE" w:rsidP="00F80FFE">
      <w:pPr>
        <w:spacing w:after="0" w:line="240" w:lineRule="auto"/>
        <w:rPr>
          <w:rFonts w:ascii="Times New Roman" w:eastAsia="Times New Roman" w:hAnsi="Times New Roman" w:cs="Times New Roman"/>
          <w:sz w:val="24"/>
          <w:szCs w:val="24"/>
          <w:lang w:eastAsia="en-GB"/>
        </w:rPr>
      </w:pPr>
    </w:p>
    <w:p w14:paraId="640C48B5" w14:textId="77777777" w:rsidR="00F80FFE" w:rsidRPr="00F80FFE" w:rsidRDefault="00F80FFE" w:rsidP="00F80FF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1. Introduction</w:t>
      </w:r>
    </w:p>
    <w:p w14:paraId="464E2D0F"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1.1 The Convergence of Artificial Intelligence and the Global Food System</w:t>
      </w:r>
    </w:p>
    <w:p w14:paraId="4023621B"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global food system is under an unusual combination of pressures at present: a growing population, climate volatility, resource scarcity, shifting dietary patterns and a more demanding consumer appetite for transparency and safety. Against this backdrop, artificial intelligence has become one of the most widely discussed enabling technologies for addressing structural inefficiencies across food production, processing, distribution and consumption (Nath et al., 2024). Earlier waves of automation in this sector were largely confined to discrete mechanical tasks; contemporary AI systems, particularly those built on deep learning architectures, can instead learn complex, non-linear relationships from large and heterogeneous datasets. This has opened the door to applications ranging from microbial contamination prediction to the generation of entirely novel flavour profiles (Mavani et al., 2022). The pace of this diffusion is visible in the academic record itself: bibliometric analyses of the food safety literature have documented a marked acceleration in AI-related publications over the past decade, with contamination detection, quality control and traceability among the dominant thematic clusters (Liu et al., 2023).</w:t>
      </w:r>
    </w:p>
    <w:p w14:paraId="28776E7E"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lastRenderedPageBreak/>
        <w:t>This is not a purely speculative or laboratory-bound phenomenon. Industrial-scale deployments already span computer vision systems for defect detection on production lines, machine learning models for demand forecasting in retail logistics, and natural language processing tools embedded in consumer-facing nutrition applications (Ding et al., 2023). At the same time, the food sector is far from monolithic—it spans smallholder agriculture, multinational processing conglomerates and tightly regulated retail environments—and the pace and character of AI adoption vary considerably across geographies and sub-sectors as a result. This unevenness recurs throughout the literature, with several authors cautioning that the benefits of AI are not automatically or equitably distributed across the food system (Ryan, 2023).</w:t>
      </w:r>
    </w:p>
    <w:p w14:paraId="08D69299"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1.2 From Rule-Based Systems to Deep Learning: A Brief Technological Trajectory</w:t>
      </w:r>
    </w:p>
    <w:p w14:paraId="2AC29B40"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Early applications of computational intelligence in the food sector relied heavily on expert systems and statistical process control: tools that encoded human expertise into deterministic rules for tasks such as quality grading or shelf-life estimation. The subsequent shift towards machine learning, and later deep learning, marked a more fundamental change. Rather than encoding rules explicitly, these systems learn patterns directly from sensor, image, spectral or transactional data (Liu et al., 2021). Convolutional neural networks, in particular, have become a mainstay of food quality inspection because of their ability to extract subtle visual and textural features from images of food matrices that would be difficult to specify by hand (Liu et al., 2021). More recently, generative architectures have begun to be applied not merely to classify or predict, but to design new food products, simulate processing outcomes and synthesise consumer insight from unstructured text and social media data (Al-</w:t>
      </w:r>
      <w:proofErr w:type="spellStart"/>
      <w:r w:rsidRPr="00F80FFE">
        <w:rPr>
          <w:rFonts w:ascii="Times New Roman" w:eastAsia="Times New Roman" w:hAnsi="Times New Roman" w:cs="Times New Roman"/>
          <w:sz w:val="24"/>
          <w:szCs w:val="24"/>
          <w:lang w:eastAsia="en-GB"/>
        </w:rPr>
        <w:t>Sarayreh</w:t>
      </w:r>
      <w:proofErr w:type="spellEnd"/>
      <w:r w:rsidRPr="00F80FFE">
        <w:rPr>
          <w:rFonts w:ascii="Times New Roman" w:eastAsia="Times New Roman" w:hAnsi="Times New Roman" w:cs="Times New Roman"/>
          <w:sz w:val="24"/>
          <w:szCs w:val="24"/>
          <w:lang w:eastAsia="en-GB"/>
        </w:rPr>
        <w:t xml:space="preserve"> et al., 2023).</w:t>
      </w:r>
    </w:p>
    <w:p w14:paraId="06CAAB6A"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This trajectory has been accompanied by parallel advances in sensing hardware, including hyperspectral imaging, electronic noses and tongues, and low-cost biosensors. Combined with cloud computing and the Internet of Things, these developments have substantially expanded both the volume and the granularity of data available for AI applications in food systems (Zhou et al., 2024). The resulting ecosystem is often described under the broader umbrella of Industry 4.0, in which AI functions as the principal analytical engine that converts sensor-generated data into actionable decisions across production, processing and distribution (Hassoun et al., 2024).</w:t>
      </w:r>
    </w:p>
    <w:p w14:paraId="281EA7B9"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1.3 Scope and Objectives of the Review</w:t>
      </w:r>
    </w:p>
    <w:p w14:paraId="3B15301C"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This review critically examines the documented impact of artificial intelligence on the food industry, drawing on peer-reviewed literature published over the past several years. It is organised around five principal domains of application: food safety, quality control and authentication; food processing, engineering and automation; supply chain management and waste reduction; primary production, food security and sustainability; and nutrition, sensory science and consumer-facing innovation. Within each domain, the review considers not only the demonstrated benefits of AI deployment but also the technical, organisational and ethical constraints that shape its real-world implementation. A further section addresses the cross-cutting economic, workforce and governance implications of AI adoption, before a concluding discussion of barriers and future research priorities. The aim here is not to provide a technical tutorial on specific algorithms, nor an exhaustive inventory of every reported AI application in the food sector, but rather a critical, integrative synthesis that highlights recurring patterns, tensions and evidence gaps across the literature—one intended to inform </w:t>
      </w:r>
      <w:r w:rsidRPr="00F80FFE">
        <w:rPr>
          <w:rFonts w:ascii="Times New Roman" w:eastAsia="Times New Roman" w:hAnsi="Times New Roman" w:cs="Times New Roman"/>
          <w:sz w:val="24"/>
          <w:szCs w:val="24"/>
          <w:lang w:eastAsia="en-GB"/>
        </w:rPr>
        <w:lastRenderedPageBreak/>
        <w:t>academic research agendas and practical decision-making alike, for food industry stakeholders, regulators and policymakers.</w:t>
      </w:r>
    </w:p>
    <w:p w14:paraId="36E37C16" w14:textId="77777777" w:rsidR="00F80FFE" w:rsidRPr="00F80FFE" w:rsidRDefault="00F80FFE" w:rsidP="00F80FFE">
      <w:pPr>
        <w:spacing w:after="0" w:line="240" w:lineRule="auto"/>
        <w:rPr>
          <w:rFonts w:ascii="Times New Roman" w:eastAsia="Times New Roman" w:hAnsi="Times New Roman" w:cs="Times New Roman"/>
          <w:sz w:val="24"/>
          <w:szCs w:val="24"/>
          <w:lang w:eastAsia="en-GB"/>
        </w:rPr>
      </w:pPr>
    </w:p>
    <w:p w14:paraId="501C30A2" w14:textId="77777777" w:rsidR="00F80FFE" w:rsidRPr="00F80FFE" w:rsidRDefault="00F80FFE" w:rsidP="00F80FF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2. Methods for Literature Selection</w:t>
      </w:r>
    </w:p>
    <w:p w14:paraId="64828C1E"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This review adopts a narrative rather than a systematic review methodology. A systematic approach is well suited to answering narrowly defined questions across a set of directly comparable studies, but it is a poorer fit for a topic as broad, fast-moving and methodologically heterogeneous as the application of artificial intelligence across the entire food industry, where relevant evidence spans food science, computer science, engineering, agricultural economics and consumer behaviour. The objective here is integrative synthesis across a rapidly evolving, multidisciplinary field rather than the quantification of effect sizes across a narrow set of comparable studies, and a narrative approach is better suited to that purpose: it allows the review to draw connections across sub-literatures that would rarely be combined within a single systematic protocol, while still requiring transparency about how sources were identified, screened and prioritised.</w:t>
      </w:r>
    </w:p>
    <w:p w14:paraId="7F464FDC"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Literature was identified through structured searches of Web of Science, Scopus, Google Scholar and PubMed, supplemented by six field-specific indexing resources commonly used in food science, agricultural and engineering research, chosen to capture material that might not be fully indexed in the general-purpose databases. Search strings combined the core term "artificial intelligence" with Boolean operators and a range of food-system-specific qualifiers, including "food safety", "food processing", "food supply chain", "precision agriculture", "food security", "personalised nutrition", "food authentication", "food fraud", "computer vision" and "deep learning", alongside related terms such as "machine learning" and "robotics" where appropriate. Searches were restricted to literature published between January 2018 and early May 2026—a window chosen to capture the period during which deep learning and computer vision methods became widely and routinely applied within food science and engineering research, while keeping the review current up to the point of submission.</w:t>
      </w:r>
    </w:p>
    <w:p w14:paraId="47729984"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Eligible sources comprised peer-reviewed journal articles published in English that reported original research, reviews or critical analyses directly addressing the application, implication or evaluation of AI technologies within the food industry, broadly defined to include primary production, processing, distribution, retail and consumption. Authoritative reports issued by recognised institutional bodies with a relevant remit in food safety or food systems were also considered eligible where they offered verifiable, citable content. Conference proceedings, books and book chapters, theses, non-peer-reviewed pre-prints, patents and trade or industry publications lacking peer review were excluded, consistent with the aim of grounding the review exclusively in verifiable, peer-reviewed academic literature.</w:t>
      </w:r>
    </w:p>
    <w:p w14:paraId="12783AB1"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Screening proceeded in two stages. Titles and abstracts retrieved from each database were first screened for thematic relevance to AI applications in the food industry; full texts of apparently relevant records were then examined to confirm eligibility against the criteria above. Duplicate records arising from overlapping database coverage were identified by matching digital object identifiers and bibliographic metadata and retained only once. Given the sheer volume of literature on this topic, priority was given to studies that are highly cited, methodologically robust, published in well-established peer-reviewed journals, or that offer a </w:t>
      </w:r>
      <w:r w:rsidRPr="00F80FFE">
        <w:rPr>
          <w:rFonts w:ascii="Times New Roman" w:eastAsia="Times New Roman" w:hAnsi="Times New Roman" w:cs="Times New Roman"/>
          <w:sz w:val="24"/>
          <w:szCs w:val="24"/>
          <w:lang w:eastAsia="en-GB"/>
        </w:rPr>
        <w:lastRenderedPageBreak/>
        <w:t>comprehensive synthesis of a particular sub-domain, on the grounds that such studies are more likely to reflect consolidated rather than preliminary findings. This purposive emphasis on influential and synthesising work, rather than an attempt at exhaustive enumeration of every primary study, is a defining feature of the narrative review approach taken here. No restriction was placed on study design, allowing the inclusion of empirical, methodological and review articles where each contributed a distinct strand of insight to the overall synthesis.</w:t>
      </w:r>
    </w:p>
    <w:p w14:paraId="297054B2" w14:textId="77777777" w:rsidR="00F80FFE" w:rsidRPr="00F80FFE" w:rsidRDefault="00F80FFE" w:rsidP="00F80FFE">
      <w:pPr>
        <w:spacing w:after="0" w:line="240" w:lineRule="auto"/>
        <w:rPr>
          <w:rFonts w:ascii="Times New Roman" w:eastAsia="Times New Roman" w:hAnsi="Times New Roman" w:cs="Times New Roman"/>
          <w:sz w:val="24"/>
          <w:szCs w:val="24"/>
          <w:lang w:eastAsia="en-GB"/>
        </w:rPr>
      </w:pPr>
    </w:p>
    <w:p w14:paraId="556DF393" w14:textId="77777777" w:rsidR="00F80FFE" w:rsidRPr="00F80FFE" w:rsidRDefault="00F80FFE" w:rsidP="00F80FF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3. Artificial Intelligence in Food Safety, Quality Control and Authentication</w:t>
      </w:r>
    </w:p>
    <w:p w14:paraId="7626301B"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3.1 Machine Learning and Deep Learning for Hazard Detection and Risk Prediction</w:t>
      </w:r>
    </w:p>
    <w:p w14:paraId="3210769E"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safety is one of the most extensively studied applications of AI in the food sector—understandably so, given both the severity of the consequences of failure and the relative availability of structured data, such as microbiological testing records and recall histories, suitable for model training. Machine learning models have been used to predict the likelihood of pathogen contamination, forecast outbreak risk from surveillance data, and identify leading indicators that allow food safety managers to intervene before contamination events occur (Qian et al., 2023). These predictive capabilities push beyond conventional food safety management systems, which have traditionally relied on retrospective testing and rule-based hazard analysis, towards a more anticipatory posture in which behavioural and environmental data are continuously scanned for early warning signals (</w:t>
      </w:r>
      <w:proofErr w:type="spellStart"/>
      <w:r w:rsidRPr="00F80FFE">
        <w:rPr>
          <w:rFonts w:ascii="Times New Roman" w:eastAsia="Times New Roman" w:hAnsi="Times New Roman" w:cs="Times New Roman"/>
          <w:sz w:val="24"/>
          <w:szCs w:val="24"/>
          <w:lang w:eastAsia="en-GB"/>
        </w:rPr>
        <w:t>Kudashkina</w:t>
      </w:r>
      <w:proofErr w:type="spellEnd"/>
      <w:r w:rsidRPr="00F80FFE">
        <w:rPr>
          <w:rFonts w:ascii="Times New Roman" w:eastAsia="Times New Roman" w:hAnsi="Times New Roman" w:cs="Times New Roman"/>
          <w:sz w:val="24"/>
          <w:szCs w:val="24"/>
          <w:lang w:eastAsia="en-GB"/>
        </w:rPr>
        <w:t xml:space="preserve"> et al., 2022). Bibliometric analysis of the food safety literature shows substantial growth in AI-related publications over the past decade, with contamination detection, sensor-based monitoring and decision support among the most frequently studied themes, and with China and the United States as the leading national contributors to this body of work (Liu et al., 2023).</w:t>
      </w:r>
    </w:p>
    <w:p w14:paraId="3CA35A26"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 second, fast-growing strand of work concerns the pairing of machine learning with biosensing technologies. Coupling biosensors with machine learning algorithms has been shown to improve the sensitivity, speed and interpretability of food safety assessments, particularly for detecting pathogens, toxins and chemical contaminants that are difficult to identify through conventional culture-based methods (Zhou et al., 2024). In a related vein, AI-enabled spoilage detection systems—which combine sensor data with classification algorithms—have demonstrated the capacity to extend effective monitoring of perishable commodities and to flag quality deterioration more promptly than visual inspection alone (</w:t>
      </w:r>
      <w:proofErr w:type="spellStart"/>
      <w:r w:rsidRPr="00F80FFE">
        <w:rPr>
          <w:rFonts w:ascii="Times New Roman" w:eastAsia="Times New Roman" w:hAnsi="Times New Roman" w:cs="Times New Roman"/>
          <w:sz w:val="24"/>
          <w:szCs w:val="24"/>
          <w:lang w:eastAsia="en-GB"/>
        </w:rPr>
        <w:t>Sonwani</w:t>
      </w:r>
      <w:proofErr w:type="spellEnd"/>
      <w:r w:rsidRPr="00F80FFE">
        <w:rPr>
          <w:rFonts w:ascii="Times New Roman" w:eastAsia="Times New Roman" w:hAnsi="Times New Roman" w:cs="Times New Roman"/>
          <w:sz w:val="24"/>
          <w:szCs w:val="24"/>
          <w:lang w:eastAsia="en-GB"/>
        </w:rPr>
        <w:t xml:space="preserve"> et al., 2022).</w:t>
      </w:r>
    </w:p>
    <w:p w14:paraId="61C639F8"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3.2 Computer Vision, Spectroscopy and Biosensing for Quality Assessment</w:t>
      </w:r>
    </w:p>
    <w:p w14:paraId="0CAADAF4"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Computer vision, built predominantly on convolutional neural networks, is among the most mature and widely deployed AI applications in food quality assessment. These systems can automatically extract visual features—colour, shape, texture, surface defects—that correlate strongly with quality attributes such as ripeness, freshness or structural integrity, often matching or exceeding the accuracy of manual inspection while operating at line speeds no human inspector could sustain (Liu et al., 2021). Machine vision has been applied to an unusually wide range of food matrices, from fresh produce sorting through to the inspection of processed and packaged products, and the field shows a consistent move towards integrating machine vision with complementary AI methods, including hyperspectral imaging and edge computing, to enable real-time, in-line quality monitoring (Xiao et al., 2022).</w:t>
      </w:r>
    </w:p>
    <w:p w14:paraId="119E7FC9"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lastRenderedPageBreak/>
        <w:t>Pairing AI with non-destructive analytical techniques—particularly near-infrared and Raman spectroscopy—has further widened the range of quality and safety attributes that can be assessed quickly and without destroying the sample. This combination is especially valuable where the attribute of interest, such as moisture content, fat distribution or chemical composition, is not readily visible in an image, and where AI-based pattern recognition can extract meaningful signals from complex, high-dimensional spectral data (Zhou et al., 2024).</w:t>
      </w:r>
    </w:p>
    <w:p w14:paraId="0898FDE4"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3.3 Combating Food Fraud through AI-Enabled Authentication</w:t>
      </w:r>
    </w:p>
    <w:p w14:paraId="7050CC52"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fraud and adulteration present a related but distinct challenge, shifting the task from detecting unintentional contamination to identifying deliberate misrepresentation of a product's identity, origin or composition. Machine vision combined with deep learning has been increasingly applied to food authentication, with reported model architectures—including residual networks and efficient convolutional designs—frequently achieving high classification accuracy across diverse authenticity tasks, from species identification in meat products to the detection of adulterated oils (Shen et al., 2024). Even so, reviews of the authentication literature consistently flag interpretability, dataset imbalance and the difficulty of scaling laboratory-validated models to industrial deployment as significant barriers, notwithstanding strong reported accuracy under controlled experimental conditions (Shen et al., 2024).</w:t>
      </w:r>
    </w:p>
    <w:p w14:paraId="66BB6457"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There is also a human and organisational dimension to this body of work that is easy to overlook amid the technical detail. Behavioural perspectives on AI adoption in food safety management make the point that the value of predictive analytics depends not only on technical accuracy but on whether food safety professionals trust, understand and actually act on model outputs—a consideration that receives less attention than algorithmic performance metrics tend to (</w:t>
      </w:r>
      <w:proofErr w:type="spellStart"/>
      <w:r w:rsidRPr="00F80FFE">
        <w:rPr>
          <w:rFonts w:ascii="Times New Roman" w:eastAsia="Times New Roman" w:hAnsi="Times New Roman" w:cs="Times New Roman"/>
          <w:sz w:val="24"/>
          <w:szCs w:val="24"/>
          <w:lang w:eastAsia="en-GB"/>
        </w:rPr>
        <w:t>Kudashkina</w:t>
      </w:r>
      <w:proofErr w:type="spellEnd"/>
      <w:r w:rsidRPr="00F80FFE">
        <w:rPr>
          <w:rFonts w:ascii="Times New Roman" w:eastAsia="Times New Roman" w:hAnsi="Times New Roman" w:cs="Times New Roman"/>
          <w:sz w:val="24"/>
          <w:szCs w:val="24"/>
          <w:lang w:eastAsia="en-GB"/>
        </w:rPr>
        <w:t xml:space="preserve"> et al., 2022). Broader critical reviews of AI's role in food safety, agriculture and food security reinforce this point, arguing that the technology's potential to enhance the safety of emerging food categories—alternative proteins derived from microalgae or edible insects, for example—depends on parallel investment in regulatory science, validated reference datasets and cross-sectoral collaboration, rather than on algorithmic capability alone (</w:t>
      </w:r>
      <w:proofErr w:type="spellStart"/>
      <w:r w:rsidRPr="00F80FFE">
        <w:rPr>
          <w:rFonts w:ascii="Times New Roman" w:eastAsia="Times New Roman" w:hAnsi="Times New Roman" w:cs="Times New Roman"/>
          <w:sz w:val="24"/>
          <w:szCs w:val="24"/>
          <w:lang w:eastAsia="en-GB"/>
        </w:rPr>
        <w:t>Rugji</w:t>
      </w:r>
      <w:proofErr w:type="spellEnd"/>
      <w:r w:rsidRPr="00F80FFE">
        <w:rPr>
          <w:rFonts w:ascii="Times New Roman" w:eastAsia="Times New Roman" w:hAnsi="Times New Roman" w:cs="Times New Roman"/>
          <w:sz w:val="24"/>
          <w:szCs w:val="24"/>
          <w:lang w:eastAsia="en-GB"/>
        </w:rPr>
        <w:t xml:space="preserve"> et al., 2025).</w:t>
      </w:r>
    </w:p>
    <w:p w14:paraId="3E0555DE"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Table 1 summarises representative AI techniques and their principal applications within food safety, quality control and authentication, illustrating the diversity of approaches documented across the reviewed literature.</w:t>
      </w:r>
    </w:p>
    <w:p w14:paraId="6DBBED94"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b/>
          <w:bCs/>
          <w:sz w:val="24"/>
          <w:szCs w:val="24"/>
          <w:lang w:eastAsia="en-GB"/>
        </w:rPr>
        <w:t>Table 1. Representative artificial intelligence techniques applied to food safety, quality control and authentication</w:t>
      </w:r>
    </w:p>
    <w:tbl>
      <w:tblPr>
        <w:tblStyle w:val="TableGrid"/>
        <w:tblW w:w="0" w:type="auto"/>
        <w:tblLook w:val="04A0" w:firstRow="1" w:lastRow="0" w:firstColumn="1" w:lastColumn="0" w:noHBand="0" w:noVBand="1"/>
      </w:tblPr>
      <w:tblGrid>
        <w:gridCol w:w="3794"/>
        <w:gridCol w:w="2366"/>
        <w:gridCol w:w="3082"/>
      </w:tblGrid>
      <w:tr w:rsidR="00F80FFE" w:rsidRPr="00F80FFE" w14:paraId="7ED88772" w14:textId="77777777" w:rsidTr="00420D5B">
        <w:tc>
          <w:tcPr>
            <w:tcW w:w="0" w:type="auto"/>
            <w:hideMark/>
          </w:tcPr>
          <w:p w14:paraId="5D962EFD" w14:textId="77777777" w:rsidR="00F80FFE" w:rsidRPr="00F80FFE" w:rsidRDefault="00F80FFE" w:rsidP="00F80FFE">
            <w:pPr>
              <w:jc w:val="center"/>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AI Technique</w:t>
            </w:r>
          </w:p>
        </w:tc>
        <w:tc>
          <w:tcPr>
            <w:tcW w:w="0" w:type="auto"/>
            <w:hideMark/>
          </w:tcPr>
          <w:p w14:paraId="65959339" w14:textId="77777777" w:rsidR="00F80FFE" w:rsidRPr="00F80FFE" w:rsidRDefault="00F80FFE" w:rsidP="00F80FFE">
            <w:pPr>
              <w:jc w:val="center"/>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Primary Application</w:t>
            </w:r>
          </w:p>
        </w:tc>
        <w:tc>
          <w:tcPr>
            <w:tcW w:w="0" w:type="auto"/>
            <w:hideMark/>
          </w:tcPr>
          <w:p w14:paraId="363DE074" w14:textId="77777777" w:rsidR="00F80FFE" w:rsidRPr="00F80FFE" w:rsidRDefault="00F80FFE" w:rsidP="00F80FFE">
            <w:pPr>
              <w:jc w:val="center"/>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Representative Reported Outcome</w:t>
            </w:r>
          </w:p>
        </w:tc>
      </w:tr>
      <w:tr w:rsidR="00F80FFE" w:rsidRPr="00F80FFE" w14:paraId="42A72083" w14:textId="77777777" w:rsidTr="00420D5B">
        <w:tc>
          <w:tcPr>
            <w:tcW w:w="0" w:type="auto"/>
            <w:hideMark/>
          </w:tcPr>
          <w:p w14:paraId="53D1214A"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Machine learning on surveillance/process data</w:t>
            </w:r>
          </w:p>
        </w:tc>
        <w:tc>
          <w:tcPr>
            <w:tcW w:w="0" w:type="auto"/>
            <w:hideMark/>
          </w:tcPr>
          <w:p w14:paraId="18F6FDE9"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Pathogen risk prediction and outbreak forecasting</w:t>
            </w:r>
          </w:p>
        </w:tc>
        <w:tc>
          <w:tcPr>
            <w:tcW w:w="0" w:type="auto"/>
            <w:hideMark/>
          </w:tcPr>
          <w:p w14:paraId="567787F2"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Earlier identification of leading indicators of contamination risk</w:t>
            </w:r>
          </w:p>
        </w:tc>
      </w:tr>
      <w:tr w:rsidR="00F80FFE" w:rsidRPr="00F80FFE" w14:paraId="03B5B0AE" w14:textId="77777777" w:rsidTr="00420D5B">
        <w:tc>
          <w:tcPr>
            <w:tcW w:w="0" w:type="auto"/>
            <w:hideMark/>
          </w:tcPr>
          <w:p w14:paraId="20971403"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Convolutional neural networks (computer vision)</w:t>
            </w:r>
          </w:p>
        </w:tc>
        <w:tc>
          <w:tcPr>
            <w:tcW w:w="0" w:type="auto"/>
            <w:hideMark/>
          </w:tcPr>
          <w:p w14:paraId="5EE7896F"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Visual defect and freshness assessment</w:t>
            </w:r>
          </w:p>
        </w:tc>
        <w:tc>
          <w:tcPr>
            <w:tcW w:w="0" w:type="auto"/>
            <w:hideMark/>
          </w:tcPr>
          <w:p w14:paraId="73905910"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High-accuracy, real-time classification of quality attributes</w:t>
            </w:r>
          </w:p>
        </w:tc>
      </w:tr>
      <w:tr w:rsidR="00F80FFE" w:rsidRPr="00F80FFE" w14:paraId="7908D03E" w14:textId="77777777" w:rsidTr="00420D5B">
        <w:tc>
          <w:tcPr>
            <w:tcW w:w="0" w:type="auto"/>
            <w:hideMark/>
          </w:tcPr>
          <w:p w14:paraId="6C47AC0B"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Machine learning–biosensor integration</w:t>
            </w:r>
          </w:p>
        </w:tc>
        <w:tc>
          <w:tcPr>
            <w:tcW w:w="0" w:type="auto"/>
            <w:hideMark/>
          </w:tcPr>
          <w:p w14:paraId="14A021FA"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Rapid pathogen and toxin detection</w:t>
            </w:r>
          </w:p>
        </w:tc>
        <w:tc>
          <w:tcPr>
            <w:tcW w:w="0" w:type="auto"/>
            <w:hideMark/>
          </w:tcPr>
          <w:p w14:paraId="5E443096"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Improved sensitivity and speed relative to culture-</w:t>
            </w:r>
            <w:r w:rsidRPr="00F80FFE">
              <w:rPr>
                <w:rFonts w:ascii="Times New Roman" w:eastAsia="Times New Roman" w:hAnsi="Times New Roman" w:cs="Times New Roman"/>
                <w:sz w:val="24"/>
                <w:szCs w:val="24"/>
                <w:lang w:eastAsia="en-GB"/>
              </w:rPr>
              <w:lastRenderedPageBreak/>
              <w:t>based methods</w:t>
            </w:r>
          </w:p>
        </w:tc>
      </w:tr>
      <w:tr w:rsidR="00F80FFE" w:rsidRPr="00F80FFE" w14:paraId="30C6F8A8" w14:textId="77777777" w:rsidTr="00420D5B">
        <w:tc>
          <w:tcPr>
            <w:tcW w:w="0" w:type="auto"/>
            <w:hideMark/>
          </w:tcPr>
          <w:p w14:paraId="6229CDFC"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lastRenderedPageBreak/>
              <w:t>Deep learning combined with spectroscopy/hyperspectral imaging</w:t>
            </w:r>
          </w:p>
        </w:tc>
        <w:tc>
          <w:tcPr>
            <w:tcW w:w="0" w:type="auto"/>
            <w:hideMark/>
          </w:tcPr>
          <w:p w14:paraId="78D0394D"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Composition and adulteration analysis</w:t>
            </w:r>
          </w:p>
        </w:tc>
        <w:tc>
          <w:tcPr>
            <w:tcW w:w="0" w:type="auto"/>
            <w:hideMark/>
          </w:tcPr>
          <w:p w14:paraId="6733295E"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Non-destructive detection of adulterants and compositional anomalies</w:t>
            </w:r>
          </w:p>
        </w:tc>
      </w:tr>
      <w:tr w:rsidR="00F80FFE" w:rsidRPr="00F80FFE" w14:paraId="1B8A6FE5" w14:textId="77777777" w:rsidTr="00420D5B">
        <w:tc>
          <w:tcPr>
            <w:tcW w:w="0" w:type="auto"/>
            <w:hideMark/>
          </w:tcPr>
          <w:p w14:paraId="5C3E0206"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Sensor-based classification systems</w:t>
            </w:r>
          </w:p>
        </w:tc>
        <w:tc>
          <w:tcPr>
            <w:tcW w:w="0" w:type="auto"/>
            <w:hideMark/>
          </w:tcPr>
          <w:p w14:paraId="51E07479"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Spoilage and shelf-life monitoring</w:t>
            </w:r>
          </w:p>
        </w:tc>
        <w:tc>
          <w:tcPr>
            <w:tcW w:w="0" w:type="auto"/>
            <w:hideMark/>
          </w:tcPr>
          <w:p w14:paraId="2AE12D0F"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Extended effective monitoring window for perishable commodities</w:t>
            </w:r>
          </w:p>
        </w:tc>
      </w:tr>
    </w:tbl>
    <w:p w14:paraId="28F356B2"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i/>
          <w:iCs/>
          <w:sz w:val="24"/>
          <w:szCs w:val="24"/>
          <w:lang w:eastAsia="en-GB"/>
        </w:rPr>
        <w:t xml:space="preserve">Sources: Qian et al. (2023); </w:t>
      </w:r>
      <w:proofErr w:type="spellStart"/>
      <w:r w:rsidRPr="00F80FFE">
        <w:rPr>
          <w:rFonts w:ascii="Times New Roman" w:eastAsia="Times New Roman" w:hAnsi="Times New Roman" w:cs="Times New Roman"/>
          <w:i/>
          <w:iCs/>
          <w:sz w:val="24"/>
          <w:szCs w:val="24"/>
          <w:lang w:eastAsia="en-GB"/>
        </w:rPr>
        <w:t>Kudashkina</w:t>
      </w:r>
      <w:proofErr w:type="spellEnd"/>
      <w:r w:rsidRPr="00F80FFE">
        <w:rPr>
          <w:rFonts w:ascii="Times New Roman" w:eastAsia="Times New Roman" w:hAnsi="Times New Roman" w:cs="Times New Roman"/>
          <w:i/>
          <w:iCs/>
          <w:sz w:val="24"/>
          <w:szCs w:val="24"/>
          <w:lang w:eastAsia="en-GB"/>
        </w:rPr>
        <w:t xml:space="preserve"> et al. (2022); Liu et al. (2021); Liu et al. (2023); Shen et al. (2024); Zhou et al. (2024); </w:t>
      </w:r>
      <w:proofErr w:type="spellStart"/>
      <w:r w:rsidRPr="00F80FFE">
        <w:rPr>
          <w:rFonts w:ascii="Times New Roman" w:eastAsia="Times New Roman" w:hAnsi="Times New Roman" w:cs="Times New Roman"/>
          <w:i/>
          <w:iCs/>
          <w:sz w:val="24"/>
          <w:szCs w:val="24"/>
          <w:lang w:eastAsia="en-GB"/>
        </w:rPr>
        <w:t>Sonwani</w:t>
      </w:r>
      <w:proofErr w:type="spellEnd"/>
      <w:r w:rsidRPr="00F80FFE">
        <w:rPr>
          <w:rFonts w:ascii="Times New Roman" w:eastAsia="Times New Roman" w:hAnsi="Times New Roman" w:cs="Times New Roman"/>
          <w:i/>
          <w:iCs/>
          <w:sz w:val="24"/>
          <w:szCs w:val="24"/>
          <w:lang w:eastAsia="en-GB"/>
        </w:rPr>
        <w:t xml:space="preserve"> et al. (2022); Xiao et al. (2022); </w:t>
      </w:r>
      <w:proofErr w:type="spellStart"/>
      <w:r w:rsidRPr="00F80FFE">
        <w:rPr>
          <w:rFonts w:ascii="Times New Roman" w:eastAsia="Times New Roman" w:hAnsi="Times New Roman" w:cs="Times New Roman"/>
          <w:i/>
          <w:iCs/>
          <w:sz w:val="24"/>
          <w:szCs w:val="24"/>
          <w:lang w:eastAsia="en-GB"/>
        </w:rPr>
        <w:t>Rugji</w:t>
      </w:r>
      <w:proofErr w:type="spellEnd"/>
      <w:r w:rsidRPr="00F80FFE">
        <w:rPr>
          <w:rFonts w:ascii="Times New Roman" w:eastAsia="Times New Roman" w:hAnsi="Times New Roman" w:cs="Times New Roman"/>
          <w:i/>
          <w:iCs/>
          <w:sz w:val="24"/>
          <w:szCs w:val="24"/>
          <w:lang w:eastAsia="en-GB"/>
        </w:rPr>
        <w:t xml:space="preserve"> et al. (2025).</w:t>
      </w:r>
    </w:p>
    <w:p w14:paraId="1A51AE7A"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As Table 1 makes clear, the dominant technical paradigms in this domain are convolutional neural networks applied to visual inspection and a broader family of machine learning methods applied to surveillance, sensor and spectral data. Read together, the studies in this section suggest that AI has meaningfully strengthened the food industry's technical capacity to detect hazards and verify authenticity—but that turning these capabilities into routine operational practice is shaped as much by organisational trust, regulatory clarity and data infrastructure as by raw algorithmic performance.</w:t>
      </w:r>
    </w:p>
    <w:p w14:paraId="4A9F408E" w14:textId="77777777" w:rsidR="00F80FFE" w:rsidRPr="00F80FFE" w:rsidRDefault="00F80FFE" w:rsidP="00F80FFE">
      <w:pPr>
        <w:spacing w:after="0" w:line="240" w:lineRule="auto"/>
        <w:rPr>
          <w:rFonts w:ascii="Times New Roman" w:eastAsia="Times New Roman" w:hAnsi="Times New Roman" w:cs="Times New Roman"/>
          <w:sz w:val="24"/>
          <w:szCs w:val="24"/>
          <w:lang w:eastAsia="en-GB"/>
        </w:rPr>
      </w:pPr>
    </w:p>
    <w:p w14:paraId="5A7C774D" w14:textId="77777777" w:rsidR="00F80FFE" w:rsidRPr="00F80FFE" w:rsidRDefault="00F80FFE" w:rsidP="00F80FF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4. Artificial Intelligence in Food Processing, Engineering and Automation</w:t>
      </w:r>
    </w:p>
    <w:p w14:paraId="73F9BE81"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4.1 Computer-Aided Food Engineering and Process Modelling</w:t>
      </w:r>
    </w:p>
    <w:p w14:paraId="4F0E4C87"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processing poses a distinctive engineering problem because foods are structurally and compositionally complex, multiscale materials whose behaviour during heating, drying, freezing or extrusion resists capture by simple analytical models. The emerging field of computer-aided food engineering addresses this by combining mechanistic process models with data-driven methods, including machine learning, to predict how food properties evolve during processing and to support the design of safer, higher-quality and more resource-efficient processes (Datta et al., 2022). This hybrid modelling approach is presented in the literature as a way of moving food manufacturing away from a historically trial-and-error mode of process development, towards a more predictive, simulation-supported design process of the kind long established in other manufacturing sectors (Datta et al., 2022).</w:t>
      </w:r>
    </w:p>
    <w:p w14:paraId="729AC602"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 related strand of work applies machine learning to characterise food composition and processing degree directly from compositional and ingredient data. One notable example is the development of algorithms able to predict the degree of food processing—distinguishing minimally processed from ultra-processed products—at a scale and consistency that manual classification simply could not match, with implications reaching beyond manufacturing into public health surveillance of dietary patterns (Menichetti et al., 2023). Tools of this kind illustrate how AI-enabled characterisation methods can serve dual purposes, supporting both industrial quality assurance and wider food policy and nutrition research.</w:t>
      </w:r>
    </w:p>
    <w:p w14:paraId="36AB3B4E"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Reviews of AI applications across agri-food systems more broadly emphasise that machine learning, neural networks and deep learning are increasingly embedded throughout food processing operations, including beverage manufacturing, dairy processing and intelligent packaging design, with the aim of improving efficiency, consistency and sustainability across </w:t>
      </w:r>
      <w:r w:rsidRPr="00F80FFE">
        <w:rPr>
          <w:rFonts w:ascii="Times New Roman" w:eastAsia="Times New Roman" w:hAnsi="Times New Roman" w:cs="Times New Roman"/>
          <w:sz w:val="24"/>
          <w:szCs w:val="24"/>
          <w:lang w:eastAsia="en-GB"/>
        </w:rPr>
        <w:lastRenderedPageBreak/>
        <w:t>production (Nath et al., 2024). The concept of "Food Quality 4.0" captures this shift towards digitalised, automated, AI-supported quality analysis, in contrast to the largely manual approaches to quality assurance that have historically characterised much of food manufacturing (Hassoun et al., 2023).</w:t>
      </w:r>
    </w:p>
    <w:p w14:paraId="620EED7C"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4.2 Robotics and Intelligent Automation in Manufacturing</w:t>
      </w:r>
    </w:p>
    <w:p w14:paraId="71B99931"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Robotics is the second major pillar of AI-enabled change in food processing, particularly in sub-sectors marked by physically demanding, repetitive or hazardous tasks. Red meat processing is a useful illustration: reviews of robotics and sensing technologies in this sector point to persistent challenges arising from the variability of biological materials, the harshness of abattoir environments and the high financial and safety costs tied to skilled manual labour—all of which create strong incentives for automation while simultaneously complicating its technical implementation (Aly et al., 2023). Combining optical and spectroscopic sensing—near-infrared probes capable of measuring fat depth or composition in real time, for instance—with robotic cutting and handling systems has been identified as a particularly promising route for marrying the precision of automated systems with the adaptive perception that, until now, only experienced human operators have provided (Aly et al., 2023).</w:t>
      </w:r>
    </w:p>
    <w:p w14:paraId="7836E342"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Beyond meat processing, AI-enabled robotic and automated systems have been documented across a wide range of food manufacturing contexts, including material handling, sorting, packaging and quality control inspection stations built directly into production lines (Mavani et al., 2022). The convergence of robotics with computer vision and machine learning is often framed as enabling not just the substitution of manual labour, but a qualitative shift towards adaptive, sensor-informed automation capable of responding to the natural variability of food materials—in contrast to the rigid, pre-programmed automation that characterised earlier generations of food processing machinery (Mavani et al., 2022). Even so, the persistent barriers to wider adoption of robotics in this sector appear to have less to do with the maturity of the underlying AI algorithms than with the practical difficulty of designing end-effectors, grippers and sensing systems that can reliably handle soft, irregular, highly variable biological materials at industrial throughput (Aly et al., 2023).</w:t>
      </w:r>
    </w:p>
    <w:p w14:paraId="6CB961EC"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Taken as a whole, the evidence in this section points to AI-enabled computer-aided engineering and robotics converging along two complementary lines: a predictive, simulation-driven approach to process and product design, and a perceptive, sensor-informed approach to physical automation. Both depend, in practice, on access to high-quality, representative training data, and both remain constrained by the structural and compositional heterogeneity that is simply inherent to food materials.</w:t>
      </w:r>
    </w:p>
    <w:p w14:paraId="1EEE79D2" w14:textId="77777777" w:rsidR="00F80FFE" w:rsidRPr="00F80FFE" w:rsidRDefault="00F80FFE" w:rsidP="00F80FFE">
      <w:pPr>
        <w:spacing w:after="0" w:line="240" w:lineRule="auto"/>
        <w:rPr>
          <w:rFonts w:ascii="Times New Roman" w:eastAsia="Times New Roman" w:hAnsi="Times New Roman" w:cs="Times New Roman"/>
          <w:sz w:val="24"/>
          <w:szCs w:val="24"/>
          <w:lang w:eastAsia="en-GB"/>
        </w:rPr>
      </w:pPr>
    </w:p>
    <w:p w14:paraId="3DC43419" w14:textId="77777777" w:rsidR="00F80FFE" w:rsidRPr="00F80FFE" w:rsidRDefault="00F80FFE" w:rsidP="00F80FF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5. Artificial Intelligence Across the Food Supply Chain</w:t>
      </w:r>
    </w:p>
    <w:p w14:paraId="2B0F6F83"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5.1 Demand Forecasting, Logistics and Traceability</w:t>
      </w:r>
    </w:p>
    <w:p w14:paraId="0A35B28F"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The food supply chain—spanning primary production, processing, distribution and retail—is shaped by perishability constraints, demand volatility and multi-tier supplier networks, all of which make inventory management, logistics planning and financial coordination genuinely difficult problems. AI-enabled analytics have been applied to several of these challenges at </w:t>
      </w:r>
      <w:r w:rsidRPr="00F80FFE">
        <w:rPr>
          <w:rFonts w:ascii="Times New Roman" w:eastAsia="Times New Roman" w:hAnsi="Times New Roman" w:cs="Times New Roman"/>
          <w:sz w:val="24"/>
          <w:szCs w:val="24"/>
          <w:lang w:eastAsia="en-GB"/>
        </w:rPr>
        <w:lastRenderedPageBreak/>
        <w:t>once, including demand forecasting, route optimisation for temperature-sensitive products, and the structuring of supply chain finance arrangements that can accommodate the cash-flow pressures typical of multi-supplier food and drink networks (Olan et al., 2022). Research on AI-driven supply chain finance in the food and drink sector has proposed conceptual frameworks linking AI-enabled risk assessment to alternative financing mechanisms, reflecting a recognition that technological and financial innovation in this sector are closely intertwined, particularly for small and medium-sized suppliers operating with limited working capital (Olan et al., 2022).</w:t>
      </w:r>
    </w:p>
    <w:p w14:paraId="490FD3BE"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Traceability is a further significant application area, where AI is typically combined with complementary digital technologies—most notably blockchain and Internet of Things sensors—to enable real-time product tracking and rapid identification of contamination sources during a recall. Reviews of digital innovation in food systems monitoring stress that the proliferation of remote sensing, machine learning and blockchain-based monitoring creates a real opportunity to improve transparency and accountability across food supply chains, while also raising concerns about data governance, equitable access to monitoring infrastructure, and the risk that monitoring systems themselves could be turned towards surveillance or market control rather than genuine sustainability gains (Meemken et al., 2024).</w:t>
      </w:r>
    </w:p>
    <w:p w14:paraId="7F3AF7E9"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5.2 Reducing Food Loss and Waste through Predictive Analytics</w:t>
      </w:r>
    </w:p>
    <w:p w14:paraId="1445A853"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loss and waste represent both an economic inefficiency and an environmental burden, and AI-enabled analytics have been put forward as a promising tool for tackling the problem at multiple points in the supply chain. Reviews focused specifically on AI applications for food waste reduction and the circular economy point to the potential of predictive demand modelling, dynamic pricing and AI-supported redistribution platforms to cut surplus food generation at the retail and food service level, while cautioning that the scale of the underlying problem—global food loss and waste is estimated in the literature at close to one billion tonnes annually—means technological interventions alone are unlikely to resolve it without complementary policy and behavioural measures (</w:t>
      </w:r>
      <w:proofErr w:type="spellStart"/>
      <w:r w:rsidR="00420D5B">
        <w:rPr>
          <w:rFonts w:ascii="Times New Roman" w:eastAsia="Times New Roman" w:hAnsi="Times New Roman" w:cs="Times New Roman"/>
          <w:sz w:val="24"/>
          <w:szCs w:val="24"/>
          <w:lang w:eastAsia="en-GB"/>
        </w:rPr>
        <w:t>Onyeaka</w:t>
      </w:r>
      <w:proofErr w:type="spellEnd"/>
      <w:r w:rsidRPr="00F80FFE">
        <w:rPr>
          <w:rFonts w:ascii="Times New Roman" w:eastAsia="Times New Roman" w:hAnsi="Times New Roman" w:cs="Times New Roman"/>
          <w:sz w:val="24"/>
          <w:szCs w:val="24"/>
          <w:lang w:eastAsia="en-GB"/>
        </w:rPr>
        <w:t xml:space="preserve"> &amp; </w:t>
      </w:r>
      <w:proofErr w:type="spellStart"/>
      <w:r w:rsidRPr="00F80FFE">
        <w:rPr>
          <w:rFonts w:ascii="Times New Roman" w:eastAsia="Times New Roman" w:hAnsi="Times New Roman" w:cs="Times New Roman"/>
          <w:sz w:val="24"/>
          <w:szCs w:val="24"/>
          <w:lang w:eastAsia="en-GB"/>
        </w:rPr>
        <w:t>Akinsemolu</w:t>
      </w:r>
      <w:proofErr w:type="spellEnd"/>
      <w:r w:rsidRPr="00F80FFE">
        <w:rPr>
          <w:rFonts w:ascii="Times New Roman" w:eastAsia="Times New Roman" w:hAnsi="Times New Roman" w:cs="Times New Roman"/>
          <w:sz w:val="24"/>
          <w:szCs w:val="24"/>
          <w:lang w:eastAsia="en-GB"/>
        </w:rPr>
        <w:t>, 2023).</w:t>
      </w:r>
    </w:p>
    <w:p w14:paraId="4F57233C"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Bibliometric and </w:t>
      </w:r>
      <w:proofErr w:type="spellStart"/>
      <w:r w:rsidRPr="00F80FFE">
        <w:rPr>
          <w:rFonts w:ascii="Times New Roman" w:eastAsia="Times New Roman" w:hAnsi="Times New Roman" w:cs="Times New Roman"/>
          <w:sz w:val="24"/>
          <w:szCs w:val="24"/>
          <w:lang w:eastAsia="en-GB"/>
        </w:rPr>
        <w:t>scientometric</w:t>
      </w:r>
      <w:proofErr w:type="spellEnd"/>
      <w:r w:rsidRPr="00F80FFE">
        <w:rPr>
          <w:rFonts w:ascii="Times New Roman" w:eastAsia="Times New Roman" w:hAnsi="Times New Roman" w:cs="Times New Roman"/>
          <w:sz w:val="24"/>
          <w:szCs w:val="24"/>
          <w:lang w:eastAsia="en-GB"/>
        </w:rPr>
        <w:t xml:space="preserve"> analysis of the literature on AI and big data applications for forecasting disruptions in global food value chains similarly points to rapidly growing research interest in using predictive analytics to anticipate supply shocks and mitigate their downstream effects on food insecurity, particularly in the context of climate-related and geopolitical disruptions to international trade (</w:t>
      </w:r>
      <w:proofErr w:type="spellStart"/>
      <w:r w:rsidRPr="00F80FFE">
        <w:rPr>
          <w:rFonts w:ascii="Times New Roman" w:eastAsia="Times New Roman" w:hAnsi="Times New Roman" w:cs="Times New Roman"/>
          <w:sz w:val="24"/>
          <w:szCs w:val="24"/>
          <w:lang w:eastAsia="en-GB"/>
        </w:rPr>
        <w:t>Tamasiga</w:t>
      </w:r>
      <w:proofErr w:type="spellEnd"/>
      <w:r w:rsidRPr="00F80FFE">
        <w:rPr>
          <w:rFonts w:ascii="Times New Roman" w:eastAsia="Times New Roman" w:hAnsi="Times New Roman" w:cs="Times New Roman"/>
          <w:sz w:val="24"/>
          <w:szCs w:val="24"/>
          <w:lang w:eastAsia="en-GB"/>
        </w:rPr>
        <w:t xml:space="preserve"> et al., 2023). More broadly, reviews of AI and big data integration across the food industry note that the value of these technologies for supply chain resilience is closely tied to the availability of interoperable, real-time data streams spanning multiple supply chain tiers—a condition that remains only partially met in many parts of the global food system (Ding et al., 2023).</w:t>
      </w:r>
    </w:p>
    <w:p w14:paraId="5CEF9FA5"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Table 2 summarises representative AI applications mapped against key stages of the food supply chain, illustrating both the breadth of documented use cases and a recurring theme: that realising the anticipated benefits depends on data integration across the chain.</w:t>
      </w:r>
    </w:p>
    <w:p w14:paraId="6FCC5787"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b/>
          <w:bCs/>
          <w:sz w:val="24"/>
          <w:szCs w:val="24"/>
          <w:lang w:eastAsia="en-GB"/>
        </w:rPr>
        <w:t>Table 2. Representative artificial intelligence applications across stages of the food supply chain</w:t>
      </w:r>
    </w:p>
    <w:tbl>
      <w:tblPr>
        <w:tblStyle w:val="TableGrid"/>
        <w:tblW w:w="0" w:type="auto"/>
        <w:tblLook w:val="04A0" w:firstRow="1" w:lastRow="0" w:firstColumn="1" w:lastColumn="0" w:noHBand="0" w:noVBand="1"/>
      </w:tblPr>
      <w:tblGrid>
        <w:gridCol w:w="2110"/>
        <w:gridCol w:w="3216"/>
        <w:gridCol w:w="3916"/>
      </w:tblGrid>
      <w:tr w:rsidR="00F80FFE" w:rsidRPr="00F80FFE" w14:paraId="5C5A09D1" w14:textId="77777777" w:rsidTr="00420D5B">
        <w:tc>
          <w:tcPr>
            <w:tcW w:w="0" w:type="auto"/>
            <w:hideMark/>
          </w:tcPr>
          <w:p w14:paraId="0D46C70A" w14:textId="77777777" w:rsidR="00F80FFE" w:rsidRPr="00F80FFE" w:rsidRDefault="00F80FFE" w:rsidP="00F80FFE">
            <w:pPr>
              <w:jc w:val="center"/>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 xml:space="preserve">Supply Chain </w:t>
            </w:r>
            <w:r w:rsidRPr="00F80FFE">
              <w:rPr>
                <w:rFonts w:ascii="Times New Roman" w:eastAsia="Times New Roman" w:hAnsi="Times New Roman" w:cs="Times New Roman"/>
                <w:b/>
                <w:bCs/>
                <w:sz w:val="24"/>
                <w:szCs w:val="24"/>
                <w:lang w:eastAsia="en-GB"/>
              </w:rPr>
              <w:lastRenderedPageBreak/>
              <w:t>Stage</w:t>
            </w:r>
          </w:p>
        </w:tc>
        <w:tc>
          <w:tcPr>
            <w:tcW w:w="0" w:type="auto"/>
            <w:hideMark/>
          </w:tcPr>
          <w:p w14:paraId="6F4E7ACF" w14:textId="77777777" w:rsidR="00F80FFE" w:rsidRPr="00F80FFE" w:rsidRDefault="00F80FFE" w:rsidP="00F80FFE">
            <w:pPr>
              <w:jc w:val="center"/>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lastRenderedPageBreak/>
              <w:t>AI Application</w:t>
            </w:r>
          </w:p>
        </w:tc>
        <w:tc>
          <w:tcPr>
            <w:tcW w:w="0" w:type="auto"/>
            <w:hideMark/>
          </w:tcPr>
          <w:p w14:paraId="30CA4F89" w14:textId="77777777" w:rsidR="00F80FFE" w:rsidRPr="00F80FFE" w:rsidRDefault="00F80FFE" w:rsidP="00F80FFE">
            <w:pPr>
              <w:jc w:val="center"/>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Reported Benefit / Consideration</w:t>
            </w:r>
          </w:p>
        </w:tc>
      </w:tr>
      <w:tr w:rsidR="00F80FFE" w:rsidRPr="00F80FFE" w14:paraId="0B30C0ED" w14:textId="77777777" w:rsidTr="00420D5B">
        <w:tc>
          <w:tcPr>
            <w:tcW w:w="0" w:type="auto"/>
            <w:hideMark/>
          </w:tcPr>
          <w:p w14:paraId="053788F8"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Demand planning and finance</w:t>
            </w:r>
          </w:p>
        </w:tc>
        <w:tc>
          <w:tcPr>
            <w:tcW w:w="0" w:type="auto"/>
            <w:hideMark/>
          </w:tcPr>
          <w:p w14:paraId="3E8E571A"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Predictive demand modelling; AI-supported supply chain finance frameworks</w:t>
            </w:r>
          </w:p>
        </w:tc>
        <w:tc>
          <w:tcPr>
            <w:tcW w:w="0" w:type="auto"/>
            <w:hideMark/>
          </w:tcPr>
          <w:p w14:paraId="75B06572"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Improved alignment of inventory with demand; novel financing mechanisms for multi-tier suppliers</w:t>
            </w:r>
          </w:p>
        </w:tc>
      </w:tr>
      <w:tr w:rsidR="00F80FFE" w:rsidRPr="00F80FFE" w14:paraId="615C67D9" w14:textId="77777777" w:rsidTr="00420D5B">
        <w:tc>
          <w:tcPr>
            <w:tcW w:w="0" w:type="auto"/>
            <w:hideMark/>
          </w:tcPr>
          <w:p w14:paraId="6865F6F9"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Logistics and cold-chain management</w:t>
            </w:r>
          </w:p>
        </w:tc>
        <w:tc>
          <w:tcPr>
            <w:tcW w:w="0" w:type="auto"/>
            <w:hideMark/>
          </w:tcPr>
          <w:p w14:paraId="2AC0951C"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Route and storage optimisation for perishable goods</w:t>
            </w:r>
          </w:p>
        </w:tc>
        <w:tc>
          <w:tcPr>
            <w:tcW w:w="0" w:type="auto"/>
            <w:hideMark/>
          </w:tcPr>
          <w:p w14:paraId="3925272B"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Reduced spoilage during transport and storage</w:t>
            </w:r>
          </w:p>
        </w:tc>
      </w:tr>
      <w:tr w:rsidR="00F80FFE" w:rsidRPr="00F80FFE" w14:paraId="5DB67214" w14:textId="77777777" w:rsidTr="00420D5B">
        <w:tc>
          <w:tcPr>
            <w:tcW w:w="0" w:type="auto"/>
            <w:hideMark/>
          </w:tcPr>
          <w:p w14:paraId="3108D7C2"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Traceability and recall management</w:t>
            </w:r>
          </w:p>
        </w:tc>
        <w:tc>
          <w:tcPr>
            <w:tcW w:w="0" w:type="auto"/>
            <w:hideMark/>
          </w:tcPr>
          <w:p w14:paraId="3B4A04D8"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Integration of AI with blockchain and IoT sensors</w:t>
            </w:r>
          </w:p>
        </w:tc>
        <w:tc>
          <w:tcPr>
            <w:tcW w:w="0" w:type="auto"/>
            <w:hideMark/>
          </w:tcPr>
          <w:p w14:paraId="21A8A45E"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Faster source identification and recall response; associated data governance concerns</w:t>
            </w:r>
          </w:p>
        </w:tc>
      </w:tr>
      <w:tr w:rsidR="00F80FFE" w:rsidRPr="00F80FFE" w14:paraId="1767CA10" w14:textId="77777777" w:rsidTr="00420D5B">
        <w:tc>
          <w:tcPr>
            <w:tcW w:w="0" w:type="auto"/>
            <w:hideMark/>
          </w:tcPr>
          <w:p w14:paraId="3B43517E"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loss and waste reduction</w:t>
            </w:r>
          </w:p>
        </w:tc>
        <w:tc>
          <w:tcPr>
            <w:tcW w:w="0" w:type="auto"/>
            <w:hideMark/>
          </w:tcPr>
          <w:p w14:paraId="209A1BA7"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Predictive analytics for surplus forecasting and redistribution</w:t>
            </w:r>
          </w:p>
        </w:tc>
        <w:tc>
          <w:tcPr>
            <w:tcW w:w="0" w:type="auto"/>
            <w:hideMark/>
          </w:tcPr>
          <w:p w14:paraId="53239714"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Reduced volumes of avoidable food waste; limited by the sheer scale of global food loss</w:t>
            </w:r>
          </w:p>
        </w:tc>
      </w:tr>
      <w:tr w:rsidR="00F80FFE" w:rsidRPr="00F80FFE" w14:paraId="246BB4DC" w14:textId="77777777" w:rsidTr="00420D5B">
        <w:tc>
          <w:tcPr>
            <w:tcW w:w="0" w:type="auto"/>
            <w:hideMark/>
          </w:tcPr>
          <w:p w14:paraId="03BF7B98"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Resilience to global disruption</w:t>
            </w:r>
          </w:p>
        </w:tc>
        <w:tc>
          <w:tcPr>
            <w:tcW w:w="0" w:type="auto"/>
            <w:hideMark/>
          </w:tcPr>
          <w:p w14:paraId="63F51709"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Big data/AI-based scenario forecasting</w:t>
            </w:r>
          </w:p>
        </w:tc>
        <w:tc>
          <w:tcPr>
            <w:tcW w:w="0" w:type="auto"/>
            <w:hideMark/>
          </w:tcPr>
          <w:p w14:paraId="4C81A38A"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Earlier anticipation of value-chain disruptions affecting food security</w:t>
            </w:r>
          </w:p>
        </w:tc>
      </w:tr>
    </w:tbl>
    <w:p w14:paraId="53061996"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i/>
          <w:iCs/>
          <w:sz w:val="24"/>
          <w:szCs w:val="24"/>
          <w:lang w:eastAsia="en-GB"/>
        </w:rPr>
        <w:t xml:space="preserve">Sources: Olan et al. (2022); Meemken et al. (2024); </w:t>
      </w:r>
      <w:proofErr w:type="spellStart"/>
      <w:r w:rsidR="00420D5B">
        <w:rPr>
          <w:rFonts w:ascii="Times New Roman" w:eastAsia="Times New Roman" w:hAnsi="Times New Roman" w:cs="Times New Roman"/>
          <w:i/>
          <w:iCs/>
          <w:sz w:val="24"/>
          <w:szCs w:val="24"/>
          <w:lang w:eastAsia="en-GB"/>
        </w:rPr>
        <w:t>Onyeaka</w:t>
      </w:r>
      <w:proofErr w:type="spellEnd"/>
      <w:r w:rsidRPr="00F80FFE">
        <w:rPr>
          <w:rFonts w:ascii="Times New Roman" w:eastAsia="Times New Roman" w:hAnsi="Times New Roman" w:cs="Times New Roman"/>
          <w:i/>
          <w:iCs/>
          <w:sz w:val="24"/>
          <w:szCs w:val="24"/>
          <w:lang w:eastAsia="en-GB"/>
        </w:rPr>
        <w:t xml:space="preserve"> and </w:t>
      </w:r>
      <w:proofErr w:type="spellStart"/>
      <w:r w:rsidRPr="00F80FFE">
        <w:rPr>
          <w:rFonts w:ascii="Times New Roman" w:eastAsia="Times New Roman" w:hAnsi="Times New Roman" w:cs="Times New Roman"/>
          <w:i/>
          <w:iCs/>
          <w:sz w:val="24"/>
          <w:szCs w:val="24"/>
          <w:lang w:eastAsia="en-GB"/>
        </w:rPr>
        <w:t>Akinsemolu</w:t>
      </w:r>
      <w:proofErr w:type="spellEnd"/>
      <w:r w:rsidRPr="00F80FFE">
        <w:rPr>
          <w:rFonts w:ascii="Times New Roman" w:eastAsia="Times New Roman" w:hAnsi="Times New Roman" w:cs="Times New Roman"/>
          <w:i/>
          <w:iCs/>
          <w:sz w:val="24"/>
          <w:szCs w:val="24"/>
          <w:lang w:eastAsia="en-GB"/>
        </w:rPr>
        <w:t xml:space="preserve"> (2023); </w:t>
      </w:r>
      <w:proofErr w:type="spellStart"/>
      <w:r w:rsidRPr="00F80FFE">
        <w:rPr>
          <w:rFonts w:ascii="Times New Roman" w:eastAsia="Times New Roman" w:hAnsi="Times New Roman" w:cs="Times New Roman"/>
          <w:i/>
          <w:iCs/>
          <w:sz w:val="24"/>
          <w:szCs w:val="24"/>
          <w:lang w:eastAsia="en-GB"/>
        </w:rPr>
        <w:t>Tamasiga</w:t>
      </w:r>
      <w:proofErr w:type="spellEnd"/>
      <w:r w:rsidRPr="00F80FFE">
        <w:rPr>
          <w:rFonts w:ascii="Times New Roman" w:eastAsia="Times New Roman" w:hAnsi="Times New Roman" w:cs="Times New Roman"/>
          <w:i/>
          <w:iCs/>
          <w:sz w:val="24"/>
          <w:szCs w:val="24"/>
          <w:lang w:eastAsia="en-GB"/>
        </w:rPr>
        <w:t xml:space="preserve"> et al. (2023); Ding et al. (2023).</w:t>
      </w:r>
    </w:p>
    <w:p w14:paraId="2C107C24"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pattern evident in Table 2 is that AI applications across the supply chain are predominantly predictive and coordinative—aimed at anticipating disruption or inefficiency rather than replacing human decision-making outright. This sets supply chain applications apart from the more perceptual, task-substituting uses of AI characteristic of processing and quality control, discussed above in Sections 3 and 4.</w:t>
      </w:r>
    </w:p>
    <w:p w14:paraId="0F773318" w14:textId="77777777" w:rsidR="00F80FFE" w:rsidRPr="00F80FFE" w:rsidRDefault="00F80FFE" w:rsidP="00F80FFE">
      <w:pPr>
        <w:spacing w:after="0" w:line="240" w:lineRule="auto"/>
        <w:rPr>
          <w:rFonts w:ascii="Times New Roman" w:eastAsia="Times New Roman" w:hAnsi="Times New Roman" w:cs="Times New Roman"/>
          <w:sz w:val="24"/>
          <w:szCs w:val="24"/>
          <w:lang w:eastAsia="en-GB"/>
        </w:rPr>
      </w:pPr>
    </w:p>
    <w:p w14:paraId="6AEFD42B" w14:textId="77777777" w:rsidR="00F80FFE" w:rsidRPr="00F80FFE" w:rsidRDefault="00F80FFE" w:rsidP="00F80FF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6. Artificial Intelligence in Primary Production, Food Security and Sustainability</w:t>
      </w:r>
    </w:p>
    <w:p w14:paraId="0DAB5528"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6.1 Precision Agriculture and Smart Farming</w:t>
      </w:r>
    </w:p>
    <w:p w14:paraId="00EEA9CA"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Applying AI to primary food production—commonly framed as precision or smart agriculture—is a critical upstream complement to the processing and supply chain applications discussed so far, given that the quality, consistency and sustainability of raw agricultural inputs shape downstream food system performance in fairly fundamental ways. Comprehensive reviews of smart farming document the use of machine learning and deep learning across tasks including crop monitoring, irrigation scheduling, pest and disease detection and yield prediction, generally framed within the broader context of climate-related and resource constraints on agricultural productivity (</w:t>
      </w:r>
      <w:proofErr w:type="spellStart"/>
      <w:r w:rsidRPr="00F80FFE">
        <w:rPr>
          <w:rFonts w:ascii="Times New Roman" w:eastAsia="Times New Roman" w:hAnsi="Times New Roman" w:cs="Times New Roman"/>
          <w:sz w:val="24"/>
          <w:szCs w:val="24"/>
          <w:lang w:eastAsia="en-GB"/>
        </w:rPr>
        <w:t>Akkem</w:t>
      </w:r>
      <w:proofErr w:type="spellEnd"/>
      <w:r w:rsidRPr="00F80FFE">
        <w:rPr>
          <w:rFonts w:ascii="Times New Roman" w:eastAsia="Times New Roman" w:hAnsi="Times New Roman" w:cs="Times New Roman"/>
          <w:sz w:val="24"/>
          <w:szCs w:val="24"/>
          <w:lang w:eastAsia="en-GB"/>
        </w:rPr>
        <w:t xml:space="preserve"> et al., 2023). One persistent technical challenge in this literature is the scarcity and imbalance of high-quality training data in many agricultural settings—a limitation that has fuelled growing interest in synthetic data generation methods, including variational autoencoders and generative adversarial networks, as a way of augmenting limited real-world datasets for training smart farming models (</w:t>
      </w:r>
      <w:proofErr w:type="spellStart"/>
      <w:r w:rsidRPr="00F80FFE">
        <w:rPr>
          <w:rFonts w:ascii="Times New Roman" w:eastAsia="Times New Roman" w:hAnsi="Times New Roman" w:cs="Times New Roman"/>
          <w:sz w:val="24"/>
          <w:szCs w:val="24"/>
          <w:lang w:eastAsia="en-GB"/>
        </w:rPr>
        <w:t>Akkem</w:t>
      </w:r>
      <w:proofErr w:type="spellEnd"/>
      <w:r w:rsidRPr="00F80FFE">
        <w:rPr>
          <w:rFonts w:ascii="Times New Roman" w:eastAsia="Times New Roman" w:hAnsi="Times New Roman" w:cs="Times New Roman"/>
          <w:sz w:val="24"/>
          <w:szCs w:val="24"/>
          <w:lang w:eastAsia="en-GB"/>
        </w:rPr>
        <w:t xml:space="preserve"> et al., 2024).</w:t>
      </w:r>
    </w:p>
    <w:p w14:paraId="5EF45E15"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Open-source and modular AI architectures have also been proposed as a way of lowering the barriers to adopting precision agriculture tools, particularly where proprietary, vertically integrated AI platforms may be financially or technically out of reach. Architectures built on machine learning operations principles have been put forward as a means of fostering more </w:t>
      </w:r>
      <w:r w:rsidRPr="00F80FFE">
        <w:rPr>
          <w:rFonts w:ascii="Times New Roman" w:eastAsia="Times New Roman" w:hAnsi="Times New Roman" w:cs="Times New Roman"/>
          <w:sz w:val="24"/>
          <w:szCs w:val="24"/>
          <w:lang w:eastAsia="en-GB"/>
        </w:rPr>
        <w:lastRenderedPageBreak/>
        <w:t>equitable and adaptable agricultural transformation, allowing smallholder and resource-limited producers to benefit from AI-enabled decision support without becoming dependent on costly proprietary infrastructure (Cob-Parro et al., 2024).</w:t>
      </w:r>
    </w:p>
    <w:p w14:paraId="5FCA3235"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6.2 Monitoring Food Security and Sustainability at Scale</w:t>
      </w:r>
    </w:p>
    <w:p w14:paraId="6AF4F3BE"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Beyond farm-level optimisation, AI and associated digital technologies are increasingly used to assess food security and monitor sustainability standards at regional and global scales. Reviews of AI applications for food security describe the use of predictive modelling to identify populations and regions at heightened risk of food insecurity, drawing on diverse data sources ranging from satellite-derived agricultural indicators to socioeconomic and market data (</w:t>
      </w:r>
      <w:proofErr w:type="spellStart"/>
      <w:r w:rsidRPr="00F80FFE">
        <w:rPr>
          <w:rFonts w:ascii="Times New Roman" w:eastAsia="Times New Roman" w:hAnsi="Times New Roman" w:cs="Times New Roman"/>
          <w:sz w:val="24"/>
          <w:szCs w:val="24"/>
          <w:lang w:eastAsia="en-GB"/>
        </w:rPr>
        <w:t>Sarku</w:t>
      </w:r>
      <w:proofErr w:type="spellEnd"/>
      <w:r w:rsidRPr="00F80FFE">
        <w:rPr>
          <w:rFonts w:ascii="Times New Roman" w:eastAsia="Times New Roman" w:hAnsi="Times New Roman" w:cs="Times New Roman"/>
          <w:sz w:val="24"/>
          <w:szCs w:val="24"/>
          <w:lang w:eastAsia="en-GB"/>
        </w:rPr>
        <w:t xml:space="preserve"> et al., 2023). Related methodological work has proposed multi-dimensional spatial indices for quantifying food insecurity, showing how AI-supported analytical frameworks can integrate heterogeneous indicators into more actionable, geographically resolved assessments than traditional single-indicator approaches allow (Dawood &amp; van Vuuren, 2023).</w:t>
      </w:r>
    </w:p>
    <w:p w14:paraId="5237ADB8"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At a systems level, digital monitoring approaches—combining remote sensing, machine learning, large-scale administrative data and blockchain-based verification—are increasingly used to track compliance with social and environmental sustainability standards across global agri-food supply chains. These approaches offer the prospect of substantially better transparency and accountability, but critical analyses are equally clear that the same monitoring infrastructure risks deepening rather than reducing power asymmetries between large agribusiness actors and smallholder producers, and could enable forms of algorithmic surveillance that undermine rather than support equitable participation in global food markets (Meemken et al., 2024). This tension between the transparency-enhancing and potentially disempowering effects of AI-based monitoring runs through the broader literature on AI ethics in agriculture, which similarly identifies privacy, fairness and the distribution of decision-making power as central, unresolved concerns (Ryan, 2023).</w:t>
      </w:r>
    </w:p>
    <w:p w14:paraId="3D1042B0"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Table 3 summarises representative applications of AI within primary production, food security monitoring and sustainability assessment, bringing together the farm-level and systems-level perspectives discussed above.</w:t>
      </w:r>
    </w:p>
    <w:p w14:paraId="33DB216C"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b/>
          <w:bCs/>
          <w:sz w:val="24"/>
          <w:szCs w:val="24"/>
          <w:lang w:eastAsia="en-GB"/>
        </w:rPr>
        <w:t>Table 3. Representative artificial intelligence applications in primary production, food security and sustainability monitoring</w:t>
      </w:r>
    </w:p>
    <w:tbl>
      <w:tblPr>
        <w:tblStyle w:val="TableGrid"/>
        <w:tblW w:w="0" w:type="auto"/>
        <w:tblLook w:val="04A0" w:firstRow="1" w:lastRow="0" w:firstColumn="1" w:lastColumn="0" w:noHBand="0" w:noVBand="1"/>
      </w:tblPr>
      <w:tblGrid>
        <w:gridCol w:w="2207"/>
        <w:gridCol w:w="3650"/>
        <w:gridCol w:w="3385"/>
      </w:tblGrid>
      <w:tr w:rsidR="00F80FFE" w:rsidRPr="00F80FFE" w14:paraId="549087C2" w14:textId="77777777" w:rsidTr="00420D5B">
        <w:tc>
          <w:tcPr>
            <w:tcW w:w="0" w:type="auto"/>
            <w:hideMark/>
          </w:tcPr>
          <w:p w14:paraId="789DEAA6" w14:textId="77777777" w:rsidR="00F80FFE" w:rsidRPr="00F80FFE" w:rsidRDefault="00F80FFE" w:rsidP="00F80FFE">
            <w:pPr>
              <w:jc w:val="center"/>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Application Domain</w:t>
            </w:r>
          </w:p>
        </w:tc>
        <w:tc>
          <w:tcPr>
            <w:tcW w:w="0" w:type="auto"/>
            <w:hideMark/>
          </w:tcPr>
          <w:p w14:paraId="5D3FC7E8" w14:textId="77777777" w:rsidR="00F80FFE" w:rsidRPr="00F80FFE" w:rsidRDefault="00F80FFE" w:rsidP="00F80FFE">
            <w:pPr>
              <w:jc w:val="center"/>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AI Application</w:t>
            </w:r>
          </w:p>
        </w:tc>
        <w:tc>
          <w:tcPr>
            <w:tcW w:w="0" w:type="auto"/>
            <w:hideMark/>
          </w:tcPr>
          <w:p w14:paraId="72E4F4CE" w14:textId="77777777" w:rsidR="00F80FFE" w:rsidRPr="00F80FFE" w:rsidRDefault="00F80FFE" w:rsidP="00F80FFE">
            <w:pPr>
              <w:jc w:val="center"/>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Reported Benefit / Constraint</w:t>
            </w:r>
          </w:p>
        </w:tc>
      </w:tr>
      <w:tr w:rsidR="00F80FFE" w:rsidRPr="00F80FFE" w14:paraId="4D75F083" w14:textId="77777777" w:rsidTr="00420D5B">
        <w:tc>
          <w:tcPr>
            <w:tcW w:w="0" w:type="auto"/>
            <w:hideMark/>
          </w:tcPr>
          <w:p w14:paraId="47B5004F"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Crop and farm management</w:t>
            </w:r>
          </w:p>
        </w:tc>
        <w:tc>
          <w:tcPr>
            <w:tcW w:w="0" w:type="auto"/>
            <w:hideMark/>
          </w:tcPr>
          <w:p w14:paraId="05D9A095"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Machine learning/deep learning for monitoring, irrigation and pest detection</w:t>
            </w:r>
          </w:p>
        </w:tc>
        <w:tc>
          <w:tcPr>
            <w:tcW w:w="0" w:type="auto"/>
            <w:hideMark/>
          </w:tcPr>
          <w:p w14:paraId="08F22B5B"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Improved resource-use efficiency; constrained by data scarcity in many regions</w:t>
            </w:r>
          </w:p>
        </w:tc>
      </w:tr>
      <w:tr w:rsidR="00F80FFE" w:rsidRPr="00F80FFE" w14:paraId="64F384D2" w14:textId="77777777" w:rsidTr="00420D5B">
        <w:tc>
          <w:tcPr>
            <w:tcW w:w="0" w:type="auto"/>
            <w:hideMark/>
          </w:tcPr>
          <w:p w14:paraId="4098C31B"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Data augmentation for agriculture</w:t>
            </w:r>
          </w:p>
        </w:tc>
        <w:tc>
          <w:tcPr>
            <w:tcW w:w="0" w:type="auto"/>
            <w:hideMark/>
          </w:tcPr>
          <w:p w14:paraId="3F81C3C4"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Generative models (e.g., GANs, variational autoencoders) for synthetic agricultural data</w:t>
            </w:r>
          </w:p>
        </w:tc>
        <w:tc>
          <w:tcPr>
            <w:tcW w:w="0" w:type="auto"/>
            <w:hideMark/>
          </w:tcPr>
          <w:p w14:paraId="704011B0"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Mitigation of limited or imbalanced training datasets</w:t>
            </w:r>
          </w:p>
        </w:tc>
      </w:tr>
      <w:tr w:rsidR="00F80FFE" w:rsidRPr="00F80FFE" w14:paraId="3FBC62DF" w14:textId="77777777" w:rsidTr="00420D5B">
        <w:tc>
          <w:tcPr>
            <w:tcW w:w="0" w:type="auto"/>
            <w:hideMark/>
          </w:tcPr>
          <w:p w14:paraId="6D3B5E1A"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Equitable technology access</w:t>
            </w:r>
          </w:p>
        </w:tc>
        <w:tc>
          <w:tcPr>
            <w:tcW w:w="0" w:type="auto"/>
            <w:hideMark/>
          </w:tcPr>
          <w:p w14:paraId="19960847"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Open-source, modular AI architectures for smallholder producers</w:t>
            </w:r>
          </w:p>
        </w:tc>
        <w:tc>
          <w:tcPr>
            <w:tcW w:w="0" w:type="auto"/>
            <w:hideMark/>
          </w:tcPr>
          <w:p w14:paraId="2BC856F3"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Reduced dependence on costly proprietary platforms</w:t>
            </w:r>
          </w:p>
        </w:tc>
      </w:tr>
      <w:tr w:rsidR="00F80FFE" w:rsidRPr="00F80FFE" w14:paraId="5855CA51" w14:textId="77777777" w:rsidTr="00420D5B">
        <w:tc>
          <w:tcPr>
            <w:tcW w:w="0" w:type="auto"/>
            <w:hideMark/>
          </w:tcPr>
          <w:p w14:paraId="3929E080"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insecurity assessment</w:t>
            </w:r>
          </w:p>
        </w:tc>
        <w:tc>
          <w:tcPr>
            <w:tcW w:w="0" w:type="auto"/>
            <w:hideMark/>
          </w:tcPr>
          <w:p w14:paraId="16966006"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Predictive and spatial-index modelling of food insecurity risk</w:t>
            </w:r>
          </w:p>
        </w:tc>
        <w:tc>
          <w:tcPr>
            <w:tcW w:w="0" w:type="auto"/>
            <w:hideMark/>
          </w:tcPr>
          <w:p w14:paraId="21EE91A2"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Improved targeting of interventions; data and indicator </w:t>
            </w:r>
            <w:r w:rsidRPr="00F80FFE">
              <w:rPr>
                <w:rFonts w:ascii="Times New Roman" w:eastAsia="Times New Roman" w:hAnsi="Times New Roman" w:cs="Times New Roman"/>
                <w:sz w:val="24"/>
                <w:szCs w:val="24"/>
                <w:lang w:eastAsia="en-GB"/>
              </w:rPr>
              <w:lastRenderedPageBreak/>
              <w:t>integration challenges</w:t>
            </w:r>
          </w:p>
        </w:tc>
      </w:tr>
      <w:tr w:rsidR="00F80FFE" w:rsidRPr="00F80FFE" w14:paraId="407D9799" w14:textId="77777777" w:rsidTr="00420D5B">
        <w:tc>
          <w:tcPr>
            <w:tcW w:w="0" w:type="auto"/>
            <w:hideMark/>
          </w:tcPr>
          <w:p w14:paraId="6E3F76CA"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lastRenderedPageBreak/>
              <w:t>Sustainability compliance monitoring</w:t>
            </w:r>
          </w:p>
        </w:tc>
        <w:tc>
          <w:tcPr>
            <w:tcW w:w="0" w:type="auto"/>
            <w:hideMark/>
          </w:tcPr>
          <w:p w14:paraId="13BD1CC5"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Remote sensing, machine learning and blockchain-based verification</w:t>
            </w:r>
          </w:p>
        </w:tc>
        <w:tc>
          <w:tcPr>
            <w:tcW w:w="0" w:type="auto"/>
            <w:hideMark/>
          </w:tcPr>
          <w:p w14:paraId="59056EEE"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Enhanced transparency; risk of surveillance and power asymmetry</w:t>
            </w:r>
          </w:p>
        </w:tc>
      </w:tr>
    </w:tbl>
    <w:p w14:paraId="2D2D9B14"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i/>
          <w:iCs/>
          <w:sz w:val="24"/>
          <w:szCs w:val="24"/>
          <w:lang w:eastAsia="en-GB"/>
        </w:rPr>
        <w:t xml:space="preserve">Sources: </w:t>
      </w:r>
      <w:proofErr w:type="spellStart"/>
      <w:r w:rsidRPr="00F80FFE">
        <w:rPr>
          <w:rFonts w:ascii="Times New Roman" w:eastAsia="Times New Roman" w:hAnsi="Times New Roman" w:cs="Times New Roman"/>
          <w:i/>
          <w:iCs/>
          <w:sz w:val="24"/>
          <w:szCs w:val="24"/>
          <w:lang w:eastAsia="en-GB"/>
        </w:rPr>
        <w:t>Akkem</w:t>
      </w:r>
      <w:proofErr w:type="spellEnd"/>
      <w:r w:rsidRPr="00F80FFE">
        <w:rPr>
          <w:rFonts w:ascii="Times New Roman" w:eastAsia="Times New Roman" w:hAnsi="Times New Roman" w:cs="Times New Roman"/>
          <w:i/>
          <w:iCs/>
          <w:sz w:val="24"/>
          <w:szCs w:val="24"/>
          <w:lang w:eastAsia="en-GB"/>
        </w:rPr>
        <w:t xml:space="preserve"> et al. (2023); </w:t>
      </w:r>
      <w:proofErr w:type="spellStart"/>
      <w:r w:rsidRPr="00F80FFE">
        <w:rPr>
          <w:rFonts w:ascii="Times New Roman" w:eastAsia="Times New Roman" w:hAnsi="Times New Roman" w:cs="Times New Roman"/>
          <w:i/>
          <w:iCs/>
          <w:sz w:val="24"/>
          <w:szCs w:val="24"/>
          <w:lang w:eastAsia="en-GB"/>
        </w:rPr>
        <w:t>Akkem</w:t>
      </w:r>
      <w:proofErr w:type="spellEnd"/>
      <w:r w:rsidRPr="00F80FFE">
        <w:rPr>
          <w:rFonts w:ascii="Times New Roman" w:eastAsia="Times New Roman" w:hAnsi="Times New Roman" w:cs="Times New Roman"/>
          <w:i/>
          <w:iCs/>
          <w:sz w:val="24"/>
          <w:szCs w:val="24"/>
          <w:lang w:eastAsia="en-GB"/>
        </w:rPr>
        <w:t xml:space="preserve"> et al. (2024); Cob-Parro et al. (2024); </w:t>
      </w:r>
      <w:proofErr w:type="spellStart"/>
      <w:r w:rsidRPr="00F80FFE">
        <w:rPr>
          <w:rFonts w:ascii="Times New Roman" w:eastAsia="Times New Roman" w:hAnsi="Times New Roman" w:cs="Times New Roman"/>
          <w:i/>
          <w:iCs/>
          <w:sz w:val="24"/>
          <w:szCs w:val="24"/>
          <w:lang w:eastAsia="en-GB"/>
        </w:rPr>
        <w:t>Sarku</w:t>
      </w:r>
      <w:proofErr w:type="spellEnd"/>
      <w:r w:rsidRPr="00F80FFE">
        <w:rPr>
          <w:rFonts w:ascii="Times New Roman" w:eastAsia="Times New Roman" w:hAnsi="Times New Roman" w:cs="Times New Roman"/>
          <w:i/>
          <w:iCs/>
          <w:sz w:val="24"/>
          <w:szCs w:val="24"/>
          <w:lang w:eastAsia="en-GB"/>
        </w:rPr>
        <w:t xml:space="preserve"> et al. (2023); Dawood and van Vuuren (2023); Meemken et al. (2024); Ryan (2023).</w:t>
      </w:r>
    </w:p>
    <w:p w14:paraId="49A32794"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evidence summarised in Table 3 suggests that AI applications in primary production and food security are increasingly converging on questions of equity and governance, alongside the more conventional concerns about technical performance that dominated earlier work in this area.</w:t>
      </w:r>
    </w:p>
    <w:p w14:paraId="13324664" w14:textId="77777777" w:rsidR="00F80FFE" w:rsidRPr="00F80FFE" w:rsidRDefault="00F80FFE" w:rsidP="00F80FFE">
      <w:pPr>
        <w:spacing w:after="0" w:line="240" w:lineRule="auto"/>
        <w:rPr>
          <w:rFonts w:ascii="Times New Roman" w:eastAsia="Times New Roman" w:hAnsi="Times New Roman" w:cs="Times New Roman"/>
          <w:sz w:val="24"/>
          <w:szCs w:val="24"/>
          <w:lang w:eastAsia="en-GB"/>
        </w:rPr>
      </w:pPr>
    </w:p>
    <w:p w14:paraId="0AC313D8" w14:textId="77777777" w:rsidR="00F80FFE" w:rsidRPr="00F80FFE" w:rsidRDefault="00F80FFE" w:rsidP="00F80FF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7. Artificial Intelligence in Nutrition, Sensory Science and Product Innovation</w:t>
      </w:r>
    </w:p>
    <w:p w14:paraId="78DCEAB4"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7.1 Personalised Nutrition and Dietary Assessment</w:t>
      </w:r>
    </w:p>
    <w:p w14:paraId="4E250628"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AI applications in nutrition and dietary assessment have expanded quickly, driven both by consumer interest in individualised health guidance and by a genuine analytical problem: accurately quantifying dietary intake, a task that has historically relied on self-report methods prone to substantial recall bias and underreporting. Comprehensive reviews of AI in personalised nutrition and food manufacturing document the use of computer vision, natural language processing and recommendation system algorithms to estimate food intake from images, generate individualised dietary recommendations, and fold behavioural and physiological data into more responsive nutritional guidance systems (Agrawal et al., 2025). Scoping review evidence on AI applications for measuring food and nutrient intake reaches a similar conclusion: AI-based methods offer real improvements in accuracy, labour reduction and the feasibility of real-time dietary monitoring, while continuing to face challenges related to the diversity of food types represented in training data, algorithmic fairness across population groups, and data privacy in health-related applications (Zheng et al., 2024).</w:t>
      </w:r>
    </w:p>
    <w:p w14:paraId="7D6A15A7"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broader sustainability implications of AI-enabled nutrition tools have also drawn attention, with reviews highlighting the potential for AI to support not only individual dietary optimisation but also population-level nutrition surveillance and the identification of dietary patterns linked to chronic disease risk (</w:t>
      </w:r>
      <w:proofErr w:type="spellStart"/>
      <w:r w:rsidRPr="00F80FFE">
        <w:rPr>
          <w:rFonts w:ascii="Times New Roman" w:eastAsia="Times New Roman" w:hAnsi="Times New Roman" w:cs="Times New Roman"/>
          <w:sz w:val="24"/>
          <w:szCs w:val="24"/>
          <w:lang w:eastAsia="en-GB"/>
        </w:rPr>
        <w:t>Namkhah</w:t>
      </w:r>
      <w:proofErr w:type="spellEnd"/>
      <w:r w:rsidRPr="00F80FFE">
        <w:rPr>
          <w:rFonts w:ascii="Times New Roman" w:eastAsia="Times New Roman" w:hAnsi="Times New Roman" w:cs="Times New Roman"/>
          <w:sz w:val="24"/>
          <w:szCs w:val="24"/>
          <w:lang w:eastAsia="en-GB"/>
        </w:rPr>
        <w:t xml:space="preserve"> et al., 2023). The ability of machine learning algorithms to characterise the degree of food processing directly from ingredient and compositional data illustrates a further point of convergence between nutrition-focused and manufacturing-focused AI work, since classification tools of this kind matter both for public health monitoring of ultra-processed food consumption and for manufacturers seeking to reformulate products in line with evolving nutritional guidance (Menichetti et al., 2023).</w:t>
      </w:r>
    </w:p>
    <w:p w14:paraId="69CDA1CD"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7.2 Flavour Science, Generative Design and New Product Development</w:t>
      </w:r>
    </w:p>
    <w:p w14:paraId="10C51250"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A distinct and fast-growing application of AI concerns the design of food products themselves—moving beyond quality assessment of existing products towards the generative creation of novel formulations, flavours and recipes. Reviews of AI-enabled flavour science describe how combining food flavour and ingredient databases with machine learning models is allowing researchers to explore and develop new flavour substances in a digital </w:t>
      </w:r>
      <w:r w:rsidRPr="00F80FFE">
        <w:rPr>
          <w:rFonts w:ascii="Times New Roman" w:eastAsia="Times New Roman" w:hAnsi="Times New Roman" w:cs="Times New Roman"/>
          <w:sz w:val="24"/>
          <w:szCs w:val="24"/>
          <w:lang w:eastAsia="en-GB"/>
        </w:rPr>
        <w:lastRenderedPageBreak/>
        <w:t>environment, cutting the time and resource intensity that sensory experimentation has traditionally required, and pointing towards AI-assisted innovation pipelines that incorporate predicted consumer preference data earlier in the design process (Cui et al., 2025). Closely related work on inverse design and deep generative networks in food formulation makes a parallel argument: that AI could shift food product development from a largely forward, trial-based process towards an inverse design paradigm, in which the desired sensory or nutritional outcome is specified first and AI models then propose candidate formulations likely to achieve it (Al-</w:t>
      </w:r>
      <w:proofErr w:type="spellStart"/>
      <w:r w:rsidRPr="00F80FFE">
        <w:rPr>
          <w:rFonts w:ascii="Times New Roman" w:eastAsia="Times New Roman" w:hAnsi="Times New Roman" w:cs="Times New Roman"/>
          <w:sz w:val="24"/>
          <w:szCs w:val="24"/>
          <w:lang w:eastAsia="en-GB"/>
        </w:rPr>
        <w:t>Sarayreh</w:t>
      </w:r>
      <w:proofErr w:type="spellEnd"/>
      <w:r w:rsidRPr="00F80FFE">
        <w:rPr>
          <w:rFonts w:ascii="Times New Roman" w:eastAsia="Times New Roman" w:hAnsi="Times New Roman" w:cs="Times New Roman"/>
          <w:sz w:val="24"/>
          <w:szCs w:val="24"/>
          <w:lang w:eastAsia="en-GB"/>
        </w:rPr>
        <w:t xml:space="preserve"> et al., 2023).</w:t>
      </w:r>
    </w:p>
    <w:p w14:paraId="735C3C8F"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AI's role in new product development extends beyond flavour and formulation into strategic decision-making around market positioning. Earlier work in this area showed that AI-based predictive systems could forecast the likely commercial success of new food products and inform market-product strategy selection, drawing consumer, market and product attribute data into a single decision-support framework (Soltani-</w:t>
      </w:r>
      <w:proofErr w:type="spellStart"/>
      <w:r w:rsidRPr="00F80FFE">
        <w:rPr>
          <w:rFonts w:ascii="Times New Roman" w:eastAsia="Times New Roman" w:hAnsi="Times New Roman" w:cs="Times New Roman"/>
          <w:sz w:val="24"/>
          <w:szCs w:val="24"/>
          <w:lang w:eastAsia="en-GB"/>
        </w:rPr>
        <w:t>Fesaghandis</w:t>
      </w:r>
      <w:proofErr w:type="spellEnd"/>
      <w:r w:rsidRPr="00F80FFE">
        <w:rPr>
          <w:rFonts w:ascii="Times New Roman" w:eastAsia="Times New Roman" w:hAnsi="Times New Roman" w:cs="Times New Roman"/>
          <w:sz w:val="24"/>
          <w:szCs w:val="24"/>
          <w:lang w:eastAsia="en-GB"/>
        </w:rPr>
        <w:t xml:space="preserve"> &amp; Pooya, 2018). This strand of the literature is a useful reminder that AI's contribution to product innovation is not confined to the technical design of formulations; it extends into the commercial strategy surrounding product launch and positioning as well.</w:t>
      </w:r>
    </w:p>
    <w:p w14:paraId="348C2E50"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7.3 Consumer Trust and Acceptance of AI-Enabled Foods</w:t>
      </w:r>
    </w:p>
    <w:p w14:paraId="00D9905A"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Whether AI-enabled product innovation translates into commercial success ultimately comes down to consumer acceptance—a theme that has attracted growing empirical attention as AI-generated or AI-assisted food products have begun reaching retail markets. Structural equation modelling research on consumer willingness to purchase foods made from AI-generated recipes finds that both cognitive trust, reflecting perceived competence and reliability of the technology, and affective trust, reflecting emotional comfort with AI-derived products, exert a significant positive effect on purchase intention, alongside food quality orientation and subjective social norms (Xia et al., 2024). This work makes a point worth dwelling on: AI's impact on the food industry cannot be judged in purely technical or operational terms, since consumer psychology and trust dynamics fundamentally determine whether technically successful innovations ever reach the market in any meaningful volume.</w:t>
      </w:r>
    </w:p>
    <w:p w14:paraId="358385A4"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Broader survey-based research on consumer acceptance of sustainable food technologies—covering AI alongside complementary innovations such as upcycling technologies and agricultural </w:t>
      </w:r>
      <w:proofErr w:type="spellStart"/>
      <w:r w:rsidRPr="00F80FFE">
        <w:rPr>
          <w:rFonts w:ascii="Times New Roman" w:eastAsia="Times New Roman" w:hAnsi="Times New Roman" w:cs="Times New Roman"/>
          <w:sz w:val="24"/>
          <w:szCs w:val="24"/>
          <w:lang w:eastAsia="en-GB"/>
        </w:rPr>
        <w:t>biostimulants</w:t>
      </w:r>
      <w:proofErr w:type="spellEnd"/>
      <w:r w:rsidRPr="00F80FFE">
        <w:rPr>
          <w:rFonts w:ascii="Times New Roman" w:eastAsia="Times New Roman" w:hAnsi="Times New Roman" w:cs="Times New Roman"/>
          <w:sz w:val="24"/>
          <w:szCs w:val="24"/>
          <w:lang w:eastAsia="en-GB"/>
        </w:rPr>
        <w:t>—similarly finds that psychological and attitudinal factors, including food technology neophobia, variety-seeking tendencies and trust in regulatory and agribusiness actors, are more strongly associated with purchase intention than sociodemographic characteristics are, and that AI-associated food products tend to be perceived as more artificial and risky, and less reassuring, than the other sustainable food technologies examined (Castellini &amp; Graffigna, 2026). This has practical implications for how the food industry communicates such innovations to consumers; it suggests that the successful diffusion of AI-enabled food products depends substantially on framing and messaging, and not on technical performance alone.</w:t>
      </w:r>
    </w:p>
    <w:p w14:paraId="11AAC038"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Table 4 summarises representative applications of AI in nutrition, sensory science and consumer-facing innovation, together with key considerations identified across the reviewed studies.</w:t>
      </w:r>
    </w:p>
    <w:p w14:paraId="5E9CE8E7"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b/>
          <w:bCs/>
          <w:sz w:val="24"/>
          <w:szCs w:val="24"/>
          <w:lang w:eastAsia="en-GB"/>
        </w:rPr>
        <w:t>Table 4. Representative artificial intelligence applications in nutrition, sensory science and product innovation</w:t>
      </w:r>
    </w:p>
    <w:tbl>
      <w:tblPr>
        <w:tblStyle w:val="TableGrid"/>
        <w:tblW w:w="0" w:type="auto"/>
        <w:tblLook w:val="04A0" w:firstRow="1" w:lastRow="0" w:firstColumn="1" w:lastColumn="0" w:noHBand="0" w:noVBand="1"/>
      </w:tblPr>
      <w:tblGrid>
        <w:gridCol w:w="1889"/>
        <w:gridCol w:w="3751"/>
        <w:gridCol w:w="3602"/>
      </w:tblGrid>
      <w:tr w:rsidR="00F80FFE" w:rsidRPr="00F80FFE" w14:paraId="73B5CF45" w14:textId="77777777" w:rsidTr="00420D5B">
        <w:tc>
          <w:tcPr>
            <w:tcW w:w="0" w:type="auto"/>
            <w:hideMark/>
          </w:tcPr>
          <w:p w14:paraId="449FC77A" w14:textId="77777777" w:rsidR="00F80FFE" w:rsidRPr="00F80FFE" w:rsidRDefault="00F80FFE" w:rsidP="00F80FFE">
            <w:pPr>
              <w:jc w:val="center"/>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lastRenderedPageBreak/>
              <w:t>Application Domain</w:t>
            </w:r>
          </w:p>
        </w:tc>
        <w:tc>
          <w:tcPr>
            <w:tcW w:w="0" w:type="auto"/>
            <w:hideMark/>
          </w:tcPr>
          <w:p w14:paraId="40B459D4" w14:textId="77777777" w:rsidR="00F80FFE" w:rsidRPr="00F80FFE" w:rsidRDefault="00F80FFE" w:rsidP="00F80FFE">
            <w:pPr>
              <w:jc w:val="center"/>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AI Application</w:t>
            </w:r>
          </w:p>
        </w:tc>
        <w:tc>
          <w:tcPr>
            <w:tcW w:w="0" w:type="auto"/>
            <w:hideMark/>
          </w:tcPr>
          <w:p w14:paraId="61E6F0EE" w14:textId="77777777" w:rsidR="00F80FFE" w:rsidRPr="00F80FFE" w:rsidRDefault="00F80FFE" w:rsidP="00F80FFE">
            <w:pPr>
              <w:jc w:val="center"/>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Key Consideration</w:t>
            </w:r>
          </w:p>
        </w:tc>
      </w:tr>
      <w:tr w:rsidR="00F80FFE" w:rsidRPr="00F80FFE" w14:paraId="4A132D55" w14:textId="77777777" w:rsidTr="00420D5B">
        <w:tc>
          <w:tcPr>
            <w:tcW w:w="0" w:type="auto"/>
            <w:hideMark/>
          </w:tcPr>
          <w:p w14:paraId="20DD9117"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Dietary assessment</w:t>
            </w:r>
          </w:p>
        </w:tc>
        <w:tc>
          <w:tcPr>
            <w:tcW w:w="0" w:type="auto"/>
            <w:hideMark/>
          </w:tcPr>
          <w:p w14:paraId="6F13DF1E"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Computer vision and NLP-based food/nutrient intake estimation</w:t>
            </w:r>
          </w:p>
        </w:tc>
        <w:tc>
          <w:tcPr>
            <w:tcW w:w="0" w:type="auto"/>
            <w:hideMark/>
          </w:tcPr>
          <w:p w14:paraId="686371D7"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Improved accuracy and reduced labour; fairness across food types and populations</w:t>
            </w:r>
          </w:p>
        </w:tc>
      </w:tr>
      <w:tr w:rsidR="00F80FFE" w:rsidRPr="00F80FFE" w14:paraId="4B45771D" w14:textId="77777777" w:rsidTr="00420D5B">
        <w:tc>
          <w:tcPr>
            <w:tcW w:w="0" w:type="auto"/>
            <w:hideMark/>
          </w:tcPr>
          <w:p w14:paraId="5CBEE2C1"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Personalised nutrition</w:t>
            </w:r>
          </w:p>
        </w:tc>
        <w:tc>
          <w:tcPr>
            <w:tcW w:w="0" w:type="auto"/>
            <w:hideMark/>
          </w:tcPr>
          <w:p w14:paraId="220DEDE4"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Recommendation systems integrating behavioural/physiological data</w:t>
            </w:r>
          </w:p>
        </w:tc>
        <w:tc>
          <w:tcPr>
            <w:tcW w:w="0" w:type="auto"/>
            <w:hideMark/>
          </w:tcPr>
          <w:p w14:paraId="0B6C0D43"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Potential for individualised guidance; data privacy concerns</w:t>
            </w:r>
          </w:p>
        </w:tc>
      </w:tr>
      <w:tr w:rsidR="00F80FFE" w:rsidRPr="00F80FFE" w14:paraId="7BFBC3CD" w14:textId="77777777" w:rsidTr="00420D5B">
        <w:tc>
          <w:tcPr>
            <w:tcW w:w="0" w:type="auto"/>
            <w:hideMark/>
          </w:tcPr>
          <w:p w14:paraId="42F78115"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Flavour and formulation design</w:t>
            </w:r>
          </w:p>
        </w:tc>
        <w:tc>
          <w:tcPr>
            <w:tcW w:w="0" w:type="auto"/>
            <w:hideMark/>
          </w:tcPr>
          <w:p w14:paraId="2C1FCB89"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Generative and inverse-design AI models</w:t>
            </w:r>
          </w:p>
        </w:tc>
        <w:tc>
          <w:tcPr>
            <w:tcW w:w="0" w:type="auto"/>
            <w:hideMark/>
          </w:tcPr>
          <w:p w14:paraId="5AD0167E"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Faster, data-driven product development; reliance on database quality</w:t>
            </w:r>
          </w:p>
        </w:tc>
      </w:tr>
      <w:tr w:rsidR="00F80FFE" w:rsidRPr="00F80FFE" w14:paraId="3CA440D7" w14:textId="77777777" w:rsidTr="00420D5B">
        <w:tc>
          <w:tcPr>
            <w:tcW w:w="0" w:type="auto"/>
            <w:hideMark/>
          </w:tcPr>
          <w:p w14:paraId="04937C1F"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New product strategy</w:t>
            </w:r>
          </w:p>
        </w:tc>
        <w:tc>
          <w:tcPr>
            <w:tcW w:w="0" w:type="auto"/>
            <w:hideMark/>
          </w:tcPr>
          <w:p w14:paraId="290D736D"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Predictive models of product success and market positioning</w:t>
            </w:r>
          </w:p>
        </w:tc>
        <w:tc>
          <w:tcPr>
            <w:tcW w:w="0" w:type="auto"/>
            <w:hideMark/>
          </w:tcPr>
          <w:p w14:paraId="0411DEFD"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Integration of consumer and market data into launch decisions</w:t>
            </w:r>
          </w:p>
        </w:tc>
      </w:tr>
      <w:tr w:rsidR="00F80FFE" w:rsidRPr="00F80FFE" w14:paraId="3E0F8CFA" w14:textId="77777777" w:rsidTr="00420D5B">
        <w:tc>
          <w:tcPr>
            <w:tcW w:w="0" w:type="auto"/>
            <w:hideMark/>
          </w:tcPr>
          <w:p w14:paraId="0458430A"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Consumer acceptance</w:t>
            </w:r>
          </w:p>
        </w:tc>
        <w:tc>
          <w:tcPr>
            <w:tcW w:w="0" w:type="auto"/>
            <w:hideMark/>
          </w:tcPr>
          <w:p w14:paraId="49107C52"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Trust- and attitude-based behavioural modelling</w:t>
            </w:r>
          </w:p>
        </w:tc>
        <w:tc>
          <w:tcPr>
            <w:tcW w:w="0" w:type="auto"/>
            <w:hideMark/>
          </w:tcPr>
          <w:p w14:paraId="187E3DA4" w14:textId="77777777" w:rsidR="00F80FFE" w:rsidRPr="00F80FFE" w:rsidRDefault="00F80FFE" w:rsidP="00F80FFE">
            <w:pPr>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Cognitive/affective trust and neophobia shape adoption of AI-enabled foods</w:t>
            </w:r>
          </w:p>
        </w:tc>
      </w:tr>
    </w:tbl>
    <w:p w14:paraId="75A028D6"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i/>
          <w:iCs/>
          <w:sz w:val="24"/>
          <w:szCs w:val="24"/>
          <w:lang w:eastAsia="en-GB"/>
        </w:rPr>
        <w:t xml:space="preserve">Sources: Agrawal et al. (2025); Zheng et al. (2024); </w:t>
      </w:r>
      <w:proofErr w:type="spellStart"/>
      <w:r w:rsidRPr="00F80FFE">
        <w:rPr>
          <w:rFonts w:ascii="Times New Roman" w:eastAsia="Times New Roman" w:hAnsi="Times New Roman" w:cs="Times New Roman"/>
          <w:i/>
          <w:iCs/>
          <w:sz w:val="24"/>
          <w:szCs w:val="24"/>
          <w:lang w:eastAsia="en-GB"/>
        </w:rPr>
        <w:t>Namkhah</w:t>
      </w:r>
      <w:proofErr w:type="spellEnd"/>
      <w:r w:rsidRPr="00F80FFE">
        <w:rPr>
          <w:rFonts w:ascii="Times New Roman" w:eastAsia="Times New Roman" w:hAnsi="Times New Roman" w:cs="Times New Roman"/>
          <w:i/>
          <w:iCs/>
          <w:sz w:val="24"/>
          <w:szCs w:val="24"/>
          <w:lang w:eastAsia="en-GB"/>
        </w:rPr>
        <w:t xml:space="preserve"> et al. (2023); Menichetti et al. (2023); Cui et al. (2025); Al-</w:t>
      </w:r>
      <w:proofErr w:type="spellStart"/>
      <w:r w:rsidRPr="00F80FFE">
        <w:rPr>
          <w:rFonts w:ascii="Times New Roman" w:eastAsia="Times New Roman" w:hAnsi="Times New Roman" w:cs="Times New Roman"/>
          <w:i/>
          <w:iCs/>
          <w:sz w:val="24"/>
          <w:szCs w:val="24"/>
          <w:lang w:eastAsia="en-GB"/>
        </w:rPr>
        <w:t>Sarayreh</w:t>
      </w:r>
      <w:proofErr w:type="spellEnd"/>
      <w:r w:rsidRPr="00F80FFE">
        <w:rPr>
          <w:rFonts w:ascii="Times New Roman" w:eastAsia="Times New Roman" w:hAnsi="Times New Roman" w:cs="Times New Roman"/>
          <w:i/>
          <w:iCs/>
          <w:sz w:val="24"/>
          <w:szCs w:val="24"/>
          <w:lang w:eastAsia="en-GB"/>
        </w:rPr>
        <w:t xml:space="preserve"> et al. (2023); Soltani-</w:t>
      </w:r>
      <w:proofErr w:type="spellStart"/>
      <w:r w:rsidRPr="00F80FFE">
        <w:rPr>
          <w:rFonts w:ascii="Times New Roman" w:eastAsia="Times New Roman" w:hAnsi="Times New Roman" w:cs="Times New Roman"/>
          <w:i/>
          <w:iCs/>
          <w:sz w:val="24"/>
          <w:szCs w:val="24"/>
          <w:lang w:eastAsia="en-GB"/>
        </w:rPr>
        <w:t>Fesaghandis</w:t>
      </w:r>
      <w:proofErr w:type="spellEnd"/>
      <w:r w:rsidRPr="00F80FFE">
        <w:rPr>
          <w:rFonts w:ascii="Times New Roman" w:eastAsia="Times New Roman" w:hAnsi="Times New Roman" w:cs="Times New Roman"/>
          <w:i/>
          <w:iCs/>
          <w:sz w:val="24"/>
          <w:szCs w:val="24"/>
          <w:lang w:eastAsia="en-GB"/>
        </w:rPr>
        <w:t xml:space="preserve"> and Pooya (2018); Xia et al. (2024); Castellini and Graffigna (2026).</w:t>
      </w:r>
    </w:p>
    <w:p w14:paraId="1C4B87AA"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Taken together, the studies in Table 4 suggest that AI's contribution to nutrition and product innovation runs along two interdependent tracks: a technical track concerned with improving the accuracy and efficiency of dietary assessment and product design, and a behavioural track concerned with understanding and shaping consumer trust in what that technical work produces. Neither track, on this evidence, is sufficient on its own to determine AI's ultimate impact on this part of the food industry.</w:t>
      </w:r>
    </w:p>
    <w:p w14:paraId="18A04A38" w14:textId="77777777" w:rsidR="00F80FFE" w:rsidRPr="00F80FFE" w:rsidRDefault="00F80FFE" w:rsidP="00F80FFE">
      <w:pPr>
        <w:spacing w:after="0" w:line="240" w:lineRule="auto"/>
        <w:rPr>
          <w:rFonts w:ascii="Times New Roman" w:eastAsia="Times New Roman" w:hAnsi="Times New Roman" w:cs="Times New Roman"/>
          <w:sz w:val="24"/>
          <w:szCs w:val="24"/>
          <w:lang w:eastAsia="en-GB"/>
        </w:rPr>
      </w:pPr>
    </w:p>
    <w:p w14:paraId="584C086E" w14:textId="77777777" w:rsidR="00F80FFE" w:rsidRPr="00F80FFE" w:rsidRDefault="00F80FFE" w:rsidP="00F80FF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8. Economic, Workforce and Ethical Implications</w:t>
      </w:r>
    </w:p>
    <w:p w14:paraId="77EC45BD"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8.1 Economic and Competitive Implications for the Food Sector</w:t>
      </w:r>
    </w:p>
    <w:p w14:paraId="3E3C6570"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economic implications of AI adoption in the food industry are substantial, but they are not evenly distributed across firm size, sub-sector or geography. Reviews of AI applications in supply chain finance suggest that AI-enabled risk assessment and forecasting tools can meaningfully improve the competitiveness of food and drink enterprises by lowering financing costs and improving operational efficiency, but that these gains accrue disproportionately to firms with the scale and technical capacity to implement and maintain such systems in the first place (Olan et al., 2022). The same pattern shows up in the smart farming literature, where the cost and technical sophistication of AI-enabled precision agriculture tools have been identified as a real barrier to adoption among smallholder producers, even as larger, capital-intensive agricultural enterprises fold such tools into routine operations (</w:t>
      </w:r>
      <w:proofErr w:type="spellStart"/>
      <w:r w:rsidRPr="00F80FFE">
        <w:rPr>
          <w:rFonts w:ascii="Times New Roman" w:eastAsia="Times New Roman" w:hAnsi="Times New Roman" w:cs="Times New Roman"/>
          <w:sz w:val="24"/>
          <w:szCs w:val="24"/>
          <w:lang w:eastAsia="en-GB"/>
        </w:rPr>
        <w:t>Akkem</w:t>
      </w:r>
      <w:proofErr w:type="spellEnd"/>
      <w:r w:rsidRPr="00F80FFE">
        <w:rPr>
          <w:rFonts w:ascii="Times New Roman" w:eastAsia="Times New Roman" w:hAnsi="Times New Roman" w:cs="Times New Roman"/>
          <w:sz w:val="24"/>
          <w:szCs w:val="24"/>
          <w:lang w:eastAsia="en-GB"/>
        </w:rPr>
        <w:t xml:space="preserve"> et al., 2023). The development of open-source and modular AI architectures has been explicitly motivated by a desire to mitigate this divergence, reflecting a broader concern in the literature that AI could exacerbate, rather than reduce, structural inequality within global food systems if left unaddressed (Cob-Parro et al., 2024).</w:t>
      </w:r>
    </w:p>
    <w:p w14:paraId="2E0C443E"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8.2 Workforce Transformation and Labour Market Effects</w:t>
      </w:r>
    </w:p>
    <w:p w14:paraId="27A2CE19"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lastRenderedPageBreak/>
        <w:t>Deploying robotics and AI-enabled automation in food processing has direct implications for the workforce, particularly in sub-sectors historically defined by physically demanding, repetitive manual labour, such as meat processing. The literature on robotics in red meat processing frames automation explicitly as a response to persistent difficulties in recruiting and retaining skilled labour for hazardous abattoir work, which suggests that in this particular context, AI-enabled automation is perhaps better understood as a response to existing labour market pressures rather than as a direct substitute for an otherwise stable workforce (Aly et al., 2023). That said, the broader implications of AI-enabled automation for employment composition, skill requirements and wage structures across the food industry remain comparatively underexplored relative to the extensive technical documentation of AI capabilities themselves—an area where dedicated labour economics research specific to the food sector would meaningfully strengthen the evidence base.</w:t>
      </w:r>
    </w:p>
    <w:p w14:paraId="2BC96B2D" w14:textId="77777777" w:rsidR="00F80FFE" w:rsidRPr="00F80FFE" w:rsidRDefault="00F80FFE" w:rsidP="00F80FFE">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8.3 Ethical, Regulatory and Governance Considerations</w:t>
      </w:r>
    </w:p>
    <w:p w14:paraId="69216BDF"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Ethical and governance considerations run through nearly every domain examined in this review, but they are addressed most systematically in the literature on AI applications in agriculture and food security. A widely cited mapping of the agricultural AI ethics literature identifies a convergence around several core principles—transparency, justice and fairness, non-maleficence, responsibility and privacy—alongside considerable divergence in how these principles are interpreted, prioritised and put into practice across different stakeholder groups and technical contexts (Ryan, 2023). This analysis also notes that ethical concerns specific to agricultural and food-system AI—including the distribution of power that arises from asymmetric access to farm and consumer data between technology providers and primary producers—are not always well captured by generic AI ethics frameworks developed for other sectors, pointing to a need for governance approaches tailored to the particular structural features of food systems (Ryan, 2023).</w:t>
      </w:r>
    </w:p>
    <w:p w14:paraId="423431A3"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Critical reviews of AI's broader use in food safety, agriculture and food security make a similar argument: realising the technology's potential, particularly for emerging and alternative food categories, requires regulatory science and validated standards to develop alongside it, since technically promising AI applications may otherwise struggle to gain the institutional trust needed for adoption in a highly regulated food safety environment (</w:t>
      </w:r>
      <w:proofErr w:type="spellStart"/>
      <w:r w:rsidRPr="00F80FFE">
        <w:rPr>
          <w:rFonts w:ascii="Times New Roman" w:eastAsia="Times New Roman" w:hAnsi="Times New Roman" w:cs="Times New Roman"/>
          <w:sz w:val="24"/>
          <w:szCs w:val="24"/>
          <w:lang w:eastAsia="en-GB"/>
        </w:rPr>
        <w:t>Rugji</w:t>
      </w:r>
      <w:proofErr w:type="spellEnd"/>
      <w:r w:rsidRPr="00F80FFE">
        <w:rPr>
          <w:rFonts w:ascii="Times New Roman" w:eastAsia="Times New Roman" w:hAnsi="Times New Roman" w:cs="Times New Roman"/>
          <w:sz w:val="24"/>
          <w:szCs w:val="24"/>
          <w:lang w:eastAsia="en-GB"/>
        </w:rPr>
        <w:t xml:space="preserve"> et al., 2025). This concern is borne out in a recent institutional assessment by the United Kingdom's Food Standards Agency Science Council, which examined likely near-term applications of AI in food safety and authenticity and concluded that AI holds genuine promise for enabling earlier hazard detection, more scalable inspection and stronger regulatory oversight through continuous data monitoring—while cautioning that adoption across the food system remains at an early, largely pilot stage, with significant implications for how regulators themselves will need to adapt their oversight functions to a more AI-mediated food safety landscape (Food Standards Agency Science Council, 2025).</w:t>
      </w:r>
    </w:p>
    <w:p w14:paraId="67611C12"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threads running through this section point to something fairly consistent: the economic, workforce and ethical dimensions of AI adoption in the food industry are tightly bound together. The same data infrastructures and computational capabilities that drive competitiveness gains also raise governance questions about equitable access, labour market disruption and the appropriate distribution of decision-making authority between technology providers, food businesses, regulators and primary producers.</w:t>
      </w:r>
    </w:p>
    <w:p w14:paraId="137EC0EC" w14:textId="77777777" w:rsidR="00F80FFE" w:rsidRPr="00F80FFE" w:rsidRDefault="00F80FFE" w:rsidP="00F80FFE">
      <w:pPr>
        <w:spacing w:after="0" w:line="240" w:lineRule="auto"/>
        <w:rPr>
          <w:rFonts w:ascii="Times New Roman" w:eastAsia="Times New Roman" w:hAnsi="Times New Roman" w:cs="Times New Roman"/>
          <w:sz w:val="24"/>
          <w:szCs w:val="24"/>
          <w:lang w:eastAsia="en-GB"/>
        </w:rPr>
      </w:pPr>
    </w:p>
    <w:p w14:paraId="00BBE42C" w14:textId="77777777" w:rsidR="00F80FFE" w:rsidRPr="00F80FFE" w:rsidRDefault="00F80FFE" w:rsidP="00F80FF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lastRenderedPageBreak/>
        <w:t>9. Challenges, Barriers and Future Research Directions</w:t>
      </w:r>
    </w:p>
    <w:p w14:paraId="432D1592"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Despite the breadth of AI applications surveyed in this review, several recurring challenges stand in the way of turning technical capability into widespread, equitable industrial impact. The first, and perhaps most pervasive, is data: many of the most sophisticated AI applications documented here depend on large, high-quality, representative training datasets that remain unevenly available across food sub-sectors, geographies and commodity types—a gap that has driven growing interest in synthetic data generation as a partial remedy, particularly in precision agriculture (</w:t>
      </w:r>
      <w:proofErr w:type="spellStart"/>
      <w:r w:rsidRPr="00F80FFE">
        <w:rPr>
          <w:rFonts w:ascii="Times New Roman" w:eastAsia="Times New Roman" w:hAnsi="Times New Roman" w:cs="Times New Roman"/>
          <w:sz w:val="24"/>
          <w:szCs w:val="24"/>
          <w:lang w:eastAsia="en-GB"/>
        </w:rPr>
        <w:t>Akkem</w:t>
      </w:r>
      <w:proofErr w:type="spellEnd"/>
      <w:r w:rsidRPr="00F80FFE">
        <w:rPr>
          <w:rFonts w:ascii="Times New Roman" w:eastAsia="Times New Roman" w:hAnsi="Times New Roman" w:cs="Times New Roman"/>
          <w:sz w:val="24"/>
          <w:szCs w:val="24"/>
          <w:lang w:eastAsia="en-GB"/>
        </w:rPr>
        <w:t xml:space="preserve"> et al., 2024). A closely related second challenge concerns model interpretability and validation. Reviews of food authentication and quality assessment applications consistently flag the difficulty of moving laboratory-validated deep learning models into robust, interpretable and regulator-acceptable industrial systems as a persistent barrier to deployment, notwithstanding strong reported accuracy under controlled conditions (Shen et al., 2024).</w:t>
      </w:r>
    </w:p>
    <w:p w14:paraId="33A1549D"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 third challenge concerns the uneven distributional consequences of AI adoption, which surface across nearly every domain covered in this review: in primary production, where smaller producers face disproportionate barriers to accessing capital-intensive AI tools (</w:t>
      </w:r>
      <w:proofErr w:type="spellStart"/>
      <w:r w:rsidRPr="00F80FFE">
        <w:rPr>
          <w:rFonts w:ascii="Times New Roman" w:eastAsia="Times New Roman" w:hAnsi="Times New Roman" w:cs="Times New Roman"/>
          <w:sz w:val="24"/>
          <w:szCs w:val="24"/>
          <w:lang w:eastAsia="en-GB"/>
        </w:rPr>
        <w:t>Akkem</w:t>
      </w:r>
      <w:proofErr w:type="spellEnd"/>
      <w:r w:rsidRPr="00F80FFE">
        <w:rPr>
          <w:rFonts w:ascii="Times New Roman" w:eastAsia="Times New Roman" w:hAnsi="Times New Roman" w:cs="Times New Roman"/>
          <w:sz w:val="24"/>
          <w:szCs w:val="24"/>
          <w:lang w:eastAsia="en-GB"/>
        </w:rPr>
        <w:t xml:space="preserve"> et al., 2023); in supply chain finance, where larger and more technically sophisticated enterprises capture a disproportionate share of the efficiency gains (Olan et al., 2022); and in global sustainability monitoring, where AI-enabled transparency tools carry an inherent risk of reinforcing, rather than redressing, existing power asymmetries between dominant agribusiness actors and smallholder participants in global supply chains (Meemken et al., 2024). A fourth challenge concerns consumer trust, which the evidence in Section 7 suggests is not a peripheral consideration but a central determinant of whether technically successful AI-enabled food innovations ever achieve commercial viability (Xia et al., 2024; Castellini &amp; Graffigna, 2026).</w:t>
      </w:r>
    </w:p>
    <w:p w14:paraId="4F37D06B"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Future research would benefit from closer attention to several areas that remain comparatively underdeveloped in the current literature. These include rigorous, sector-specific empirical work on the labour market consequences of AI-enabled automation in food processing; longitudinal evaluation of AI-enabled food safety and traceability systems under real-world, rather than laboratory or pilot, operating conditions; and interdisciplinary research that explicitly bridges the technical AI literature with the regulatory, governance and consumer behaviour literatures. The evidence reviewed here consistently suggests that AI's ultimate impact on the food industry is jointly determined by technical performance, organisational readiness, regulatory clarity and consumer acceptance—not by algorithmic sophistication alone, and future research agendas would do well to reflect that.</w:t>
      </w:r>
    </w:p>
    <w:p w14:paraId="2B437A5B" w14:textId="77777777" w:rsidR="00F80FFE" w:rsidRPr="00F80FFE" w:rsidRDefault="00F80FFE" w:rsidP="00F80FFE">
      <w:pPr>
        <w:spacing w:after="0" w:line="240" w:lineRule="auto"/>
        <w:rPr>
          <w:rFonts w:ascii="Times New Roman" w:eastAsia="Times New Roman" w:hAnsi="Times New Roman" w:cs="Times New Roman"/>
          <w:sz w:val="24"/>
          <w:szCs w:val="24"/>
          <w:lang w:eastAsia="en-GB"/>
        </w:rPr>
      </w:pPr>
    </w:p>
    <w:p w14:paraId="56B9B499" w14:textId="77777777" w:rsidR="00F80FFE" w:rsidRPr="00F80FFE" w:rsidRDefault="00F80FFE" w:rsidP="00F80FF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10. Conclusions</w:t>
      </w:r>
    </w:p>
    <w:p w14:paraId="2D522C9F" w14:textId="77777777" w:rsidR="00F80FFE" w:rsidRP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This review has examined the documented impact of artificial intelligence across the principal domains of the food industry, from food safety and processing through to primary production, supply chain management and consumer-facing innovation. The accumulated evidence points to genuine and measurable gains in several respects: stronger capacity for early hazard detection and food fraud identification, more efficient and adaptive process automation, better demand forecasting and traceability across supply chains, more sophisticated monitoring of food security and sustainability at scale, and new capabilities for </w:t>
      </w:r>
      <w:r w:rsidRPr="00F80FFE">
        <w:rPr>
          <w:rFonts w:ascii="Times New Roman" w:eastAsia="Times New Roman" w:hAnsi="Times New Roman" w:cs="Times New Roman"/>
          <w:sz w:val="24"/>
          <w:szCs w:val="24"/>
          <w:lang w:eastAsia="en-GB"/>
        </w:rPr>
        <w:lastRenderedPageBreak/>
        <w:t>personalised nutrition guidance and generative product innovation. At the same time, this review has shown that these technical gains are consistently mediated by non-technical factors: the availability and quality of training data, the interpretability and regulatory acceptability of AI models, how economic benefits are distributed across firms of differing scale and resource, the workforce implications of automation, and the degree of trust consumers are willing to extend to AI-enabled products and processes. The picture that emerges is one in which artificial intelligence functions less as a single, uniformly transformative force and more as a heterogeneous family of tools whose realised impact depends heavily on the institutional, economic and social context into which it is introduced. For the food industry to capture the full benefits identified throughout this review, continued technical advancement will need to be matched by investment in data infrastructure, interpretable and validated modelling practices, equitable access mechanisms for smaller producers and enterprises, and governance frameworks capable of addressing the ethical and distributional questions that AI adoption inevitably raises.</w:t>
      </w:r>
    </w:p>
    <w:p w14:paraId="44869DD6" w14:textId="77777777" w:rsidR="00F80FFE" w:rsidRPr="00F80FFE" w:rsidRDefault="00F80FFE" w:rsidP="00F80FFE">
      <w:pPr>
        <w:spacing w:after="0" w:line="240" w:lineRule="auto"/>
        <w:rPr>
          <w:rFonts w:ascii="Times New Roman" w:eastAsia="Times New Roman" w:hAnsi="Times New Roman" w:cs="Times New Roman"/>
          <w:sz w:val="24"/>
          <w:szCs w:val="24"/>
          <w:lang w:eastAsia="en-GB"/>
        </w:rPr>
      </w:pPr>
    </w:p>
    <w:p w14:paraId="7B61FEEB" w14:textId="77777777" w:rsidR="00F80FFE" w:rsidRPr="00F80FFE" w:rsidRDefault="00F80FFE" w:rsidP="00F80FF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11. Limitations</w:t>
      </w:r>
    </w:p>
    <w:p w14:paraId="797D77F3" w14:textId="77777777" w:rsidR="00F80FFE" w:rsidRDefault="00F80FFE" w:rsidP="00F80FFE">
      <w:pPr>
        <w:spacing w:before="100" w:beforeAutospacing="1" w:after="100" w:afterAutospacing="1" w:line="240" w:lineRule="auto"/>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This review is subject to several limitations worth bearing in mind when interpreting its conclusions. First, the narrative review methodology, while well suited to synthesising a broad and rapidly evolving multidisciplinary literature, does not involve the systematic, protocol-driven screening and quality appraisal characteristic of formal systematic reviews, and so carries an inherent risk of selection bias in the studies it chooses to emphasise. Second, restricting eligible sources to peer-reviewed journal articles and a small number of authoritative institutional reports, while intended to keep the cited evidence reliable and verifiable, necessarily excludes potentially relevant grey literature, industry data and pre-print research that may capture more recent or proprietary developments not yet reflected in the peer-reviewed record. Third, given how quickly this field moves, some of the specific technical claims and reported performance figures drawn from the reviewed literature may date relatively quickly, even though the broader thematic patterns identified here are likely to hold for longer. Fourth, the food industry is simply too broad a subject—spanning primary production, processing, distribution, retail and consumption across highly diverse global contexts—for this review to claim exhaustiveness in any single sub-domain; readers wanting depth on a particular application area, precision agriculture or food authentication, say, would do better consulting a more narrowly focused, domain-specific review. Finally, the evidence base underpinning some sections of this review, particularly those on workforce and labour market effects, remains comparatively thin relative to the extensive technical literature on AI capabilities, and conclusions in these areas should be treated as provisional pending further dedicated empirical research.</w:t>
      </w:r>
    </w:p>
    <w:p w14:paraId="60E5E058" w14:textId="77777777" w:rsidR="008A3604" w:rsidRDefault="008A3604" w:rsidP="00F80FFE">
      <w:pPr>
        <w:spacing w:before="100" w:beforeAutospacing="1" w:after="100" w:afterAutospacing="1" w:line="240" w:lineRule="auto"/>
        <w:rPr>
          <w:rFonts w:ascii="Times New Roman" w:eastAsia="Times New Roman" w:hAnsi="Times New Roman" w:cs="Times New Roman"/>
          <w:sz w:val="24"/>
          <w:szCs w:val="24"/>
          <w:lang w:eastAsia="en-GB"/>
        </w:rPr>
      </w:pPr>
    </w:p>
    <w:p w14:paraId="0B7AA172" w14:textId="77777777" w:rsidR="008A3604" w:rsidRPr="00C04DA0" w:rsidRDefault="008A3604" w:rsidP="008A3604">
      <w:pPr>
        <w:spacing w:after="0" w:line="240" w:lineRule="auto"/>
        <w:rPr>
          <w:rFonts w:ascii="Times New Roman" w:eastAsia="Calibri" w:hAnsi="Times New Roman" w:cs="Times New Roman"/>
          <w:b/>
        </w:rPr>
      </w:pPr>
      <w:r w:rsidRPr="00C04DA0">
        <w:rPr>
          <w:rFonts w:ascii="Times New Roman" w:eastAsia="Calibri" w:hAnsi="Times New Roman" w:cs="Times New Roman"/>
          <w:b/>
        </w:rPr>
        <w:t>Declaration of AI Use</w:t>
      </w:r>
    </w:p>
    <w:p w14:paraId="7A9045E3" w14:textId="77777777" w:rsidR="008A3604" w:rsidRPr="00C04DA0" w:rsidRDefault="008A3604" w:rsidP="008A3604">
      <w:pPr>
        <w:spacing w:after="0" w:line="240" w:lineRule="auto"/>
        <w:rPr>
          <w:rFonts w:ascii="Times New Roman" w:eastAsia="Calibri" w:hAnsi="Times New Roman" w:cs="Times New Roman"/>
        </w:rPr>
      </w:pPr>
    </w:p>
    <w:p w14:paraId="0BD60D81" w14:textId="77777777" w:rsidR="008A3604" w:rsidRPr="00C04DA0" w:rsidRDefault="008A3604" w:rsidP="008A3604">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w:t>
      </w:r>
      <w:r w:rsidRPr="00C04DA0">
        <w:rPr>
          <w:rFonts w:ascii="Times New Roman" w:eastAsia="Calibri" w:hAnsi="Times New Roman" w:cs="Times New Roman"/>
        </w:rPr>
        <w:lastRenderedPageBreak/>
        <w:t>revised, verified, and approved by the author(s). The author(s) accept full responsibility for the accuracy, integrity, and final content of the manuscript.</w:t>
      </w:r>
    </w:p>
    <w:p w14:paraId="2DD0C10A" w14:textId="77777777" w:rsidR="008A3604" w:rsidRDefault="008A3604" w:rsidP="008A3604">
      <w:pPr>
        <w:rPr>
          <w:sz w:val="32"/>
          <w:szCs w:val="32"/>
          <w:vertAlign w:val="subscript"/>
        </w:rPr>
      </w:pPr>
    </w:p>
    <w:p w14:paraId="2CDAA8F2" w14:textId="77777777" w:rsidR="008A3604" w:rsidRPr="008A3604" w:rsidRDefault="008A3604" w:rsidP="008A3604">
      <w:pPr>
        <w:spacing w:before="100" w:beforeAutospacing="1" w:after="100" w:afterAutospacing="1" w:line="240" w:lineRule="auto"/>
        <w:rPr>
          <w:rFonts w:ascii="Times New Roman" w:eastAsia="Times New Roman" w:hAnsi="Times New Roman" w:cs="Times New Roman"/>
          <w:sz w:val="24"/>
          <w:szCs w:val="24"/>
          <w:lang w:eastAsia="en-GB"/>
        </w:rPr>
      </w:pPr>
      <w:r w:rsidRPr="008A3604">
        <w:rPr>
          <w:rFonts w:ascii="Times New Roman" w:eastAsia="Times New Roman" w:hAnsi="Times New Roman" w:cs="Times New Roman"/>
          <w:sz w:val="24"/>
          <w:szCs w:val="24"/>
          <w:lang w:eastAsia="en-GB"/>
        </w:rPr>
        <w:t>COMPETING INTERESTS DISCLAIMER:</w:t>
      </w:r>
    </w:p>
    <w:p w14:paraId="3D49AB0F" w14:textId="5B901604" w:rsidR="008A3604" w:rsidRPr="00F80FFE" w:rsidRDefault="008A3604" w:rsidP="008A3604">
      <w:pPr>
        <w:spacing w:before="100" w:beforeAutospacing="1" w:after="100" w:afterAutospacing="1" w:line="240" w:lineRule="auto"/>
        <w:rPr>
          <w:rFonts w:ascii="Times New Roman" w:eastAsia="Times New Roman" w:hAnsi="Times New Roman" w:cs="Times New Roman"/>
          <w:sz w:val="24"/>
          <w:szCs w:val="24"/>
          <w:lang w:eastAsia="en-GB"/>
        </w:rPr>
      </w:pPr>
      <w:r w:rsidRPr="008A3604">
        <w:rPr>
          <w:rFonts w:ascii="Times New Roman" w:eastAsia="Times New Roman" w:hAnsi="Times New Roman" w:cs="Times New Roman"/>
          <w:sz w:val="24"/>
          <w:szCs w:val="24"/>
          <w:lang w:eastAsia="en-GB"/>
        </w:rPr>
        <w:t>Authors have declared that they have no known competing financial interests OR non-financial interests OR personal relationships that could have appeared to influence the work reported in this paper.</w:t>
      </w:r>
    </w:p>
    <w:p w14:paraId="5D6FABC6" w14:textId="77777777" w:rsidR="00F80FFE" w:rsidRPr="00F80FFE" w:rsidRDefault="00F80FFE" w:rsidP="00F80FFE">
      <w:pPr>
        <w:spacing w:after="0" w:line="240" w:lineRule="auto"/>
        <w:rPr>
          <w:rFonts w:ascii="Times New Roman" w:eastAsia="Times New Roman" w:hAnsi="Times New Roman" w:cs="Times New Roman"/>
          <w:sz w:val="24"/>
          <w:szCs w:val="24"/>
          <w:lang w:eastAsia="en-GB"/>
        </w:rPr>
      </w:pPr>
    </w:p>
    <w:p w14:paraId="201DA692" w14:textId="77777777" w:rsidR="00F80FFE" w:rsidRDefault="00F80FFE" w:rsidP="00F80FF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References</w:t>
      </w:r>
    </w:p>
    <w:p w14:paraId="2C8BE823"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Agrawal, K., </w:t>
      </w:r>
      <w:proofErr w:type="spellStart"/>
      <w:r w:rsidRPr="00420D5B">
        <w:rPr>
          <w:rFonts w:ascii="Times New Roman" w:eastAsia="Times New Roman" w:hAnsi="Times New Roman" w:cs="Times New Roman"/>
          <w:bCs/>
          <w:sz w:val="24"/>
          <w:szCs w:val="27"/>
          <w:lang w:eastAsia="en-GB"/>
        </w:rPr>
        <w:t>Goktas</w:t>
      </w:r>
      <w:proofErr w:type="spellEnd"/>
      <w:r w:rsidRPr="00420D5B">
        <w:rPr>
          <w:rFonts w:ascii="Times New Roman" w:eastAsia="Times New Roman" w:hAnsi="Times New Roman" w:cs="Times New Roman"/>
          <w:bCs/>
          <w:sz w:val="24"/>
          <w:szCs w:val="27"/>
          <w:lang w:eastAsia="en-GB"/>
        </w:rPr>
        <w:t xml:space="preserve">, P., Kumar, N., &amp; Leung, M.-F. (2025). Artificial intelligence in personalized nutrition and food manufacturing: A comprehensive review of methods, applications, and future directions. Frontiers in Nutrition, 12, Article 1636980. https://doi.org/10.3389/fnut.2025.1636980 </w:t>
      </w:r>
    </w:p>
    <w:p w14:paraId="0E5549EE"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t>Akkem</w:t>
      </w:r>
      <w:proofErr w:type="spellEnd"/>
      <w:r w:rsidRPr="00420D5B">
        <w:rPr>
          <w:rFonts w:ascii="Times New Roman" w:eastAsia="Times New Roman" w:hAnsi="Times New Roman" w:cs="Times New Roman"/>
          <w:bCs/>
          <w:sz w:val="24"/>
          <w:szCs w:val="27"/>
          <w:lang w:eastAsia="en-GB"/>
        </w:rPr>
        <w:t xml:space="preserve">, Y., Biswas, S. K., &amp; Varanasi, A. (2023). Smart farming using artificial intelligence: A review. Engineering Applications of Artificial Intelligence, 120, Article 105899. https://doi.org/10.1016/j.engappai.2023.105899 </w:t>
      </w:r>
    </w:p>
    <w:p w14:paraId="7901E050"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t>Akkem</w:t>
      </w:r>
      <w:proofErr w:type="spellEnd"/>
      <w:r w:rsidRPr="00420D5B">
        <w:rPr>
          <w:rFonts w:ascii="Times New Roman" w:eastAsia="Times New Roman" w:hAnsi="Times New Roman" w:cs="Times New Roman"/>
          <w:bCs/>
          <w:sz w:val="24"/>
          <w:szCs w:val="27"/>
          <w:lang w:eastAsia="en-GB"/>
        </w:rPr>
        <w:t xml:space="preserve">, Y., Biswas, S. K., &amp; Varanasi, A. (2024). A comprehensive review of synthetic data generation in smart farming by using variational autoencoder and generative adversarial network. Engineering Applications of Artificial Intelligence, 131, Article 107881. https://doi.org/10.1016/j.engappai.2024.107881 </w:t>
      </w:r>
    </w:p>
    <w:p w14:paraId="58074762"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Al-</w:t>
      </w:r>
      <w:proofErr w:type="spellStart"/>
      <w:r w:rsidRPr="00420D5B">
        <w:rPr>
          <w:rFonts w:ascii="Times New Roman" w:eastAsia="Times New Roman" w:hAnsi="Times New Roman" w:cs="Times New Roman"/>
          <w:bCs/>
          <w:sz w:val="24"/>
          <w:szCs w:val="27"/>
          <w:lang w:eastAsia="en-GB"/>
        </w:rPr>
        <w:t>Sarayreh</w:t>
      </w:r>
      <w:proofErr w:type="spellEnd"/>
      <w:r w:rsidRPr="00420D5B">
        <w:rPr>
          <w:rFonts w:ascii="Times New Roman" w:eastAsia="Times New Roman" w:hAnsi="Times New Roman" w:cs="Times New Roman"/>
          <w:bCs/>
          <w:sz w:val="24"/>
          <w:szCs w:val="27"/>
          <w:lang w:eastAsia="en-GB"/>
        </w:rPr>
        <w:t xml:space="preserve">, M., Gomes Reis, M., Carr, A., &amp; dos Reis, M. M. (2023). Inverse design and AI/deep generative networks in food design: A comprehensive review. Trends in Food Science &amp; Technology, 138, 215–228. https://doi.org/10.1016/j.tifs.2023.06.005 </w:t>
      </w:r>
    </w:p>
    <w:p w14:paraId="2A4A7137"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Aly, B. A., Low, T., Long, D., Baillie, C., &amp; Brett, P. (2023). Robotics and sensing technologies in red meat processing: A review. Trends in Food Science &amp; Technology, 137, 142–155. https://doi.org/10.1016/j.tifs.2023.05.015 </w:t>
      </w:r>
    </w:p>
    <w:p w14:paraId="04E61311"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Castellini, G., &amp; Graffigna, G. (2026). Consumer acceptance of new sustainable food technologies: Upcycling technology, </w:t>
      </w:r>
      <w:proofErr w:type="spellStart"/>
      <w:r w:rsidRPr="00420D5B">
        <w:rPr>
          <w:rFonts w:ascii="Times New Roman" w:eastAsia="Times New Roman" w:hAnsi="Times New Roman" w:cs="Times New Roman"/>
          <w:bCs/>
          <w:sz w:val="24"/>
          <w:szCs w:val="27"/>
          <w:lang w:eastAsia="en-GB"/>
        </w:rPr>
        <w:t>biostimulants</w:t>
      </w:r>
      <w:proofErr w:type="spellEnd"/>
      <w:r w:rsidRPr="00420D5B">
        <w:rPr>
          <w:rFonts w:ascii="Times New Roman" w:eastAsia="Times New Roman" w:hAnsi="Times New Roman" w:cs="Times New Roman"/>
          <w:bCs/>
          <w:sz w:val="24"/>
          <w:szCs w:val="27"/>
          <w:lang w:eastAsia="en-GB"/>
        </w:rPr>
        <w:t xml:space="preserve">, and artificial intelligence. Agribusiness, Article e70082. https://doi.org/10.1002/agr.70082 </w:t>
      </w:r>
    </w:p>
    <w:p w14:paraId="09761C9D"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Cob-Parro, A. C., Lalangui, Y., &amp; Lazcano, R. (2024). Fostering agricultural transformation through AI: An open-source AI architecture exploiting the </w:t>
      </w:r>
      <w:proofErr w:type="spellStart"/>
      <w:r w:rsidRPr="00420D5B">
        <w:rPr>
          <w:rFonts w:ascii="Times New Roman" w:eastAsia="Times New Roman" w:hAnsi="Times New Roman" w:cs="Times New Roman"/>
          <w:bCs/>
          <w:sz w:val="24"/>
          <w:szCs w:val="27"/>
          <w:lang w:eastAsia="en-GB"/>
        </w:rPr>
        <w:t>MLOps</w:t>
      </w:r>
      <w:proofErr w:type="spellEnd"/>
      <w:r w:rsidRPr="00420D5B">
        <w:rPr>
          <w:rFonts w:ascii="Times New Roman" w:eastAsia="Times New Roman" w:hAnsi="Times New Roman" w:cs="Times New Roman"/>
          <w:bCs/>
          <w:sz w:val="24"/>
          <w:szCs w:val="27"/>
          <w:lang w:eastAsia="en-GB"/>
        </w:rPr>
        <w:t xml:space="preserve"> paradigm. Agronomy, 14(2), Article 259. https://doi.org/10.3390/agronomy14020259 </w:t>
      </w:r>
    </w:p>
    <w:p w14:paraId="133477AC"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Cui, Z., Qi, C., Zhou, T., Yu, Y., Wang, Y., Zhang, Z., Zhang, Y., Wang, W., &amp; Liu, Y. (2025). Artificial intelligence and food </w:t>
      </w:r>
      <w:proofErr w:type="spellStart"/>
      <w:r w:rsidRPr="00420D5B">
        <w:rPr>
          <w:rFonts w:ascii="Times New Roman" w:eastAsia="Times New Roman" w:hAnsi="Times New Roman" w:cs="Times New Roman"/>
          <w:bCs/>
          <w:sz w:val="24"/>
          <w:szCs w:val="27"/>
          <w:lang w:eastAsia="en-GB"/>
        </w:rPr>
        <w:t>flavor</w:t>
      </w:r>
      <w:proofErr w:type="spellEnd"/>
      <w:r w:rsidRPr="00420D5B">
        <w:rPr>
          <w:rFonts w:ascii="Times New Roman" w:eastAsia="Times New Roman" w:hAnsi="Times New Roman" w:cs="Times New Roman"/>
          <w:bCs/>
          <w:sz w:val="24"/>
          <w:szCs w:val="27"/>
          <w:lang w:eastAsia="en-GB"/>
        </w:rPr>
        <w:t xml:space="preserve">: How AI models are shaping the future and revolutionary technologies for </w:t>
      </w:r>
      <w:proofErr w:type="spellStart"/>
      <w:r w:rsidRPr="00420D5B">
        <w:rPr>
          <w:rFonts w:ascii="Times New Roman" w:eastAsia="Times New Roman" w:hAnsi="Times New Roman" w:cs="Times New Roman"/>
          <w:bCs/>
          <w:sz w:val="24"/>
          <w:szCs w:val="27"/>
          <w:lang w:eastAsia="en-GB"/>
        </w:rPr>
        <w:t>flavor</w:t>
      </w:r>
      <w:proofErr w:type="spellEnd"/>
      <w:r w:rsidRPr="00420D5B">
        <w:rPr>
          <w:rFonts w:ascii="Times New Roman" w:eastAsia="Times New Roman" w:hAnsi="Times New Roman" w:cs="Times New Roman"/>
          <w:bCs/>
          <w:sz w:val="24"/>
          <w:szCs w:val="27"/>
          <w:lang w:eastAsia="en-GB"/>
        </w:rPr>
        <w:t xml:space="preserve"> food development. Comprehensive Reviews in Food Science and Food Safety, 24, Article e70068. https://doi.org/10.1111/1541-4337.70068 </w:t>
      </w:r>
    </w:p>
    <w:p w14:paraId="5EDFC3A5"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lastRenderedPageBreak/>
        <w:t xml:space="preserve">Datta, A., </w:t>
      </w:r>
      <w:proofErr w:type="spellStart"/>
      <w:r w:rsidRPr="00420D5B">
        <w:rPr>
          <w:rFonts w:ascii="Times New Roman" w:eastAsia="Times New Roman" w:hAnsi="Times New Roman" w:cs="Times New Roman"/>
          <w:bCs/>
          <w:sz w:val="24"/>
          <w:szCs w:val="27"/>
          <w:lang w:eastAsia="en-GB"/>
        </w:rPr>
        <w:t>Nicolaï</w:t>
      </w:r>
      <w:proofErr w:type="spellEnd"/>
      <w:r w:rsidRPr="00420D5B">
        <w:rPr>
          <w:rFonts w:ascii="Times New Roman" w:eastAsia="Times New Roman" w:hAnsi="Times New Roman" w:cs="Times New Roman"/>
          <w:bCs/>
          <w:sz w:val="24"/>
          <w:szCs w:val="27"/>
          <w:lang w:eastAsia="en-GB"/>
        </w:rPr>
        <w:t xml:space="preserve">, B., </w:t>
      </w:r>
      <w:proofErr w:type="spellStart"/>
      <w:r w:rsidRPr="00420D5B">
        <w:rPr>
          <w:rFonts w:ascii="Times New Roman" w:eastAsia="Times New Roman" w:hAnsi="Times New Roman" w:cs="Times New Roman"/>
          <w:bCs/>
          <w:sz w:val="24"/>
          <w:szCs w:val="27"/>
          <w:lang w:eastAsia="en-GB"/>
        </w:rPr>
        <w:t>Vitrac</w:t>
      </w:r>
      <w:proofErr w:type="spellEnd"/>
      <w:r w:rsidRPr="00420D5B">
        <w:rPr>
          <w:rFonts w:ascii="Times New Roman" w:eastAsia="Times New Roman" w:hAnsi="Times New Roman" w:cs="Times New Roman"/>
          <w:bCs/>
          <w:sz w:val="24"/>
          <w:szCs w:val="27"/>
          <w:lang w:eastAsia="en-GB"/>
        </w:rPr>
        <w:t xml:space="preserve">, O., </w:t>
      </w:r>
      <w:proofErr w:type="spellStart"/>
      <w:r w:rsidRPr="00420D5B">
        <w:rPr>
          <w:rFonts w:ascii="Times New Roman" w:eastAsia="Times New Roman" w:hAnsi="Times New Roman" w:cs="Times New Roman"/>
          <w:bCs/>
          <w:sz w:val="24"/>
          <w:szCs w:val="27"/>
          <w:lang w:eastAsia="en-GB"/>
        </w:rPr>
        <w:t>Verboven</w:t>
      </w:r>
      <w:proofErr w:type="spellEnd"/>
      <w:r w:rsidRPr="00420D5B">
        <w:rPr>
          <w:rFonts w:ascii="Times New Roman" w:eastAsia="Times New Roman" w:hAnsi="Times New Roman" w:cs="Times New Roman"/>
          <w:bCs/>
          <w:sz w:val="24"/>
          <w:szCs w:val="27"/>
          <w:lang w:eastAsia="en-GB"/>
        </w:rPr>
        <w:t xml:space="preserve">, P., </w:t>
      </w:r>
      <w:proofErr w:type="spellStart"/>
      <w:r w:rsidRPr="00420D5B">
        <w:rPr>
          <w:rFonts w:ascii="Times New Roman" w:eastAsia="Times New Roman" w:hAnsi="Times New Roman" w:cs="Times New Roman"/>
          <w:bCs/>
          <w:sz w:val="24"/>
          <w:szCs w:val="27"/>
          <w:lang w:eastAsia="en-GB"/>
        </w:rPr>
        <w:t>Erdogdu</w:t>
      </w:r>
      <w:proofErr w:type="spellEnd"/>
      <w:r w:rsidRPr="00420D5B">
        <w:rPr>
          <w:rFonts w:ascii="Times New Roman" w:eastAsia="Times New Roman" w:hAnsi="Times New Roman" w:cs="Times New Roman"/>
          <w:bCs/>
          <w:sz w:val="24"/>
          <w:szCs w:val="27"/>
          <w:lang w:eastAsia="en-GB"/>
        </w:rPr>
        <w:t xml:space="preserve">, F., Marra, F., Sarghini, F., &amp; Koh, C. (2022). Computer-aided food engineering. Nature Food, 3, 894–904. https://doi.org/10.1038/s43016-022-00617-5 </w:t>
      </w:r>
    </w:p>
    <w:p w14:paraId="496179B1"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Dawood, F., &amp; van Vuuren, J. H. (2023). A multi-dimensional spatial index for the quantification of food insecurity. Journal of Agriculture and Food Research, 14, Article 100768. https://doi.org/10.1016/j.jafr.2023.100768 </w:t>
      </w:r>
    </w:p>
    <w:p w14:paraId="3B865298"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Ding, H., Tian, J., Yu, W., Wilson, D. I., Young, B. R., Cui, X., Xin, X., Wang, Z., &amp; Li, W. (2023). The application of artificial intelligence and big data in the food industry. Foods, 12(24), Article 4511. https://doi.org/10.3390/foods12244511 </w:t>
      </w:r>
    </w:p>
    <w:p w14:paraId="2B1B5C26"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Food Standards Agency Science Council. (2025). Artificial intelligence applications in food safety and authenticity. https://doi.org/10.46756/sci.fsa.yne470 </w:t>
      </w:r>
    </w:p>
    <w:p w14:paraId="53AAE9DB"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Hassoun, A., Bekhit, A. E.-D., </w:t>
      </w:r>
      <w:proofErr w:type="spellStart"/>
      <w:r w:rsidRPr="00420D5B">
        <w:rPr>
          <w:rFonts w:ascii="Times New Roman" w:eastAsia="Times New Roman" w:hAnsi="Times New Roman" w:cs="Times New Roman"/>
          <w:bCs/>
          <w:sz w:val="24"/>
          <w:szCs w:val="27"/>
          <w:lang w:eastAsia="en-GB"/>
        </w:rPr>
        <w:t>Jambrak</w:t>
      </w:r>
      <w:proofErr w:type="spellEnd"/>
      <w:r w:rsidRPr="00420D5B">
        <w:rPr>
          <w:rFonts w:ascii="Times New Roman" w:eastAsia="Times New Roman" w:hAnsi="Times New Roman" w:cs="Times New Roman"/>
          <w:bCs/>
          <w:sz w:val="24"/>
          <w:szCs w:val="27"/>
          <w:lang w:eastAsia="en-GB"/>
        </w:rPr>
        <w:t xml:space="preserve">, A. R., Regenstein, J. M., </w:t>
      </w:r>
      <w:proofErr w:type="spellStart"/>
      <w:r w:rsidRPr="00420D5B">
        <w:rPr>
          <w:rFonts w:ascii="Times New Roman" w:eastAsia="Times New Roman" w:hAnsi="Times New Roman" w:cs="Times New Roman"/>
          <w:bCs/>
          <w:sz w:val="24"/>
          <w:szCs w:val="27"/>
          <w:lang w:eastAsia="en-GB"/>
        </w:rPr>
        <w:t>Chemat</w:t>
      </w:r>
      <w:proofErr w:type="spellEnd"/>
      <w:r w:rsidRPr="00420D5B">
        <w:rPr>
          <w:rFonts w:ascii="Times New Roman" w:eastAsia="Times New Roman" w:hAnsi="Times New Roman" w:cs="Times New Roman"/>
          <w:bCs/>
          <w:sz w:val="24"/>
          <w:szCs w:val="27"/>
          <w:lang w:eastAsia="en-GB"/>
        </w:rPr>
        <w:t xml:space="preserve">, F., Morton, J. D., </w:t>
      </w:r>
      <w:proofErr w:type="spellStart"/>
      <w:r w:rsidRPr="00420D5B">
        <w:rPr>
          <w:rFonts w:ascii="Times New Roman" w:eastAsia="Times New Roman" w:hAnsi="Times New Roman" w:cs="Times New Roman"/>
          <w:bCs/>
          <w:sz w:val="24"/>
          <w:szCs w:val="27"/>
          <w:lang w:eastAsia="en-GB"/>
        </w:rPr>
        <w:t>Gudjónsdóttir</w:t>
      </w:r>
      <w:proofErr w:type="spellEnd"/>
      <w:r w:rsidRPr="00420D5B">
        <w:rPr>
          <w:rFonts w:ascii="Times New Roman" w:eastAsia="Times New Roman" w:hAnsi="Times New Roman" w:cs="Times New Roman"/>
          <w:bCs/>
          <w:sz w:val="24"/>
          <w:szCs w:val="27"/>
          <w:lang w:eastAsia="en-GB"/>
        </w:rPr>
        <w:t xml:space="preserve">, M., Carpena, M., Prieto, M. A., Varela, P., Arshad, R. N., Aadil, R. M., Bhat, Z., &amp; Ueland, Ø. (2024). The fourth industrial revolution in the food industry—Part II: Emerging food trends. Critical Reviews in Food Science and Nutrition, 64(2), 407–437. https://doi.org/10.1080/10408398.2022.2106472 </w:t>
      </w:r>
    </w:p>
    <w:p w14:paraId="5EDA5E68"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Hassoun, A., Jagtap, S., Garcia-Garcia, G., </w:t>
      </w:r>
      <w:proofErr w:type="spellStart"/>
      <w:r w:rsidRPr="00420D5B">
        <w:rPr>
          <w:rFonts w:ascii="Times New Roman" w:eastAsia="Times New Roman" w:hAnsi="Times New Roman" w:cs="Times New Roman"/>
          <w:bCs/>
          <w:sz w:val="24"/>
          <w:szCs w:val="27"/>
          <w:lang w:eastAsia="en-GB"/>
        </w:rPr>
        <w:t>Trollman</w:t>
      </w:r>
      <w:proofErr w:type="spellEnd"/>
      <w:r w:rsidRPr="00420D5B">
        <w:rPr>
          <w:rFonts w:ascii="Times New Roman" w:eastAsia="Times New Roman" w:hAnsi="Times New Roman" w:cs="Times New Roman"/>
          <w:bCs/>
          <w:sz w:val="24"/>
          <w:szCs w:val="27"/>
          <w:lang w:eastAsia="en-GB"/>
        </w:rPr>
        <w:t xml:space="preserve">, H., </w:t>
      </w:r>
      <w:proofErr w:type="spellStart"/>
      <w:r w:rsidRPr="00420D5B">
        <w:rPr>
          <w:rFonts w:ascii="Times New Roman" w:eastAsia="Times New Roman" w:hAnsi="Times New Roman" w:cs="Times New Roman"/>
          <w:bCs/>
          <w:sz w:val="24"/>
          <w:szCs w:val="27"/>
          <w:lang w:eastAsia="en-GB"/>
        </w:rPr>
        <w:t>Pateiro</w:t>
      </w:r>
      <w:proofErr w:type="spellEnd"/>
      <w:r w:rsidRPr="00420D5B">
        <w:rPr>
          <w:rFonts w:ascii="Times New Roman" w:eastAsia="Times New Roman" w:hAnsi="Times New Roman" w:cs="Times New Roman"/>
          <w:bCs/>
          <w:sz w:val="24"/>
          <w:szCs w:val="27"/>
          <w:lang w:eastAsia="en-GB"/>
        </w:rPr>
        <w:t xml:space="preserve">, M., Lorenzo, J. M., Trif, M., Rusu, A. V., Aadil, R. M., </w:t>
      </w:r>
      <w:proofErr w:type="spellStart"/>
      <w:r w:rsidRPr="00420D5B">
        <w:rPr>
          <w:rFonts w:ascii="Times New Roman" w:eastAsia="Times New Roman" w:hAnsi="Times New Roman" w:cs="Times New Roman"/>
          <w:bCs/>
          <w:sz w:val="24"/>
          <w:szCs w:val="27"/>
          <w:lang w:eastAsia="en-GB"/>
        </w:rPr>
        <w:t>Šimat</w:t>
      </w:r>
      <w:proofErr w:type="spellEnd"/>
      <w:r w:rsidRPr="00420D5B">
        <w:rPr>
          <w:rFonts w:ascii="Times New Roman" w:eastAsia="Times New Roman" w:hAnsi="Times New Roman" w:cs="Times New Roman"/>
          <w:bCs/>
          <w:sz w:val="24"/>
          <w:szCs w:val="27"/>
          <w:lang w:eastAsia="en-GB"/>
        </w:rPr>
        <w:t xml:space="preserve">, V., Cropotova, J., &amp; Câmara, J. S. (2023). Food quality 4.0: From traditional approaches to digitalized automated analysis. Journal of Food Engineering, 337, Article 111216. https://doi.org/10.1016/j.jfoodeng.2022.111216 </w:t>
      </w:r>
    </w:p>
    <w:p w14:paraId="7A64B28A"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t>Kudashkina</w:t>
      </w:r>
      <w:proofErr w:type="spellEnd"/>
      <w:r w:rsidRPr="00420D5B">
        <w:rPr>
          <w:rFonts w:ascii="Times New Roman" w:eastAsia="Times New Roman" w:hAnsi="Times New Roman" w:cs="Times New Roman"/>
          <w:bCs/>
          <w:sz w:val="24"/>
          <w:szCs w:val="27"/>
          <w:lang w:eastAsia="en-GB"/>
        </w:rPr>
        <w:t xml:space="preserve">, K., Corradini, M. G., </w:t>
      </w:r>
      <w:proofErr w:type="spellStart"/>
      <w:r w:rsidRPr="00420D5B">
        <w:rPr>
          <w:rFonts w:ascii="Times New Roman" w:eastAsia="Times New Roman" w:hAnsi="Times New Roman" w:cs="Times New Roman"/>
          <w:bCs/>
          <w:sz w:val="24"/>
          <w:szCs w:val="27"/>
          <w:lang w:eastAsia="en-GB"/>
        </w:rPr>
        <w:t>Thirunathan</w:t>
      </w:r>
      <w:proofErr w:type="spellEnd"/>
      <w:r w:rsidRPr="00420D5B">
        <w:rPr>
          <w:rFonts w:ascii="Times New Roman" w:eastAsia="Times New Roman" w:hAnsi="Times New Roman" w:cs="Times New Roman"/>
          <w:bCs/>
          <w:sz w:val="24"/>
          <w:szCs w:val="27"/>
          <w:lang w:eastAsia="en-GB"/>
        </w:rPr>
        <w:t xml:space="preserve">, P., Yada, R. Y., &amp; Fraser, E. D. G. (2022). Artificial intelligence technology in food safety: A </w:t>
      </w:r>
      <w:proofErr w:type="spellStart"/>
      <w:r w:rsidRPr="00420D5B">
        <w:rPr>
          <w:rFonts w:ascii="Times New Roman" w:eastAsia="Times New Roman" w:hAnsi="Times New Roman" w:cs="Times New Roman"/>
          <w:bCs/>
          <w:sz w:val="24"/>
          <w:szCs w:val="27"/>
          <w:lang w:eastAsia="en-GB"/>
        </w:rPr>
        <w:t>behavioral</w:t>
      </w:r>
      <w:proofErr w:type="spellEnd"/>
      <w:r w:rsidRPr="00420D5B">
        <w:rPr>
          <w:rFonts w:ascii="Times New Roman" w:eastAsia="Times New Roman" w:hAnsi="Times New Roman" w:cs="Times New Roman"/>
          <w:bCs/>
          <w:sz w:val="24"/>
          <w:szCs w:val="27"/>
          <w:lang w:eastAsia="en-GB"/>
        </w:rPr>
        <w:t xml:space="preserve"> approach. Trends in Food Science &amp; Technology, 123, 376–381. https://doi.org/10.1016/j.tifs.2022.03.021 </w:t>
      </w:r>
    </w:p>
    <w:p w14:paraId="04225485"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Liu, Y., Pu, H., &amp; Sun, D.-W. (2021). Efficient extraction of deep image features using convolutional neural network (CNN) for applications in detecting and analysing complex food matrices. Trends in Food Science &amp; Technology, 113, 193–204. https://doi.org/10.1016/j.tifs.2021.04.042 </w:t>
      </w:r>
    </w:p>
    <w:p w14:paraId="34111383"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Liu, Z., Wang, S., Zhang, Y., Feng, Y., Liu, J., &amp; Zhu, H. (2023). Artificial intelligence in food safety: A decade review and bibliometric analysis. Foods, 12(6), Article 1242. https://doi.org/10.3390/foods12061242 </w:t>
      </w:r>
    </w:p>
    <w:p w14:paraId="0E264DFA"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Mavani, N. R., Ali, J. M., Othman, S., Hussain, M. A., Hashim, H., &amp; Rahman, N. A. (2022). Application of artificial intelligence in food industry—A guideline. Food Engineering Reviews, 14(1), 134–175. https://doi.org/10.1007/s12393-021-09290-z </w:t>
      </w:r>
    </w:p>
    <w:p w14:paraId="6E8A2AF0"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Meemken, E.-M., Becker-Reshef, I., Klerkx, L., Kloppenburg, S., Wegner, J. D., &amp; Finger, R. (2024). Digital innovations for monitoring sustainability in food systems. Nature Food, 5(8), 656–660. https://doi.org/10.1038/s43016-024-01018-6</w:t>
      </w:r>
    </w:p>
    <w:p w14:paraId="459E1F17"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Menichetti, G., Ravandi, B., </w:t>
      </w:r>
      <w:proofErr w:type="spellStart"/>
      <w:r w:rsidRPr="00420D5B">
        <w:rPr>
          <w:rFonts w:ascii="Times New Roman" w:eastAsia="Times New Roman" w:hAnsi="Times New Roman" w:cs="Times New Roman"/>
          <w:bCs/>
          <w:sz w:val="24"/>
          <w:szCs w:val="27"/>
          <w:lang w:eastAsia="en-GB"/>
        </w:rPr>
        <w:t>Mozaffarian</w:t>
      </w:r>
      <w:proofErr w:type="spellEnd"/>
      <w:r w:rsidRPr="00420D5B">
        <w:rPr>
          <w:rFonts w:ascii="Times New Roman" w:eastAsia="Times New Roman" w:hAnsi="Times New Roman" w:cs="Times New Roman"/>
          <w:bCs/>
          <w:sz w:val="24"/>
          <w:szCs w:val="27"/>
          <w:lang w:eastAsia="en-GB"/>
        </w:rPr>
        <w:t xml:space="preserve">, D., &amp; </w:t>
      </w:r>
      <w:proofErr w:type="spellStart"/>
      <w:r w:rsidRPr="00420D5B">
        <w:rPr>
          <w:rFonts w:ascii="Times New Roman" w:eastAsia="Times New Roman" w:hAnsi="Times New Roman" w:cs="Times New Roman"/>
          <w:bCs/>
          <w:sz w:val="24"/>
          <w:szCs w:val="27"/>
          <w:lang w:eastAsia="en-GB"/>
        </w:rPr>
        <w:t>Barabási</w:t>
      </w:r>
      <w:proofErr w:type="spellEnd"/>
      <w:r w:rsidRPr="00420D5B">
        <w:rPr>
          <w:rFonts w:ascii="Times New Roman" w:eastAsia="Times New Roman" w:hAnsi="Times New Roman" w:cs="Times New Roman"/>
          <w:bCs/>
          <w:sz w:val="24"/>
          <w:szCs w:val="27"/>
          <w:lang w:eastAsia="en-GB"/>
        </w:rPr>
        <w:t>, A.-L. (2023). Machine learning prediction of the degree of food processing. Nature Communications, 14, 2312. https://doi.org/10.1038/s41467-023-37457-1</w:t>
      </w:r>
    </w:p>
    <w:p w14:paraId="5E1B9064"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lastRenderedPageBreak/>
        <w:t>Namkhah</w:t>
      </w:r>
      <w:proofErr w:type="spellEnd"/>
      <w:r w:rsidRPr="00420D5B">
        <w:rPr>
          <w:rFonts w:ascii="Times New Roman" w:eastAsia="Times New Roman" w:hAnsi="Times New Roman" w:cs="Times New Roman"/>
          <w:bCs/>
          <w:sz w:val="24"/>
          <w:szCs w:val="27"/>
          <w:lang w:eastAsia="en-GB"/>
        </w:rPr>
        <w:t xml:space="preserve">, Z. N., Fatemi, S. F., Mansoori, A., </w:t>
      </w:r>
      <w:proofErr w:type="spellStart"/>
      <w:r w:rsidRPr="00420D5B">
        <w:rPr>
          <w:rFonts w:ascii="Times New Roman" w:eastAsia="Times New Roman" w:hAnsi="Times New Roman" w:cs="Times New Roman"/>
          <w:bCs/>
          <w:sz w:val="24"/>
          <w:szCs w:val="27"/>
          <w:lang w:eastAsia="en-GB"/>
        </w:rPr>
        <w:t>Nosratabadi</w:t>
      </w:r>
      <w:proofErr w:type="spellEnd"/>
      <w:r w:rsidRPr="00420D5B">
        <w:rPr>
          <w:rFonts w:ascii="Times New Roman" w:eastAsia="Times New Roman" w:hAnsi="Times New Roman" w:cs="Times New Roman"/>
          <w:bCs/>
          <w:sz w:val="24"/>
          <w:szCs w:val="27"/>
          <w:lang w:eastAsia="en-GB"/>
        </w:rPr>
        <w:t>, S., Ghayour-</w:t>
      </w:r>
      <w:proofErr w:type="spellStart"/>
      <w:r w:rsidRPr="00420D5B">
        <w:rPr>
          <w:rFonts w:ascii="Times New Roman" w:eastAsia="Times New Roman" w:hAnsi="Times New Roman" w:cs="Times New Roman"/>
          <w:bCs/>
          <w:sz w:val="24"/>
          <w:szCs w:val="27"/>
          <w:lang w:eastAsia="en-GB"/>
        </w:rPr>
        <w:t>Mobarhan</w:t>
      </w:r>
      <w:proofErr w:type="spellEnd"/>
      <w:r w:rsidRPr="00420D5B">
        <w:rPr>
          <w:rFonts w:ascii="Times New Roman" w:eastAsia="Times New Roman" w:hAnsi="Times New Roman" w:cs="Times New Roman"/>
          <w:bCs/>
          <w:sz w:val="24"/>
          <w:szCs w:val="27"/>
          <w:lang w:eastAsia="en-GB"/>
        </w:rPr>
        <w:t>, M., &amp; Sobhani, S. R. (2023). Advancing sustainability in the food and nutrition system: A review of artificial intelligence applications. Frontiers in Nutrition, 10, 1295241. https://doi.org/10.3389/fnut.2023.1295241</w:t>
      </w:r>
    </w:p>
    <w:p w14:paraId="627F40C4"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Nath, P. C., Mishra, A. K., Sharma, R., Bhunia, B., Mishra, B., Tiwari, A., Nayak, P. K., Sharma, M., Bhuyan, T., Kaushal, S., Mohanta, Y. K., &amp; Sridhar, K. (2024). Recent advances in artificial intelligence towards the sustainable future of agri-food industry. Food Chemistry, 447, 138945. https://doi.org/10.1016/j.foodchem.2024.138945</w:t>
      </w:r>
    </w:p>
    <w:p w14:paraId="46E48362"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t>Onyeaka</w:t>
      </w:r>
      <w:proofErr w:type="spellEnd"/>
      <w:r w:rsidRPr="00420D5B">
        <w:rPr>
          <w:rFonts w:ascii="Times New Roman" w:eastAsia="Times New Roman" w:hAnsi="Times New Roman" w:cs="Times New Roman"/>
          <w:bCs/>
          <w:sz w:val="24"/>
          <w:szCs w:val="27"/>
          <w:lang w:eastAsia="en-GB"/>
        </w:rPr>
        <w:t xml:space="preserve">, H., </w:t>
      </w:r>
      <w:proofErr w:type="spellStart"/>
      <w:r w:rsidRPr="00420D5B">
        <w:rPr>
          <w:rFonts w:ascii="Times New Roman" w:eastAsia="Times New Roman" w:hAnsi="Times New Roman" w:cs="Times New Roman"/>
          <w:bCs/>
          <w:sz w:val="24"/>
          <w:szCs w:val="27"/>
          <w:lang w:eastAsia="en-GB"/>
        </w:rPr>
        <w:t>Tamasiga</w:t>
      </w:r>
      <w:proofErr w:type="spellEnd"/>
      <w:r w:rsidRPr="00420D5B">
        <w:rPr>
          <w:rFonts w:ascii="Times New Roman" w:eastAsia="Times New Roman" w:hAnsi="Times New Roman" w:cs="Times New Roman"/>
          <w:bCs/>
          <w:sz w:val="24"/>
          <w:szCs w:val="27"/>
          <w:lang w:eastAsia="en-GB"/>
        </w:rPr>
        <w:t xml:space="preserve">, P., </w:t>
      </w:r>
      <w:proofErr w:type="spellStart"/>
      <w:r w:rsidRPr="00420D5B">
        <w:rPr>
          <w:rFonts w:ascii="Times New Roman" w:eastAsia="Times New Roman" w:hAnsi="Times New Roman" w:cs="Times New Roman"/>
          <w:bCs/>
          <w:sz w:val="24"/>
          <w:szCs w:val="27"/>
          <w:lang w:eastAsia="en-GB"/>
        </w:rPr>
        <w:t>Nwauzoma</w:t>
      </w:r>
      <w:proofErr w:type="spellEnd"/>
      <w:r w:rsidRPr="00420D5B">
        <w:rPr>
          <w:rFonts w:ascii="Times New Roman" w:eastAsia="Times New Roman" w:hAnsi="Times New Roman" w:cs="Times New Roman"/>
          <w:bCs/>
          <w:sz w:val="24"/>
          <w:szCs w:val="27"/>
          <w:lang w:eastAsia="en-GB"/>
        </w:rPr>
        <w:t xml:space="preserve">, U. M., Miri, T., Juliet, U. C., </w:t>
      </w:r>
      <w:proofErr w:type="spellStart"/>
      <w:r w:rsidRPr="00420D5B">
        <w:rPr>
          <w:rFonts w:ascii="Times New Roman" w:eastAsia="Times New Roman" w:hAnsi="Times New Roman" w:cs="Times New Roman"/>
          <w:bCs/>
          <w:sz w:val="24"/>
          <w:szCs w:val="27"/>
          <w:lang w:eastAsia="en-GB"/>
        </w:rPr>
        <w:t>Nwaiwu</w:t>
      </w:r>
      <w:proofErr w:type="spellEnd"/>
      <w:r w:rsidRPr="00420D5B">
        <w:rPr>
          <w:rFonts w:ascii="Times New Roman" w:eastAsia="Times New Roman" w:hAnsi="Times New Roman" w:cs="Times New Roman"/>
          <w:bCs/>
          <w:sz w:val="24"/>
          <w:szCs w:val="27"/>
          <w:lang w:eastAsia="en-GB"/>
        </w:rPr>
        <w:t xml:space="preserve">, O., &amp; </w:t>
      </w:r>
      <w:proofErr w:type="spellStart"/>
      <w:r w:rsidRPr="00420D5B">
        <w:rPr>
          <w:rFonts w:ascii="Times New Roman" w:eastAsia="Times New Roman" w:hAnsi="Times New Roman" w:cs="Times New Roman"/>
          <w:bCs/>
          <w:sz w:val="24"/>
          <w:szCs w:val="27"/>
          <w:lang w:eastAsia="en-GB"/>
        </w:rPr>
        <w:t>Akinsemolu</w:t>
      </w:r>
      <w:proofErr w:type="spellEnd"/>
      <w:r w:rsidRPr="00420D5B">
        <w:rPr>
          <w:rFonts w:ascii="Times New Roman" w:eastAsia="Times New Roman" w:hAnsi="Times New Roman" w:cs="Times New Roman"/>
          <w:bCs/>
          <w:sz w:val="24"/>
          <w:szCs w:val="27"/>
          <w:lang w:eastAsia="en-GB"/>
        </w:rPr>
        <w:t xml:space="preserve">, A. A. (2023). Using artificial intelligence to tackle food waste and enhance the circular economy: Maximising resource efficiency and minimising environmental impact: A review. Sustainability, 15(13), 10482. https://doi.org/10.3390/su151310482 </w:t>
      </w:r>
    </w:p>
    <w:p w14:paraId="47911AD2"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Olan, F., Liu, S., </w:t>
      </w:r>
      <w:proofErr w:type="spellStart"/>
      <w:r w:rsidRPr="00420D5B">
        <w:rPr>
          <w:rFonts w:ascii="Times New Roman" w:eastAsia="Times New Roman" w:hAnsi="Times New Roman" w:cs="Times New Roman"/>
          <w:bCs/>
          <w:sz w:val="24"/>
          <w:szCs w:val="27"/>
          <w:lang w:eastAsia="en-GB"/>
        </w:rPr>
        <w:t>Suklan</w:t>
      </w:r>
      <w:proofErr w:type="spellEnd"/>
      <w:r w:rsidRPr="00420D5B">
        <w:rPr>
          <w:rFonts w:ascii="Times New Roman" w:eastAsia="Times New Roman" w:hAnsi="Times New Roman" w:cs="Times New Roman"/>
          <w:bCs/>
          <w:sz w:val="24"/>
          <w:szCs w:val="27"/>
          <w:lang w:eastAsia="en-GB"/>
        </w:rPr>
        <w:t xml:space="preserve">, J., Jayawickrama, U., &amp; </w:t>
      </w:r>
      <w:proofErr w:type="spellStart"/>
      <w:r w:rsidRPr="00420D5B">
        <w:rPr>
          <w:rFonts w:ascii="Times New Roman" w:eastAsia="Times New Roman" w:hAnsi="Times New Roman" w:cs="Times New Roman"/>
          <w:bCs/>
          <w:sz w:val="24"/>
          <w:szCs w:val="27"/>
          <w:lang w:eastAsia="en-GB"/>
        </w:rPr>
        <w:t>Arakpogun</w:t>
      </w:r>
      <w:proofErr w:type="spellEnd"/>
      <w:r w:rsidRPr="00420D5B">
        <w:rPr>
          <w:rFonts w:ascii="Times New Roman" w:eastAsia="Times New Roman" w:hAnsi="Times New Roman" w:cs="Times New Roman"/>
          <w:bCs/>
          <w:sz w:val="24"/>
          <w:szCs w:val="27"/>
          <w:lang w:eastAsia="en-GB"/>
        </w:rPr>
        <w:t>, E. O. (2022). The role of artificial intelligence networks in sustainable supply chain finance for food and drink industry. International Journal of Production Research, 60(14), 4418–4433. https://doi.org/10.1080/00207543.2021.1915510</w:t>
      </w:r>
    </w:p>
    <w:p w14:paraId="24BECA6D"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Qian, C., Murphy, S. I., Orsi, R. H., &amp; Wiedmann, M. (2023). How can AI help improve food safety? Annual Review of Food Science and Technology, 14, 517–538. https://doi.org/10.1146/annurev-food-060721-013815</w:t>
      </w:r>
    </w:p>
    <w:p w14:paraId="46686CCC"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t>Rugji</w:t>
      </w:r>
      <w:proofErr w:type="spellEnd"/>
      <w:r w:rsidRPr="00420D5B">
        <w:rPr>
          <w:rFonts w:ascii="Times New Roman" w:eastAsia="Times New Roman" w:hAnsi="Times New Roman" w:cs="Times New Roman"/>
          <w:bCs/>
          <w:sz w:val="24"/>
          <w:szCs w:val="27"/>
          <w:lang w:eastAsia="en-GB"/>
        </w:rPr>
        <w:t xml:space="preserve">, J., Erol, Z., Taşçı, F., Musa, L., Hamadani, A., </w:t>
      </w:r>
      <w:proofErr w:type="spellStart"/>
      <w:r w:rsidRPr="00420D5B">
        <w:rPr>
          <w:rFonts w:ascii="Times New Roman" w:eastAsia="Times New Roman" w:hAnsi="Times New Roman" w:cs="Times New Roman"/>
          <w:bCs/>
          <w:sz w:val="24"/>
          <w:szCs w:val="27"/>
          <w:lang w:eastAsia="en-GB"/>
        </w:rPr>
        <w:t>Gündemir</w:t>
      </w:r>
      <w:proofErr w:type="spellEnd"/>
      <w:r w:rsidRPr="00420D5B">
        <w:rPr>
          <w:rFonts w:ascii="Times New Roman" w:eastAsia="Times New Roman" w:hAnsi="Times New Roman" w:cs="Times New Roman"/>
          <w:bCs/>
          <w:sz w:val="24"/>
          <w:szCs w:val="27"/>
          <w:lang w:eastAsia="en-GB"/>
        </w:rPr>
        <w:t xml:space="preserve">, M. G., </w:t>
      </w:r>
      <w:proofErr w:type="spellStart"/>
      <w:r w:rsidRPr="00420D5B">
        <w:rPr>
          <w:rFonts w:ascii="Times New Roman" w:eastAsia="Times New Roman" w:hAnsi="Times New Roman" w:cs="Times New Roman"/>
          <w:bCs/>
          <w:sz w:val="24"/>
          <w:szCs w:val="27"/>
          <w:lang w:eastAsia="en-GB"/>
        </w:rPr>
        <w:t>Karalliu</w:t>
      </w:r>
      <w:proofErr w:type="spellEnd"/>
      <w:r w:rsidRPr="00420D5B">
        <w:rPr>
          <w:rFonts w:ascii="Times New Roman" w:eastAsia="Times New Roman" w:hAnsi="Times New Roman" w:cs="Times New Roman"/>
          <w:bCs/>
          <w:sz w:val="24"/>
          <w:szCs w:val="27"/>
          <w:lang w:eastAsia="en-GB"/>
        </w:rPr>
        <w:t>, E., &amp; Siddiqui, S. A. (2025). Utilization of AI—reshaping the future of food safety, agriculture and food security—a critical review. Critical Reviews in Food Science and Nutrition, 65(26), 5136–5180. https://doi.org/10.1080/10408398.2024.2430749</w:t>
      </w:r>
    </w:p>
    <w:p w14:paraId="2F22A69A"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Ryan, M. (2023). The social and ethical impacts of artificial intelligence in agriculture: Mapping the agricultural AI literature. AI &amp; Society, 38(6), 2473–2485. https://doi.org/10.1007/s00146-021-01377-9</w:t>
      </w:r>
    </w:p>
    <w:p w14:paraId="5F5E2947"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Sarku, R., Clemen, U. A., &amp; Clemen, T. (2023). The application of artificial intelligence models for food security: A review. Agriculture, 13(10), 2037. https://doi.org/10.3390/agriculture13102037</w:t>
      </w:r>
    </w:p>
    <w:p w14:paraId="3A625FA3"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Shen, C., Wang, R., </w:t>
      </w:r>
      <w:proofErr w:type="spellStart"/>
      <w:r w:rsidRPr="00420D5B">
        <w:rPr>
          <w:rFonts w:ascii="Times New Roman" w:eastAsia="Times New Roman" w:hAnsi="Times New Roman" w:cs="Times New Roman"/>
          <w:bCs/>
          <w:sz w:val="24"/>
          <w:szCs w:val="27"/>
          <w:lang w:eastAsia="en-GB"/>
        </w:rPr>
        <w:t>Nawazish</w:t>
      </w:r>
      <w:proofErr w:type="spellEnd"/>
      <w:r w:rsidRPr="00420D5B">
        <w:rPr>
          <w:rFonts w:ascii="Times New Roman" w:eastAsia="Times New Roman" w:hAnsi="Times New Roman" w:cs="Times New Roman"/>
          <w:bCs/>
          <w:sz w:val="24"/>
          <w:szCs w:val="27"/>
          <w:lang w:eastAsia="en-GB"/>
        </w:rPr>
        <w:t>, H., Wang, B., Cai, K., &amp; Xu, B. (2024). Machine vision combined with deep learning–based approaches for food authentication: An integrative review and new insights. Comprehensive Reviews in Food Science and Food Safety, 23(6), e70054. https://doi.org/10.1111/1541-4337.70054</w:t>
      </w:r>
    </w:p>
    <w:p w14:paraId="6AFBB7B2"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Soltani-</w:t>
      </w:r>
      <w:proofErr w:type="spellStart"/>
      <w:r w:rsidRPr="00420D5B">
        <w:rPr>
          <w:rFonts w:ascii="Times New Roman" w:eastAsia="Times New Roman" w:hAnsi="Times New Roman" w:cs="Times New Roman"/>
          <w:bCs/>
          <w:sz w:val="24"/>
          <w:szCs w:val="27"/>
          <w:lang w:eastAsia="en-GB"/>
        </w:rPr>
        <w:t>Fesaghandis</w:t>
      </w:r>
      <w:proofErr w:type="spellEnd"/>
      <w:r w:rsidRPr="00420D5B">
        <w:rPr>
          <w:rFonts w:ascii="Times New Roman" w:eastAsia="Times New Roman" w:hAnsi="Times New Roman" w:cs="Times New Roman"/>
          <w:bCs/>
          <w:sz w:val="24"/>
          <w:szCs w:val="27"/>
          <w:lang w:eastAsia="en-GB"/>
        </w:rPr>
        <w:t>, G., &amp; Pooya, A. (2018). Design of an artificial intelligence system for predicting success of new product development and selecting proper market-product strategy in the food industry. International Food and Agribusiness Management Review, 21(7), 847–864. https://doi.org/10.22434/IFAMR2017.0033</w:t>
      </w:r>
    </w:p>
    <w:p w14:paraId="55C30C71"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t>Sonwani</w:t>
      </w:r>
      <w:proofErr w:type="spellEnd"/>
      <w:r w:rsidRPr="00420D5B">
        <w:rPr>
          <w:rFonts w:ascii="Times New Roman" w:eastAsia="Times New Roman" w:hAnsi="Times New Roman" w:cs="Times New Roman"/>
          <w:bCs/>
          <w:sz w:val="24"/>
          <w:szCs w:val="27"/>
          <w:lang w:eastAsia="en-GB"/>
        </w:rPr>
        <w:t xml:space="preserve">, E., Bansal, U., </w:t>
      </w:r>
      <w:proofErr w:type="spellStart"/>
      <w:r w:rsidRPr="00420D5B">
        <w:rPr>
          <w:rFonts w:ascii="Times New Roman" w:eastAsia="Times New Roman" w:hAnsi="Times New Roman" w:cs="Times New Roman"/>
          <w:bCs/>
          <w:sz w:val="24"/>
          <w:szCs w:val="27"/>
          <w:lang w:eastAsia="en-GB"/>
        </w:rPr>
        <w:t>Alroobaea</w:t>
      </w:r>
      <w:proofErr w:type="spellEnd"/>
      <w:r w:rsidRPr="00420D5B">
        <w:rPr>
          <w:rFonts w:ascii="Times New Roman" w:eastAsia="Times New Roman" w:hAnsi="Times New Roman" w:cs="Times New Roman"/>
          <w:bCs/>
          <w:sz w:val="24"/>
          <w:szCs w:val="27"/>
          <w:lang w:eastAsia="en-GB"/>
        </w:rPr>
        <w:t xml:space="preserve">, R., </w:t>
      </w:r>
      <w:proofErr w:type="spellStart"/>
      <w:r w:rsidRPr="00420D5B">
        <w:rPr>
          <w:rFonts w:ascii="Times New Roman" w:eastAsia="Times New Roman" w:hAnsi="Times New Roman" w:cs="Times New Roman"/>
          <w:bCs/>
          <w:sz w:val="24"/>
          <w:szCs w:val="27"/>
          <w:lang w:eastAsia="en-GB"/>
        </w:rPr>
        <w:t>Baqasah</w:t>
      </w:r>
      <w:proofErr w:type="spellEnd"/>
      <w:r w:rsidRPr="00420D5B">
        <w:rPr>
          <w:rFonts w:ascii="Times New Roman" w:eastAsia="Times New Roman" w:hAnsi="Times New Roman" w:cs="Times New Roman"/>
          <w:bCs/>
          <w:sz w:val="24"/>
          <w:szCs w:val="27"/>
          <w:lang w:eastAsia="en-GB"/>
        </w:rPr>
        <w:t xml:space="preserve">, A. M., &amp; </w:t>
      </w:r>
      <w:proofErr w:type="spellStart"/>
      <w:r w:rsidRPr="00420D5B">
        <w:rPr>
          <w:rFonts w:ascii="Times New Roman" w:eastAsia="Times New Roman" w:hAnsi="Times New Roman" w:cs="Times New Roman"/>
          <w:bCs/>
          <w:sz w:val="24"/>
          <w:szCs w:val="27"/>
          <w:lang w:eastAsia="en-GB"/>
        </w:rPr>
        <w:t>Hedabou</w:t>
      </w:r>
      <w:proofErr w:type="spellEnd"/>
      <w:r w:rsidRPr="00420D5B">
        <w:rPr>
          <w:rFonts w:ascii="Times New Roman" w:eastAsia="Times New Roman" w:hAnsi="Times New Roman" w:cs="Times New Roman"/>
          <w:bCs/>
          <w:sz w:val="24"/>
          <w:szCs w:val="27"/>
          <w:lang w:eastAsia="en-GB"/>
        </w:rPr>
        <w:t>, M. (2022). An artificial intelligence approach toward food spoilage detection and analysis. Frontiers in Public Health, 9, 816226. https://doi.org/10.3389/fpubh.2021.816226</w:t>
      </w:r>
    </w:p>
    <w:p w14:paraId="36C130BB"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lastRenderedPageBreak/>
        <w:t>Tamasiga</w:t>
      </w:r>
      <w:proofErr w:type="spellEnd"/>
      <w:r w:rsidRPr="00420D5B">
        <w:rPr>
          <w:rFonts w:ascii="Times New Roman" w:eastAsia="Times New Roman" w:hAnsi="Times New Roman" w:cs="Times New Roman"/>
          <w:bCs/>
          <w:sz w:val="24"/>
          <w:szCs w:val="27"/>
          <w:lang w:eastAsia="en-GB"/>
        </w:rPr>
        <w:t xml:space="preserve">, P., </w:t>
      </w:r>
      <w:proofErr w:type="spellStart"/>
      <w:r w:rsidRPr="00420D5B">
        <w:rPr>
          <w:rFonts w:ascii="Times New Roman" w:eastAsia="Times New Roman" w:hAnsi="Times New Roman" w:cs="Times New Roman"/>
          <w:bCs/>
          <w:sz w:val="24"/>
          <w:szCs w:val="27"/>
          <w:lang w:eastAsia="en-GB"/>
        </w:rPr>
        <w:t>Ouassou</w:t>
      </w:r>
      <w:proofErr w:type="spellEnd"/>
      <w:r w:rsidRPr="00420D5B">
        <w:rPr>
          <w:rFonts w:ascii="Times New Roman" w:eastAsia="Times New Roman" w:hAnsi="Times New Roman" w:cs="Times New Roman"/>
          <w:bCs/>
          <w:sz w:val="24"/>
          <w:szCs w:val="27"/>
          <w:lang w:eastAsia="en-GB"/>
        </w:rPr>
        <w:t xml:space="preserve">, E. H., </w:t>
      </w:r>
      <w:proofErr w:type="spellStart"/>
      <w:r w:rsidRPr="00420D5B">
        <w:rPr>
          <w:rFonts w:ascii="Times New Roman" w:eastAsia="Times New Roman" w:hAnsi="Times New Roman" w:cs="Times New Roman"/>
          <w:bCs/>
          <w:sz w:val="24"/>
          <w:szCs w:val="27"/>
          <w:lang w:eastAsia="en-GB"/>
        </w:rPr>
        <w:t>Onyeaka</w:t>
      </w:r>
      <w:proofErr w:type="spellEnd"/>
      <w:r w:rsidRPr="00420D5B">
        <w:rPr>
          <w:rFonts w:ascii="Times New Roman" w:eastAsia="Times New Roman" w:hAnsi="Times New Roman" w:cs="Times New Roman"/>
          <w:bCs/>
          <w:sz w:val="24"/>
          <w:szCs w:val="27"/>
          <w:lang w:eastAsia="en-GB"/>
        </w:rPr>
        <w:t xml:space="preserve">, H., </w:t>
      </w:r>
      <w:proofErr w:type="spellStart"/>
      <w:r w:rsidRPr="00420D5B">
        <w:rPr>
          <w:rFonts w:ascii="Times New Roman" w:eastAsia="Times New Roman" w:hAnsi="Times New Roman" w:cs="Times New Roman"/>
          <w:bCs/>
          <w:sz w:val="24"/>
          <w:szCs w:val="27"/>
          <w:lang w:eastAsia="en-GB"/>
        </w:rPr>
        <w:t>Bakwena</w:t>
      </w:r>
      <w:proofErr w:type="spellEnd"/>
      <w:r w:rsidRPr="00420D5B">
        <w:rPr>
          <w:rFonts w:ascii="Times New Roman" w:eastAsia="Times New Roman" w:hAnsi="Times New Roman" w:cs="Times New Roman"/>
          <w:bCs/>
          <w:sz w:val="24"/>
          <w:szCs w:val="27"/>
          <w:lang w:eastAsia="en-GB"/>
        </w:rPr>
        <w:t xml:space="preserve">, M., Happonen, A., &amp; Molala, M. (2023). Forecasting disruptions in global food value chains to tackle food insecurity: The role of AI and big data analytics—A bibliometric and </w:t>
      </w:r>
      <w:proofErr w:type="spellStart"/>
      <w:r w:rsidRPr="00420D5B">
        <w:rPr>
          <w:rFonts w:ascii="Times New Roman" w:eastAsia="Times New Roman" w:hAnsi="Times New Roman" w:cs="Times New Roman"/>
          <w:bCs/>
          <w:sz w:val="24"/>
          <w:szCs w:val="27"/>
          <w:lang w:eastAsia="en-GB"/>
        </w:rPr>
        <w:t>scientometric</w:t>
      </w:r>
      <w:proofErr w:type="spellEnd"/>
      <w:r w:rsidRPr="00420D5B">
        <w:rPr>
          <w:rFonts w:ascii="Times New Roman" w:eastAsia="Times New Roman" w:hAnsi="Times New Roman" w:cs="Times New Roman"/>
          <w:bCs/>
          <w:sz w:val="24"/>
          <w:szCs w:val="27"/>
          <w:lang w:eastAsia="en-GB"/>
        </w:rPr>
        <w:t xml:space="preserve"> analysis. Journal of Agriculture and Food Research, 14, 100819. https://doi.org/10.1016/j.jafr.2023.100819</w:t>
      </w:r>
    </w:p>
    <w:p w14:paraId="2C773C11"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Xia, T., Shen, X., &amp; Li, L. (2024). Is AI food a gimmick or the future direction of food production?—Predicting consumers’ willingness to buy AI food based on cognitive trust and affective trust. Foods, 13(18), 2983. https://doi.org/10.3390/foods13182983</w:t>
      </w:r>
    </w:p>
    <w:p w14:paraId="7548329C"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Xiao, Z., Wang, J., Han, L., Guo, S., &amp; Cui, Q. (2022). Application of machine vision system in food detection. Frontiers in Nutrition, 9, 888245. https://doi.org/10.3389/fnut.2022.888245</w:t>
      </w:r>
    </w:p>
    <w:p w14:paraId="6DCA9417"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Zheng, J., Wang, J., Shen, J., &amp; An, R. (2024). Artificial intelligence applications to measure food and nutrient intakes: Scoping review. Journal of Medical Internet Research, 26, e54557. https://doi.org/10.2196/54557</w:t>
      </w:r>
    </w:p>
    <w:p w14:paraId="0FA0154B" w14:textId="77777777" w:rsidR="00420D5B" w:rsidRPr="00420D5B" w:rsidRDefault="00420D5B" w:rsidP="00420D5B">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Zhou, Z., Tian, D., Yang, Y., Cui, H., Li, Y., Ren, S., Han, T., &amp; Gao, Z. (2024). Machine learning assisted biosensing technology: An emerging powerful tool for improving the intelligence of food safety detection. Current Research in Food Science, 8, 100679. https://doi.org/10.1016/j.crfs.2024.100679</w:t>
      </w:r>
    </w:p>
    <w:p w14:paraId="0B5D971F" w14:textId="77777777" w:rsidR="00420D5B" w:rsidRPr="00420D5B" w:rsidRDefault="00420D5B" w:rsidP="00F80FFE">
      <w:pPr>
        <w:spacing w:before="100" w:beforeAutospacing="1" w:after="100" w:afterAutospacing="1" w:line="240" w:lineRule="auto"/>
        <w:outlineLvl w:val="2"/>
        <w:rPr>
          <w:rFonts w:ascii="Times New Roman" w:eastAsia="Times New Roman" w:hAnsi="Times New Roman" w:cs="Times New Roman"/>
          <w:bCs/>
          <w:sz w:val="24"/>
          <w:szCs w:val="27"/>
          <w:lang w:eastAsia="en-GB"/>
        </w:rPr>
      </w:pPr>
    </w:p>
    <w:sectPr w:rsidR="00420D5B" w:rsidRPr="00420D5B"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EAD39" w14:textId="77777777" w:rsidR="000B61FE" w:rsidRDefault="000B61FE" w:rsidP="00151FFB">
      <w:pPr>
        <w:spacing w:after="0" w:line="240" w:lineRule="auto"/>
      </w:pPr>
      <w:r>
        <w:separator/>
      </w:r>
    </w:p>
  </w:endnote>
  <w:endnote w:type="continuationSeparator" w:id="0">
    <w:p w14:paraId="684F91ED" w14:textId="77777777" w:rsidR="000B61FE" w:rsidRDefault="000B61FE" w:rsidP="00151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9BBBC" w14:textId="77777777" w:rsidR="00151FFB" w:rsidRDefault="00151F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94856" w14:textId="77777777" w:rsidR="00151FFB" w:rsidRDefault="00151F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E5DC" w14:textId="77777777" w:rsidR="00151FFB" w:rsidRDefault="00151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7A9EE" w14:textId="77777777" w:rsidR="000B61FE" w:rsidRDefault="000B61FE" w:rsidP="00151FFB">
      <w:pPr>
        <w:spacing w:after="0" w:line="240" w:lineRule="auto"/>
      </w:pPr>
      <w:r>
        <w:separator/>
      </w:r>
    </w:p>
  </w:footnote>
  <w:footnote w:type="continuationSeparator" w:id="0">
    <w:p w14:paraId="2F90EDF7" w14:textId="77777777" w:rsidR="000B61FE" w:rsidRDefault="000B61FE" w:rsidP="00151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DEA9" w14:textId="5BE2AEBC" w:rsidR="00151FFB" w:rsidRDefault="00151FFB">
    <w:pPr>
      <w:pStyle w:val="Header"/>
    </w:pPr>
    <w:r>
      <w:rPr>
        <w:noProof/>
      </w:rPr>
      <w:pict w14:anchorId="6C74E7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833735"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D4AE7" w14:textId="400A040B" w:rsidR="00151FFB" w:rsidRDefault="00151FFB">
    <w:pPr>
      <w:pStyle w:val="Header"/>
    </w:pPr>
    <w:r>
      <w:rPr>
        <w:noProof/>
      </w:rPr>
      <w:pict w14:anchorId="76E165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833736"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B4B7B" w14:textId="0E47990F" w:rsidR="00151FFB" w:rsidRDefault="00151FFB">
    <w:pPr>
      <w:pStyle w:val="Header"/>
    </w:pPr>
    <w:r>
      <w:rPr>
        <w:noProof/>
      </w:rPr>
      <w:pict w14:anchorId="2D075B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833734"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F5E3D"/>
    <w:multiLevelType w:val="hybridMultilevel"/>
    <w:tmpl w:val="6AD29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9B4D2A"/>
    <w:multiLevelType w:val="multilevel"/>
    <w:tmpl w:val="0082E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9169862">
    <w:abstractNumId w:val="0"/>
  </w:num>
  <w:num w:numId="2" w16cid:durableId="575478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0FFE"/>
    <w:rsid w:val="000B61FE"/>
    <w:rsid w:val="00151FFB"/>
    <w:rsid w:val="00185A48"/>
    <w:rsid w:val="00420D5B"/>
    <w:rsid w:val="004841B3"/>
    <w:rsid w:val="00634618"/>
    <w:rsid w:val="00795E5E"/>
    <w:rsid w:val="007961B4"/>
    <w:rsid w:val="007B3159"/>
    <w:rsid w:val="008A3604"/>
    <w:rsid w:val="00B02323"/>
    <w:rsid w:val="00C04DBC"/>
    <w:rsid w:val="00F80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6484D"/>
  <w15:docId w15:val="{A48C3A79-0BE2-40A0-A1EE-7090AECAF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F80FF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80FF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F80FF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0FF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80FFE"/>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F80FFE"/>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F80F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80FFE"/>
    <w:rPr>
      <w:b/>
      <w:bCs/>
    </w:rPr>
  </w:style>
  <w:style w:type="character" w:styleId="Emphasis">
    <w:name w:val="Emphasis"/>
    <w:basedOn w:val="DefaultParagraphFont"/>
    <w:uiPriority w:val="20"/>
    <w:qFormat/>
    <w:rsid w:val="00F80FFE"/>
    <w:rPr>
      <w:i/>
      <w:iCs/>
    </w:rPr>
  </w:style>
  <w:style w:type="character" w:styleId="Hyperlink">
    <w:name w:val="Hyperlink"/>
    <w:basedOn w:val="DefaultParagraphFont"/>
    <w:uiPriority w:val="99"/>
    <w:semiHidden/>
    <w:unhideWhenUsed/>
    <w:rsid w:val="00F80FFE"/>
    <w:rPr>
      <w:color w:val="0000FF"/>
      <w:u w:val="single"/>
    </w:rPr>
  </w:style>
  <w:style w:type="paragraph" w:styleId="ListParagraph">
    <w:name w:val="List Paragraph"/>
    <w:basedOn w:val="Normal"/>
    <w:uiPriority w:val="34"/>
    <w:qFormat/>
    <w:rsid w:val="00185A48"/>
    <w:pPr>
      <w:ind w:left="720"/>
      <w:contextualSpacing/>
    </w:pPr>
  </w:style>
  <w:style w:type="paragraph" w:styleId="NormalWeb">
    <w:name w:val="Normal (Web)"/>
    <w:basedOn w:val="Normal"/>
    <w:uiPriority w:val="99"/>
    <w:unhideWhenUsed/>
    <w:rsid w:val="00185A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185A48"/>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85A48"/>
    <w:rPr>
      <w:rFonts w:ascii="Arial" w:eastAsia="Times New Roman" w:hAnsi="Arial" w:cs="Arial"/>
      <w:vanish/>
      <w:sz w:val="16"/>
      <w:szCs w:val="16"/>
      <w:lang w:eastAsia="en-GB"/>
    </w:rPr>
  </w:style>
  <w:style w:type="paragraph" w:customStyle="1" w:styleId="placeholder">
    <w:name w:val="placeholder"/>
    <w:basedOn w:val="Normal"/>
    <w:rsid w:val="00185A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BottomofForm">
    <w:name w:val="HTML Bottom of Form"/>
    <w:basedOn w:val="Normal"/>
    <w:next w:val="Normal"/>
    <w:link w:val="z-BottomofFormChar"/>
    <w:hidden/>
    <w:uiPriority w:val="99"/>
    <w:semiHidden/>
    <w:unhideWhenUsed/>
    <w:rsid w:val="00185A48"/>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85A48"/>
    <w:rPr>
      <w:rFonts w:ascii="Arial" w:eastAsia="Times New Roman" w:hAnsi="Arial" w:cs="Arial"/>
      <w:vanish/>
      <w:sz w:val="16"/>
      <w:szCs w:val="16"/>
      <w:lang w:eastAsia="en-GB"/>
    </w:rPr>
  </w:style>
  <w:style w:type="table" w:styleId="TableGrid">
    <w:name w:val="Table Grid"/>
    <w:basedOn w:val="TableNormal"/>
    <w:uiPriority w:val="59"/>
    <w:rsid w:val="00420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1F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FFB"/>
  </w:style>
  <w:style w:type="paragraph" w:styleId="Footer">
    <w:name w:val="footer"/>
    <w:basedOn w:val="Normal"/>
    <w:link w:val="FooterChar"/>
    <w:uiPriority w:val="99"/>
    <w:unhideWhenUsed/>
    <w:rsid w:val="00151F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080321">
      <w:bodyDiv w:val="1"/>
      <w:marLeft w:val="0"/>
      <w:marRight w:val="0"/>
      <w:marTop w:val="0"/>
      <w:marBottom w:val="0"/>
      <w:divBdr>
        <w:top w:val="none" w:sz="0" w:space="0" w:color="auto"/>
        <w:left w:val="none" w:sz="0" w:space="0" w:color="auto"/>
        <w:bottom w:val="none" w:sz="0" w:space="0" w:color="auto"/>
        <w:right w:val="none" w:sz="0" w:space="0" w:color="auto"/>
      </w:divBdr>
      <w:divsChild>
        <w:div w:id="933710180">
          <w:marLeft w:val="0"/>
          <w:marRight w:val="0"/>
          <w:marTop w:val="0"/>
          <w:marBottom w:val="0"/>
          <w:divBdr>
            <w:top w:val="none" w:sz="0" w:space="0" w:color="auto"/>
            <w:left w:val="none" w:sz="0" w:space="0" w:color="auto"/>
            <w:bottom w:val="none" w:sz="0" w:space="0" w:color="auto"/>
            <w:right w:val="none" w:sz="0" w:space="0" w:color="auto"/>
          </w:divBdr>
          <w:divsChild>
            <w:div w:id="1524977628">
              <w:marLeft w:val="0"/>
              <w:marRight w:val="0"/>
              <w:marTop w:val="0"/>
              <w:marBottom w:val="0"/>
              <w:divBdr>
                <w:top w:val="none" w:sz="0" w:space="0" w:color="auto"/>
                <w:left w:val="none" w:sz="0" w:space="0" w:color="auto"/>
                <w:bottom w:val="none" w:sz="0" w:space="0" w:color="auto"/>
                <w:right w:val="none" w:sz="0" w:space="0" w:color="auto"/>
              </w:divBdr>
              <w:divsChild>
                <w:div w:id="229077846">
                  <w:marLeft w:val="0"/>
                  <w:marRight w:val="0"/>
                  <w:marTop w:val="0"/>
                  <w:marBottom w:val="0"/>
                  <w:divBdr>
                    <w:top w:val="none" w:sz="0" w:space="0" w:color="auto"/>
                    <w:left w:val="none" w:sz="0" w:space="0" w:color="auto"/>
                    <w:bottom w:val="none" w:sz="0" w:space="0" w:color="auto"/>
                    <w:right w:val="none" w:sz="0" w:space="0" w:color="auto"/>
                  </w:divBdr>
                  <w:divsChild>
                    <w:div w:id="2008744937">
                      <w:marLeft w:val="0"/>
                      <w:marRight w:val="0"/>
                      <w:marTop w:val="0"/>
                      <w:marBottom w:val="0"/>
                      <w:divBdr>
                        <w:top w:val="none" w:sz="0" w:space="0" w:color="auto"/>
                        <w:left w:val="none" w:sz="0" w:space="0" w:color="auto"/>
                        <w:bottom w:val="none" w:sz="0" w:space="0" w:color="auto"/>
                        <w:right w:val="none" w:sz="0" w:space="0" w:color="auto"/>
                      </w:divBdr>
                      <w:divsChild>
                        <w:div w:id="237403264">
                          <w:marLeft w:val="0"/>
                          <w:marRight w:val="0"/>
                          <w:marTop w:val="0"/>
                          <w:marBottom w:val="0"/>
                          <w:divBdr>
                            <w:top w:val="none" w:sz="0" w:space="0" w:color="auto"/>
                            <w:left w:val="none" w:sz="0" w:space="0" w:color="auto"/>
                            <w:bottom w:val="none" w:sz="0" w:space="0" w:color="auto"/>
                            <w:right w:val="none" w:sz="0" w:space="0" w:color="auto"/>
                          </w:divBdr>
                          <w:divsChild>
                            <w:div w:id="643848282">
                              <w:marLeft w:val="0"/>
                              <w:marRight w:val="0"/>
                              <w:marTop w:val="0"/>
                              <w:marBottom w:val="0"/>
                              <w:divBdr>
                                <w:top w:val="none" w:sz="0" w:space="0" w:color="auto"/>
                                <w:left w:val="none" w:sz="0" w:space="0" w:color="auto"/>
                                <w:bottom w:val="none" w:sz="0" w:space="0" w:color="auto"/>
                                <w:right w:val="none" w:sz="0" w:space="0" w:color="auto"/>
                              </w:divBdr>
                              <w:divsChild>
                                <w:div w:id="448738822">
                                  <w:marLeft w:val="0"/>
                                  <w:marRight w:val="0"/>
                                  <w:marTop w:val="0"/>
                                  <w:marBottom w:val="0"/>
                                  <w:divBdr>
                                    <w:top w:val="none" w:sz="0" w:space="0" w:color="auto"/>
                                    <w:left w:val="none" w:sz="0" w:space="0" w:color="auto"/>
                                    <w:bottom w:val="none" w:sz="0" w:space="0" w:color="auto"/>
                                    <w:right w:val="none" w:sz="0" w:space="0" w:color="auto"/>
                                  </w:divBdr>
                                  <w:divsChild>
                                    <w:div w:id="1798178520">
                                      <w:marLeft w:val="0"/>
                                      <w:marRight w:val="0"/>
                                      <w:marTop w:val="0"/>
                                      <w:marBottom w:val="0"/>
                                      <w:divBdr>
                                        <w:top w:val="none" w:sz="0" w:space="0" w:color="auto"/>
                                        <w:left w:val="none" w:sz="0" w:space="0" w:color="auto"/>
                                        <w:bottom w:val="none" w:sz="0" w:space="0" w:color="auto"/>
                                        <w:right w:val="none" w:sz="0" w:space="0" w:color="auto"/>
                                      </w:divBdr>
                                      <w:divsChild>
                                        <w:div w:id="1408770263">
                                          <w:marLeft w:val="0"/>
                                          <w:marRight w:val="0"/>
                                          <w:marTop w:val="0"/>
                                          <w:marBottom w:val="0"/>
                                          <w:divBdr>
                                            <w:top w:val="none" w:sz="0" w:space="0" w:color="auto"/>
                                            <w:left w:val="none" w:sz="0" w:space="0" w:color="auto"/>
                                            <w:bottom w:val="none" w:sz="0" w:space="0" w:color="auto"/>
                                            <w:right w:val="none" w:sz="0" w:space="0" w:color="auto"/>
                                          </w:divBdr>
                                          <w:divsChild>
                                            <w:div w:id="1649432305">
                                              <w:marLeft w:val="0"/>
                                              <w:marRight w:val="0"/>
                                              <w:marTop w:val="0"/>
                                              <w:marBottom w:val="0"/>
                                              <w:divBdr>
                                                <w:top w:val="none" w:sz="0" w:space="0" w:color="auto"/>
                                                <w:left w:val="none" w:sz="0" w:space="0" w:color="auto"/>
                                                <w:bottom w:val="none" w:sz="0" w:space="0" w:color="auto"/>
                                                <w:right w:val="none" w:sz="0" w:space="0" w:color="auto"/>
                                              </w:divBdr>
                                              <w:divsChild>
                                                <w:div w:id="421069927">
                                                  <w:marLeft w:val="0"/>
                                                  <w:marRight w:val="0"/>
                                                  <w:marTop w:val="0"/>
                                                  <w:marBottom w:val="0"/>
                                                  <w:divBdr>
                                                    <w:top w:val="none" w:sz="0" w:space="0" w:color="auto"/>
                                                    <w:left w:val="none" w:sz="0" w:space="0" w:color="auto"/>
                                                    <w:bottom w:val="none" w:sz="0" w:space="0" w:color="auto"/>
                                                    <w:right w:val="none" w:sz="0" w:space="0" w:color="auto"/>
                                                  </w:divBdr>
                                                  <w:divsChild>
                                                    <w:div w:id="494416840">
                                                      <w:marLeft w:val="0"/>
                                                      <w:marRight w:val="0"/>
                                                      <w:marTop w:val="0"/>
                                                      <w:marBottom w:val="0"/>
                                                      <w:divBdr>
                                                        <w:top w:val="none" w:sz="0" w:space="0" w:color="auto"/>
                                                        <w:left w:val="none" w:sz="0" w:space="0" w:color="auto"/>
                                                        <w:bottom w:val="none" w:sz="0" w:space="0" w:color="auto"/>
                                                        <w:right w:val="none" w:sz="0" w:space="0" w:color="auto"/>
                                                      </w:divBdr>
                                                      <w:divsChild>
                                                        <w:div w:id="1836264285">
                                                          <w:marLeft w:val="0"/>
                                                          <w:marRight w:val="0"/>
                                                          <w:marTop w:val="0"/>
                                                          <w:marBottom w:val="0"/>
                                                          <w:divBdr>
                                                            <w:top w:val="none" w:sz="0" w:space="0" w:color="auto"/>
                                                            <w:left w:val="none" w:sz="0" w:space="0" w:color="auto"/>
                                                            <w:bottom w:val="none" w:sz="0" w:space="0" w:color="auto"/>
                                                            <w:right w:val="none" w:sz="0" w:space="0" w:color="auto"/>
                                                          </w:divBdr>
                                                          <w:divsChild>
                                                            <w:div w:id="1390836811">
                                                              <w:marLeft w:val="0"/>
                                                              <w:marRight w:val="0"/>
                                                              <w:marTop w:val="0"/>
                                                              <w:marBottom w:val="0"/>
                                                              <w:divBdr>
                                                                <w:top w:val="none" w:sz="0" w:space="0" w:color="auto"/>
                                                                <w:left w:val="none" w:sz="0" w:space="0" w:color="auto"/>
                                                                <w:bottom w:val="none" w:sz="0" w:space="0" w:color="auto"/>
                                                                <w:right w:val="none" w:sz="0" w:space="0" w:color="auto"/>
                                                              </w:divBdr>
                                                              <w:divsChild>
                                                                <w:div w:id="232005896">
                                                                  <w:marLeft w:val="0"/>
                                                                  <w:marRight w:val="0"/>
                                                                  <w:marTop w:val="0"/>
                                                                  <w:marBottom w:val="0"/>
                                                                  <w:divBdr>
                                                                    <w:top w:val="none" w:sz="0" w:space="0" w:color="auto"/>
                                                                    <w:left w:val="none" w:sz="0" w:space="0" w:color="auto"/>
                                                                    <w:bottom w:val="none" w:sz="0" w:space="0" w:color="auto"/>
                                                                    <w:right w:val="none" w:sz="0" w:space="0" w:color="auto"/>
                                                                  </w:divBdr>
                                                                  <w:divsChild>
                                                                    <w:div w:id="2128814112">
                                                                      <w:marLeft w:val="0"/>
                                                                      <w:marRight w:val="0"/>
                                                                      <w:marTop w:val="0"/>
                                                                      <w:marBottom w:val="0"/>
                                                                      <w:divBdr>
                                                                        <w:top w:val="none" w:sz="0" w:space="0" w:color="auto"/>
                                                                        <w:left w:val="none" w:sz="0" w:space="0" w:color="auto"/>
                                                                        <w:bottom w:val="none" w:sz="0" w:space="0" w:color="auto"/>
                                                                        <w:right w:val="none" w:sz="0" w:space="0" w:color="auto"/>
                                                                      </w:divBdr>
                                                                      <w:divsChild>
                                                                        <w:div w:id="1710109583">
                                                                          <w:marLeft w:val="0"/>
                                                                          <w:marRight w:val="0"/>
                                                                          <w:marTop w:val="0"/>
                                                                          <w:marBottom w:val="0"/>
                                                                          <w:divBdr>
                                                                            <w:top w:val="none" w:sz="0" w:space="0" w:color="auto"/>
                                                                            <w:left w:val="none" w:sz="0" w:space="0" w:color="auto"/>
                                                                            <w:bottom w:val="none" w:sz="0" w:space="0" w:color="auto"/>
                                                                            <w:right w:val="none" w:sz="0" w:space="0" w:color="auto"/>
                                                                          </w:divBdr>
                                                                          <w:divsChild>
                                                                            <w:div w:id="338895984">
                                                                              <w:marLeft w:val="0"/>
                                                                              <w:marRight w:val="0"/>
                                                                              <w:marTop w:val="0"/>
                                                                              <w:marBottom w:val="0"/>
                                                                              <w:divBdr>
                                                                                <w:top w:val="none" w:sz="0" w:space="0" w:color="auto"/>
                                                                                <w:left w:val="none" w:sz="0" w:space="0" w:color="auto"/>
                                                                                <w:bottom w:val="none" w:sz="0" w:space="0" w:color="auto"/>
                                                                                <w:right w:val="none" w:sz="0" w:space="0" w:color="auto"/>
                                                                              </w:divBdr>
                                                                              <w:divsChild>
                                                                                <w:div w:id="15048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5627816">
                                              <w:marLeft w:val="0"/>
                                              <w:marRight w:val="0"/>
                                              <w:marTop w:val="0"/>
                                              <w:marBottom w:val="0"/>
                                              <w:divBdr>
                                                <w:top w:val="none" w:sz="0" w:space="0" w:color="auto"/>
                                                <w:left w:val="none" w:sz="0" w:space="0" w:color="auto"/>
                                                <w:bottom w:val="none" w:sz="0" w:space="0" w:color="auto"/>
                                                <w:right w:val="none" w:sz="0" w:space="0" w:color="auto"/>
                                              </w:divBdr>
                                              <w:divsChild>
                                                <w:div w:id="1705398406">
                                                  <w:marLeft w:val="0"/>
                                                  <w:marRight w:val="0"/>
                                                  <w:marTop w:val="0"/>
                                                  <w:marBottom w:val="0"/>
                                                  <w:divBdr>
                                                    <w:top w:val="none" w:sz="0" w:space="0" w:color="auto"/>
                                                    <w:left w:val="none" w:sz="0" w:space="0" w:color="auto"/>
                                                    <w:bottom w:val="none" w:sz="0" w:space="0" w:color="auto"/>
                                                    <w:right w:val="none" w:sz="0" w:space="0" w:color="auto"/>
                                                  </w:divBdr>
                                                  <w:divsChild>
                                                    <w:div w:id="1372921157">
                                                      <w:marLeft w:val="0"/>
                                                      <w:marRight w:val="0"/>
                                                      <w:marTop w:val="0"/>
                                                      <w:marBottom w:val="0"/>
                                                      <w:divBdr>
                                                        <w:top w:val="none" w:sz="0" w:space="0" w:color="auto"/>
                                                        <w:left w:val="none" w:sz="0" w:space="0" w:color="auto"/>
                                                        <w:bottom w:val="none" w:sz="0" w:space="0" w:color="auto"/>
                                                        <w:right w:val="none" w:sz="0" w:space="0" w:color="auto"/>
                                                      </w:divBdr>
                                                      <w:divsChild>
                                                        <w:div w:id="1185972071">
                                                          <w:marLeft w:val="0"/>
                                                          <w:marRight w:val="0"/>
                                                          <w:marTop w:val="0"/>
                                                          <w:marBottom w:val="0"/>
                                                          <w:divBdr>
                                                            <w:top w:val="none" w:sz="0" w:space="0" w:color="auto"/>
                                                            <w:left w:val="none" w:sz="0" w:space="0" w:color="auto"/>
                                                            <w:bottom w:val="none" w:sz="0" w:space="0" w:color="auto"/>
                                                            <w:right w:val="none" w:sz="0" w:space="0" w:color="auto"/>
                                                          </w:divBdr>
                                                          <w:divsChild>
                                                            <w:div w:id="862016153">
                                                              <w:marLeft w:val="0"/>
                                                              <w:marRight w:val="0"/>
                                                              <w:marTop w:val="0"/>
                                                              <w:marBottom w:val="0"/>
                                                              <w:divBdr>
                                                                <w:top w:val="none" w:sz="0" w:space="0" w:color="auto"/>
                                                                <w:left w:val="none" w:sz="0" w:space="0" w:color="auto"/>
                                                                <w:bottom w:val="none" w:sz="0" w:space="0" w:color="auto"/>
                                                                <w:right w:val="none" w:sz="0" w:space="0" w:color="auto"/>
                                                              </w:divBdr>
                                                              <w:divsChild>
                                                                <w:div w:id="2014840613">
                                                                  <w:marLeft w:val="0"/>
                                                                  <w:marRight w:val="0"/>
                                                                  <w:marTop w:val="0"/>
                                                                  <w:marBottom w:val="0"/>
                                                                  <w:divBdr>
                                                                    <w:top w:val="none" w:sz="0" w:space="0" w:color="auto"/>
                                                                    <w:left w:val="none" w:sz="0" w:space="0" w:color="auto"/>
                                                                    <w:bottom w:val="none" w:sz="0" w:space="0" w:color="auto"/>
                                                                    <w:right w:val="none" w:sz="0" w:space="0" w:color="auto"/>
                                                                  </w:divBdr>
                                                                  <w:divsChild>
                                                                    <w:div w:id="718625177">
                                                                      <w:marLeft w:val="0"/>
                                                                      <w:marRight w:val="0"/>
                                                                      <w:marTop w:val="0"/>
                                                                      <w:marBottom w:val="0"/>
                                                                      <w:divBdr>
                                                                        <w:top w:val="none" w:sz="0" w:space="0" w:color="auto"/>
                                                                        <w:left w:val="none" w:sz="0" w:space="0" w:color="auto"/>
                                                                        <w:bottom w:val="none" w:sz="0" w:space="0" w:color="auto"/>
                                                                        <w:right w:val="none" w:sz="0" w:space="0" w:color="auto"/>
                                                                      </w:divBdr>
                                                                      <w:divsChild>
                                                                        <w:div w:id="617105814">
                                                                          <w:marLeft w:val="0"/>
                                                                          <w:marRight w:val="0"/>
                                                                          <w:marTop w:val="0"/>
                                                                          <w:marBottom w:val="0"/>
                                                                          <w:divBdr>
                                                                            <w:top w:val="none" w:sz="0" w:space="0" w:color="auto"/>
                                                                            <w:left w:val="none" w:sz="0" w:space="0" w:color="auto"/>
                                                                            <w:bottom w:val="none" w:sz="0" w:space="0" w:color="auto"/>
                                                                            <w:right w:val="none" w:sz="0" w:space="0" w:color="auto"/>
                                                                          </w:divBdr>
                                                                          <w:divsChild>
                                                                            <w:div w:id="112988272">
                                                                              <w:marLeft w:val="0"/>
                                                                              <w:marRight w:val="0"/>
                                                                              <w:marTop w:val="0"/>
                                                                              <w:marBottom w:val="0"/>
                                                                              <w:divBdr>
                                                                                <w:top w:val="none" w:sz="0" w:space="0" w:color="auto"/>
                                                                                <w:left w:val="none" w:sz="0" w:space="0" w:color="auto"/>
                                                                                <w:bottom w:val="none" w:sz="0" w:space="0" w:color="auto"/>
                                                                                <w:right w:val="none" w:sz="0" w:space="0" w:color="auto"/>
                                                                              </w:divBdr>
                                                                              <w:divsChild>
                                                                                <w:div w:id="598218407">
                                                                                  <w:marLeft w:val="0"/>
                                                                                  <w:marRight w:val="0"/>
                                                                                  <w:marTop w:val="0"/>
                                                                                  <w:marBottom w:val="0"/>
                                                                                  <w:divBdr>
                                                                                    <w:top w:val="none" w:sz="0" w:space="0" w:color="auto"/>
                                                                                    <w:left w:val="none" w:sz="0" w:space="0" w:color="auto"/>
                                                                                    <w:bottom w:val="none" w:sz="0" w:space="0" w:color="auto"/>
                                                                                    <w:right w:val="none" w:sz="0" w:space="0" w:color="auto"/>
                                                                                  </w:divBdr>
                                                                                  <w:divsChild>
                                                                                    <w:div w:id="617687287">
                                                                                      <w:marLeft w:val="0"/>
                                                                                      <w:marRight w:val="0"/>
                                                                                      <w:marTop w:val="0"/>
                                                                                      <w:marBottom w:val="0"/>
                                                                                      <w:divBdr>
                                                                                        <w:top w:val="none" w:sz="0" w:space="0" w:color="auto"/>
                                                                                        <w:left w:val="none" w:sz="0" w:space="0" w:color="auto"/>
                                                                                        <w:bottom w:val="none" w:sz="0" w:space="0" w:color="auto"/>
                                                                                        <w:right w:val="none" w:sz="0" w:space="0" w:color="auto"/>
                                                                                      </w:divBdr>
                                                                                      <w:divsChild>
                                                                                        <w:div w:id="1290164895">
                                                                                          <w:marLeft w:val="0"/>
                                                                                          <w:marRight w:val="0"/>
                                                                                          <w:marTop w:val="0"/>
                                                                                          <w:marBottom w:val="0"/>
                                                                                          <w:divBdr>
                                                                                            <w:top w:val="none" w:sz="0" w:space="0" w:color="auto"/>
                                                                                            <w:left w:val="none" w:sz="0" w:space="0" w:color="auto"/>
                                                                                            <w:bottom w:val="none" w:sz="0" w:space="0" w:color="auto"/>
                                                                                            <w:right w:val="none" w:sz="0" w:space="0" w:color="auto"/>
                                                                                          </w:divBdr>
                                                                                          <w:divsChild>
                                                                                            <w:div w:id="210568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182675">
      <w:bodyDiv w:val="1"/>
      <w:marLeft w:val="0"/>
      <w:marRight w:val="0"/>
      <w:marTop w:val="0"/>
      <w:marBottom w:val="0"/>
      <w:divBdr>
        <w:top w:val="none" w:sz="0" w:space="0" w:color="auto"/>
        <w:left w:val="none" w:sz="0" w:space="0" w:color="auto"/>
        <w:bottom w:val="none" w:sz="0" w:space="0" w:color="auto"/>
        <w:right w:val="none" w:sz="0" w:space="0" w:color="auto"/>
      </w:divBdr>
      <w:divsChild>
        <w:div w:id="1324772744">
          <w:marLeft w:val="0"/>
          <w:marRight w:val="0"/>
          <w:marTop w:val="0"/>
          <w:marBottom w:val="0"/>
          <w:divBdr>
            <w:top w:val="none" w:sz="0" w:space="0" w:color="auto"/>
            <w:left w:val="none" w:sz="0" w:space="0" w:color="auto"/>
            <w:bottom w:val="none" w:sz="0" w:space="0" w:color="auto"/>
            <w:right w:val="none" w:sz="0" w:space="0" w:color="auto"/>
          </w:divBdr>
          <w:divsChild>
            <w:div w:id="1334256484">
              <w:marLeft w:val="0"/>
              <w:marRight w:val="0"/>
              <w:marTop w:val="0"/>
              <w:marBottom w:val="0"/>
              <w:divBdr>
                <w:top w:val="none" w:sz="0" w:space="0" w:color="auto"/>
                <w:left w:val="none" w:sz="0" w:space="0" w:color="auto"/>
                <w:bottom w:val="none" w:sz="0" w:space="0" w:color="auto"/>
                <w:right w:val="none" w:sz="0" w:space="0" w:color="auto"/>
              </w:divBdr>
              <w:divsChild>
                <w:div w:id="1211184971">
                  <w:marLeft w:val="0"/>
                  <w:marRight w:val="0"/>
                  <w:marTop w:val="0"/>
                  <w:marBottom w:val="0"/>
                  <w:divBdr>
                    <w:top w:val="none" w:sz="0" w:space="0" w:color="auto"/>
                    <w:left w:val="none" w:sz="0" w:space="0" w:color="auto"/>
                    <w:bottom w:val="none" w:sz="0" w:space="0" w:color="auto"/>
                    <w:right w:val="none" w:sz="0" w:space="0" w:color="auto"/>
                  </w:divBdr>
                  <w:divsChild>
                    <w:div w:id="1829787015">
                      <w:marLeft w:val="0"/>
                      <w:marRight w:val="0"/>
                      <w:marTop w:val="0"/>
                      <w:marBottom w:val="0"/>
                      <w:divBdr>
                        <w:top w:val="none" w:sz="0" w:space="0" w:color="auto"/>
                        <w:left w:val="none" w:sz="0" w:space="0" w:color="auto"/>
                        <w:bottom w:val="none" w:sz="0" w:space="0" w:color="auto"/>
                        <w:right w:val="none" w:sz="0" w:space="0" w:color="auto"/>
                      </w:divBdr>
                      <w:divsChild>
                        <w:div w:id="1510679400">
                          <w:marLeft w:val="0"/>
                          <w:marRight w:val="0"/>
                          <w:marTop w:val="0"/>
                          <w:marBottom w:val="0"/>
                          <w:divBdr>
                            <w:top w:val="none" w:sz="0" w:space="0" w:color="auto"/>
                            <w:left w:val="none" w:sz="0" w:space="0" w:color="auto"/>
                            <w:bottom w:val="none" w:sz="0" w:space="0" w:color="auto"/>
                            <w:right w:val="none" w:sz="0" w:space="0" w:color="auto"/>
                          </w:divBdr>
                          <w:divsChild>
                            <w:div w:id="1587688827">
                              <w:marLeft w:val="0"/>
                              <w:marRight w:val="0"/>
                              <w:marTop w:val="0"/>
                              <w:marBottom w:val="0"/>
                              <w:divBdr>
                                <w:top w:val="none" w:sz="0" w:space="0" w:color="auto"/>
                                <w:left w:val="none" w:sz="0" w:space="0" w:color="auto"/>
                                <w:bottom w:val="none" w:sz="0" w:space="0" w:color="auto"/>
                                <w:right w:val="none" w:sz="0" w:space="0" w:color="auto"/>
                              </w:divBdr>
                              <w:divsChild>
                                <w:div w:id="1686977446">
                                  <w:marLeft w:val="0"/>
                                  <w:marRight w:val="0"/>
                                  <w:marTop w:val="0"/>
                                  <w:marBottom w:val="0"/>
                                  <w:divBdr>
                                    <w:top w:val="none" w:sz="0" w:space="0" w:color="auto"/>
                                    <w:left w:val="none" w:sz="0" w:space="0" w:color="auto"/>
                                    <w:bottom w:val="none" w:sz="0" w:space="0" w:color="auto"/>
                                    <w:right w:val="none" w:sz="0" w:space="0" w:color="auto"/>
                                  </w:divBdr>
                                  <w:divsChild>
                                    <w:div w:id="3432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4927538">
      <w:bodyDiv w:val="1"/>
      <w:marLeft w:val="0"/>
      <w:marRight w:val="0"/>
      <w:marTop w:val="0"/>
      <w:marBottom w:val="0"/>
      <w:divBdr>
        <w:top w:val="none" w:sz="0" w:space="0" w:color="auto"/>
        <w:left w:val="none" w:sz="0" w:space="0" w:color="auto"/>
        <w:bottom w:val="none" w:sz="0" w:space="0" w:color="auto"/>
        <w:right w:val="none" w:sz="0" w:space="0" w:color="auto"/>
      </w:divBdr>
      <w:divsChild>
        <w:div w:id="1118986929">
          <w:marLeft w:val="0"/>
          <w:marRight w:val="0"/>
          <w:marTop w:val="0"/>
          <w:marBottom w:val="0"/>
          <w:divBdr>
            <w:top w:val="none" w:sz="0" w:space="0" w:color="auto"/>
            <w:left w:val="none" w:sz="0" w:space="0" w:color="auto"/>
            <w:bottom w:val="none" w:sz="0" w:space="0" w:color="auto"/>
            <w:right w:val="none" w:sz="0" w:space="0" w:color="auto"/>
          </w:divBdr>
        </w:div>
        <w:div w:id="1123503915">
          <w:marLeft w:val="0"/>
          <w:marRight w:val="0"/>
          <w:marTop w:val="0"/>
          <w:marBottom w:val="0"/>
          <w:divBdr>
            <w:top w:val="none" w:sz="0" w:space="0" w:color="auto"/>
            <w:left w:val="none" w:sz="0" w:space="0" w:color="auto"/>
            <w:bottom w:val="none" w:sz="0" w:space="0" w:color="auto"/>
            <w:right w:val="none" w:sz="0" w:space="0" w:color="auto"/>
          </w:divBdr>
        </w:div>
        <w:div w:id="956327994">
          <w:marLeft w:val="0"/>
          <w:marRight w:val="0"/>
          <w:marTop w:val="0"/>
          <w:marBottom w:val="0"/>
          <w:divBdr>
            <w:top w:val="none" w:sz="0" w:space="0" w:color="auto"/>
            <w:left w:val="none" w:sz="0" w:space="0" w:color="auto"/>
            <w:bottom w:val="none" w:sz="0" w:space="0" w:color="auto"/>
            <w:right w:val="none" w:sz="0" w:space="0" w:color="auto"/>
          </w:divBdr>
        </w:div>
        <w:div w:id="273296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20</Pages>
  <Words>9731</Words>
  <Characters>55471</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1084</cp:lastModifiedBy>
  <cp:revision>11</cp:revision>
  <dcterms:created xsi:type="dcterms:W3CDTF">2026-06-20T17:24:00Z</dcterms:created>
  <dcterms:modified xsi:type="dcterms:W3CDTF">2026-06-22T13:29:00Z</dcterms:modified>
</cp:coreProperties>
</file>