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D4FA" w14:textId="77777777" w:rsidR="008B6843" w:rsidRPr="008B6843" w:rsidRDefault="008B6843" w:rsidP="008B6843">
      <w:pPr>
        <w:rPr>
          <w:rFonts w:ascii="Arial" w:hAnsi="Arial" w:cs="Arial"/>
          <w:b/>
          <w:bCs/>
          <w:sz w:val="36"/>
          <w:szCs w:val="36"/>
          <w:u w:val="single"/>
        </w:rPr>
      </w:pPr>
      <w:r w:rsidRPr="008B6843">
        <w:rPr>
          <w:rFonts w:ascii="Arial" w:hAnsi="Arial" w:cs="Arial"/>
          <w:b/>
          <w:bCs/>
          <w:sz w:val="36"/>
          <w:szCs w:val="36"/>
          <w:u w:val="single"/>
        </w:rPr>
        <w:t>Original Research Article</w:t>
      </w:r>
    </w:p>
    <w:p w14:paraId="589A290D" w14:textId="77777777" w:rsidR="008B6843" w:rsidRDefault="008B6843" w:rsidP="006B344A">
      <w:pPr>
        <w:jc w:val="right"/>
        <w:rPr>
          <w:rFonts w:ascii="Arial" w:hAnsi="Arial" w:cs="Arial"/>
          <w:b/>
          <w:bCs/>
          <w:sz w:val="36"/>
          <w:szCs w:val="36"/>
        </w:rPr>
      </w:pPr>
    </w:p>
    <w:p w14:paraId="2D25B456" w14:textId="77777777" w:rsidR="006B344A" w:rsidRPr="00D85923" w:rsidRDefault="00257537" w:rsidP="00257537">
      <w:pPr>
        <w:jc w:val="right"/>
        <w:rPr>
          <w:rFonts w:ascii="Arial" w:hAnsi="Arial" w:cs="Arial"/>
          <w:b/>
          <w:bCs/>
          <w:sz w:val="36"/>
          <w:szCs w:val="36"/>
        </w:rPr>
      </w:pPr>
      <w:r w:rsidRPr="00D85923">
        <w:rPr>
          <w:rFonts w:ascii="Times New Roman" w:hAnsi="Times New Roman"/>
          <w:b/>
          <w:bCs/>
          <w:sz w:val="22"/>
          <w:highlight w:val="yellow"/>
        </w:rPr>
        <w:t>Comparative Assessment of Zooplankton in Active and Non-Active Fishing Zones of Kollam, Kerala, India</w:t>
      </w:r>
    </w:p>
    <w:p w14:paraId="1A840E34" w14:textId="77777777" w:rsidR="00091242" w:rsidRDefault="00091242" w:rsidP="006B344A">
      <w:pPr>
        <w:jc w:val="right"/>
        <w:rPr>
          <w:rFonts w:ascii="Arial" w:hAnsi="Arial" w:cs="Arial"/>
          <w:b/>
          <w:bCs/>
        </w:rPr>
      </w:pPr>
    </w:p>
    <w:p w14:paraId="572194E4" w14:textId="77777777" w:rsidR="00091242" w:rsidRDefault="00091242" w:rsidP="006B344A">
      <w:pPr>
        <w:jc w:val="right"/>
        <w:rPr>
          <w:rFonts w:ascii="Arial" w:hAnsi="Arial" w:cs="Arial"/>
          <w:b/>
          <w:bCs/>
        </w:rPr>
      </w:pPr>
    </w:p>
    <w:p w14:paraId="3E59CAEA" w14:textId="77777777" w:rsidR="006B344A" w:rsidRPr="006B344A" w:rsidRDefault="00000000" w:rsidP="006B344A">
      <w:pPr>
        <w:jc w:val="right"/>
        <w:rPr>
          <w:rFonts w:ascii="Arial" w:hAnsi="Arial" w:cs="Arial"/>
          <w:i/>
          <w:iCs/>
          <w:sz w:val="16"/>
          <w:szCs w:val="16"/>
        </w:rPr>
      </w:pPr>
      <w:r>
        <w:rPr>
          <w:rFonts w:ascii="Arial" w:hAnsi="Arial" w:cs="Arial"/>
        </w:rPr>
      </w:r>
      <w:r>
        <w:rPr>
          <w:rFonts w:ascii="Arial" w:hAnsi="Arial" w:cs="Arial"/>
        </w:rPr>
        <w:pict w14:anchorId="0857E4D3">
          <v:shapetype id="_x0000_t32" coordsize="21600,21600" o:spt="32" o:oned="t" path="m,l21600,21600e" filled="f">
            <v:path arrowok="t" fillok="f" o:connecttype="none"/>
            <o:lock v:ext="edit" shapetype="t"/>
          </v:shapetype>
          <v:shape id="_x0000_s2050" type="#_x0000_t32" style="width:465.75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5CA55EB" w14:textId="77777777" w:rsidR="006B344A" w:rsidRPr="006B344A" w:rsidRDefault="006B344A" w:rsidP="006B344A">
      <w:pPr>
        <w:rPr>
          <w:rFonts w:ascii="Arial" w:hAnsi="Arial" w:cs="Arial"/>
          <w:b/>
          <w:bCs/>
          <w:sz w:val="22"/>
          <w:szCs w:val="22"/>
        </w:rPr>
      </w:pPr>
      <w:r w:rsidRPr="006B344A">
        <w:rPr>
          <w:rFonts w:ascii="Arial" w:hAnsi="Arial" w:cs="Arial"/>
          <w:b/>
          <w:bCs/>
          <w:sz w:val="22"/>
          <w:szCs w:val="22"/>
        </w:rPr>
        <w:t>ABSTRACT</w:t>
      </w:r>
    </w:p>
    <w:p w14:paraId="0E4EC2DC" w14:textId="77777777" w:rsidR="006B344A" w:rsidRPr="006B344A" w:rsidRDefault="00AC697D" w:rsidP="006B344A">
      <w:pPr>
        <w:jc w:val="both"/>
        <w:rPr>
          <w:rFonts w:ascii="Arial" w:hAnsi="Arial" w:cs="Arial"/>
          <w:sz w:val="20"/>
          <w:szCs w:val="20"/>
        </w:rPr>
      </w:pPr>
      <w:r>
        <w:rPr>
          <w:highlight w:val="yellow"/>
        </w:rPr>
        <w:t xml:space="preserve">This study assessed zooplankton abundance, phytoplankton density, and selected water quality parameters in active fishing and non-fishing zones off Kollam, Kerala, India. Monthly sampling was conducted from November 2019 to February 2020 in near-shore, coastal, and open-water areas. Active fishing zones were identified using the Indigenous Traditional Knowledge of local fishermen and acoustic observations from a GPS-coupled fish finder, whereas non-fishing zones were selected from adjacent waters without active fishing operations or visible fish shoals during sampling. Surface seawater samples were analysed for temperature, salinity, pH, dissolved oxygen, ammonia, nitrate, nitrite, phosphate, and silicate, and these variables were examined in relation to phytoplankton and zooplankton abundance. The observed values included temperature ranging from 25.70 to 30.50 °C, salinity from 29.67 to 34.51 ppt, dissolved oxygen from 4.28 to 6.96 mg/l, and silicate from 3.25 to 5.98 mg/l. Zooplankton abundance ranged from 422 to 503 ind. m⁻³, with the maximum value recorded in FZ-1 during November. A total of 53 zooplankton taxa were identified, with copepods forming the dominant group (35 species), followed by decapod larvae, amphipods, isopods, ostracods, chaetognaths, molluscan larvae, tintinnids, </w:t>
      </w:r>
      <w:proofErr w:type="spellStart"/>
      <w:r>
        <w:rPr>
          <w:highlight w:val="yellow"/>
        </w:rPr>
        <w:t>appendicularians</w:t>
      </w:r>
      <w:proofErr w:type="spellEnd"/>
      <w:r>
        <w:rPr>
          <w:highlight w:val="yellow"/>
        </w:rPr>
        <w:t>, fish eggs, and fish larvae. Phytoplankton abundance ranged from 6815 to 10340 cells L⁻¹, with the highest value recorded in FZ-1 during December and the lowest in NFZ-2 during February. Correlation analysis indicated that phytoplankton and zooplankton abundance varied with hydrographic and nutrient conditions, although the strength and direction of associations differed between fishing and non-fishing zones. The findings provide baseline information on plankton dynamics in contrasting fishing habitats off Kollam and may support future monitoring of coastal productivity and ecosystem-based fisheries assessment.</w:t>
      </w:r>
    </w:p>
    <w:p w14:paraId="7E962505" w14:textId="77777777" w:rsidR="00257537" w:rsidRPr="008C7CAD" w:rsidRDefault="006B344A" w:rsidP="00257537">
      <w:pPr>
        <w:rPr>
          <w:rFonts w:ascii="Arial" w:hAnsi="Arial" w:cs="Arial"/>
          <w:i/>
          <w:iCs/>
          <w:sz w:val="20"/>
          <w:szCs w:val="20"/>
        </w:rPr>
      </w:pPr>
      <w:r>
        <w:rPr>
          <w:highlight w:val="yellow"/>
        </w:rPr>
        <w:t>Keywords: Zooplankton; Phytoplankton; Fishing zones; Non-fishing zones; Water quality parameters; Hydrographic conditions; Copepods; Coastal ecosystem; Arabian Sea; Kollam; Ecosystem-based fisheries.</w:t>
      </w:r>
    </w:p>
    <w:p w14:paraId="61172C5F" w14:textId="77777777" w:rsidR="006B344A" w:rsidRPr="006B344A" w:rsidRDefault="006B344A" w:rsidP="006B344A">
      <w:pPr>
        <w:jc w:val="both"/>
        <w:rPr>
          <w:rFonts w:ascii="Arial" w:hAnsi="Arial" w:cs="Arial"/>
          <w:i/>
          <w:iCs/>
          <w:sz w:val="20"/>
          <w:szCs w:val="20"/>
        </w:rPr>
      </w:pPr>
    </w:p>
    <w:p w14:paraId="510E2695" w14:textId="77777777" w:rsidR="006B344A" w:rsidRPr="006B344A" w:rsidRDefault="006B344A" w:rsidP="006B344A">
      <w:pPr>
        <w:rPr>
          <w:rFonts w:ascii="Arial" w:eastAsia="Arial" w:hAnsi="Arial" w:cs="Arial"/>
          <w:b/>
          <w:bCs/>
          <w:sz w:val="22"/>
          <w:szCs w:val="22"/>
        </w:rPr>
      </w:pPr>
      <w:r>
        <w:rPr>
          <w:rFonts w:ascii="Times New Roman" w:hAnsi="Times New Roman"/>
          <w:b/>
          <w:sz w:val="22"/>
          <w:highlight w:val="yellow"/>
        </w:rPr>
        <w:lastRenderedPageBreak/>
        <w:t>1. INTRODUCTION</w:t>
      </w:r>
    </w:p>
    <w:p w14:paraId="26EAF573" w14:textId="77777777" w:rsidR="00BF6707" w:rsidRDefault="00BF6707" w:rsidP="00BF6707">
      <w:pPr>
        <w:jc w:val="both"/>
        <w:rPr>
          <w:rFonts w:ascii="Arial" w:hAnsi="Arial" w:cs="Arial"/>
          <w:color w:val="000000" w:themeColor="text1"/>
          <w:sz w:val="20"/>
          <w:szCs w:val="20"/>
        </w:rPr>
      </w:pPr>
      <w:r>
        <w:rPr>
          <w:highlight w:val="yellow"/>
        </w:rPr>
        <w:t>Zooplankton constitute a crucial component of marine ecosystems, functioning as an essential trophic link between primary producers and higher consumers, including commercially important fish species. Their abundance, diversity, and distribution are strongly influenced by environmental factors such as temperature, salinity, dissolved oxygen, pH, and nutrient availability (Horne &amp; Schneider, 1994; Greenwood et al., 2001). Owing to their rapid response to environmental fluctuations, zooplankton communities are widely recognised as reliable indicators of ecosystem health and water quality in marine and coastal environments.</w:t>
      </w:r>
    </w:p>
    <w:p w14:paraId="1ED71605" w14:textId="77777777" w:rsidR="00BF6707" w:rsidRPr="00CC6843" w:rsidRDefault="00BF6707" w:rsidP="00BF6707">
      <w:pPr>
        <w:jc w:val="both"/>
        <w:rPr>
          <w:rFonts w:ascii="Arial" w:hAnsi="Arial" w:cs="Arial"/>
          <w:color w:val="000000" w:themeColor="text1"/>
          <w:sz w:val="20"/>
          <w:szCs w:val="20"/>
        </w:rPr>
      </w:pPr>
      <w:r>
        <w:rPr>
          <w:highlight w:val="yellow"/>
        </w:rPr>
        <w:t>Numerous studies have demonstrated a close ecological relationship between phytoplankton productivity and zooplankton abundance. Phytoplankton serve as the primary food source for many zooplankton species, and changes in phytoplankton biomass directly affect zooplankton population dynamics (</w:t>
      </w:r>
      <w:proofErr w:type="spellStart"/>
      <w:r>
        <w:rPr>
          <w:highlight w:val="yellow"/>
        </w:rPr>
        <w:t>Comita</w:t>
      </w:r>
      <w:proofErr w:type="spellEnd"/>
      <w:r>
        <w:rPr>
          <w:highlight w:val="yellow"/>
        </w:rPr>
        <w:t xml:space="preserve"> &amp; Anderson, 1959; Mitra et al., 2014). Sheldon et al. (1977) further reported that areas characterised by high plankton productivity often support greater fish biomass and fishery yields, emphasising the importance of planktonic communities in sustaining marine fisheries.</w:t>
      </w:r>
    </w:p>
    <w:p w14:paraId="3C747E1B" w14:textId="77777777" w:rsidR="00BF6707" w:rsidRPr="00CC6843" w:rsidRDefault="00BF6707" w:rsidP="00BF6707">
      <w:pPr>
        <w:jc w:val="both"/>
        <w:rPr>
          <w:rFonts w:ascii="Arial" w:hAnsi="Arial" w:cs="Arial"/>
          <w:color w:val="000000" w:themeColor="text1"/>
          <w:sz w:val="20"/>
          <w:szCs w:val="20"/>
        </w:rPr>
      </w:pPr>
      <w:r>
        <w:rPr>
          <w:highlight w:val="yellow"/>
        </w:rPr>
        <w:t xml:space="preserve">The Arabian Sea is characterised by pronounced seasonal variability driven by monsoonal circulation, which significantly influences hydrographic conditions, nutrient enrichment, and biological productivity. </w:t>
      </w:r>
      <w:proofErr w:type="spellStart"/>
      <w:r>
        <w:rPr>
          <w:highlight w:val="yellow"/>
        </w:rPr>
        <w:t>Krishnankutty</w:t>
      </w:r>
      <w:proofErr w:type="spellEnd"/>
      <w:r>
        <w:rPr>
          <w:highlight w:val="yellow"/>
        </w:rPr>
        <w:t xml:space="preserve"> et al. (2019) reported that fluctuations in temperature, salinity, and nutrient concentrations regulate phytoplankton diversity and abundance in the southeastern Arabian Sea. Likewise, Venkataramana et al. (2020) identified copepods as the dominant zooplankton group in Indian marine waters and highlighted their critical role in secondary production and energy transfer within pelagic food webs.</w:t>
      </w:r>
    </w:p>
    <w:p w14:paraId="5C16A5CD" w14:textId="77777777" w:rsidR="00BF6707" w:rsidRPr="00CC6843" w:rsidRDefault="00BF6707" w:rsidP="00BF6707">
      <w:pPr>
        <w:jc w:val="both"/>
        <w:rPr>
          <w:rFonts w:ascii="Arial" w:hAnsi="Arial" w:cs="Arial"/>
          <w:color w:val="000000" w:themeColor="text1"/>
          <w:sz w:val="20"/>
          <w:szCs w:val="20"/>
        </w:rPr>
      </w:pPr>
      <w:r>
        <w:rPr>
          <w:highlight w:val="yellow"/>
        </w:rPr>
        <w:t xml:space="preserve">Studies conducted along the southwest coast of India have also demonstrated strong relationships between environmental variables and plankton communities. Sharma and Cyril (2007) observed significant spatial variations in zooplankton abundance in the coastal waters of Kollam and attributed these variations to changing hydrographic conditions. Similarly, Rai and Rajashekhar (2015) and </w:t>
      </w:r>
      <w:proofErr w:type="spellStart"/>
      <w:r>
        <w:rPr>
          <w:highlight w:val="yellow"/>
        </w:rPr>
        <w:t>Temkar</w:t>
      </w:r>
      <w:proofErr w:type="spellEnd"/>
      <w:r>
        <w:rPr>
          <w:highlight w:val="yellow"/>
        </w:rPr>
        <w:t xml:space="preserve"> et al. (2015) reported that phytoplankton abundance is closely associated with physicochemical parameters, including dissolved oxygen, salinity, pH, and nutrient concentrations.</w:t>
      </w:r>
    </w:p>
    <w:p w14:paraId="6BE39B10" w14:textId="77777777" w:rsidR="00BF6707" w:rsidRPr="00CC6843" w:rsidRDefault="00BF6707" w:rsidP="00BF6707">
      <w:pPr>
        <w:jc w:val="both"/>
        <w:rPr>
          <w:rFonts w:ascii="Arial" w:hAnsi="Arial" w:cs="Arial"/>
          <w:color w:val="000000" w:themeColor="text1"/>
          <w:sz w:val="20"/>
          <w:szCs w:val="20"/>
        </w:rPr>
      </w:pPr>
      <w:r>
        <w:rPr>
          <w:highlight w:val="yellow"/>
        </w:rPr>
        <w:t>Recent advances in fisheries science have emphasised ecosystem-based approaches to understanding fish aggregation and distribution patterns (Marshall et al., 2017). Active fishing zones are often associated with favourable environmental conditions and enhanced biological productivity, which attract fish schools through increased food availability. Despite the ecological importance of these interactions, comparative studies investigating zooplankton communities, phytoplankton abundance, and water quality characteristics between active fishing zones and non-fishing zones remain scarce, particularly along the southwest coast of India.</w:t>
      </w:r>
    </w:p>
    <w:p w14:paraId="15C09CBE" w14:textId="77777777" w:rsidR="00BF6707" w:rsidRPr="00CC6843" w:rsidRDefault="00BF6707" w:rsidP="00BF6707">
      <w:pPr>
        <w:jc w:val="both"/>
        <w:rPr>
          <w:rFonts w:ascii="Arial" w:hAnsi="Arial" w:cs="Arial"/>
          <w:color w:val="000000" w:themeColor="text1"/>
          <w:sz w:val="20"/>
          <w:szCs w:val="20"/>
        </w:rPr>
      </w:pPr>
      <w:r>
        <w:rPr>
          <w:highlight w:val="yellow"/>
        </w:rPr>
        <w:lastRenderedPageBreak/>
        <w:t>Therefore, the present study was undertaken to examine the relationships among zooplankton abundance, phytoplankton productivity, and water quality parameters in active fishing and non-fishing zones off Kollam, Kerala. By comparing these ecological components across contrasting fishing habitats, the study aims to provide baseline information on plankton dynamics and environmental variability, thereby contributing to ecosystem-based fisheries management, marine biodiversity conservation, and long-term environmental monitoring in the southeastern Arabian Sea.</w:t>
      </w:r>
    </w:p>
    <w:p w14:paraId="1949D61B" w14:textId="77777777" w:rsidR="006B344A" w:rsidRPr="006B344A" w:rsidRDefault="006B344A" w:rsidP="006B344A">
      <w:pPr>
        <w:pStyle w:val="NoSpacing"/>
        <w:jc w:val="both"/>
        <w:rPr>
          <w:rFonts w:ascii="Arial" w:hAnsi="Arial" w:cs="Arial"/>
        </w:rPr>
      </w:pPr>
    </w:p>
    <w:p w14:paraId="40A77C50" w14:textId="77777777" w:rsidR="006B344A" w:rsidRPr="006B344A" w:rsidRDefault="006B344A" w:rsidP="006B344A">
      <w:pPr>
        <w:jc w:val="both"/>
        <w:rPr>
          <w:rFonts w:ascii="Arial" w:hAnsi="Arial" w:cs="Arial"/>
          <w:b/>
          <w:bCs/>
          <w:sz w:val="22"/>
          <w:szCs w:val="22"/>
        </w:rPr>
      </w:pPr>
      <w:r>
        <w:rPr>
          <w:rFonts w:ascii="Times New Roman" w:hAnsi="Times New Roman"/>
          <w:b/>
          <w:sz w:val="22"/>
          <w:highlight w:val="yellow"/>
        </w:rPr>
        <w:t>2. MATERIALS AND METHODS</w:t>
      </w:r>
    </w:p>
    <w:p w14:paraId="7458CCDF"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2.1 Study Area and Sampling Strategy</w:t>
      </w:r>
    </w:p>
    <w:p w14:paraId="0DB86F9D" w14:textId="77777777" w:rsidR="006B344A" w:rsidRPr="006B344A" w:rsidRDefault="006B344A" w:rsidP="006B344A">
      <w:pPr>
        <w:jc w:val="both"/>
        <w:rPr>
          <w:rFonts w:ascii="Arial" w:hAnsi="Arial" w:cs="Arial"/>
          <w:sz w:val="20"/>
          <w:szCs w:val="20"/>
        </w:rPr>
      </w:pPr>
      <w:r>
        <w:rPr>
          <w:highlight w:val="yellow"/>
        </w:rPr>
        <w:t>The present study was conducted in the near-shore, coastal, and open waters off Kollam, located along the southwest coast of India in the southeastern Arabian Sea. Sampling was performed monthly from November 2019 to February 2020. Although the study was originally designed to cover a continuous six-month period extending to April 2020, subsequent sampling could not be undertaken because of restrictions imposed during the COVID-19 pandemic.</w:t>
      </w:r>
    </w:p>
    <w:p w14:paraId="779EA363" w14:textId="77777777" w:rsidR="006B344A" w:rsidRPr="006B344A" w:rsidRDefault="006B344A" w:rsidP="006B344A">
      <w:pPr>
        <w:jc w:val="both"/>
        <w:rPr>
          <w:rFonts w:ascii="Arial" w:hAnsi="Arial" w:cs="Arial"/>
          <w:sz w:val="20"/>
          <w:szCs w:val="20"/>
        </w:rPr>
      </w:pPr>
      <w:r>
        <w:rPr>
          <w:highlight w:val="yellow"/>
        </w:rPr>
        <w:t>Sampling was carried out in the early morning hours (between 05:00 and 08:00 h) in active fishing and non-fishing zones without disturbing fishing activities.</w:t>
      </w:r>
    </w:p>
    <w:p w14:paraId="1BEF0680"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2.2 Identification of Fishing Zones</w:t>
      </w:r>
    </w:p>
    <w:p w14:paraId="3BD927F4" w14:textId="77777777" w:rsidR="006B344A" w:rsidRPr="006B344A" w:rsidRDefault="006B344A" w:rsidP="006B344A">
      <w:pPr>
        <w:jc w:val="both"/>
        <w:rPr>
          <w:rFonts w:ascii="Arial" w:hAnsi="Arial" w:cs="Arial"/>
          <w:sz w:val="20"/>
          <w:szCs w:val="20"/>
        </w:rPr>
      </w:pPr>
      <w:r>
        <w:rPr>
          <w:highlight w:val="yellow"/>
        </w:rPr>
        <w:t>Active fishing zones were identified based on the Indigenous Traditional Knowledge (ITK) of experienced local fishermen, in combination with acoustic observations obtained using a GPS-coupled fish finder (TF350 Plus). The extent and location of active fishing zones change throughout the day because of the dynamic nature of the ocean. Non-fishing zones were selected from adjacent coastal waters that lacked active fishing operations and visible fish shoals during the sampling period.</w:t>
      </w:r>
    </w:p>
    <w:p w14:paraId="14DE921C"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2.3 Phytoplankton Collection and Analysis</w:t>
      </w:r>
    </w:p>
    <w:p w14:paraId="3998072D" w14:textId="77777777" w:rsidR="006B344A" w:rsidRDefault="006B344A" w:rsidP="006B344A">
      <w:pPr>
        <w:jc w:val="both"/>
        <w:rPr>
          <w:rFonts w:ascii="Arial" w:eastAsia="Arial" w:hAnsi="Arial" w:cs="Arial"/>
          <w:sz w:val="20"/>
          <w:szCs w:val="20"/>
        </w:rPr>
      </w:pPr>
      <w:r>
        <w:rPr>
          <w:highlight w:val="yellow"/>
        </w:rPr>
        <w:t>Phytoplankton samples were collected by filtering 1 L of surface seawater through 20 µm bolting silk. Samples were preserved in 1% Lugol’s iodine and 3% neutralised formaldehyde solution. Qualitative and quantitative analyses were carried out using a Sedgwick-Rafter counting chamber under a trinocular microscope (LM 52-1803), at 10×, 20×, and 40× magnifications, following the National Institute of Oceanography (NIO, 2004). Cell counts were performed in triplicate, and phytoplankton density was estimated using the following formula:</w:t>
      </w:r>
    </w:p>
    <w:p w14:paraId="18581C5F" w14:textId="77777777" w:rsidR="006B344A" w:rsidRPr="006B344A" w:rsidRDefault="006B344A" w:rsidP="006B344A">
      <w:pPr>
        <w:jc w:val="both"/>
        <w:rPr>
          <w:rFonts w:ascii="Arial" w:hAnsi="Arial" w:cs="Arial"/>
          <w:sz w:val="18"/>
          <w:szCs w:val="18"/>
        </w:rPr>
      </w:pPr>
      <m:oMathPara>
        <m:oMath>
          <m:r>
            <m:rPr>
              <m:sty m:val="p"/>
            </m:rPr>
            <w:rPr>
              <w:rFonts w:ascii="Cambria Math" w:hAnsi="Arial" w:cs="Arial"/>
              <w:color w:val="000000" w:themeColor="text1"/>
              <w:sz w:val="20"/>
              <w:szCs w:val="20"/>
            </w:rPr>
            <m:t>N=</m:t>
          </m:r>
          <m:f>
            <m:fPr>
              <m:ctrlPr>
                <w:rPr>
                  <w:rFonts w:ascii="Cambria Math" w:hAnsi="Arial" w:cs="Arial"/>
                  <w:color w:val="000000" w:themeColor="text1"/>
                  <w:sz w:val="20"/>
                  <w:szCs w:val="20"/>
                </w:rPr>
              </m:ctrlPr>
            </m:fPr>
            <m:num>
              <m:r>
                <m:rPr>
                  <m:sty m:val="p"/>
                </m:rPr>
                <w:rPr>
                  <w:rFonts w:ascii="Cambria Math" w:hAnsi="Arial" w:cs="Arial"/>
                  <w:color w:val="000000" w:themeColor="text1"/>
                  <w:sz w:val="20"/>
                  <w:szCs w:val="20"/>
                </w:rPr>
                <m:t>n</m:t>
              </m:r>
              <m:r>
                <m:rPr>
                  <m:sty m:val="p"/>
                </m:rPr>
                <w:rPr>
                  <w:rFonts w:ascii="Arial" w:hAnsi="Arial" w:cs="Arial"/>
                  <w:color w:val="000000" w:themeColor="text1"/>
                  <w:sz w:val="20"/>
                  <w:szCs w:val="20"/>
                </w:rPr>
                <m:t>×</m:t>
              </m:r>
              <m:r>
                <m:rPr>
                  <m:sty m:val="p"/>
                </m:rPr>
                <w:rPr>
                  <w:rFonts w:ascii="Cambria Math" w:hAnsi="Arial" w:cs="Arial"/>
                  <w:color w:val="000000" w:themeColor="text1"/>
                  <w:sz w:val="20"/>
                  <w:szCs w:val="20"/>
                </w:rPr>
                <m:t>v</m:t>
              </m:r>
            </m:num>
            <m:den>
              <m:r>
                <m:rPr>
                  <m:sty m:val="p"/>
                </m:rPr>
                <w:rPr>
                  <w:rFonts w:ascii="Cambria Math" w:hAnsi="Arial" w:cs="Arial"/>
                  <w:color w:val="000000" w:themeColor="text1"/>
                  <w:sz w:val="20"/>
                  <w:szCs w:val="20"/>
                </w:rPr>
                <m:t>1000</m:t>
              </m:r>
            </m:den>
          </m:f>
        </m:oMath>
      </m:oMathPara>
    </w:p>
    <w:p w14:paraId="074525E2" w14:textId="77777777" w:rsidR="006B344A" w:rsidRPr="006B344A" w:rsidRDefault="006B344A" w:rsidP="006B344A">
      <w:pPr>
        <w:jc w:val="both"/>
        <w:rPr>
          <w:rFonts w:ascii="Arial" w:hAnsi="Arial" w:cs="Arial"/>
          <w:sz w:val="20"/>
          <w:szCs w:val="20"/>
        </w:rPr>
      </w:pPr>
      <w:r>
        <w:rPr>
          <w:rFonts w:ascii="Times New Roman" w:hAnsi="Times New Roman"/>
          <w:sz w:val="22"/>
          <w:highlight w:val="yellow"/>
        </w:rPr>
        <w:t>where N is the total phytoplankton abundance (cells L⁻¹), n is the average cell count, v is the concentrate volume (mL), and V is the volume of water filtered (L).</w:t>
      </w:r>
    </w:p>
    <w:p w14:paraId="02CAF984"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2.4 Zooplankton Collection and Analysis</w:t>
      </w:r>
    </w:p>
    <w:p w14:paraId="3FD2E916" w14:textId="77777777" w:rsidR="006B344A" w:rsidRDefault="006B344A" w:rsidP="006B344A">
      <w:pPr>
        <w:jc w:val="both"/>
        <w:rPr>
          <w:rFonts w:ascii="Arial" w:eastAsia="Arial" w:hAnsi="Arial" w:cs="Arial"/>
          <w:sz w:val="20"/>
          <w:szCs w:val="20"/>
        </w:rPr>
      </w:pPr>
      <w:r>
        <w:rPr>
          <w:highlight w:val="yellow"/>
        </w:rPr>
        <w:lastRenderedPageBreak/>
        <w:t>Zooplankton samples were collected by filtering 5 L of surface seawater through a 200 µm plankton net and preserved in 4% buffered formalin. Quantitative analysis was performed using a Sedgwick-Rafter counting chamber, following NIO (2004). Zooplankton biomass was estimated using the displacement volume method (Tranter, 1960) and expressed as mL m⁻³ using:</w:t>
      </w:r>
    </w:p>
    <w:p w14:paraId="1944CA50" w14:textId="77777777" w:rsidR="006B344A" w:rsidRPr="006B344A" w:rsidRDefault="006B344A" w:rsidP="006B344A">
      <w:pPr>
        <w:jc w:val="both"/>
        <w:rPr>
          <w:rFonts w:ascii="Arial" w:hAnsi="Arial" w:cs="Arial"/>
          <w:color w:val="000000" w:themeColor="text1"/>
          <w:sz w:val="20"/>
          <w:szCs w:val="20"/>
        </w:rPr>
      </w:pPr>
      <m:oMathPara>
        <m:oMath>
          <m:r>
            <m:rPr>
              <m:nor/>
            </m:rPr>
            <w:rPr>
              <w:rFonts w:ascii="Arial" w:hAnsi="Arial" w:cs="Arial"/>
              <w:color w:val="000000" w:themeColor="text1"/>
              <w:sz w:val="20"/>
              <w:szCs w:val="20"/>
            </w:rPr>
            <m:t>Zooplankton Biomass</m:t>
          </m:r>
          <m:r>
            <m:rPr>
              <m:sty m:val="p"/>
            </m:rPr>
            <w:rPr>
              <w:rFonts w:ascii="Cambria Math" w:hAnsi="Arial" w:cs="Arial"/>
              <w:color w:val="000000" w:themeColor="text1"/>
              <w:sz w:val="20"/>
              <w:szCs w:val="20"/>
            </w:rPr>
            <m:t>=</m:t>
          </m:r>
          <m:f>
            <m:fPr>
              <m:ctrlPr>
                <w:rPr>
                  <w:rFonts w:ascii="Cambria Math" w:hAnsi="Arial" w:cs="Arial"/>
                  <w:color w:val="000000" w:themeColor="text1"/>
                  <w:sz w:val="20"/>
                  <w:szCs w:val="20"/>
                </w:rPr>
              </m:ctrlPr>
            </m:fPr>
            <m:num>
              <m:r>
                <m:rPr>
                  <m:nor/>
                </m:rPr>
                <w:rPr>
                  <w:rFonts w:ascii="Arial" w:hAnsi="Arial" w:cs="Arial"/>
                  <w:color w:val="000000" w:themeColor="text1"/>
                  <w:sz w:val="20"/>
                  <w:szCs w:val="20"/>
                </w:rPr>
                <m:t>Total Volume of Zooplankton</m:t>
              </m:r>
            </m:num>
            <m:den>
              <m:r>
                <m:rPr>
                  <m:nor/>
                </m:rPr>
                <w:rPr>
                  <w:rFonts w:ascii="Arial" w:hAnsi="Arial" w:cs="Arial"/>
                  <w:color w:val="000000" w:themeColor="text1"/>
                  <w:sz w:val="20"/>
                  <w:szCs w:val="20"/>
                </w:rPr>
                <m:t>Volume of Water Filtered</m:t>
              </m:r>
            </m:den>
          </m:f>
        </m:oMath>
      </m:oMathPara>
    </w:p>
    <w:p w14:paraId="7F1216F5" w14:textId="77777777" w:rsidR="006B344A" w:rsidRPr="006B344A" w:rsidRDefault="006B344A" w:rsidP="006B344A">
      <w:pPr>
        <w:jc w:val="both"/>
        <w:rPr>
          <w:rFonts w:ascii="Arial" w:hAnsi="Arial" w:cs="Arial"/>
          <w:b/>
          <w:bCs/>
          <w:sz w:val="20"/>
          <w:szCs w:val="20"/>
        </w:rPr>
      </w:pPr>
      <w:r>
        <w:rPr>
          <w:rFonts w:ascii="Times New Roman" w:hAnsi="Times New Roman"/>
          <w:b/>
          <w:sz w:val="22"/>
          <w:highlight w:val="yellow"/>
        </w:rPr>
        <w:t>2.5 Physicochemical Parameters</w:t>
      </w:r>
    </w:p>
    <w:p w14:paraId="7407A22C" w14:textId="77777777" w:rsidR="006B344A" w:rsidRPr="006B344A" w:rsidRDefault="006B344A" w:rsidP="006B344A">
      <w:pPr>
        <w:jc w:val="both"/>
        <w:rPr>
          <w:rFonts w:ascii="Arial" w:hAnsi="Arial" w:cs="Arial"/>
          <w:sz w:val="20"/>
          <w:szCs w:val="20"/>
        </w:rPr>
      </w:pPr>
      <w:r>
        <w:rPr>
          <w:highlight w:val="yellow"/>
        </w:rPr>
        <w:t>Water temperature, salinity, and pH were measured in situ using a digital thermometer (HI98501), a handheld refractometer (DIGI AUTO), and a pre-calibrated digital pH meter (Mettler Toledo).</w:t>
      </w:r>
    </w:p>
    <w:p w14:paraId="63E564D9" w14:textId="77777777" w:rsidR="006B344A" w:rsidRPr="006B344A" w:rsidRDefault="006B344A" w:rsidP="006B344A">
      <w:pPr>
        <w:jc w:val="both"/>
        <w:rPr>
          <w:rFonts w:ascii="Arial" w:eastAsia="Arial" w:hAnsi="Arial" w:cs="Arial"/>
          <w:sz w:val="20"/>
          <w:szCs w:val="20"/>
        </w:rPr>
      </w:pPr>
      <w:r>
        <w:rPr>
          <w:highlight w:val="yellow"/>
        </w:rPr>
        <w:t xml:space="preserve">Water samples were collected using a </w:t>
      </w:r>
      <w:proofErr w:type="spellStart"/>
      <w:r>
        <w:rPr>
          <w:highlight w:val="yellow"/>
        </w:rPr>
        <w:t>Niskin</w:t>
      </w:r>
      <w:proofErr w:type="spellEnd"/>
      <w:r>
        <w:rPr>
          <w:highlight w:val="yellow"/>
        </w:rPr>
        <w:t xml:space="preserve"> sampler and transported to the laboratory under refrigeration. Dissolved oxygen (DO) samples were fixed on board using Winkler’s reagents. DO was estimated following the Winkler iodometric titration method (Wilkin et al., 2001).</w:t>
      </w:r>
    </w:p>
    <w:p w14:paraId="725AC434" w14:textId="77777777" w:rsidR="006B344A" w:rsidRPr="006B344A" w:rsidRDefault="006B344A" w:rsidP="006B344A">
      <w:pPr>
        <w:pStyle w:val="NoSpacing"/>
        <w:jc w:val="both"/>
        <w:rPr>
          <w:rFonts w:ascii="Arial" w:hAnsi="Arial" w:cs="Arial"/>
          <w:b/>
          <w:bCs/>
          <w:sz w:val="22"/>
          <w:szCs w:val="22"/>
        </w:rPr>
      </w:pPr>
      <w:r>
        <w:rPr>
          <w:rFonts w:ascii="Times New Roman" w:hAnsi="Times New Roman"/>
          <w:b/>
          <w:sz w:val="22"/>
          <w:highlight w:val="yellow"/>
        </w:rPr>
        <w:t>3. RESULTS AND DISCUSSION</w:t>
      </w:r>
    </w:p>
    <w:p w14:paraId="1F25E3E5" w14:textId="77777777" w:rsidR="006B344A" w:rsidRDefault="00653939" w:rsidP="006B344A">
      <w:pPr>
        <w:jc w:val="both"/>
        <w:rPr>
          <w:rFonts w:ascii="Arial" w:hAnsi="Arial" w:cs="Arial"/>
          <w:b/>
          <w:bCs/>
          <w:sz w:val="20"/>
          <w:szCs w:val="20"/>
        </w:rPr>
      </w:pPr>
      <w:r>
        <w:rPr>
          <w:highlight w:val="yellow"/>
        </w:rPr>
        <w:t xml:space="preserve">Figure 1. Physicochemical parameters: a. Temperature; b. Salinity; c. pH; d. Dissolved oxygen; e. Ammonia; f. Nitrate; g. Nitrite; h. Phosphate; </w:t>
      </w:r>
      <w:proofErr w:type="spellStart"/>
      <w:r>
        <w:rPr>
          <w:highlight w:val="yellow"/>
        </w:rPr>
        <w:t>i</w:t>
      </w:r>
      <w:proofErr w:type="spellEnd"/>
      <w:r>
        <w:rPr>
          <w:highlight w:val="yellow"/>
        </w:rPr>
        <w:t>. Silicate.</w:t>
      </w:r>
    </w:p>
    <w:p w14:paraId="0BA49C57" w14:textId="77777777" w:rsidR="00382D7E" w:rsidRPr="006B344A" w:rsidRDefault="00382D7E" w:rsidP="006B344A">
      <w:pPr>
        <w:jc w:val="both"/>
        <w:rPr>
          <w:rFonts w:ascii="Arial" w:hAnsi="Arial" w:cs="Arial"/>
          <w:b/>
          <w:bCs/>
          <w:sz w:val="20"/>
          <w:szCs w:val="20"/>
        </w:rPr>
      </w:pPr>
    </w:p>
    <w:p w14:paraId="450E6868" w14:textId="77777777" w:rsidR="006B344A" w:rsidRPr="000F52CA" w:rsidRDefault="006B344A" w:rsidP="000F52CA">
      <w:pPr>
        <w:pStyle w:val="ListParagraph"/>
        <w:numPr>
          <w:ilvl w:val="0"/>
          <w:numId w:val="1"/>
        </w:numPr>
        <w:jc w:val="center"/>
        <w:rPr>
          <w:rFonts w:ascii="Arial" w:hAnsi="Arial" w:cs="Arial"/>
          <w:sz w:val="20"/>
          <w:szCs w:val="20"/>
        </w:rPr>
      </w:pPr>
      <w:r w:rsidRPr="006B344A">
        <w:rPr>
          <w:noProof/>
          <w:lang w:val="en-US"/>
        </w:rPr>
        <w:drawing>
          <wp:inline distT="0" distB="0" distL="0" distR="0" wp14:anchorId="1BC1853F" wp14:editId="6A218F49">
            <wp:extent cx="4470400" cy="1454150"/>
            <wp:effectExtent l="19050" t="0" r="2540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C83D77" w14:textId="77777777" w:rsidR="006B344A" w:rsidRPr="000F52CA" w:rsidRDefault="006B344A" w:rsidP="000F52CA">
      <w:pPr>
        <w:pStyle w:val="ListParagraph"/>
        <w:numPr>
          <w:ilvl w:val="0"/>
          <w:numId w:val="1"/>
        </w:numPr>
        <w:jc w:val="center"/>
        <w:rPr>
          <w:rFonts w:ascii="Arial" w:hAnsi="Arial" w:cs="Arial"/>
          <w:sz w:val="20"/>
          <w:szCs w:val="20"/>
        </w:rPr>
      </w:pPr>
      <w:r w:rsidRPr="006B344A">
        <w:rPr>
          <w:noProof/>
          <w:lang w:val="en-US"/>
        </w:rPr>
        <w:drawing>
          <wp:inline distT="0" distB="0" distL="0" distR="0" wp14:anchorId="2482D5B6" wp14:editId="4A4D7A10">
            <wp:extent cx="4470400" cy="1409700"/>
            <wp:effectExtent l="19050" t="0" r="25400" b="0"/>
            <wp:docPr id="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EAD659" w14:textId="77777777" w:rsidR="006B344A" w:rsidRPr="000F52CA" w:rsidRDefault="006B344A" w:rsidP="000F52CA">
      <w:pPr>
        <w:pStyle w:val="ListParagraph"/>
        <w:numPr>
          <w:ilvl w:val="0"/>
          <w:numId w:val="1"/>
        </w:numPr>
        <w:jc w:val="center"/>
        <w:rPr>
          <w:rFonts w:ascii="Arial" w:hAnsi="Arial" w:cs="Arial"/>
          <w:sz w:val="20"/>
          <w:szCs w:val="20"/>
        </w:rPr>
      </w:pPr>
      <w:r w:rsidRPr="006B344A">
        <w:rPr>
          <w:noProof/>
          <w:lang w:val="en-US"/>
        </w:rPr>
        <w:lastRenderedPageBreak/>
        <w:drawing>
          <wp:inline distT="0" distB="0" distL="0" distR="0" wp14:anchorId="19509494" wp14:editId="4360A04C">
            <wp:extent cx="4470400" cy="1447800"/>
            <wp:effectExtent l="19050" t="0" r="25400" b="0"/>
            <wp:docPr id="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2DDF2F" w14:textId="77777777" w:rsidR="006B344A" w:rsidRPr="000F52CA" w:rsidRDefault="006B344A" w:rsidP="000F52CA">
      <w:pPr>
        <w:pStyle w:val="ListParagraph"/>
        <w:numPr>
          <w:ilvl w:val="0"/>
          <w:numId w:val="1"/>
        </w:numPr>
        <w:jc w:val="center"/>
        <w:rPr>
          <w:rFonts w:ascii="Arial" w:hAnsi="Arial" w:cs="Arial"/>
          <w:sz w:val="20"/>
          <w:szCs w:val="20"/>
        </w:rPr>
      </w:pPr>
      <w:r w:rsidRPr="006B344A">
        <w:rPr>
          <w:noProof/>
          <w:lang w:val="en-US"/>
        </w:rPr>
        <w:drawing>
          <wp:inline distT="0" distB="0" distL="0" distR="0" wp14:anchorId="6CF255BA" wp14:editId="27CFC3C6">
            <wp:extent cx="4470400" cy="1562100"/>
            <wp:effectExtent l="19050" t="0" r="2540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D7F986" w14:textId="77777777" w:rsidR="006B344A" w:rsidRPr="000F52CA" w:rsidRDefault="006B344A" w:rsidP="000F52CA">
      <w:pPr>
        <w:pStyle w:val="ListParagraph"/>
        <w:numPr>
          <w:ilvl w:val="0"/>
          <w:numId w:val="1"/>
        </w:numPr>
        <w:jc w:val="center"/>
        <w:rPr>
          <w:rFonts w:ascii="Arial" w:hAnsi="Arial" w:cs="Arial"/>
          <w:sz w:val="20"/>
          <w:szCs w:val="20"/>
        </w:rPr>
      </w:pPr>
      <w:r w:rsidRPr="006B344A">
        <w:rPr>
          <w:noProof/>
          <w:lang w:val="en-US"/>
        </w:rPr>
        <w:drawing>
          <wp:inline distT="0" distB="0" distL="0" distR="0" wp14:anchorId="68963880" wp14:editId="660281D4">
            <wp:extent cx="4470400" cy="1587500"/>
            <wp:effectExtent l="19050" t="0" r="25400" b="0"/>
            <wp:docPr id="1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8C4F71" w14:textId="77777777" w:rsidR="006B344A" w:rsidRPr="000F52CA" w:rsidRDefault="006B344A" w:rsidP="000F52CA">
      <w:pPr>
        <w:pStyle w:val="ListParagraph"/>
        <w:numPr>
          <w:ilvl w:val="0"/>
          <w:numId w:val="1"/>
        </w:numPr>
        <w:jc w:val="center"/>
        <w:rPr>
          <w:rFonts w:ascii="Arial" w:hAnsi="Arial" w:cs="Arial"/>
          <w:sz w:val="20"/>
          <w:szCs w:val="20"/>
        </w:rPr>
      </w:pPr>
      <w:r w:rsidRPr="006B344A">
        <w:rPr>
          <w:noProof/>
          <w:lang w:val="en-US"/>
        </w:rPr>
        <w:drawing>
          <wp:inline distT="0" distB="0" distL="0" distR="0" wp14:anchorId="093BA179" wp14:editId="4FAE514F">
            <wp:extent cx="4470400" cy="1536700"/>
            <wp:effectExtent l="19050" t="0" r="25400" b="635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D059A6" w14:textId="77777777" w:rsidR="006B344A" w:rsidRPr="006B344A" w:rsidRDefault="000F52CA" w:rsidP="006B344A">
      <w:pPr>
        <w:jc w:val="center"/>
        <w:rPr>
          <w:rFonts w:ascii="Arial" w:hAnsi="Arial" w:cs="Arial"/>
          <w:sz w:val="20"/>
          <w:szCs w:val="20"/>
        </w:rPr>
      </w:pPr>
      <w:r>
        <w:rPr>
          <w:rFonts w:ascii="Arial" w:hAnsi="Arial" w:cs="Arial"/>
          <w:sz w:val="20"/>
          <w:szCs w:val="20"/>
        </w:rPr>
        <w:t>g.</w:t>
      </w:r>
      <w:r w:rsidR="006B344A" w:rsidRPr="006B344A">
        <w:rPr>
          <w:rFonts w:ascii="Arial" w:hAnsi="Arial" w:cs="Arial"/>
          <w:noProof/>
          <w:sz w:val="20"/>
          <w:szCs w:val="20"/>
          <w:lang w:val="en-US"/>
        </w:rPr>
        <w:drawing>
          <wp:inline distT="0" distB="0" distL="0" distR="0" wp14:anchorId="6D721FEF" wp14:editId="4E4004AA">
            <wp:extent cx="4470400" cy="1377950"/>
            <wp:effectExtent l="19050" t="0" r="25400" b="0"/>
            <wp:docPr id="19"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0C069B" w14:textId="77777777" w:rsidR="006B344A" w:rsidRPr="006B344A" w:rsidRDefault="000F52CA" w:rsidP="006B344A">
      <w:pPr>
        <w:jc w:val="center"/>
        <w:rPr>
          <w:rFonts w:ascii="Arial" w:hAnsi="Arial" w:cs="Arial"/>
          <w:sz w:val="20"/>
          <w:szCs w:val="20"/>
        </w:rPr>
      </w:pPr>
      <w:r>
        <w:rPr>
          <w:rFonts w:ascii="Arial" w:hAnsi="Arial" w:cs="Arial"/>
          <w:sz w:val="20"/>
          <w:szCs w:val="20"/>
        </w:rPr>
        <w:lastRenderedPageBreak/>
        <w:t xml:space="preserve">h </w:t>
      </w:r>
      <w:r w:rsidR="006B344A" w:rsidRPr="006B344A">
        <w:rPr>
          <w:rFonts w:ascii="Arial" w:hAnsi="Arial" w:cs="Arial"/>
          <w:noProof/>
          <w:sz w:val="20"/>
          <w:szCs w:val="20"/>
          <w:lang w:val="en-US"/>
        </w:rPr>
        <w:drawing>
          <wp:inline distT="0" distB="0" distL="0" distR="0" wp14:anchorId="08FFDCE1" wp14:editId="5AC96586">
            <wp:extent cx="4443095" cy="1536700"/>
            <wp:effectExtent l="19050" t="0" r="14605" b="6350"/>
            <wp:docPr id="22"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661EDB" w14:textId="77777777" w:rsidR="006B344A" w:rsidRPr="000F52CA" w:rsidRDefault="006B344A" w:rsidP="000F52CA">
      <w:pPr>
        <w:pStyle w:val="ListParagraph"/>
        <w:numPr>
          <w:ilvl w:val="0"/>
          <w:numId w:val="2"/>
        </w:numPr>
        <w:jc w:val="center"/>
        <w:rPr>
          <w:rFonts w:ascii="Arial" w:hAnsi="Arial" w:cs="Arial"/>
          <w:sz w:val="20"/>
          <w:szCs w:val="20"/>
        </w:rPr>
      </w:pPr>
      <w:r w:rsidRPr="006B344A">
        <w:rPr>
          <w:noProof/>
          <w:lang w:val="en-US"/>
        </w:rPr>
        <w:drawing>
          <wp:inline distT="0" distB="0" distL="0" distR="0" wp14:anchorId="7B48B1F3" wp14:editId="2EDFA32D">
            <wp:extent cx="4443095" cy="1606550"/>
            <wp:effectExtent l="19050" t="0" r="14605" b="0"/>
            <wp:docPr id="2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BA9A64" w14:textId="77777777" w:rsidR="006B344A" w:rsidRPr="006B344A" w:rsidRDefault="00653939" w:rsidP="006B344A">
      <w:pPr>
        <w:jc w:val="both"/>
        <w:rPr>
          <w:rFonts w:ascii="Arial" w:hAnsi="Arial" w:cs="Arial"/>
          <w:b/>
          <w:bCs/>
          <w:sz w:val="20"/>
          <w:szCs w:val="20"/>
        </w:rPr>
      </w:pPr>
      <w:r>
        <w:rPr>
          <w:highlight w:val="yellow"/>
        </w:rPr>
        <w:t>Figure 2. Abundance of phytoplankton.</w:t>
      </w:r>
    </w:p>
    <w:p w14:paraId="74C1B834"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5483BE67" wp14:editId="5D2C5314">
            <wp:extent cx="5276850" cy="1911350"/>
            <wp:effectExtent l="19050" t="0" r="1905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C4A6D7" w14:textId="77777777" w:rsidR="006B344A" w:rsidRPr="006B344A" w:rsidRDefault="00653939" w:rsidP="006B344A">
      <w:pPr>
        <w:jc w:val="both"/>
        <w:rPr>
          <w:rFonts w:ascii="Arial" w:hAnsi="Arial" w:cs="Arial"/>
          <w:b/>
          <w:bCs/>
          <w:sz w:val="20"/>
          <w:szCs w:val="20"/>
        </w:rPr>
      </w:pPr>
      <w:r>
        <w:rPr>
          <w:highlight w:val="yellow"/>
        </w:rPr>
        <w:t>Figure 3. Abundance of zooplankton.</w:t>
      </w:r>
    </w:p>
    <w:p w14:paraId="01415B01"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087C020E" wp14:editId="18679A1F">
            <wp:extent cx="5276850" cy="1924050"/>
            <wp:effectExtent l="19050" t="0" r="1905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4CE11F" w14:textId="77777777" w:rsidR="006B344A" w:rsidRPr="006B344A" w:rsidRDefault="006B344A" w:rsidP="006B344A">
      <w:pPr>
        <w:jc w:val="both"/>
        <w:rPr>
          <w:rFonts w:ascii="Arial" w:hAnsi="Arial" w:cs="Arial"/>
          <w:sz w:val="20"/>
          <w:szCs w:val="20"/>
        </w:rPr>
      </w:pPr>
    </w:p>
    <w:p w14:paraId="77653F19" w14:textId="77777777" w:rsidR="006B344A" w:rsidRPr="006B344A" w:rsidRDefault="006B344A" w:rsidP="006B344A">
      <w:pPr>
        <w:jc w:val="center"/>
        <w:rPr>
          <w:rFonts w:ascii="Arial" w:hAnsi="Arial" w:cs="Arial"/>
          <w:b/>
          <w:bCs/>
          <w:sz w:val="20"/>
          <w:szCs w:val="20"/>
        </w:rPr>
      </w:pPr>
      <w:r>
        <w:rPr>
          <w:highlight w:val="yellow"/>
        </w:rPr>
        <w:t>Table 1. Zooplankton abundance versus various water quality parameters among the fishing zones.</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5"/>
        <w:gridCol w:w="687"/>
        <w:gridCol w:w="643"/>
        <w:gridCol w:w="606"/>
        <w:gridCol w:w="684"/>
        <w:gridCol w:w="665"/>
        <w:gridCol w:w="643"/>
        <w:gridCol w:w="625"/>
        <w:gridCol w:w="671"/>
        <w:gridCol w:w="664"/>
        <w:gridCol w:w="390"/>
      </w:tblGrid>
      <w:tr w:rsidR="006B344A" w:rsidRPr="006B344A" w14:paraId="48DBA825" w14:textId="77777777" w:rsidTr="00767612">
        <w:trPr>
          <w:trHeight w:val="257"/>
          <w:jc w:val="center"/>
        </w:trPr>
        <w:tc>
          <w:tcPr>
            <w:tcW w:w="985" w:type="dxa"/>
            <w:noWrap/>
            <w:vAlign w:val="center"/>
            <w:hideMark/>
          </w:tcPr>
          <w:p w14:paraId="0232896A" w14:textId="77777777" w:rsidR="006B344A" w:rsidRPr="006B344A" w:rsidRDefault="006B344A" w:rsidP="006B344A">
            <w:pPr>
              <w:jc w:val="both"/>
              <w:rPr>
                <w:rFonts w:ascii="Arial" w:hAnsi="Arial" w:cs="Arial"/>
                <w:sz w:val="12"/>
                <w:szCs w:val="12"/>
                <w:lang w:eastAsia="en-IN" w:bidi="hi-IN"/>
              </w:rPr>
            </w:pPr>
          </w:p>
        </w:tc>
        <w:tc>
          <w:tcPr>
            <w:tcW w:w="985" w:type="dxa"/>
            <w:noWrap/>
            <w:vAlign w:val="center"/>
            <w:hideMark/>
          </w:tcPr>
          <w:p w14:paraId="67CE473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687" w:type="dxa"/>
            <w:noWrap/>
            <w:vAlign w:val="center"/>
            <w:hideMark/>
          </w:tcPr>
          <w:p w14:paraId="6F8E695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643" w:type="dxa"/>
            <w:noWrap/>
            <w:vAlign w:val="center"/>
            <w:hideMark/>
          </w:tcPr>
          <w:p w14:paraId="456CEC9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606" w:type="dxa"/>
            <w:noWrap/>
            <w:vAlign w:val="center"/>
            <w:hideMark/>
          </w:tcPr>
          <w:p w14:paraId="7EBDA54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684" w:type="dxa"/>
            <w:noWrap/>
            <w:vAlign w:val="center"/>
            <w:hideMark/>
          </w:tcPr>
          <w:p w14:paraId="4C7ADD7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665" w:type="dxa"/>
            <w:noWrap/>
            <w:vAlign w:val="center"/>
            <w:hideMark/>
          </w:tcPr>
          <w:p w14:paraId="208E6F6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643" w:type="dxa"/>
            <w:noWrap/>
            <w:vAlign w:val="center"/>
            <w:hideMark/>
          </w:tcPr>
          <w:p w14:paraId="1354881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625" w:type="dxa"/>
            <w:noWrap/>
            <w:vAlign w:val="center"/>
            <w:hideMark/>
          </w:tcPr>
          <w:p w14:paraId="2CF6247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671" w:type="dxa"/>
            <w:noWrap/>
            <w:vAlign w:val="center"/>
            <w:hideMark/>
          </w:tcPr>
          <w:p w14:paraId="79E0B21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664" w:type="dxa"/>
            <w:noWrap/>
            <w:vAlign w:val="center"/>
            <w:hideMark/>
          </w:tcPr>
          <w:p w14:paraId="3C1D925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390" w:type="dxa"/>
            <w:noWrap/>
            <w:vAlign w:val="center"/>
            <w:hideMark/>
          </w:tcPr>
          <w:p w14:paraId="5584206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r>
      <w:tr w:rsidR="006B344A" w:rsidRPr="006B344A" w14:paraId="216B99C1" w14:textId="77777777" w:rsidTr="00767612">
        <w:trPr>
          <w:trHeight w:val="257"/>
          <w:jc w:val="center"/>
        </w:trPr>
        <w:tc>
          <w:tcPr>
            <w:tcW w:w="985" w:type="dxa"/>
            <w:noWrap/>
            <w:vAlign w:val="center"/>
            <w:hideMark/>
          </w:tcPr>
          <w:p w14:paraId="2DCE6B0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985" w:type="dxa"/>
            <w:noWrap/>
            <w:vAlign w:val="center"/>
            <w:hideMark/>
          </w:tcPr>
          <w:p w14:paraId="62ECF8B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87" w:type="dxa"/>
            <w:noWrap/>
            <w:vAlign w:val="center"/>
            <w:hideMark/>
          </w:tcPr>
          <w:p w14:paraId="380E19B0"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0FFC37ED" w14:textId="77777777" w:rsidR="006B344A" w:rsidRPr="006B344A" w:rsidRDefault="006B344A" w:rsidP="006B344A">
            <w:pPr>
              <w:jc w:val="both"/>
              <w:rPr>
                <w:rFonts w:ascii="Arial" w:hAnsi="Arial" w:cs="Arial"/>
                <w:sz w:val="12"/>
                <w:szCs w:val="12"/>
                <w:lang w:eastAsia="en-IN" w:bidi="hi-IN"/>
              </w:rPr>
            </w:pPr>
          </w:p>
        </w:tc>
        <w:tc>
          <w:tcPr>
            <w:tcW w:w="606" w:type="dxa"/>
            <w:noWrap/>
            <w:vAlign w:val="center"/>
            <w:hideMark/>
          </w:tcPr>
          <w:p w14:paraId="59FA4168" w14:textId="77777777" w:rsidR="006B344A" w:rsidRPr="006B344A" w:rsidRDefault="006B344A" w:rsidP="006B344A">
            <w:pPr>
              <w:jc w:val="both"/>
              <w:rPr>
                <w:rFonts w:ascii="Arial" w:hAnsi="Arial" w:cs="Arial"/>
                <w:sz w:val="12"/>
                <w:szCs w:val="12"/>
                <w:lang w:eastAsia="en-IN" w:bidi="hi-IN"/>
              </w:rPr>
            </w:pPr>
          </w:p>
        </w:tc>
        <w:tc>
          <w:tcPr>
            <w:tcW w:w="684" w:type="dxa"/>
            <w:noWrap/>
            <w:vAlign w:val="center"/>
            <w:hideMark/>
          </w:tcPr>
          <w:p w14:paraId="70AC2977"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17BFAFA5"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2FC218B2"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443A30A4"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0768E477"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5E115763"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5A52469B" w14:textId="77777777" w:rsidR="006B344A" w:rsidRPr="006B344A" w:rsidRDefault="006B344A" w:rsidP="006B344A">
            <w:pPr>
              <w:jc w:val="both"/>
              <w:rPr>
                <w:rFonts w:ascii="Arial" w:hAnsi="Arial" w:cs="Arial"/>
                <w:sz w:val="12"/>
                <w:szCs w:val="12"/>
                <w:lang w:eastAsia="en-IN" w:bidi="hi-IN"/>
              </w:rPr>
            </w:pPr>
          </w:p>
        </w:tc>
      </w:tr>
      <w:tr w:rsidR="006B344A" w:rsidRPr="006B344A" w14:paraId="0D8EF459" w14:textId="77777777" w:rsidTr="00767612">
        <w:trPr>
          <w:trHeight w:val="257"/>
          <w:jc w:val="center"/>
        </w:trPr>
        <w:tc>
          <w:tcPr>
            <w:tcW w:w="985" w:type="dxa"/>
            <w:noWrap/>
            <w:vAlign w:val="center"/>
            <w:hideMark/>
          </w:tcPr>
          <w:p w14:paraId="37F634B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985" w:type="dxa"/>
            <w:noWrap/>
            <w:vAlign w:val="center"/>
            <w:hideMark/>
          </w:tcPr>
          <w:p w14:paraId="7B52164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0.062</w:t>
            </w:r>
          </w:p>
        </w:tc>
        <w:tc>
          <w:tcPr>
            <w:tcW w:w="687" w:type="dxa"/>
            <w:noWrap/>
            <w:vAlign w:val="center"/>
            <w:hideMark/>
          </w:tcPr>
          <w:p w14:paraId="172D263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43" w:type="dxa"/>
            <w:noWrap/>
            <w:vAlign w:val="center"/>
            <w:hideMark/>
          </w:tcPr>
          <w:p w14:paraId="3A1FDB08" w14:textId="77777777" w:rsidR="006B344A" w:rsidRPr="006B344A" w:rsidRDefault="006B344A" w:rsidP="006B344A">
            <w:pPr>
              <w:jc w:val="both"/>
              <w:rPr>
                <w:rFonts w:ascii="Arial" w:hAnsi="Arial" w:cs="Arial"/>
                <w:sz w:val="12"/>
                <w:szCs w:val="12"/>
                <w:lang w:eastAsia="en-IN" w:bidi="hi-IN"/>
              </w:rPr>
            </w:pPr>
          </w:p>
        </w:tc>
        <w:tc>
          <w:tcPr>
            <w:tcW w:w="606" w:type="dxa"/>
            <w:noWrap/>
            <w:vAlign w:val="center"/>
            <w:hideMark/>
          </w:tcPr>
          <w:p w14:paraId="73228D95" w14:textId="77777777" w:rsidR="006B344A" w:rsidRPr="006B344A" w:rsidRDefault="006B344A" w:rsidP="006B344A">
            <w:pPr>
              <w:jc w:val="both"/>
              <w:rPr>
                <w:rFonts w:ascii="Arial" w:hAnsi="Arial" w:cs="Arial"/>
                <w:sz w:val="12"/>
                <w:szCs w:val="12"/>
                <w:lang w:eastAsia="en-IN" w:bidi="hi-IN"/>
              </w:rPr>
            </w:pPr>
          </w:p>
        </w:tc>
        <w:tc>
          <w:tcPr>
            <w:tcW w:w="684" w:type="dxa"/>
            <w:noWrap/>
            <w:vAlign w:val="center"/>
            <w:hideMark/>
          </w:tcPr>
          <w:p w14:paraId="0F9E7881"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4D81AB94"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02A027E2"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5526B7C8"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496553B7"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4F497F14"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519CF5CF" w14:textId="77777777" w:rsidR="006B344A" w:rsidRPr="006B344A" w:rsidRDefault="006B344A" w:rsidP="006B344A">
            <w:pPr>
              <w:jc w:val="both"/>
              <w:rPr>
                <w:rFonts w:ascii="Arial" w:hAnsi="Arial" w:cs="Arial"/>
                <w:sz w:val="12"/>
                <w:szCs w:val="12"/>
                <w:lang w:eastAsia="en-IN" w:bidi="hi-IN"/>
              </w:rPr>
            </w:pPr>
          </w:p>
        </w:tc>
      </w:tr>
      <w:tr w:rsidR="006B344A" w:rsidRPr="006B344A" w14:paraId="7B71C091" w14:textId="77777777" w:rsidTr="00767612">
        <w:trPr>
          <w:trHeight w:val="257"/>
          <w:jc w:val="center"/>
        </w:trPr>
        <w:tc>
          <w:tcPr>
            <w:tcW w:w="985" w:type="dxa"/>
            <w:noWrap/>
            <w:vAlign w:val="center"/>
            <w:hideMark/>
          </w:tcPr>
          <w:p w14:paraId="4040AE4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985" w:type="dxa"/>
            <w:noWrap/>
            <w:vAlign w:val="center"/>
            <w:hideMark/>
          </w:tcPr>
          <w:p w14:paraId="0C69EF1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-0.140</w:t>
            </w:r>
          </w:p>
        </w:tc>
        <w:tc>
          <w:tcPr>
            <w:tcW w:w="687" w:type="dxa"/>
            <w:noWrap/>
            <w:vAlign w:val="center"/>
            <w:hideMark/>
          </w:tcPr>
          <w:p w14:paraId="570652B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-0.692</w:t>
            </w:r>
          </w:p>
        </w:tc>
        <w:tc>
          <w:tcPr>
            <w:tcW w:w="643" w:type="dxa"/>
            <w:noWrap/>
            <w:vAlign w:val="center"/>
            <w:hideMark/>
          </w:tcPr>
          <w:p w14:paraId="28A139D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06" w:type="dxa"/>
            <w:noWrap/>
            <w:vAlign w:val="center"/>
            <w:hideMark/>
          </w:tcPr>
          <w:p w14:paraId="4C3589E8" w14:textId="77777777" w:rsidR="006B344A" w:rsidRPr="006B344A" w:rsidRDefault="006B344A" w:rsidP="006B344A">
            <w:pPr>
              <w:jc w:val="both"/>
              <w:rPr>
                <w:rFonts w:ascii="Arial" w:hAnsi="Arial" w:cs="Arial"/>
                <w:sz w:val="12"/>
                <w:szCs w:val="12"/>
                <w:lang w:eastAsia="en-IN" w:bidi="hi-IN"/>
              </w:rPr>
            </w:pPr>
          </w:p>
        </w:tc>
        <w:tc>
          <w:tcPr>
            <w:tcW w:w="684" w:type="dxa"/>
            <w:noWrap/>
            <w:vAlign w:val="center"/>
            <w:hideMark/>
          </w:tcPr>
          <w:p w14:paraId="3CF87315"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2263B264"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65BF5DEC"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79831E64"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3631E59A"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334227C7"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0BFCC72D" w14:textId="77777777" w:rsidR="006B344A" w:rsidRPr="006B344A" w:rsidRDefault="006B344A" w:rsidP="006B344A">
            <w:pPr>
              <w:jc w:val="both"/>
              <w:rPr>
                <w:rFonts w:ascii="Arial" w:hAnsi="Arial" w:cs="Arial"/>
                <w:sz w:val="12"/>
                <w:szCs w:val="12"/>
                <w:lang w:eastAsia="en-IN" w:bidi="hi-IN"/>
              </w:rPr>
            </w:pPr>
          </w:p>
        </w:tc>
      </w:tr>
      <w:tr w:rsidR="006B344A" w:rsidRPr="006B344A" w14:paraId="52A43D7A" w14:textId="77777777" w:rsidTr="00767612">
        <w:trPr>
          <w:trHeight w:val="257"/>
          <w:jc w:val="center"/>
        </w:trPr>
        <w:tc>
          <w:tcPr>
            <w:tcW w:w="985" w:type="dxa"/>
            <w:noWrap/>
            <w:vAlign w:val="center"/>
            <w:hideMark/>
          </w:tcPr>
          <w:p w14:paraId="55F575D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985" w:type="dxa"/>
            <w:noWrap/>
            <w:vAlign w:val="center"/>
            <w:hideMark/>
          </w:tcPr>
          <w:p w14:paraId="44B7441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0.161</w:t>
            </w:r>
          </w:p>
        </w:tc>
        <w:tc>
          <w:tcPr>
            <w:tcW w:w="687" w:type="dxa"/>
            <w:noWrap/>
            <w:vAlign w:val="center"/>
            <w:hideMark/>
          </w:tcPr>
          <w:p w14:paraId="45BB6DD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-0.956</w:t>
            </w:r>
          </w:p>
        </w:tc>
        <w:tc>
          <w:tcPr>
            <w:tcW w:w="643" w:type="dxa"/>
            <w:noWrap/>
            <w:vAlign w:val="center"/>
            <w:hideMark/>
          </w:tcPr>
          <w:p w14:paraId="42726C6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0.780</w:t>
            </w:r>
          </w:p>
        </w:tc>
        <w:tc>
          <w:tcPr>
            <w:tcW w:w="606" w:type="dxa"/>
            <w:noWrap/>
            <w:vAlign w:val="center"/>
            <w:hideMark/>
          </w:tcPr>
          <w:p w14:paraId="3AB5C9A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84" w:type="dxa"/>
            <w:noWrap/>
            <w:vAlign w:val="center"/>
            <w:hideMark/>
          </w:tcPr>
          <w:p w14:paraId="6B067092"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71198DDE"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7C646F29"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34097F4A"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6B651C69"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20FFE2E1"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13AF9999" w14:textId="77777777" w:rsidR="006B344A" w:rsidRPr="006B344A" w:rsidRDefault="006B344A" w:rsidP="006B344A">
            <w:pPr>
              <w:jc w:val="both"/>
              <w:rPr>
                <w:rFonts w:ascii="Arial" w:hAnsi="Arial" w:cs="Arial"/>
                <w:sz w:val="12"/>
                <w:szCs w:val="12"/>
                <w:lang w:eastAsia="en-IN" w:bidi="hi-IN"/>
              </w:rPr>
            </w:pPr>
          </w:p>
        </w:tc>
      </w:tr>
      <w:tr w:rsidR="006B344A" w:rsidRPr="006B344A" w14:paraId="49A3BA72" w14:textId="77777777" w:rsidTr="00767612">
        <w:trPr>
          <w:trHeight w:val="257"/>
          <w:jc w:val="center"/>
        </w:trPr>
        <w:tc>
          <w:tcPr>
            <w:tcW w:w="985" w:type="dxa"/>
            <w:noWrap/>
            <w:vAlign w:val="center"/>
            <w:hideMark/>
          </w:tcPr>
          <w:p w14:paraId="01D74252" w14:textId="77777777" w:rsidR="006B344A" w:rsidRPr="006B344A" w:rsidRDefault="006B344A" w:rsidP="006B344A">
            <w:pPr>
              <w:jc w:val="both"/>
              <w:rPr>
                <w:rFonts w:ascii="Arial" w:hAnsi="Arial" w:cs="Arial"/>
                <w:sz w:val="12"/>
                <w:szCs w:val="12"/>
                <w:vertAlign w:val="subscript"/>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985" w:type="dxa"/>
            <w:noWrap/>
            <w:vAlign w:val="center"/>
            <w:hideMark/>
          </w:tcPr>
          <w:p w14:paraId="3A1804D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0.037</w:t>
            </w:r>
          </w:p>
        </w:tc>
        <w:tc>
          <w:tcPr>
            <w:tcW w:w="687" w:type="dxa"/>
            <w:noWrap/>
            <w:vAlign w:val="center"/>
            <w:hideMark/>
          </w:tcPr>
          <w:p w14:paraId="467E05F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0.275</w:t>
            </w:r>
          </w:p>
        </w:tc>
        <w:tc>
          <w:tcPr>
            <w:tcW w:w="643" w:type="dxa"/>
            <w:noWrap/>
            <w:vAlign w:val="center"/>
            <w:hideMark/>
          </w:tcPr>
          <w:p w14:paraId="6BB7DA7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-0.880</w:t>
            </w:r>
          </w:p>
        </w:tc>
        <w:tc>
          <w:tcPr>
            <w:tcW w:w="606" w:type="dxa"/>
            <w:noWrap/>
            <w:vAlign w:val="center"/>
            <w:hideMark/>
          </w:tcPr>
          <w:p w14:paraId="07455CE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-0.447</w:t>
            </w:r>
          </w:p>
        </w:tc>
        <w:tc>
          <w:tcPr>
            <w:tcW w:w="684" w:type="dxa"/>
            <w:noWrap/>
            <w:vAlign w:val="center"/>
            <w:hideMark/>
          </w:tcPr>
          <w:p w14:paraId="0B0ACB7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65" w:type="dxa"/>
            <w:noWrap/>
            <w:vAlign w:val="center"/>
            <w:hideMark/>
          </w:tcPr>
          <w:p w14:paraId="382B4B46"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6FF3901F"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6DECF157"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35F38F04"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5BC26265"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4B45A3A4" w14:textId="77777777" w:rsidR="006B344A" w:rsidRPr="006B344A" w:rsidRDefault="006B344A" w:rsidP="006B344A">
            <w:pPr>
              <w:jc w:val="both"/>
              <w:rPr>
                <w:rFonts w:ascii="Arial" w:hAnsi="Arial" w:cs="Arial"/>
                <w:sz w:val="12"/>
                <w:szCs w:val="12"/>
                <w:lang w:eastAsia="en-IN" w:bidi="hi-IN"/>
              </w:rPr>
            </w:pPr>
          </w:p>
        </w:tc>
      </w:tr>
      <w:tr w:rsidR="006B344A" w:rsidRPr="006B344A" w14:paraId="3F12E5EC" w14:textId="77777777" w:rsidTr="00767612">
        <w:trPr>
          <w:trHeight w:val="257"/>
          <w:jc w:val="center"/>
        </w:trPr>
        <w:tc>
          <w:tcPr>
            <w:tcW w:w="985" w:type="dxa"/>
            <w:noWrap/>
            <w:vAlign w:val="center"/>
            <w:hideMark/>
          </w:tcPr>
          <w:p w14:paraId="29348886" w14:textId="77777777" w:rsidR="006B344A" w:rsidRPr="006B344A" w:rsidRDefault="006B344A" w:rsidP="006B344A">
            <w:pPr>
              <w:jc w:val="both"/>
              <w:rPr>
                <w:rFonts w:ascii="Arial" w:hAnsi="Arial" w:cs="Arial"/>
                <w:sz w:val="12"/>
                <w:szCs w:val="12"/>
                <w:vertAlign w:val="superscript"/>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985" w:type="dxa"/>
            <w:noWrap/>
            <w:vAlign w:val="center"/>
            <w:hideMark/>
          </w:tcPr>
          <w:p w14:paraId="5F663FB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-0.502</w:t>
            </w:r>
          </w:p>
        </w:tc>
        <w:tc>
          <w:tcPr>
            <w:tcW w:w="687" w:type="dxa"/>
            <w:noWrap/>
            <w:vAlign w:val="center"/>
            <w:hideMark/>
          </w:tcPr>
          <w:p w14:paraId="70A8254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-0.807</w:t>
            </w:r>
          </w:p>
        </w:tc>
        <w:tc>
          <w:tcPr>
            <w:tcW w:w="643" w:type="dxa"/>
            <w:noWrap/>
            <w:vAlign w:val="center"/>
            <w:hideMark/>
          </w:tcPr>
          <w:p w14:paraId="7DABED8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0.332</w:t>
            </w:r>
          </w:p>
        </w:tc>
        <w:tc>
          <w:tcPr>
            <w:tcW w:w="606" w:type="dxa"/>
            <w:noWrap/>
            <w:vAlign w:val="center"/>
            <w:hideMark/>
          </w:tcPr>
          <w:p w14:paraId="47C496A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0.597</w:t>
            </w:r>
          </w:p>
        </w:tc>
        <w:tc>
          <w:tcPr>
            <w:tcW w:w="684" w:type="dxa"/>
            <w:noWrap/>
            <w:vAlign w:val="center"/>
            <w:hideMark/>
          </w:tcPr>
          <w:p w14:paraId="5BD3940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0.133</w:t>
            </w:r>
          </w:p>
        </w:tc>
        <w:tc>
          <w:tcPr>
            <w:tcW w:w="665" w:type="dxa"/>
            <w:noWrap/>
            <w:vAlign w:val="center"/>
            <w:hideMark/>
          </w:tcPr>
          <w:p w14:paraId="5EE3905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43" w:type="dxa"/>
            <w:noWrap/>
            <w:vAlign w:val="center"/>
            <w:hideMark/>
          </w:tcPr>
          <w:p w14:paraId="5B25165F"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38D82044"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565A9DCE"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6D64BE27"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4CDFC199" w14:textId="77777777" w:rsidR="006B344A" w:rsidRPr="006B344A" w:rsidRDefault="006B344A" w:rsidP="006B344A">
            <w:pPr>
              <w:jc w:val="both"/>
              <w:rPr>
                <w:rFonts w:ascii="Arial" w:hAnsi="Arial" w:cs="Arial"/>
                <w:sz w:val="12"/>
                <w:szCs w:val="12"/>
                <w:lang w:eastAsia="en-IN" w:bidi="hi-IN"/>
              </w:rPr>
            </w:pPr>
          </w:p>
        </w:tc>
      </w:tr>
      <w:tr w:rsidR="006B344A" w:rsidRPr="006B344A" w14:paraId="2A3738FE" w14:textId="77777777" w:rsidTr="00767612">
        <w:trPr>
          <w:trHeight w:val="257"/>
          <w:jc w:val="center"/>
        </w:trPr>
        <w:tc>
          <w:tcPr>
            <w:tcW w:w="985" w:type="dxa"/>
            <w:noWrap/>
            <w:vAlign w:val="center"/>
            <w:hideMark/>
          </w:tcPr>
          <w:p w14:paraId="530B525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985" w:type="dxa"/>
            <w:noWrap/>
            <w:vAlign w:val="center"/>
            <w:hideMark/>
          </w:tcPr>
          <w:p w14:paraId="7461E77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-0.382</w:t>
            </w:r>
          </w:p>
        </w:tc>
        <w:tc>
          <w:tcPr>
            <w:tcW w:w="687" w:type="dxa"/>
            <w:noWrap/>
            <w:vAlign w:val="center"/>
            <w:hideMark/>
          </w:tcPr>
          <w:p w14:paraId="6AFA55C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-0.928</w:t>
            </w:r>
          </w:p>
        </w:tc>
        <w:tc>
          <w:tcPr>
            <w:tcW w:w="643" w:type="dxa"/>
            <w:noWrap/>
            <w:vAlign w:val="center"/>
            <w:hideMark/>
          </w:tcPr>
          <w:p w14:paraId="20B9124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0.545</w:t>
            </w:r>
          </w:p>
        </w:tc>
        <w:tc>
          <w:tcPr>
            <w:tcW w:w="606" w:type="dxa"/>
            <w:noWrap/>
            <w:vAlign w:val="center"/>
            <w:hideMark/>
          </w:tcPr>
          <w:p w14:paraId="76FDF73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0.780</w:t>
            </w:r>
          </w:p>
        </w:tc>
        <w:tc>
          <w:tcPr>
            <w:tcW w:w="684" w:type="dxa"/>
            <w:noWrap/>
            <w:vAlign w:val="center"/>
            <w:hideMark/>
          </w:tcPr>
          <w:p w14:paraId="0800F9C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-0.088</w:t>
            </w:r>
          </w:p>
        </w:tc>
        <w:tc>
          <w:tcPr>
            <w:tcW w:w="665" w:type="dxa"/>
            <w:noWrap/>
            <w:vAlign w:val="center"/>
            <w:hideMark/>
          </w:tcPr>
          <w:p w14:paraId="287A2AC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0.965</w:t>
            </w:r>
          </w:p>
        </w:tc>
        <w:tc>
          <w:tcPr>
            <w:tcW w:w="643" w:type="dxa"/>
            <w:noWrap/>
            <w:vAlign w:val="center"/>
            <w:hideMark/>
          </w:tcPr>
          <w:p w14:paraId="71C7903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25" w:type="dxa"/>
            <w:noWrap/>
            <w:vAlign w:val="center"/>
            <w:hideMark/>
          </w:tcPr>
          <w:p w14:paraId="0FF5A212"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5D5756A4"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7AA3C411"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77A5AEFE" w14:textId="77777777" w:rsidR="006B344A" w:rsidRPr="006B344A" w:rsidRDefault="006B344A" w:rsidP="006B344A">
            <w:pPr>
              <w:jc w:val="both"/>
              <w:rPr>
                <w:rFonts w:ascii="Arial" w:hAnsi="Arial" w:cs="Arial"/>
                <w:sz w:val="12"/>
                <w:szCs w:val="12"/>
                <w:lang w:eastAsia="en-IN" w:bidi="hi-IN"/>
              </w:rPr>
            </w:pPr>
          </w:p>
        </w:tc>
      </w:tr>
      <w:tr w:rsidR="006B344A" w:rsidRPr="006B344A" w14:paraId="41915F71" w14:textId="77777777" w:rsidTr="00767612">
        <w:trPr>
          <w:trHeight w:val="257"/>
          <w:jc w:val="center"/>
        </w:trPr>
        <w:tc>
          <w:tcPr>
            <w:tcW w:w="985" w:type="dxa"/>
            <w:noWrap/>
            <w:vAlign w:val="center"/>
            <w:hideMark/>
          </w:tcPr>
          <w:p w14:paraId="23921F5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985" w:type="dxa"/>
            <w:noWrap/>
            <w:vAlign w:val="center"/>
            <w:hideMark/>
          </w:tcPr>
          <w:p w14:paraId="37C9603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0.907</w:t>
            </w:r>
          </w:p>
        </w:tc>
        <w:tc>
          <w:tcPr>
            <w:tcW w:w="687" w:type="dxa"/>
            <w:noWrap/>
            <w:vAlign w:val="center"/>
            <w:hideMark/>
          </w:tcPr>
          <w:p w14:paraId="437CF16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0.103</w:t>
            </w:r>
          </w:p>
        </w:tc>
        <w:tc>
          <w:tcPr>
            <w:tcW w:w="643" w:type="dxa"/>
            <w:noWrap/>
            <w:vAlign w:val="center"/>
            <w:hideMark/>
          </w:tcPr>
          <w:p w14:paraId="2B44D01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-0.459</w:t>
            </w:r>
          </w:p>
        </w:tc>
        <w:tc>
          <w:tcPr>
            <w:tcW w:w="606" w:type="dxa"/>
            <w:noWrap/>
            <w:vAlign w:val="center"/>
            <w:hideMark/>
          </w:tcPr>
          <w:p w14:paraId="09EF982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0.018</w:t>
            </w:r>
          </w:p>
        </w:tc>
        <w:tc>
          <w:tcPr>
            <w:tcW w:w="684" w:type="dxa"/>
            <w:noWrap/>
            <w:vAlign w:val="center"/>
            <w:hideMark/>
          </w:tcPr>
          <w:p w14:paraId="47AD314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0.450</w:t>
            </w:r>
          </w:p>
        </w:tc>
        <w:tc>
          <w:tcPr>
            <w:tcW w:w="665" w:type="dxa"/>
            <w:noWrap/>
            <w:vAlign w:val="center"/>
            <w:hideMark/>
          </w:tcPr>
          <w:p w14:paraId="5A47C56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-0.333</w:t>
            </w:r>
          </w:p>
        </w:tc>
        <w:tc>
          <w:tcPr>
            <w:tcW w:w="643" w:type="dxa"/>
            <w:noWrap/>
            <w:vAlign w:val="center"/>
            <w:hideMark/>
          </w:tcPr>
          <w:p w14:paraId="0E6D207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-0.313</w:t>
            </w:r>
          </w:p>
        </w:tc>
        <w:tc>
          <w:tcPr>
            <w:tcW w:w="625" w:type="dxa"/>
            <w:noWrap/>
            <w:vAlign w:val="center"/>
            <w:hideMark/>
          </w:tcPr>
          <w:p w14:paraId="0B834E7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71" w:type="dxa"/>
            <w:noWrap/>
            <w:vAlign w:val="center"/>
            <w:hideMark/>
          </w:tcPr>
          <w:p w14:paraId="4766383F"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37889CE2"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0EF75555" w14:textId="77777777" w:rsidR="006B344A" w:rsidRPr="006B344A" w:rsidRDefault="006B344A" w:rsidP="006B344A">
            <w:pPr>
              <w:jc w:val="both"/>
              <w:rPr>
                <w:rFonts w:ascii="Arial" w:hAnsi="Arial" w:cs="Arial"/>
                <w:sz w:val="12"/>
                <w:szCs w:val="12"/>
                <w:lang w:eastAsia="en-IN" w:bidi="hi-IN"/>
              </w:rPr>
            </w:pPr>
          </w:p>
        </w:tc>
      </w:tr>
      <w:tr w:rsidR="006B344A" w:rsidRPr="006B344A" w14:paraId="0672CD33" w14:textId="77777777" w:rsidTr="00767612">
        <w:trPr>
          <w:trHeight w:val="257"/>
          <w:jc w:val="center"/>
        </w:trPr>
        <w:tc>
          <w:tcPr>
            <w:tcW w:w="985" w:type="dxa"/>
            <w:noWrap/>
            <w:vAlign w:val="center"/>
            <w:hideMark/>
          </w:tcPr>
          <w:p w14:paraId="0107496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985" w:type="dxa"/>
            <w:noWrap/>
            <w:vAlign w:val="center"/>
            <w:hideMark/>
          </w:tcPr>
          <w:p w14:paraId="0F985FC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-0.027</w:t>
            </w:r>
          </w:p>
        </w:tc>
        <w:tc>
          <w:tcPr>
            <w:tcW w:w="687" w:type="dxa"/>
            <w:noWrap/>
            <w:vAlign w:val="center"/>
            <w:hideMark/>
          </w:tcPr>
          <w:p w14:paraId="639ED07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-0.517</w:t>
            </w:r>
          </w:p>
        </w:tc>
        <w:tc>
          <w:tcPr>
            <w:tcW w:w="643" w:type="dxa"/>
            <w:noWrap/>
            <w:vAlign w:val="center"/>
            <w:hideMark/>
          </w:tcPr>
          <w:p w14:paraId="5EB18BD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0.970</w:t>
            </w:r>
          </w:p>
        </w:tc>
        <w:tc>
          <w:tcPr>
            <w:tcW w:w="606" w:type="dxa"/>
            <w:noWrap/>
            <w:vAlign w:val="center"/>
            <w:hideMark/>
          </w:tcPr>
          <w:p w14:paraId="5C4F78D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0.663</w:t>
            </w:r>
          </w:p>
        </w:tc>
        <w:tc>
          <w:tcPr>
            <w:tcW w:w="684" w:type="dxa"/>
            <w:noWrap/>
            <w:vAlign w:val="center"/>
            <w:hideMark/>
          </w:tcPr>
          <w:p w14:paraId="6FDBF55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-0.965</w:t>
            </w:r>
          </w:p>
        </w:tc>
        <w:tc>
          <w:tcPr>
            <w:tcW w:w="665" w:type="dxa"/>
            <w:noWrap/>
            <w:vAlign w:val="center"/>
            <w:hideMark/>
          </w:tcPr>
          <w:p w14:paraId="645F387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0.091</w:t>
            </w:r>
          </w:p>
        </w:tc>
        <w:tc>
          <w:tcPr>
            <w:tcW w:w="643" w:type="dxa"/>
            <w:noWrap/>
            <w:vAlign w:val="center"/>
            <w:hideMark/>
          </w:tcPr>
          <w:p w14:paraId="3406C3E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0.324</w:t>
            </w:r>
          </w:p>
        </w:tc>
        <w:tc>
          <w:tcPr>
            <w:tcW w:w="625" w:type="dxa"/>
            <w:noWrap/>
            <w:vAlign w:val="center"/>
            <w:hideMark/>
          </w:tcPr>
          <w:p w14:paraId="0295C95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-0.407</w:t>
            </w:r>
          </w:p>
        </w:tc>
        <w:tc>
          <w:tcPr>
            <w:tcW w:w="671" w:type="dxa"/>
            <w:noWrap/>
            <w:vAlign w:val="center"/>
            <w:hideMark/>
          </w:tcPr>
          <w:p w14:paraId="4758C07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64" w:type="dxa"/>
            <w:noWrap/>
            <w:vAlign w:val="center"/>
            <w:hideMark/>
          </w:tcPr>
          <w:p w14:paraId="32DCEDED"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60A07343" w14:textId="77777777" w:rsidR="006B344A" w:rsidRPr="006B344A" w:rsidRDefault="006B344A" w:rsidP="006B344A">
            <w:pPr>
              <w:jc w:val="both"/>
              <w:rPr>
                <w:rFonts w:ascii="Arial" w:hAnsi="Arial" w:cs="Arial"/>
                <w:sz w:val="12"/>
                <w:szCs w:val="12"/>
                <w:lang w:eastAsia="en-IN" w:bidi="hi-IN"/>
              </w:rPr>
            </w:pPr>
          </w:p>
        </w:tc>
      </w:tr>
      <w:tr w:rsidR="006B344A" w:rsidRPr="006B344A" w14:paraId="67D17C72" w14:textId="77777777" w:rsidTr="00767612">
        <w:trPr>
          <w:trHeight w:val="257"/>
          <w:jc w:val="center"/>
        </w:trPr>
        <w:tc>
          <w:tcPr>
            <w:tcW w:w="985" w:type="dxa"/>
            <w:noWrap/>
            <w:vAlign w:val="center"/>
            <w:hideMark/>
          </w:tcPr>
          <w:p w14:paraId="7D36DAA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985" w:type="dxa"/>
            <w:noWrap/>
            <w:vAlign w:val="center"/>
            <w:hideMark/>
          </w:tcPr>
          <w:p w14:paraId="3C6FB45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-0.499</w:t>
            </w:r>
            <w:r w:rsidRPr="006B344A">
              <w:rPr>
                <w:rFonts w:ascii="Arial" w:hAnsi="Arial" w:cs="Arial"/>
                <w:sz w:val="12"/>
                <w:szCs w:val="12"/>
                <w:vertAlign w:val="superscript"/>
                <w:lang w:eastAsia="en-IN" w:bidi="hi-IN"/>
              </w:rPr>
              <w:t>@</w:t>
            </w:r>
          </w:p>
        </w:tc>
        <w:tc>
          <w:tcPr>
            <w:tcW w:w="687" w:type="dxa"/>
            <w:noWrap/>
            <w:vAlign w:val="center"/>
            <w:hideMark/>
          </w:tcPr>
          <w:p w14:paraId="2466BFA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-0.814**</w:t>
            </w:r>
          </w:p>
        </w:tc>
        <w:tc>
          <w:tcPr>
            <w:tcW w:w="643" w:type="dxa"/>
            <w:noWrap/>
            <w:vAlign w:val="center"/>
            <w:hideMark/>
          </w:tcPr>
          <w:p w14:paraId="14D262A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0.870**</w:t>
            </w:r>
          </w:p>
        </w:tc>
        <w:tc>
          <w:tcPr>
            <w:tcW w:w="606" w:type="dxa"/>
            <w:noWrap/>
            <w:vAlign w:val="center"/>
            <w:hideMark/>
          </w:tcPr>
          <w:p w14:paraId="661F480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0.751*</w:t>
            </w:r>
          </w:p>
        </w:tc>
        <w:tc>
          <w:tcPr>
            <w:tcW w:w="684" w:type="dxa"/>
            <w:noWrap/>
            <w:vAlign w:val="center"/>
            <w:hideMark/>
          </w:tcPr>
          <w:p w14:paraId="591A361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-0.587*</w:t>
            </w:r>
          </w:p>
        </w:tc>
        <w:tc>
          <w:tcPr>
            <w:tcW w:w="665" w:type="dxa"/>
            <w:noWrap/>
            <w:vAlign w:val="center"/>
            <w:hideMark/>
          </w:tcPr>
          <w:p w14:paraId="5D98ECA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0.721*</w:t>
            </w:r>
          </w:p>
        </w:tc>
        <w:tc>
          <w:tcPr>
            <w:tcW w:w="643" w:type="dxa"/>
            <w:noWrap/>
            <w:vAlign w:val="center"/>
            <w:hideMark/>
          </w:tcPr>
          <w:p w14:paraId="4EBB077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0.835**</w:t>
            </w:r>
          </w:p>
        </w:tc>
        <w:tc>
          <w:tcPr>
            <w:tcW w:w="625" w:type="dxa"/>
            <w:noWrap/>
            <w:vAlign w:val="center"/>
            <w:hideMark/>
          </w:tcPr>
          <w:p w14:paraId="781A9A2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-0.644*</w:t>
            </w:r>
          </w:p>
        </w:tc>
        <w:tc>
          <w:tcPr>
            <w:tcW w:w="671" w:type="dxa"/>
            <w:noWrap/>
            <w:vAlign w:val="center"/>
            <w:hideMark/>
          </w:tcPr>
          <w:p w14:paraId="2F97B06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0.733*</w:t>
            </w:r>
          </w:p>
        </w:tc>
        <w:tc>
          <w:tcPr>
            <w:tcW w:w="664" w:type="dxa"/>
            <w:noWrap/>
            <w:vAlign w:val="center"/>
            <w:hideMark/>
          </w:tcPr>
          <w:p w14:paraId="6957B6D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390" w:type="dxa"/>
            <w:noWrap/>
            <w:vAlign w:val="center"/>
            <w:hideMark/>
          </w:tcPr>
          <w:p w14:paraId="650E11E5" w14:textId="77777777" w:rsidR="006B344A" w:rsidRPr="006B344A" w:rsidRDefault="006B344A" w:rsidP="006B344A">
            <w:pPr>
              <w:jc w:val="both"/>
              <w:rPr>
                <w:rFonts w:ascii="Arial" w:hAnsi="Arial" w:cs="Arial"/>
                <w:sz w:val="12"/>
                <w:szCs w:val="12"/>
                <w:lang w:eastAsia="en-IN" w:bidi="hi-IN"/>
              </w:rPr>
            </w:pPr>
          </w:p>
        </w:tc>
      </w:tr>
      <w:tr w:rsidR="006B344A" w:rsidRPr="006B344A" w14:paraId="6F54F3FD" w14:textId="77777777" w:rsidTr="00767612">
        <w:trPr>
          <w:trHeight w:val="264"/>
          <w:jc w:val="center"/>
        </w:trPr>
        <w:tc>
          <w:tcPr>
            <w:tcW w:w="985" w:type="dxa"/>
            <w:noWrap/>
            <w:vAlign w:val="center"/>
            <w:hideMark/>
          </w:tcPr>
          <w:p w14:paraId="6A9FFDB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c>
          <w:tcPr>
            <w:tcW w:w="985" w:type="dxa"/>
            <w:noWrap/>
            <w:vAlign w:val="center"/>
            <w:hideMark/>
          </w:tcPr>
          <w:p w14:paraId="16D59A0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-0.653*</w:t>
            </w:r>
          </w:p>
        </w:tc>
        <w:tc>
          <w:tcPr>
            <w:tcW w:w="687" w:type="dxa"/>
            <w:noWrap/>
            <w:vAlign w:val="center"/>
            <w:hideMark/>
          </w:tcPr>
          <w:p w14:paraId="1B82764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0.630*</w:t>
            </w:r>
          </w:p>
        </w:tc>
        <w:tc>
          <w:tcPr>
            <w:tcW w:w="643" w:type="dxa"/>
            <w:noWrap/>
            <w:vAlign w:val="center"/>
            <w:hideMark/>
          </w:tcPr>
          <w:p w14:paraId="7701428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-0.118</w:t>
            </w:r>
            <w:r w:rsidRPr="006B344A">
              <w:rPr>
                <w:rFonts w:ascii="Arial" w:hAnsi="Arial" w:cs="Arial"/>
                <w:sz w:val="12"/>
                <w:szCs w:val="12"/>
                <w:vertAlign w:val="superscript"/>
                <w:lang w:eastAsia="en-IN" w:bidi="hi-IN"/>
              </w:rPr>
              <w:t>@</w:t>
            </w:r>
          </w:p>
        </w:tc>
        <w:tc>
          <w:tcPr>
            <w:tcW w:w="606" w:type="dxa"/>
            <w:noWrap/>
            <w:vAlign w:val="center"/>
            <w:hideMark/>
          </w:tcPr>
          <w:p w14:paraId="066358F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-0.685*</w:t>
            </w:r>
          </w:p>
        </w:tc>
        <w:tc>
          <w:tcPr>
            <w:tcW w:w="684" w:type="dxa"/>
            <w:noWrap/>
            <w:vAlign w:val="center"/>
            <w:hideMark/>
          </w:tcPr>
          <w:p w14:paraId="2C57EC1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-0.178</w:t>
            </w:r>
            <w:r w:rsidRPr="006B344A">
              <w:rPr>
                <w:rFonts w:ascii="Arial" w:hAnsi="Arial" w:cs="Arial"/>
                <w:sz w:val="12"/>
                <w:szCs w:val="12"/>
                <w:vertAlign w:val="superscript"/>
                <w:lang w:eastAsia="en-IN" w:bidi="hi-IN"/>
              </w:rPr>
              <w:t>@</w:t>
            </w:r>
          </w:p>
        </w:tc>
        <w:tc>
          <w:tcPr>
            <w:tcW w:w="665" w:type="dxa"/>
            <w:noWrap/>
            <w:vAlign w:val="center"/>
            <w:hideMark/>
          </w:tcPr>
          <w:p w14:paraId="440926B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-0.326</w:t>
            </w:r>
            <w:r w:rsidRPr="006B344A">
              <w:rPr>
                <w:rFonts w:ascii="Arial" w:hAnsi="Arial" w:cs="Arial"/>
                <w:sz w:val="12"/>
                <w:szCs w:val="12"/>
                <w:vertAlign w:val="superscript"/>
                <w:lang w:eastAsia="en-IN" w:bidi="hi-IN"/>
              </w:rPr>
              <w:t>@</w:t>
            </w:r>
          </w:p>
        </w:tc>
        <w:tc>
          <w:tcPr>
            <w:tcW w:w="643" w:type="dxa"/>
            <w:noWrap/>
            <w:vAlign w:val="center"/>
            <w:hideMark/>
          </w:tcPr>
          <w:p w14:paraId="2E1E233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-0.422</w:t>
            </w:r>
            <w:r w:rsidRPr="006B344A">
              <w:rPr>
                <w:rFonts w:ascii="Arial" w:hAnsi="Arial" w:cs="Arial"/>
                <w:sz w:val="12"/>
                <w:szCs w:val="12"/>
                <w:vertAlign w:val="superscript"/>
                <w:lang w:eastAsia="en-IN" w:bidi="hi-IN"/>
              </w:rPr>
              <w:t>@</w:t>
            </w:r>
          </w:p>
        </w:tc>
        <w:tc>
          <w:tcPr>
            <w:tcW w:w="625" w:type="dxa"/>
            <w:noWrap/>
            <w:vAlign w:val="center"/>
            <w:hideMark/>
          </w:tcPr>
          <w:p w14:paraId="55393FA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-0.708*</w:t>
            </w:r>
          </w:p>
        </w:tc>
        <w:tc>
          <w:tcPr>
            <w:tcW w:w="671" w:type="dxa"/>
            <w:noWrap/>
            <w:vAlign w:val="center"/>
            <w:hideMark/>
          </w:tcPr>
          <w:p w14:paraId="104AF71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-0.030</w:t>
            </w:r>
            <w:r w:rsidRPr="006B344A">
              <w:rPr>
                <w:rFonts w:ascii="Arial" w:hAnsi="Arial" w:cs="Arial"/>
                <w:sz w:val="12"/>
                <w:szCs w:val="12"/>
                <w:vertAlign w:val="superscript"/>
                <w:lang w:eastAsia="en-IN" w:bidi="hi-IN"/>
              </w:rPr>
              <w:t>@</w:t>
            </w:r>
          </w:p>
        </w:tc>
        <w:tc>
          <w:tcPr>
            <w:tcW w:w="664" w:type="dxa"/>
            <w:noWrap/>
            <w:vAlign w:val="center"/>
            <w:hideMark/>
          </w:tcPr>
          <w:p w14:paraId="26F684B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-0.071</w:t>
            </w:r>
            <w:r w:rsidRPr="006B344A">
              <w:rPr>
                <w:rFonts w:ascii="Arial" w:hAnsi="Arial" w:cs="Arial"/>
                <w:sz w:val="12"/>
                <w:szCs w:val="12"/>
                <w:vertAlign w:val="superscript"/>
                <w:lang w:eastAsia="en-IN" w:bidi="hi-IN"/>
              </w:rPr>
              <w:t>@</w:t>
            </w:r>
          </w:p>
        </w:tc>
        <w:tc>
          <w:tcPr>
            <w:tcW w:w="390" w:type="dxa"/>
            <w:noWrap/>
            <w:vAlign w:val="center"/>
            <w:hideMark/>
          </w:tcPr>
          <w:p w14:paraId="5A4DA23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r>
    </w:tbl>
    <w:p w14:paraId="29213336" w14:textId="77777777" w:rsidR="006B344A" w:rsidRPr="006B344A" w:rsidRDefault="006B344A" w:rsidP="006B344A">
      <w:pPr>
        <w:jc w:val="both"/>
        <w:rPr>
          <w:rFonts w:ascii="Arial" w:hAnsi="Arial" w:cs="Arial"/>
          <w:sz w:val="20"/>
          <w:szCs w:val="20"/>
        </w:rPr>
      </w:pPr>
    </w:p>
    <w:p w14:paraId="79B673A8" w14:textId="77777777" w:rsidR="006B344A" w:rsidRPr="006B344A" w:rsidRDefault="006B344A" w:rsidP="006B344A">
      <w:pPr>
        <w:jc w:val="both"/>
        <w:rPr>
          <w:rFonts w:ascii="Arial" w:hAnsi="Arial" w:cs="Arial"/>
          <w:sz w:val="20"/>
          <w:szCs w:val="20"/>
        </w:rPr>
      </w:pPr>
      <w:r>
        <w:rPr>
          <w:highlight w:val="yellow"/>
        </w:rPr>
        <w:t>*P = .05; **P = .01; @NS = not significant; PP = phytoplankton; ZP = zooplankton.</w:t>
      </w:r>
    </w:p>
    <w:p w14:paraId="677FFA73" w14:textId="77777777" w:rsidR="006B344A" w:rsidRPr="006B344A" w:rsidRDefault="006B344A" w:rsidP="006B344A">
      <w:pPr>
        <w:jc w:val="both"/>
        <w:rPr>
          <w:rFonts w:ascii="Arial" w:hAnsi="Arial" w:cs="Arial"/>
          <w:sz w:val="20"/>
          <w:szCs w:val="20"/>
        </w:rPr>
      </w:pPr>
      <w:r>
        <w:rPr>
          <w:highlight w:val="yellow"/>
        </w:rPr>
        <w:t>The correlation coefficients calculated for phytoplankton abundance, zooplankton abundance, and various water quality parameters in the fishing zones during the study period are presented in Table 1. Phytoplankton exhibited a positive correlation with pH and nitrite at P &lt; 0.01. Salinity exhibited a negative correlation at a high level of significance (P = 0.01). Phytoplankton showed positive correlations with DO, nitrate, and silicate at P &lt; 0.05, whereas negative correlations were observed with ammonia and phosphate (P &lt; 0.05). Phytoplankton abundance did not correlate significantly with temperature. Zooplankton exhibited negative relationships with temperature, DO, and phosphate at P &lt; 0.05, whereas it showed a positive correlation with salinity (P &lt; 0.05). Zooplankton showed no significant correlation with pH, ammonia, nitrate, nitrite, silicate, or phytoplankton.</w:t>
      </w:r>
    </w:p>
    <w:p w14:paraId="33B808E3" w14:textId="77777777" w:rsidR="006B344A" w:rsidRPr="006B344A" w:rsidRDefault="006B344A" w:rsidP="006B344A">
      <w:pPr>
        <w:jc w:val="center"/>
        <w:rPr>
          <w:rFonts w:ascii="Arial" w:hAnsi="Arial" w:cs="Arial"/>
          <w:b/>
          <w:bCs/>
          <w:sz w:val="20"/>
          <w:szCs w:val="20"/>
        </w:rPr>
      </w:pPr>
      <w:r>
        <w:rPr>
          <w:highlight w:val="yellow"/>
        </w:rPr>
        <w:t>Table 2. Zooplankton abundance versus various water quality parameters among the non-fishing zones.</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610"/>
        <w:gridCol w:w="701"/>
        <w:gridCol w:w="709"/>
        <w:gridCol w:w="708"/>
        <w:gridCol w:w="709"/>
        <w:gridCol w:w="598"/>
        <w:gridCol w:w="709"/>
        <w:gridCol w:w="709"/>
        <w:gridCol w:w="610"/>
        <w:gridCol w:w="370"/>
      </w:tblGrid>
      <w:tr w:rsidR="006B344A" w:rsidRPr="006B344A" w14:paraId="4380FF4A" w14:textId="77777777" w:rsidTr="00767612">
        <w:trPr>
          <w:trHeight w:val="292"/>
          <w:jc w:val="center"/>
        </w:trPr>
        <w:tc>
          <w:tcPr>
            <w:tcW w:w="870" w:type="dxa"/>
            <w:noWrap/>
            <w:vAlign w:val="center"/>
            <w:hideMark/>
          </w:tcPr>
          <w:p w14:paraId="3639B0A7" w14:textId="77777777" w:rsidR="006B344A" w:rsidRPr="006B344A" w:rsidRDefault="006B344A" w:rsidP="006B344A">
            <w:pPr>
              <w:jc w:val="both"/>
              <w:rPr>
                <w:rFonts w:ascii="Arial" w:hAnsi="Arial" w:cs="Arial"/>
                <w:sz w:val="12"/>
                <w:szCs w:val="12"/>
                <w:lang w:eastAsia="en-IN" w:bidi="hi-IN"/>
              </w:rPr>
            </w:pPr>
          </w:p>
        </w:tc>
        <w:tc>
          <w:tcPr>
            <w:tcW w:w="870" w:type="dxa"/>
            <w:noWrap/>
            <w:vAlign w:val="center"/>
            <w:hideMark/>
          </w:tcPr>
          <w:p w14:paraId="5E3AB56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610" w:type="dxa"/>
            <w:noWrap/>
            <w:vAlign w:val="center"/>
            <w:hideMark/>
          </w:tcPr>
          <w:p w14:paraId="0D4D4BB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701" w:type="dxa"/>
            <w:noWrap/>
            <w:vAlign w:val="center"/>
            <w:hideMark/>
          </w:tcPr>
          <w:p w14:paraId="695E808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709" w:type="dxa"/>
            <w:noWrap/>
            <w:vAlign w:val="center"/>
            <w:hideMark/>
          </w:tcPr>
          <w:p w14:paraId="697574B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708" w:type="dxa"/>
            <w:noWrap/>
            <w:vAlign w:val="center"/>
            <w:hideMark/>
          </w:tcPr>
          <w:p w14:paraId="5A0C4B4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709" w:type="dxa"/>
            <w:noWrap/>
            <w:vAlign w:val="center"/>
            <w:hideMark/>
          </w:tcPr>
          <w:p w14:paraId="24AFD93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567" w:type="dxa"/>
            <w:noWrap/>
            <w:vAlign w:val="center"/>
            <w:hideMark/>
          </w:tcPr>
          <w:p w14:paraId="092D4D0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709" w:type="dxa"/>
            <w:noWrap/>
            <w:vAlign w:val="center"/>
            <w:hideMark/>
          </w:tcPr>
          <w:p w14:paraId="29F0DFE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709" w:type="dxa"/>
            <w:noWrap/>
            <w:vAlign w:val="center"/>
            <w:hideMark/>
          </w:tcPr>
          <w:p w14:paraId="18CAA35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610" w:type="dxa"/>
            <w:noWrap/>
            <w:vAlign w:val="center"/>
            <w:hideMark/>
          </w:tcPr>
          <w:p w14:paraId="30EA300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240" w:type="dxa"/>
            <w:noWrap/>
            <w:vAlign w:val="center"/>
            <w:hideMark/>
          </w:tcPr>
          <w:p w14:paraId="234259F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r>
      <w:tr w:rsidR="006B344A" w:rsidRPr="006B344A" w14:paraId="424C80A2" w14:textId="77777777" w:rsidTr="00767612">
        <w:trPr>
          <w:trHeight w:val="292"/>
          <w:jc w:val="center"/>
        </w:trPr>
        <w:tc>
          <w:tcPr>
            <w:tcW w:w="870" w:type="dxa"/>
            <w:noWrap/>
            <w:vAlign w:val="center"/>
            <w:hideMark/>
          </w:tcPr>
          <w:p w14:paraId="46CE8F1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870" w:type="dxa"/>
            <w:noWrap/>
            <w:vAlign w:val="center"/>
            <w:hideMark/>
          </w:tcPr>
          <w:p w14:paraId="7D53B9E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10" w:type="dxa"/>
            <w:noWrap/>
            <w:vAlign w:val="center"/>
            <w:hideMark/>
          </w:tcPr>
          <w:p w14:paraId="100F78E9" w14:textId="77777777" w:rsidR="006B344A" w:rsidRPr="006B344A" w:rsidRDefault="006B344A" w:rsidP="006B344A">
            <w:pPr>
              <w:jc w:val="both"/>
              <w:rPr>
                <w:rFonts w:ascii="Arial" w:hAnsi="Arial" w:cs="Arial"/>
                <w:sz w:val="12"/>
                <w:szCs w:val="12"/>
                <w:lang w:eastAsia="en-IN" w:bidi="hi-IN"/>
              </w:rPr>
            </w:pPr>
          </w:p>
        </w:tc>
        <w:tc>
          <w:tcPr>
            <w:tcW w:w="701" w:type="dxa"/>
            <w:noWrap/>
            <w:vAlign w:val="center"/>
            <w:hideMark/>
          </w:tcPr>
          <w:p w14:paraId="3C9E39B8"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1D190EBA" w14:textId="77777777" w:rsidR="006B344A" w:rsidRPr="006B344A" w:rsidRDefault="006B344A" w:rsidP="006B344A">
            <w:pPr>
              <w:jc w:val="both"/>
              <w:rPr>
                <w:rFonts w:ascii="Arial" w:hAnsi="Arial" w:cs="Arial"/>
                <w:sz w:val="12"/>
                <w:szCs w:val="12"/>
                <w:lang w:eastAsia="en-IN" w:bidi="hi-IN"/>
              </w:rPr>
            </w:pPr>
          </w:p>
        </w:tc>
        <w:tc>
          <w:tcPr>
            <w:tcW w:w="708" w:type="dxa"/>
            <w:noWrap/>
            <w:vAlign w:val="center"/>
            <w:hideMark/>
          </w:tcPr>
          <w:p w14:paraId="6556C8F7"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D688BF0"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3ECD58B8"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66D15F36"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093E88B1"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3F0E9B42"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2E670C38" w14:textId="77777777" w:rsidR="006B344A" w:rsidRPr="006B344A" w:rsidRDefault="006B344A" w:rsidP="006B344A">
            <w:pPr>
              <w:jc w:val="both"/>
              <w:rPr>
                <w:rFonts w:ascii="Arial" w:hAnsi="Arial" w:cs="Arial"/>
                <w:sz w:val="12"/>
                <w:szCs w:val="12"/>
                <w:lang w:eastAsia="en-IN" w:bidi="hi-IN"/>
              </w:rPr>
            </w:pPr>
          </w:p>
        </w:tc>
      </w:tr>
      <w:tr w:rsidR="006B344A" w:rsidRPr="006B344A" w14:paraId="73057D56" w14:textId="77777777" w:rsidTr="00767612">
        <w:trPr>
          <w:trHeight w:val="292"/>
          <w:jc w:val="center"/>
        </w:trPr>
        <w:tc>
          <w:tcPr>
            <w:tcW w:w="870" w:type="dxa"/>
            <w:noWrap/>
            <w:vAlign w:val="center"/>
            <w:hideMark/>
          </w:tcPr>
          <w:p w14:paraId="0BEF9AD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870" w:type="dxa"/>
            <w:noWrap/>
            <w:vAlign w:val="center"/>
            <w:hideMark/>
          </w:tcPr>
          <w:p w14:paraId="0214421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0.071</w:t>
            </w:r>
          </w:p>
        </w:tc>
        <w:tc>
          <w:tcPr>
            <w:tcW w:w="610" w:type="dxa"/>
            <w:noWrap/>
            <w:vAlign w:val="center"/>
            <w:hideMark/>
          </w:tcPr>
          <w:p w14:paraId="5E37216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1" w:type="dxa"/>
            <w:noWrap/>
            <w:vAlign w:val="center"/>
            <w:hideMark/>
          </w:tcPr>
          <w:p w14:paraId="0408373F"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A3C2E6C" w14:textId="77777777" w:rsidR="006B344A" w:rsidRPr="006B344A" w:rsidRDefault="006B344A" w:rsidP="006B344A">
            <w:pPr>
              <w:jc w:val="both"/>
              <w:rPr>
                <w:rFonts w:ascii="Arial" w:hAnsi="Arial" w:cs="Arial"/>
                <w:sz w:val="12"/>
                <w:szCs w:val="12"/>
                <w:lang w:eastAsia="en-IN" w:bidi="hi-IN"/>
              </w:rPr>
            </w:pPr>
          </w:p>
        </w:tc>
        <w:tc>
          <w:tcPr>
            <w:tcW w:w="708" w:type="dxa"/>
            <w:noWrap/>
            <w:vAlign w:val="center"/>
            <w:hideMark/>
          </w:tcPr>
          <w:p w14:paraId="01CDCA77"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EDCF9EB"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0E6C792E"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27184CB"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08004A99"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0E3A83F6"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75E52691" w14:textId="77777777" w:rsidR="006B344A" w:rsidRPr="006B344A" w:rsidRDefault="006B344A" w:rsidP="006B344A">
            <w:pPr>
              <w:jc w:val="both"/>
              <w:rPr>
                <w:rFonts w:ascii="Arial" w:hAnsi="Arial" w:cs="Arial"/>
                <w:sz w:val="12"/>
                <w:szCs w:val="12"/>
                <w:lang w:eastAsia="en-IN" w:bidi="hi-IN"/>
              </w:rPr>
            </w:pPr>
          </w:p>
        </w:tc>
      </w:tr>
      <w:tr w:rsidR="006B344A" w:rsidRPr="006B344A" w14:paraId="2402C4A5" w14:textId="77777777" w:rsidTr="00767612">
        <w:trPr>
          <w:trHeight w:val="292"/>
          <w:jc w:val="center"/>
        </w:trPr>
        <w:tc>
          <w:tcPr>
            <w:tcW w:w="870" w:type="dxa"/>
            <w:noWrap/>
            <w:vAlign w:val="center"/>
            <w:hideMark/>
          </w:tcPr>
          <w:p w14:paraId="34A6456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870" w:type="dxa"/>
            <w:noWrap/>
            <w:vAlign w:val="center"/>
            <w:hideMark/>
          </w:tcPr>
          <w:p w14:paraId="69C14F5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-0.463</w:t>
            </w:r>
          </w:p>
        </w:tc>
        <w:tc>
          <w:tcPr>
            <w:tcW w:w="610" w:type="dxa"/>
            <w:noWrap/>
            <w:vAlign w:val="center"/>
            <w:hideMark/>
          </w:tcPr>
          <w:p w14:paraId="380CBA8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-0.433</w:t>
            </w:r>
          </w:p>
        </w:tc>
        <w:tc>
          <w:tcPr>
            <w:tcW w:w="701" w:type="dxa"/>
            <w:noWrap/>
            <w:vAlign w:val="center"/>
            <w:hideMark/>
          </w:tcPr>
          <w:p w14:paraId="5B5CC0A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1057D14A" w14:textId="77777777" w:rsidR="006B344A" w:rsidRPr="006B344A" w:rsidRDefault="006B344A" w:rsidP="006B344A">
            <w:pPr>
              <w:jc w:val="both"/>
              <w:rPr>
                <w:rFonts w:ascii="Arial" w:hAnsi="Arial" w:cs="Arial"/>
                <w:sz w:val="12"/>
                <w:szCs w:val="12"/>
                <w:lang w:eastAsia="en-IN" w:bidi="hi-IN"/>
              </w:rPr>
            </w:pPr>
          </w:p>
        </w:tc>
        <w:tc>
          <w:tcPr>
            <w:tcW w:w="708" w:type="dxa"/>
            <w:noWrap/>
            <w:vAlign w:val="center"/>
            <w:hideMark/>
          </w:tcPr>
          <w:p w14:paraId="1404B8B6"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142ED3C5"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637EE223"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15B6540D"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0EC32974"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7019F97D"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2F853303" w14:textId="77777777" w:rsidR="006B344A" w:rsidRPr="006B344A" w:rsidRDefault="006B344A" w:rsidP="006B344A">
            <w:pPr>
              <w:jc w:val="both"/>
              <w:rPr>
                <w:rFonts w:ascii="Arial" w:hAnsi="Arial" w:cs="Arial"/>
                <w:sz w:val="12"/>
                <w:szCs w:val="12"/>
                <w:lang w:eastAsia="en-IN" w:bidi="hi-IN"/>
              </w:rPr>
            </w:pPr>
          </w:p>
        </w:tc>
      </w:tr>
      <w:tr w:rsidR="006B344A" w:rsidRPr="006B344A" w14:paraId="722C5B67" w14:textId="77777777" w:rsidTr="00767612">
        <w:trPr>
          <w:trHeight w:val="292"/>
          <w:jc w:val="center"/>
        </w:trPr>
        <w:tc>
          <w:tcPr>
            <w:tcW w:w="870" w:type="dxa"/>
            <w:noWrap/>
            <w:vAlign w:val="center"/>
            <w:hideMark/>
          </w:tcPr>
          <w:p w14:paraId="193EBD8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870" w:type="dxa"/>
            <w:noWrap/>
            <w:vAlign w:val="center"/>
            <w:hideMark/>
          </w:tcPr>
          <w:p w14:paraId="16F9470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0.484</w:t>
            </w:r>
          </w:p>
        </w:tc>
        <w:tc>
          <w:tcPr>
            <w:tcW w:w="610" w:type="dxa"/>
            <w:noWrap/>
            <w:vAlign w:val="center"/>
            <w:hideMark/>
          </w:tcPr>
          <w:p w14:paraId="742765E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-0.830</w:t>
            </w:r>
          </w:p>
        </w:tc>
        <w:tc>
          <w:tcPr>
            <w:tcW w:w="701" w:type="dxa"/>
            <w:noWrap/>
            <w:vAlign w:val="center"/>
            <w:hideMark/>
          </w:tcPr>
          <w:p w14:paraId="267C76B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0.219</w:t>
            </w:r>
          </w:p>
        </w:tc>
        <w:tc>
          <w:tcPr>
            <w:tcW w:w="709" w:type="dxa"/>
            <w:noWrap/>
            <w:vAlign w:val="center"/>
            <w:hideMark/>
          </w:tcPr>
          <w:p w14:paraId="0FE39F8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8" w:type="dxa"/>
            <w:noWrap/>
            <w:vAlign w:val="center"/>
            <w:hideMark/>
          </w:tcPr>
          <w:p w14:paraId="2A6ADADA"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605A9F81"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0FA60E8E"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0890645"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53C2771B"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66603254"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1377B375" w14:textId="77777777" w:rsidR="006B344A" w:rsidRPr="006B344A" w:rsidRDefault="006B344A" w:rsidP="006B344A">
            <w:pPr>
              <w:jc w:val="both"/>
              <w:rPr>
                <w:rFonts w:ascii="Arial" w:hAnsi="Arial" w:cs="Arial"/>
                <w:sz w:val="12"/>
                <w:szCs w:val="12"/>
                <w:lang w:eastAsia="en-IN" w:bidi="hi-IN"/>
              </w:rPr>
            </w:pPr>
          </w:p>
        </w:tc>
      </w:tr>
      <w:tr w:rsidR="006B344A" w:rsidRPr="006B344A" w14:paraId="0B39AC9D" w14:textId="77777777" w:rsidTr="00767612">
        <w:trPr>
          <w:trHeight w:val="292"/>
          <w:jc w:val="center"/>
        </w:trPr>
        <w:tc>
          <w:tcPr>
            <w:tcW w:w="870" w:type="dxa"/>
            <w:noWrap/>
            <w:vAlign w:val="center"/>
            <w:hideMark/>
          </w:tcPr>
          <w:p w14:paraId="2ABB7EB2" w14:textId="77777777" w:rsidR="006B344A" w:rsidRPr="006B344A" w:rsidRDefault="006B344A" w:rsidP="006B344A">
            <w:pPr>
              <w:jc w:val="both"/>
              <w:rPr>
                <w:rFonts w:ascii="Arial" w:hAnsi="Arial" w:cs="Arial"/>
                <w:sz w:val="12"/>
                <w:szCs w:val="12"/>
                <w:vertAlign w:val="subscript"/>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870" w:type="dxa"/>
            <w:noWrap/>
            <w:vAlign w:val="center"/>
            <w:hideMark/>
          </w:tcPr>
          <w:p w14:paraId="75F84B4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0.769</w:t>
            </w:r>
          </w:p>
        </w:tc>
        <w:tc>
          <w:tcPr>
            <w:tcW w:w="610" w:type="dxa"/>
            <w:noWrap/>
            <w:vAlign w:val="center"/>
            <w:hideMark/>
          </w:tcPr>
          <w:p w14:paraId="516DC49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0.665</w:t>
            </w:r>
          </w:p>
        </w:tc>
        <w:tc>
          <w:tcPr>
            <w:tcW w:w="701" w:type="dxa"/>
            <w:noWrap/>
            <w:vAlign w:val="center"/>
            <w:hideMark/>
          </w:tcPr>
          <w:p w14:paraId="7B1C3D0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-0.456</w:t>
            </w:r>
          </w:p>
        </w:tc>
        <w:tc>
          <w:tcPr>
            <w:tcW w:w="709" w:type="dxa"/>
            <w:noWrap/>
            <w:vAlign w:val="center"/>
            <w:hideMark/>
          </w:tcPr>
          <w:p w14:paraId="055F3E9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-0.136</w:t>
            </w:r>
          </w:p>
        </w:tc>
        <w:tc>
          <w:tcPr>
            <w:tcW w:w="708" w:type="dxa"/>
            <w:noWrap/>
            <w:vAlign w:val="center"/>
            <w:hideMark/>
          </w:tcPr>
          <w:p w14:paraId="31F2090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2D51B613"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32C2D0E4"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6D49A6F"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55358BD5"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02425FCC"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4761BA6C" w14:textId="77777777" w:rsidR="006B344A" w:rsidRPr="006B344A" w:rsidRDefault="006B344A" w:rsidP="006B344A">
            <w:pPr>
              <w:jc w:val="both"/>
              <w:rPr>
                <w:rFonts w:ascii="Arial" w:hAnsi="Arial" w:cs="Arial"/>
                <w:sz w:val="12"/>
                <w:szCs w:val="12"/>
                <w:lang w:eastAsia="en-IN" w:bidi="hi-IN"/>
              </w:rPr>
            </w:pPr>
          </w:p>
        </w:tc>
      </w:tr>
      <w:tr w:rsidR="006B344A" w:rsidRPr="006B344A" w14:paraId="46F7F8AD" w14:textId="77777777" w:rsidTr="00767612">
        <w:trPr>
          <w:trHeight w:val="292"/>
          <w:jc w:val="center"/>
        </w:trPr>
        <w:tc>
          <w:tcPr>
            <w:tcW w:w="870" w:type="dxa"/>
            <w:noWrap/>
            <w:vAlign w:val="center"/>
            <w:hideMark/>
          </w:tcPr>
          <w:p w14:paraId="3E9FB251" w14:textId="77777777" w:rsidR="006B344A" w:rsidRPr="006B344A" w:rsidRDefault="006B344A" w:rsidP="006B344A">
            <w:pPr>
              <w:jc w:val="both"/>
              <w:rPr>
                <w:rFonts w:ascii="Arial" w:hAnsi="Arial" w:cs="Arial"/>
                <w:sz w:val="12"/>
                <w:szCs w:val="12"/>
                <w:vertAlign w:val="superscript"/>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870" w:type="dxa"/>
            <w:noWrap/>
            <w:vAlign w:val="center"/>
            <w:hideMark/>
          </w:tcPr>
          <w:p w14:paraId="0F88988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-0.673</w:t>
            </w:r>
          </w:p>
        </w:tc>
        <w:tc>
          <w:tcPr>
            <w:tcW w:w="610" w:type="dxa"/>
            <w:noWrap/>
            <w:vAlign w:val="center"/>
            <w:hideMark/>
          </w:tcPr>
          <w:p w14:paraId="064F66D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-0.577</w:t>
            </w:r>
          </w:p>
        </w:tc>
        <w:tc>
          <w:tcPr>
            <w:tcW w:w="701" w:type="dxa"/>
            <w:noWrap/>
            <w:vAlign w:val="center"/>
            <w:hideMark/>
          </w:tcPr>
          <w:p w14:paraId="2F2998C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0.116</w:t>
            </w:r>
          </w:p>
        </w:tc>
        <w:tc>
          <w:tcPr>
            <w:tcW w:w="709" w:type="dxa"/>
            <w:noWrap/>
            <w:vAlign w:val="center"/>
            <w:hideMark/>
          </w:tcPr>
          <w:p w14:paraId="69D7E7F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0.072</w:t>
            </w:r>
          </w:p>
        </w:tc>
        <w:tc>
          <w:tcPr>
            <w:tcW w:w="708" w:type="dxa"/>
            <w:noWrap/>
            <w:vAlign w:val="center"/>
            <w:hideMark/>
          </w:tcPr>
          <w:p w14:paraId="1AEB7D8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-0.937</w:t>
            </w:r>
          </w:p>
        </w:tc>
        <w:tc>
          <w:tcPr>
            <w:tcW w:w="709" w:type="dxa"/>
            <w:noWrap/>
            <w:vAlign w:val="center"/>
            <w:hideMark/>
          </w:tcPr>
          <w:p w14:paraId="573B426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567" w:type="dxa"/>
            <w:noWrap/>
            <w:vAlign w:val="center"/>
            <w:hideMark/>
          </w:tcPr>
          <w:p w14:paraId="176EBF76"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0EB3D023"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23448005"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15F0073A"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3451F385" w14:textId="77777777" w:rsidR="006B344A" w:rsidRPr="006B344A" w:rsidRDefault="006B344A" w:rsidP="006B344A">
            <w:pPr>
              <w:jc w:val="both"/>
              <w:rPr>
                <w:rFonts w:ascii="Arial" w:hAnsi="Arial" w:cs="Arial"/>
                <w:sz w:val="12"/>
                <w:szCs w:val="12"/>
                <w:lang w:eastAsia="en-IN" w:bidi="hi-IN"/>
              </w:rPr>
            </w:pPr>
          </w:p>
        </w:tc>
      </w:tr>
      <w:tr w:rsidR="006B344A" w:rsidRPr="006B344A" w14:paraId="53852FBB" w14:textId="77777777" w:rsidTr="00767612">
        <w:trPr>
          <w:trHeight w:val="292"/>
          <w:jc w:val="center"/>
        </w:trPr>
        <w:tc>
          <w:tcPr>
            <w:tcW w:w="870" w:type="dxa"/>
            <w:noWrap/>
            <w:vAlign w:val="center"/>
            <w:hideMark/>
          </w:tcPr>
          <w:p w14:paraId="320BEA0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870" w:type="dxa"/>
            <w:noWrap/>
            <w:vAlign w:val="center"/>
            <w:hideMark/>
          </w:tcPr>
          <w:p w14:paraId="0E1CE41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-0.850</w:t>
            </w:r>
          </w:p>
        </w:tc>
        <w:tc>
          <w:tcPr>
            <w:tcW w:w="610" w:type="dxa"/>
            <w:noWrap/>
            <w:vAlign w:val="center"/>
            <w:hideMark/>
          </w:tcPr>
          <w:p w14:paraId="0566CA8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-0.437</w:t>
            </w:r>
          </w:p>
        </w:tc>
        <w:tc>
          <w:tcPr>
            <w:tcW w:w="701" w:type="dxa"/>
            <w:noWrap/>
            <w:vAlign w:val="center"/>
            <w:hideMark/>
          </w:tcPr>
          <w:p w14:paraId="537563A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0.255</w:t>
            </w:r>
          </w:p>
        </w:tc>
        <w:tc>
          <w:tcPr>
            <w:tcW w:w="709" w:type="dxa"/>
            <w:noWrap/>
            <w:vAlign w:val="center"/>
            <w:hideMark/>
          </w:tcPr>
          <w:p w14:paraId="597CF51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-0.128</w:t>
            </w:r>
          </w:p>
        </w:tc>
        <w:tc>
          <w:tcPr>
            <w:tcW w:w="708" w:type="dxa"/>
            <w:noWrap/>
            <w:vAlign w:val="center"/>
            <w:hideMark/>
          </w:tcPr>
          <w:p w14:paraId="29D3D4D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-0.952</w:t>
            </w:r>
          </w:p>
        </w:tc>
        <w:tc>
          <w:tcPr>
            <w:tcW w:w="709" w:type="dxa"/>
            <w:noWrap/>
            <w:vAlign w:val="center"/>
            <w:hideMark/>
          </w:tcPr>
          <w:p w14:paraId="3E981EC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0.962</w:t>
            </w:r>
          </w:p>
        </w:tc>
        <w:tc>
          <w:tcPr>
            <w:tcW w:w="567" w:type="dxa"/>
            <w:noWrap/>
            <w:vAlign w:val="center"/>
            <w:hideMark/>
          </w:tcPr>
          <w:p w14:paraId="6CE0C13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0561DC96"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16582C8E"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4FB1F0B1"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786B9D79" w14:textId="77777777" w:rsidR="006B344A" w:rsidRPr="006B344A" w:rsidRDefault="006B344A" w:rsidP="006B344A">
            <w:pPr>
              <w:jc w:val="both"/>
              <w:rPr>
                <w:rFonts w:ascii="Arial" w:hAnsi="Arial" w:cs="Arial"/>
                <w:sz w:val="12"/>
                <w:szCs w:val="12"/>
                <w:lang w:eastAsia="en-IN" w:bidi="hi-IN"/>
              </w:rPr>
            </w:pPr>
          </w:p>
        </w:tc>
      </w:tr>
      <w:tr w:rsidR="006B344A" w:rsidRPr="006B344A" w14:paraId="787227AA" w14:textId="77777777" w:rsidTr="00767612">
        <w:trPr>
          <w:trHeight w:val="292"/>
          <w:jc w:val="center"/>
        </w:trPr>
        <w:tc>
          <w:tcPr>
            <w:tcW w:w="870" w:type="dxa"/>
            <w:noWrap/>
            <w:vAlign w:val="center"/>
            <w:hideMark/>
          </w:tcPr>
          <w:p w14:paraId="3784EDA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870" w:type="dxa"/>
            <w:noWrap/>
            <w:vAlign w:val="center"/>
            <w:hideMark/>
          </w:tcPr>
          <w:p w14:paraId="019EF06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0.950</w:t>
            </w:r>
          </w:p>
        </w:tc>
        <w:tc>
          <w:tcPr>
            <w:tcW w:w="610" w:type="dxa"/>
            <w:noWrap/>
            <w:vAlign w:val="center"/>
            <w:hideMark/>
          </w:tcPr>
          <w:p w14:paraId="497937C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-0.093</w:t>
            </w:r>
          </w:p>
        </w:tc>
        <w:tc>
          <w:tcPr>
            <w:tcW w:w="701" w:type="dxa"/>
            <w:noWrap/>
            <w:vAlign w:val="center"/>
            <w:hideMark/>
          </w:tcPr>
          <w:p w14:paraId="4A5D5BA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-0.165</w:t>
            </w:r>
          </w:p>
        </w:tc>
        <w:tc>
          <w:tcPr>
            <w:tcW w:w="709" w:type="dxa"/>
            <w:noWrap/>
            <w:vAlign w:val="center"/>
            <w:hideMark/>
          </w:tcPr>
          <w:p w14:paraId="7A9302B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0.632</w:t>
            </w:r>
          </w:p>
        </w:tc>
        <w:tc>
          <w:tcPr>
            <w:tcW w:w="708" w:type="dxa"/>
            <w:noWrap/>
            <w:vAlign w:val="center"/>
            <w:hideMark/>
          </w:tcPr>
          <w:p w14:paraId="74DC24E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0.681</w:t>
            </w:r>
          </w:p>
        </w:tc>
        <w:tc>
          <w:tcPr>
            <w:tcW w:w="709" w:type="dxa"/>
            <w:noWrap/>
            <w:vAlign w:val="center"/>
            <w:hideMark/>
          </w:tcPr>
          <w:p w14:paraId="3C7FDC6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-0.691</w:t>
            </w:r>
          </w:p>
        </w:tc>
        <w:tc>
          <w:tcPr>
            <w:tcW w:w="567" w:type="dxa"/>
            <w:noWrap/>
            <w:vAlign w:val="center"/>
            <w:hideMark/>
          </w:tcPr>
          <w:p w14:paraId="103811D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-0.845</w:t>
            </w:r>
          </w:p>
        </w:tc>
        <w:tc>
          <w:tcPr>
            <w:tcW w:w="709" w:type="dxa"/>
            <w:noWrap/>
            <w:vAlign w:val="center"/>
            <w:hideMark/>
          </w:tcPr>
          <w:p w14:paraId="521179E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037ED5CF"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33DD2AD6"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46C115E7" w14:textId="77777777" w:rsidR="006B344A" w:rsidRPr="006B344A" w:rsidRDefault="006B344A" w:rsidP="006B344A">
            <w:pPr>
              <w:jc w:val="both"/>
              <w:rPr>
                <w:rFonts w:ascii="Arial" w:hAnsi="Arial" w:cs="Arial"/>
                <w:sz w:val="12"/>
                <w:szCs w:val="12"/>
                <w:lang w:eastAsia="en-IN" w:bidi="hi-IN"/>
              </w:rPr>
            </w:pPr>
          </w:p>
        </w:tc>
      </w:tr>
      <w:tr w:rsidR="006B344A" w:rsidRPr="006B344A" w14:paraId="36A6D4CD" w14:textId="77777777" w:rsidTr="00767612">
        <w:trPr>
          <w:trHeight w:val="292"/>
          <w:jc w:val="center"/>
        </w:trPr>
        <w:tc>
          <w:tcPr>
            <w:tcW w:w="870" w:type="dxa"/>
            <w:noWrap/>
            <w:vAlign w:val="center"/>
            <w:hideMark/>
          </w:tcPr>
          <w:p w14:paraId="4E68A26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870" w:type="dxa"/>
            <w:noWrap/>
            <w:vAlign w:val="center"/>
            <w:hideMark/>
          </w:tcPr>
          <w:p w14:paraId="1F2B878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-0.427</w:t>
            </w:r>
          </w:p>
        </w:tc>
        <w:tc>
          <w:tcPr>
            <w:tcW w:w="610" w:type="dxa"/>
            <w:noWrap/>
            <w:vAlign w:val="center"/>
            <w:hideMark/>
          </w:tcPr>
          <w:p w14:paraId="63FA7F9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-0.514</w:t>
            </w:r>
          </w:p>
        </w:tc>
        <w:tc>
          <w:tcPr>
            <w:tcW w:w="701" w:type="dxa"/>
            <w:noWrap/>
            <w:vAlign w:val="center"/>
            <w:hideMark/>
          </w:tcPr>
          <w:p w14:paraId="1BFE676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0.996</w:t>
            </w:r>
          </w:p>
        </w:tc>
        <w:tc>
          <w:tcPr>
            <w:tcW w:w="709" w:type="dxa"/>
            <w:noWrap/>
            <w:vAlign w:val="center"/>
            <w:hideMark/>
          </w:tcPr>
          <w:p w14:paraId="09D1AB3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0.305</w:t>
            </w:r>
          </w:p>
        </w:tc>
        <w:tc>
          <w:tcPr>
            <w:tcW w:w="708" w:type="dxa"/>
            <w:noWrap/>
            <w:vAlign w:val="center"/>
            <w:hideMark/>
          </w:tcPr>
          <w:p w14:paraId="4BA1494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-0.485</w:t>
            </w:r>
          </w:p>
        </w:tc>
        <w:tc>
          <w:tcPr>
            <w:tcW w:w="709" w:type="dxa"/>
            <w:noWrap/>
            <w:vAlign w:val="center"/>
            <w:hideMark/>
          </w:tcPr>
          <w:p w14:paraId="0585C1E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0.150</w:t>
            </w:r>
          </w:p>
        </w:tc>
        <w:tc>
          <w:tcPr>
            <w:tcW w:w="567" w:type="dxa"/>
            <w:noWrap/>
            <w:vAlign w:val="center"/>
            <w:hideMark/>
          </w:tcPr>
          <w:p w14:paraId="776D685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0.266</w:t>
            </w:r>
          </w:p>
        </w:tc>
        <w:tc>
          <w:tcPr>
            <w:tcW w:w="709" w:type="dxa"/>
            <w:noWrap/>
            <w:vAlign w:val="center"/>
            <w:hideMark/>
          </w:tcPr>
          <w:p w14:paraId="3B493AE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-0.125</w:t>
            </w:r>
          </w:p>
        </w:tc>
        <w:tc>
          <w:tcPr>
            <w:tcW w:w="709" w:type="dxa"/>
            <w:noWrap/>
            <w:vAlign w:val="center"/>
            <w:hideMark/>
          </w:tcPr>
          <w:p w14:paraId="0366AE9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10" w:type="dxa"/>
            <w:noWrap/>
            <w:vAlign w:val="center"/>
            <w:hideMark/>
          </w:tcPr>
          <w:p w14:paraId="15442FBF"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73E86CE7" w14:textId="77777777" w:rsidR="006B344A" w:rsidRPr="006B344A" w:rsidRDefault="006B344A" w:rsidP="006B344A">
            <w:pPr>
              <w:jc w:val="both"/>
              <w:rPr>
                <w:rFonts w:ascii="Arial" w:hAnsi="Arial" w:cs="Arial"/>
                <w:sz w:val="12"/>
                <w:szCs w:val="12"/>
                <w:lang w:eastAsia="en-IN" w:bidi="hi-IN"/>
              </w:rPr>
            </w:pPr>
          </w:p>
        </w:tc>
      </w:tr>
      <w:tr w:rsidR="006B344A" w:rsidRPr="006B344A" w14:paraId="3158BF13" w14:textId="77777777" w:rsidTr="00767612">
        <w:trPr>
          <w:trHeight w:val="292"/>
          <w:jc w:val="center"/>
        </w:trPr>
        <w:tc>
          <w:tcPr>
            <w:tcW w:w="870" w:type="dxa"/>
            <w:noWrap/>
            <w:vAlign w:val="center"/>
            <w:hideMark/>
          </w:tcPr>
          <w:p w14:paraId="393E921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870" w:type="dxa"/>
            <w:noWrap/>
            <w:vAlign w:val="center"/>
            <w:hideMark/>
          </w:tcPr>
          <w:p w14:paraId="307853F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-0.711*</w:t>
            </w:r>
          </w:p>
        </w:tc>
        <w:tc>
          <w:tcPr>
            <w:tcW w:w="610" w:type="dxa"/>
            <w:noWrap/>
            <w:vAlign w:val="center"/>
            <w:hideMark/>
          </w:tcPr>
          <w:p w14:paraId="133A77D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0.590*</w:t>
            </w:r>
          </w:p>
        </w:tc>
        <w:tc>
          <w:tcPr>
            <w:tcW w:w="701" w:type="dxa"/>
            <w:noWrap/>
            <w:vAlign w:val="center"/>
            <w:hideMark/>
          </w:tcPr>
          <w:p w14:paraId="45131FC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0.297</w:t>
            </w:r>
            <w:r w:rsidRPr="006B344A">
              <w:rPr>
                <w:rFonts w:ascii="Arial" w:hAnsi="Arial" w:cs="Arial"/>
                <w:sz w:val="12"/>
                <w:szCs w:val="12"/>
                <w:vertAlign w:val="superscript"/>
                <w:lang w:eastAsia="en-IN" w:bidi="hi-IN"/>
              </w:rPr>
              <w:t>@</w:t>
            </w:r>
          </w:p>
        </w:tc>
        <w:tc>
          <w:tcPr>
            <w:tcW w:w="709" w:type="dxa"/>
            <w:noWrap/>
            <w:vAlign w:val="center"/>
            <w:hideMark/>
          </w:tcPr>
          <w:p w14:paraId="09B8195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-0.867**</w:t>
            </w:r>
          </w:p>
        </w:tc>
        <w:tc>
          <w:tcPr>
            <w:tcW w:w="708" w:type="dxa"/>
            <w:noWrap/>
            <w:vAlign w:val="center"/>
            <w:hideMark/>
          </w:tcPr>
          <w:p w14:paraId="76B13A4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-0.102</w:t>
            </w:r>
            <w:r w:rsidRPr="006B344A">
              <w:rPr>
                <w:rFonts w:ascii="Arial" w:hAnsi="Arial" w:cs="Arial"/>
                <w:sz w:val="12"/>
                <w:szCs w:val="12"/>
                <w:vertAlign w:val="superscript"/>
                <w:lang w:eastAsia="en-IN" w:bidi="hi-IN"/>
              </w:rPr>
              <w:t>@</w:t>
            </w:r>
          </w:p>
        </w:tc>
        <w:tc>
          <w:tcPr>
            <w:tcW w:w="709" w:type="dxa"/>
            <w:noWrap/>
            <w:vAlign w:val="center"/>
            <w:hideMark/>
          </w:tcPr>
          <w:p w14:paraId="0816AD6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-0.009</w:t>
            </w:r>
            <w:r w:rsidRPr="006B344A">
              <w:rPr>
                <w:rFonts w:ascii="Arial" w:hAnsi="Arial" w:cs="Arial"/>
                <w:sz w:val="12"/>
                <w:szCs w:val="12"/>
                <w:vertAlign w:val="superscript"/>
                <w:lang w:eastAsia="en-IN" w:bidi="hi-IN"/>
              </w:rPr>
              <w:t>@</w:t>
            </w:r>
          </w:p>
        </w:tc>
        <w:tc>
          <w:tcPr>
            <w:tcW w:w="567" w:type="dxa"/>
            <w:noWrap/>
            <w:vAlign w:val="center"/>
            <w:hideMark/>
          </w:tcPr>
          <w:p w14:paraId="69075E5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0.258</w:t>
            </w:r>
            <w:r w:rsidRPr="006B344A">
              <w:rPr>
                <w:rFonts w:ascii="Arial" w:hAnsi="Arial" w:cs="Arial"/>
                <w:sz w:val="12"/>
                <w:szCs w:val="12"/>
                <w:vertAlign w:val="superscript"/>
                <w:lang w:eastAsia="en-IN" w:bidi="hi-IN"/>
              </w:rPr>
              <w:t>@</w:t>
            </w:r>
          </w:p>
        </w:tc>
        <w:tc>
          <w:tcPr>
            <w:tcW w:w="709" w:type="dxa"/>
            <w:noWrap/>
            <w:vAlign w:val="center"/>
            <w:hideMark/>
          </w:tcPr>
          <w:p w14:paraId="5ABB67E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-0.704*</w:t>
            </w:r>
          </w:p>
        </w:tc>
        <w:tc>
          <w:tcPr>
            <w:tcW w:w="709" w:type="dxa"/>
            <w:noWrap/>
            <w:vAlign w:val="center"/>
            <w:hideMark/>
          </w:tcPr>
          <w:p w14:paraId="628EE90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0.210</w:t>
            </w:r>
            <w:r w:rsidRPr="006B344A">
              <w:rPr>
                <w:rFonts w:ascii="Arial" w:hAnsi="Arial" w:cs="Arial"/>
                <w:sz w:val="12"/>
                <w:szCs w:val="12"/>
                <w:vertAlign w:val="superscript"/>
                <w:lang w:eastAsia="en-IN" w:bidi="hi-IN"/>
              </w:rPr>
              <w:t>@</w:t>
            </w:r>
          </w:p>
        </w:tc>
        <w:tc>
          <w:tcPr>
            <w:tcW w:w="610" w:type="dxa"/>
            <w:noWrap/>
            <w:vAlign w:val="center"/>
            <w:hideMark/>
          </w:tcPr>
          <w:p w14:paraId="1F8DB98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240" w:type="dxa"/>
            <w:noWrap/>
            <w:vAlign w:val="center"/>
            <w:hideMark/>
          </w:tcPr>
          <w:p w14:paraId="1B128A85" w14:textId="77777777" w:rsidR="006B344A" w:rsidRPr="006B344A" w:rsidRDefault="006B344A" w:rsidP="006B344A">
            <w:pPr>
              <w:jc w:val="both"/>
              <w:rPr>
                <w:rFonts w:ascii="Arial" w:hAnsi="Arial" w:cs="Arial"/>
                <w:sz w:val="12"/>
                <w:szCs w:val="12"/>
                <w:lang w:eastAsia="en-IN" w:bidi="hi-IN"/>
              </w:rPr>
            </w:pPr>
          </w:p>
        </w:tc>
      </w:tr>
      <w:tr w:rsidR="006B344A" w:rsidRPr="006B344A" w14:paraId="37FD1DC5" w14:textId="77777777" w:rsidTr="00767612">
        <w:trPr>
          <w:trHeight w:val="300"/>
          <w:jc w:val="center"/>
        </w:trPr>
        <w:tc>
          <w:tcPr>
            <w:tcW w:w="870" w:type="dxa"/>
            <w:noWrap/>
            <w:vAlign w:val="center"/>
            <w:hideMark/>
          </w:tcPr>
          <w:p w14:paraId="34A6FC9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c>
          <w:tcPr>
            <w:tcW w:w="870" w:type="dxa"/>
            <w:noWrap/>
            <w:vAlign w:val="center"/>
            <w:hideMark/>
          </w:tcPr>
          <w:p w14:paraId="0534172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-0.509*</w:t>
            </w:r>
          </w:p>
        </w:tc>
        <w:tc>
          <w:tcPr>
            <w:tcW w:w="610" w:type="dxa"/>
            <w:noWrap/>
            <w:vAlign w:val="center"/>
            <w:hideMark/>
          </w:tcPr>
          <w:p w14:paraId="3A68E9C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0.816**</w:t>
            </w:r>
          </w:p>
        </w:tc>
        <w:tc>
          <w:tcPr>
            <w:tcW w:w="701" w:type="dxa"/>
            <w:noWrap/>
            <w:vAlign w:val="center"/>
            <w:hideMark/>
          </w:tcPr>
          <w:p w14:paraId="65DDD42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-0.026</w:t>
            </w:r>
            <w:r w:rsidRPr="006B344A">
              <w:rPr>
                <w:rFonts w:ascii="Arial" w:hAnsi="Arial" w:cs="Arial"/>
                <w:sz w:val="12"/>
                <w:szCs w:val="12"/>
                <w:vertAlign w:val="superscript"/>
                <w:lang w:eastAsia="en-IN" w:bidi="hi-IN"/>
              </w:rPr>
              <w:t>@</w:t>
            </w:r>
          </w:p>
        </w:tc>
        <w:tc>
          <w:tcPr>
            <w:tcW w:w="709" w:type="dxa"/>
            <w:noWrap/>
            <w:vAlign w:val="center"/>
            <w:hideMark/>
          </w:tcPr>
          <w:p w14:paraId="0A21D4D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-0.975**</w:t>
            </w:r>
          </w:p>
        </w:tc>
        <w:tc>
          <w:tcPr>
            <w:tcW w:w="708" w:type="dxa"/>
            <w:noWrap/>
            <w:vAlign w:val="center"/>
            <w:hideMark/>
          </w:tcPr>
          <w:p w14:paraId="4EEECD5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0.150</w:t>
            </w:r>
            <w:r w:rsidRPr="006B344A">
              <w:rPr>
                <w:rFonts w:ascii="Arial" w:hAnsi="Arial" w:cs="Arial"/>
                <w:sz w:val="12"/>
                <w:szCs w:val="12"/>
                <w:vertAlign w:val="superscript"/>
                <w:lang w:eastAsia="en-IN" w:bidi="hi-IN"/>
              </w:rPr>
              <w:t>@</w:t>
            </w:r>
          </w:p>
        </w:tc>
        <w:tc>
          <w:tcPr>
            <w:tcW w:w="709" w:type="dxa"/>
            <w:noWrap/>
            <w:vAlign w:val="center"/>
            <w:hideMark/>
          </w:tcPr>
          <w:p w14:paraId="3A4853E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-0.163</w:t>
            </w:r>
            <w:r w:rsidRPr="006B344A">
              <w:rPr>
                <w:rFonts w:ascii="Arial" w:hAnsi="Arial" w:cs="Arial"/>
                <w:sz w:val="12"/>
                <w:szCs w:val="12"/>
                <w:vertAlign w:val="superscript"/>
                <w:lang w:eastAsia="en-IN" w:bidi="hi-IN"/>
              </w:rPr>
              <w:t>@</w:t>
            </w:r>
          </w:p>
        </w:tc>
        <w:tc>
          <w:tcPr>
            <w:tcW w:w="567" w:type="dxa"/>
            <w:noWrap/>
            <w:vAlign w:val="center"/>
            <w:hideMark/>
          </w:tcPr>
          <w:p w14:paraId="03C7A1D5" w14:textId="77777777" w:rsidR="006B344A" w:rsidRPr="006B344A" w:rsidRDefault="006B344A" w:rsidP="006B344A">
            <w:pPr>
              <w:jc w:val="both"/>
              <w:rPr>
                <w:rFonts w:ascii="Arial" w:hAnsi="Arial" w:cs="Arial"/>
                <w:sz w:val="12"/>
                <w:szCs w:val="12"/>
                <w:vertAlign w:val="superscript"/>
                <w:lang w:eastAsia="en-IN" w:bidi="hi-IN"/>
              </w:rPr>
            </w:pPr>
            <w:r w:rsidRPr="006B344A">
              <w:rPr>
                <w:rFonts w:ascii="Arial" w:hAnsi="Arial" w:cs="Arial"/>
                <w:sz w:val="12"/>
                <w:szCs w:val="12"/>
                <w:lang w:eastAsia="en-IN" w:bidi="hi-IN"/>
              </w:rPr>
              <w:t>0.073</w:t>
            </w:r>
            <w:r w:rsidRPr="006B344A">
              <w:rPr>
                <w:rFonts w:ascii="Arial" w:hAnsi="Arial" w:cs="Arial"/>
                <w:sz w:val="12"/>
                <w:szCs w:val="12"/>
                <w:vertAlign w:val="superscript"/>
                <w:lang w:eastAsia="en-IN" w:bidi="hi-IN"/>
              </w:rPr>
              <w:t>@</w:t>
            </w:r>
          </w:p>
        </w:tc>
        <w:tc>
          <w:tcPr>
            <w:tcW w:w="709" w:type="dxa"/>
            <w:noWrap/>
            <w:vAlign w:val="center"/>
            <w:hideMark/>
          </w:tcPr>
          <w:p w14:paraId="1C9824D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-0.595*</w:t>
            </w:r>
          </w:p>
        </w:tc>
        <w:tc>
          <w:tcPr>
            <w:tcW w:w="709" w:type="dxa"/>
            <w:noWrap/>
            <w:vAlign w:val="center"/>
            <w:hideMark/>
          </w:tcPr>
          <w:p w14:paraId="13CA62B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-0.118</w:t>
            </w:r>
            <w:r w:rsidRPr="006B344A">
              <w:rPr>
                <w:rFonts w:ascii="Arial" w:hAnsi="Arial" w:cs="Arial"/>
                <w:sz w:val="12"/>
                <w:szCs w:val="12"/>
                <w:vertAlign w:val="superscript"/>
                <w:lang w:eastAsia="en-IN" w:bidi="hi-IN"/>
              </w:rPr>
              <w:t>@</w:t>
            </w:r>
          </w:p>
        </w:tc>
        <w:tc>
          <w:tcPr>
            <w:tcW w:w="610" w:type="dxa"/>
            <w:noWrap/>
            <w:vAlign w:val="center"/>
            <w:hideMark/>
          </w:tcPr>
          <w:p w14:paraId="5639BDB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0.940**</w:t>
            </w:r>
          </w:p>
        </w:tc>
        <w:tc>
          <w:tcPr>
            <w:tcW w:w="240" w:type="dxa"/>
            <w:noWrap/>
            <w:vAlign w:val="center"/>
            <w:hideMark/>
          </w:tcPr>
          <w:p w14:paraId="002F773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r>
    </w:tbl>
    <w:p w14:paraId="046BEF87" w14:textId="77777777" w:rsidR="006B344A" w:rsidRPr="006B344A" w:rsidRDefault="006B344A" w:rsidP="006B344A">
      <w:pPr>
        <w:ind w:left="720"/>
        <w:jc w:val="both"/>
        <w:rPr>
          <w:rFonts w:ascii="Arial" w:hAnsi="Arial" w:cs="Arial"/>
          <w:sz w:val="20"/>
          <w:szCs w:val="20"/>
        </w:rPr>
      </w:pPr>
    </w:p>
    <w:p w14:paraId="3BD0D18E" w14:textId="77777777" w:rsidR="006B344A" w:rsidRPr="006B344A" w:rsidRDefault="006B344A" w:rsidP="006B344A">
      <w:pPr>
        <w:jc w:val="both"/>
        <w:rPr>
          <w:rFonts w:ascii="Arial" w:hAnsi="Arial" w:cs="Arial"/>
          <w:sz w:val="20"/>
          <w:szCs w:val="20"/>
        </w:rPr>
      </w:pPr>
      <w:r>
        <w:rPr>
          <w:highlight w:val="yellow"/>
        </w:rPr>
        <w:lastRenderedPageBreak/>
        <w:t>*P = .05; **P &lt; .01; @NS = not significant; PP = phytoplankton; ZP = zooplankton.</w:t>
      </w:r>
    </w:p>
    <w:p w14:paraId="55040150" w14:textId="77777777" w:rsidR="006B344A" w:rsidRPr="006B344A" w:rsidRDefault="006B344A" w:rsidP="006B344A">
      <w:pPr>
        <w:jc w:val="both"/>
        <w:rPr>
          <w:rFonts w:ascii="Arial" w:eastAsia="Arial" w:hAnsi="Arial" w:cs="Arial"/>
          <w:sz w:val="20"/>
          <w:szCs w:val="20"/>
        </w:rPr>
      </w:pPr>
      <w:r>
        <w:rPr>
          <w:highlight w:val="yellow"/>
        </w:rPr>
        <w:t>The correlation coefficients calculated for phytoplankton abundance, zooplankton abundance, and various water quality parameters in the non-fishing zones during the study period are presented in Table 2. Phytoplankton exhibited a negative relationship with DO at P &lt; 0.01. Temperature and phosphate exhibited negative correlations (P &lt; 0.05), whereas salinity was positively correlated (P &lt; 0.05). Zooplankton abundance showed no significant correlation with pH, ammonia, nitrate, nitrite, or silicate, but exhibited a strong positive correlation with phytoplankton at P &lt; 0.01.</w:t>
      </w:r>
    </w:p>
    <w:p w14:paraId="15B333E8" w14:textId="77777777" w:rsidR="006B344A" w:rsidRPr="006B344A" w:rsidRDefault="006B344A" w:rsidP="006B344A">
      <w:pPr>
        <w:jc w:val="both"/>
        <w:rPr>
          <w:rFonts w:ascii="Arial" w:eastAsia="Arial" w:hAnsi="Arial" w:cs="Arial"/>
          <w:b/>
          <w:bCs/>
          <w:sz w:val="22"/>
          <w:szCs w:val="22"/>
        </w:rPr>
      </w:pPr>
    </w:p>
    <w:p w14:paraId="16DAF698" w14:textId="77777777" w:rsidR="006B344A" w:rsidRPr="006B344A" w:rsidRDefault="006B344A" w:rsidP="006B344A">
      <w:pPr>
        <w:jc w:val="both"/>
        <w:rPr>
          <w:rFonts w:ascii="Arial" w:hAnsi="Arial" w:cs="Arial"/>
          <w:b/>
          <w:bCs/>
          <w:sz w:val="20"/>
          <w:szCs w:val="20"/>
        </w:rPr>
      </w:pPr>
      <w:r>
        <w:rPr>
          <w:rFonts w:ascii="Times New Roman" w:hAnsi="Times New Roman"/>
          <w:b/>
          <w:sz w:val="22"/>
          <w:highlight w:val="yellow"/>
        </w:rPr>
        <w:t>4.1 Physicochemical Parameters</w:t>
      </w:r>
    </w:p>
    <w:p w14:paraId="6932D83E" w14:textId="77777777" w:rsidR="006B344A" w:rsidRDefault="006B344A" w:rsidP="006B344A">
      <w:pPr>
        <w:jc w:val="both"/>
        <w:rPr>
          <w:rFonts w:ascii="Arial" w:hAnsi="Arial" w:cs="Arial"/>
          <w:sz w:val="20"/>
          <w:szCs w:val="20"/>
        </w:rPr>
      </w:pPr>
      <w:r>
        <w:rPr>
          <w:highlight w:val="yellow"/>
        </w:rPr>
        <w:t>Temperature increased steadily from November to February after the onset of the northeast monsoon period. The highest (30.50 °C) and lowest (25.70 °C) water temperatures were recorded in February and November, respectively, coinciding with the results of Sharma and Cyril (2007).</w:t>
      </w:r>
    </w:p>
    <w:p w14:paraId="5E9EB71C" w14:textId="77777777" w:rsidR="006B344A" w:rsidRDefault="006B344A" w:rsidP="006B344A">
      <w:pPr>
        <w:jc w:val="both"/>
        <w:rPr>
          <w:rFonts w:ascii="Arial" w:hAnsi="Arial" w:cs="Arial"/>
          <w:sz w:val="20"/>
          <w:szCs w:val="20"/>
        </w:rPr>
      </w:pPr>
      <w:r>
        <w:rPr>
          <w:highlight w:val="yellow"/>
        </w:rPr>
        <w:t xml:space="preserve">Surface salinity was lower in November and December and ranged between 29.67 ppt and 34.51 ppt. This may have been due to freshwater influx during the onset of the northeast monsoon. Relatively high salinity was observed in surface waters during the pre-monsoon season, as reported by </w:t>
      </w:r>
      <w:proofErr w:type="spellStart"/>
      <w:r>
        <w:rPr>
          <w:highlight w:val="yellow"/>
        </w:rPr>
        <w:t>Krishnankutty</w:t>
      </w:r>
      <w:proofErr w:type="spellEnd"/>
      <w:r>
        <w:rPr>
          <w:highlight w:val="yellow"/>
        </w:rPr>
        <w:t xml:space="preserve"> et al. (2019).</w:t>
      </w:r>
    </w:p>
    <w:p w14:paraId="09E39F4B" w14:textId="77777777" w:rsidR="006B344A" w:rsidRPr="006B344A" w:rsidRDefault="006B344A" w:rsidP="006B344A">
      <w:pPr>
        <w:jc w:val="both"/>
        <w:rPr>
          <w:rFonts w:ascii="Arial" w:hAnsi="Arial" w:cs="Arial"/>
          <w:sz w:val="20"/>
          <w:szCs w:val="20"/>
        </w:rPr>
      </w:pPr>
      <w:r>
        <w:rPr>
          <w:highlight w:val="yellow"/>
        </w:rPr>
        <w:t>Hydrogen ion concentration was maximum in December (8.37) in FZ-2 and minimum in February (6.56) in NFZ-1. The steep decline in February at NFZ-1 may have been due to the influence of organic matter decomposition or pollution in that area.</w:t>
      </w:r>
    </w:p>
    <w:p w14:paraId="7C62A5DB" w14:textId="77777777" w:rsidR="006B344A" w:rsidRPr="006B344A" w:rsidRDefault="006B344A" w:rsidP="006B344A">
      <w:pPr>
        <w:jc w:val="both"/>
        <w:rPr>
          <w:rFonts w:ascii="Arial" w:hAnsi="Arial" w:cs="Arial"/>
          <w:sz w:val="20"/>
          <w:szCs w:val="20"/>
        </w:rPr>
      </w:pPr>
      <w:r>
        <w:rPr>
          <w:highlight w:val="yellow"/>
        </w:rPr>
        <w:t>Dissolved oxygen varied between 4.28 mg/l and 6.96 mg/l. The highest DO was observed in December, and the lowest was observed in November. Although the surface layers receive a large amount of freshwater during the northeast monsoon season in November, the lowest concentration of DO was observed in the same season. This may be because of the absence of vertical mixing due to density stratification and the oxidation of organic matter, as reported by Naqvi et al. (2009).</w:t>
      </w:r>
    </w:p>
    <w:p w14:paraId="6F81C9CD" w14:textId="77777777" w:rsidR="006B344A" w:rsidRPr="006B344A" w:rsidRDefault="006B344A" w:rsidP="006B344A">
      <w:pPr>
        <w:jc w:val="both"/>
        <w:rPr>
          <w:rFonts w:ascii="Arial" w:hAnsi="Arial" w:cs="Arial"/>
          <w:sz w:val="20"/>
          <w:szCs w:val="20"/>
        </w:rPr>
      </w:pPr>
      <w:r>
        <w:rPr>
          <w:highlight w:val="yellow"/>
        </w:rPr>
        <w:t>In the present study, the maximum concentration of total ammonia was recorded in FZ-2 during February and NFZ-1 during November (0.99 mg/l), whereas the minimum was recorded in Fishing Zone-1 (FZ-1) during January (0.09 mg/l). The higher concentration recorded could be partly due to the death and subsequent decomposition of phytoplankton and the excretion of ammonia by planktonic organisms (Calliari et al., 2005).</w:t>
      </w:r>
    </w:p>
    <w:p w14:paraId="6127B86E" w14:textId="77777777" w:rsidR="006B344A" w:rsidRPr="006B344A" w:rsidRDefault="006B344A" w:rsidP="006B344A">
      <w:pPr>
        <w:jc w:val="both"/>
        <w:rPr>
          <w:rFonts w:ascii="Arial" w:hAnsi="Arial" w:cs="Arial"/>
          <w:sz w:val="20"/>
          <w:szCs w:val="20"/>
        </w:rPr>
      </w:pPr>
      <w:r>
        <w:rPr>
          <w:highlight w:val="yellow"/>
        </w:rPr>
        <w:t>The ranges of nitrate and nitrite were 0.06-3.15 mg/l and 0.08-2.48 mg/l, respectively. They were highest in November and December, which may be due to the increased oxidation of ammonia and the recycling of nitrogen by bacterial decomposition.</w:t>
      </w:r>
    </w:p>
    <w:p w14:paraId="4BDB30A6" w14:textId="77777777" w:rsidR="006B344A" w:rsidRPr="006B344A" w:rsidRDefault="006B344A" w:rsidP="006B344A">
      <w:pPr>
        <w:jc w:val="both"/>
        <w:rPr>
          <w:rFonts w:ascii="Arial" w:hAnsi="Arial" w:cs="Arial"/>
          <w:sz w:val="20"/>
          <w:szCs w:val="20"/>
        </w:rPr>
      </w:pPr>
      <w:r>
        <w:rPr>
          <w:highlight w:val="yellow"/>
        </w:rPr>
        <w:lastRenderedPageBreak/>
        <w:t>Phosphate is the most important inorganic nutrient that can limit phytoplankton production in coastal water ecosystems. Maximum phosphate was reported in January at FZ-1 (1.75 mg/l), whereas the minimum was recorded in NFZ-2 during November (0.79 mg/l). The addition of superphosphates applied in agricultural fields as fertilisers and alkyl phosphates in detergents may be other contributing sources of these inorganic phosphates during the study period, and earlier studies also support this statement (Das et al., 1997; Senthilkumar et al., 2002).</w:t>
      </w:r>
    </w:p>
    <w:p w14:paraId="32E61E3B" w14:textId="77777777" w:rsidR="006B344A" w:rsidRPr="006B344A" w:rsidRDefault="006B344A" w:rsidP="006B344A">
      <w:pPr>
        <w:jc w:val="both"/>
        <w:rPr>
          <w:rFonts w:ascii="Arial" w:hAnsi="Arial" w:cs="Arial"/>
          <w:sz w:val="20"/>
          <w:szCs w:val="20"/>
        </w:rPr>
      </w:pPr>
      <w:r>
        <w:rPr>
          <w:highlight w:val="yellow"/>
        </w:rPr>
        <w:t>The concentration of silicate during the present study ranged from 3.25 to 5.98 mg/l. The highest and lowest values were observed in December (FZ-3) and February (NFZ-3), respectively. Higher silicate values were recorded in all fishing zones than in the non-fishing zones. This may be due to the addition of silica materials through land runoff caused by flooding (</w:t>
      </w:r>
      <w:proofErr w:type="spellStart"/>
      <w:r>
        <w:rPr>
          <w:highlight w:val="yellow"/>
        </w:rPr>
        <w:t>Rajasegar</w:t>
      </w:r>
      <w:proofErr w:type="spellEnd"/>
      <w:r>
        <w:rPr>
          <w:highlight w:val="yellow"/>
        </w:rPr>
        <w:t xml:space="preserve"> et al., 2000), and the increase in silicate concentration may be due to the presence of siliceous frustules of diatoms (Kristiansen &amp; Hoell, 2002).</w:t>
      </w:r>
    </w:p>
    <w:p w14:paraId="412293AD"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4.2 Plankton</w:t>
      </w:r>
    </w:p>
    <w:p w14:paraId="6688304F" w14:textId="77777777" w:rsidR="006B344A" w:rsidRPr="006B344A" w:rsidRDefault="006B344A" w:rsidP="006B344A">
      <w:pPr>
        <w:jc w:val="both"/>
        <w:rPr>
          <w:rFonts w:ascii="Arial" w:hAnsi="Arial" w:cs="Arial"/>
          <w:sz w:val="20"/>
          <w:szCs w:val="20"/>
        </w:rPr>
      </w:pPr>
      <w:r>
        <w:rPr>
          <w:highlight w:val="yellow"/>
        </w:rPr>
        <w:t>Previous work suggests that high concentrations of fish occur in areas of high plankton production, which are also areas of enrichment (Sheldon et al., 1977). Pelagic fisheries exhibit a direct relationship with zooplankton production (Sheldon et al., 1977). In the present study, the two-way analysis of variance calculated for total zooplankton density recorded in the fishing and non-fishing zones showed significant differences among months, whereas no significant differences were observed between the fishing and non-fishing zones.</w:t>
      </w:r>
    </w:p>
    <w:p w14:paraId="11B22616"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4.3 Phytoplankton</w:t>
      </w:r>
    </w:p>
    <w:p w14:paraId="7A6BD63B" w14:textId="77777777" w:rsidR="006B344A" w:rsidRPr="006B344A" w:rsidRDefault="006B344A" w:rsidP="006B344A">
      <w:pPr>
        <w:jc w:val="both"/>
        <w:rPr>
          <w:rFonts w:ascii="Arial" w:hAnsi="Arial" w:cs="Arial"/>
          <w:sz w:val="20"/>
          <w:szCs w:val="20"/>
        </w:rPr>
      </w:pPr>
      <w:r>
        <w:rPr>
          <w:highlight w:val="yellow"/>
        </w:rPr>
        <w:t xml:space="preserve">Among the zones, the maximum abundance of phytoplankton was reported in FZ-1 during December (10340 cells L⁻¹), whereas the minimum was recorded in NFZ-2 during February (6815 cells L⁻¹). In December, phytoplankton abundance was comparatively higher in the fishing zone because the fishing zones had higher silicate concentrations than the non-fishing zones, and all other parameters were also normal in the fishing zone. In the present study, phytoplankton abundance was positively correlated with pH, temperature, salinity, and nutrients, which is in line with the results of Rai and Rajashekhar (2015). The present study showed a relationship between the densities of phytoplankton and environmental variables such as dissolved oxygen and pH, which coincides with the work of </w:t>
      </w:r>
      <w:proofErr w:type="spellStart"/>
      <w:r>
        <w:rPr>
          <w:highlight w:val="yellow"/>
        </w:rPr>
        <w:t>Temkar</w:t>
      </w:r>
      <w:proofErr w:type="spellEnd"/>
      <w:r>
        <w:rPr>
          <w:highlight w:val="yellow"/>
        </w:rPr>
        <w:t xml:space="preserve"> et al. (2015) in the coastal waters of Veraval.</w:t>
      </w:r>
    </w:p>
    <w:p w14:paraId="16069723"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 xml:space="preserve">4.4 Zooplankton </w:t>
      </w:r>
    </w:p>
    <w:p w14:paraId="15E0DD61" w14:textId="77777777" w:rsidR="006B344A" w:rsidRPr="006B344A" w:rsidRDefault="006B344A" w:rsidP="006B344A">
      <w:pPr>
        <w:jc w:val="both"/>
        <w:rPr>
          <w:rFonts w:ascii="Arial" w:hAnsi="Arial" w:cs="Arial"/>
          <w:sz w:val="20"/>
          <w:szCs w:val="20"/>
        </w:rPr>
      </w:pPr>
      <w:r>
        <w:rPr>
          <w:highlight w:val="yellow"/>
        </w:rPr>
        <w:t xml:space="preserve">The maximum zooplankton biomass and abundance values were recorded in November from FZ-1 (0.85 mL m⁻³ and 503 no. m⁻³, respectively), which may be due to dense swarms of calanoid copepods and decapods. The minimum biomass and abundance were recorded in December from NFZ-3 (0.63 mL m⁻³ and 422 no. m⁻³, respectively). An </w:t>
      </w:r>
      <w:r>
        <w:rPr>
          <w:highlight w:val="yellow"/>
        </w:rPr>
        <w:lastRenderedPageBreak/>
        <w:t>almost inverse trend was observed in relation to phytoplankton abundance, which was higher in FZ-1 during December (10340 cells L⁻¹).</w:t>
      </w:r>
    </w:p>
    <w:p w14:paraId="6E998689" w14:textId="77777777" w:rsidR="006B344A" w:rsidRPr="006B344A" w:rsidRDefault="006B344A" w:rsidP="006B344A">
      <w:pPr>
        <w:jc w:val="both"/>
        <w:rPr>
          <w:rFonts w:ascii="Arial" w:hAnsi="Arial" w:cs="Arial"/>
          <w:sz w:val="20"/>
          <w:szCs w:val="20"/>
        </w:rPr>
      </w:pPr>
      <w:r>
        <w:rPr>
          <w:highlight w:val="yellow"/>
        </w:rPr>
        <w:t>Most zooplankton species survive under a wide range of environmental conditions, and their growth and density depend on several physical, chemical, and biological factors (Swar &amp; Fernando, 1980). McLaren (1963) stated that temperature regulates the birth rate, longevity, and other population characteristics of zooplankton. The availability of food (</w:t>
      </w:r>
      <w:proofErr w:type="spellStart"/>
      <w:r>
        <w:rPr>
          <w:highlight w:val="yellow"/>
        </w:rPr>
        <w:t>Comita</w:t>
      </w:r>
      <w:proofErr w:type="spellEnd"/>
      <w:r>
        <w:rPr>
          <w:highlight w:val="yellow"/>
        </w:rPr>
        <w:t xml:space="preserve"> &amp; Anderson, 1959; </w:t>
      </w:r>
      <w:proofErr w:type="spellStart"/>
      <w:r>
        <w:rPr>
          <w:highlight w:val="yellow"/>
        </w:rPr>
        <w:t>Patalas</w:t>
      </w:r>
      <w:proofErr w:type="spellEnd"/>
      <w:r>
        <w:rPr>
          <w:highlight w:val="yellow"/>
        </w:rPr>
        <w:t>, 1972) and predation by planktivorous fishes and invertebrates (Swar &amp; Fernando, 1980) may have noticeable effects on zooplankton communities.</w:t>
      </w:r>
    </w:p>
    <w:p w14:paraId="12CB2DBC" w14:textId="77777777" w:rsidR="006B344A" w:rsidRDefault="006B344A" w:rsidP="006B344A">
      <w:pPr>
        <w:jc w:val="both"/>
        <w:rPr>
          <w:rFonts w:ascii="Arial" w:eastAsia="Arial" w:hAnsi="Arial" w:cs="Arial"/>
          <w:sz w:val="20"/>
          <w:szCs w:val="20"/>
        </w:rPr>
      </w:pPr>
      <w:r>
        <w:rPr>
          <w:highlight w:val="yellow"/>
        </w:rPr>
        <w:t>Copepods were the most dominant group in the zooplankton community in all fishing and non-fishing zones, constituting 49.6-72.1% of the total zooplankton, followed by decapods. The dominance of copepods on the south-central west coast of India has been reported by Venkataramana et al. (2020).</w:t>
      </w:r>
    </w:p>
    <w:p w14:paraId="17A6316F" w14:textId="77777777" w:rsidR="00302890" w:rsidRPr="00302890" w:rsidRDefault="00302890" w:rsidP="00302890">
      <w:pPr>
        <w:jc w:val="both"/>
        <w:rPr>
          <w:rFonts w:ascii="Arial" w:hAnsi="Arial" w:cs="Arial"/>
          <w:b/>
          <w:color w:val="000000" w:themeColor="text1"/>
          <w:sz w:val="20"/>
          <w:szCs w:val="20"/>
        </w:rPr>
      </w:pPr>
      <w:r>
        <w:rPr>
          <w:rFonts w:ascii="Times New Roman" w:hAnsi="Times New Roman"/>
          <w:b/>
          <w:sz w:val="22"/>
          <w:highlight w:val="yellow"/>
        </w:rPr>
        <w:t>4.5 Limitations of the Study</w:t>
      </w:r>
    </w:p>
    <w:p w14:paraId="5DC32246" w14:textId="77777777" w:rsidR="00302890" w:rsidRPr="00C70292" w:rsidRDefault="00302890" w:rsidP="00302890">
      <w:pPr>
        <w:jc w:val="both"/>
        <w:rPr>
          <w:rFonts w:ascii="Arial" w:hAnsi="Arial" w:cs="Arial"/>
          <w:bCs/>
          <w:color w:val="000000" w:themeColor="text1"/>
          <w:sz w:val="20"/>
          <w:szCs w:val="20"/>
        </w:rPr>
      </w:pPr>
      <w:r>
        <w:rPr>
          <w:highlight w:val="yellow"/>
        </w:rPr>
        <w:t>This study was limited by its sampling duration and spatial coverage. Sampling was conducted only from November 2019 to February 2020 because the planned extension to April 2020 could not be completed owing to COVID-19 restrictions. Therefore, the results represent a restricted temporal window and may not fully describe seasonal variability in plankton communities or water quality conditions off Kollam. The sampling was also confined to selected active fishing and non-fishing zones, which may limit broader comparison with other parts of the Arabian Sea. In addition, the assessment focused on physicochemical parameters, phytoplankton abundance, and zooplankton abundance. Other potentially relevant variables, including chlorophyll-a, current patterns, upwelling intensity, fish biomass, and remote sensing-based productivity indicators, were not included. The limited sampling volume for plankton assessment may also influence estimates of less abundant taxa. These limitations should be considered when interpreting relationships between plankton distribution and fishing-zone characteristics in this coastal area.</w:t>
      </w:r>
    </w:p>
    <w:p w14:paraId="2206C50D" w14:textId="77777777" w:rsidR="00302890" w:rsidRPr="00C70292" w:rsidRDefault="00302890" w:rsidP="00302890">
      <w:pPr>
        <w:jc w:val="both"/>
        <w:rPr>
          <w:rFonts w:ascii="Arial" w:hAnsi="Arial" w:cs="Arial"/>
          <w:bCs/>
          <w:color w:val="000000" w:themeColor="text1"/>
          <w:sz w:val="20"/>
          <w:szCs w:val="20"/>
        </w:rPr>
      </w:pPr>
    </w:p>
    <w:p w14:paraId="78C25398" w14:textId="77777777" w:rsidR="00302890" w:rsidRPr="00302890" w:rsidRDefault="00302890" w:rsidP="006B344A">
      <w:pPr>
        <w:jc w:val="both"/>
        <w:rPr>
          <w:rFonts w:ascii="Arial" w:hAnsi="Arial" w:cs="Arial"/>
          <w:bCs/>
          <w:color w:val="000000" w:themeColor="text1"/>
          <w:sz w:val="20"/>
          <w:szCs w:val="20"/>
        </w:rPr>
      </w:pPr>
    </w:p>
    <w:p w14:paraId="520DE02F" w14:textId="77777777" w:rsidR="006B344A" w:rsidRPr="006B344A" w:rsidRDefault="006B344A" w:rsidP="006B344A">
      <w:pPr>
        <w:jc w:val="both"/>
        <w:rPr>
          <w:rFonts w:ascii="Arial" w:eastAsia="Arial" w:hAnsi="Arial" w:cs="Arial"/>
          <w:b/>
          <w:bCs/>
          <w:sz w:val="20"/>
          <w:szCs w:val="20"/>
        </w:rPr>
      </w:pPr>
      <w:r w:rsidRPr="006B344A">
        <w:rPr>
          <w:rFonts w:ascii="Arial" w:eastAsia="Arial" w:hAnsi="Arial" w:cs="Arial"/>
          <w:b/>
          <w:bCs/>
          <w:sz w:val="20"/>
          <w:szCs w:val="20"/>
        </w:rPr>
        <w:t>5. CONCLUSION</w:t>
      </w:r>
    </w:p>
    <w:p w14:paraId="795E4F8D" w14:textId="77777777" w:rsidR="006B344A" w:rsidRPr="006B344A" w:rsidRDefault="006B344A" w:rsidP="006B344A">
      <w:pPr>
        <w:jc w:val="both"/>
        <w:rPr>
          <w:rFonts w:ascii="Arial" w:hAnsi="Arial" w:cs="Arial"/>
          <w:sz w:val="20"/>
          <w:szCs w:val="20"/>
        </w:rPr>
      </w:pPr>
      <w:r>
        <w:rPr>
          <w:highlight w:val="yellow"/>
        </w:rPr>
        <w:t xml:space="preserve">The present study compared zooplankton abundance, phytoplankton density, and water quality parameters in active fishing and non-fishing zones off Kollam, Kerala, during November 2019-February 2020. Zooplankton abundance ranged from 422 to 503 no. m⁻³, and the highest abundance and biomass were recorded in FZ-1 during November. Phytoplankton abundance ranged from 6815 to 10340 cells L⁻¹, with the maximum value observed in FZ-1 during December. Copepods were the dominant zooplankton group in both fishing and non-fishing zones, contributing 49.6-72.1% of the </w:t>
      </w:r>
      <w:r>
        <w:rPr>
          <w:highlight w:val="yellow"/>
        </w:rPr>
        <w:lastRenderedPageBreak/>
        <w:t>total zooplankton, followed by decapods. The correlation patterns showed that plankton abundance was associated with variations in salinity, dissolved oxygen, phosphate, temperature, and selected nitrogenous nutrients, although these relationships differed between fishing and non-fishing zones. Zooplankton showed a strong positive relationship with phytoplankton in the non-fishing zones, whereas this relationship was not significant in the fishing zones. These observations indicate that hydrographic conditions and planktonic food availability may contribute to ecological differences between the sampled habitats. The study provides baseline information for further investigations on plankton dynamics and fish aggregation in the coastal waters of Kollam. Longer-term studies with wider coverage and additional oceanographic and biological variables would strengthen understanding of these processes and their relevance to coastal fisheries assessment.</w:t>
      </w:r>
    </w:p>
    <w:p w14:paraId="321EC451" w14:textId="77777777" w:rsidR="006B344A" w:rsidRPr="006B344A" w:rsidRDefault="006B344A" w:rsidP="006B344A">
      <w:pPr>
        <w:jc w:val="both"/>
        <w:rPr>
          <w:rFonts w:ascii="Arial" w:hAnsi="Arial" w:cs="Arial"/>
          <w:sz w:val="20"/>
          <w:szCs w:val="20"/>
        </w:rPr>
      </w:pPr>
    </w:p>
    <w:p w14:paraId="615E2713" w14:textId="77777777" w:rsidR="00181A9F" w:rsidRPr="00181A9F" w:rsidRDefault="00181A9F" w:rsidP="00181A9F">
      <w:pPr>
        <w:spacing w:after="0" w:line="240" w:lineRule="auto"/>
        <w:rPr>
          <w:rFonts w:ascii="Arial" w:eastAsia="Calibri" w:hAnsi="Arial" w:cs="Arial"/>
          <w:kern w:val="0"/>
          <w:sz w:val="22"/>
          <w:szCs w:val="22"/>
          <w:highlight w:val="yellow"/>
          <w:lang w:val="en-GB" w:bidi="ar-SA"/>
        </w:rPr>
      </w:pPr>
      <w:bookmarkStart w:id="0" w:name="_Hlk198031404"/>
      <w:r w:rsidRPr="00181A9F">
        <w:rPr>
          <w:rFonts w:ascii="Arial" w:eastAsia="Calibri" w:hAnsi="Arial" w:cs="Arial"/>
          <w:b/>
          <w:kern w:val="0"/>
          <w:sz w:val="22"/>
          <w:szCs w:val="22"/>
          <w:lang w:val="en-GB" w:bidi="ar-SA"/>
        </w:rPr>
        <w:t>Disclaimer (Artificial intelligence)</w:t>
      </w:r>
    </w:p>
    <w:p w14:paraId="740DE0F6" w14:textId="77777777" w:rsidR="00181A9F" w:rsidRPr="00181A9F" w:rsidRDefault="00181A9F" w:rsidP="00181A9F">
      <w:pPr>
        <w:spacing w:after="0" w:line="240" w:lineRule="auto"/>
        <w:rPr>
          <w:rFonts w:ascii="Arial" w:eastAsia="Calibri" w:hAnsi="Arial" w:cs="Arial"/>
          <w:kern w:val="0"/>
          <w:sz w:val="22"/>
          <w:szCs w:val="22"/>
          <w:highlight w:val="yellow"/>
          <w:lang w:val="en-GB" w:bidi="ar-SA"/>
        </w:rPr>
      </w:pPr>
    </w:p>
    <w:bookmarkEnd w:id="0"/>
    <w:p w14:paraId="5E02B66D" w14:textId="1B689C45" w:rsidR="00091242" w:rsidRDefault="00306AB1" w:rsidP="006B344A">
      <w:pPr>
        <w:jc w:val="both"/>
        <w:rPr>
          <w:rFonts w:ascii="Arial" w:eastAsia="Arial" w:hAnsi="Arial" w:cs="Arial"/>
          <w:b/>
          <w:bCs/>
          <w:sz w:val="22"/>
          <w:szCs w:val="22"/>
        </w:rPr>
      </w:pPr>
      <w:r w:rsidRPr="00306AB1">
        <w:t>Author(s) hereby declare that NO generative AI technologies such as Large Language Models (ChatGPT, COPILOT, etc.) and text-to-image generators have been used during the writing or editing of this manuscript.</w:t>
      </w:r>
    </w:p>
    <w:p w14:paraId="291D58E7" w14:textId="77777777" w:rsidR="006B344A" w:rsidRPr="006B344A" w:rsidRDefault="006B344A" w:rsidP="006B344A">
      <w:pPr>
        <w:jc w:val="both"/>
        <w:rPr>
          <w:rFonts w:ascii="Arial" w:eastAsia="Arial" w:hAnsi="Arial" w:cs="Arial"/>
          <w:b/>
          <w:bCs/>
          <w:sz w:val="22"/>
          <w:szCs w:val="22"/>
        </w:rPr>
      </w:pPr>
      <w:r w:rsidRPr="006B344A">
        <w:rPr>
          <w:rFonts w:ascii="Arial" w:eastAsia="Arial" w:hAnsi="Arial" w:cs="Arial"/>
          <w:b/>
          <w:bCs/>
          <w:sz w:val="22"/>
          <w:szCs w:val="22"/>
        </w:rPr>
        <w:t>REFERENCE</w:t>
      </w:r>
    </w:p>
    <w:p w14:paraId="0B09E1B6" w14:textId="77777777" w:rsidR="006C2AE4" w:rsidRPr="006C2AE4" w:rsidRDefault="006C2AE4" w:rsidP="006C2AE4">
      <w:pPr>
        <w:ind w:left="360" w:hanging="360"/>
      </w:pPr>
      <w:r w:rsidRPr="006C2AE4">
        <w:t xml:space="preserve">Calliari, D., Gómez, M., &amp; Gómez, N. (2005). Biomass and composition of the phytoplankton in the Río de la Plata: Large-scale distribution and relationship with environmental variables during a spring cruise. </w:t>
      </w:r>
      <w:r w:rsidRPr="006C2AE4">
        <w:rPr>
          <w:i/>
          <w:iCs/>
        </w:rPr>
        <w:t>Continental Shelf Research, 25</w:t>
      </w:r>
      <w:r w:rsidRPr="006C2AE4">
        <w:t xml:space="preserve">(2), 197–210. </w:t>
      </w:r>
      <w:hyperlink r:id="rId19" w:history="1">
        <w:r w:rsidRPr="006C2AE4">
          <w:rPr>
            <w:rStyle w:val="Hyperlink"/>
          </w:rPr>
          <w:t>https://doi.org/10.1016/j.csr.2004.09.009</w:t>
        </w:r>
      </w:hyperlink>
    </w:p>
    <w:p w14:paraId="1524C608" w14:textId="77777777" w:rsidR="006C2AE4" w:rsidRPr="006C2AE4" w:rsidRDefault="006C2AE4" w:rsidP="006C2AE4">
      <w:pPr>
        <w:ind w:left="360" w:hanging="360"/>
      </w:pPr>
      <w:proofErr w:type="spellStart"/>
      <w:r w:rsidRPr="006C2AE4">
        <w:t>Comita</w:t>
      </w:r>
      <w:proofErr w:type="spellEnd"/>
      <w:r w:rsidRPr="006C2AE4">
        <w:t xml:space="preserve">, G. W., &amp; Anderson, G. C. (1959). Seasonal development of a population of </w:t>
      </w:r>
      <w:proofErr w:type="spellStart"/>
      <w:r w:rsidRPr="006C2AE4">
        <w:rPr>
          <w:i/>
          <w:iCs/>
        </w:rPr>
        <w:t>Diaptomus</w:t>
      </w:r>
      <w:proofErr w:type="spellEnd"/>
      <w:r w:rsidRPr="006C2AE4">
        <w:rPr>
          <w:i/>
          <w:iCs/>
        </w:rPr>
        <w:t xml:space="preserve"> </w:t>
      </w:r>
      <w:proofErr w:type="spellStart"/>
      <w:r w:rsidRPr="006C2AE4">
        <w:rPr>
          <w:i/>
          <w:iCs/>
        </w:rPr>
        <w:t>ashlandi</w:t>
      </w:r>
      <w:proofErr w:type="spellEnd"/>
      <w:r w:rsidRPr="006C2AE4">
        <w:t xml:space="preserve"> Marsh and related phytoplankton cycles in Lake Washington. </w:t>
      </w:r>
      <w:r w:rsidRPr="006C2AE4">
        <w:rPr>
          <w:i/>
          <w:iCs/>
        </w:rPr>
        <w:t>Limnology and Oceanography, 4</w:t>
      </w:r>
      <w:r w:rsidRPr="006C2AE4">
        <w:t xml:space="preserve">(1), 37–52. </w:t>
      </w:r>
      <w:hyperlink r:id="rId20" w:history="1">
        <w:r w:rsidRPr="006C2AE4">
          <w:rPr>
            <w:rStyle w:val="Hyperlink"/>
          </w:rPr>
          <w:t>https://doi.org/10.4319/lo.1959.4.1.0037</w:t>
        </w:r>
      </w:hyperlink>
    </w:p>
    <w:p w14:paraId="3ECDDC40" w14:textId="29916743" w:rsidR="006C2AE4" w:rsidRPr="006C2AE4" w:rsidRDefault="006C2AE4" w:rsidP="006C2AE4">
      <w:pPr>
        <w:ind w:left="360" w:hanging="360"/>
      </w:pPr>
      <w:r w:rsidRPr="006C2AE4">
        <w:t xml:space="preserve">Das, J., Das, S. N., &amp; Sahoo, R. K. (1997). Semidiurnal variation of some physicochemical parameters in the Mahanadi estuary, east coast of India. </w:t>
      </w:r>
      <w:r w:rsidRPr="006C2AE4">
        <w:rPr>
          <w:i/>
          <w:iCs/>
        </w:rPr>
        <w:t>Indian Journal of Marine Sciences, 26</w:t>
      </w:r>
      <w:r w:rsidRPr="006C2AE4">
        <w:t xml:space="preserve">(3), 323–326. </w:t>
      </w:r>
    </w:p>
    <w:p w14:paraId="7A8757B1" w14:textId="77777777" w:rsidR="006C2AE4" w:rsidRPr="006C2AE4" w:rsidRDefault="006C2AE4" w:rsidP="006C2AE4">
      <w:pPr>
        <w:ind w:left="360" w:hanging="360"/>
      </w:pPr>
      <w:r w:rsidRPr="006C2AE4">
        <w:t xml:space="preserve">Greenwood, A., O’Riordan, R. M., &amp; Barnes, D. K. A. (2001). Seasonality and vertical zonation of zooplankton in a semi-enclosed sea lough. </w:t>
      </w:r>
      <w:r w:rsidRPr="006C2AE4">
        <w:rPr>
          <w:i/>
          <w:iCs/>
        </w:rPr>
        <w:t>Journal of the Marine Biological Association of the United Kingdom, 81</w:t>
      </w:r>
      <w:r w:rsidRPr="006C2AE4">
        <w:t xml:space="preserve">(2), 213–220. </w:t>
      </w:r>
      <w:hyperlink r:id="rId21" w:history="1">
        <w:r w:rsidRPr="006C2AE4">
          <w:rPr>
            <w:rStyle w:val="Hyperlink"/>
          </w:rPr>
          <w:t>https://doi.org/10.1017/S0025315401003666</w:t>
        </w:r>
      </w:hyperlink>
    </w:p>
    <w:p w14:paraId="353C1657" w14:textId="77777777" w:rsidR="006C2AE4" w:rsidRPr="006C2AE4" w:rsidRDefault="006C2AE4" w:rsidP="006C2AE4">
      <w:pPr>
        <w:ind w:left="360" w:hanging="360"/>
      </w:pPr>
      <w:r w:rsidRPr="006C2AE4">
        <w:t xml:space="preserve">Horne, J. K., &amp; Schneider, D. C. (1994). Analysis of scale-dependent processes using dimensionless ratios. </w:t>
      </w:r>
      <w:r w:rsidRPr="006C2AE4">
        <w:rPr>
          <w:i/>
          <w:iCs/>
        </w:rPr>
        <w:t>Oikos, 70</w:t>
      </w:r>
      <w:r w:rsidRPr="006C2AE4">
        <w:t xml:space="preserve">(2), 201–211. </w:t>
      </w:r>
      <w:hyperlink r:id="rId22" w:history="1">
        <w:r w:rsidRPr="006C2AE4">
          <w:rPr>
            <w:rStyle w:val="Hyperlink"/>
          </w:rPr>
          <w:t>https://doi.org/10.2307/3545631</w:t>
        </w:r>
      </w:hyperlink>
    </w:p>
    <w:p w14:paraId="5D31D6F4" w14:textId="540A48A3" w:rsidR="006C2AE4" w:rsidRPr="006C2AE4" w:rsidRDefault="006C2AE4" w:rsidP="006C2AE4">
      <w:pPr>
        <w:ind w:left="360" w:hanging="360"/>
      </w:pPr>
      <w:r w:rsidRPr="006C2AE4">
        <w:t xml:space="preserve">Krishnankutty, S., Joseph, C. A., Vincent, P. D., Jabir, T., Vishnu, P. S., </w:t>
      </w:r>
      <w:proofErr w:type="spellStart"/>
      <w:r w:rsidRPr="006C2AE4">
        <w:t>Saramma</w:t>
      </w:r>
      <w:proofErr w:type="spellEnd"/>
      <w:r w:rsidRPr="006C2AE4">
        <w:t xml:space="preserve">, A. V., &amp; Hatha, A. A. (2019). Hydrographic, seasonal diversity, distribution and abundance of </w:t>
      </w:r>
      <w:r w:rsidRPr="006C2AE4">
        <w:lastRenderedPageBreak/>
        <w:t xml:space="preserve">phytoplankton in coastal waters off Cochin, south-eastern Arabian Sea. </w:t>
      </w:r>
      <w:r w:rsidRPr="006C2AE4">
        <w:rPr>
          <w:i/>
          <w:iCs/>
        </w:rPr>
        <w:t>Indian Journal of Geo-Marine Sciences, 48</w:t>
      </w:r>
      <w:r w:rsidRPr="006C2AE4">
        <w:t xml:space="preserve">(3), 319–326. </w:t>
      </w:r>
    </w:p>
    <w:p w14:paraId="5C103631" w14:textId="77777777" w:rsidR="006C2AE4" w:rsidRPr="006C2AE4" w:rsidRDefault="006C2AE4" w:rsidP="006C2AE4">
      <w:pPr>
        <w:ind w:left="360" w:hanging="360"/>
      </w:pPr>
      <w:r w:rsidRPr="006C2AE4">
        <w:t xml:space="preserve">Kristiansen, S., &amp; Hoell, E. E. (2002). The importance of silicon in marine production. </w:t>
      </w:r>
      <w:proofErr w:type="spellStart"/>
      <w:r w:rsidRPr="006C2AE4">
        <w:rPr>
          <w:i/>
          <w:iCs/>
        </w:rPr>
        <w:t>Hydrobiologia</w:t>
      </w:r>
      <w:proofErr w:type="spellEnd"/>
      <w:r w:rsidRPr="006C2AE4">
        <w:rPr>
          <w:i/>
          <w:iCs/>
        </w:rPr>
        <w:t>, 484</w:t>
      </w:r>
      <w:r w:rsidRPr="006C2AE4">
        <w:t xml:space="preserve">(1–3), 21–31. </w:t>
      </w:r>
      <w:hyperlink r:id="rId23" w:history="1">
        <w:r w:rsidRPr="006C2AE4">
          <w:rPr>
            <w:rStyle w:val="Hyperlink"/>
          </w:rPr>
          <w:t>https://doi.org/10.1023/A:1021392618824</w:t>
        </w:r>
      </w:hyperlink>
    </w:p>
    <w:p w14:paraId="74FBD0B0" w14:textId="77777777" w:rsidR="006C2AE4" w:rsidRPr="006C2AE4" w:rsidRDefault="006C2AE4" w:rsidP="006C2AE4">
      <w:pPr>
        <w:ind w:left="360" w:hanging="360"/>
      </w:pPr>
      <w:r w:rsidRPr="006C2AE4">
        <w:t xml:space="preserve">Marshall, K. N., Levin, P. S., Essington, T. E., Koehn, L. E., Anderson, L. G., Bundy, A., Carothers, C., Coleman, F., Gerber, L. R., Grabowski, J. H., Houde, E., Jensen, O. P., </w:t>
      </w:r>
      <w:proofErr w:type="spellStart"/>
      <w:r w:rsidRPr="006C2AE4">
        <w:t>Möllmann</w:t>
      </w:r>
      <w:proofErr w:type="spellEnd"/>
      <w:r w:rsidRPr="006C2AE4">
        <w:t xml:space="preserve">, C., Rose, K., Sanchirico, J. N., &amp; Smith, A. D. M. (2017). Ecosystem-based fisheries management for social–ecological systems: Renewing the focus in the United States with next-generation fishery ecosystem plans. </w:t>
      </w:r>
      <w:r w:rsidRPr="006C2AE4">
        <w:rPr>
          <w:i/>
          <w:iCs/>
        </w:rPr>
        <w:t>Conservation Letters, 11</w:t>
      </w:r>
      <w:r w:rsidRPr="006C2AE4">
        <w:t xml:space="preserve">(1), e12367. </w:t>
      </w:r>
      <w:hyperlink r:id="rId24" w:history="1">
        <w:r w:rsidRPr="006C2AE4">
          <w:rPr>
            <w:rStyle w:val="Hyperlink"/>
          </w:rPr>
          <w:t>https://doi.org/10.1111/conl.12367</w:t>
        </w:r>
      </w:hyperlink>
    </w:p>
    <w:p w14:paraId="7B81D670" w14:textId="77777777" w:rsidR="006C2AE4" w:rsidRPr="006C2AE4" w:rsidRDefault="006C2AE4" w:rsidP="006C2AE4">
      <w:pPr>
        <w:ind w:left="360" w:hanging="360"/>
      </w:pPr>
      <w:r w:rsidRPr="006C2AE4">
        <w:t xml:space="preserve">Mitra, A., Castellani, C., Gentleman, W. C., Jónasdóttir, S. H., Flynn, K. J., Bode, A., </w:t>
      </w:r>
      <w:proofErr w:type="spellStart"/>
      <w:r w:rsidRPr="006C2AE4">
        <w:t>Halsband</w:t>
      </w:r>
      <w:proofErr w:type="spellEnd"/>
      <w:r w:rsidRPr="006C2AE4">
        <w:t xml:space="preserve">, C., Kuhn, P., </w:t>
      </w:r>
      <w:proofErr w:type="spellStart"/>
      <w:r w:rsidRPr="006C2AE4">
        <w:t>Licandro</w:t>
      </w:r>
      <w:proofErr w:type="spellEnd"/>
      <w:r w:rsidRPr="006C2AE4">
        <w:t xml:space="preserve">, P., Agersted, M. D., </w:t>
      </w:r>
      <w:proofErr w:type="spellStart"/>
      <w:r w:rsidRPr="006C2AE4">
        <w:t>Calbet</w:t>
      </w:r>
      <w:proofErr w:type="spellEnd"/>
      <w:r w:rsidRPr="006C2AE4">
        <w:t xml:space="preserve">, A., Lindeque, P. K., Koppelmann, R., Møller, E. F., Gislason, A., Nielsen, T. G., &amp; St John, M. (2014). Bridging the gap between marine biogeochemical and fisheries sciences: Configuring the zooplankton link. </w:t>
      </w:r>
      <w:r w:rsidRPr="006C2AE4">
        <w:rPr>
          <w:i/>
          <w:iCs/>
        </w:rPr>
        <w:t>Progress in Oceanography, 129</w:t>
      </w:r>
      <w:r w:rsidRPr="006C2AE4">
        <w:t xml:space="preserve">, 176–199. </w:t>
      </w:r>
      <w:hyperlink r:id="rId25" w:history="1">
        <w:r w:rsidRPr="006C2AE4">
          <w:rPr>
            <w:rStyle w:val="Hyperlink"/>
          </w:rPr>
          <w:t>https://doi.org/10.1016/j.pocean.2014.04.025</w:t>
        </w:r>
      </w:hyperlink>
    </w:p>
    <w:p w14:paraId="3F0C731C" w14:textId="77777777" w:rsidR="006C2AE4" w:rsidRPr="006C2AE4" w:rsidRDefault="006C2AE4" w:rsidP="006C2AE4">
      <w:pPr>
        <w:ind w:left="360" w:hanging="360"/>
      </w:pPr>
      <w:r w:rsidRPr="006C2AE4">
        <w:t xml:space="preserve">McLaren, I. A. (1963). Effects of temperature on growth of zooplankton and the adaptive value of vertical migration. </w:t>
      </w:r>
      <w:r w:rsidRPr="006C2AE4">
        <w:rPr>
          <w:i/>
          <w:iCs/>
        </w:rPr>
        <w:t>Journal of the Fisheries Research Board of Canada, 20</w:t>
      </w:r>
      <w:r w:rsidRPr="006C2AE4">
        <w:t xml:space="preserve">(3), 685–727. </w:t>
      </w:r>
      <w:hyperlink r:id="rId26" w:history="1">
        <w:r w:rsidRPr="006C2AE4">
          <w:rPr>
            <w:rStyle w:val="Hyperlink"/>
          </w:rPr>
          <w:t>https://doi.org/10.1139/f63-046</w:t>
        </w:r>
      </w:hyperlink>
    </w:p>
    <w:p w14:paraId="5BA8CCB7" w14:textId="77777777" w:rsidR="006C2AE4" w:rsidRPr="006C2AE4" w:rsidRDefault="006C2AE4" w:rsidP="006C2AE4">
      <w:pPr>
        <w:ind w:left="360" w:hanging="360"/>
      </w:pPr>
      <w:r w:rsidRPr="006C2AE4">
        <w:t xml:space="preserve">Naqvi, S. W. A., Naik, H., Jayakumar, A., </w:t>
      </w:r>
      <w:proofErr w:type="spellStart"/>
      <w:r w:rsidRPr="006C2AE4">
        <w:t>Pratihary</w:t>
      </w:r>
      <w:proofErr w:type="spellEnd"/>
      <w:r w:rsidRPr="006C2AE4">
        <w:t xml:space="preserve">, A. K., </w:t>
      </w:r>
      <w:proofErr w:type="spellStart"/>
      <w:r w:rsidRPr="006C2AE4">
        <w:t>Narvenkar</w:t>
      </w:r>
      <w:proofErr w:type="spellEnd"/>
      <w:r w:rsidRPr="006C2AE4">
        <w:t xml:space="preserve">, G., Kurian, S., Agnihotri, R., Shailaja, M. S., &amp; </w:t>
      </w:r>
      <w:proofErr w:type="spellStart"/>
      <w:r w:rsidRPr="006C2AE4">
        <w:t>Narvekar</w:t>
      </w:r>
      <w:proofErr w:type="spellEnd"/>
      <w:r w:rsidRPr="006C2AE4">
        <w:t xml:space="preserve">, P. V. (2009). Seasonal anoxia over the western Indian continental shelf. In J. D. </w:t>
      </w:r>
      <w:proofErr w:type="spellStart"/>
      <w:r w:rsidRPr="006C2AE4">
        <w:t>Wiggert</w:t>
      </w:r>
      <w:proofErr w:type="spellEnd"/>
      <w:r w:rsidRPr="006C2AE4">
        <w:t xml:space="preserve">, R. R. Hood, S. W. A. Naqvi, K. H. Brink, &amp; S. L. Smith (Eds.), </w:t>
      </w:r>
      <w:r w:rsidRPr="006C2AE4">
        <w:rPr>
          <w:i/>
          <w:iCs/>
        </w:rPr>
        <w:t>Indian Ocean biogeochemical processes and ecological variability</w:t>
      </w:r>
      <w:r w:rsidRPr="006C2AE4">
        <w:t xml:space="preserve"> (Geophysical Monograph Series, Vol. 185, pp. 333–345). American Geophysical Union. </w:t>
      </w:r>
      <w:hyperlink r:id="rId27" w:history="1">
        <w:r w:rsidRPr="006C2AE4">
          <w:rPr>
            <w:rStyle w:val="Hyperlink"/>
          </w:rPr>
          <w:t>https://doi.org/10.1029/2008GM000745</w:t>
        </w:r>
      </w:hyperlink>
    </w:p>
    <w:p w14:paraId="75C2769F" w14:textId="084ED9E8" w:rsidR="006C2AE4" w:rsidRPr="006C2AE4" w:rsidRDefault="006C2AE4" w:rsidP="006C2AE4">
      <w:pPr>
        <w:ind w:left="360" w:hanging="360"/>
      </w:pPr>
      <w:r w:rsidRPr="006C2AE4">
        <w:t xml:space="preserve">National Institute of Oceanography. (2004). </w:t>
      </w:r>
      <w:r w:rsidRPr="006C2AE4">
        <w:rPr>
          <w:i/>
          <w:iCs/>
        </w:rPr>
        <w:t>Manual on methodology for biological parameters</w:t>
      </w:r>
      <w:r w:rsidRPr="006C2AE4">
        <w:t xml:space="preserve">. </w:t>
      </w:r>
    </w:p>
    <w:p w14:paraId="404DB26A" w14:textId="77777777" w:rsidR="006C2AE4" w:rsidRPr="006C2AE4" w:rsidRDefault="006C2AE4" w:rsidP="006C2AE4">
      <w:pPr>
        <w:ind w:left="360" w:hanging="360"/>
      </w:pPr>
      <w:proofErr w:type="spellStart"/>
      <w:r w:rsidRPr="006C2AE4">
        <w:t>Patalas</w:t>
      </w:r>
      <w:proofErr w:type="spellEnd"/>
      <w:r w:rsidRPr="006C2AE4">
        <w:t xml:space="preserve">, K. (1972). Crustacean plankton and eutrophication of St. Lawrence Great Lakes. </w:t>
      </w:r>
      <w:r w:rsidRPr="006C2AE4">
        <w:rPr>
          <w:i/>
          <w:iCs/>
        </w:rPr>
        <w:t>Journal of the Fisheries Research Board of Canada, 29</w:t>
      </w:r>
      <w:r w:rsidRPr="006C2AE4">
        <w:t xml:space="preserve">(10), 1451–1462. </w:t>
      </w:r>
      <w:hyperlink r:id="rId28" w:history="1">
        <w:r w:rsidRPr="006C2AE4">
          <w:rPr>
            <w:rStyle w:val="Hyperlink"/>
          </w:rPr>
          <w:t>https://doi.org/10.1139/f72-224</w:t>
        </w:r>
      </w:hyperlink>
    </w:p>
    <w:p w14:paraId="7FC261B3" w14:textId="77777777" w:rsidR="006C2AE4" w:rsidRPr="006C2AE4" w:rsidRDefault="006C2AE4" w:rsidP="006C2AE4">
      <w:pPr>
        <w:ind w:left="360" w:hanging="360"/>
      </w:pPr>
      <w:r w:rsidRPr="006C2AE4">
        <w:t xml:space="preserve">Rai, S. V., &amp; Rajashekhar, M. (2015). Ecological measurements of phytoplankton communities in the Arabian Sea water off the Kerala and Karnataka coasts (South India). </w:t>
      </w:r>
      <w:r w:rsidRPr="006C2AE4">
        <w:rPr>
          <w:i/>
          <w:iCs/>
        </w:rPr>
        <w:t>Algological Studies, 149</w:t>
      </w:r>
      <w:r w:rsidRPr="006C2AE4">
        <w:t xml:space="preserve">(1), 39–60. </w:t>
      </w:r>
      <w:hyperlink r:id="rId29" w:history="1">
        <w:r w:rsidRPr="006C2AE4">
          <w:rPr>
            <w:rStyle w:val="Hyperlink"/>
          </w:rPr>
          <w:t>https://doi.org/10.1127/algol_stud/2015/0205</w:t>
        </w:r>
      </w:hyperlink>
    </w:p>
    <w:p w14:paraId="5F2AFE05" w14:textId="3320B1B9" w:rsidR="006C2AE4" w:rsidRPr="006C2AE4" w:rsidRDefault="006C2AE4" w:rsidP="006C2AE4">
      <w:pPr>
        <w:ind w:left="360" w:hanging="360"/>
      </w:pPr>
      <w:proofErr w:type="spellStart"/>
      <w:r w:rsidRPr="006C2AE4">
        <w:t>Rajasegar</w:t>
      </w:r>
      <w:proofErr w:type="spellEnd"/>
      <w:r w:rsidRPr="006C2AE4">
        <w:t xml:space="preserve">, M., Srinivasan, M., &amp; Rajaram, R. (2000). Phytoplankton diversity associated with shrimp farm development in </w:t>
      </w:r>
      <w:proofErr w:type="spellStart"/>
      <w:r w:rsidRPr="006C2AE4">
        <w:t>Vellar</w:t>
      </w:r>
      <w:proofErr w:type="spellEnd"/>
      <w:r w:rsidRPr="006C2AE4">
        <w:t xml:space="preserve"> estuary, south India. </w:t>
      </w:r>
      <w:r w:rsidRPr="006C2AE4">
        <w:rPr>
          <w:i/>
          <w:iCs/>
        </w:rPr>
        <w:t>Seaweed Research and Utilisation, 22</w:t>
      </w:r>
      <w:r w:rsidRPr="006C2AE4">
        <w:t xml:space="preserve">, 125–131. </w:t>
      </w:r>
    </w:p>
    <w:p w14:paraId="0F5FF889" w14:textId="656A1E7E" w:rsidR="006C2AE4" w:rsidRPr="006C2AE4" w:rsidRDefault="006C2AE4" w:rsidP="006C2AE4">
      <w:pPr>
        <w:ind w:left="360" w:hanging="360"/>
      </w:pPr>
      <w:r w:rsidRPr="006C2AE4">
        <w:lastRenderedPageBreak/>
        <w:t xml:space="preserve">Senthilkumar, S., Santhanam, P., &amp; Perumal, P. (2002). Diversity of phytoplankton in </w:t>
      </w:r>
      <w:proofErr w:type="spellStart"/>
      <w:r w:rsidRPr="006C2AE4">
        <w:t>Vellar</w:t>
      </w:r>
      <w:proofErr w:type="spellEnd"/>
      <w:r w:rsidRPr="006C2AE4">
        <w:t xml:space="preserve"> estuary, southeast coast of India. In S. Ayyappan, J. K. Jena, &amp; M. Mohan Joseph (Eds.), </w:t>
      </w:r>
      <w:r w:rsidRPr="006C2AE4">
        <w:rPr>
          <w:i/>
          <w:iCs/>
        </w:rPr>
        <w:t>Proceedings of the 5th Indian Fisheries Forum</w:t>
      </w:r>
      <w:r w:rsidRPr="006C2AE4">
        <w:t xml:space="preserve"> (pp. 245–248). Asian Fisheries Society Indian Branch. </w:t>
      </w:r>
    </w:p>
    <w:p w14:paraId="6FCE56C4" w14:textId="2C62CD48" w:rsidR="006C2AE4" w:rsidRPr="006C2AE4" w:rsidRDefault="006C2AE4" w:rsidP="006C2AE4">
      <w:pPr>
        <w:ind w:left="360" w:hanging="360"/>
      </w:pPr>
      <w:r w:rsidRPr="006C2AE4">
        <w:t xml:space="preserve">Sharma, B. S., &amp; Cyril, W. (2007). Distribution and abundance of zooplankton in relation to petroleum hydrocarbon content along the coast of Kollam (Quilon), south-west coast of India. </w:t>
      </w:r>
      <w:r w:rsidRPr="006C2AE4">
        <w:rPr>
          <w:i/>
          <w:iCs/>
        </w:rPr>
        <w:t>Journal of Environmental Biology, 28</w:t>
      </w:r>
      <w:r w:rsidRPr="006C2AE4">
        <w:t xml:space="preserve">(1), 53–62. </w:t>
      </w:r>
    </w:p>
    <w:p w14:paraId="59E3837B" w14:textId="77777777" w:rsidR="006C2AE4" w:rsidRPr="006C2AE4" w:rsidRDefault="006C2AE4" w:rsidP="006C2AE4">
      <w:pPr>
        <w:ind w:left="360" w:hanging="360"/>
      </w:pPr>
      <w:r w:rsidRPr="006C2AE4">
        <w:t xml:space="preserve">Sheldon, R. W., Sutcliffe, W. H., Jr., &amp; Paranjape, M. A. (1977). Structure of pelagic food chain and relationship between plankton and fish production. </w:t>
      </w:r>
      <w:r w:rsidRPr="006C2AE4">
        <w:rPr>
          <w:i/>
          <w:iCs/>
        </w:rPr>
        <w:t>Journal of the Fisheries Research Board of Canada, 34</w:t>
      </w:r>
      <w:r w:rsidRPr="006C2AE4">
        <w:t xml:space="preserve">(12), 2344–2353. </w:t>
      </w:r>
      <w:hyperlink r:id="rId30" w:history="1">
        <w:r w:rsidRPr="006C2AE4">
          <w:rPr>
            <w:rStyle w:val="Hyperlink"/>
          </w:rPr>
          <w:t>https://doi.org/10.1139/f77-314</w:t>
        </w:r>
      </w:hyperlink>
    </w:p>
    <w:p w14:paraId="0837DD47" w14:textId="77777777" w:rsidR="006C2AE4" w:rsidRPr="006C2AE4" w:rsidRDefault="006C2AE4" w:rsidP="006C2AE4">
      <w:pPr>
        <w:ind w:left="360" w:hanging="360"/>
      </w:pPr>
      <w:r w:rsidRPr="006C2AE4">
        <w:t xml:space="preserve">Swar, D. B., &amp; Fernando, C. H. (1980). Some studies on the ecology of limnetic crustacean zooplankton in Lake </w:t>
      </w:r>
      <w:proofErr w:type="spellStart"/>
      <w:r w:rsidRPr="006C2AE4">
        <w:t>Begnas</w:t>
      </w:r>
      <w:proofErr w:type="spellEnd"/>
      <w:r w:rsidRPr="006C2AE4">
        <w:t xml:space="preserve"> and Rupa, Pokhara Valley, Nepal. </w:t>
      </w:r>
      <w:proofErr w:type="spellStart"/>
      <w:r w:rsidRPr="006C2AE4">
        <w:rPr>
          <w:i/>
          <w:iCs/>
        </w:rPr>
        <w:t>Hydrobiologia</w:t>
      </w:r>
      <w:proofErr w:type="spellEnd"/>
      <w:r w:rsidRPr="006C2AE4">
        <w:rPr>
          <w:i/>
          <w:iCs/>
        </w:rPr>
        <w:t>, 70</w:t>
      </w:r>
      <w:r w:rsidRPr="006C2AE4">
        <w:t xml:space="preserve">(3), 235–245. </w:t>
      </w:r>
      <w:hyperlink r:id="rId31" w:history="1">
        <w:r w:rsidRPr="006C2AE4">
          <w:rPr>
            <w:rStyle w:val="Hyperlink"/>
          </w:rPr>
          <w:t>https://doi.org/10.1007/BF00016765</w:t>
        </w:r>
      </w:hyperlink>
    </w:p>
    <w:p w14:paraId="6230AD3B" w14:textId="1BDDF092" w:rsidR="006C2AE4" w:rsidRPr="006C2AE4" w:rsidRDefault="006C2AE4" w:rsidP="006C2AE4">
      <w:pPr>
        <w:ind w:left="360" w:hanging="360"/>
      </w:pPr>
      <w:proofErr w:type="spellStart"/>
      <w:r w:rsidRPr="006C2AE4">
        <w:t>Temkar</w:t>
      </w:r>
      <w:proofErr w:type="spellEnd"/>
      <w:r w:rsidRPr="006C2AE4">
        <w:t xml:space="preserve">, G. S., Abdul Azeez, P., </w:t>
      </w:r>
      <w:proofErr w:type="spellStart"/>
      <w:r w:rsidRPr="006C2AE4">
        <w:t>Sikotaria</w:t>
      </w:r>
      <w:proofErr w:type="spellEnd"/>
      <w:r w:rsidRPr="006C2AE4">
        <w:t xml:space="preserve">, K. M., </w:t>
      </w:r>
      <w:proofErr w:type="spellStart"/>
      <w:r w:rsidRPr="006C2AE4">
        <w:t>Brahmane</w:t>
      </w:r>
      <w:proofErr w:type="spellEnd"/>
      <w:r w:rsidRPr="006C2AE4">
        <w:t xml:space="preserve">, V. T., </w:t>
      </w:r>
      <w:proofErr w:type="spellStart"/>
      <w:r w:rsidRPr="006C2AE4">
        <w:t>Metar</w:t>
      </w:r>
      <w:proofErr w:type="spellEnd"/>
      <w:r w:rsidRPr="006C2AE4">
        <w:t xml:space="preserve">, S. Y., Gangan, S. S., Mathew, K. L., &amp; Desai, A. Y. (2015). Correlation of phytoplankton density with certain hydrological parameters along the coastal waters of Veraval, Gujarat. </w:t>
      </w:r>
      <w:r w:rsidRPr="006C2AE4">
        <w:rPr>
          <w:i/>
          <w:iCs/>
        </w:rPr>
        <w:t>Journal of the Marine Biological Association of India, 57</w:t>
      </w:r>
      <w:r w:rsidRPr="006C2AE4">
        <w:t xml:space="preserve">(2), 65–74. </w:t>
      </w:r>
    </w:p>
    <w:p w14:paraId="0072925E" w14:textId="77777777" w:rsidR="006C2AE4" w:rsidRPr="006C2AE4" w:rsidRDefault="006C2AE4" w:rsidP="006C2AE4">
      <w:pPr>
        <w:ind w:left="360" w:hanging="360"/>
      </w:pPr>
      <w:r w:rsidRPr="006C2AE4">
        <w:t xml:space="preserve">Tranter, D. J. (1960). Method for determining zooplankton volume. </w:t>
      </w:r>
      <w:r w:rsidRPr="006C2AE4">
        <w:rPr>
          <w:i/>
          <w:iCs/>
        </w:rPr>
        <w:t>ICES Journal of Marine Science, 25</w:t>
      </w:r>
      <w:r w:rsidRPr="006C2AE4">
        <w:t xml:space="preserve">(3), 272–278. </w:t>
      </w:r>
      <w:hyperlink r:id="rId32" w:history="1">
        <w:r w:rsidRPr="006C2AE4">
          <w:rPr>
            <w:rStyle w:val="Hyperlink"/>
          </w:rPr>
          <w:t>https://doi.org/10.1093/icesjms/25.3.272</w:t>
        </w:r>
      </w:hyperlink>
    </w:p>
    <w:p w14:paraId="4665E322" w14:textId="77777777" w:rsidR="006C2AE4" w:rsidRPr="006C2AE4" w:rsidRDefault="006C2AE4" w:rsidP="006C2AE4">
      <w:pPr>
        <w:ind w:left="360" w:hanging="360"/>
      </w:pPr>
      <w:r w:rsidRPr="006C2AE4">
        <w:t xml:space="preserve">Venkataramana, V., Anilkumar, N., Swadling, K., Mishra, R. K., Tripathy, S. C., Sarkar, A., Augusta, S. M., Sabu, P., &amp; Pillai, H. U. K. (2020). Distribution of zooplankton in the Indian sector of the Southern Ocean. </w:t>
      </w:r>
      <w:r w:rsidRPr="006C2AE4">
        <w:rPr>
          <w:i/>
          <w:iCs/>
        </w:rPr>
        <w:t>Antarctic Science, 32</w:t>
      </w:r>
      <w:r w:rsidRPr="006C2AE4">
        <w:t xml:space="preserve">(3), 168–179. </w:t>
      </w:r>
      <w:hyperlink r:id="rId33" w:history="1">
        <w:r w:rsidRPr="006C2AE4">
          <w:rPr>
            <w:rStyle w:val="Hyperlink"/>
          </w:rPr>
          <w:t>https://doi.org/10.1017/S0954102019000579</w:t>
        </w:r>
      </w:hyperlink>
    </w:p>
    <w:p w14:paraId="4DC77807" w14:textId="77777777" w:rsidR="006C2AE4" w:rsidRPr="006C2AE4" w:rsidRDefault="006C2AE4" w:rsidP="006C2AE4">
      <w:pPr>
        <w:ind w:left="360" w:hanging="360"/>
      </w:pPr>
      <w:r w:rsidRPr="006C2AE4">
        <w:t xml:space="preserve">Wilkin, R. T., McNeil, M. S., Adair, C. J., &amp; Wilson, J. T. (2001). Field measurement of dissolved oxygen: A comparison of methods. </w:t>
      </w:r>
      <w:r w:rsidRPr="006C2AE4">
        <w:rPr>
          <w:i/>
          <w:iCs/>
        </w:rPr>
        <w:t>Groundwater Monitoring &amp; Remediation, 21</w:t>
      </w:r>
      <w:r w:rsidRPr="006C2AE4">
        <w:t xml:space="preserve">(4), 124–132. </w:t>
      </w:r>
      <w:hyperlink r:id="rId34" w:history="1">
        <w:r w:rsidRPr="006C2AE4">
          <w:rPr>
            <w:rStyle w:val="Hyperlink"/>
          </w:rPr>
          <w:t>https://doi.org/10.1111/j.1745-6592.2001.tb00648.x</w:t>
        </w:r>
      </w:hyperlink>
    </w:p>
    <w:sectPr w:rsidR="006C2AE4" w:rsidRPr="006C2AE4" w:rsidSect="004A101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6911" w14:textId="77777777" w:rsidR="00D641B0" w:rsidRDefault="00D641B0" w:rsidP="006B344A">
      <w:pPr>
        <w:spacing w:after="0" w:line="240" w:lineRule="auto"/>
      </w:pPr>
      <w:r>
        <w:separator/>
      </w:r>
    </w:p>
  </w:endnote>
  <w:endnote w:type="continuationSeparator" w:id="0">
    <w:p w14:paraId="706C50D9" w14:textId="77777777" w:rsidR="00D641B0" w:rsidRDefault="00D641B0" w:rsidP="006B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E4CD" w14:textId="77777777" w:rsidR="004957A0" w:rsidRDefault="00495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4A76" w14:textId="77777777" w:rsidR="00EB58CA" w:rsidRPr="006B344A" w:rsidRDefault="00EB58CA" w:rsidP="006B344A">
    <w:pPr>
      <w:tabs>
        <w:tab w:val="left" w:pos="1130"/>
      </w:tabs>
      <w:rPr>
        <w:rFonts w:ascii="Helvetica" w:hAnsi="Helvetica" w:cs="Arial"/>
        <w:sz w:val="20"/>
        <w:szCs w:val="20"/>
      </w:rPr>
    </w:pPr>
  </w:p>
  <w:p w14:paraId="6C595965" w14:textId="77777777" w:rsidR="006B344A" w:rsidRPr="006B344A" w:rsidRDefault="006B344A" w:rsidP="006B344A">
    <w:pPr>
      <w:pStyle w:val="Footer"/>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531F" w14:textId="77777777" w:rsidR="004957A0" w:rsidRDefault="0049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C1E9" w14:textId="77777777" w:rsidR="00D641B0" w:rsidRDefault="00D641B0" w:rsidP="006B344A">
      <w:pPr>
        <w:spacing w:after="0" w:line="240" w:lineRule="auto"/>
      </w:pPr>
      <w:r>
        <w:separator/>
      </w:r>
    </w:p>
  </w:footnote>
  <w:footnote w:type="continuationSeparator" w:id="0">
    <w:p w14:paraId="07493447" w14:textId="77777777" w:rsidR="00D641B0" w:rsidRDefault="00D641B0" w:rsidP="006B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4303" w14:textId="77777777" w:rsidR="004957A0" w:rsidRDefault="00000000">
    <w:pPr>
      <w:pStyle w:val="Header"/>
    </w:pPr>
    <w:r>
      <w:rPr>
        <w:noProof/>
      </w:rPr>
      <w:pict w14:anchorId="492D8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932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9708" w14:textId="77777777" w:rsidR="004957A0" w:rsidRDefault="00000000">
    <w:pPr>
      <w:pStyle w:val="Header"/>
    </w:pPr>
    <w:r>
      <w:rPr>
        <w:noProof/>
      </w:rPr>
      <w:pict w14:anchorId="06604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932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6952" w14:textId="77777777" w:rsidR="004957A0" w:rsidRDefault="00000000">
    <w:pPr>
      <w:pStyle w:val="Header"/>
    </w:pPr>
    <w:r>
      <w:rPr>
        <w:noProof/>
      </w:rPr>
      <w:pict w14:anchorId="3902C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932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B9A"/>
    <w:multiLevelType w:val="hybridMultilevel"/>
    <w:tmpl w:val="414EC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52B9C"/>
    <w:multiLevelType w:val="hybridMultilevel"/>
    <w:tmpl w:val="5A40E35C"/>
    <w:lvl w:ilvl="0" w:tplc="6A5484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095309">
    <w:abstractNumId w:val="0"/>
  </w:num>
  <w:num w:numId="2" w16cid:durableId="20764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UzNjEwNDAwMze0NDFX0lEKTi0uzszPAykwqgUA8z5wpSwAAAA="/>
  </w:docVars>
  <w:rsids>
    <w:rsidRoot w:val="006B344A"/>
    <w:rsid w:val="00005675"/>
    <w:rsid w:val="0008660D"/>
    <w:rsid w:val="00091242"/>
    <w:rsid w:val="000E4252"/>
    <w:rsid w:val="000F52CA"/>
    <w:rsid w:val="00124DD0"/>
    <w:rsid w:val="00181A9F"/>
    <w:rsid w:val="001B2838"/>
    <w:rsid w:val="00207A71"/>
    <w:rsid w:val="002241B8"/>
    <w:rsid w:val="00225182"/>
    <w:rsid w:val="00257537"/>
    <w:rsid w:val="00302890"/>
    <w:rsid w:val="00306AB1"/>
    <w:rsid w:val="003217E2"/>
    <w:rsid w:val="003433A9"/>
    <w:rsid w:val="00382D7E"/>
    <w:rsid w:val="00411AE1"/>
    <w:rsid w:val="0041254B"/>
    <w:rsid w:val="004710A1"/>
    <w:rsid w:val="004957A0"/>
    <w:rsid w:val="005165B1"/>
    <w:rsid w:val="0053694C"/>
    <w:rsid w:val="005510CA"/>
    <w:rsid w:val="005F7533"/>
    <w:rsid w:val="00614762"/>
    <w:rsid w:val="00653939"/>
    <w:rsid w:val="006726BB"/>
    <w:rsid w:val="006B344A"/>
    <w:rsid w:val="006C2AE4"/>
    <w:rsid w:val="006E0D41"/>
    <w:rsid w:val="006E1E67"/>
    <w:rsid w:val="007D3399"/>
    <w:rsid w:val="008A2908"/>
    <w:rsid w:val="008B6843"/>
    <w:rsid w:val="00906B06"/>
    <w:rsid w:val="009220C8"/>
    <w:rsid w:val="00986896"/>
    <w:rsid w:val="00A7762F"/>
    <w:rsid w:val="00AC697D"/>
    <w:rsid w:val="00AD16C3"/>
    <w:rsid w:val="00AE2F7A"/>
    <w:rsid w:val="00AE59EA"/>
    <w:rsid w:val="00B221D5"/>
    <w:rsid w:val="00BF6707"/>
    <w:rsid w:val="00CC26C7"/>
    <w:rsid w:val="00D02BC4"/>
    <w:rsid w:val="00D037C0"/>
    <w:rsid w:val="00D53F7E"/>
    <w:rsid w:val="00D641B0"/>
    <w:rsid w:val="00D82880"/>
    <w:rsid w:val="00D85923"/>
    <w:rsid w:val="00DB53D4"/>
    <w:rsid w:val="00DC347D"/>
    <w:rsid w:val="00E66330"/>
    <w:rsid w:val="00EA4BD4"/>
    <w:rsid w:val="00EB58CA"/>
    <w:rsid w:val="00F021B3"/>
    <w:rsid w:val="00F938A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21378676"/>
  <w15:docId w15:val="{7871E83D-C330-4240-BA0C-2CD3CECC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4A"/>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44A"/>
    <w:rPr>
      <w:color w:val="467886" w:themeColor="hyperlink"/>
      <w:u w:val="single"/>
    </w:rPr>
  </w:style>
  <w:style w:type="paragraph" w:styleId="NoSpacing">
    <w:name w:val="No Spacing"/>
    <w:uiPriority w:val="1"/>
    <w:qFormat/>
    <w:rsid w:val="006B344A"/>
    <w:pPr>
      <w:spacing w:after="0" w:line="240" w:lineRule="auto"/>
    </w:pPr>
    <w:rPr>
      <w:rFonts w:eastAsiaTheme="minorEastAsia"/>
      <w:kern w:val="0"/>
      <w:sz w:val="20"/>
      <w:szCs w:val="20"/>
    </w:rPr>
  </w:style>
  <w:style w:type="paragraph" w:styleId="BalloonText">
    <w:name w:val="Balloon Text"/>
    <w:basedOn w:val="Normal"/>
    <w:link w:val="BalloonTextChar"/>
    <w:uiPriority w:val="99"/>
    <w:semiHidden/>
    <w:unhideWhenUsed/>
    <w:rsid w:val="006B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4A"/>
    <w:rPr>
      <w:rFonts w:ascii="Tahoma" w:hAnsi="Tahoma" w:cs="Tahoma"/>
      <w:sz w:val="16"/>
      <w:szCs w:val="16"/>
    </w:rPr>
  </w:style>
  <w:style w:type="paragraph" w:styleId="Header">
    <w:name w:val="header"/>
    <w:basedOn w:val="Normal"/>
    <w:link w:val="HeaderChar"/>
    <w:uiPriority w:val="99"/>
    <w:unhideWhenUsed/>
    <w:rsid w:val="006B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4A"/>
    <w:rPr>
      <w:rFonts w:cs="Latha"/>
    </w:rPr>
  </w:style>
  <w:style w:type="paragraph" w:styleId="Footer">
    <w:name w:val="footer"/>
    <w:basedOn w:val="Normal"/>
    <w:link w:val="FooterChar"/>
    <w:uiPriority w:val="99"/>
    <w:unhideWhenUsed/>
    <w:rsid w:val="006B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4A"/>
    <w:rPr>
      <w:rFonts w:cs="Latha"/>
    </w:rPr>
  </w:style>
  <w:style w:type="character" w:styleId="UnresolvedMention">
    <w:name w:val="Unresolved Mention"/>
    <w:basedOn w:val="DefaultParagraphFont"/>
    <w:uiPriority w:val="99"/>
    <w:semiHidden/>
    <w:unhideWhenUsed/>
    <w:rsid w:val="009220C8"/>
    <w:rPr>
      <w:color w:val="605E5C"/>
      <w:shd w:val="clear" w:color="auto" w:fill="E1DFDD"/>
    </w:rPr>
  </w:style>
  <w:style w:type="paragraph" w:styleId="ListParagraph">
    <w:name w:val="List Paragraph"/>
    <w:basedOn w:val="Normal"/>
    <w:uiPriority w:val="34"/>
    <w:qFormat/>
    <w:rsid w:val="00EA4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1139/f63-046" TargetMode="External"/><Relationship Id="rId39" Type="http://schemas.openxmlformats.org/officeDocument/2006/relationships/header" Target="header3.xml"/><Relationship Id="rId21" Type="http://schemas.openxmlformats.org/officeDocument/2006/relationships/hyperlink" Target="https://doi.org/10.1017/S0025315401003666" TargetMode="External"/><Relationship Id="rId34" Type="http://schemas.openxmlformats.org/officeDocument/2006/relationships/hyperlink" Target="https://doi.org/10.1111/j.1745-6592.2001.tb00648.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4319/lo.1959.4.1.0037" TargetMode="External"/><Relationship Id="rId29" Type="http://schemas.openxmlformats.org/officeDocument/2006/relationships/hyperlink" Target="https://doi.org/10.1127/algol_stud/2015/020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111/conl.12367" TargetMode="External"/><Relationship Id="rId32" Type="http://schemas.openxmlformats.org/officeDocument/2006/relationships/hyperlink" Target="https://doi.org/10.1093/icesjms/25.3.27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023/A:1021392618824" TargetMode="External"/><Relationship Id="rId28" Type="http://schemas.openxmlformats.org/officeDocument/2006/relationships/hyperlink" Target="https://doi.org/10.1139/f72-224"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1016/j.csr.2004.09.009" TargetMode="External"/><Relationship Id="rId31" Type="http://schemas.openxmlformats.org/officeDocument/2006/relationships/hyperlink" Target="https://doi.org/10.1007/BF0001676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2307/3545631" TargetMode="External"/><Relationship Id="rId27" Type="http://schemas.openxmlformats.org/officeDocument/2006/relationships/hyperlink" Target="https://doi.org/10.1029/2008GM000745" TargetMode="External"/><Relationship Id="rId30" Type="http://schemas.openxmlformats.org/officeDocument/2006/relationships/hyperlink" Target="https://doi.org/10.1139/f77-314"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1016/j.pocean.2014.04.025" TargetMode="External"/><Relationship Id="rId33" Type="http://schemas.openxmlformats.org/officeDocument/2006/relationships/hyperlink" Target="https://doi.org/10.1017/S0954102019000579"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opika\Desktop\FINAL\E-WQP%20Data.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Gopika\Desktop\FINAL\Edited%20Data%20PP.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chirag\Desktop\ck%20zp%202020.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Gopika\Desktop\FINAL\E-WQP%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88957831020588"/>
          <c:y val="9.8824491200895259E-2"/>
          <c:w val="0.73260656920414469"/>
          <c:h val="0.699054092593001"/>
        </c:manualLayout>
      </c:layout>
      <c:barChart>
        <c:barDir val="col"/>
        <c:grouping val="clustered"/>
        <c:varyColors val="0"/>
        <c:ser>
          <c:idx val="0"/>
          <c:order val="0"/>
          <c:tx>
            <c:strRef>
              <c:f>Sheet5!$D$8</c:f>
              <c:strCache>
                <c:ptCount val="1"/>
                <c:pt idx="0">
                  <c:v>FZ-1</c:v>
                </c:pt>
              </c:strCache>
            </c:strRef>
          </c:tx>
          <c:invertIfNegative val="0"/>
          <c:cat>
            <c:strRef>
              <c:f>Sheet5!$E$7:$H$7</c:f>
              <c:strCache>
                <c:ptCount val="4"/>
                <c:pt idx="0">
                  <c:v>November</c:v>
                </c:pt>
                <c:pt idx="1">
                  <c:v>December</c:v>
                </c:pt>
                <c:pt idx="2">
                  <c:v>January</c:v>
                </c:pt>
                <c:pt idx="3">
                  <c:v>February</c:v>
                </c:pt>
              </c:strCache>
            </c:strRef>
          </c:cat>
          <c:val>
            <c:numRef>
              <c:f>Sheet5!$E$8:$H$8</c:f>
              <c:numCache>
                <c:formatCode>General</c:formatCode>
                <c:ptCount val="4"/>
                <c:pt idx="0">
                  <c:v>25.86</c:v>
                </c:pt>
                <c:pt idx="1">
                  <c:v>26.2</c:v>
                </c:pt>
                <c:pt idx="2">
                  <c:v>26.59</c:v>
                </c:pt>
                <c:pt idx="3">
                  <c:v>25.779999999999987</c:v>
                </c:pt>
              </c:numCache>
            </c:numRef>
          </c:val>
          <c:extLst>
            <c:ext xmlns:c16="http://schemas.microsoft.com/office/drawing/2014/chart" uri="{C3380CC4-5D6E-409C-BE32-E72D297353CC}">
              <c16:uniqueId val="{00000000-0E1E-4ADE-8A91-73C3BDA16112}"/>
            </c:ext>
          </c:extLst>
        </c:ser>
        <c:ser>
          <c:idx val="1"/>
          <c:order val="1"/>
          <c:tx>
            <c:strRef>
              <c:f>Sheet5!$D$9</c:f>
              <c:strCache>
                <c:ptCount val="1"/>
                <c:pt idx="0">
                  <c:v>FZ-2</c:v>
                </c:pt>
              </c:strCache>
            </c:strRef>
          </c:tx>
          <c:invertIfNegative val="0"/>
          <c:cat>
            <c:strRef>
              <c:f>Sheet5!$E$7:$H$7</c:f>
              <c:strCache>
                <c:ptCount val="4"/>
                <c:pt idx="0">
                  <c:v>November</c:v>
                </c:pt>
                <c:pt idx="1">
                  <c:v>December</c:v>
                </c:pt>
                <c:pt idx="2">
                  <c:v>January</c:v>
                </c:pt>
                <c:pt idx="3">
                  <c:v>February</c:v>
                </c:pt>
              </c:strCache>
            </c:strRef>
          </c:cat>
          <c:val>
            <c:numRef>
              <c:f>Sheet5!$E$9:$H$9</c:f>
              <c:numCache>
                <c:formatCode>General</c:formatCode>
                <c:ptCount val="4"/>
                <c:pt idx="0">
                  <c:v>26.72</c:v>
                </c:pt>
                <c:pt idx="1">
                  <c:v>27.5</c:v>
                </c:pt>
                <c:pt idx="2">
                  <c:v>27.21</c:v>
                </c:pt>
                <c:pt idx="3">
                  <c:v>27.12</c:v>
                </c:pt>
              </c:numCache>
            </c:numRef>
          </c:val>
          <c:extLst>
            <c:ext xmlns:c16="http://schemas.microsoft.com/office/drawing/2014/chart" uri="{C3380CC4-5D6E-409C-BE32-E72D297353CC}">
              <c16:uniqueId val="{00000001-0E1E-4ADE-8A91-73C3BDA16112}"/>
            </c:ext>
          </c:extLst>
        </c:ser>
        <c:ser>
          <c:idx val="2"/>
          <c:order val="2"/>
          <c:tx>
            <c:strRef>
              <c:f>Sheet5!$D$10</c:f>
              <c:strCache>
                <c:ptCount val="1"/>
                <c:pt idx="0">
                  <c:v>FZ-3</c:v>
                </c:pt>
              </c:strCache>
            </c:strRef>
          </c:tx>
          <c:invertIfNegative val="0"/>
          <c:cat>
            <c:strRef>
              <c:f>Sheet5!$E$7:$H$7</c:f>
              <c:strCache>
                <c:ptCount val="4"/>
                <c:pt idx="0">
                  <c:v>November</c:v>
                </c:pt>
                <c:pt idx="1">
                  <c:v>December</c:v>
                </c:pt>
                <c:pt idx="2">
                  <c:v>January</c:v>
                </c:pt>
                <c:pt idx="3">
                  <c:v>February</c:v>
                </c:pt>
              </c:strCache>
            </c:strRef>
          </c:cat>
          <c:val>
            <c:numRef>
              <c:f>Sheet5!$E$10:$H$10</c:f>
              <c:numCache>
                <c:formatCode>General</c:formatCode>
                <c:ptCount val="4"/>
                <c:pt idx="0">
                  <c:v>26.02</c:v>
                </c:pt>
                <c:pt idx="1">
                  <c:v>26.54</c:v>
                </c:pt>
                <c:pt idx="2">
                  <c:v>28.23</c:v>
                </c:pt>
                <c:pt idx="3">
                  <c:v>27.52</c:v>
                </c:pt>
              </c:numCache>
            </c:numRef>
          </c:val>
          <c:extLst>
            <c:ext xmlns:c16="http://schemas.microsoft.com/office/drawing/2014/chart" uri="{C3380CC4-5D6E-409C-BE32-E72D297353CC}">
              <c16:uniqueId val="{00000002-0E1E-4ADE-8A91-73C3BDA16112}"/>
            </c:ext>
          </c:extLst>
        </c:ser>
        <c:ser>
          <c:idx val="3"/>
          <c:order val="3"/>
          <c:tx>
            <c:strRef>
              <c:f>Sheet5!$D$11</c:f>
              <c:strCache>
                <c:ptCount val="1"/>
                <c:pt idx="0">
                  <c:v>NFZ-1</c:v>
                </c:pt>
              </c:strCache>
            </c:strRef>
          </c:tx>
          <c:invertIfNegative val="0"/>
          <c:cat>
            <c:strRef>
              <c:f>Sheet5!$E$7:$H$7</c:f>
              <c:strCache>
                <c:ptCount val="4"/>
                <c:pt idx="0">
                  <c:v>November</c:v>
                </c:pt>
                <c:pt idx="1">
                  <c:v>December</c:v>
                </c:pt>
                <c:pt idx="2">
                  <c:v>January</c:v>
                </c:pt>
                <c:pt idx="3">
                  <c:v>February</c:v>
                </c:pt>
              </c:strCache>
            </c:strRef>
          </c:cat>
          <c:val>
            <c:numRef>
              <c:f>Sheet5!$E$11:$H$11</c:f>
              <c:numCache>
                <c:formatCode>General</c:formatCode>
                <c:ptCount val="4"/>
                <c:pt idx="0">
                  <c:v>25.74</c:v>
                </c:pt>
                <c:pt idx="1">
                  <c:v>26.32</c:v>
                </c:pt>
                <c:pt idx="2">
                  <c:v>26.88</c:v>
                </c:pt>
                <c:pt idx="3">
                  <c:v>25.979999999999986</c:v>
                </c:pt>
              </c:numCache>
            </c:numRef>
          </c:val>
          <c:extLst>
            <c:ext xmlns:c16="http://schemas.microsoft.com/office/drawing/2014/chart" uri="{C3380CC4-5D6E-409C-BE32-E72D297353CC}">
              <c16:uniqueId val="{00000003-0E1E-4ADE-8A91-73C3BDA16112}"/>
            </c:ext>
          </c:extLst>
        </c:ser>
        <c:ser>
          <c:idx val="4"/>
          <c:order val="4"/>
          <c:tx>
            <c:strRef>
              <c:f>Sheet5!$D$12</c:f>
              <c:strCache>
                <c:ptCount val="1"/>
                <c:pt idx="0">
                  <c:v>NFZ-2</c:v>
                </c:pt>
              </c:strCache>
            </c:strRef>
          </c:tx>
          <c:invertIfNegative val="0"/>
          <c:cat>
            <c:strRef>
              <c:f>Sheet5!$E$7:$H$7</c:f>
              <c:strCache>
                <c:ptCount val="4"/>
                <c:pt idx="0">
                  <c:v>November</c:v>
                </c:pt>
                <c:pt idx="1">
                  <c:v>December</c:v>
                </c:pt>
                <c:pt idx="2">
                  <c:v>January</c:v>
                </c:pt>
                <c:pt idx="3">
                  <c:v>February</c:v>
                </c:pt>
              </c:strCache>
            </c:strRef>
          </c:cat>
          <c:val>
            <c:numRef>
              <c:f>Sheet5!$E$12:$H$12</c:f>
              <c:numCache>
                <c:formatCode>General</c:formatCode>
                <c:ptCount val="4"/>
                <c:pt idx="0">
                  <c:v>26.650000000000031</c:v>
                </c:pt>
                <c:pt idx="1">
                  <c:v>27.32</c:v>
                </c:pt>
                <c:pt idx="2">
                  <c:v>28.12</c:v>
                </c:pt>
                <c:pt idx="3">
                  <c:v>27.419999999999987</c:v>
                </c:pt>
              </c:numCache>
            </c:numRef>
          </c:val>
          <c:extLst>
            <c:ext xmlns:c16="http://schemas.microsoft.com/office/drawing/2014/chart" uri="{C3380CC4-5D6E-409C-BE32-E72D297353CC}">
              <c16:uniqueId val="{00000004-0E1E-4ADE-8A91-73C3BDA16112}"/>
            </c:ext>
          </c:extLst>
        </c:ser>
        <c:ser>
          <c:idx val="5"/>
          <c:order val="5"/>
          <c:tx>
            <c:strRef>
              <c:f>Sheet5!$D$13</c:f>
              <c:strCache>
                <c:ptCount val="1"/>
                <c:pt idx="0">
                  <c:v>NFZ-3</c:v>
                </c:pt>
              </c:strCache>
            </c:strRef>
          </c:tx>
          <c:invertIfNegative val="0"/>
          <c:cat>
            <c:strRef>
              <c:f>Sheet5!$E$7:$H$7</c:f>
              <c:strCache>
                <c:ptCount val="4"/>
                <c:pt idx="0">
                  <c:v>November</c:v>
                </c:pt>
                <c:pt idx="1">
                  <c:v>December</c:v>
                </c:pt>
                <c:pt idx="2">
                  <c:v>January</c:v>
                </c:pt>
                <c:pt idx="3">
                  <c:v>February</c:v>
                </c:pt>
              </c:strCache>
            </c:strRef>
          </c:cat>
          <c:val>
            <c:numRef>
              <c:f>Sheet5!$E$13:$H$13</c:f>
              <c:numCache>
                <c:formatCode>General</c:formatCode>
                <c:ptCount val="4"/>
                <c:pt idx="0">
                  <c:v>26.82</c:v>
                </c:pt>
                <c:pt idx="1">
                  <c:v>26.979999999999986</c:v>
                </c:pt>
                <c:pt idx="2">
                  <c:v>28.62</c:v>
                </c:pt>
                <c:pt idx="3">
                  <c:v>30.51</c:v>
                </c:pt>
              </c:numCache>
            </c:numRef>
          </c:val>
          <c:extLst>
            <c:ext xmlns:c16="http://schemas.microsoft.com/office/drawing/2014/chart" uri="{C3380CC4-5D6E-409C-BE32-E72D297353CC}">
              <c16:uniqueId val="{00000005-0E1E-4ADE-8A91-73C3BDA16112}"/>
            </c:ext>
          </c:extLst>
        </c:ser>
        <c:dLbls>
          <c:showLegendKey val="0"/>
          <c:showVal val="0"/>
          <c:showCatName val="0"/>
          <c:showSerName val="0"/>
          <c:showPercent val="0"/>
          <c:showBubbleSize val="0"/>
        </c:dLbls>
        <c:gapWidth val="150"/>
        <c:axId val="83998592"/>
        <c:axId val="84463616"/>
      </c:barChart>
      <c:catAx>
        <c:axId val="83998592"/>
        <c:scaling>
          <c:orientation val="minMax"/>
        </c:scaling>
        <c:delete val="0"/>
        <c:axPos val="b"/>
        <c:numFmt formatCode="General" sourceLinked="0"/>
        <c:majorTickMark val="out"/>
        <c:minorTickMark val="none"/>
        <c:tickLblPos val="nextTo"/>
        <c:crossAx val="84463616"/>
        <c:crosses val="autoZero"/>
        <c:auto val="1"/>
        <c:lblAlgn val="ctr"/>
        <c:lblOffset val="100"/>
        <c:noMultiLvlLbl val="0"/>
      </c:catAx>
      <c:valAx>
        <c:axId val="84463616"/>
        <c:scaling>
          <c:orientation val="minMax"/>
          <c:min val="25"/>
        </c:scaling>
        <c:delete val="0"/>
        <c:axPos val="l"/>
        <c:majorGridlines>
          <c:spPr>
            <a:ln>
              <a:noFill/>
            </a:ln>
          </c:spPr>
        </c:majorGridlines>
        <c:title>
          <c:tx>
            <c:rich>
              <a:bodyPr rot="-5400000" vert="horz"/>
              <a:lstStyle/>
              <a:p>
                <a:pPr>
                  <a:defRPr/>
                </a:pPr>
                <a:r>
                  <a:rPr lang="en-US"/>
                  <a:t>Temperature  (oC)</a:t>
                </a:r>
              </a:p>
            </c:rich>
          </c:tx>
          <c:layout>
            <c:manualLayout>
              <c:xMode val="edge"/>
              <c:yMode val="edge"/>
              <c:x val="4.3897160903339408E-2"/>
              <c:y val="0.16953880764904392"/>
            </c:manualLayout>
          </c:layout>
          <c:overlay val="0"/>
        </c:title>
        <c:numFmt formatCode="General" sourceLinked="1"/>
        <c:majorTickMark val="out"/>
        <c:minorTickMark val="none"/>
        <c:tickLblPos val="nextTo"/>
        <c:crossAx val="83998592"/>
        <c:crosses val="autoZero"/>
        <c:crossBetween val="between"/>
      </c:valAx>
    </c:plotArea>
    <c:legend>
      <c:legendPos val="r"/>
      <c:layout>
        <c:manualLayout>
          <c:xMode val="edge"/>
          <c:yMode val="edge"/>
          <c:x val="0.89466080652228808"/>
          <c:y val="0.30371317304484557"/>
          <c:w val="9.1848468351237278E-2"/>
          <c:h val="0.46132053243866172"/>
        </c:manualLayout>
      </c:layout>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Sheet1!$O$13</c:f>
              <c:strCache>
                <c:ptCount val="1"/>
                <c:pt idx="0">
                  <c:v>November</c:v>
                </c:pt>
              </c:strCache>
            </c:strRef>
          </c:tx>
          <c:cat>
            <c:strRef>
              <c:f>Sheet1!$P$12:$U$12</c:f>
              <c:strCache>
                <c:ptCount val="6"/>
                <c:pt idx="0">
                  <c:v>FZ-1</c:v>
                </c:pt>
                <c:pt idx="1">
                  <c:v>FZ-2</c:v>
                </c:pt>
                <c:pt idx="2">
                  <c:v>FZ-3</c:v>
                </c:pt>
                <c:pt idx="3">
                  <c:v>NFZ-1</c:v>
                </c:pt>
                <c:pt idx="4">
                  <c:v>NFZ-2</c:v>
                </c:pt>
                <c:pt idx="5">
                  <c:v>NFZ-3</c:v>
                </c:pt>
              </c:strCache>
            </c:strRef>
          </c:cat>
          <c:val>
            <c:numRef>
              <c:f>Sheet1!$P$13:$U$13</c:f>
              <c:numCache>
                <c:formatCode>General</c:formatCode>
                <c:ptCount val="6"/>
                <c:pt idx="0">
                  <c:v>9790</c:v>
                </c:pt>
                <c:pt idx="1">
                  <c:v>9310</c:v>
                </c:pt>
                <c:pt idx="2">
                  <c:v>8380</c:v>
                </c:pt>
                <c:pt idx="3">
                  <c:v>9140</c:v>
                </c:pt>
                <c:pt idx="4">
                  <c:v>7435</c:v>
                </c:pt>
                <c:pt idx="5">
                  <c:v>9900</c:v>
                </c:pt>
              </c:numCache>
            </c:numRef>
          </c:val>
          <c:smooth val="0"/>
          <c:extLst>
            <c:ext xmlns:c16="http://schemas.microsoft.com/office/drawing/2014/chart" uri="{C3380CC4-5D6E-409C-BE32-E72D297353CC}">
              <c16:uniqueId val="{00000000-C50D-40F0-B80D-6247BB12CDD3}"/>
            </c:ext>
          </c:extLst>
        </c:ser>
        <c:ser>
          <c:idx val="1"/>
          <c:order val="1"/>
          <c:tx>
            <c:strRef>
              <c:f>Sheet1!$O$14</c:f>
              <c:strCache>
                <c:ptCount val="1"/>
                <c:pt idx="0">
                  <c:v>December</c:v>
                </c:pt>
              </c:strCache>
            </c:strRef>
          </c:tx>
          <c:cat>
            <c:strRef>
              <c:f>Sheet1!$P$12:$U$12</c:f>
              <c:strCache>
                <c:ptCount val="6"/>
                <c:pt idx="0">
                  <c:v>FZ-1</c:v>
                </c:pt>
                <c:pt idx="1">
                  <c:v>FZ-2</c:v>
                </c:pt>
                <c:pt idx="2">
                  <c:v>FZ-3</c:v>
                </c:pt>
                <c:pt idx="3">
                  <c:v>NFZ-1</c:v>
                </c:pt>
                <c:pt idx="4">
                  <c:v>NFZ-2</c:v>
                </c:pt>
                <c:pt idx="5">
                  <c:v>NFZ-3</c:v>
                </c:pt>
              </c:strCache>
            </c:strRef>
          </c:cat>
          <c:val>
            <c:numRef>
              <c:f>Sheet1!$P$14:$U$14</c:f>
              <c:numCache>
                <c:formatCode>General</c:formatCode>
                <c:ptCount val="6"/>
                <c:pt idx="0">
                  <c:v>10340</c:v>
                </c:pt>
                <c:pt idx="1">
                  <c:v>8600</c:v>
                </c:pt>
                <c:pt idx="2">
                  <c:v>9665</c:v>
                </c:pt>
                <c:pt idx="3">
                  <c:v>7810</c:v>
                </c:pt>
                <c:pt idx="4">
                  <c:v>8385</c:v>
                </c:pt>
                <c:pt idx="5">
                  <c:v>7585</c:v>
                </c:pt>
              </c:numCache>
            </c:numRef>
          </c:val>
          <c:smooth val="0"/>
          <c:extLst>
            <c:ext xmlns:c16="http://schemas.microsoft.com/office/drawing/2014/chart" uri="{C3380CC4-5D6E-409C-BE32-E72D297353CC}">
              <c16:uniqueId val="{00000001-C50D-40F0-B80D-6247BB12CDD3}"/>
            </c:ext>
          </c:extLst>
        </c:ser>
        <c:ser>
          <c:idx val="2"/>
          <c:order val="2"/>
          <c:tx>
            <c:strRef>
              <c:f>Sheet1!$O$15</c:f>
              <c:strCache>
                <c:ptCount val="1"/>
                <c:pt idx="0">
                  <c:v>January</c:v>
                </c:pt>
              </c:strCache>
            </c:strRef>
          </c:tx>
          <c:cat>
            <c:strRef>
              <c:f>Sheet1!$P$12:$U$12</c:f>
              <c:strCache>
                <c:ptCount val="6"/>
                <c:pt idx="0">
                  <c:v>FZ-1</c:v>
                </c:pt>
                <c:pt idx="1">
                  <c:v>FZ-2</c:v>
                </c:pt>
                <c:pt idx="2">
                  <c:v>FZ-3</c:v>
                </c:pt>
                <c:pt idx="3">
                  <c:v>NFZ-1</c:v>
                </c:pt>
                <c:pt idx="4">
                  <c:v>NFZ-2</c:v>
                </c:pt>
                <c:pt idx="5">
                  <c:v>NFZ-3</c:v>
                </c:pt>
              </c:strCache>
            </c:strRef>
          </c:cat>
          <c:val>
            <c:numRef>
              <c:f>Sheet1!$P$15:$U$15</c:f>
              <c:numCache>
                <c:formatCode>General</c:formatCode>
                <c:ptCount val="6"/>
                <c:pt idx="0">
                  <c:v>8240</c:v>
                </c:pt>
                <c:pt idx="1">
                  <c:v>7665</c:v>
                </c:pt>
                <c:pt idx="2">
                  <c:v>8900</c:v>
                </c:pt>
                <c:pt idx="3">
                  <c:v>7945</c:v>
                </c:pt>
                <c:pt idx="4">
                  <c:v>8700</c:v>
                </c:pt>
                <c:pt idx="5">
                  <c:v>7500</c:v>
                </c:pt>
              </c:numCache>
            </c:numRef>
          </c:val>
          <c:smooth val="0"/>
          <c:extLst>
            <c:ext xmlns:c16="http://schemas.microsoft.com/office/drawing/2014/chart" uri="{C3380CC4-5D6E-409C-BE32-E72D297353CC}">
              <c16:uniqueId val="{00000002-C50D-40F0-B80D-6247BB12CDD3}"/>
            </c:ext>
          </c:extLst>
        </c:ser>
        <c:ser>
          <c:idx val="3"/>
          <c:order val="3"/>
          <c:tx>
            <c:strRef>
              <c:f>Sheet1!$O$16</c:f>
              <c:strCache>
                <c:ptCount val="1"/>
                <c:pt idx="0">
                  <c:v>February</c:v>
                </c:pt>
              </c:strCache>
            </c:strRef>
          </c:tx>
          <c:cat>
            <c:strRef>
              <c:f>Sheet1!$P$12:$U$12</c:f>
              <c:strCache>
                <c:ptCount val="6"/>
                <c:pt idx="0">
                  <c:v>FZ-1</c:v>
                </c:pt>
                <c:pt idx="1">
                  <c:v>FZ-2</c:v>
                </c:pt>
                <c:pt idx="2">
                  <c:v>FZ-3</c:v>
                </c:pt>
                <c:pt idx="3">
                  <c:v>NFZ-1</c:v>
                </c:pt>
                <c:pt idx="4">
                  <c:v>NFZ-2</c:v>
                </c:pt>
                <c:pt idx="5">
                  <c:v>NFZ-3</c:v>
                </c:pt>
              </c:strCache>
            </c:strRef>
          </c:cat>
          <c:val>
            <c:numRef>
              <c:f>Sheet1!$P$16:$U$16</c:f>
              <c:numCache>
                <c:formatCode>General</c:formatCode>
                <c:ptCount val="6"/>
                <c:pt idx="0">
                  <c:v>7480</c:v>
                </c:pt>
                <c:pt idx="1">
                  <c:v>7350</c:v>
                </c:pt>
                <c:pt idx="2">
                  <c:v>8515</c:v>
                </c:pt>
                <c:pt idx="3">
                  <c:v>8925</c:v>
                </c:pt>
                <c:pt idx="4">
                  <c:v>6815</c:v>
                </c:pt>
                <c:pt idx="5">
                  <c:v>8100</c:v>
                </c:pt>
              </c:numCache>
            </c:numRef>
          </c:val>
          <c:smooth val="0"/>
          <c:extLst>
            <c:ext xmlns:c16="http://schemas.microsoft.com/office/drawing/2014/chart" uri="{C3380CC4-5D6E-409C-BE32-E72D297353CC}">
              <c16:uniqueId val="{00000003-C50D-40F0-B80D-6247BB12CDD3}"/>
            </c:ext>
          </c:extLst>
        </c:ser>
        <c:dLbls>
          <c:showLegendKey val="0"/>
          <c:showVal val="0"/>
          <c:showCatName val="0"/>
          <c:showSerName val="0"/>
          <c:showPercent val="0"/>
          <c:showBubbleSize val="0"/>
        </c:dLbls>
        <c:marker val="1"/>
        <c:smooth val="0"/>
        <c:axId val="84022400"/>
        <c:axId val="84023936"/>
      </c:lineChart>
      <c:catAx>
        <c:axId val="84022400"/>
        <c:scaling>
          <c:orientation val="minMax"/>
        </c:scaling>
        <c:delete val="0"/>
        <c:axPos val="b"/>
        <c:numFmt formatCode="General" sourceLinked="0"/>
        <c:majorTickMark val="out"/>
        <c:minorTickMark val="none"/>
        <c:tickLblPos val="nextTo"/>
        <c:crossAx val="84023936"/>
        <c:crosses val="autoZero"/>
        <c:auto val="1"/>
        <c:lblAlgn val="ctr"/>
        <c:lblOffset val="100"/>
        <c:noMultiLvlLbl val="0"/>
      </c:catAx>
      <c:valAx>
        <c:axId val="84023936"/>
        <c:scaling>
          <c:orientation val="minMax"/>
          <c:max val="10500"/>
          <c:min val="6500"/>
        </c:scaling>
        <c:delete val="0"/>
        <c:axPos val="l"/>
        <c:majorGridlines>
          <c:spPr>
            <a:ln>
              <a:noFill/>
            </a:ln>
          </c:spPr>
        </c:majorGridlines>
        <c:title>
          <c:tx>
            <c:rich>
              <a:bodyPr rot="-5400000" vert="horz"/>
              <a:lstStyle/>
              <a:p>
                <a:pPr>
                  <a:defRPr/>
                </a:pPr>
                <a:r>
                  <a:rPr lang="en-US"/>
                  <a:t>Total phytoplankton</a:t>
                </a:r>
              </a:p>
              <a:p>
                <a:pPr>
                  <a:defRPr/>
                </a:pPr>
                <a:r>
                  <a:rPr lang="en-US"/>
                  <a:t>(number/liter)</a:t>
                </a:r>
              </a:p>
            </c:rich>
          </c:tx>
          <c:layout>
            <c:manualLayout>
              <c:xMode val="edge"/>
              <c:yMode val="edge"/>
              <c:x val="2.6564901408984546E-2"/>
              <c:y val="0.15956679833625478"/>
            </c:manualLayout>
          </c:layout>
          <c:overlay val="0"/>
        </c:title>
        <c:numFmt formatCode="General" sourceLinked="1"/>
        <c:majorTickMark val="out"/>
        <c:minorTickMark val="none"/>
        <c:tickLblPos val="nextTo"/>
        <c:crossAx val="84022400"/>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Sheet1!$M$6</c:f>
              <c:strCache>
                <c:ptCount val="1"/>
                <c:pt idx="0">
                  <c:v>NOVEMBER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Sheet1!$N$4:$S$5</c:f>
              <c:strCache>
                <c:ptCount val="6"/>
                <c:pt idx="0">
                  <c:v>FZ-1</c:v>
                </c:pt>
                <c:pt idx="1">
                  <c:v>FZ-2</c:v>
                </c:pt>
                <c:pt idx="2">
                  <c:v>FZ-3</c:v>
                </c:pt>
                <c:pt idx="3">
                  <c:v>NFZ-1</c:v>
                </c:pt>
                <c:pt idx="4">
                  <c:v>NFZ-2</c:v>
                </c:pt>
                <c:pt idx="5">
                  <c:v>NFZ-3</c:v>
                </c:pt>
              </c:strCache>
            </c:strRef>
          </c:cat>
          <c:val>
            <c:numRef>
              <c:f>Sheet1!$N$6:$S$6</c:f>
              <c:numCache>
                <c:formatCode>General</c:formatCode>
                <c:ptCount val="6"/>
                <c:pt idx="0">
                  <c:v>503</c:v>
                </c:pt>
                <c:pt idx="1">
                  <c:v>473</c:v>
                </c:pt>
                <c:pt idx="2">
                  <c:v>477</c:v>
                </c:pt>
                <c:pt idx="3">
                  <c:v>497</c:v>
                </c:pt>
                <c:pt idx="4">
                  <c:v>493</c:v>
                </c:pt>
                <c:pt idx="5">
                  <c:v>477</c:v>
                </c:pt>
              </c:numCache>
            </c:numRef>
          </c:val>
          <c:smooth val="0"/>
          <c:extLst>
            <c:ext xmlns:c16="http://schemas.microsoft.com/office/drawing/2014/chart" uri="{C3380CC4-5D6E-409C-BE32-E72D297353CC}">
              <c16:uniqueId val="{00000000-D460-4431-BBAC-F079C689AE7E}"/>
            </c:ext>
          </c:extLst>
        </c:ser>
        <c:ser>
          <c:idx val="1"/>
          <c:order val="1"/>
          <c:tx>
            <c:strRef>
              <c:f>Sheet1!$M$7</c:f>
              <c:strCache>
                <c:ptCount val="1"/>
                <c:pt idx="0">
                  <c:v>DECEMBER</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Sheet1!$N$4:$S$5</c:f>
              <c:strCache>
                <c:ptCount val="6"/>
                <c:pt idx="0">
                  <c:v>FZ-1</c:v>
                </c:pt>
                <c:pt idx="1">
                  <c:v>FZ-2</c:v>
                </c:pt>
                <c:pt idx="2">
                  <c:v>FZ-3</c:v>
                </c:pt>
                <c:pt idx="3">
                  <c:v>NFZ-1</c:v>
                </c:pt>
                <c:pt idx="4">
                  <c:v>NFZ-2</c:v>
                </c:pt>
                <c:pt idx="5">
                  <c:v>NFZ-3</c:v>
                </c:pt>
              </c:strCache>
            </c:strRef>
          </c:cat>
          <c:val>
            <c:numRef>
              <c:f>Sheet1!$N$7:$S$7</c:f>
              <c:numCache>
                <c:formatCode>General</c:formatCode>
                <c:ptCount val="6"/>
                <c:pt idx="0">
                  <c:v>442</c:v>
                </c:pt>
                <c:pt idx="1">
                  <c:v>428</c:v>
                </c:pt>
                <c:pt idx="2">
                  <c:v>431</c:v>
                </c:pt>
                <c:pt idx="3">
                  <c:v>449</c:v>
                </c:pt>
                <c:pt idx="4">
                  <c:v>426</c:v>
                </c:pt>
                <c:pt idx="5">
                  <c:v>422</c:v>
                </c:pt>
              </c:numCache>
            </c:numRef>
          </c:val>
          <c:smooth val="0"/>
          <c:extLst>
            <c:ext xmlns:c16="http://schemas.microsoft.com/office/drawing/2014/chart" uri="{C3380CC4-5D6E-409C-BE32-E72D297353CC}">
              <c16:uniqueId val="{00000001-D460-4431-BBAC-F079C689AE7E}"/>
            </c:ext>
          </c:extLst>
        </c:ser>
        <c:ser>
          <c:idx val="2"/>
          <c:order val="2"/>
          <c:tx>
            <c:strRef>
              <c:f>Sheet1!$M$8</c:f>
              <c:strCache>
                <c:ptCount val="1"/>
                <c:pt idx="0">
                  <c:v>JANUARY</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Sheet1!$N$4:$S$5</c:f>
              <c:strCache>
                <c:ptCount val="6"/>
                <c:pt idx="0">
                  <c:v>FZ-1</c:v>
                </c:pt>
                <c:pt idx="1">
                  <c:v>FZ-2</c:v>
                </c:pt>
                <c:pt idx="2">
                  <c:v>FZ-3</c:v>
                </c:pt>
                <c:pt idx="3">
                  <c:v>NFZ-1</c:v>
                </c:pt>
                <c:pt idx="4">
                  <c:v>NFZ-2</c:v>
                </c:pt>
                <c:pt idx="5">
                  <c:v>NFZ-3</c:v>
                </c:pt>
              </c:strCache>
            </c:strRef>
          </c:cat>
          <c:val>
            <c:numRef>
              <c:f>Sheet1!$N$8:$S$8</c:f>
              <c:numCache>
                <c:formatCode>General</c:formatCode>
                <c:ptCount val="6"/>
                <c:pt idx="0">
                  <c:v>467</c:v>
                </c:pt>
                <c:pt idx="1">
                  <c:v>440</c:v>
                </c:pt>
                <c:pt idx="2">
                  <c:v>441</c:v>
                </c:pt>
                <c:pt idx="3">
                  <c:v>455</c:v>
                </c:pt>
                <c:pt idx="4">
                  <c:v>446</c:v>
                </c:pt>
                <c:pt idx="5">
                  <c:v>430</c:v>
                </c:pt>
              </c:numCache>
            </c:numRef>
          </c:val>
          <c:smooth val="0"/>
          <c:extLst>
            <c:ext xmlns:c16="http://schemas.microsoft.com/office/drawing/2014/chart" uri="{C3380CC4-5D6E-409C-BE32-E72D297353CC}">
              <c16:uniqueId val="{00000002-D460-4431-BBAC-F079C689AE7E}"/>
            </c:ext>
          </c:extLst>
        </c:ser>
        <c:ser>
          <c:idx val="3"/>
          <c:order val="3"/>
          <c:tx>
            <c:strRef>
              <c:f>Sheet1!$M$9</c:f>
              <c:strCache>
                <c:ptCount val="1"/>
                <c:pt idx="0">
                  <c:v>FEBRUARY</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Sheet1!$N$4:$S$5</c:f>
              <c:strCache>
                <c:ptCount val="6"/>
                <c:pt idx="0">
                  <c:v>FZ-1</c:v>
                </c:pt>
                <c:pt idx="1">
                  <c:v>FZ-2</c:v>
                </c:pt>
                <c:pt idx="2">
                  <c:v>FZ-3</c:v>
                </c:pt>
                <c:pt idx="3">
                  <c:v>NFZ-1</c:v>
                </c:pt>
                <c:pt idx="4">
                  <c:v>NFZ-2</c:v>
                </c:pt>
                <c:pt idx="5">
                  <c:v>NFZ-3</c:v>
                </c:pt>
              </c:strCache>
            </c:strRef>
          </c:cat>
          <c:val>
            <c:numRef>
              <c:f>Sheet1!$N$9:$S$9</c:f>
              <c:numCache>
                <c:formatCode>General</c:formatCode>
                <c:ptCount val="6"/>
                <c:pt idx="0">
                  <c:v>473</c:v>
                </c:pt>
                <c:pt idx="1">
                  <c:v>450</c:v>
                </c:pt>
                <c:pt idx="2">
                  <c:v>448</c:v>
                </c:pt>
                <c:pt idx="3">
                  <c:v>464</c:v>
                </c:pt>
                <c:pt idx="4">
                  <c:v>459</c:v>
                </c:pt>
                <c:pt idx="5">
                  <c:v>436</c:v>
                </c:pt>
              </c:numCache>
            </c:numRef>
          </c:val>
          <c:smooth val="0"/>
          <c:extLst>
            <c:ext xmlns:c16="http://schemas.microsoft.com/office/drawing/2014/chart" uri="{C3380CC4-5D6E-409C-BE32-E72D297353CC}">
              <c16:uniqueId val="{00000003-D460-4431-BBAC-F079C689AE7E}"/>
            </c:ext>
          </c:extLst>
        </c:ser>
        <c:dLbls>
          <c:showLegendKey val="0"/>
          <c:showVal val="0"/>
          <c:showCatName val="0"/>
          <c:showSerName val="0"/>
          <c:showPercent val="0"/>
          <c:showBubbleSize val="0"/>
        </c:dLbls>
        <c:marker val="1"/>
        <c:smooth val="0"/>
        <c:axId val="84054400"/>
        <c:axId val="84056320"/>
      </c:lineChart>
      <c:catAx>
        <c:axId val="8405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84056320"/>
        <c:crosses val="autoZero"/>
        <c:auto val="1"/>
        <c:lblAlgn val="ctr"/>
        <c:lblOffset val="100"/>
        <c:noMultiLvlLbl val="0"/>
      </c:catAx>
      <c:valAx>
        <c:axId val="84056320"/>
        <c:scaling>
          <c:orientation val="minMax"/>
        </c:scaling>
        <c:delete val="0"/>
        <c:axPos val="l"/>
        <c:title>
          <c:tx>
            <c:rich>
              <a:bodyPr rot="-5400000" vert="horz"/>
              <a:lstStyle/>
              <a:p>
                <a:pPr>
                  <a:defRPr/>
                </a:pPr>
                <a:r>
                  <a:rPr lang="en-IN"/>
                  <a:t>Total zooplankton</a:t>
                </a:r>
              </a:p>
              <a:p>
                <a:pPr>
                  <a:defRPr/>
                </a:pPr>
                <a:r>
                  <a:rPr lang="en-IN"/>
                  <a:t>( no/m3)</a:t>
                </a:r>
              </a:p>
            </c:rich>
          </c:tx>
          <c:layout>
            <c:manualLayout>
              <c:xMode val="edge"/>
              <c:yMode val="edge"/>
              <c:x val="2.2222222222222251E-2"/>
              <c:y val="0.23229913969087257"/>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84054400"/>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600" baseline="0">
          <a:latin typeface="Arial" pitchFamily="34" charset="0"/>
          <a:cs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2939632545932"/>
          <c:y val="5.1400554097404488E-2"/>
          <c:w val="0.7355682414698167"/>
          <c:h val="0.85576771653543504"/>
        </c:manualLayout>
      </c:layout>
      <c:barChart>
        <c:barDir val="col"/>
        <c:grouping val="clustered"/>
        <c:varyColors val="0"/>
        <c:ser>
          <c:idx val="0"/>
          <c:order val="0"/>
          <c:tx>
            <c:strRef>
              <c:f>Sheet5!$D$27</c:f>
              <c:strCache>
                <c:ptCount val="1"/>
                <c:pt idx="0">
                  <c:v>FZ-1</c:v>
                </c:pt>
              </c:strCache>
            </c:strRef>
          </c:tx>
          <c:invertIfNegative val="0"/>
          <c:cat>
            <c:strRef>
              <c:f>Sheet5!$E$26:$H$26</c:f>
              <c:strCache>
                <c:ptCount val="4"/>
                <c:pt idx="0">
                  <c:v>November</c:v>
                </c:pt>
                <c:pt idx="1">
                  <c:v>December</c:v>
                </c:pt>
                <c:pt idx="2">
                  <c:v>January</c:v>
                </c:pt>
                <c:pt idx="3">
                  <c:v>February</c:v>
                </c:pt>
              </c:strCache>
            </c:strRef>
          </c:cat>
          <c:val>
            <c:numRef>
              <c:f>Sheet5!$E$27:$H$27</c:f>
              <c:numCache>
                <c:formatCode>General</c:formatCode>
                <c:ptCount val="4"/>
                <c:pt idx="0">
                  <c:v>31.25</c:v>
                </c:pt>
                <c:pt idx="1">
                  <c:v>29.67</c:v>
                </c:pt>
                <c:pt idx="2">
                  <c:v>31.21</c:v>
                </c:pt>
                <c:pt idx="3">
                  <c:v>31.459999999999987</c:v>
                </c:pt>
              </c:numCache>
            </c:numRef>
          </c:val>
          <c:extLst>
            <c:ext xmlns:c16="http://schemas.microsoft.com/office/drawing/2014/chart" uri="{C3380CC4-5D6E-409C-BE32-E72D297353CC}">
              <c16:uniqueId val="{00000000-CA46-4322-9F80-C5BD015C2738}"/>
            </c:ext>
          </c:extLst>
        </c:ser>
        <c:ser>
          <c:idx val="1"/>
          <c:order val="1"/>
          <c:tx>
            <c:strRef>
              <c:f>Sheet5!$D$28</c:f>
              <c:strCache>
                <c:ptCount val="1"/>
                <c:pt idx="0">
                  <c:v>FZ-2</c:v>
                </c:pt>
              </c:strCache>
            </c:strRef>
          </c:tx>
          <c:invertIfNegative val="0"/>
          <c:cat>
            <c:strRef>
              <c:f>Sheet5!$E$26:$H$26</c:f>
              <c:strCache>
                <c:ptCount val="4"/>
                <c:pt idx="0">
                  <c:v>November</c:v>
                </c:pt>
                <c:pt idx="1">
                  <c:v>December</c:v>
                </c:pt>
                <c:pt idx="2">
                  <c:v>January</c:v>
                </c:pt>
                <c:pt idx="3">
                  <c:v>February</c:v>
                </c:pt>
              </c:strCache>
            </c:strRef>
          </c:cat>
          <c:val>
            <c:numRef>
              <c:f>Sheet5!$E$28:$H$28</c:f>
              <c:numCache>
                <c:formatCode>General</c:formatCode>
                <c:ptCount val="4"/>
                <c:pt idx="0">
                  <c:v>32.590000000000003</c:v>
                </c:pt>
                <c:pt idx="1">
                  <c:v>30.610000000000031</c:v>
                </c:pt>
                <c:pt idx="2">
                  <c:v>32.480000000000004</c:v>
                </c:pt>
                <c:pt idx="3">
                  <c:v>32.68</c:v>
                </c:pt>
              </c:numCache>
            </c:numRef>
          </c:val>
          <c:extLst>
            <c:ext xmlns:c16="http://schemas.microsoft.com/office/drawing/2014/chart" uri="{C3380CC4-5D6E-409C-BE32-E72D297353CC}">
              <c16:uniqueId val="{00000001-CA46-4322-9F80-C5BD015C2738}"/>
            </c:ext>
          </c:extLst>
        </c:ser>
        <c:ser>
          <c:idx val="2"/>
          <c:order val="2"/>
          <c:tx>
            <c:strRef>
              <c:f>Sheet5!$D$29</c:f>
              <c:strCache>
                <c:ptCount val="1"/>
                <c:pt idx="0">
                  <c:v>FZ-3</c:v>
                </c:pt>
              </c:strCache>
            </c:strRef>
          </c:tx>
          <c:invertIfNegative val="0"/>
          <c:cat>
            <c:strRef>
              <c:f>Sheet5!$E$26:$H$26</c:f>
              <c:strCache>
                <c:ptCount val="4"/>
                <c:pt idx="0">
                  <c:v>November</c:v>
                </c:pt>
                <c:pt idx="1">
                  <c:v>December</c:v>
                </c:pt>
                <c:pt idx="2">
                  <c:v>January</c:v>
                </c:pt>
                <c:pt idx="3">
                  <c:v>February</c:v>
                </c:pt>
              </c:strCache>
            </c:strRef>
          </c:cat>
          <c:val>
            <c:numRef>
              <c:f>Sheet5!$E$29:$H$29</c:f>
              <c:numCache>
                <c:formatCode>General</c:formatCode>
                <c:ptCount val="4"/>
                <c:pt idx="0">
                  <c:v>32.54</c:v>
                </c:pt>
                <c:pt idx="1">
                  <c:v>32.870000000000005</c:v>
                </c:pt>
                <c:pt idx="2">
                  <c:v>32.760000000000012</c:v>
                </c:pt>
                <c:pt idx="3">
                  <c:v>33.120000000000012</c:v>
                </c:pt>
              </c:numCache>
            </c:numRef>
          </c:val>
          <c:extLst>
            <c:ext xmlns:c16="http://schemas.microsoft.com/office/drawing/2014/chart" uri="{C3380CC4-5D6E-409C-BE32-E72D297353CC}">
              <c16:uniqueId val="{00000002-CA46-4322-9F80-C5BD015C2738}"/>
            </c:ext>
          </c:extLst>
        </c:ser>
        <c:ser>
          <c:idx val="3"/>
          <c:order val="3"/>
          <c:tx>
            <c:strRef>
              <c:f>Sheet5!$D$30</c:f>
              <c:strCache>
                <c:ptCount val="1"/>
                <c:pt idx="0">
                  <c:v>NFZ-1</c:v>
                </c:pt>
              </c:strCache>
            </c:strRef>
          </c:tx>
          <c:invertIfNegative val="0"/>
          <c:cat>
            <c:strRef>
              <c:f>Sheet5!$E$26:$H$26</c:f>
              <c:strCache>
                <c:ptCount val="4"/>
                <c:pt idx="0">
                  <c:v>November</c:v>
                </c:pt>
                <c:pt idx="1">
                  <c:v>December</c:v>
                </c:pt>
                <c:pt idx="2">
                  <c:v>January</c:v>
                </c:pt>
                <c:pt idx="3">
                  <c:v>February</c:v>
                </c:pt>
              </c:strCache>
            </c:strRef>
          </c:cat>
          <c:val>
            <c:numRef>
              <c:f>Sheet5!$E$30:$H$30</c:f>
              <c:numCache>
                <c:formatCode>General</c:formatCode>
                <c:ptCount val="4"/>
                <c:pt idx="0">
                  <c:v>33.21</c:v>
                </c:pt>
                <c:pt idx="1">
                  <c:v>31.79</c:v>
                </c:pt>
                <c:pt idx="2">
                  <c:v>31.919999999999987</c:v>
                </c:pt>
                <c:pt idx="3">
                  <c:v>32.260000000000012</c:v>
                </c:pt>
              </c:numCache>
            </c:numRef>
          </c:val>
          <c:extLst>
            <c:ext xmlns:c16="http://schemas.microsoft.com/office/drawing/2014/chart" uri="{C3380CC4-5D6E-409C-BE32-E72D297353CC}">
              <c16:uniqueId val="{00000003-CA46-4322-9F80-C5BD015C2738}"/>
            </c:ext>
          </c:extLst>
        </c:ser>
        <c:ser>
          <c:idx val="4"/>
          <c:order val="4"/>
          <c:tx>
            <c:strRef>
              <c:f>Sheet5!$D$31</c:f>
              <c:strCache>
                <c:ptCount val="1"/>
                <c:pt idx="0">
                  <c:v>NFZ-2</c:v>
                </c:pt>
              </c:strCache>
            </c:strRef>
          </c:tx>
          <c:invertIfNegative val="0"/>
          <c:cat>
            <c:strRef>
              <c:f>Sheet5!$E$26:$H$26</c:f>
              <c:strCache>
                <c:ptCount val="4"/>
                <c:pt idx="0">
                  <c:v>November</c:v>
                </c:pt>
                <c:pt idx="1">
                  <c:v>December</c:v>
                </c:pt>
                <c:pt idx="2">
                  <c:v>January</c:v>
                </c:pt>
                <c:pt idx="3">
                  <c:v>February</c:v>
                </c:pt>
              </c:strCache>
            </c:strRef>
          </c:cat>
          <c:val>
            <c:numRef>
              <c:f>Sheet5!$E$31:$H$31</c:f>
              <c:numCache>
                <c:formatCode>General</c:formatCode>
                <c:ptCount val="4"/>
                <c:pt idx="0">
                  <c:v>33.42</c:v>
                </c:pt>
                <c:pt idx="1">
                  <c:v>31.02</c:v>
                </c:pt>
                <c:pt idx="2">
                  <c:v>33.89</c:v>
                </c:pt>
                <c:pt idx="3">
                  <c:v>33.56</c:v>
                </c:pt>
              </c:numCache>
            </c:numRef>
          </c:val>
          <c:extLst>
            <c:ext xmlns:c16="http://schemas.microsoft.com/office/drawing/2014/chart" uri="{C3380CC4-5D6E-409C-BE32-E72D297353CC}">
              <c16:uniqueId val="{00000004-CA46-4322-9F80-C5BD015C2738}"/>
            </c:ext>
          </c:extLst>
        </c:ser>
        <c:ser>
          <c:idx val="5"/>
          <c:order val="5"/>
          <c:tx>
            <c:strRef>
              <c:f>Sheet5!$D$32</c:f>
              <c:strCache>
                <c:ptCount val="1"/>
                <c:pt idx="0">
                  <c:v>NFZ-3</c:v>
                </c:pt>
              </c:strCache>
            </c:strRef>
          </c:tx>
          <c:invertIfNegative val="0"/>
          <c:cat>
            <c:strRef>
              <c:f>Sheet5!$E$26:$H$26</c:f>
              <c:strCache>
                <c:ptCount val="4"/>
                <c:pt idx="0">
                  <c:v>November</c:v>
                </c:pt>
                <c:pt idx="1">
                  <c:v>December</c:v>
                </c:pt>
                <c:pt idx="2">
                  <c:v>January</c:v>
                </c:pt>
                <c:pt idx="3">
                  <c:v>February</c:v>
                </c:pt>
              </c:strCache>
            </c:strRef>
          </c:cat>
          <c:val>
            <c:numRef>
              <c:f>Sheet5!$E$32:$H$32</c:f>
              <c:numCache>
                <c:formatCode>General</c:formatCode>
                <c:ptCount val="4"/>
                <c:pt idx="0">
                  <c:v>34.190000000000012</c:v>
                </c:pt>
                <c:pt idx="1">
                  <c:v>32.56</c:v>
                </c:pt>
                <c:pt idx="2">
                  <c:v>32.53</c:v>
                </c:pt>
                <c:pt idx="3">
                  <c:v>34.51</c:v>
                </c:pt>
              </c:numCache>
            </c:numRef>
          </c:val>
          <c:extLst>
            <c:ext xmlns:c16="http://schemas.microsoft.com/office/drawing/2014/chart" uri="{C3380CC4-5D6E-409C-BE32-E72D297353CC}">
              <c16:uniqueId val="{00000005-CA46-4322-9F80-C5BD015C2738}"/>
            </c:ext>
          </c:extLst>
        </c:ser>
        <c:dLbls>
          <c:showLegendKey val="0"/>
          <c:showVal val="0"/>
          <c:showCatName val="0"/>
          <c:showSerName val="0"/>
          <c:showPercent val="0"/>
          <c:showBubbleSize val="0"/>
        </c:dLbls>
        <c:gapWidth val="150"/>
        <c:axId val="91824896"/>
        <c:axId val="91826432"/>
      </c:barChart>
      <c:catAx>
        <c:axId val="91824896"/>
        <c:scaling>
          <c:orientation val="minMax"/>
        </c:scaling>
        <c:delete val="0"/>
        <c:axPos val="b"/>
        <c:numFmt formatCode="General" sourceLinked="0"/>
        <c:majorTickMark val="out"/>
        <c:minorTickMark val="none"/>
        <c:tickLblPos val="nextTo"/>
        <c:crossAx val="91826432"/>
        <c:crosses val="autoZero"/>
        <c:auto val="1"/>
        <c:lblAlgn val="ctr"/>
        <c:lblOffset val="100"/>
        <c:noMultiLvlLbl val="0"/>
      </c:catAx>
      <c:valAx>
        <c:axId val="91826432"/>
        <c:scaling>
          <c:orientation val="minMax"/>
        </c:scaling>
        <c:delete val="0"/>
        <c:axPos val="l"/>
        <c:title>
          <c:tx>
            <c:rich>
              <a:bodyPr rot="-5400000" vert="horz"/>
              <a:lstStyle/>
              <a:p>
                <a:pPr>
                  <a:defRPr/>
                </a:pPr>
                <a:r>
                  <a:rPr lang="en-US"/>
                  <a:t>Salinity (ppt)</a:t>
                </a:r>
              </a:p>
            </c:rich>
          </c:tx>
          <c:layout>
            <c:manualLayout>
              <c:xMode val="edge"/>
              <c:yMode val="edge"/>
              <c:x val="1.6666666666666701E-2"/>
              <c:y val="0.30117089530475583"/>
            </c:manualLayout>
          </c:layout>
          <c:overlay val="0"/>
        </c:title>
        <c:numFmt formatCode="General" sourceLinked="1"/>
        <c:majorTickMark val="out"/>
        <c:minorTickMark val="none"/>
        <c:tickLblPos val="nextTo"/>
        <c:crossAx val="9182489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47395660049541"/>
          <c:y val="7.6248440476523557E-2"/>
          <c:w val="0.72472884551403105"/>
          <c:h val="0.83732930806730999"/>
        </c:manualLayout>
      </c:layout>
      <c:barChart>
        <c:barDir val="col"/>
        <c:grouping val="clustered"/>
        <c:varyColors val="0"/>
        <c:ser>
          <c:idx val="0"/>
          <c:order val="0"/>
          <c:tx>
            <c:strRef>
              <c:f>Sheet5!$D$52</c:f>
              <c:strCache>
                <c:ptCount val="1"/>
                <c:pt idx="0">
                  <c:v>FZ-1</c:v>
                </c:pt>
              </c:strCache>
            </c:strRef>
          </c:tx>
          <c:invertIfNegative val="0"/>
          <c:cat>
            <c:strRef>
              <c:f>Sheet5!$E$51:$H$51</c:f>
              <c:strCache>
                <c:ptCount val="4"/>
                <c:pt idx="0">
                  <c:v>November</c:v>
                </c:pt>
                <c:pt idx="1">
                  <c:v>December</c:v>
                </c:pt>
                <c:pt idx="2">
                  <c:v>January</c:v>
                </c:pt>
                <c:pt idx="3">
                  <c:v>February</c:v>
                </c:pt>
              </c:strCache>
            </c:strRef>
          </c:cat>
          <c:val>
            <c:numRef>
              <c:f>Sheet5!$E$52:$H$52</c:f>
              <c:numCache>
                <c:formatCode>General</c:formatCode>
                <c:ptCount val="4"/>
                <c:pt idx="0">
                  <c:v>8.06</c:v>
                </c:pt>
                <c:pt idx="1">
                  <c:v>7.99</c:v>
                </c:pt>
                <c:pt idx="2">
                  <c:v>7.96</c:v>
                </c:pt>
                <c:pt idx="3">
                  <c:v>7.84</c:v>
                </c:pt>
              </c:numCache>
            </c:numRef>
          </c:val>
          <c:extLst>
            <c:ext xmlns:c16="http://schemas.microsoft.com/office/drawing/2014/chart" uri="{C3380CC4-5D6E-409C-BE32-E72D297353CC}">
              <c16:uniqueId val="{00000000-F1C0-4D6C-8DE5-BCA96AC86AEF}"/>
            </c:ext>
          </c:extLst>
        </c:ser>
        <c:ser>
          <c:idx val="1"/>
          <c:order val="1"/>
          <c:tx>
            <c:strRef>
              <c:f>Sheet5!$D$53</c:f>
              <c:strCache>
                <c:ptCount val="1"/>
                <c:pt idx="0">
                  <c:v>FZ-2</c:v>
                </c:pt>
              </c:strCache>
            </c:strRef>
          </c:tx>
          <c:invertIfNegative val="0"/>
          <c:cat>
            <c:strRef>
              <c:f>Sheet5!$E$51:$H$51</c:f>
              <c:strCache>
                <c:ptCount val="4"/>
                <c:pt idx="0">
                  <c:v>November</c:v>
                </c:pt>
                <c:pt idx="1">
                  <c:v>December</c:v>
                </c:pt>
                <c:pt idx="2">
                  <c:v>January</c:v>
                </c:pt>
                <c:pt idx="3">
                  <c:v>February</c:v>
                </c:pt>
              </c:strCache>
            </c:strRef>
          </c:cat>
          <c:val>
            <c:numRef>
              <c:f>Sheet5!$E$53:$H$53</c:f>
              <c:numCache>
                <c:formatCode>General</c:formatCode>
                <c:ptCount val="4"/>
                <c:pt idx="0">
                  <c:v>7.95</c:v>
                </c:pt>
                <c:pt idx="1">
                  <c:v>8.3700000000000028</c:v>
                </c:pt>
                <c:pt idx="2">
                  <c:v>8.120000000000001</c:v>
                </c:pt>
                <c:pt idx="3">
                  <c:v>8.24</c:v>
                </c:pt>
              </c:numCache>
            </c:numRef>
          </c:val>
          <c:extLst>
            <c:ext xmlns:c16="http://schemas.microsoft.com/office/drawing/2014/chart" uri="{C3380CC4-5D6E-409C-BE32-E72D297353CC}">
              <c16:uniqueId val="{00000001-F1C0-4D6C-8DE5-BCA96AC86AEF}"/>
            </c:ext>
          </c:extLst>
        </c:ser>
        <c:ser>
          <c:idx val="2"/>
          <c:order val="2"/>
          <c:tx>
            <c:strRef>
              <c:f>Sheet5!$D$54</c:f>
              <c:strCache>
                <c:ptCount val="1"/>
                <c:pt idx="0">
                  <c:v>FZ-3</c:v>
                </c:pt>
              </c:strCache>
            </c:strRef>
          </c:tx>
          <c:invertIfNegative val="0"/>
          <c:cat>
            <c:strRef>
              <c:f>Sheet5!$E$51:$H$51</c:f>
              <c:strCache>
                <c:ptCount val="4"/>
                <c:pt idx="0">
                  <c:v>November</c:v>
                </c:pt>
                <c:pt idx="1">
                  <c:v>December</c:v>
                </c:pt>
                <c:pt idx="2">
                  <c:v>January</c:v>
                </c:pt>
                <c:pt idx="3">
                  <c:v>February</c:v>
                </c:pt>
              </c:strCache>
            </c:strRef>
          </c:cat>
          <c:val>
            <c:numRef>
              <c:f>Sheet5!$E$54:$H$54</c:f>
              <c:numCache>
                <c:formatCode>General</c:formatCode>
                <c:ptCount val="4"/>
                <c:pt idx="0">
                  <c:v>8.3000000000000007</c:v>
                </c:pt>
                <c:pt idx="1">
                  <c:v>8.17</c:v>
                </c:pt>
                <c:pt idx="2">
                  <c:v>8.08</c:v>
                </c:pt>
                <c:pt idx="3">
                  <c:v>6.92</c:v>
                </c:pt>
              </c:numCache>
            </c:numRef>
          </c:val>
          <c:extLst>
            <c:ext xmlns:c16="http://schemas.microsoft.com/office/drawing/2014/chart" uri="{C3380CC4-5D6E-409C-BE32-E72D297353CC}">
              <c16:uniqueId val="{00000002-F1C0-4D6C-8DE5-BCA96AC86AEF}"/>
            </c:ext>
          </c:extLst>
        </c:ser>
        <c:ser>
          <c:idx val="3"/>
          <c:order val="3"/>
          <c:tx>
            <c:strRef>
              <c:f>Sheet5!$D$55</c:f>
              <c:strCache>
                <c:ptCount val="1"/>
                <c:pt idx="0">
                  <c:v>NFZ-1</c:v>
                </c:pt>
              </c:strCache>
            </c:strRef>
          </c:tx>
          <c:invertIfNegative val="0"/>
          <c:cat>
            <c:strRef>
              <c:f>Sheet5!$E$51:$H$51</c:f>
              <c:strCache>
                <c:ptCount val="4"/>
                <c:pt idx="0">
                  <c:v>November</c:v>
                </c:pt>
                <c:pt idx="1">
                  <c:v>December</c:v>
                </c:pt>
                <c:pt idx="2">
                  <c:v>January</c:v>
                </c:pt>
                <c:pt idx="3">
                  <c:v>February</c:v>
                </c:pt>
              </c:strCache>
            </c:strRef>
          </c:cat>
          <c:val>
            <c:numRef>
              <c:f>Sheet5!$E$55:$H$55</c:f>
              <c:numCache>
                <c:formatCode>General</c:formatCode>
                <c:ptCount val="4"/>
                <c:pt idx="0">
                  <c:v>8.2100000000000009</c:v>
                </c:pt>
                <c:pt idx="1">
                  <c:v>8.02</c:v>
                </c:pt>
                <c:pt idx="2">
                  <c:v>8.120000000000001</c:v>
                </c:pt>
                <c:pt idx="3">
                  <c:v>6.56</c:v>
                </c:pt>
              </c:numCache>
            </c:numRef>
          </c:val>
          <c:extLst>
            <c:ext xmlns:c16="http://schemas.microsoft.com/office/drawing/2014/chart" uri="{C3380CC4-5D6E-409C-BE32-E72D297353CC}">
              <c16:uniqueId val="{00000003-F1C0-4D6C-8DE5-BCA96AC86AEF}"/>
            </c:ext>
          </c:extLst>
        </c:ser>
        <c:ser>
          <c:idx val="4"/>
          <c:order val="4"/>
          <c:tx>
            <c:strRef>
              <c:f>Sheet5!$D$56</c:f>
              <c:strCache>
                <c:ptCount val="1"/>
                <c:pt idx="0">
                  <c:v>NFZ-2</c:v>
                </c:pt>
              </c:strCache>
            </c:strRef>
          </c:tx>
          <c:invertIfNegative val="0"/>
          <c:cat>
            <c:strRef>
              <c:f>Sheet5!$E$51:$H$51</c:f>
              <c:strCache>
                <c:ptCount val="4"/>
                <c:pt idx="0">
                  <c:v>November</c:v>
                </c:pt>
                <c:pt idx="1">
                  <c:v>December</c:v>
                </c:pt>
                <c:pt idx="2">
                  <c:v>January</c:v>
                </c:pt>
                <c:pt idx="3">
                  <c:v>February</c:v>
                </c:pt>
              </c:strCache>
            </c:strRef>
          </c:cat>
          <c:val>
            <c:numRef>
              <c:f>Sheet5!$E$56:$H$56</c:f>
              <c:numCache>
                <c:formatCode>General</c:formatCode>
                <c:ptCount val="4"/>
                <c:pt idx="0">
                  <c:v>8.02</c:v>
                </c:pt>
                <c:pt idx="1">
                  <c:v>7.96</c:v>
                </c:pt>
                <c:pt idx="2">
                  <c:v>8.24</c:v>
                </c:pt>
                <c:pt idx="3">
                  <c:v>7.92</c:v>
                </c:pt>
              </c:numCache>
            </c:numRef>
          </c:val>
          <c:extLst>
            <c:ext xmlns:c16="http://schemas.microsoft.com/office/drawing/2014/chart" uri="{C3380CC4-5D6E-409C-BE32-E72D297353CC}">
              <c16:uniqueId val="{00000004-F1C0-4D6C-8DE5-BCA96AC86AEF}"/>
            </c:ext>
          </c:extLst>
        </c:ser>
        <c:ser>
          <c:idx val="5"/>
          <c:order val="5"/>
          <c:tx>
            <c:strRef>
              <c:f>Sheet5!$D$57</c:f>
              <c:strCache>
                <c:ptCount val="1"/>
                <c:pt idx="0">
                  <c:v>NFZ-3</c:v>
                </c:pt>
              </c:strCache>
            </c:strRef>
          </c:tx>
          <c:invertIfNegative val="0"/>
          <c:cat>
            <c:strRef>
              <c:f>Sheet5!$E$51:$H$51</c:f>
              <c:strCache>
                <c:ptCount val="4"/>
                <c:pt idx="0">
                  <c:v>November</c:v>
                </c:pt>
                <c:pt idx="1">
                  <c:v>December</c:v>
                </c:pt>
                <c:pt idx="2">
                  <c:v>January</c:v>
                </c:pt>
                <c:pt idx="3">
                  <c:v>February</c:v>
                </c:pt>
              </c:strCache>
            </c:strRef>
          </c:cat>
          <c:val>
            <c:numRef>
              <c:f>Sheet5!$E$57:$H$57</c:f>
              <c:numCache>
                <c:formatCode>General</c:formatCode>
                <c:ptCount val="4"/>
                <c:pt idx="0">
                  <c:v>7.92</c:v>
                </c:pt>
                <c:pt idx="1">
                  <c:v>8.2200000000000024</c:v>
                </c:pt>
                <c:pt idx="2">
                  <c:v>8.3600000000000048</c:v>
                </c:pt>
                <c:pt idx="3">
                  <c:v>6.8199999999999985</c:v>
                </c:pt>
              </c:numCache>
            </c:numRef>
          </c:val>
          <c:extLst>
            <c:ext xmlns:c16="http://schemas.microsoft.com/office/drawing/2014/chart" uri="{C3380CC4-5D6E-409C-BE32-E72D297353CC}">
              <c16:uniqueId val="{00000005-F1C0-4D6C-8DE5-BCA96AC86AEF}"/>
            </c:ext>
          </c:extLst>
        </c:ser>
        <c:dLbls>
          <c:showLegendKey val="0"/>
          <c:showVal val="0"/>
          <c:showCatName val="0"/>
          <c:showSerName val="0"/>
          <c:showPercent val="0"/>
          <c:showBubbleSize val="0"/>
        </c:dLbls>
        <c:gapWidth val="150"/>
        <c:axId val="96514816"/>
        <c:axId val="96516352"/>
      </c:barChart>
      <c:catAx>
        <c:axId val="96514816"/>
        <c:scaling>
          <c:orientation val="minMax"/>
        </c:scaling>
        <c:delete val="0"/>
        <c:axPos val="b"/>
        <c:numFmt formatCode="General" sourceLinked="0"/>
        <c:majorTickMark val="out"/>
        <c:minorTickMark val="none"/>
        <c:tickLblPos val="nextTo"/>
        <c:crossAx val="96516352"/>
        <c:crosses val="autoZero"/>
        <c:auto val="1"/>
        <c:lblAlgn val="ctr"/>
        <c:lblOffset val="100"/>
        <c:noMultiLvlLbl val="0"/>
      </c:catAx>
      <c:valAx>
        <c:axId val="96516352"/>
        <c:scaling>
          <c:orientation val="minMax"/>
          <c:min val="6"/>
        </c:scaling>
        <c:delete val="0"/>
        <c:axPos val="l"/>
        <c:title>
          <c:tx>
            <c:rich>
              <a:bodyPr rot="-5400000" vert="horz"/>
              <a:lstStyle/>
              <a:p>
                <a:pPr>
                  <a:defRPr/>
                </a:pPr>
                <a:r>
                  <a:rPr lang="en-US"/>
                  <a:t>pH</a:t>
                </a:r>
              </a:p>
            </c:rich>
          </c:tx>
          <c:overlay val="0"/>
        </c:title>
        <c:numFmt formatCode="General" sourceLinked="1"/>
        <c:majorTickMark val="out"/>
        <c:minorTickMark val="none"/>
        <c:tickLblPos val="nextTo"/>
        <c:crossAx val="9651481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Sheet5!$D$77</c:f>
              <c:strCache>
                <c:ptCount val="1"/>
                <c:pt idx="0">
                  <c:v>FZ-1</c:v>
                </c:pt>
              </c:strCache>
            </c:strRef>
          </c:tx>
          <c:invertIfNegative val="0"/>
          <c:cat>
            <c:strRef>
              <c:f>Sheet5!$E$76:$H$76</c:f>
              <c:strCache>
                <c:ptCount val="4"/>
                <c:pt idx="0">
                  <c:v>November</c:v>
                </c:pt>
                <c:pt idx="1">
                  <c:v>December</c:v>
                </c:pt>
                <c:pt idx="2">
                  <c:v>January</c:v>
                </c:pt>
                <c:pt idx="3">
                  <c:v>February</c:v>
                </c:pt>
              </c:strCache>
            </c:strRef>
          </c:cat>
          <c:val>
            <c:numRef>
              <c:f>Sheet5!$E$77:$H$77</c:f>
              <c:numCache>
                <c:formatCode>General</c:formatCode>
                <c:ptCount val="4"/>
                <c:pt idx="0">
                  <c:v>5.24</c:v>
                </c:pt>
                <c:pt idx="1">
                  <c:v>6.26</c:v>
                </c:pt>
                <c:pt idx="2">
                  <c:v>5.26</c:v>
                </c:pt>
                <c:pt idx="3">
                  <c:v>5.24</c:v>
                </c:pt>
              </c:numCache>
            </c:numRef>
          </c:val>
          <c:extLst>
            <c:ext xmlns:c16="http://schemas.microsoft.com/office/drawing/2014/chart" uri="{C3380CC4-5D6E-409C-BE32-E72D297353CC}">
              <c16:uniqueId val="{00000000-CC2D-4E21-952D-2686298244EE}"/>
            </c:ext>
          </c:extLst>
        </c:ser>
        <c:ser>
          <c:idx val="1"/>
          <c:order val="1"/>
          <c:tx>
            <c:strRef>
              <c:f>Sheet5!$D$78</c:f>
              <c:strCache>
                <c:ptCount val="1"/>
                <c:pt idx="0">
                  <c:v>FZ-2</c:v>
                </c:pt>
              </c:strCache>
            </c:strRef>
          </c:tx>
          <c:invertIfNegative val="0"/>
          <c:cat>
            <c:strRef>
              <c:f>Sheet5!$E$76:$H$76</c:f>
              <c:strCache>
                <c:ptCount val="4"/>
                <c:pt idx="0">
                  <c:v>November</c:v>
                </c:pt>
                <c:pt idx="1">
                  <c:v>December</c:v>
                </c:pt>
                <c:pt idx="2">
                  <c:v>January</c:v>
                </c:pt>
                <c:pt idx="3">
                  <c:v>February</c:v>
                </c:pt>
              </c:strCache>
            </c:strRef>
          </c:cat>
          <c:val>
            <c:numRef>
              <c:f>Sheet5!$E$78:$H$78</c:f>
              <c:numCache>
                <c:formatCode>General</c:formatCode>
                <c:ptCount val="4"/>
                <c:pt idx="0">
                  <c:v>5.72</c:v>
                </c:pt>
                <c:pt idx="1">
                  <c:v>5.34</c:v>
                </c:pt>
                <c:pt idx="2">
                  <c:v>6.38</c:v>
                </c:pt>
                <c:pt idx="3">
                  <c:v>4.8599999999999985</c:v>
                </c:pt>
              </c:numCache>
            </c:numRef>
          </c:val>
          <c:extLst>
            <c:ext xmlns:c16="http://schemas.microsoft.com/office/drawing/2014/chart" uri="{C3380CC4-5D6E-409C-BE32-E72D297353CC}">
              <c16:uniqueId val="{00000001-CC2D-4E21-952D-2686298244EE}"/>
            </c:ext>
          </c:extLst>
        </c:ser>
        <c:ser>
          <c:idx val="2"/>
          <c:order val="2"/>
          <c:tx>
            <c:strRef>
              <c:f>Sheet5!$D$79</c:f>
              <c:strCache>
                <c:ptCount val="1"/>
                <c:pt idx="0">
                  <c:v>FZ-3</c:v>
                </c:pt>
              </c:strCache>
            </c:strRef>
          </c:tx>
          <c:invertIfNegative val="0"/>
          <c:cat>
            <c:strRef>
              <c:f>Sheet5!$E$76:$H$76</c:f>
              <c:strCache>
                <c:ptCount val="4"/>
                <c:pt idx="0">
                  <c:v>November</c:v>
                </c:pt>
                <c:pt idx="1">
                  <c:v>December</c:v>
                </c:pt>
                <c:pt idx="2">
                  <c:v>January</c:v>
                </c:pt>
                <c:pt idx="3">
                  <c:v>February</c:v>
                </c:pt>
              </c:strCache>
            </c:strRef>
          </c:cat>
          <c:val>
            <c:numRef>
              <c:f>Sheet5!$E$79:$H$79</c:f>
              <c:numCache>
                <c:formatCode>General</c:formatCode>
                <c:ptCount val="4"/>
                <c:pt idx="0">
                  <c:v>5.54</c:v>
                </c:pt>
                <c:pt idx="1">
                  <c:v>6.96</c:v>
                </c:pt>
                <c:pt idx="2">
                  <c:v>5.46</c:v>
                </c:pt>
                <c:pt idx="3">
                  <c:v>5.72</c:v>
                </c:pt>
              </c:numCache>
            </c:numRef>
          </c:val>
          <c:extLst>
            <c:ext xmlns:c16="http://schemas.microsoft.com/office/drawing/2014/chart" uri="{C3380CC4-5D6E-409C-BE32-E72D297353CC}">
              <c16:uniqueId val="{00000002-CC2D-4E21-952D-2686298244EE}"/>
            </c:ext>
          </c:extLst>
        </c:ser>
        <c:ser>
          <c:idx val="3"/>
          <c:order val="3"/>
          <c:tx>
            <c:strRef>
              <c:f>Sheet5!$D$80</c:f>
              <c:strCache>
                <c:ptCount val="1"/>
                <c:pt idx="0">
                  <c:v>NFZ-1</c:v>
                </c:pt>
              </c:strCache>
            </c:strRef>
          </c:tx>
          <c:invertIfNegative val="0"/>
          <c:cat>
            <c:strRef>
              <c:f>Sheet5!$E$76:$H$76</c:f>
              <c:strCache>
                <c:ptCount val="4"/>
                <c:pt idx="0">
                  <c:v>November</c:v>
                </c:pt>
                <c:pt idx="1">
                  <c:v>December</c:v>
                </c:pt>
                <c:pt idx="2">
                  <c:v>January</c:v>
                </c:pt>
                <c:pt idx="3">
                  <c:v>February</c:v>
                </c:pt>
              </c:strCache>
            </c:strRef>
          </c:cat>
          <c:val>
            <c:numRef>
              <c:f>Sheet5!$E$80:$H$80</c:f>
              <c:numCache>
                <c:formatCode>General</c:formatCode>
                <c:ptCount val="4"/>
                <c:pt idx="0">
                  <c:v>4.83</c:v>
                </c:pt>
                <c:pt idx="1">
                  <c:v>5.42</c:v>
                </c:pt>
                <c:pt idx="2">
                  <c:v>5.89</c:v>
                </c:pt>
                <c:pt idx="3">
                  <c:v>5.0199999999999996</c:v>
                </c:pt>
              </c:numCache>
            </c:numRef>
          </c:val>
          <c:extLst>
            <c:ext xmlns:c16="http://schemas.microsoft.com/office/drawing/2014/chart" uri="{C3380CC4-5D6E-409C-BE32-E72D297353CC}">
              <c16:uniqueId val="{00000003-CC2D-4E21-952D-2686298244EE}"/>
            </c:ext>
          </c:extLst>
        </c:ser>
        <c:ser>
          <c:idx val="4"/>
          <c:order val="4"/>
          <c:tx>
            <c:strRef>
              <c:f>Sheet5!$D$81</c:f>
              <c:strCache>
                <c:ptCount val="1"/>
                <c:pt idx="0">
                  <c:v>NFZ-2</c:v>
                </c:pt>
              </c:strCache>
            </c:strRef>
          </c:tx>
          <c:invertIfNegative val="0"/>
          <c:cat>
            <c:strRef>
              <c:f>Sheet5!$E$76:$H$76</c:f>
              <c:strCache>
                <c:ptCount val="4"/>
                <c:pt idx="0">
                  <c:v>November</c:v>
                </c:pt>
                <c:pt idx="1">
                  <c:v>December</c:v>
                </c:pt>
                <c:pt idx="2">
                  <c:v>January</c:v>
                </c:pt>
                <c:pt idx="3">
                  <c:v>February</c:v>
                </c:pt>
              </c:strCache>
            </c:strRef>
          </c:cat>
          <c:val>
            <c:numRef>
              <c:f>Sheet5!$E$81:$H$81</c:f>
              <c:numCache>
                <c:formatCode>General</c:formatCode>
                <c:ptCount val="4"/>
                <c:pt idx="0">
                  <c:v>4.67</c:v>
                </c:pt>
                <c:pt idx="1">
                  <c:v>5.79</c:v>
                </c:pt>
                <c:pt idx="2">
                  <c:v>5.96</c:v>
                </c:pt>
                <c:pt idx="3">
                  <c:v>5.6599999999999975</c:v>
                </c:pt>
              </c:numCache>
            </c:numRef>
          </c:val>
          <c:extLst>
            <c:ext xmlns:c16="http://schemas.microsoft.com/office/drawing/2014/chart" uri="{C3380CC4-5D6E-409C-BE32-E72D297353CC}">
              <c16:uniqueId val="{00000004-CC2D-4E21-952D-2686298244EE}"/>
            </c:ext>
          </c:extLst>
        </c:ser>
        <c:ser>
          <c:idx val="5"/>
          <c:order val="5"/>
          <c:tx>
            <c:strRef>
              <c:f>Sheet5!$D$82</c:f>
              <c:strCache>
                <c:ptCount val="1"/>
                <c:pt idx="0">
                  <c:v>NFZ-3</c:v>
                </c:pt>
              </c:strCache>
            </c:strRef>
          </c:tx>
          <c:invertIfNegative val="0"/>
          <c:cat>
            <c:strRef>
              <c:f>Sheet5!$E$76:$H$76</c:f>
              <c:strCache>
                <c:ptCount val="4"/>
                <c:pt idx="0">
                  <c:v>November</c:v>
                </c:pt>
                <c:pt idx="1">
                  <c:v>December</c:v>
                </c:pt>
                <c:pt idx="2">
                  <c:v>January</c:v>
                </c:pt>
                <c:pt idx="3">
                  <c:v>February</c:v>
                </c:pt>
              </c:strCache>
            </c:strRef>
          </c:cat>
          <c:val>
            <c:numRef>
              <c:f>Sheet5!$E$82:$H$82</c:f>
              <c:numCache>
                <c:formatCode>General</c:formatCode>
                <c:ptCount val="4"/>
                <c:pt idx="0">
                  <c:v>4.28</c:v>
                </c:pt>
                <c:pt idx="1">
                  <c:v>6.1199999999999966</c:v>
                </c:pt>
                <c:pt idx="2">
                  <c:v>5.28</c:v>
                </c:pt>
                <c:pt idx="3">
                  <c:v>4.96</c:v>
                </c:pt>
              </c:numCache>
            </c:numRef>
          </c:val>
          <c:extLst>
            <c:ext xmlns:c16="http://schemas.microsoft.com/office/drawing/2014/chart" uri="{C3380CC4-5D6E-409C-BE32-E72D297353CC}">
              <c16:uniqueId val="{00000005-CC2D-4E21-952D-2686298244EE}"/>
            </c:ext>
          </c:extLst>
        </c:ser>
        <c:dLbls>
          <c:showLegendKey val="0"/>
          <c:showVal val="0"/>
          <c:showCatName val="0"/>
          <c:showSerName val="0"/>
          <c:showPercent val="0"/>
          <c:showBubbleSize val="0"/>
        </c:dLbls>
        <c:gapWidth val="150"/>
        <c:axId val="96958720"/>
        <c:axId val="108855296"/>
      </c:barChart>
      <c:catAx>
        <c:axId val="96958720"/>
        <c:scaling>
          <c:orientation val="minMax"/>
        </c:scaling>
        <c:delete val="0"/>
        <c:axPos val="b"/>
        <c:numFmt formatCode="General" sourceLinked="0"/>
        <c:majorTickMark val="out"/>
        <c:minorTickMark val="none"/>
        <c:tickLblPos val="nextTo"/>
        <c:crossAx val="108855296"/>
        <c:crosses val="autoZero"/>
        <c:auto val="1"/>
        <c:lblAlgn val="ctr"/>
        <c:lblOffset val="100"/>
        <c:noMultiLvlLbl val="0"/>
      </c:catAx>
      <c:valAx>
        <c:axId val="108855296"/>
        <c:scaling>
          <c:orientation val="minMax"/>
          <c:max val="7.5"/>
          <c:min val="4"/>
        </c:scaling>
        <c:delete val="0"/>
        <c:axPos val="l"/>
        <c:majorGridlines>
          <c:spPr>
            <a:ln>
              <a:noFill/>
            </a:ln>
          </c:spPr>
        </c:majorGridlines>
        <c:title>
          <c:tx>
            <c:rich>
              <a:bodyPr rot="-5400000" vert="horz"/>
              <a:lstStyle/>
              <a:p>
                <a:pPr>
                  <a:defRPr/>
                </a:pPr>
                <a:r>
                  <a:rPr lang="en-US"/>
                  <a:t>Dissolved Oxygen (mg/l)</a:t>
                </a:r>
              </a:p>
            </c:rich>
          </c:tx>
          <c:layout>
            <c:manualLayout>
              <c:xMode val="edge"/>
              <c:yMode val="edge"/>
              <c:x val="3.1361399427344387E-2"/>
              <c:y val="0.10422563220553092"/>
            </c:manualLayout>
          </c:layout>
          <c:overlay val="0"/>
        </c:title>
        <c:numFmt formatCode="General" sourceLinked="1"/>
        <c:majorTickMark val="out"/>
        <c:minorTickMark val="none"/>
        <c:tickLblPos val="nextTo"/>
        <c:crossAx val="96958720"/>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Sheet6!$D$6</c:f>
              <c:strCache>
                <c:ptCount val="1"/>
                <c:pt idx="0">
                  <c:v>FZ-1</c:v>
                </c:pt>
              </c:strCache>
            </c:strRef>
          </c:tx>
          <c:invertIfNegative val="0"/>
          <c:cat>
            <c:strRef>
              <c:f>Sheet6!$E$5:$H$5</c:f>
              <c:strCache>
                <c:ptCount val="4"/>
                <c:pt idx="0">
                  <c:v>November</c:v>
                </c:pt>
                <c:pt idx="1">
                  <c:v>December</c:v>
                </c:pt>
                <c:pt idx="2">
                  <c:v>January</c:v>
                </c:pt>
                <c:pt idx="3">
                  <c:v>February</c:v>
                </c:pt>
              </c:strCache>
            </c:strRef>
          </c:cat>
          <c:val>
            <c:numRef>
              <c:f>Sheet6!$E$6:$H$6</c:f>
              <c:numCache>
                <c:formatCode>General</c:formatCode>
                <c:ptCount val="4"/>
                <c:pt idx="0">
                  <c:v>0.19</c:v>
                </c:pt>
                <c:pt idx="1">
                  <c:v>0.37000000000000038</c:v>
                </c:pt>
                <c:pt idx="2">
                  <c:v>9.0000000000000024E-2</c:v>
                </c:pt>
                <c:pt idx="3">
                  <c:v>0.46</c:v>
                </c:pt>
              </c:numCache>
            </c:numRef>
          </c:val>
          <c:extLst>
            <c:ext xmlns:c16="http://schemas.microsoft.com/office/drawing/2014/chart" uri="{C3380CC4-5D6E-409C-BE32-E72D297353CC}">
              <c16:uniqueId val="{00000000-0540-4539-B664-536E3C68A454}"/>
            </c:ext>
          </c:extLst>
        </c:ser>
        <c:ser>
          <c:idx val="1"/>
          <c:order val="1"/>
          <c:tx>
            <c:strRef>
              <c:f>Sheet6!$D$7</c:f>
              <c:strCache>
                <c:ptCount val="1"/>
                <c:pt idx="0">
                  <c:v>FZ-2</c:v>
                </c:pt>
              </c:strCache>
            </c:strRef>
          </c:tx>
          <c:invertIfNegative val="0"/>
          <c:cat>
            <c:strRef>
              <c:f>Sheet6!$E$5:$H$5</c:f>
              <c:strCache>
                <c:ptCount val="4"/>
                <c:pt idx="0">
                  <c:v>November</c:v>
                </c:pt>
                <c:pt idx="1">
                  <c:v>December</c:v>
                </c:pt>
                <c:pt idx="2">
                  <c:v>January</c:v>
                </c:pt>
                <c:pt idx="3">
                  <c:v>February</c:v>
                </c:pt>
              </c:strCache>
            </c:strRef>
          </c:cat>
          <c:val>
            <c:numRef>
              <c:f>Sheet6!$E$7:$H$7</c:f>
              <c:numCache>
                <c:formatCode>General</c:formatCode>
                <c:ptCount val="4"/>
                <c:pt idx="0">
                  <c:v>0.89</c:v>
                </c:pt>
                <c:pt idx="1">
                  <c:v>0.42000000000000032</c:v>
                </c:pt>
                <c:pt idx="2">
                  <c:v>0.36000000000000032</c:v>
                </c:pt>
                <c:pt idx="3">
                  <c:v>0.99</c:v>
                </c:pt>
              </c:numCache>
            </c:numRef>
          </c:val>
          <c:extLst>
            <c:ext xmlns:c16="http://schemas.microsoft.com/office/drawing/2014/chart" uri="{C3380CC4-5D6E-409C-BE32-E72D297353CC}">
              <c16:uniqueId val="{00000001-0540-4539-B664-536E3C68A454}"/>
            </c:ext>
          </c:extLst>
        </c:ser>
        <c:ser>
          <c:idx val="2"/>
          <c:order val="2"/>
          <c:tx>
            <c:strRef>
              <c:f>Sheet6!$D$8</c:f>
              <c:strCache>
                <c:ptCount val="1"/>
                <c:pt idx="0">
                  <c:v>FZ-3</c:v>
                </c:pt>
              </c:strCache>
            </c:strRef>
          </c:tx>
          <c:invertIfNegative val="0"/>
          <c:cat>
            <c:strRef>
              <c:f>Sheet6!$E$5:$H$5</c:f>
              <c:strCache>
                <c:ptCount val="4"/>
                <c:pt idx="0">
                  <c:v>November</c:v>
                </c:pt>
                <c:pt idx="1">
                  <c:v>December</c:v>
                </c:pt>
                <c:pt idx="2">
                  <c:v>January</c:v>
                </c:pt>
                <c:pt idx="3">
                  <c:v>February</c:v>
                </c:pt>
              </c:strCache>
            </c:strRef>
          </c:cat>
          <c:val>
            <c:numRef>
              <c:f>Sheet6!$E$8:$H$8</c:f>
              <c:numCache>
                <c:formatCode>General</c:formatCode>
                <c:ptCount val="4"/>
                <c:pt idx="0">
                  <c:v>0.32000000000000073</c:v>
                </c:pt>
                <c:pt idx="1">
                  <c:v>0.85000000000000064</c:v>
                </c:pt>
                <c:pt idx="2">
                  <c:v>0.95000000000000062</c:v>
                </c:pt>
                <c:pt idx="3">
                  <c:v>0.81</c:v>
                </c:pt>
              </c:numCache>
            </c:numRef>
          </c:val>
          <c:extLst>
            <c:ext xmlns:c16="http://schemas.microsoft.com/office/drawing/2014/chart" uri="{C3380CC4-5D6E-409C-BE32-E72D297353CC}">
              <c16:uniqueId val="{00000002-0540-4539-B664-536E3C68A454}"/>
            </c:ext>
          </c:extLst>
        </c:ser>
        <c:ser>
          <c:idx val="3"/>
          <c:order val="3"/>
          <c:tx>
            <c:strRef>
              <c:f>Sheet6!$D$9</c:f>
              <c:strCache>
                <c:ptCount val="1"/>
                <c:pt idx="0">
                  <c:v>NFZ-1</c:v>
                </c:pt>
              </c:strCache>
            </c:strRef>
          </c:tx>
          <c:invertIfNegative val="0"/>
          <c:cat>
            <c:strRef>
              <c:f>Sheet6!$E$5:$H$5</c:f>
              <c:strCache>
                <c:ptCount val="4"/>
                <c:pt idx="0">
                  <c:v>November</c:v>
                </c:pt>
                <c:pt idx="1">
                  <c:v>December</c:v>
                </c:pt>
                <c:pt idx="2">
                  <c:v>January</c:v>
                </c:pt>
                <c:pt idx="3">
                  <c:v>February</c:v>
                </c:pt>
              </c:strCache>
            </c:strRef>
          </c:cat>
          <c:val>
            <c:numRef>
              <c:f>Sheet6!$E$9:$H$9</c:f>
              <c:numCache>
                <c:formatCode>General</c:formatCode>
                <c:ptCount val="4"/>
                <c:pt idx="0">
                  <c:v>0.99</c:v>
                </c:pt>
                <c:pt idx="1">
                  <c:v>0.56000000000000005</c:v>
                </c:pt>
                <c:pt idx="2">
                  <c:v>0.94000000000000061</c:v>
                </c:pt>
                <c:pt idx="3">
                  <c:v>0.88</c:v>
                </c:pt>
              </c:numCache>
            </c:numRef>
          </c:val>
          <c:extLst>
            <c:ext xmlns:c16="http://schemas.microsoft.com/office/drawing/2014/chart" uri="{C3380CC4-5D6E-409C-BE32-E72D297353CC}">
              <c16:uniqueId val="{00000003-0540-4539-B664-536E3C68A454}"/>
            </c:ext>
          </c:extLst>
        </c:ser>
        <c:ser>
          <c:idx val="4"/>
          <c:order val="4"/>
          <c:tx>
            <c:strRef>
              <c:f>Sheet6!$D$10</c:f>
              <c:strCache>
                <c:ptCount val="1"/>
                <c:pt idx="0">
                  <c:v>NFZ-2</c:v>
                </c:pt>
              </c:strCache>
            </c:strRef>
          </c:tx>
          <c:invertIfNegative val="0"/>
          <c:cat>
            <c:strRef>
              <c:f>Sheet6!$E$5:$H$5</c:f>
              <c:strCache>
                <c:ptCount val="4"/>
                <c:pt idx="0">
                  <c:v>November</c:v>
                </c:pt>
                <c:pt idx="1">
                  <c:v>December</c:v>
                </c:pt>
                <c:pt idx="2">
                  <c:v>January</c:v>
                </c:pt>
                <c:pt idx="3">
                  <c:v>February</c:v>
                </c:pt>
              </c:strCache>
            </c:strRef>
          </c:cat>
          <c:val>
            <c:numRef>
              <c:f>Sheet6!$E$10:$H$10</c:f>
              <c:numCache>
                <c:formatCode>General</c:formatCode>
                <c:ptCount val="4"/>
                <c:pt idx="0">
                  <c:v>0.87000000000000133</c:v>
                </c:pt>
                <c:pt idx="1">
                  <c:v>0.72000000000000064</c:v>
                </c:pt>
                <c:pt idx="2">
                  <c:v>0.98</c:v>
                </c:pt>
                <c:pt idx="3">
                  <c:v>0.94000000000000061</c:v>
                </c:pt>
              </c:numCache>
            </c:numRef>
          </c:val>
          <c:extLst>
            <c:ext xmlns:c16="http://schemas.microsoft.com/office/drawing/2014/chart" uri="{C3380CC4-5D6E-409C-BE32-E72D297353CC}">
              <c16:uniqueId val="{00000004-0540-4539-B664-536E3C68A454}"/>
            </c:ext>
          </c:extLst>
        </c:ser>
        <c:ser>
          <c:idx val="5"/>
          <c:order val="5"/>
          <c:tx>
            <c:strRef>
              <c:f>Sheet6!$D$11</c:f>
              <c:strCache>
                <c:ptCount val="1"/>
                <c:pt idx="0">
                  <c:v>NFZ-3</c:v>
                </c:pt>
              </c:strCache>
            </c:strRef>
          </c:tx>
          <c:invertIfNegative val="0"/>
          <c:cat>
            <c:strRef>
              <c:f>Sheet6!$E$5:$H$5</c:f>
              <c:strCache>
                <c:ptCount val="4"/>
                <c:pt idx="0">
                  <c:v>November</c:v>
                </c:pt>
                <c:pt idx="1">
                  <c:v>December</c:v>
                </c:pt>
                <c:pt idx="2">
                  <c:v>January</c:v>
                </c:pt>
                <c:pt idx="3">
                  <c:v>February</c:v>
                </c:pt>
              </c:strCache>
            </c:strRef>
          </c:cat>
          <c:val>
            <c:numRef>
              <c:f>Sheet6!$E$11:$H$11</c:f>
              <c:numCache>
                <c:formatCode>General</c:formatCode>
                <c:ptCount val="4"/>
                <c:pt idx="0">
                  <c:v>0.65000000000000169</c:v>
                </c:pt>
                <c:pt idx="1">
                  <c:v>0.97000000000000064</c:v>
                </c:pt>
                <c:pt idx="2">
                  <c:v>0.83000000000000063</c:v>
                </c:pt>
                <c:pt idx="3">
                  <c:v>0.97000000000000064</c:v>
                </c:pt>
              </c:numCache>
            </c:numRef>
          </c:val>
          <c:extLst>
            <c:ext xmlns:c16="http://schemas.microsoft.com/office/drawing/2014/chart" uri="{C3380CC4-5D6E-409C-BE32-E72D297353CC}">
              <c16:uniqueId val="{00000005-0540-4539-B664-536E3C68A454}"/>
            </c:ext>
          </c:extLst>
        </c:ser>
        <c:dLbls>
          <c:showLegendKey val="0"/>
          <c:showVal val="0"/>
          <c:showCatName val="0"/>
          <c:showSerName val="0"/>
          <c:showPercent val="0"/>
          <c:showBubbleSize val="0"/>
        </c:dLbls>
        <c:gapWidth val="150"/>
        <c:axId val="116214016"/>
        <c:axId val="129413504"/>
      </c:barChart>
      <c:catAx>
        <c:axId val="116214016"/>
        <c:scaling>
          <c:orientation val="minMax"/>
        </c:scaling>
        <c:delete val="0"/>
        <c:axPos val="b"/>
        <c:numFmt formatCode="General" sourceLinked="0"/>
        <c:majorTickMark val="out"/>
        <c:minorTickMark val="none"/>
        <c:tickLblPos val="nextTo"/>
        <c:crossAx val="129413504"/>
        <c:crosses val="autoZero"/>
        <c:auto val="1"/>
        <c:lblAlgn val="ctr"/>
        <c:lblOffset val="100"/>
        <c:noMultiLvlLbl val="0"/>
      </c:catAx>
      <c:valAx>
        <c:axId val="129413504"/>
        <c:scaling>
          <c:orientation val="minMax"/>
        </c:scaling>
        <c:delete val="0"/>
        <c:axPos val="l"/>
        <c:title>
          <c:tx>
            <c:rich>
              <a:bodyPr rot="-5400000" vert="horz"/>
              <a:lstStyle/>
              <a:p>
                <a:pPr>
                  <a:defRPr/>
                </a:pPr>
                <a:r>
                  <a:rPr lang="en-US"/>
                  <a:t>Ammonia (mg/l)</a:t>
                </a:r>
              </a:p>
            </c:rich>
          </c:tx>
          <c:layout>
            <c:manualLayout>
              <c:xMode val="edge"/>
              <c:yMode val="edge"/>
              <c:x val="2.0704331280893482E-2"/>
              <c:y val="0.304018134096875"/>
            </c:manualLayout>
          </c:layout>
          <c:overlay val="0"/>
        </c:title>
        <c:numFmt formatCode="General" sourceLinked="1"/>
        <c:majorTickMark val="out"/>
        <c:minorTickMark val="none"/>
        <c:tickLblPos val="nextTo"/>
        <c:crossAx val="11621401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09653573418086"/>
          <c:y val="8.4154961263640166E-2"/>
          <c:w val="0.7044219950517655"/>
          <c:h val="0.81097157179996926"/>
        </c:manualLayout>
      </c:layout>
      <c:barChart>
        <c:barDir val="col"/>
        <c:grouping val="clustered"/>
        <c:varyColors val="0"/>
        <c:ser>
          <c:idx val="0"/>
          <c:order val="0"/>
          <c:tx>
            <c:strRef>
              <c:f>Sheet6!$D$28</c:f>
              <c:strCache>
                <c:ptCount val="1"/>
                <c:pt idx="0">
                  <c:v>FZ-1</c:v>
                </c:pt>
              </c:strCache>
            </c:strRef>
          </c:tx>
          <c:invertIfNegative val="0"/>
          <c:cat>
            <c:strRef>
              <c:f>Sheet6!$E$27:$H$27</c:f>
              <c:strCache>
                <c:ptCount val="4"/>
                <c:pt idx="0">
                  <c:v>November</c:v>
                </c:pt>
                <c:pt idx="1">
                  <c:v>December</c:v>
                </c:pt>
                <c:pt idx="2">
                  <c:v>January</c:v>
                </c:pt>
                <c:pt idx="3">
                  <c:v>February</c:v>
                </c:pt>
              </c:strCache>
            </c:strRef>
          </c:cat>
          <c:val>
            <c:numRef>
              <c:f>Sheet6!$E$28:$H$28</c:f>
              <c:numCache>
                <c:formatCode>General</c:formatCode>
                <c:ptCount val="4"/>
                <c:pt idx="0">
                  <c:v>1.9200000000000021</c:v>
                </c:pt>
                <c:pt idx="1">
                  <c:v>2.12</c:v>
                </c:pt>
                <c:pt idx="2">
                  <c:v>6.0000000000000032E-2</c:v>
                </c:pt>
                <c:pt idx="3">
                  <c:v>1.24</c:v>
                </c:pt>
              </c:numCache>
            </c:numRef>
          </c:val>
          <c:extLst>
            <c:ext xmlns:c16="http://schemas.microsoft.com/office/drawing/2014/chart" uri="{C3380CC4-5D6E-409C-BE32-E72D297353CC}">
              <c16:uniqueId val="{00000000-1B3B-4FC2-8436-C3CDF3C80A49}"/>
            </c:ext>
          </c:extLst>
        </c:ser>
        <c:ser>
          <c:idx val="1"/>
          <c:order val="1"/>
          <c:tx>
            <c:strRef>
              <c:f>Sheet6!$D$29</c:f>
              <c:strCache>
                <c:ptCount val="1"/>
                <c:pt idx="0">
                  <c:v>FZ-2</c:v>
                </c:pt>
              </c:strCache>
            </c:strRef>
          </c:tx>
          <c:invertIfNegative val="0"/>
          <c:cat>
            <c:strRef>
              <c:f>Sheet6!$E$27:$H$27</c:f>
              <c:strCache>
                <c:ptCount val="4"/>
                <c:pt idx="0">
                  <c:v>November</c:v>
                </c:pt>
                <c:pt idx="1">
                  <c:v>December</c:v>
                </c:pt>
                <c:pt idx="2">
                  <c:v>January</c:v>
                </c:pt>
                <c:pt idx="3">
                  <c:v>February</c:v>
                </c:pt>
              </c:strCache>
            </c:strRef>
          </c:cat>
          <c:val>
            <c:numRef>
              <c:f>Sheet6!$E$29:$H$29</c:f>
              <c:numCache>
                <c:formatCode>General</c:formatCode>
                <c:ptCount val="4"/>
                <c:pt idx="0">
                  <c:v>1.02</c:v>
                </c:pt>
                <c:pt idx="1">
                  <c:v>2.52</c:v>
                </c:pt>
                <c:pt idx="2">
                  <c:v>0.96000000000000063</c:v>
                </c:pt>
                <c:pt idx="3">
                  <c:v>1.6300000000000001</c:v>
                </c:pt>
              </c:numCache>
            </c:numRef>
          </c:val>
          <c:extLst>
            <c:ext xmlns:c16="http://schemas.microsoft.com/office/drawing/2014/chart" uri="{C3380CC4-5D6E-409C-BE32-E72D297353CC}">
              <c16:uniqueId val="{00000001-1B3B-4FC2-8436-C3CDF3C80A49}"/>
            </c:ext>
          </c:extLst>
        </c:ser>
        <c:ser>
          <c:idx val="2"/>
          <c:order val="2"/>
          <c:tx>
            <c:strRef>
              <c:f>Sheet6!$D$30</c:f>
              <c:strCache>
                <c:ptCount val="1"/>
                <c:pt idx="0">
                  <c:v>FZ-3</c:v>
                </c:pt>
              </c:strCache>
            </c:strRef>
          </c:tx>
          <c:invertIfNegative val="0"/>
          <c:cat>
            <c:strRef>
              <c:f>Sheet6!$E$27:$H$27</c:f>
              <c:strCache>
                <c:ptCount val="4"/>
                <c:pt idx="0">
                  <c:v>November</c:v>
                </c:pt>
                <c:pt idx="1">
                  <c:v>December</c:v>
                </c:pt>
                <c:pt idx="2">
                  <c:v>January</c:v>
                </c:pt>
                <c:pt idx="3">
                  <c:v>February</c:v>
                </c:pt>
              </c:strCache>
            </c:strRef>
          </c:cat>
          <c:val>
            <c:numRef>
              <c:f>Sheet6!$E$30:$H$30</c:f>
              <c:numCache>
                <c:formatCode>General</c:formatCode>
                <c:ptCount val="4"/>
                <c:pt idx="0">
                  <c:v>1.72</c:v>
                </c:pt>
                <c:pt idx="1">
                  <c:v>2.82</c:v>
                </c:pt>
                <c:pt idx="2">
                  <c:v>1.07</c:v>
                </c:pt>
                <c:pt idx="3">
                  <c:v>1.36</c:v>
                </c:pt>
              </c:numCache>
            </c:numRef>
          </c:val>
          <c:extLst>
            <c:ext xmlns:c16="http://schemas.microsoft.com/office/drawing/2014/chart" uri="{C3380CC4-5D6E-409C-BE32-E72D297353CC}">
              <c16:uniqueId val="{00000002-1B3B-4FC2-8436-C3CDF3C80A49}"/>
            </c:ext>
          </c:extLst>
        </c:ser>
        <c:ser>
          <c:idx val="3"/>
          <c:order val="3"/>
          <c:tx>
            <c:strRef>
              <c:f>Sheet6!$D$31</c:f>
              <c:strCache>
                <c:ptCount val="1"/>
                <c:pt idx="0">
                  <c:v>NFZ-1</c:v>
                </c:pt>
              </c:strCache>
            </c:strRef>
          </c:tx>
          <c:invertIfNegative val="0"/>
          <c:cat>
            <c:strRef>
              <c:f>Sheet6!$E$27:$H$27</c:f>
              <c:strCache>
                <c:ptCount val="4"/>
                <c:pt idx="0">
                  <c:v>November</c:v>
                </c:pt>
                <c:pt idx="1">
                  <c:v>December</c:v>
                </c:pt>
                <c:pt idx="2">
                  <c:v>January</c:v>
                </c:pt>
                <c:pt idx="3">
                  <c:v>February</c:v>
                </c:pt>
              </c:strCache>
            </c:strRef>
          </c:cat>
          <c:val>
            <c:numRef>
              <c:f>Sheet6!$E$31:$H$31</c:f>
              <c:numCache>
                <c:formatCode>General</c:formatCode>
                <c:ptCount val="4"/>
                <c:pt idx="0">
                  <c:v>2.0499999999999998</c:v>
                </c:pt>
                <c:pt idx="1">
                  <c:v>2.62</c:v>
                </c:pt>
                <c:pt idx="2">
                  <c:v>1.22</c:v>
                </c:pt>
                <c:pt idx="3">
                  <c:v>1.56</c:v>
                </c:pt>
              </c:numCache>
            </c:numRef>
          </c:val>
          <c:extLst>
            <c:ext xmlns:c16="http://schemas.microsoft.com/office/drawing/2014/chart" uri="{C3380CC4-5D6E-409C-BE32-E72D297353CC}">
              <c16:uniqueId val="{00000003-1B3B-4FC2-8436-C3CDF3C80A49}"/>
            </c:ext>
          </c:extLst>
        </c:ser>
        <c:ser>
          <c:idx val="4"/>
          <c:order val="4"/>
          <c:tx>
            <c:strRef>
              <c:f>Sheet6!$D$32</c:f>
              <c:strCache>
                <c:ptCount val="1"/>
                <c:pt idx="0">
                  <c:v>NFZ-2</c:v>
                </c:pt>
              </c:strCache>
            </c:strRef>
          </c:tx>
          <c:invertIfNegative val="0"/>
          <c:cat>
            <c:strRef>
              <c:f>Sheet6!$E$27:$H$27</c:f>
              <c:strCache>
                <c:ptCount val="4"/>
                <c:pt idx="0">
                  <c:v>November</c:v>
                </c:pt>
                <c:pt idx="1">
                  <c:v>December</c:v>
                </c:pt>
                <c:pt idx="2">
                  <c:v>January</c:v>
                </c:pt>
                <c:pt idx="3">
                  <c:v>February</c:v>
                </c:pt>
              </c:strCache>
            </c:strRef>
          </c:cat>
          <c:val>
            <c:numRef>
              <c:f>Sheet6!$E$32:$H$32</c:f>
              <c:numCache>
                <c:formatCode>General</c:formatCode>
                <c:ptCount val="4"/>
                <c:pt idx="0">
                  <c:v>1.9800000000000033</c:v>
                </c:pt>
                <c:pt idx="1">
                  <c:v>3.15</c:v>
                </c:pt>
                <c:pt idx="2">
                  <c:v>1.23</c:v>
                </c:pt>
                <c:pt idx="3">
                  <c:v>1.76</c:v>
                </c:pt>
              </c:numCache>
            </c:numRef>
          </c:val>
          <c:extLst>
            <c:ext xmlns:c16="http://schemas.microsoft.com/office/drawing/2014/chart" uri="{C3380CC4-5D6E-409C-BE32-E72D297353CC}">
              <c16:uniqueId val="{00000004-1B3B-4FC2-8436-C3CDF3C80A49}"/>
            </c:ext>
          </c:extLst>
        </c:ser>
        <c:ser>
          <c:idx val="5"/>
          <c:order val="5"/>
          <c:tx>
            <c:strRef>
              <c:f>Sheet6!$D$33</c:f>
              <c:strCache>
                <c:ptCount val="1"/>
                <c:pt idx="0">
                  <c:v>NFZ-3</c:v>
                </c:pt>
              </c:strCache>
            </c:strRef>
          </c:tx>
          <c:invertIfNegative val="0"/>
          <c:cat>
            <c:strRef>
              <c:f>Sheet6!$E$27:$H$27</c:f>
              <c:strCache>
                <c:ptCount val="4"/>
                <c:pt idx="0">
                  <c:v>November</c:v>
                </c:pt>
                <c:pt idx="1">
                  <c:v>December</c:v>
                </c:pt>
                <c:pt idx="2">
                  <c:v>January</c:v>
                </c:pt>
                <c:pt idx="3">
                  <c:v>February</c:v>
                </c:pt>
              </c:strCache>
            </c:strRef>
          </c:cat>
          <c:val>
            <c:numRef>
              <c:f>Sheet6!$E$33:$H$33</c:f>
              <c:numCache>
                <c:formatCode>General</c:formatCode>
                <c:ptCount val="4"/>
                <c:pt idx="0">
                  <c:v>2.12</c:v>
                </c:pt>
                <c:pt idx="1">
                  <c:v>2.96</c:v>
                </c:pt>
                <c:pt idx="2">
                  <c:v>1.03</c:v>
                </c:pt>
                <c:pt idx="3">
                  <c:v>1.680000000000003</c:v>
                </c:pt>
              </c:numCache>
            </c:numRef>
          </c:val>
          <c:extLst>
            <c:ext xmlns:c16="http://schemas.microsoft.com/office/drawing/2014/chart" uri="{C3380CC4-5D6E-409C-BE32-E72D297353CC}">
              <c16:uniqueId val="{00000005-1B3B-4FC2-8436-C3CDF3C80A49}"/>
            </c:ext>
          </c:extLst>
        </c:ser>
        <c:dLbls>
          <c:showLegendKey val="0"/>
          <c:showVal val="0"/>
          <c:showCatName val="0"/>
          <c:showSerName val="0"/>
          <c:showPercent val="0"/>
          <c:showBubbleSize val="0"/>
        </c:dLbls>
        <c:gapWidth val="150"/>
        <c:axId val="83777408"/>
        <c:axId val="83778944"/>
      </c:barChart>
      <c:catAx>
        <c:axId val="83777408"/>
        <c:scaling>
          <c:orientation val="minMax"/>
        </c:scaling>
        <c:delete val="0"/>
        <c:axPos val="b"/>
        <c:numFmt formatCode="General" sourceLinked="0"/>
        <c:majorTickMark val="out"/>
        <c:minorTickMark val="none"/>
        <c:tickLblPos val="nextTo"/>
        <c:crossAx val="83778944"/>
        <c:crosses val="autoZero"/>
        <c:auto val="1"/>
        <c:lblAlgn val="ctr"/>
        <c:lblOffset val="100"/>
        <c:noMultiLvlLbl val="0"/>
      </c:catAx>
      <c:valAx>
        <c:axId val="83778944"/>
        <c:scaling>
          <c:orientation val="minMax"/>
          <c:min val="0.5"/>
        </c:scaling>
        <c:delete val="0"/>
        <c:axPos val="l"/>
        <c:title>
          <c:tx>
            <c:rich>
              <a:bodyPr rot="-5400000" vert="horz"/>
              <a:lstStyle/>
              <a:p>
                <a:pPr>
                  <a:defRPr/>
                </a:pPr>
                <a:r>
                  <a:rPr lang="en-US"/>
                  <a:t>Nitrate (mg/l) </a:t>
                </a:r>
              </a:p>
            </c:rich>
          </c:tx>
          <c:layout>
            <c:manualLayout>
              <c:xMode val="edge"/>
              <c:yMode val="edge"/>
              <c:x val="4.47973335719399E-2"/>
              <c:y val="0.30769766382507996"/>
            </c:manualLayout>
          </c:layout>
          <c:overlay val="0"/>
        </c:title>
        <c:numFmt formatCode="General" sourceLinked="1"/>
        <c:majorTickMark val="out"/>
        <c:minorTickMark val="none"/>
        <c:tickLblPos val="nextTo"/>
        <c:crossAx val="83777408"/>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69657502642041"/>
          <c:y val="9.2087757088339134E-2"/>
          <c:w val="0.73713806568129869"/>
          <c:h val="0.82399933712332474"/>
        </c:manualLayout>
      </c:layout>
      <c:barChart>
        <c:barDir val="col"/>
        <c:grouping val="clustered"/>
        <c:varyColors val="0"/>
        <c:ser>
          <c:idx val="0"/>
          <c:order val="0"/>
          <c:tx>
            <c:strRef>
              <c:f>Sheet6!$E$55</c:f>
              <c:strCache>
                <c:ptCount val="1"/>
                <c:pt idx="0">
                  <c:v>FZ-1</c:v>
                </c:pt>
              </c:strCache>
            </c:strRef>
          </c:tx>
          <c:invertIfNegative val="0"/>
          <c:cat>
            <c:strRef>
              <c:f>Sheet6!$F$54:$I$54</c:f>
              <c:strCache>
                <c:ptCount val="4"/>
                <c:pt idx="0">
                  <c:v>November</c:v>
                </c:pt>
                <c:pt idx="1">
                  <c:v>December</c:v>
                </c:pt>
                <c:pt idx="2">
                  <c:v>January</c:v>
                </c:pt>
                <c:pt idx="3">
                  <c:v>February</c:v>
                </c:pt>
              </c:strCache>
            </c:strRef>
          </c:cat>
          <c:val>
            <c:numRef>
              <c:f>Sheet6!$F$55:$I$55</c:f>
              <c:numCache>
                <c:formatCode>General</c:formatCode>
                <c:ptCount val="4"/>
                <c:pt idx="0">
                  <c:v>1.27</c:v>
                </c:pt>
                <c:pt idx="1">
                  <c:v>1.9800000000000033</c:v>
                </c:pt>
                <c:pt idx="2">
                  <c:v>8.0000000000000043E-2</c:v>
                </c:pt>
                <c:pt idx="3">
                  <c:v>0.82000000000000062</c:v>
                </c:pt>
              </c:numCache>
            </c:numRef>
          </c:val>
          <c:extLst>
            <c:ext xmlns:c16="http://schemas.microsoft.com/office/drawing/2014/chart" uri="{C3380CC4-5D6E-409C-BE32-E72D297353CC}">
              <c16:uniqueId val="{00000000-3622-4686-AA96-2CF9A7EDDA51}"/>
            </c:ext>
          </c:extLst>
        </c:ser>
        <c:ser>
          <c:idx val="1"/>
          <c:order val="1"/>
          <c:tx>
            <c:strRef>
              <c:f>Sheet6!$E$56</c:f>
              <c:strCache>
                <c:ptCount val="1"/>
                <c:pt idx="0">
                  <c:v>FZ-2</c:v>
                </c:pt>
              </c:strCache>
            </c:strRef>
          </c:tx>
          <c:invertIfNegative val="0"/>
          <c:cat>
            <c:strRef>
              <c:f>Sheet6!$F$54:$I$54</c:f>
              <c:strCache>
                <c:ptCount val="4"/>
                <c:pt idx="0">
                  <c:v>November</c:v>
                </c:pt>
                <c:pt idx="1">
                  <c:v>December</c:v>
                </c:pt>
                <c:pt idx="2">
                  <c:v>January</c:v>
                </c:pt>
                <c:pt idx="3">
                  <c:v>February</c:v>
                </c:pt>
              </c:strCache>
            </c:strRef>
          </c:cat>
          <c:val>
            <c:numRef>
              <c:f>Sheet6!$F$56:$I$56</c:f>
              <c:numCache>
                <c:formatCode>General</c:formatCode>
                <c:ptCount val="4"/>
                <c:pt idx="0">
                  <c:v>0.95000000000000062</c:v>
                </c:pt>
                <c:pt idx="1">
                  <c:v>1.53</c:v>
                </c:pt>
                <c:pt idx="2">
                  <c:v>0.78</c:v>
                </c:pt>
                <c:pt idx="3">
                  <c:v>0.69000000000000061</c:v>
                </c:pt>
              </c:numCache>
            </c:numRef>
          </c:val>
          <c:extLst>
            <c:ext xmlns:c16="http://schemas.microsoft.com/office/drawing/2014/chart" uri="{C3380CC4-5D6E-409C-BE32-E72D297353CC}">
              <c16:uniqueId val="{00000001-3622-4686-AA96-2CF9A7EDDA51}"/>
            </c:ext>
          </c:extLst>
        </c:ser>
        <c:ser>
          <c:idx val="2"/>
          <c:order val="2"/>
          <c:tx>
            <c:strRef>
              <c:f>Sheet6!$E$57</c:f>
              <c:strCache>
                <c:ptCount val="1"/>
                <c:pt idx="0">
                  <c:v>FZ-3</c:v>
                </c:pt>
              </c:strCache>
            </c:strRef>
          </c:tx>
          <c:invertIfNegative val="0"/>
          <c:cat>
            <c:strRef>
              <c:f>Sheet6!$F$54:$I$54</c:f>
              <c:strCache>
                <c:ptCount val="4"/>
                <c:pt idx="0">
                  <c:v>November</c:v>
                </c:pt>
                <c:pt idx="1">
                  <c:v>December</c:v>
                </c:pt>
                <c:pt idx="2">
                  <c:v>January</c:v>
                </c:pt>
                <c:pt idx="3">
                  <c:v>February</c:v>
                </c:pt>
              </c:strCache>
            </c:strRef>
          </c:cat>
          <c:val>
            <c:numRef>
              <c:f>Sheet6!$F$57:$I$57</c:f>
              <c:numCache>
                <c:formatCode>General</c:formatCode>
                <c:ptCount val="4"/>
                <c:pt idx="0">
                  <c:v>1.1599999999999966</c:v>
                </c:pt>
                <c:pt idx="1">
                  <c:v>2.5299999999999998</c:v>
                </c:pt>
                <c:pt idx="2">
                  <c:v>0.95000000000000062</c:v>
                </c:pt>
                <c:pt idx="3">
                  <c:v>0.95000000000000062</c:v>
                </c:pt>
              </c:numCache>
            </c:numRef>
          </c:val>
          <c:extLst>
            <c:ext xmlns:c16="http://schemas.microsoft.com/office/drawing/2014/chart" uri="{C3380CC4-5D6E-409C-BE32-E72D297353CC}">
              <c16:uniqueId val="{00000002-3622-4686-AA96-2CF9A7EDDA51}"/>
            </c:ext>
          </c:extLst>
        </c:ser>
        <c:ser>
          <c:idx val="3"/>
          <c:order val="3"/>
          <c:tx>
            <c:strRef>
              <c:f>Sheet6!$E$58</c:f>
              <c:strCache>
                <c:ptCount val="1"/>
                <c:pt idx="0">
                  <c:v>NFZ-1</c:v>
                </c:pt>
              </c:strCache>
            </c:strRef>
          </c:tx>
          <c:invertIfNegative val="0"/>
          <c:cat>
            <c:strRef>
              <c:f>Sheet6!$F$54:$I$54</c:f>
              <c:strCache>
                <c:ptCount val="4"/>
                <c:pt idx="0">
                  <c:v>November</c:v>
                </c:pt>
                <c:pt idx="1">
                  <c:v>December</c:v>
                </c:pt>
                <c:pt idx="2">
                  <c:v>January</c:v>
                </c:pt>
                <c:pt idx="3">
                  <c:v>February</c:v>
                </c:pt>
              </c:strCache>
            </c:strRef>
          </c:cat>
          <c:val>
            <c:numRef>
              <c:f>Sheet6!$F$58:$I$58</c:f>
              <c:numCache>
                <c:formatCode>General</c:formatCode>
                <c:ptCount val="4"/>
                <c:pt idx="0">
                  <c:v>1.9800000000000033</c:v>
                </c:pt>
                <c:pt idx="1">
                  <c:v>2.12</c:v>
                </c:pt>
                <c:pt idx="2">
                  <c:v>0.97000000000000064</c:v>
                </c:pt>
                <c:pt idx="3">
                  <c:v>1.34</c:v>
                </c:pt>
              </c:numCache>
            </c:numRef>
          </c:val>
          <c:extLst>
            <c:ext xmlns:c16="http://schemas.microsoft.com/office/drawing/2014/chart" uri="{C3380CC4-5D6E-409C-BE32-E72D297353CC}">
              <c16:uniqueId val="{00000003-3622-4686-AA96-2CF9A7EDDA51}"/>
            </c:ext>
          </c:extLst>
        </c:ser>
        <c:ser>
          <c:idx val="4"/>
          <c:order val="4"/>
          <c:tx>
            <c:strRef>
              <c:f>Sheet6!$E$59</c:f>
              <c:strCache>
                <c:ptCount val="1"/>
                <c:pt idx="0">
                  <c:v>NFZ-2</c:v>
                </c:pt>
              </c:strCache>
            </c:strRef>
          </c:tx>
          <c:invertIfNegative val="0"/>
          <c:cat>
            <c:strRef>
              <c:f>Sheet6!$F$54:$I$54</c:f>
              <c:strCache>
                <c:ptCount val="4"/>
                <c:pt idx="0">
                  <c:v>November</c:v>
                </c:pt>
                <c:pt idx="1">
                  <c:v>December</c:v>
                </c:pt>
                <c:pt idx="2">
                  <c:v>January</c:v>
                </c:pt>
                <c:pt idx="3">
                  <c:v>February</c:v>
                </c:pt>
              </c:strCache>
            </c:strRef>
          </c:cat>
          <c:val>
            <c:numRef>
              <c:f>Sheet6!$F$59:$I$59</c:f>
              <c:numCache>
                <c:formatCode>General</c:formatCode>
                <c:ptCount val="4"/>
                <c:pt idx="0">
                  <c:v>2.2400000000000002</c:v>
                </c:pt>
                <c:pt idx="1">
                  <c:v>2.48</c:v>
                </c:pt>
                <c:pt idx="2">
                  <c:v>1.04</c:v>
                </c:pt>
                <c:pt idx="3">
                  <c:v>1.23</c:v>
                </c:pt>
              </c:numCache>
            </c:numRef>
          </c:val>
          <c:extLst>
            <c:ext xmlns:c16="http://schemas.microsoft.com/office/drawing/2014/chart" uri="{C3380CC4-5D6E-409C-BE32-E72D297353CC}">
              <c16:uniqueId val="{00000004-3622-4686-AA96-2CF9A7EDDA51}"/>
            </c:ext>
          </c:extLst>
        </c:ser>
        <c:ser>
          <c:idx val="5"/>
          <c:order val="5"/>
          <c:tx>
            <c:strRef>
              <c:f>Sheet6!$E$60</c:f>
              <c:strCache>
                <c:ptCount val="1"/>
                <c:pt idx="0">
                  <c:v>NFZ-3</c:v>
                </c:pt>
              </c:strCache>
            </c:strRef>
          </c:tx>
          <c:invertIfNegative val="0"/>
          <c:cat>
            <c:strRef>
              <c:f>Sheet6!$F$54:$I$54</c:f>
              <c:strCache>
                <c:ptCount val="4"/>
                <c:pt idx="0">
                  <c:v>November</c:v>
                </c:pt>
                <c:pt idx="1">
                  <c:v>December</c:v>
                </c:pt>
                <c:pt idx="2">
                  <c:v>January</c:v>
                </c:pt>
                <c:pt idx="3">
                  <c:v>February</c:v>
                </c:pt>
              </c:strCache>
            </c:strRef>
          </c:cat>
          <c:val>
            <c:numRef>
              <c:f>Sheet6!$F$60:$I$60</c:f>
              <c:numCache>
                <c:formatCode>General</c:formatCode>
                <c:ptCount val="4"/>
                <c:pt idx="0">
                  <c:v>1.57</c:v>
                </c:pt>
                <c:pt idx="1">
                  <c:v>2.3099999999999987</c:v>
                </c:pt>
                <c:pt idx="2">
                  <c:v>0.86000000000000065</c:v>
                </c:pt>
                <c:pt idx="3">
                  <c:v>1.1200000000000001</c:v>
                </c:pt>
              </c:numCache>
            </c:numRef>
          </c:val>
          <c:extLst>
            <c:ext xmlns:c16="http://schemas.microsoft.com/office/drawing/2014/chart" uri="{C3380CC4-5D6E-409C-BE32-E72D297353CC}">
              <c16:uniqueId val="{00000005-3622-4686-AA96-2CF9A7EDDA51}"/>
            </c:ext>
          </c:extLst>
        </c:ser>
        <c:dLbls>
          <c:showLegendKey val="0"/>
          <c:showVal val="0"/>
          <c:showCatName val="0"/>
          <c:showSerName val="0"/>
          <c:showPercent val="0"/>
          <c:showBubbleSize val="0"/>
        </c:dLbls>
        <c:gapWidth val="150"/>
        <c:axId val="83811328"/>
        <c:axId val="83841792"/>
      </c:barChart>
      <c:catAx>
        <c:axId val="83811328"/>
        <c:scaling>
          <c:orientation val="minMax"/>
        </c:scaling>
        <c:delete val="0"/>
        <c:axPos val="b"/>
        <c:numFmt formatCode="General" sourceLinked="0"/>
        <c:majorTickMark val="out"/>
        <c:minorTickMark val="none"/>
        <c:tickLblPos val="nextTo"/>
        <c:crossAx val="83841792"/>
        <c:crosses val="autoZero"/>
        <c:auto val="1"/>
        <c:lblAlgn val="ctr"/>
        <c:lblOffset val="100"/>
        <c:noMultiLvlLbl val="0"/>
      </c:catAx>
      <c:valAx>
        <c:axId val="83841792"/>
        <c:scaling>
          <c:orientation val="minMax"/>
          <c:max val="3"/>
        </c:scaling>
        <c:delete val="0"/>
        <c:axPos val="l"/>
        <c:title>
          <c:tx>
            <c:rich>
              <a:bodyPr rot="-5400000" vert="horz"/>
              <a:lstStyle/>
              <a:p>
                <a:pPr>
                  <a:defRPr/>
                </a:pPr>
                <a:r>
                  <a:rPr lang="en-US"/>
                  <a:t>Nitrite (mg/l)</a:t>
                </a:r>
              </a:p>
            </c:rich>
          </c:tx>
          <c:layout>
            <c:manualLayout>
              <c:xMode val="edge"/>
              <c:yMode val="edge"/>
              <c:x val="2.7849409448818942E-2"/>
              <c:y val="0.12699009398018793"/>
            </c:manualLayout>
          </c:layout>
          <c:overlay val="0"/>
        </c:title>
        <c:numFmt formatCode="General" sourceLinked="1"/>
        <c:majorTickMark val="out"/>
        <c:minorTickMark val="none"/>
        <c:tickLblPos val="nextTo"/>
        <c:crossAx val="83811328"/>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062097351467427"/>
          <c:y val="7.3030829288189075E-2"/>
          <c:w val="0.70329416209337658"/>
          <c:h val="0.82590351437557841"/>
        </c:manualLayout>
      </c:layout>
      <c:barChart>
        <c:barDir val="col"/>
        <c:grouping val="clustered"/>
        <c:varyColors val="0"/>
        <c:ser>
          <c:idx val="0"/>
          <c:order val="0"/>
          <c:tx>
            <c:strRef>
              <c:f>Sheet6!$E$80</c:f>
              <c:strCache>
                <c:ptCount val="1"/>
                <c:pt idx="0">
                  <c:v>FZ-1</c:v>
                </c:pt>
              </c:strCache>
            </c:strRef>
          </c:tx>
          <c:invertIfNegative val="0"/>
          <c:cat>
            <c:strRef>
              <c:f>Sheet6!$F$79:$I$79</c:f>
              <c:strCache>
                <c:ptCount val="4"/>
                <c:pt idx="0">
                  <c:v>November</c:v>
                </c:pt>
                <c:pt idx="1">
                  <c:v>December</c:v>
                </c:pt>
                <c:pt idx="2">
                  <c:v>January</c:v>
                </c:pt>
                <c:pt idx="3">
                  <c:v>February</c:v>
                </c:pt>
              </c:strCache>
            </c:strRef>
          </c:cat>
          <c:val>
            <c:numRef>
              <c:f>Sheet6!$F$80:$I$80</c:f>
              <c:numCache>
                <c:formatCode>General</c:formatCode>
                <c:ptCount val="4"/>
                <c:pt idx="0">
                  <c:v>1.36</c:v>
                </c:pt>
                <c:pt idx="1">
                  <c:v>1.56</c:v>
                </c:pt>
                <c:pt idx="2">
                  <c:v>1.9200000000000021</c:v>
                </c:pt>
                <c:pt idx="3">
                  <c:v>1.72</c:v>
                </c:pt>
              </c:numCache>
            </c:numRef>
          </c:val>
          <c:extLst>
            <c:ext xmlns:c16="http://schemas.microsoft.com/office/drawing/2014/chart" uri="{C3380CC4-5D6E-409C-BE32-E72D297353CC}">
              <c16:uniqueId val="{00000000-32AD-416F-AD87-7FBB49F9117D}"/>
            </c:ext>
          </c:extLst>
        </c:ser>
        <c:ser>
          <c:idx val="1"/>
          <c:order val="1"/>
          <c:tx>
            <c:strRef>
              <c:f>Sheet6!$E$81</c:f>
              <c:strCache>
                <c:ptCount val="1"/>
                <c:pt idx="0">
                  <c:v>FZ-2</c:v>
                </c:pt>
              </c:strCache>
            </c:strRef>
          </c:tx>
          <c:invertIfNegative val="0"/>
          <c:cat>
            <c:strRef>
              <c:f>Sheet6!$F$79:$I$79</c:f>
              <c:strCache>
                <c:ptCount val="4"/>
                <c:pt idx="0">
                  <c:v>November</c:v>
                </c:pt>
                <c:pt idx="1">
                  <c:v>December</c:v>
                </c:pt>
                <c:pt idx="2">
                  <c:v>January</c:v>
                </c:pt>
                <c:pt idx="3">
                  <c:v>February</c:v>
                </c:pt>
              </c:strCache>
            </c:strRef>
          </c:cat>
          <c:val>
            <c:numRef>
              <c:f>Sheet6!$F$81:$I$81</c:f>
              <c:numCache>
                <c:formatCode>General</c:formatCode>
                <c:ptCount val="4"/>
                <c:pt idx="0">
                  <c:v>1.21</c:v>
                </c:pt>
                <c:pt idx="1">
                  <c:v>1.41</c:v>
                </c:pt>
                <c:pt idx="2">
                  <c:v>1.72</c:v>
                </c:pt>
                <c:pt idx="3">
                  <c:v>1.680000000000003</c:v>
                </c:pt>
              </c:numCache>
            </c:numRef>
          </c:val>
          <c:extLst>
            <c:ext xmlns:c16="http://schemas.microsoft.com/office/drawing/2014/chart" uri="{C3380CC4-5D6E-409C-BE32-E72D297353CC}">
              <c16:uniqueId val="{00000001-32AD-416F-AD87-7FBB49F9117D}"/>
            </c:ext>
          </c:extLst>
        </c:ser>
        <c:ser>
          <c:idx val="2"/>
          <c:order val="2"/>
          <c:tx>
            <c:strRef>
              <c:f>Sheet6!$E$82</c:f>
              <c:strCache>
                <c:ptCount val="1"/>
                <c:pt idx="0">
                  <c:v>FZ-3</c:v>
                </c:pt>
              </c:strCache>
            </c:strRef>
          </c:tx>
          <c:invertIfNegative val="0"/>
          <c:cat>
            <c:strRef>
              <c:f>Sheet6!$F$79:$I$79</c:f>
              <c:strCache>
                <c:ptCount val="4"/>
                <c:pt idx="0">
                  <c:v>November</c:v>
                </c:pt>
                <c:pt idx="1">
                  <c:v>December</c:v>
                </c:pt>
                <c:pt idx="2">
                  <c:v>January</c:v>
                </c:pt>
                <c:pt idx="3">
                  <c:v>February</c:v>
                </c:pt>
              </c:strCache>
            </c:strRef>
          </c:cat>
          <c:val>
            <c:numRef>
              <c:f>Sheet6!$F$82:$I$82</c:f>
              <c:numCache>
                <c:formatCode>General</c:formatCode>
                <c:ptCount val="4"/>
                <c:pt idx="0">
                  <c:v>0.92</c:v>
                </c:pt>
                <c:pt idx="1">
                  <c:v>1.680000000000003</c:v>
                </c:pt>
                <c:pt idx="2">
                  <c:v>1.62</c:v>
                </c:pt>
                <c:pt idx="3">
                  <c:v>1.75</c:v>
                </c:pt>
              </c:numCache>
            </c:numRef>
          </c:val>
          <c:extLst>
            <c:ext xmlns:c16="http://schemas.microsoft.com/office/drawing/2014/chart" uri="{C3380CC4-5D6E-409C-BE32-E72D297353CC}">
              <c16:uniqueId val="{00000002-32AD-416F-AD87-7FBB49F9117D}"/>
            </c:ext>
          </c:extLst>
        </c:ser>
        <c:ser>
          <c:idx val="3"/>
          <c:order val="3"/>
          <c:tx>
            <c:strRef>
              <c:f>Sheet6!$E$83</c:f>
              <c:strCache>
                <c:ptCount val="1"/>
                <c:pt idx="0">
                  <c:v>NFZ-1</c:v>
                </c:pt>
              </c:strCache>
            </c:strRef>
          </c:tx>
          <c:invertIfNegative val="0"/>
          <c:cat>
            <c:strRef>
              <c:f>Sheet6!$F$79:$I$79</c:f>
              <c:strCache>
                <c:ptCount val="4"/>
                <c:pt idx="0">
                  <c:v>November</c:v>
                </c:pt>
                <c:pt idx="1">
                  <c:v>December</c:v>
                </c:pt>
                <c:pt idx="2">
                  <c:v>January</c:v>
                </c:pt>
                <c:pt idx="3">
                  <c:v>February</c:v>
                </c:pt>
              </c:strCache>
            </c:strRef>
          </c:cat>
          <c:val>
            <c:numRef>
              <c:f>Sheet6!$F$83:$I$83</c:f>
              <c:numCache>
                <c:formatCode>General</c:formatCode>
                <c:ptCount val="4"/>
                <c:pt idx="0">
                  <c:v>0.83000000000000063</c:v>
                </c:pt>
                <c:pt idx="1">
                  <c:v>1.03</c:v>
                </c:pt>
                <c:pt idx="2">
                  <c:v>1.75</c:v>
                </c:pt>
                <c:pt idx="3">
                  <c:v>1.42</c:v>
                </c:pt>
              </c:numCache>
            </c:numRef>
          </c:val>
          <c:extLst>
            <c:ext xmlns:c16="http://schemas.microsoft.com/office/drawing/2014/chart" uri="{C3380CC4-5D6E-409C-BE32-E72D297353CC}">
              <c16:uniqueId val="{00000003-32AD-416F-AD87-7FBB49F9117D}"/>
            </c:ext>
          </c:extLst>
        </c:ser>
        <c:ser>
          <c:idx val="4"/>
          <c:order val="4"/>
          <c:tx>
            <c:strRef>
              <c:f>Sheet6!$E$84</c:f>
              <c:strCache>
                <c:ptCount val="1"/>
                <c:pt idx="0">
                  <c:v>NFZ-2</c:v>
                </c:pt>
              </c:strCache>
            </c:strRef>
          </c:tx>
          <c:invertIfNegative val="0"/>
          <c:cat>
            <c:strRef>
              <c:f>Sheet6!$F$79:$I$79</c:f>
              <c:strCache>
                <c:ptCount val="4"/>
                <c:pt idx="0">
                  <c:v>November</c:v>
                </c:pt>
                <c:pt idx="1">
                  <c:v>December</c:v>
                </c:pt>
                <c:pt idx="2">
                  <c:v>January</c:v>
                </c:pt>
                <c:pt idx="3">
                  <c:v>February</c:v>
                </c:pt>
              </c:strCache>
            </c:strRef>
          </c:cat>
          <c:val>
            <c:numRef>
              <c:f>Sheet6!$F$84:$I$84</c:f>
              <c:numCache>
                <c:formatCode>General</c:formatCode>
                <c:ptCount val="4"/>
                <c:pt idx="0">
                  <c:v>0.79</c:v>
                </c:pt>
                <c:pt idx="1">
                  <c:v>1.21</c:v>
                </c:pt>
                <c:pt idx="2">
                  <c:v>1.48</c:v>
                </c:pt>
                <c:pt idx="3">
                  <c:v>1.28</c:v>
                </c:pt>
              </c:numCache>
            </c:numRef>
          </c:val>
          <c:extLst>
            <c:ext xmlns:c16="http://schemas.microsoft.com/office/drawing/2014/chart" uri="{C3380CC4-5D6E-409C-BE32-E72D297353CC}">
              <c16:uniqueId val="{00000004-32AD-416F-AD87-7FBB49F9117D}"/>
            </c:ext>
          </c:extLst>
        </c:ser>
        <c:ser>
          <c:idx val="5"/>
          <c:order val="5"/>
          <c:tx>
            <c:strRef>
              <c:f>Sheet6!$E$85</c:f>
              <c:strCache>
                <c:ptCount val="1"/>
                <c:pt idx="0">
                  <c:v>NFZ-3</c:v>
                </c:pt>
              </c:strCache>
            </c:strRef>
          </c:tx>
          <c:invertIfNegative val="0"/>
          <c:cat>
            <c:strRef>
              <c:f>Sheet6!$F$79:$I$79</c:f>
              <c:strCache>
                <c:ptCount val="4"/>
                <c:pt idx="0">
                  <c:v>November</c:v>
                </c:pt>
                <c:pt idx="1">
                  <c:v>December</c:v>
                </c:pt>
                <c:pt idx="2">
                  <c:v>January</c:v>
                </c:pt>
                <c:pt idx="3">
                  <c:v>February</c:v>
                </c:pt>
              </c:strCache>
            </c:strRef>
          </c:cat>
          <c:val>
            <c:numRef>
              <c:f>Sheet6!$F$85:$I$85</c:f>
              <c:numCache>
                <c:formatCode>General</c:formatCode>
                <c:ptCount val="4"/>
                <c:pt idx="0">
                  <c:v>0.88</c:v>
                </c:pt>
                <c:pt idx="1">
                  <c:v>1.04</c:v>
                </c:pt>
                <c:pt idx="2">
                  <c:v>1.6400000000000001</c:v>
                </c:pt>
                <c:pt idx="3">
                  <c:v>1.52</c:v>
                </c:pt>
              </c:numCache>
            </c:numRef>
          </c:val>
          <c:extLst>
            <c:ext xmlns:c16="http://schemas.microsoft.com/office/drawing/2014/chart" uri="{C3380CC4-5D6E-409C-BE32-E72D297353CC}">
              <c16:uniqueId val="{00000005-32AD-416F-AD87-7FBB49F9117D}"/>
            </c:ext>
          </c:extLst>
        </c:ser>
        <c:dLbls>
          <c:showLegendKey val="0"/>
          <c:showVal val="0"/>
          <c:showCatName val="0"/>
          <c:showSerName val="0"/>
          <c:showPercent val="0"/>
          <c:showBubbleSize val="0"/>
        </c:dLbls>
        <c:gapWidth val="150"/>
        <c:axId val="83960192"/>
        <c:axId val="83961728"/>
      </c:barChart>
      <c:catAx>
        <c:axId val="83960192"/>
        <c:scaling>
          <c:orientation val="minMax"/>
        </c:scaling>
        <c:delete val="0"/>
        <c:axPos val="b"/>
        <c:numFmt formatCode="General" sourceLinked="0"/>
        <c:majorTickMark val="out"/>
        <c:minorTickMark val="none"/>
        <c:tickLblPos val="nextTo"/>
        <c:crossAx val="83961728"/>
        <c:crosses val="autoZero"/>
        <c:auto val="1"/>
        <c:lblAlgn val="ctr"/>
        <c:lblOffset val="100"/>
        <c:noMultiLvlLbl val="0"/>
      </c:catAx>
      <c:valAx>
        <c:axId val="83961728"/>
        <c:scaling>
          <c:orientation val="minMax"/>
          <c:max val="2.1"/>
          <c:min val="0.5"/>
        </c:scaling>
        <c:delete val="0"/>
        <c:axPos val="l"/>
        <c:title>
          <c:tx>
            <c:rich>
              <a:bodyPr rot="-5400000" vert="horz"/>
              <a:lstStyle/>
              <a:p>
                <a:pPr>
                  <a:defRPr/>
                </a:pPr>
                <a:r>
                  <a:rPr lang="en-US"/>
                  <a:t>Phosphate (mg/l)</a:t>
                </a:r>
              </a:p>
            </c:rich>
          </c:tx>
          <c:layout>
            <c:manualLayout>
              <c:xMode val="edge"/>
              <c:yMode val="edge"/>
              <c:x val="3.6352812622732641E-2"/>
              <c:y val="0.13445044576039608"/>
            </c:manualLayout>
          </c:layout>
          <c:overlay val="0"/>
        </c:title>
        <c:numFmt formatCode="General" sourceLinked="1"/>
        <c:majorTickMark val="out"/>
        <c:minorTickMark val="none"/>
        <c:tickLblPos val="nextTo"/>
        <c:crossAx val="83960192"/>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61525236174745"/>
          <c:y val="7.2460945783769465E-2"/>
          <c:w val="0.73300703265750633"/>
          <c:h val="0.83251145894998801"/>
        </c:manualLayout>
      </c:layout>
      <c:barChart>
        <c:barDir val="col"/>
        <c:grouping val="clustered"/>
        <c:varyColors val="0"/>
        <c:ser>
          <c:idx val="0"/>
          <c:order val="0"/>
          <c:tx>
            <c:strRef>
              <c:f>Sheet6!$D$113</c:f>
              <c:strCache>
                <c:ptCount val="1"/>
                <c:pt idx="0">
                  <c:v>FZ-1</c:v>
                </c:pt>
              </c:strCache>
            </c:strRef>
          </c:tx>
          <c:invertIfNegative val="0"/>
          <c:cat>
            <c:strRef>
              <c:f>Sheet6!$E$112:$H$112</c:f>
              <c:strCache>
                <c:ptCount val="4"/>
                <c:pt idx="0">
                  <c:v>November</c:v>
                </c:pt>
                <c:pt idx="1">
                  <c:v>December</c:v>
                </c:pt>
                <c:pt idx="2">
                  <c:v>January</c:v>
                </c:pt>
                <c:pt idx="3">
                  <c:v>February</c:v>
                </c:pt>
              </c:strCache>
            </c:strRef>
          </c:cat>
          <c:val>
            <c:numRef>
              <c:f>Sheet6!$E$113:$H$113</c:f>
              <c:numCache>
                <c:formatCode>General</c:formatCode>
                <c:ptCount val="4"/>
                <c:pt idx="0">
                  <c:v>5.1199999999999966</c:v>
                </c:pt>
                <c:pt idx="1">
                  <c:v>5.31</c:v>
                </c:pt>
                <c:pt idx="2">
                  <c:v>5.21</c:v>
                </c:pt>
                <c:pt idx="3">
                  <c:v>4.2300000000000004</c:v>
                </c:pt>
              </c:numCache>
            </c:numRef>
          </c:val>
          <c:extLst>
            <c:ext xmlns:c16="http://schemas.microsoft.com/office/drawing/2014/chart" uri="{C3380CC4-5D6E-409C-BE32-E72D297353CC}">
              <c16:uniqueId val="{00000000-BDB4-4BEA-AB03-2338294B7A2A}"/>
            </c:ext>
          </c:extLst>
        </c:ser>
        <c:ser>
          <c:idx val="1"/>
          <c:order val="1"/>
          <c:tx>
            <c:strRef>
              <c:f>Sheet6!$D$114</c:f>
              <c:strCache>
                <c:ptCount val="1"/>
                <c:pt idx="0">
                  <c:v>FZ-2</c:v>
                </c:pt>
              </c:strCache>
            </c:strRef>
          </c:tx>
          <c:invertIfNegative val="0"/>
          <c:cat>
            <c:strRef>
              <c:f>Sheet6!$E$112:$H$112</c:f>
              <c:strCache>
                <c:ptCount val="4"/>
                <c:pt idx="0">
                  <c:v>November</c:v>
                </c:pt>
                <c:pt idx="1">
                  <c:v>December</c:v>
                </c:pt>
                <c:pt idx="2">
                  <c:v>January</c:v>
                </c:pt>
                <c:pt idx="3">
                  <c:v>February</c:v>
                </c:pt>
              </c:strCache>
            </c:strRef>
          </c:cat>
          <c:val>
            <c:numRef>
              <c:f>Sheet6!$E$114:$H$114</c:f>
              <c:numCache>
                <c:formatCode>General</c:formatCode>
                <c:ptCount val="4"/>
                <c:pt idx="0">
                  <c:v>5.8</c:v>
                </c:pt>
                <c:pt idx="1">
                  <c:v>4.6199999999999966</c:v>
                </c:pt>
                <c:pt idx="2">
                  <c:v>4.9800000000000004</c:v>
                </c:pt>
                <c:pt idx="3">
                  <c:v>4.5599999999999996</c:v>
                </c:pt>
              </c:numCache>
            </c:numRef>
          </c:val>
          <c:extLst>
            <c:ext xmlns:c16="http://schemas.microsoft.com/office/drawing/2014/chart" uri="{C3380CC4-5D6E-409C-BE32-E72D297353CC}">
              <c16:uniqueId val="{00000001-BDB4-4BEA-AB03-2338294B7A2A}"/>
            </c:ext>
          </c:extLst>
        </c:ser>
        <c:ser>
          <c:idx val="2"/>
          <c:order val="2"/>
          <c:tx>
            <c:strRef>
              <c:f>Sheet6!$D$115</c:f>
              <c:strCache>
                <c:ptCount val="1"/>
                <c:pt idx="0">
                  <c:v>FZ-3</c:v>
                </c:pt>
              </c:strCache>
            </c:strRef>
          </c:tx>
          <c:invertIfNegative val="0"/>
          <c:cat>
            <c:strRef>
              <c:f>Sheet6!$E$112:$H$112</c:f>
              <c:strCache>
                <c:ptCount val="4"/>
                <c:pt idx="0">
                  <c:v>November</c:v>
                </c:pt>
                <c:pt idx="1">
                  <c:v>December</c:v>
                </c:pt>
                <c:pt idx="2">
                  <c:v>January</c:v>
                </c:pt>
                <c:pt idx="3">
                  <c:v>February</c:v>
                </c:pt>
              </c:strCache>
            </c:strRef>
          </c:cat>
          <c:val>
            <c:numRef>
              <c:f>Sheet6!$E$115:$H$115</c:f>
              <c:numCache>
                <c:formatCode>General</c:formatCode>
                <c:ptCount val="4"/>
                <c:pt idx="0">
                  <c:v>5.01</c:v>
                </c:pt>
                <c:pt idx="1">
                  <c:v>5.98</c:v>
                </c:pt>
                <c:pt idx="2">
                  <c:v>5.8199999999999985</c:v>
                </c:pt>
                <c:pt idx="3">
                  <c:v>3.7800000000000002</c:v>
                </c:pt>
              </c:numCache>
            </c:numRef>
          </c:val>
          <c:extLst>
            <c:ext xmlns:c16="http://schemas.microsoft.com/office/drawing/2014/chart" uri="{C3380CC4-5D6E-409C-BE32-E72D297353CC}">
              <c16:uniqueId val="{00000002-BDB4-4BEA-AB03-2338294B7A2A}"/>
            </c:ext>
          </c:extLst>
        </c:ser>
        <c:ser>
          <c:idx val="3"/>
          <c:order val="3"/>
          <c:tx>
            <c:strRef>
              <c:f>Sheet6!$D$116</c:f>
              <c:strCache>
                <c:ptCount val="1"/>
                <c:pt idx="0">
                  <c:v>NFZ-1</c:v>
                </c:pt>
              </c:strCache>
            </c:strRef>
          </c:tx>
          <c:invertIfNegative val="0"/>
          <c:cat>
            <c:strRef>
              <c:f>Sheet6!$E$112:$H$112</c:f>
              <c:strCache>
                <c:ptCount val="4"/>
                <c:pt idx="0">
                  <c:v>November</c:v>
                </c:pt>
                <c:pt idx="1">
                  <c:v>December</c:v>
                </c:pt>
                <c:pt idx="2">
                  <c:v>January</c:v>
                </c:pt>
                <c:pt idx="3">
                  <c:v>February</c:v>
                </c:pt>
              </c:strCache>
            </c:strRef>
          </c:cat>
          <c:val>
            <c:numRef>
              <c:f>Sheet6!$E$116:$H$116</c:f>
              <c:numCache>
                <c:formatCode>General</c:formatCode>
                <c:ptCount val="4"/>
                <c:pt idx="0">
                  <c:v>4.3099999999999996</c:v>
                </c:pt>
                <c:pt idx="1">
                  <c:v>4.72</c:v>
                </c:pt>
                <c:pt idx="2">
                  <c:v>5.08</c:v>
                </c:pt>
                <c:pt idx="3">
                  <c:v>3.66</c:v>
                </c:pt>
              </c:numCache>
            </c:numRef>
          </c:val>
          <c:extLst>
            <c:ext xmlns:c16="http://schemas.microsoft.com/office/drawing/2014/chart" uri="{C3380CC4-5D6E-409C-BE32-E72D297353CC}">
              <c16:uniqueId val="{00000003-BDB4-4BEA-AB03-2338294B7A2A}"/>
            </c:ext>
          </c:extLst>
        </c:ser>
        <c:ser>
          <c:idx val="4"/>
          <c:order val="4"/>
          <c:tx>
            <c:strRef>
              <c:f>Sheet6!$D$117</c:f>
              <c:strCache>
                <c:ptCount val="1"/>
                <c:pt idx="0">
                  <c:v>NFZ-2</c:v>
                </c:pt>
              </c:strCache>
            </c:strRef>
          </c:tx>
          <c:invertIfNegative val="0"/>
          <c:cat>
            <c:strRef>
              <c:f>Sheet6!$E$112:$H$112</c:f>
              <c:strCache>
                <c:ptCount val="4"/>
                <c:pt idx="0">
                  <c:v>November</c:v>
                </c:pt>
                <c:pt idx="1">
                  <c:v>December</c:v>
                </c:pt>
                <c:pt idx="2">
                  <c:v>January</c:v>
                </c:pt>
                <c:pt idx="3">
                  <c:v>February</c:v>
                </c:pt>
              </c:strCache>
            </c:strRef>
          </c:cat>
          <c:val>
            <c:numRef>
              <c:f>Sheet6!$E$117:$H$117</c:f>
              <c:numCache>
                <c:formatCode>General</c:formatCode>
                <c:ptCount val="4"/>
                <c:pt idx="0">
                  <c:v>4.9800000000000004</c:v>
                </c:pt>
                <c:pt idx="1">
                  <c:v>5.25</c:v>
                </c:pt>
                <c:pt idx="2">
                  <c:v>4.51</c:v>
                </c:pt>
                <c:pt idx="3">
                  <c:v>3.72</c:v>
                </c:pt>
              </c:numCache>
            </c:numRef>
          </c:val>
          <c:extLst>
            <c:ext xmlns:c16="http://schemas.microsoft.com/office/drawing/2014/chart" uri="{C3380CC4-5D6E-409C-BE32-E72D297353CC}">
              <c16:uniqueId val="{00000004-BDB4-4BEA-AB03-2338294B7A2A}"/>
            </c:ext>
          </c:extLst>
        </c:ser>
        <c:ser>
          <c:idx val="5"/>
          <c:order val="5"/>
          <c:tx>
            <c:strRef>
              <c:f>Sheet6!$D$118</c:f>
              <c:strCache>
                <c:ptCount val="1"/>
                <c:pt idx="0">
                  <c:v>NFZ-3</c:v>
                </c:pt>
              </c:strCache>
            </c:strRef>
          </c:tx>
          <c:invertIfNegative val="0"/>
          <c:cat>
            <c:strRef>
              <c:f>Sheet6!$E$112:$H$112</c:f>
              <c:strCache>
                <c:ptCount val="4"/>
                <c:pt idx="0">
                  <c:v>November</c:v>
                </c:pt>
                <c:pt idx="1">
                  <c:v>December</c:v>
                </c:pt>
                <c:pt idx="2">
                  <c:v>January</c:v>
                </c:pt>
                <c:pt idx="3">
                  <c:v>February</c:v>
                </c:pt>
              </c:strCache>
            </c:strRef>
          </c:cat>
          <c:val>
            <c:numRef>
              <c:f>Sheet6!$E$118:$H$118</c:f>
              <c:numCache>
                <c:formatCode>General</c:formatCode>
                <c:ptCount val="4"/>
                <c:pt idx="0">
                  <c:v>4.72</c:v>
                </c:pt>
                <c:pt idx="1">
                  <c:v>4.5599999999999996</c:v>
                </c:pt>
                <c:pt idx="2">
                  <c:v>5.42</c:v>
                </c:pt>
                <c:pt idx="3">
                  <c:v>3.25</c:v>
                </c:pt>
              </c:numCache>
            </c:numRef>
          </c:val>
          <c:extLst>
            <c:ext xmlns:c16="http://schemas.microsoft.com/office/drawing/2014/chart" uri="{C3380CC4-5D6E-409C-BE32-E72D297353CC}">
              <c16:uniqueId val="{00000005-BDB4-4BEA-AB03-2338294B7A2A}"/>
            </c:ext>
          </c:extLst>
        </c:ser>
        <c:dLbls>
          <c:showLegendKey val="0"/>
          <c:showVal val="0"/>
          <c:showCatName val="0"/>
          <c:showSerName val="0"/>
          <c:showPercent val="0"/>
          <c:showBubbleSize val="0"/>
        </c:dLbls>
        <c:gapWidth val="150"/>
        <c:axId val="83990016"/>
        <c:axId val="83991552"/>
      </c:barChart>
      <c:catAx>
        <c:axId val="83990016"/>
        <c:scaling>
          <c:orientation val="minMax"/>
        </c:scaling>
        <c:delete val="0"/>
        <c:axPos val="b"/>
        <c:numFmt formatCode="General" sourceLinked="0"/>
        <c:majorTickMark val="out"/>
        <c:minorTickMark val="none"/>
        <c:tickLblPos val="nextTo"/>
        <c:crossAx val="83991552"/>
        <c:crosses val="autoZero"/>
        <c:auto val="1"/>
        <c:lblAlgn val="ctr"/>
        <c:lblOffset val="100"/>
        <c:noMultiLvlLbl val="0"/>
      </c:catAx>
      <c:valAx>
        <c:axId val="83991552"/>
        <c:scaling>
          <c:orientation val="minMax"/>
          <c:max val="6.5"/>
          <c:min val="3"/>
        </c:scaling>
        <c:delete val="0"/>
        <c:axPos val="l"/>
        <c:title>
          <c:tx>
            <c:rich>
              <a:bodyPr rot="-5400000" vert="horz"/>
              <a:lstStyle/>
              <a:p>
                <a:pPr>
                  <a:defRPr/>
                </a:pPr>
                <a:r>
                  <a:rPr lang="en-US"/>
                  <a:t>Silicate (mg/l)</a:t>
                </a:r>
              </a:p>
            </c:rich>
          </c:tx>
          <c:layout>
            <c:manualLayout>
              <c:xMode val="edge"/>
              <c:yMode val="edge"/>
              <c:x val="2.6622658304627744E-2"/>
              <c:y val="0.21128505181911575"/>
            </c:manualLayout>
          </c:layout>
          <c:overlay val="0"/>
        </c:title>
        <c:numFmt formatCode="General" sourceLinked="1"/>
        <c:majorTickMark val="out"/>
        <c:minorTickMark val="none"/>
        <c:tickLblPos val="nextTo"/>
        <c:crossAx val="8399001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4429-4F27-47BD-87D4-E88306B6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4132</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CODING STUDIO</dc:creator>
  <cp:lastModifiedBy>SDI CPU 1117</cp:lastModifiedBy>
  <cp:revision>30</cp:revision>
  <dcterms:created xsi:type="dcterms:W3CDTF">2026-06-10T10:57:00Z</dcterms:created>
  <dcterms:modified xsi:type="dcterms:W3CDTF">2026-06-16T10:20:00Z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dabd8851-4e47-4299-843b-ff65d9a062f2</vt:lpwstr>
  </property>
</Properties>
</file>