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80DA" w14:textId="19F9ACA4" w:rsidR="008B6843" w:rsidRPr="008B6843" w:rsidRDefault="008B6843" w:rsidP="008B6843">
      <w:pPr>
        <w:rPr>
          <w:rFonts w:ascii="Arial" w:hAnsi="Arial" w:cs="Arial"/>
          <w:b/>
          <w:bCs/>
          <w:sz w:val="36"/>
          <w:szCs w:val="36"/>
          <w:u w:val="single"/>
        </w:rPr>
      </w:pPr>
      <w:r w:rsidRPr="008B6843">
        <w:rPr>
          <w:rFonts w:ascii="Arial" w:hAnsi="Arial" w:cs="Arial"/>
          <w:b/>
          <w:bCs/>
          <w:sz w:val="36"/>
          <w:szCs w:val="36"/>
          <w:u w:val="single"/>
        </w:rPr>
        <w:t>Original Research Article</w:t>
      </w:r>
    </w:p>
    <w:p w14:paraId="1D15C2D0" w14:textId="77777777" w:rsidR="008B6843" w:rsidRDefault="008B6843" w:rsidP="006B344A">
      <w:pPr>
        <w:jc w:val="right"/>
        <w:rPr>
          <w:rFonts w:ascii="Arial" w:hAnsi="Arial" w:cs="Arial"/>
          <w:b/>
          <w:bCs/>
          <w:sz w:val="36"/>
          <w:szCs w:val="36"/>
        </w:rPr>
      </w:pPr>
    </w:p>
    <w:p w14:paraId="4AAEC418" w14:textId="703ADBF9" w:rsidR="006B344A" w:rsidRPr="006B344A" w:rsidRDefault="006B344A" w:rsidP="006B344A">
      <w:pPr>
        <w:jc w:val="right"/>
        <w:rPr>
          <w:rFonts w:ascii="Arial" w:hAnsi="Arial" w:cs="Arial"/>
          <w:b/>
          <w:bCs/>
          <w:sz w:val="36"/>
          <w:szCs w:val="36"/>
        </w:rPr>
      </w:pPr>
      <w:r w:rsidRPr="006B344A">
        <w:rPr>
          <w:rFonts w:ascii="Arial" w:hAnsi="Arial" w:cs="Arial"/>
          <w:b/>
          <w:bCs/>
          <w:sz w:val="36"/>
          <w:szCs w:val="36"/>
        </w:rPr>
        <w:t xml:space="preserve">To investigate the zooplankton density and abundance with that of water quality parameters and phytoplankton in the active fishing zones and non-active fishing zones of Kollam, </w:t>
      </w:r>
      <w:proofErr w:type="spellStart"/>
      <w:r w:rsidRPr="006B344A">
        <w:rPr>
          <w:rFonts w:ascii="Arial" w:hAnsi="Arial" w:cs="Arial"/>
          <w:b/>
          <w:bCs/>
          <w:sz w:val="36"/>
          <w:szCs w:val="36"/>
        </w:rPr>
        <w:t>Keralam</w:t>
      </w:r>
      <w:proofErr w:type="spellEnd"/>
      <w:r w:rsidRPr="006B344A">
        <w:rPr>
          <w:rFonts w:ascii="Arial" w:hAnsi="Arial" w:cs="Arial"/>
          <w:b/>
          <w:bCs/>
          <w:sz w:val="36"/>
          <w:szCs w:val="36"/>
        </w:rPr>
        <w:t>, India</w:t>
      </w:r>
    </w:p>
    <w:p w14:paraId="42748177" w14:textId="77777777" w:rsidR="00091242" w:rsidRDefault="00091242" w:rsidP="006B344A">
      <w:pPr>
        <w:jc w:val="right"/>
        <w:rPr>
          <w:rFonts w:ascii="Arial" w:hAnsi="Arial" w:cs="Arial"/>
          <w:b/>
          <w:bCs/>
        </w:rPr>
      </w:pPr>
    </w:p>
    <w:p w14:paraId="71DA0C3C" w14:textId="77777777" w:rsidR="00091242" w:rsidRDefault="00091242" w:rsidP="006B344A">
      <w:pPr>
        <w:jc w:val="right"/>
        <w:rPr>
          <w:rFonts w:ascii="Arial" w:hAnsi="Arial" w:cs="Arial"/>
          <w:b/>
          <w:bCs/>
        </w:rPr>
      </w:pPr>
    </w:p>
    <w:p w14:paraId="2DD6A913" w14:textId="0A97851B" w:rsidR="006B344A" w:rsidRPr="006B344A" w:rsidRDefault="00000000" w:rsidP="006B344A">
      <w:pPr>
        <w:jc w:val="right"/>
        <w:rPr>
          <w:rFonts w:ascii="Arial" w:hAnsi="Arial" w:cs="Arial"/>
          <w:i/>
          <w:iCs/>
          <w:sz w:val="16"/>
          <w:szCs w:val="16"/>
        </w:rPr>
      </w:pPr>
      <w:r>
        <w:rPr>
          <w:rFonts w:ascii="Arial" w:hAnsi="Arial" w:cs="Arial"/>
        </w:rPr>
      </w:r>
      <w:r>
        <w:rPr>
          <w:rFonts w:ascii="Arial" w:hAnsi="Arial" w:cs="Arial"/>
        </w:rPr>
        <w:pict w14:anchorId="0857E4D3">
          <v:shapetype id="_x0000_t32" coordsize="21600,21600" o:spt="32" o:oned="t" path="m,l21600,21600e" filled="f">
            <v:path arrowok="t" fillok="f" o:connecttype="none"/>
            <o:lock v:ext="edit" shapetype="t"/>
          </v:shapetype>
          <v:shape id="_x0000_s2051" type="#_x0000_t32" style="width:465.75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F2108FC" w14:textId="77777777" w:rsidR="006B344A" w:rsidRPr="006B344A" w:rsidRDefault="006B344A" w:rsidP="006B344A">
      <w:pPr>
        <w:rPr>
          <w:rFonts w:ascii="Arial" w:hAnsi="Arial" w:cs="Arial"/>
          <w:b/>
          <w:bCs/>
          <w:sz w:val="22"/>
          <w:szCs w:val="22"/>
        </w:rPr>
      </w:pPr>
      <w:r w:rsidRPr="006B344A">
        <w:rPr>
          <w:rFonts w:ascii="Arial" w:hAnsi="Arial" w:cs="Arial"/>
          <w:b/>
          <w:bCs/>
          <w:sz w:val="22"/>
          <w:szCs w:val="22"/>
        </w:rPr>
        <w:t>ABSTRACT</w:t>
      </w:r>
    </w:p>
    <w:p w14:paraId="51625F2C" w14:textId="77777777" w:rsidR="006B344A" w:rsidRPr="006B344A" w:rsidRDefault="00000000" w:rsidP="006B344A">
      <w:pPr>
        <w:jc w:val="both"/>
        <w:rPr>
          <w:rFonts w:ascii="Arial" w:hAnsi="Arial" w:cs="Arial"/>
          <w:sz w:val="20"/>
          <w:szCs w:val="20"/>
        </w:rPr>
      </w:pPr>
      <w:r>
        <w:rPr>
          <w:rFonts w:ascii="Arial" w:hAnsi="Arial" w:cs="Arial"/>
          <w:b/>
          <w:bCs/>
          <w:noProof/>
          <w:sz w:val="22"/>
          <w:szCs w:val="22"/>
          <w:lang w:val="en-US"/>
        </w:rPr>
        <w:pict w14:anchorId="2EF22D53">
          <v:rect id="_x0000_s2050" style="position:absolute;left:0;text-align:left;margin-left:-2.5pt;margin-top:.3pt;width:469pt;height:230.35pt;z-index:251658240">
            <v:textbox style="mso-next-textbox:#_x0000_s2050">
              <w:txbxContent>
                <w:p w14:paraId="42AACACA" w14:textId="77777777" w:rsidR="006B344A" w:rsidRPr="006B344A" w:rsidRDefault="006B344A" w:rsidP="006B344A">
                  <w:pPr>
                    <w:pBdr>
                      <w:between w:val="single" w:sz="4" w:space="1" w:color="auto"/>
                    </w:pBdr>
                    <w:jc w:val="both"/>
                    <w:rPr>
                      <w:rFonts w:ascii="Arial" w:hAnsi="Arial" w:cs="Arial"/>
                      <w:sz w:val="20"/>
                      <w:szCs w:val="20"/>
                      <w:lang w:val="en-GB"/>
                    </w:rPr>
                  </w:pPr>
                  <w:r w:rsidRPr="006B344A">
                    <w:rPr>
                      <w:rFonts w:ascii="Arial" w:hAnsi="Arial" w:cs="Arial"/>
                      <w:sz w:val="20"/>
                      <w:szCs w:val="20"/>
                      <w:lang w:val="en-GB"/>
                    </w:rPr>
                    <w:t>This study investigated the zooplankton density and abundance with that of water quality parameters and phytoplankton in the active fishing zones and non-active fishing zones that stretched across the near shore, coastal and open waters off Kollam. Hydrographic parameters such as temperature, salinity, dissolved oxygen, pH and major nutrients such as ammonia, nitrate, nitrite, phosphate and silicate were analysed and was correlated with phytoplankton abundance and zooplankton abundance separately for the fishing zone (FZ) and Non-Fishing Zone (NFZ). Zooplankton abundance ranged from 422 to 503 ind. m</w:t>
                  </w:r>
                  <w:r w:rsidRPr="006B344A">
                    <w:rPr>
                      <w:rFonts w:ascii="Arial" w:hAnsi="Cambria Math" w:cs="Arial"/>
                      <w:sz w:val="20"/>
                      <w:szCs w:val="20"/>
                      <w:lang w:val="en-GB"/>
                    </w:rPr>
                    <w:t>⁻</w:t>
                  </w:r>
                  <w:r w:rsidRPr="006B344A">
                    <w:rPr>
                      <w:rFonts w:ascii="Arial" w:hAnsi="Arial" w:cs="Arial"/>
                      <w:sz w:val="20"/>
                      <w:szCs w:val="20"/>
                      <w:lang w:val="en-GB"/>
                    </w:rPr>
                    <w:t>³, with maximum abundance recorded in FZ-1 during November. A total of 53 zooplankton taxa were identified, dominated primarily by Copepods (35 species), followed by Decapod larvae, Amphipods, Isopods, Ostracods, Chaetognaths, Molluscan larvae, Tintinnids, Appendicularia’s,</w:t>
                  </w:r>
                  <w:r>
                    <w:rPr>
                      <w:rFonts w:ascii="Arial" w:hAnsi="Arial" w:cs="Arial"/>
                      <w:sz w:val="20"/>
                      <w:szCs w:val="20"/>
                      <w:lang w:val="en-GB"/>
                    </w:rPr>
                    <w:t xml:space="preserve"> and fish eggs and larvae.</w:t>
                  </w:r>
                  <w:r w:rsidRPr="006B344A">
                    <w:rPr>
                      <w:rFonts w:ascii="Arial" w:hAnsi="Arial" w:cs="Arial"/>
                      <w:sz w:val="20"/>
                      <w:szCs w:val="20"/>
                      <w:lang w:val="en-GB"/>
                    </w:rPr>
                    <w:t xml:space="preserve"> The observed variations in zooplankton assemblages were closely associated with fluctuations in hydrographic and nutrient parameters.</w:t>
                  </w:r>
                </w:p>
                <w:p w14:paraId="2D328D49" w14:textId="77777777" w:rsidR="006B344A" w:rsidRPr="006B344A" w:rsidRDefault="006B344A" w:rsidP="006B344A">
                  <w:pPr>
                    <w:jc w:val="both"/>
                    <w:rPr>
                      <w:rFonts w:ascii="Arial" w:hAnsi="Arial" w:cs="Arial"/>
                      <w:sz w:val="20"/>
                      <w:szCs w:val="20"/>
                      <w:lang w:val="en-GB"/>
                    </w:rPr>
                  </w:pPr>
                  <w:r w:rsidRPr="006B344A">
                    <w:rPr>
                      <w:rFonts w:ascii="Arial" w:hAnsi="Arial" w:cs="Arial"/>
                      <w:sz w:val="20"/>
                      <w:szCs w:val="20"/>
                      <w:lang w:val="en-GB"/>
                    </w:rPr>
                    <w:t>The present investigation will certainly stand as a launch pad for advanced investigation in future by incorporating monitoring of more oceanographic data with that of biogeochemistry so as to arrive a realistic picture about the role of plankton on fish assemblages within the same habitat and emphasize the importance of zooplankton as bio-indicators for ecosystem-based fisheries management and long-term marine environmental monitoring.</w:t>
                  </w:r>
                </w:p>
                <w:p w14:paraId="07630490" w14:textId="77777777" w:rsidR="006B344A" w:rsidRDefault="006B344A" w:rsidP="006B344A">
                  <w:pPr>
                    <w:jc w:val="both"/>
                    <w:rPr>
                      <w:rFonts w:ascii="Arial" w:hAnsi="Arial" w:cs="Arial"/>
                      <w:sz w:val="22"/>
                      <w:szCs w:val="22"/>
                      <w:lang w:val="en-GB"/>
                    </w:rPr>
                  </w:pPr>
                </w:p>
                <w:p w14:paraId="7CB2B005" w14:textId="77777777" w:rsidR="006B344A" w:rsidRDefault="006B344A" w:rsidP="006B344A">
                  <w:pPr>
                    <w:jc w:val="both"/>
                    <w:rPr>
                      <w:rFonts w:ascii="Arial" w:hAnsi="Arial" w:cs="Arial"/>
                      <w:sz w:val="22"/>
                      <w:szCs w:val="22"/>
                      <w:lang w:val="en-GB"/>
                    </w:rPr>
                  </w:pPr>
                </w:p>
                <w:p w14:paraId="6E17BA5B" w14:textId="77777777" w:rsidR="006B344A" w:rsidRDefault="006B344A" w:rsidP="006B344A">
                  <w:pPr>
                    <w:jc w:val="both"/>
                    <w:rPr>
                      <w:rFonts w:ascii="Arial" w:hAnsi="Arial" w:cs="Arial"/>
                      <w:sz w:val="22"/>
                      <w:szCs w:val="22"/>
                      <w:lang w:val="en-GB"/>
                    </w:rPr>
                  </w:pPr>
                </w:p>
                <w:p w14:paraId="1F552FB8" w14:textId="77777777" w:rsidR="006B344A" w:rsidRPr="00BA17AB" w:rsidRDefault="006B344A" w:rsidP="006B344A">
                  <w:pPr>
                    <w:jc w:val="both"/>
                    <w:rPr>
                      <w:rFonts w:ascii="Arial" w:hAnsi="Arial" w:cs="Arial"/>
                      <w:sz w:val="22"/>
                      <w:szCs w:val="22"/>
                      <w:lang w:val="en-GB"/>
                    </w:rPr>
                  </w:pPr>
                </w:p>
                <w:p w14:paraId="221466A9" w14:textId="77777777" w:rsidR="006B344A" w:rsidRDefault="006B344A" w:rsidP="006B344A">
                  <w:pPr>
                    <w:jc w:val="both"/>
                  </w:pPr>
                </w:p>
              </w:txbxContent>
            </v:textbox>
          </v:rect>
        </w:pict>
      </w:r>
    </w:p>
    <w:p w14:paraId="45E9FA98" w14:textId="77777777" w:rsidR="006B344A" w:rsidRPr="006B344A" w:rsidRDefault="006B344A" w:rsidP="006B344A">
      <w:pPr>
        <w:jc w:val="both"/>
        <w:rPr>
          <w:rFonts w:ascii="Arial" w:hAnsi="Arial" w:cs="Arial"/>
          <w:sz w:val="20"/>
          <w:szCs w:val="20"/>
        </w:rPr>
      </w:pPr>
    </w:p>
    <w:p w14:paraId="3C3F6A5E" w14:textId="77777777" w:rsidR="006B344A" w:rsidRPr="006B344A" w:rsidRDefault="006B344A" w:rsidP="006B344A">
      <w:pPr>
        <w:jc w:val="both"/>
        <w:rPr>
          <w:rFonts w:ascii="Arial" w:hAnsi="Arial" w:cs="Arial"/>
          <w:sz w:val="20"/>
          <w:szCs w:val="20"/>
        </w:rPr>
      </w:pPr>
    </w:p>
    <w:p w14:paraId="67E0671F" w14:textId="77777777" w:rsidR="006B344A" w:rsidRPr="006B344A" w:rsidRDefault="006B344A" w:rsidP="006B344A">
      <w:pPr>
        <w:jc w:val="both"/>
        <w:rPr>
          <w:rFonts w:ascii="Arial" w:hAnsi="Arial" w:cs="Arial"/>
          <w:sz w:val="20"/>
          <w:szCs w:val="20"/>
        </w:rPr>
      </w:pPr>
    </w:p>
    <w:p w14:paraId="26E0FB56" w14:textId="77777777" w:rsidR="006B344A" w:rsidRPr="006B344A" w:rsidRDefault="006B344A" w:rsidP="006B344A">
      <w:pPr>
        <w:jc w:val="both"/>
        <w:rPr>
          <w:rFonts w:ascii="Arial" w:hAnsi="Arial" w:cs="Arial"/>
          <w:sz w:val="20"/>
          <w:szCs w:val="20"/>
        </w:rPr>
      </w:pPr>
    </w:p>
    <w:p w14:paraId="2016DB60" w14:textId="77777777" w:rsidR="006B344A" w:rsidRPr="006B344A" w:rsidRDefault="006B344A" w:rsidP="006B344A">
      <w:pPr>
        <w:jc w:val="both"/>
        <w:rPr>
          <w:rFonts w:ascii="Arial" w:hAnsi="Arial" w:cs="Arial"/>
          <w:sz w:val="20"/>
          <w:szCs w:val="20"/>
        </w:rPr>
      </w:pPr>
    </w:p>
    <w:p w14:paraId="27EAB024" w14:textId="77777777" w:rsidR="006B344A" w:rsidRPr="006B344A" w:rsidRDefault="006B344A" w:rsidP="006B344A">
      <w:pPr>
        <w:jc w:val="both"/>
        <w:rPr>
          <w:rFonts w:ascii="Arial" w:hAnsi="Arial" w:cs="Arial"/>
          <w:sz w:val="20"/>
          <w:szCs w:val="20"/>
        </w:rPr>
      </w:pPr>
    </w:p>
    <w:p w14:paraId="71742CBE" w14:textId="77777777" w:rsidR="006B344A" w:rsidRPr="006B344A" w:rsidRDefault="006B344A" w:rsidP="006B344A">
      <w:pPr>
        <w:jc w:val="both"/>
        <w:rPr>
          <w:rFonts w:ascii="Arial" w:hAnsi="Arial" w:cs="Arial"/>
          <w:sz w:val="20"/>
          <w:szCs w:val="20"/>
        </w:rPr>
      </w:pPr>
    </w:p>
    <w:p w14:paraId="10E562CC" w14:textId="77777777" w:rsidR="006B344A" w:rsidRPr="006B344A" w:rsidRDefault="006B344A" w:rsidP="006B344A">
      <w:pPr>
        <w:jc w:val="both"/>
        <w:rPr>
          <w:rFonts w:ascii="Arial" w:hAnsi="Arial" w:cs="Arial"/>
          <w:sz w:val="20"/>
          <w:szCs w:val="20"/>
        </w:rPr>
      </w:pPr>
    </w:p>
    <w:p w14:paraId="4B0BE3A2" w14:textId="77777777" w:rsidR="006B344A" w:rsidRPr="006B344A" w:rsidRDefault="006B344A" w:rsidP="006B344A">
      <w:pPr>
        <w:jc w:val="both"/>
        <w:rPr>
          <w:rFonts w:ascii="Arial" w:hAnsi="Arial" w:cs="Arial"/>
          <w:sz w:val="20"/>
          <w:szCs w:val="20"/>
        </w:rPr>
      </w:pPr>
    </w:p>
    <w:p w14:paraId="2228882F" w14:textId="77777777" w:rsidR="006B344A" w:rsidRPr="006B344A" w:rsidRDefault="006B344A" w:rsidP="006B344A">
      <w:pPr>
        <w:jc w:val="both"/>
        <w:rPr>
          <w:rFonts w:ascii="Arial" w:hAnsi="Arial" w:cs="Arial"/>
          <w:sz w:val="20"/>
          <w:szCs w:val="20"/>
        </w:rPr>
      </w:pPr>
    </w:p>
    <w:p w14:paraId="07FD2DBF" w14:textId="77777777" w:rsidR="006B344A" w:rsidRPr="006B344A" w:rsidRDefault="006B344A" w:rsidP="006B344A">
      <w:pPr>
        <w:jc w:val="both"/>
        <w:rPr>
          <w:rFonts w:ascii="Arial" w:hAnsi="Arial" w:cs="Arial"/>
          <w:i/>
          <w:iCs/>
          <w:sz w:val="20"/>
          <w:szCs w:val="20"/>
        </w:rPr>
      </w:pPr>
      <w:r w:rsidRPr="006B344A">
        <w:rPr>
          <w:rFonts w:ascii="Arial" w:eastAsia="Arial" w:hAnsi="Arial" w:cs="Arial"/>
          <w:i/>
          <w:iCs/>
          <w:sz w:val="20"/>
          <w:szCs w:val="20"/>
        </w:rPr>
        <w:t>Keywords: zooplankton; fishing zone (FZ); non-fishing zone (NFZ); water quality parameters; abundance.</w:t>
      </w:r>
    </w:p>
    <w:p w14:paraId="16D0B47B" w14:textId="77777777" w:rsidR="006B344A" w:rsidRPr="006B344A" w:rsidRDefault="006B344A" w:rsidP="006B344A">
      <w:pPr>
        <w:rPr>
          <w:rFonts w:ascii="Arial" w:eastAsia="Arial" w:hAnsi="Arial" w:cs="Arial"/>
          <w:b/>
          <w:bCs/>
          <w:sz w:val="22"/>
          <w:szCs w:val="22"/>
        </w:rPr>
      </w:pPr>
      <w:r w:rsidRPr="006B344A">
        <w:rPr>
          <w:rFonts w:ascii="Arial" w:eastAsia="Arial" w:hAnsi="Arial" w:cs="Arial"/>
          <w:b/>
          <w:bCs/>
          <w:sz w:val="22"/>
          <w:szCs w:val="22"/>
        </w:rPr>
        <w:t>1. INTRODUCTION</w:t>
      </w:r>
    </w:p>
    <w:p w14:paraId="5FA8A015"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Zooplanktons are a major biotic component of marine pelagic ecosystems and contribute substantially to trophic energy transfer, nutrient regeneration, and secondary productivity. As primary consumers, zooplankton mediate the transfer of energy from phytoplankton to higher trophic levels, thereby playing a pivotal role in the sustenance of marine fishery resources.</w:t>
      </w:r>
    </w:p>
    <w:p w14:paraId="631237D1"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Environmental factors such as light intensity, temperature, pH, salinity, dissolved oxygen level, nutrient levels, food availability and their variations, and predation affect the diversity and population dynamics of zooplankton to a greater extent (Horne et al., 1994; Greenwood et al., 2001).</w:t>
      </w:r>
    </w:p>
    <w:p w14:paraId="4CF4463C"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 xml:space="preserve">Investigations often concentrate on a particular group or individual species within a trophic level, while </w:t>
      </w:r>
      <w:proofErr w:type="spellStart"/>
      <w:r w:rsidRPr="006B344A">
        <w:rPr>
          <w:rFonts w:ascii="Arial" w:eastAsia="Arial" w:hAnsi="Arial" w:cs="Arial"/>
          <w:sz w:val="20"/>
          <w:szCs w:val="20"/>
        </w:rPr>
        <w:t>tropho</w:t>
      </w:r>
      <w:proofErr w:type="spellEnd"/>
      <w:r w:rsidRPr="006B344A">
        <w:rPr>
          <w:rFonts w:ascii="Arial" w:eastAsia="Arial" w:hAnsi="Arial" w:cs="Arial"/>
          <w:sz w:val="20"/>
          <w:szCs w:val="20"/>
        </w:rPr>
        <w:t xml:space="preserve">-dynamic field studies typically employ either a bottom-up approach concentrating on the phytoplankton community or a top-down approach concentrating on the fish community (Mitra et al., </w:t>
      </w:r>
      <w:r w:rsidRPr="006B344A">
        <w:rPr>
          <w:rFonts w:ascii="Arial" w:eastAsia="Arial" w:hAnsi="Arial" w:cs="Arial"/>
          <w:sz w:val="20"/>
          <w:szCs w:val="20"/>
        </w:rPr>
        <w:lastRenderedPageBreak/>
        <w:t xml:space="preserve">2014). Fish production is influenced mainly by biological factors, especially phytoplankton and zooplankton abundance coupled with the microbial loop, which are controlled by </w:t>
      </w:r>
      <w:proofErr w:type="spellStart"/>
      <w:r w:rsidRPr="006B344A">
        <w:rPr>
          <w:rFonts w:ascii="Arial" w:eastAsia="Arial" w:hAnsi="Arial" w:cs="Arial"/>
          <w:sz w:val="20"/>
          <w:szCs w:val="20"/>
        </w:rPr>
        <w:t>physico</w:t>
      </w:r>
      <w:proofErr w:type="spellEnd"/>
      <w:r w:rsidRPr="006B344A">
        <w:rPr>
          <w:rFonts w:ascii="Arial" w:eastAsia="Arial" w:hAnsi="Arial" w:cs="Arial"/>
          <w:sz w:val="20"/>
          <w:szCs w:val="20"/>
        </w:rPr>
        <w:t>-chemical factors (</w:t>
      </w:r>
      <w:proofErr w:type="spellStart"/>
      <w:r w:rsidRPr="006B344A">
        <w:rPr>
          <w:rFonts w:ascii="Arial" w:eastAsia="Arial" w:hAnsi="Arial" w:cs="Arial"/>
          <w:sz w:val="20"/>
          <w:szCs w:val="20"/>
        </w:rPr>
        <w:t>Viadero</w:t>
      </w:r>
      <w:proofErr w:type="spellEnd"/>
      <w:r w:rsidRPr="006B344A">
        <w:rPr>
          <w:rFonts w:ascii="Arial" w:eastAsia="Arial" w:hAnsi="Arial" w:cs="Arial"/>
          <w:sz w:val="20"/>
          <w:szCs w:val="20"/>
        </w:rPr>
        <w:t>, 2004). Tiwari et al. (1993) stipulated that zooplankton are necessary to assess the fishery resource potential of a habitat or niche and could be used as a tool to estimate the exploitable fish stock of an area (</w:t>
      </w:r>
      <w:proofErr w:type="spellStart"/>
      <w:r w:rsidRPr="006B344A">
        <w:rPr>
          <w:rFonts w:ascii="Arial" w:eastAsia="Arial" w:hAnsi="Arial" w:cs="Arial"/>
          <w:sz w:val="20"/>
          <w:szCs w:val="20"/>
        </w:rPr>
        <w:t>Shivhare</w:t>
      </w:r>
      <w:proofErr w:type="spellEnd"/>
      <w:r w:rsidRPr="006B344A">
        <w:rPr>
          <w:rFonts w:ascii="Arial" w:eastAsia="Arial" w:hAnsi="Arial" w:cs="Arial"/>
          <w:sz w:val="20"/>
          <w:szCs w:val="20"/>
        </w:rPr>
        <w:t xml:space="preserve"> &amp; Saxena, 2024).</w:t>
      </w:r>
    </w:p>
    <w:p w14:paraId="5237488F"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The 21</w:t>
      </w:r>
      <w:r w:rsidRPr="006B344A">
        <w:rPr>
          <w:rFonts w:ascii="Arial" w:eastAsia="Arial" w:hAnsi="Arial" w:cs="Arial"/>
          <w:sz w:val="20"/>
          <w:szCs w:val="20"/>
          <w:vertAlign w:val="superscript"/>
        </w:rPr>
        <w:t>st</w:t>
      </w:r>
      <w:r w:rsidRPr="006B344A">
        <w:rPr>
          <w:rFonts w:ascii="Arial" w:eastAsia="Arial" w:hAnsi="Arial" w:cs="Arial"/>
          <w:sz w:val="20"/>
          <w:szCs w:val="20"/>
        </w:rPr>
        <w:t xml:space="preserve"> century has ushered in a new era in fisheries management, in which the prevalent terminology is the ecosystem approach to fisheries (Marshall et al., 2017). Migration and congregations of fish schools of small pelagic fish, such as sardines, mackerel, and anchovies, in certain niche areas are dynamic in marine ecosystems and are subjected to various hypotheses that are yet to be concluded with concrete evidence. Localized oceanic physical processes, coupled with multiple parameters such as primary productivity, the microbial loop, sea surface temperature (SST), thermal fronts, eddies, and upwelling, play a crucial role in the sustenance of fish schools in a particular place, which warrants detailed investigations. The reasons for the aggregation of fish schools in certain regions within the same habitat must be dealt with through thorough investigations, which will be of immense help in ecosystem-based fisheries management.</w:t>
      </w:r>
    </w:p>
    <w:p w14:paraId="2DE76AD8"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 xml:space="preserve">In this prelude, an attempt has been made in the present study to unravel the role of water quality parameters and phytoplankton and how they affect the density, distribution, and composition of zooplankton in areas of active fishing zones and non-fishing zones of Kollam waters, on the southwest coast of India. </w:t>
      </w:r>
    </w:p>
    <w:p w14:paraId="21FAB298" w14:textId="77777777" w:rsidR="006B344A" w:rsidRPr="006B344A" w:rsidRDefault="006B344A" w:rsidP="006B344A">
      <w:pPr>
        <w:pStyle w:val="NoSpacing"/>
        <w:jc w:val="both"/>
        <w:rPr>
          <w:rFonts w:ascii="Arial" w:hAnsi="Arial" w:cs="Arial"/>
        </w:rPr>
      </w:pPr>
    </w:p>
    <w:p w14:paraId="29A227B1" w14:textId="77777777" w:rsidR="006B344A" w:rsidRPr="006B344A" w:rsidRDefault="006B344A" w:rsidP="006B344A">
      <w:pPr>
        <w:jc w:val="both"/>
        <w:rPr>
          <w:rFonts w:ascii="Arial" w:hAnsi="Arial" w:cs="Arial"/>
          <w:b/>
          <w:bCs/>
          <w:sz w:val="22"/>
          <w:szCs w:val="22"/>
        </w:rPr>
      </w:pPr>
      <w:r w:rsidRPr="006B344A">
        <w:rPr>
          <w:rFonts w:ascii="Arial" w:eastAsia="Arial" w:hAnsi="Arial" w:cs="Arial"/>
          <w:b/>
          <w:bCs/>
          <w:sz w:val="22"/>
          <w:szCs w:val="22"/>
        </w:rPr>
        <w:t xml:space="preserve">2. MATERIAL AND METHODS  </w:t>
      </w:r>
    </w:p>
    <w:p w14:paraId="4CD98D2A"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2.1 Study Area and Sampling Strategy</w:t>
      </w:r>
    </w:p>
    <w:p w14:paraId="51095242"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The present study was conducted in the near-shore, coastal, and open waters off Kollam, located along the southwest coast of India in the southeastern Arabian Sea. Sampling was performed monthly from November 2019 to February 2020. Although the study was originally designed to cover a continuous six-month period extending up to April 2020, subsequent sampling could not be undertaken because of restrictions imposed during the COVID-19 pandemic.</w:t>
      </w:r>
    </w:p>
    <w:p w14:paraId="6DA58B2F"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Sampling was carried out in the early morning hours (between 5AM and 8AM) in active fishing and non-fishing zones without disturbing the fishing activities.</w:t>
      </w:r>
    </w:p>
    <w:p w14:paraId="02D988C8"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2.2 Identification of Fishing Zones</w:t>
      </w:r>
    </w:p>
    <w:p w14:paraId="6E611A20"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Active fishing zones were identified based on the Indigenous Traditional Knowledge (ITK) of experienced local fishermen, in combination with acoustic observations obtained using a GPS-coupled fish finder (TF350 Plus). The area and location of active fishing zones keep changing throughout the day because of the dynamic nature of the ocean. Non-fishing zones were selected from adjacent coastal waters that lacked active fishing operations and visible fish shoals during the sampling period.</w:t>
      </w:r>
    </w:p>
    <w:p w14:paraId="1E3423AF"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2.3 Phytoplankton Collection and Analysis</w:t>
      </w:r>
    </w:p>
    <w:p w14:paraId="5149A3E6" w14:textId="77777777" w:rsidR="006B344A" w:rsidRDefault="006B344A" w:rsidP="006B344A">
      <w:pPr>
        <w:jc w:val="both"/>
        <w:rPr>
          <w:rFonts w:ascii="Arial" w:eastAsia="Arial" w:hAnsi="Arial" w:cs="Arial"/>
          <w:sz w:val="20"/>
          <w:szCs w:val="20"/>
        </w:rPr>
      </w:pPr>
      <w:r w:rsidRPr="006B344A">
        <w:rPr>
          <w:rFonts w:ascii="Arial" w:eastAsia="Arial" w:hAnsi="Arial" w:cs="Arial"/>
          <w:sz w:val="20"/>
          <w:szCs w:val="20"/>
        </w:rPr>
        <w:t>Phytoplankton samples were collected by filtering 1 L of surface seawater through a 20 µm bolting silk. Samples were preserved in 1% Lugol’s iodine and 3% neutralized formaldehyde solution. Qualitative and quantitative analyses were carried out using a Sedgwick–Rafter counting chamber under a Trinocular Microscope (LM 52-1803), at 10×, 20×, and 40× magnifications, following NIO (2004). Cell counts were performed in triplicate, and phytoplankton density was estimated using the following formula:</w:t>
      </w:r>
    </w:p>
    <w:p w14:paraId="112198A8" w14:textId="77777777" w:rsidR="006B344A" w:rsidRPr="006B344A" w:rsidRDefault="006B344A" w:rsidP="006B344A">
      <w:pPr>
        <w:jc w:val="both"/>
        <w:rPr>
          <w:rFonts w:ascii="Arial" w:hAnsi="Arial" w:cs="Arial"/>
          <w:sz w:val="18"/>
          <w:szCs w:val="18"/>
        </w:rPr>
      </w:pPr>
      <m:oMathPara>
        <m:oMath>
          <m:r>
            <m:rPr>
              <m:sty m:val="p"/>
            </m:rPr>
            <w:rPr>
              <w:rFonts w:ascii="Cambria Math" w:hAnsi="Arial" w:cs="Arial"/>
              <w:color w:val="000000" w:themeColor="text1"/>
              <w:sz w:val="20"/>
              <w:szCs w:val="20"/>
            </w:rPr>
            <m:t>N=</m:t>
          </m:r>
          <m:f>
            <m:fPr>
              <m:ctrlPr>
                <w:rPr>
                  <w:rFonts w:ascii="Cambria Math" w:hAnsi="Arial" w:cs="Arial"/>
                  <w:color w:val="000000" w:themeColor="text1"/>
                  <w:sz w:val="20"/>
                  <w:szCs w:val="20"/>
                </w:rPr>
              </m:ctrlPr>
            </m:fPr>
            <m:num>
              <m:r>
                <m:rPr>
                  <m:sty m:val="p"/>
                </m:rPr>
                <w:rPr>
                  <w:rFonts w:ascii="Cambria Math" w:hAnsi="Arial" w:cs="Arial"/>
                  <w:color w:val="000000" w:themeColor="text1"/>
                  <w:sz w:val="20"/>
                  <w:szCs w:val="20"/>
                </w:rPr>
                <m:t>n</m:t>
              </m:r>
              <m:r>
                <m:rPr>
                  <m:sty m:val="p"/>
                </m:rPr>
                <w:rPr>
                  <w:rFonts w:ascii="Arial" w:hAnsi="Arial" w:cs="Arial"/>
                  <w:color w:val="000000" w:themeColor="text1"/>
                  <w:sz w:val="20"/>
                  <w:szCs w:val="20"/>
                </w:rPr>
                <m:t>×</m:t>
              </m:r>
              <m:r>
                <m:rPr>
                  <m:sty m:val="p"/>
                </m:rPr>
                <w:rPr>
                  <w:rFonts w:ascii="Cambria Math" w:hAnsi="Arial" w:cs="Arial"/>
                  <w:color w:val="000000" w:themeColor="text1"/>
                  <w:sz w:val="20"/>
                  <w:szCs w:val="20"/>
                </w:rPr>
                <m:t>v</m:t>
              </m:r>
            </m:num>
            <m:den>
              <m:r>
                <m:rPr>
                  <m:sty m:val="p"/>
                </m:rPr>
                <w:rPr>
                  <w:rFonts w:ascii="Cambria Math" w:hAnsi="Arial" w:cs="Arial"/>
                  <w:color w:val="000000" w:themeColor="text1"/>
                  <w:sz w:val="20"/>
                  <w:szCs w:val="20"/>
                </w:rPr>
                <m:t>1000</m:t>
              </m:r>
            </m:den>
          </m:f>
        </m:oMath>
      </m:oMathPara>
    </w:p>
    <w:p w14:paraId="50EA204C"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lastRenderedPageBreak/>
        <w:t>Where N is the total phytoplankton abundance (cells L</w:t>
      </w:r>
      <w:r w:rsidRPr="006B344A">
        <w:rPr>
          <w:rFonts w:ascii="Arial" w:eastAsia="Arial" w:hAnsi="Cambria Math" w:cs="Arial"/>
          <w:sz w:val="20"/>
          <w:szCs w:val="20"/>
        </w:rPr>
        <w:t>⁻</w:t>
      </w:r>
      <w:r w:rsidRPr="006B344A">
        <w:rPr>
          <w:rFonts w:ascii="Arial" w:eastAsia="Arial" w:hAnsi="Arial" w:cs="Arial"/>
          <w:sz w:val="20"/>
          <w:szCs w:val="20"/>
        </w:rPr>
        <w:t>¹), n is the average cell count, v is the concentrate volume (mL), and V is the volume of water filtered (L).</w:t>
      </w:r>
    </w:p>
    <w:p w14:paraId="40E5F773"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2.4 Zooplankton Collection and Analysis</w:t>
      </w:r>
    </w:p>
    <w:p w14:paraId="5152C993" w14:textId="77777777" w:rsidR="006B344A" w:rsidRDefault="006B344A" w:rsidP="006B344A">
      <w:pPr>
        <w:jc w:val="both"/>
        <w:rPr>
          <w:rFonts w:ascii="Arial" w:eastAsia="Arial" w:hAnsi="Arial" w:cs="Arial"/>
          <w:sz w:val="20"/>
          <w:szCs w:val="20"/>
        </w:rPr>
      </w:pPr>
      <w:r w:rsidRPr="006B344A">
        <w:rPr>
          <w:rFonts w:ascii="Arial" w:eastAsia="Arial" w:hAnsi="Arial" w:cs="Arial"/>
          <w:sz w:val="20"/>
          <w:szCs w:val="20"/>
        </w:rPr>
        <w:t>Zooplankton samples were collected by filtering 5 L of surface seawater through a 200 µm plankton net and preserved in 4% buffered formalin. Quantitative analysis was performed using a Sedgwick–Rafter counting chamber, following NIO (2004). Zooplankton biomass was estimated using the displacement volume method (Tranter et al.,</w:t>
      </w:r>
      <w:proofErr w:type="gramStart"/>
      <w:r w:rsidRPr="006B344A">
        <w:rPr>
          <w:rFonts w:ascii="Arial" w:eastAsia="Arial" w:hAnsi="Arial" w:cs="Arial"/>
          <w:sz w:val="20"/>
          <w:szCs w:val="20"/>
        </w:rPr>
        <w:t>1960 )</w:t>
      </w:r>
      <w:proofErr w:type="gramEnd"/>
      <w:r w:rsidRPr="006B344A">
        <w:rPr>
          <w:rFonts w:ascii="Arial" w:eastAsia="Arial" w:hAnsi="Arial" w:cs="Arial"/>
          <w:sz w:val="20"/>
          <w:szCs w:val="20"/>
        </w:rPr>
        <w:t xml:space="preserve"> and expressed as mL m</w:t>
      </w:r>
      <w:r w:rsidRPr="006B344A">
        <w:rPr>
          <w:rFonts w:ascii="Arial" w:eastAsia="Arial" w:hAnsi="Cambria Math" w:cs="Arial"/>
          <w:sz w:val="20"/>
          <w:szCs w:val="20"/>
        </w:rPr>
        <w:t>⁻</w:t>
      </w:r>
      <w:r w:rsidRPr="006B344A">
        <w:rPr>
          <w:rFonts w:ascii="Arial" w:eastAsia="Arial" w:hAnsi="Arial" w:cs="Arial"/>
          <w:sz w:val="20"/>
          <w:szCs w:val="20"/>
        </w:rPr>
        <w:t>³ using:</w:t>
      </w:r>
    </w:p>
    <w:p w14:paraId="700BDB39" w14:textId="77777777" w:rsidR="006B344A" w:rsidRPr="006B344A" w:rsidRDefault="006B344A" w:rsidP="006B344A">
      <w:pPr>
        <w:jc w:val="both"/>
        <w:rPr>
          <w:rFonts w:ascii="Arial" w:hAnsi="Arial" w:cs="Arial"/>
          <w:color w:val="000000" w:themeColor="text1"/>
          <w:sz w:val="20"/>
          <w:szCs w:val="20"/>
        </w:rPr>
      </w:pPr>
      <m:oMathPara>
        <m:oMath>
          <m:r>
            <m:rPr>
              <m:nor/>
            </m:rPr>
            <w:rPr>
              <w:rFonts w:ascii="Arial" w:hAnsi="Arial" w:cs="Arial"/>
              <w:color w:val="000000" w:themeColor="text1"/>
              <w:sz w:val="20"/>
              <w:szCs w:val="20"/>
            </w:rPr>
            <m:t>Zooplankton Biomass</m:t>
          </m:r>
          <m:r>
            <m:rPr>
              <m:sty m:val="p"/>
            </m:rPr>
            <w:rPr>
              <w:rFonts w:ascii="Cambria Math" w:hAnsi="Arial" w:cs="Arial"/>
              <w:color w:val="000000" w:themeColor="text1"/>
              <w:sz w:val="20"/>
              <w:szCs w:val="20"/>
            </w:rPr>
            <m:t>=</m:t>
          </m:r>
          <m:f>
            <m:fPr>
              <m:ctrlPr>
                <w:rPr>
                  <w:rFonts w:ascii="Cambria Math" w:hAnsi="Arial" w:cs="Arial"/>
                  <w:color w:val="000000" w:themeColor="text1"/>
                  <w:sz w:val="20"/>
                  <w:szCs w:val="20"/>
                </w:rPr>
              </m:ctrlPr>
            </m:fPr>
            <m:num>
              <m:r>
                <m:rPr>
                  <m:nor/>
                </m:rPr>
                <w:rPr>
                  <w:rFonts w:ascii="Arial" w:hAnsi="Arial" w:cs="Arial"/>
                  <w:color w:val="000000" w:themeColor="text1"/>
                  <w:sz w:val="20"/>
                  <w:szCs w:val="20"/>
                </w:rPr>
                <m:t>Total Volume of Zooplankton</m:t>
              </m:r>
            </m:num>
            <m:den>
              <m:r>
                <m:rPr>
                  <m:nor/>
                </m:rPr>
                <w:rPr>
                  <w:rFonts w:ascii="Arial" w:hAnsi="Arial" w:cs="Arial"/>
                  <w:color w:val="000000" w:themeColor="text1"/>
                  <w:sz w:val="20"/>
                  <w:szCs w:val="20"/>
                </w:rPr>
                <m:t>Volume of Water Filtered</m:t>
              </m:r>
            </m:den>
          </m:f>
        </m:oMath>
      </m:oMathPara>
    </w:p>
    <w:p w14:paraId="11E61D36"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 xml:space="preserve">2.5 </w:t>
      </w:r>
      <w:proofErr w:type="spellStart"/>
      <w:r w:rsidRPr="006B344A">
        <w:rPr>
          <w:rFonts w:ascii="Arial" w:eastAsia="Arial" w:hAnsi="Arial" w:cs="Arial"/>
          <w:b/>
          <w:bCs/>
          <w:sz w:val="20"/>
          <w:szCs w:val="20"/>
        </w:rPr>
        <w:t>Physico</w:t>
      </w:r>
      <w:proofErr w:type="spellEnd"/>
      <w:r w:rsidRPr="006B344A">
        <w:rPr>
          <w:rFonts w:ascii="Arial" w:eastAsia="Arial" w:hAnsi="Arial" w:cs="Arial"/>
          <w:b/>
          <w:bCs/>
          <w:sz w:val="20"/>
          <w:szCs w:val="20"/>
        </w:rPr>
        <w:t>-chemical Parameters</w:t>
      </w:r>
    </w:p>
    <w:p w14:paraId="43FB4BB3"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 xml:space="preserve">Water temperature, salinity, and pH were measured in situ using a digital thermometer (HI98501), handheld refractometer (DIGI AUTO), and pre-calibrated digital pH meter (Mettler Toledo). </w:t>
      </w:r>
    </w:p>
    <w:p w14:paraId="1A93FCE1" w14:textId="77777777" w:rsidR="006B344A" w:rsidRPr="006B344A" w:rsidRDefault="006B344A" w:rsidP="006B344A">
      <w:pPr>
        <w:jc w:val="both"/>
        <w:rPr>
          <w:rFonts w:ascii="Arial" w:eastAsia="Arial" w:hAnsi="Arial" w:cs="Arial"/>
          <w:sz w:val="20"/>
          <w:szCs w:val="20"/>
        </w:rPr>
      </w:pPr>
      <w:r w:rsidRPr="006B344A">
        <w:rPr>
          <w:rFonts w:ascii="Arial" w:eastAsia="Arial" w:hAnsi="Arial" w:cs="Arial"/>
          <w:sz w:val="20"/>
          <w:szCs w:val="20"/>
        </w:rPr>
        <w:t xml:space="preserve">Water samples were collected using a </w:t>
      </w:r>
      <w:proofErr w:type="spellStart"/>
      <w:r w:rsidRPr="006B344A">
        <w:rPr>
          <w:rFonts w:ascii="Arial" w:eastAsia="Arial" w:hAnsi="Arial" w:cs="Arial"/>
          <w:sz w:val="20"/>
          <w:szCs w:val="20"/>
        </w:rPr>
        <w:t>Niskin</w:t>
      </w:r>
      <w:proofErr w:type="spellEnd"/>
      <w:r w:rsidRPr="006B344A">
        <w:rPr>
          <w:rFonts w:ascii="Arial" w:eastAsia="Arial" w:hAnsi="Arial" w:cs="Arial"/>
          <w:sz w:val="20"/>
          <w:szCs w:val="20"/>
        </w:rPr>
        <w:t xml:space="preserve"> sampler and transported to the laboratory under refrigeration. Dissolved oxygen (DO) samples were fixed on board using Winkler’s reagents. DO was estimated following the Winkler iodometric titration method (Wilkin et al., 2001).</w:t>
      </w:r>
    </w:p>
    <w:p w14:paraId="3A58F7F7" w14:textId="1FE7BC38" w:rsidR="006B344A" w:rsidRPr="006B344A" w:rsidRDefault="006B344A" w:rsidP="006B344A">
      <w:pPr>
        <w:pStyle w:val="NoSpacing"/>
        <w:jc w:val="both"/>
        <w:rPr>
          <w:rFonts w:ascii="Arial" w:hAnsi="Arial" w:cs="Arial"/>
          <w:b/>
          <w:bCs/>
          <w:sz w:val="22"/>
          <w:szCs w:val="22"/>
        </w:rPr>
      </w:pPr>
      <w:r w:rsidRPr="006B344A">
        <w:rPr>
          <w:rFonts w:ascii="Arial" w:hAnsi="Arial" w:cs="Arial"/>
          <w:b/>
          <w:bCs/>
          <w:sz w:val="22"/>
          <w:szCs w:val="22"/>
        </w:rPr>
        <w:t>3. RESULT</w:t>
      </w:r>
      <w:r w:rsidR="00D037C0">
        <w:rPr>
          <w:rFonts w:ascii="Arial" w:hAnsi="Arial" w:cs="Arial"/>
          <w:b/>
          <w:bCs/>
          <w:sz w:val="22"/>
          <w:szCs w:val="22"/>
        </w:rPr>
        <w:t xml:space="preserve"> &amp;</w:t>
      </w:r>
      <w:r w:rsidR="00D037C0" w:rsidRPr="00D037C0">
        <w:t xml:space="preserve"> </w:t>
      </w:r>
      <w:r w:rsidR="00D037C0" w:rsidRPr="00D037C0">
        <w:rPr>
          <w:rFonts w:ascii="Arial" w:hAnsi="Arial" w:cs="Arial"/>
          <w:b/>
          <w:bCs/>
          <w:sz w:val="22"/>
          <w:szCs w:val="22"/>
        </w:rPr>
        <w:t>DISCUSSION</w:t>
      </w:r>
    </w:p>
    <w:p w14:paraId="022D895D" w14:textId="384F804E" w:rsidR="006B344A" w:rsidRPr="006B344A" w:rsidRDefault="00653939" w:rsidP="006B344A">
      <w:pPr>
        <w:jc w:val="both"/>
        <w:rPr>
          <w:rFonts w:ascii="Arial" w:hAnsi="Arial" w:cs="Arial"/>
          <w:b/>
          <w:bCs/>
          <w:sz w:val="20"/>
          <w:szCs w:val="20"/>
        </w:rPr>
      </w:pPr>
      <w:r>
        <w:rPr>
          <w:rFonts w:ascii="Arial" w:hAnsi="Arial" w:cs="Arial"/>
          <w:b/>
          <w:bCs/>
          <w:sz w:val="20"/>
          <w:szCs w:val="20"/>
        </w:rPr>
        <w:t xml:space="preserve">Figure 1. </w:t>
      </w:r>
      <w:r w:rsidR="006B344A" w:rsidRPr="006B344A">
        <w:rPr>
          <w:rFonts w:ascii="Arial" w:hAnsi="Arial" w:cs="Arial"/>
          <w:b/>
          <w:bCs/>
          <w:sz w:val="20"/>
          <w:szCs w:val="20"/>
        </w:rPr>
        <w:t xml:space="preserve"> </w:t>
      </w:r>
      <w:proofErr w:type="spellStart"/>
      <w:r w:rsidR="006B344A" w:rsidRPr="006B344A">
        <w:rPr>
          <w:rFonts w:ascii="Arial" w:hAnsi="Arial" w:cs="Arial"/>
          <w:b/>
          <w:bCs/>
          <w:sz w:val="20"/>
          <w:szCs w:val="20"/>
        </w:rPr>
        <w:t>Physico</w:t>
      </w:r>
      <w:proofErr w:type="spellEnd"/>
      <w:r w:rsidR="006B344A" w:rsidRPr="006B344A">
        <w:rPr>
          <w:rFonts w:ascii="Arial" w:hAnsi="Arial" w:cs="Arial"/>
          <w:b/>
          <w:bCs/>
          <w:sz w:val="20"/>
          <w:szCs w:val="20"/>
        </w:rPr>
        <w:t>-chemical Parameters</w:t>
      </w:r>
    </w:p>
    <w:p w14:paraId="27FB64F7"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1BC1853F" wp14:editId="6A218F49">
            <wp:extent cx="4470400" cy="1454150"/>
            <wp:effectExtent l="19050" t="0" r="2540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5D29B4"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2482D5B6" wp14:editId="4A4D7A10">
            <wp:extent cx="4470400" cy="1409700"/>
            <wp:effectExtent l="19050" t="0" r="25400" b="0"/>
            <wp:docPr id="4"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15C44A"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19509494" wp14:editId="4360A04C">
            <wp:extent cx="4470400" cy="1447800"/>
            <wp:effectExtent l="19050" t="0" r="25400" b="0"/>
            <wp:docPr id="7"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184C4A"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lastRenderedPageBreak/>
        <w:drawing>
          <wp:inline distT="0" distB="0" distL="0" distR="0" wp14:anchorId="6CF255BA" wp14:editId="27CFC3C6">
            <wp:extent cx="4470400" cy="1562100"/>
            <wp:effectExtent l="19050" t="0" r="2540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335AAB"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68963880" wp14:editId="660281D4">
            <wp:extent cx="4470400" cy="1587500"/>
            <wp:effectExtent l="19050" t="0" r="25400" b="0"/>
            <wp:docPr id="13"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2A3D44"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093BA179" wp14:editId="4FAE514F">
            <wp:extent cx="4470400" cy="1536700"/>
            <wp:effectExtent l="19050" t="0" r="25400" b="6350"/>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7D5051"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6D721FEF" wp14:editId="4E4004AA">
            <wp:extent cx="4470400" cy="1377950"/>
            <wp:effectExtent l="19050" t="0" r="25400" b="0"/>
            <wp:docPr id="19"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7EFB83"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08FFDCE1" wp14:editId="5AC96586">
            <wp:extent cx="4443095" cy="1536700"/>
            <wp:effectExtent l="19050" t="0" r="14605" b="6350"/>
            <wp:docPr id="22"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837A06"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lastRenderedPageBreak/>
        <w:drawing>
          <wp:inline distT="0" distB="0" distL="0" distR="0" wp14:anchorId="7B48B1F3" wp14:editId="2EDFA32D">
            <wp:extent cx="4443095" cy="1606550"/>
            <wp:effectExtent l="19050" t="0" r="14605" b="0"/>
            <wp:docPr id="25"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AED232E" w14:textId="297C1524" w:rsidR="006B344A" w:rsidRPr="006B344A" w:rsidRDefault="00653939" w:rsidP="006B344A">
      <w:pPr>
        <w:jc w:val="both"/>
        <w:rPr>
          <w:rFonts w:ascii="Arial" w:hAnsi="Arial" w:cs="Arial"/>
          <w:b/>
          <w:bCs/>
          <w:sz w:val="20"/>
          <w:szCs w:val="20"/>
        </w:rPr>
      </w:pPr>
      <w:r w:rsidRPr="00653939">
        <w:rPr>
          <w:rFonts w:ascii="Arial" w:hAnsi="Arial" w:cs="Arial"/>
          <w:b/>
          <w:bCs/>
          <w:sz w:val="20"/>
          <w:szCs w:val="20"/>
        </w:rPr>
        <w:t xml:space="preserve">Figure </w:t>
      </w:r>
      <w:r w:rsidR="006B344A" w:rsidRPr="006B344A">
        <w:rPr>
          <w:rFonts w:ascii="Arial" w:hAnsi="Arial" w:cs="Arial"/>
          <w:b/>
          <w:bCs/>
          <w:sz w:val="20"/>
          <w:szCs w:val="20"/>
        </w:rPr>
        <w:t>2 Phytoplankton</w:t>
      </w:r>
    </w:p>
    <w:p w14:paraId="366B74E0"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5483BE67" wp14:editId="5D2C5314">
            <wp:extent cx="5276850" cy="1911350"/>
            <wp:effectExtent l="19050" t="0" r="1905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6F950F" w14:textId="27230258" w:rsidR="006B344A" w:rsidRPr="006B344A" w:rsidRDefault="00653939" w:rsidP="006B344A">
      <w:pPr>
        <w:jc w:val="both"/>
        <w:rPr>
          <w:rFonts w:ascii="Arial" w:hAnsi="Arial" w:cs="Arial"/>
          <w:b/>
          <w:bCs/>
          <w:sz w:val="20"/>
          <w:szCs w:val="20"/>
        </w:rPr>
      </w:pPr>
      <w:r w:rsidRPr="00653939">
        <w:rPr>
          <w:rFonts w:ascii="Arial" w:hAnsi="Arial" w:cs="Arial"/>
          <w:b/>
          <w:bCs/>
          <w:sz w:val="20"/>
          <w:szCs w:val="20"/>
        </w:rPr>
        <w:t xml:space="preserve">Figure </w:t>
      </w:r>
      <w:r w:rsidR="006B344A" w:rsidRPr="006B344A">
        <w:rPr>
          <w:rFonts w:ascii="Arial" w:hAnsi="Arial" w:cs="Arial"/>
          <w:b/>
          <w:bCs/>
          <w:sz w:val="20"/>
          <w:szCs w:val="20"/>
        </w:rPr>
        <w:t>3 Zooplankton</w:t>
      </w:r>
    </w:p>
    <w:p w14:paraId="7AB63890" w14:textId="77777777" w:rsidR="006B344A" w:rsidRPr="006B344A" w:rsidRDefault="006B344A" w:rsidP="006B344A">
      <w:pPr>
        <w:jc w:val="center"/>
        <w:rPr>
          <w:rFonts w:ascii="Arial" w:hAnsi="Arial" w:cs="Arial"/>
          <w:sz w:val="20"/>
          <w:szCs w:val="20"/>
        </w:rPr>
      </w:pPr>
      <w:r w:rsidRPr="006B344A">
        <w:rPr>
          <w:rFonts w:ascii="Arial" w:hAnsi="Arial" w:cs="Arial"/>
          <w:noProof/>
          <w:sz w:val="20"/>
          <w:szCs w:val="20"/>
          <w:lang w:val="en-US"/>
        </w:rPr>
        <w:drawing>
          <wp:inline distT="0" distB="0" distL="0" distR="0" wp14:anchorId="087C020E" wp14:editId="18679A1F">
            <wp:extent cx="5276850" cy="1924050"/>
            <wp:effectExtent l="19050" t="0" r="19050" b="0"/>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BA4DD88" w14:textId="77777777" w:rsidR="006B344A" w:rsidRPr="006B344A" w:rsidRDefault="006B344A" w:rsidP="006B344A">
      <w:pPr>
        <w:jc w:val="both"/>
        <w:rPr>
          <w:rFonts w:ascii="Arial" w:hAnsi="Arial" w:cs="Arial"/>
          <w:sz w:val="20"/>
          <w:szCs w:val="20"/>
        </w:rPr>
      </w:pPr>
    </w:p>
    <w:p w14:paraId="3ED36F91" w14:textId="19F91AA4" w:rsidR="006B344A" w:rsidRPr="006B344A" w:rsidRDefault="006B344A" w:rsidP="006B344A">
      <w:pPr>
        <w:jc w:val="center"/>
        <w:rPr>
          <w:rFonts w:ascii="Arial" w:hAnsi="Arial" w:cs="Arial"/>
          <w:b/>
          <w:bCs/>
          <w:sz w:val="20"/>
          <w:szCs w:val="20"/>
        </w:rPr>
      </w:pPr>
      <w:r w:rsidRPr="006B344A">
        <w:rPr>
          <w:rFonts w:ascii="Arial" w:hAnsi="Arial" w:cs="Arial"/>
          <w:b/>
          <w:bCs/>
          <w:sz w:val="20"/>
          <w:szCs w:val="20"/>
        </w:rPr>
        <w:t>Table 1.</w:t>
      </w:r>
      <w:r w:rsidR="00B221D5">
        <w:rPr>
          <w:rFonts w:ascii="Arial" w:hAnsi="Arial" w:cs="Arial"/>
          <w:b/>
          <w:bCs/>
          <w:sz w:val="20"/>
          <w:szCs w:val="20"/>
        </w:rPr>
        <w:t xml:space="preserve"> </w:t>
      </w:r>
      <w:r w:rsidR="00B221D5">
        <w:rPr>
          <w:rFonts w:ascii="Arial" w:eastAsia="Arial" w:hAnsi="Arial" w:cs="Arial"/>
          <w:sz w:val="20"/>
          <w:szCs w:val="20"/>
        </w:rPr>
        <w:t>Z</w:t>
      </w:r>
      <w:r w:rsidR="00B221D5" w:rsidRPr="006B344A">
        <w:rPr>
          <w:rFonts w:ascii="Arial" w:eastAsia="Arial" w:hAnsi="Arial" w:cs="Arial"/>
          <w:sz w:val="20"/>
          <w:szCs w:val="20"/>
        </w:rPr>
        <w:t xml:space="preserve">ooplankton versus various water quality parameters among the fishing zones </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85"/>
        <w:gridCol w:w="687"/>
        <w:gridCol w:w="643"/>
        <w:gridCol w:w="606"/>
        <w:gridCol w:w="684"/>
        <w:gridCol w:w="665"/>
        <w:gridCol w:w="643"/>
        <w:gridCol w:w="625"/>
        <w:gridCol w:w="671"/>
        <w:gridCol w:w="664"/>
        <w:gridCol w:w="390"/>
      </w:tblGrid>
      <w:tr w:rsidR="006B344A" w:rsidRPr="006B344A" w14:paraId="04E011F4" w14:textId="77777777" w:rsidTr="00767612">
        <w:trPr>
          <w:trHeight w:val="257"/>
          <w:jc w:val="center"/>
        </w:trPr>
        <w:tc>
          <w:tcPr>
            <w:tcW w:w="985" w:type="dxa"/>
            <w:noWrap/>
            <w:vAlign w:val="center"/>
            <w:hideMark/>
          </w:tcPr>
          <w:p w14:paraId="506BDA40" w14:textId="77777777" w:rsidR="006B344A" w:rsidRPr="006B344A" w:rsidRDefault="006B344A" w:rsidP="006B344A">
            <w:pPr>
              <w:jc w:val="both"/>
              <w:rPr>
                <w:rFonts w:ascii="Arial" w:hAnsi="Arial" w:cs="Arial"/>
                <w:sz w:val="12"/>
                <w:szCs w:val="12"/>
                <w:lang w:eastAsia="en-IN" w:bidi="hi-IN"/>
              </w:rPr>
            </w:pPr>
          </w:p>
        </w:tc>
        <w:tc>
          <w:tcPr>
            <w:tcW w:w="985" w:type="dxa"/>
            <w:noWrap/>
            <w:vAlign w:val="center"/>
            <w:hideMark/>
          </w:tcPr>
          <w:p w14:paraId="54A0BB8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Temperature</w:t>
            </w:r>
          </w:p>
        </w:tc>
        <w:tc>
          <w:tcPr>
            <w:tcW w:w="687" w:type="dxa"/>
            <w:noWrap/>
            <w:vAlign w:val="center"/>
            <w:hideMark/>
          </w:tcPr>
          <w:p w14:paraId="354690D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Salinity</w:t>
            </w:r>
          </w:p>
        </w:tc>
        <w:tc>
          <w:tcPr>
            <w:tcW w:w="643" w:type="dxa"/>
            <w:noWrap/>
            <w:vAlign w:val="center"/>
            <w:hideMark/>
          </w:tcPr>
          <w:p w14:paraId="6F306D4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pH</w:t>
            </w:r>
          </w:p>
        </w:tc>
        <w:tc>
          <w:tcPr>
            <w:tcW w:w="606" w:type="dxa"/>
            <w:noWrap/>
            <w:vAlign w:val="center"/>
            <w:hideMark/>
          </w:tcPr>
          <w:p w14:paraId="2FDD852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DO</w:t>
            </w:r>
          </w:p>
        </w:tc>
        <w:tc>
          <w:tcPr>
            <w:tcW w:w="684" w:type="dxa"/>
            <w:noWrap/>
            <w:vAlign w:val="center"/>
            <w:hideMark/>
          </w:tcPr>
          <w:p w14:paraId="6049F7E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NH</w:t>
            </w:r>
            <w:r w:rsidRPr="006B344A">
              <w:rPr>
                <w:rFonts w:ascii="Arial" w:hAnsi="Arial" w:cs="Arial"/>
                <w:sz w:val="12"/>
                <w:szCs w:val="12"/>
                <w:vertAlign w:val="subscript"/>
                <w:lang w:eastAsia="en-IN" w:bidi="hi-IN"/>
              </w:rPr>
              <w:t>3</w:t>
            </w:r>
          </w:p>
        </w:tc>
        <w:tc>
          <w:tcPr>
            <w:tcW w:w="665" w:type="dxa"/>
            <w:noWrap/>
            <w:vAlign w:val="center"/>
            <w:hideMark/>
          </w:tcPr>
          <w:p w14:paraId="10B8C88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3-</w:t>
            </w:r>
          </w:p>
        </w:tc>
        <w:tc>
          <w:tcPr>
            <w:tcW w:w="643" w:type="dxa"/>
            <w:noWrap/>
            <w:vAlign w:val="center"/>
            <w:hideMark/>
          </w:tcPr>
          <w:p w14:paraId="1BF22BA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2-</w:t>
            </w:r>
          </w:p>
        </w:tc>
        <w:tc>
          <w:tcPr>
            <w:tcW w:w="625" w:type="dxa"/>
            <w:noWrap/>
            <w:vAlign w:val="center"/>
            <w:hideMark/>
          </w:tcPr>
          <w:p w14:paraId="34807CA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PO</w:t>
            </w:r>
            <w:r w:rsidRPr="006B344A">
              <w:rPr>
                <w:rFonts w:ascii="Arial" w:hAnsi="Arial" w:cs="Arial"/>
                <w:sz w:val="12"/>
                <w:szCs w:val="12"/>
                <w:vertAlign w:val="subscript"/>
                <w:lang w:eastAsia="en-IN" w:bidi="hi-IN"/>
              </w:rPr>
              <w:t>4</w:t>
            </w:r>
            <w:r w:rsidRPr="006B344A">
              <w:rPr>
                <w:rFonts w:ascii="Arial" w:hAnsi="Arial" w:cs="Arial"/>
                <w:sz w:val="12"/>
                <w:szCs w:val="12"/>
                <w:vertAlign w:val="superscript"/>
                <w:lang w:eastAsia="en-IN" w:bidi="hi-IN"/>
              </w:rPr>
              <w:t>3</w:t>
            </w:r>
          </w:p>
        </w:tc>
        <w:tc>
          <w:tcPr>
            <w:tcW w:w="671" w:type="dxa"/>
            <w:noWrap/>
            <w:vAlign w:val="center"/>
            <w:hideMark/>
          </w:tcPr>
          <w:p w14:paraId="403A0EB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Silicate</w:t>
            </w:r>
          </w:p>
        </w:tc>
        <w:tc>
          <w:tcPr>
            <w:tcW w:w="664" w:type="dxa"/>
            <w:noWrap/>
            <w:vAlign w:val="center"/>
            <w:hideMark/>
          </w:tcPr>
          <w:p w14:paraId="0E5387B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PP</w:t>
            </w:r>
          </w:p>
        </w:tc>
        <w:tc>
          <w:tcPr>
            <w:tcW w:w="390" w:type="dxa"/>
            <w:noWrap/>
            <w:vAlign w:val="center"/>
            <w:hideMark/>
          </w:tcPr>
          <w:p w14:paraId="3589DC9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ZP</w:t>
            </w:r>
          </w:p>
        </w:tc>
      </w:tr>
      <w:tr w:rsidR="006B344A" w:rsidRPr="006B344A" w14:paraId="7C185673" w14:textId="77777777" w:rsidTr="00767612">
        <w:trPr>
          <w:trHeight w:val="257"/>
          <w:jc w:val="center"/>
        </w:trPr>
        <w:tc>
          <w:tcPr>
            <w:tcW w:w="985" w:type="dxa"/>
            <w:noWrap/>
            <w:vAlign w:val="center"/>
            <w:hideMark/>
          </w:tcPr>
          <w:p w14:paraId="231D7E9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Temperature</w:t>
            </w:r>
          </w:p>
        </w:tc>
        <w:tc>
          <w:tcPr>
            <w:tcW w:w="985" w:type="dxa"/>
            <w:noWrap/>
            <w:vAlign w:val="center"/>
            <w:hideMark/>
          </w:tcPr>
          <w:p w14:paraId="3D8EC64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87" w:type="dxa"/>
            <w:noWrap/>
            <w:vAlign w:val="center"/>
            <w:hideMark/>
          </w:tcPr>
          <w:p w14:paraId="2959F7C0"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7B8245AE" w14:textId="77777777" w:rsidR="006B344A" w:rsidRPr="006B344A" w:rsidRDefault="006B344A" w:rsidP="006B344A">
            <w:pPr>
              <w:jc w:val="both"/>
              <w:rPr>
                <w:rFonts w:ascii="Arial" w:hAnsi="Arial" w:cs="Arial"/>
                <w:sz w:val="12"/>
                <w:szCs w:val="12"/>
                <w:lang w:eastAsia="en-IN" w:bidi="hi-IN"/>
              </w:rPr>
            </w:pPr>
          </w:p>
        </w:tc>
        <w:tc>
          <w:tcPr>
            <w:tcW w:w="606" w:type="dxa"/>
            <w:noWrap/>
            <w:vAlign w:val="center"/>
            <w:hideMark/>
          </w:tcPr>
          <w:p w14:paraId="4FB8289C" w14:textId="77777777" w:rsidR="006B344A" w:rsidRPr="006B344A" w:rsidRDefault="006B344A" w:rsidP="006B344A">
            <w:pPr>
              <w:jc w:val="both"/>
              <w:rPr>
                <w:rFonts w:ascii="Arial" w:hAnsi="Arial" w:cs="Arial"/>
                <w:sz w:val="12"/>
                <w:szCs w:val="12"/>
                <w:lang w:eastAsia="en-IN" w:bidi="hi-IN"/>
              </w:rPr>
            </w:pPr>
          </w:p>
        </w:tc>
        <w:tc>
          <w:tcPr>
            <w:tcW w:w="684" w:type="dxa"/>
            <w:noWrap/>
            <w:vAlign w:val="center"/>
            <w:hideMark/>
          </w:tcPr>
          <w:p w14:paraId="66FAC103" w14:textId="77777777" w:rsidR="006B344A" w:rsidRPr="006B344A" w:rsidRDefault="006B344A" w:rsidP="006B344A">
            <w:pPr>
              <w:jc w:val="both"/>
              <w:rPr>
                <w:rFonts w:ascii="Arial" w:hAnsi="Arial" w:cs="Arial"/>
                <w:sz w:val="12"/>
                <w:szCs w:val="12"/>
                <w:lang w:eastAsia="en-IN" w:bidi="hi-IN"/>
              </w:rPr>
            </w:pPr>
          </w:p>
        </w:tc>
        <w:tc>
          <w:tcPr>
            <w:tcW w:w="665" w:type="dxa"/>
            <w:noWrap/>
            <w:vAlign w:val="center"/>
            <w:hideMark/>
          </w:tcPr>
          <w:p w14:paraId="3CCB6FD9"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638EB6EA"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750C1C1A"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6C9EFD44"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2A67023B"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4CCD53E5" w14:textId="77777777" w:rsidR="006B344A" w:rsidRPr="006B344A" w:rsidRDefault="006B344A" w:rsidP="006B344A">
            <w:pPr>
              <w:jc w:val="both"/>
              <w:rPr>
                <w:rFonts w:ascii="Arial" w:hAnsi="Arial" w:cs="Arial"/>
                <w:sz w:val="12"/>
                <w:szCs w:val="12"/>
                <w:lang w:eastAsia="en-IN" w:bidi="hi-IN"/>
              </w:rPr>
            </w:pPr>
          </w:p>
        </w:tc>
      </w:tr>
      <w:tr w:rsidR="006B344A" w:rsidRPr="006B344A" w14:paraId="4F687AE1" w14:textId="77777777" w:rsidTr="00767612">
        <w:trPr>
          <w:trHeight w:val="257"/>
          <w:jc w:val="center"/>
        </w:trPr>
        <w:tc>
          <w:tcPr>
            <w:tcW w:w="985" w:type="dxa"/>
            <w:noWrap/>
            <w:vAlign w:val="center"/>
            <w:hideMark/>
          </w:tcPr>
          <w:p w14:paraId="4CB966F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Salinity</w:t>
            </w:r>
          </w:p>
        </w:tc>
        <w:tc>
          <w:tcPr>
            <w:tcW w:w="985" w:type="dxa"/>
            <w:noWrap/>
            <w:vAlign w:val="center"/>
            <w:hideMark/>
          </w:tcPr>
          <w:p w14:paraId="7FAF44C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0.062</w:t>
            </w:r>
          </w:p>
        </w:tc>
        <w:tc>
          <w:tcPr>
            <w:tcW w:w="687" w:type="dxa"/>
            <w:noWrap/>
            <w:vAlign w:val="center"/>
            <w:hideMark/>
          </w:tcPr>
          <w:p w14:paraId="01EE719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43" w:type="dxa"/>
            <w:noWrap/>
            <w:vAlign w:val="center"/>
            <w:hideMark/>
          </w:tcPr>
          <w:p w14:paraId="33888BE4" w14:textId="77777777" w:rsidR="006B344A" w:rsidRPr="006B344A" w:rsidRDefault="006B344A" w:rsidP="006B344A">
            <w:pPr>
              <w:jc w:val="both"/>
              <w:rPr>
                <w:rFonts w:ascii="Arial" w:hAnsi="Arial" w:cs="Arial"/>
                <w:sz w:val="12"/>
                <w:szCs w:val="12"/>
                <w:lang w:eastAsia="en-IN" w:bidi="hi-IN"/>
              </w:rPr>
            </w:pPr>
          </w:p>
        </w:tc>
        <w:tc>
          <w:tcPr>
            <w:tcW w:w="606" w:type="dxa"/>
            <w:noWrap/>
            <w:vAlign w:val="center"/>
            <w:hideMark/>
          </w:tcPr>
          <w:p w14:paraId="186B8219" w14:textId="77777777" w:rsidR="006B344A" w:rsidRPr="006B344A" w:rsidRDefault="006B344A" w:rsidP="006B344A">
            <w:pPr>
              <w:jc w:val="both"/>
              <w:rPr>
                <w:rFonts w:ascii="Arial" w:hAnsi="Arial" w:cs="Arial"/>
                <w:sz w:val="12"/>
                <w:szCs w:val="12"/>
                <w:lang w:eastAsia="en-IN" w:bidi="hi-IN"/>
              </w:rPr>
            </w:pPr>
          </w:p>
        </w:tc>
        <w:tc>
          <w:tcPr>
            <w:tcW w:w="684" w:type="dxa"/>
            <w:noWrap/>
            <w:vAlign w:val="center"/>
            <w:hideMark/>
          </w:tcPr>
          <w:p w14:paraId="6F6AC282" w14:textId="77777777" w:rsidR="006B344A" w:rsidRPr="006B344A" w:rsidRDefault="006B344A" w:rsidP="006B344A">
            <w:pPr>
              <w:jc w:val="both"/>
              <w:rPr>
                <w:rFonts w:ascii="Arial" w:hAnsi="Arial" w:cs="Arial"/>
                <w:sz w:val="12"/>
                <w:szCs w:val="12"/>
                <w:lang w:eastAsia="en-IN" w:bidi="hi-IN"/>
              </w:rPr>
            </w:pPr>
          </w:p>
        </w:tc>
        <w:tc>
          <w:tcPr>
            <w:tcW w:w="665" w:type="dxa"/>
            <w:noWrap/>
            <w:vAlign w:val="center"/>
            <w:hideMark/>
          </w:tcPr>
          <w:p w14:paraId="6DB4F5BA"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5243CE31"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0E49FDC1"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47988152"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40A60712"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3C6A270A" w14:textId="77777777" w:rsidR="006B344A" w:rsidRPr="006B344A" w:rsidRDefault="006B344A" w:rsidP="006B344A">
            <w:pPr>
              <w:jc w:val="both"/>
              <w:rPr>
                <w:rFonts w:ascii="Arial" w:hAnsi="Arial" w:cs="Arial"/>
                <w:sz w:val="12"/>
                <w:szCs w:val="12"/>
                <w:lang w:eastAsia="en-IN" w:bidi="hi-IN"/>
              </w:rPr>
            </w:pPr>
          </w:p>
        </w:tc>
      </w:tr>
      <w:tr w:rsidR="006B344A" w:rsidRPr="006B344A" w14:paraId="11B54789" w14:textId="77777777" w:rsidTr="00767612">
        <w:trPr>
          <w:trHeight w:val="257"/>
          <w:jc w:val="center"/>
        </w:trPr>
        <w:tc>
          <w:tcPr>
            <w:tcW w:w="985" w:type="dxa"/>
            <w:noWrap/>
            <w:vAlign w:val="center"/>
            <w:hideMark/>
          </w:tcPr>
          <w:p w14:paraId="763EF82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pH</w:t>
            </w:r>
          </w:p>
        </w:tc>
        <w:tc>
          <w:tcPr>
            <w:tcW w:w="985" w:type="dxa"/>
            <w:noWrap/>
            <w:vAlign w:val="center"/>
            <w:hideMark/>
          </w:tcPr>
          <w:p w14:paraId="68C3F2D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-0.140</w:t>
            </w:r>
          </w:p>
        </w:tc>
        <w:tc>
          <w:tcPr>
            <w:tcW w:w="687" w:type="dxa"/>
            <w:noWrap/>
            <w:vAlign w:val="center"/>
            <w:hideMark/>
          </w:tcPr>
          <w:p w14:paraId="4049401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-0.692</w:t>
            </w:r>
          </w:p>
        </w:tc>
        <w:tc>
          <w:tcPr>
            <w:tcW w:w="643" w:type="dxa"/>
            <w:noWrap/>
            <w:vAlign w:val="center"/>
            <w:hideMark/>
          </w:tcPr>
          <w:p w14:paraId="552C551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06" w:type="dxa"/>
            <w:noWrap/>
            <w:vAlign w:val="center"/>
            <w:hideMark/>
          </w:tcPr>
          <w:p w14:paraId="20CA6AE5" w14:textId="77777777" w:rsidR="006B344A" w:rsidRPr="006B344A" w:rsidRDefault="006B344A" w:rsidP="006B344A">
            <w:pPr>
              <w:jc w:val="both"/>
              <w:rPr>
                <w:rFonts w:ascii="Arial" w:hAnsi="Arial" w:cs="Arial"/>
                <w:sz w:val="12"/>
                <w:szCs w:val="12"/>
                <w:lang w:eastAsia="en-IN" w:bidi="hi-IN"/>
              </w:rPr>
            </w:pPr>
          </w:p>
        </w:tc>
        <w:tc>
          <w:tcPr>
            <w:tcW w:w="684" w:type="dxa"/>
            <w:noWrap/>
            <w:vAlign w:val="center"/>
            <w:hideMark/>
          </w:tcPr>
          <w:p w14:paraId="1073847F" w14:textId="77777777" w:rsidR="006B344A" w:rsidRPr="006B344A" w:rsidRDefault="006B344A" w:rsidP="006B344A">
            <w:pPr>
              <w:jc w:val="both"/>
              <w:rPr>
                <w:rFonts w:ascii="Arial" w:hAnsi="Arial" w:cs="Arial"/>
                <w:sz w:val="12"/>
                <w:szCs w:val="12"/>
                <w:lang w:eastAsia="en-IN" w:bidi="hi-IN"/>
              </w:rPr>
            </w:pPr>
          </w:p>
        </w:tc>
        <w:tc>
          <w:tcPr>
            <w:tcW w:w="665" w:type="dxa"/>
            <w:noWrap/>
            <w:vAlign w:val="center"/>
            <w:hideMark/>
          </w:tcPr>
          <w:p w14:paraId="3AAEC38B"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5D90894E"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0CF05F10"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7C7BA799"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2ED9A107"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6E035A8A" w14:textId="77777777" w:rsidR="006B344A" w:rsidRPr="006B344A" w:rsidRDefault="006B344A" w:rsidP="006B344A">
            <w:pPr>
              <w:jc w:val="both"/>
              <w:rPr>
                <w:rFonts w:ascii="Arial" w:hAnsi="Arial" w:cs="Arial"/>
                <w:sz w:val="12"/>
                <w:szCs w:val="12"/>
                <w:lang w:eastAsia="en-IN" w:bidi="hi-IN"/>
              </w:rPr>
            </w:pPr>
          </w:p>
        </w:tc>
      </w:tr>
      <w:tr w:rsidR="006B344A" w:rsidRPr="006B344A" w14:paraId="3FF8562D" w14:textId="77777777" w:rsidTr="00767612">
        <w:trPr>
          <w:trHeight w:val="257"/>
          <w:jc w:val="center"/>
        </w:trPr>
        <w:tc>
          <w:tcPr>
            <w:tcW w:w="985" w:type="dxa"/>
            <w:noWrap/>
            <w:vAlign w:val="center"/>
            <w:hideMark/>
          </w:tcPr>
          <w:p w14:paraId="72861FB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DO</w:t>
            </w:r>
          </w:p>
        </w:tc>
        <w:tc>
          <w:tcPr>
            <w:tcW w:w="985" w:type="dxa"/>
            <w:noWrap/>
            <w:vAlign w:val="center"/>
            <w:hideMark/>
          </w:tcPr>
          <w:p w14:paraId="1E7BC49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0.161</w:t>
            </w:r>
          </w:p>
        </w:tc>
        <w:tc>
          <w:tcPr>
            <w:tcW w:w="687" w:type="dxa"/>
            <w:noWrap/>
            <w:vAlign w:val="center"/>
            <w:hideMark/>
          </w:tcPr>
          <w:p w14:paraId="0D319A5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-0.956</w:t>
            </w:r>
          </w:p>
        </w:tc>
        <w:tc>
          <w:tcPr>
            <w:tcW w:w="643" w:type="dxa"/>
            <w:noWrap/>
            <w:vAlign w:val="center"/>
            <w:hideMark/>
          </w:tcPr>
          <w:p w14:paraId="42F9D78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0.780</w:t>
            </w:r>
          </w:p>
        </w:tc>
        <w:tc>
          <w:tcPr>
            <w:tcW w:w="606" w:type="dxa"/>
            <w:noWrap/>
            <w:vAlign w:val="center"/>
            <w:hideMark/>
          </w:tcPr>
          <w:p w14:paraId="05CD9E6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84" w:type="dxa"/>
            <w:noWrap/>
            <w:vAlign w:val="center"/>
            <w:hideMark/>
          </w:tcPr>
          <w:p w14:paraId="3C417DED" w14:textId="77777777" w:rsidR="006B344A" w:rsidRPr="006B344A" w:rsidRDefault="006B344A" w:rsidP="006B344A">
            <w:pPr>
              <w:jc w:val="both"/>
              <w:rPr>
                <w:rFonts w:ascii="Arial" w:hAnsi="Arial" w:cs="Arial"/>
                <w:sz w:val="12"/>
                <w:szCs w:val="12"/>
                <w:lang w:eastAsia="en-IN" w:bidi="hi-IN"/>
              </w:rPr>
            </w:pPr>
          </w:p>
        </w:tc>
        <w:tc>
          <w:tcPr>
            <w:tcW w:w="665" w:type="dxa"/>
            <w:noWrap/>
            <w:vAlign w:val="center"/>
            <w:hideMark/>
          </w:tcPr>
          <w:p w14:paraId="3788B7A7"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12FA513F"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280B8D9E"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5E44B4EC"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0CDDA95D"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2EB71048" w14:textId="77777777" w:rsidR="006B344A" w:rsidRPr="006B344A" w:rsidRDefault="006B344A" w:rsidP="006B344A">
            <w:pPr>
              <w:jc w:val="both"/>
              <w:rPr>
                <w:rFonts w:ascii="Arial" w:hAnsi="Arial" w:cs="Arial"/>
                <w:sz w:val="12"/>
                <w:szCs w:val="12"/>
                <w:lang w:eastAsia="en-IN" w:bidi="hi-IN"/>
              </w:rPr>
            </w:pPr>
          </w:p>
        </w:tc>
      </w:tr>
      <w:tr w:rsidR="006B344A" w:rsidRPr="006B344A" w14:paraId="75BFDAB7" w14:textId="77777777" w:rsidTr="00767612">
        <w:trPr>
          <w:trHeight w:val="257"/>
          <w:jc w:val="center"/>
        </w:trPr>
        <w:tc>
          <w:tcPr>
            <w:tcW w:w="985" w:type="dxa"/>
            <w:noWrap/>
            <w:vAlign w:val="center"/>
            <w:hideMark/>
          </w:tcPr>
          <w:p w14:paraId="350EC2C8" w14:textId="77777777" w:rsidR="006B344A" w:rsidRPr="006B344A" w:rsidRDefault="006B344A" w:rsidP="006B344A">
            <w:pPr>
              <w:jc w:val="both"/>
              <w:rPr>
                <w:rFonts w:ascii="Arial" w:hAnsi="Arial" w:cs="Arial"/>
                <w:sz w:val="12"/>
                <w:szCs w:val="12"/>
                <w:vertAlign w:val="subscript"/>
                <w:lang w:eastAsia="en-IN" w:bidi="hi-IN"/>
              </w:rPr>
            </w:pPr>
            <w:r w:rsidRPr="006B344A">
              <w:rPr>
                <w:rFonts w:ascii="Arial" w:hAnsi="Arial" w:cs="Arial"/>
                <w:sz w:val="12"/>
                <w:szCs w:val="12"/>
                <w:lang w:eastAsia="en-IN" w:bidi="hi-IN"/>
              </w:rPr>
              <w:t>NH</w:t>
            </w:r>
            <w:r w:rsidRPr="006B344A">
              <w:rPr>
                <w:rFonts w:ascii="Arial" w:hAnsi="Arial" w:cs="Arial"/>
                <w:sz w:val="12"/>
                <w:szCs w:val="12"/>
                <w:vertAlign w:val="subscript"/>
                <w:lang w:eastAsia="en-IN" w:bidi="hi-IN"/>
              </w:rPr>
              <w:t>3</w:t>
            </w:r>
          </w:p>
        </w:tc>
        <w:tc>
          <w:tcPr>
            <w:tcW w:w="985" w:type="dxa"/>
            <w:noWrap/>
            <w:vAlign w:val="center"/>
            <w:hideMark/>
          </w:tcPr>
          <w:p w14:paraId="1253429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0.037</w:t>
            </w:r>
          </w:p>
        </w:tc>
        <w:tc>
          <w:tcPr>
            <w:tcW w:w="687" w:type="dxa"/>
            <w:noWrap/>
            <w:vAlign w:val="center"/>
            <w:hideMark/>
          </w:tcPr>
          <w:p w14:paraId="1F2F06E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0.275</w:t>
            </w:r>
          </w:p>
        </w:tc>
        <w:tc>
          <w:tcPr>
            <w:tcW w:w="643" w:type="dxa"/>
            <w:noWrap/>
            <w:vAlign w:val="center"/>
            <w:hideMark/>
          </w:tcPr>
          <w:p w14:paraId="6A27C60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-0.880</w:t>
            </w:r>
          </w:p>
        </w:tc>
        <w:tc>
          <w:tcPr>
            <w:tcW w:w="606" w:type="dxa"/>
            <w:noWrap/>
            <w:vAlign w:val="center"/>
            <w:hideMark/>
          </w:tcPr>
          <w:p w14:paraId="12E4975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-0.447</w:t>
            </w:r>
          </w:p>
        </w:tc>
        <w:tc>
          <w:tcPr>
            <w:tcW w:w="684" w:type="dxa"/>
            <w:noWrap/>
            <w:vAlign w:val="center"/>
            <w:hideMark/>
          </w:tcPr>
          <w:p w14:paraId="668DCEA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65" w:type="dxa"/>
            <w:noWrap/>
            <w:vAlign w:val="center"/>
            <w:hideMark/>
          </w:tcPr>
          <w:p w14:paraId="693E8AED" w14:textId="77777777" w:rsidR="006B344A" w:rsidRPr="006B344A" w:rsidRDefault="006B344A" w:rsidP="006B344A">
            <w:pPr>
              <w:jc w:val="both"/>
              <w:rPr>
                <w:rFonts w:ascii="Arial" w:hAnsi="Arial" w:cs="Arial"/>
                <w:sz w:val="12"/>
                <w:szCs w:val="12"/>
                <w:lang w:eastAsia="en-IN" w:bidi="hi-IN"/>
              </w:rPr>
            </w:pPr>
          </w:p>
        </w:tc>
        <w:tc>
          <w:tcPr>
            <w:tcW w:w="643" w:type="dxa"/>
            <w:noWrap/>
            <w:vAlign w:val="center"/>
            <w:hideMark/>
          </w:tcPr>
          <w:p w14:paraId="1F649C43"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71CB7AF9"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26398AFC"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0895A803"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705B32FC" w14:textId="77777777" w:rsidR="006B344A" w:rsidRPr="006B344A" w:rsidRDefault="006B344A" w:rsidP="006B344A">
            <w:pPr>
              <w:jc w:val="both"/>
              <w:rPr>
                <w:rFonts w:ascii="Arial" w:hAnsi="Arial" w:cs="Arial"/>
                <w:sz w:val="12"/>
                <w:szCs w:val="12"/>
                <w:lang w:eastAsia="en-IN" w:bidi="hi-IN"/>
              </w:rPr>
            </w:pPr>
          </w:p>
        </w:tc>
      </w:tr>
      <w:tr w:rsidR="006B344A" w:rsidRPr="006B344A" w14:paraId="7AC7DA5A" w14:textId="77777777" w:rsidTr="00767612">
        <w:trPr>
          <w:trHeight w:val="257"/>
          <w:jc w:val="center"/>
        </w:trPr>
        <w:tc>
          <w:tcPr>
            <w:tcW w:w="985" w:type="dxa"/>
            <w:noWrap/>
            <w:vAlign w:val="center"/>
            <w:hideMark/>
          </w:tcPr>
          <w:p w14:paraId="5C369158" w14:textId="77777777" w:rsidR="006B344A" w:rsidRPr="006B344A" w:rsidRDefault="006B344A" w:rsidP="006B344A">
            <w:pPr>
              <w:jc w:val="both"/>
              <w:rPr>
                <w:rFonts w:ascii="Arial" w:hAnsi="Arial" w:cs="Arial"/>
                <w:sz w:val="12"/>
                <w:szCs w:val="12"/>
                <w:vertAlign w:val="superscript"/>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3-</w:t>
            </w:r>
          </w:p>
        </w:tc>
        <w:tc>
          <w:tcPr>
            <w:tcW w:w="985" w:type="dxa"/>
            <w:noWrap/>
            <w:vAlign w:val="center"/>
            <w:hideMark/>
          </w:tcPr>
          <w:p w14:paraId="3472C85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-0.502</w:t>
            </w:r>
          </w:p>
        </w:tc>
        <w:tc>
          <w:tcPr>
            <w:tcW w:w="687" w:type="dxa"/>
            <w:noWrap/>
            <w:vAlign w:val="center"/>
            <w:hideMark/>
          </w:tcPr>
          <w:p w14:paraId="327C969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-0.807</w:t>
            </w:r>
          </w:p>
        </w:tc>
        <w:tc>
          <w:tcPr>
            <w:tcW w:w="643" w:type="dxa"/>
            <w:noWrap/>
            <w:vAlign w:val="center"/>
            <w:hideMark/>
          </w:tcPr>
          <w:p w14:paraId="70AAB2D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0.332</w:t>
            </w:r>
          </w:p>
        </w:tc>
        <w:tc>
          <w:tcPr>
            <w:tcW w:w="606" w:type="dxa"/>
            <w:noWrap/>
            <w:vAlign w:val="center"/>
            <w:hideMark/>
          </w:tcPr>
          <w:p w14:paraId="5F9AD51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0.597</w:t>
            </w:r>
          </w:p>
        </w:tc>
        <w:tc>
          <w:tcPr>
            <w:tcW w:w="684" w:type="dxa"/>
            <w:noWrap/>
            <w:vAlign w:val="center"/>
            <w:hideMark/>
          </w:tcPr>
          <w:p w14:paraId="51EDB33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0.133</w:t>
            </w:r>
          </w:p>
        </w:tc>
        <w:tc>
          <w:tcPr>
            <w:tcW w:w="665" w:type="dxa"/>
            <w:noWrap/>
            <w:vAlign w:val="center"/>
            <w:hideMark/>
          </w:tcPr>
          <w:p w14:paraId="27001E7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43" w:type="dxa"/>
            <w:noWrap/>
            <w:vAlign w:val="center"/>
            <w:hideMark/>
          </w:tcPr>
          <w:p w14:paraId="4A9E8A62" w14:textId="77777777" w:rsidR="006B344A" w:rsidRPr="006B344A" w:rsidRDefault="006B344A" w:rsidP="006B344A">
            <w:pPr>
              <w:jc w:val="both"/>
              <w:rPr>
                <w:rFonts w:ascii="Arial" w:hAnsi="Arial" w:cs="Arial"/>
                <w:sz w:val="12"/>
                <w:szCs w:val="12"/>
                <w:lang w:eastAsia="en-IN" w:bidi="hi-IN"/>
              </w:rPr>
            </w:pPr>
          </w:p>
        </w:tc>
        <w:tc>
          <w:tcPr>
            <w:tcW w:w="625" w:type="dxa"/>
            <w:noWrap/>
            <w:vAlign w:val="center"/>
            <w:hideMark/>
          </w:tcPr>
          <w:p w14:paraId="3F2FBDCC"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2591200A"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4B86ECCF"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12379E7D" w14:textId="77777777" w:rsidR="006B344A" w:rsidRPr="006B344A" w:rsidRDefault="006B344A" w:rsidP="006B344A">
            <w:pPr>
              <w:jc w:val="both"/>
              <w:rPr>
                <w:rFonts w:ascii="Arial" w:hAnsi="Arial" w:cs="Arial"/>
                <w:sz w:val="12"/>
                <w:szCs w:val="12"/>
                <w:lang w:eastAsia="en-IN" w:bidi="hi-IN"/>
              </w:rPr>
            </w:pPr>
          </w:p>
        </w:tc>
      </w:tr>
      <w:tr w:rsidR="006B344A" w:rsidRPr="006B344A" w14:paraId="675D7975" w14:textId="77777777" w:rsidTr="00767612">
        <w:trPr>
          <w:trHeight w:val="257"/>
          <w:jc w:val="center"/>
        </w:trPr>
        <w:tc>
          <w:tcPr>
            <w:tcW w:w="985" w:type="dxa"/>
            <w:noWrap/>
            <w:vAlign w:val="center"/>
            <w:hideMark/>
          </w:tcPr>
          <w:p w14:paraId="6010B0B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2-</w:t>
            </w:r>
          </w:p>
        </w:tc>
        <w:tc>
          <w:tcPr>
            <w:tcW w:w="985" w:type="dxa"/>
            <w:noWrap/>
            <w:vAlign w:val="center"/>
            <w:hideMark/>
          </w:tcPr>
          <w:p w14:paraId="7B577C3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-0.382</w:t>
            </w:r>
          </w:p>
        </w:tc>
        <w:tc>
          <w:tcPr>
            <w:tcW w:w="687" w:type="dxa"/>
            <w:noWrap/>
            <w:vAlign w:val="center"/>
            <w:hideMark/>
          </w:tcPr>
          <w:p w14:paraId="66447AB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-0.928</w:t>
            </w:r>
          </w:p>
        </w:tc>
        <w:tc>
          <w:tcPr>
            <w:tcW w:w="643" w:type="dxa"/>
            <w:noWrap/>
            <w:vAlign w:val="center"/>
            <w:hideMark/>
          </w:tcPr>
          <w:p w14:paraId="6C2444F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0.545</w:t>
            </w:r>
          </w:p>
        </w:tc>
        <w:tc>
          <w:tcPr>
            <w:tcW w:w="606" w:type="dxa"/>
            <w:noWrap/>
            <w:vAlign w:val="center"/>
            <w:hideMark/>
          </w:tcPr>
          <w:p w14:paraId="4677E34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0.780</w:t>
            </w:r>
          </w:p>
        </w:tc>
        <w:tc>
          <w:tcPr>
            <w:tcW w:w="684" w:type="dxa"/>
            <w:noWrap/>
            <w:vAlign w:val="center"/>
            <w:hideMark/>
          </w:tcPr>
          <w:p w14:paraId="0056B8F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-0.088</w:t>
            </w:r>
          </w:p>
        </w:tc>
        <w:tc>
          <w:tcPr>
            <w:tcW w:w="665" w:type="dxa"/>
            <w:noWrap/>
            <w:vAlign w:val="center"/>
            <w:hideMark/>
          </w:tcPr>
          <w:p w14:paraId="1A03A37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0.965</w:t>
            </w:r>
          </w:p>
        </w:tc>
        <w:tc>
          <w:tcPr>
            <w:tcW w:w="643" w:type="dxa"/>
            <w:noWrap/>
            <w:vAlign w:val="center"/>
            <w:hideMark/>
          </w:tcPr>
          <w:p w14:paraId="18A2F91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25" w:type="dxa"/>
            <w:noWrap/>
            <w:vAlign w:val="center"/>
            <w:hideMark/>
          </w:tcPr>
          <w:p w14:paraId="3F3B3FBB" w14:textId="77777777" w:rsidR="006B344A" w:rsidRPr="006B344A" w:rsidRDefault="006B344A" w:rsidP="006B344A">
            <w:pPr>
              <w:jc w:val="both"/>
              <w:rPr>
                <w:rFonts w:ascii="Arial" w:hAnsi="Arial" w:cs="Arial"/>
                <w:sz w:val="12"/>
                <w:szCs w:val="12"/>
                <w:lang w:eastAsia="en-IN" w:bidi="hi-IN"/>
              </w:rPr>
            </w:pPr>
          </w:p>
        </w:tc>
        <w:tc>
          <w:tcPr>
            <w:tcW w:w="671" w:type="dxa"/>
            <w:noWrap/>
            <w:vAlign w:val="center"/>
            <w:hideMark/>
          </w:tcPr>
          <w:p w14:paraId="5F08BA6F"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6CE52E01"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2F22DBF8" w14:textId="77777777" w:rsidR="006B344A" w:rsidRPr="006B344A" w:rsidRDefault="006B344A" w:rsidP="006B344A">
            <w:pPr>
              <w:jc w:val="both"/>
              <w:rPr>
                <w:rFonts w:ascii="Arial" w:hAnsi="Arial" w:cs="Arial"/>
                <w:sz w:val="12"/>
                <w:szCs w:val="12"/>
                <w:lang w:eastAsia="en-IN" w:bidi="hi-IN"/>
              </w:rPr>
            </w:pPr>
          </w:p>
        </w:tc>
      </w:tr>
      <w:tr w:rsidR="006B344A" w:rsidRPr="006B344A" w14:paraId="5E0DE813" w14:textId="77777777" w:rsidTr="00767612">
        <w:trPr>
          <w:trHeight w:val="257"/>
          <w:jc w:val="center"/>
        </w:trPr>
        <w:tc>
          <w:tcPr>
            <w:tcW w:w="985" w:type="dxa"/>
            <w:noWrap/>
            <w:vAlign w:val="center"/>
            <w:hideMark/>
          </w:tcPr>
          <w:p w14:paraId="0809587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PO</w:t>
            </w:r>
            <w:r w:rsidRPr="006B344A">
              <w:rPr>
                <w:rFonts w:ascii="Arial" w:hAnsi="Arial" w:cs="Arial"/>
                <w:sz w:val="12"/>
                <w:szCs w:val="12"/>
                <w:vertAlign w:val="subscript"/>
                <w:lang w:eastAsia="en-IN" w:bidi="hi-IN"/>
              </w:rPr>
              <w:t>4</w:t>
            </w:r>
            <w:r w:rsidRPr="006B344A">
              <w:rPr>
                <w:rFonts w:ascii="Arial" w:hAnsi="Arial" w:cs="Arial"/>
                <w:sz w:val="12"/>
                <w:szCs w:val="12"/>
                <w:vertAlign w:val="superscript"/>
                <w:lang w:eastAsia="en-IN" w:bidi="hi-IN"/>
              </w:rPr>
              <w:t>3</w:t>
            </w:r>
          </w:p>
        </w:tc>
        <w:tc>
          <w:tcPr>
            <w:tcW w:w="985" w:type="dxa"/>
            <w:noWrap/>
            <w:vAlign w:val="center"/>
            <w:hideMark/>
          </w:tcPr>
          <w:p w14:paraId="6993BAB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0.907</w:t>
            </w:r>
          </w:p>
        </w:tc>
        <w:tc>
          <w:tcPr>
            <w:tcW w:w="687" w:type="dxa"/>
            <w:noWrap/>
            <w:vAlign w:val="center"/>
            <w:hideMark/>
          </w:tcPr>
          <w:p w14:paraId="636E4D5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0.103</w:t>
            </w:r>
          </w:p>
        </w:tc>
        <w:tc>
          <w:tcPr>
            <w:tcW w:w="643" w:type="dxa"/>
            <w:noWrap/>
            <w:vAlign w:val="center"/>
            <w:hideMark/>
          </w:tcPr>
          <w:p w14:paraId="1999635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-0.459</w:t>
            </w:r>
          </w:p>
        </w:tc>
        <w:tc>
          <w:tcPr>
            <w:tcW w:w="606" w:type="dxa"/>
            <w:noWrap/>
            <w:vAlign w:val="center"/>
            <w:hideMark/>
          </w:tcPr>
          <w:p w14:paraId="2C85A41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0.018</w:t>
            </w:r>
          </w:p>
        </w:tc>
        <w:tc>
          <w:tcPr>
            <w:tcW w:w="684" w:type="dxa"/>
            <w:noWrap/>
            <w:vAlign w:val="center"/>
            <w:hideMark/>
          </w:tcPr>
          <w:p w14:paraId="1DF45D1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0.450</w:t>
            </w:r>
          </w:p>
        </w:tc>
        <w:tc>
          <w:tcPr>
            <w:tcW w:w="665" w:type="dxa"/>
            <w:noWrap/>
            <w:vAlign w:val="center"/>
            <w:hideMark/>
          </w:tcPr>
          <w:p w14:paraId="42A3522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-0.333</w:t>
            </w:r>
          </w:p>
        </w:tc>
        <w:tc>
          <w:tcPr>
            <w:tcW w:w="643" w:type="dxa"/>
            <w:noWrap/>
            <w:vAlign w:val="center"/>
            <w:hideMark/>
          </w:tcPr>
          <w:p w14:paraId="0E93A17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-0.313</w:t>
            </w:r>
          </w:p>
        </w:tc>
        <w:tc>
          <w:tcPr>
            <w:tcW w:w="625" w:type="dxa"/>
            <w:noWrap/>
            <w:vAlign w:val="center"/>
            <w:hideMark/>
          </w:tcPr>
          <w:p w14:paraId="50A669B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71" w:type="dxa"/>
            <w:noWrap/>
            <w:vAlign w:val="center"/>
            <w:hideMark/>
          </w:tcPr>
          <w:p w14:paraId="1B3335C7" w14:textId="77777777" w:rsidR="006B344A" w:rsidRPr="006B344A" w:rsidRDefault="006B344A" w:rsidP="006B344A">
            <w:pPr>
              <w:jc w:val="both"/>
              <w:rPr>
                <w:rFonts w:ascii="Arial" w:hAnsi="Arial" w:cs="Arial"/>
                <w:sz w:val="12"/>
                <w:szCs w:val="12"/>
                <w:lang w:eastAsia="en-IN" w:bidi="hi-IN"/>
              </w:rPr>
            </w:pPr>
          </w:p>
        </w:tc>
        <w:tc>
          <w:tcPr>
            <w:tcW w:w="664" w:type="dxa"/>
            <w:noWrap/>
            <w:vAlign w:val="center"/>
            <w:hideMark/>
          </w:tcPr>
          <w:p w14:paraId="16A2DD06"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0105FED5" w14:textId="77777777" w:rsidR="006B344A" w:rsidRPr="006B344A" w:rsidRDefault="006B344A" w:rsidP="006B344A">
            <w:pPr>
              <w:jc w:val="both"/>
              <w:rPr>
                <w:rFonts w:ascii="Arial" w:hAnsi="Arial" w:cs="Arial"/>
                <w:sz w:val="12"/>
                <w:szCs w:val="12"/>
                <w:lang w:eastAsia="en-IN" w:bidi="hi-IN"/>
              </w:rPr>
            </w:pPr>
          </w:p>
        </w:tc>
      </w:tr>
      <w:tr w:rsidR="006B344A" w:rsidRPr="006B344A" w14:paraId="0A115F86" w14:textId="77777777" w:rsidTr="00767612">
        <w:trPr>
          <w:trHeight w:val="257"/>
          <w:jc w:val="center"/>
        </w:trPr>
        <w:tc>
          <w:tcPr>
            <w:tcW w:w="985" w:type="dxa"/>
            <w:noWrap/>
            <w:vAlign w:val="center"/>
            <w:hideMark/>
          </w:tcPr>
          <w:p w14:paraId="568D11A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lastRenderedPageBreak/>
              <w:t>Silicate</w:t>
            </w:r>
          </w:p>
        </w:tc>
        <w:tc>
          <w:tcPr>
            <w:tcW w:w="985" w:type="dxa"/>
            <w:noWrap/>
            <w:vAlign w:val="center"/>
            <w:hideMark/>
          </w:tcPr>
          <w:p w14:paraId="7CEBC09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-0.027</w:t>
            </w:r>
          </w:p>
        </w:tc>
        <w:tc>
          <w:tcPr>
            <w:tcW w:w="687" w:type="dxa"/>
            <w:noWrap/>
            <w:vAlign w:val="center"/>
            <w:hideMark/>
          </w:tcPr>
          <w:p w14:paraId="7B4810C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-0.517</w:t>
            </w:r>
          </w:p>
        </w:tc>
        <w:tc>
          <w:tcPr>
            <w:tcW w:w="643" w:type="dxa"/>
            <w:noWrap/>
            <w:vAlign w:val="center"/>
            <w:hideMark/>
          </w:tcPr>
          <w:p w14:paraId="16B9B8A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0.970</w:t>
            </w:r>
          </w:p>
        </w:tc>
        <w:tc>
          <w:tcPr>
            <w:tcW w:w="606" w:type="dxa"/>
            <w:noWrap/>
            <w:vAlign w:val="center"/>
            <w:hideMark/>
          </w:tcPr>
          <w:p w14:paraId="6DECD3D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0.663</w:t>
            </w:r>
          </w:p>
        </w:tc>
        <w:tc>
          <w:tcPr>
            <w:tcW w:w="684" w:type="dxa"/>
            <w:noWrap/>
            <w:vAlign w:val="center"/>
            <w:hideMark/>
          </w:tcPr>
          <w:p w14:paraId="31872F9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-0.965</w:t>
            </w:r>
          </w:p>
        </w:tc>
        <w:tc>
          <w:tcPr>
            <w:tcW w:w="665" w:type="dxa"/>
            <w:noWrap/>
            <w:vAlign w:val="center"/>
            <w:hideMark/>
          </w:tcPr>
          <w:p w14:paraId="2A39FAC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0.091</w:t>
            </w:r>
          </w:p>
        </w:tc>
        <w:tc>
          <w:tcPr>
            <w:tcW w:w="643" w:type="dxa"/>
            <w:noWrap/>
            <w:vAlign w:val="center"/>
            <w:hideMark/>
          </w:tcPr>
          <w:p w14:paraId="0D56FB0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0.324</w:t>
            </w:r>
          </w:p>
        </w:tc>
        <w:tc>
          <w:tcPr>
            <w:tcW w:w="625" w:type="dxa"/>
            <w:noWrap/>
            <w:vAlign w:val="center"/>
            <w:hideMark/>
          </w:tcPr>
          <w:p w14:paraId="5CE9787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-0.407</w:t>
            </w:r>
          </w:p>
        </w:tc>
        <w:tc>
          <w:tcPr>
            <w:tcW w:w="671" w:type="dxa"/>
            <w:noWrap/>
            <w:vAlign w:val="center"/>
            <w:hideMark/>
          </w:tcPr>
          <w:p w14:paraId="03BE374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64" w:type="dxa"/>
            <w:noWrap/>
            <w:vAlign w:val="center"/>
            <w:hideMark/>
          </w:tcPr>
          <w:p w14:paraId="335C8447" w14:textId="77777777" w:rsidR="006B344A" w:rsidRPr="006B344A" w:rsidRDefault="006B344A" w:rsidP="006B344A">
            <w:pPr>
              <w:jc w:val="both"/>
              <w:rPr>
                <w:rFonts w:ascii="Arial" w:hAnsi="Arial" w:cs="Arial"/>
                <w:sz w:val="12"/>
                <w:szCs w:val="12"/>
                <w:lang w:eastAsia="en-IN" w:bidi="hi-IN"/>
              </w:rPr>
            </w:pPr>
          </w:p>
        </w:tc>
        <w:tc>
          <w:tcPr>
            <w:tcW w:w="390" w:type="dxa"/>
            <w:noWrap/>
            <w:vAlign w:val="center"/>
            <w:hideMark/>
          </w:tcPr>
          <w:p w14:paraId="7F4B6291" w14:textId="77777777" w:rsidR="006B344A" w:rsidRPr="006B344A" w:rsidRDefault="006B344A" w:rsidP="006B344A">
            <w:pPr>
              <w:jc w:val="both"/>
              <w:rPr>
                <w:rFonts w:ascii="Arial" w:hAnsi="Arial" w:cs="Arial"/>
                <w:sz w:val="12"/>
                <w:szCs w:val="12"/>
                <w:lang w:eastAsia="en-IN" w:bidi="hi-IN"/>
              </w:rPr>
            </w:pPr>
          </w:p>
        </w:tc>
      </w:tr>
      <w:tr w:rsidR="006B344A" w:rsidRPr="006B344A" w14:paraId="44396930" w14:textId="77777777" w:rsidTr="00767612">
        <w:trPr>
          <w:trHeight w:val="257"/>
          <w:jc w:val="center"/>
        </w:trPr>
        <w:tc>
          <w:tcPr>
            <w:tcW w:w="985" w:type="dxa"/>
            <w:noWrap/>
            <w:vAlign w:val="center"/>
            <w:hideMark/>
          </w:tcPr>
          <w:p w14:paraId="578A3B1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PP</w:t>
            </w:r>
          </w:p>
        </w:tc>
        <w:tc>
          <w:tcPr>
            <w:tcW w:w="985" w:type="dxa"/>
            <w:noWrap/>
            <w:vAlign w:val="center"/>
            <w:hideMark/>
          </w:tcPr>
          <w:p w14:paraId="6D0AEAE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-0.499</w:t>
            </w:r>
            <w:r w:rsidRPr="006B344A">
              <w:rPr>
                <w:rFonts w:ascii="Arial" w:hAnsi="Arial" w:cs="Arial"/>
                <w:sz w:val="12"/>
                <w:szCs w:val="12"/>
                <w:vertAlign w:val="superscript"/>
                <w:lang w:eastAsia="en-IN" w:bidi="hi-IN"/>
              </w:rPr>
              <w:t>@</w:t>
            </w:r>
          </w:p>
        </w:tc>
        <w:tc>
          <w:tcPr>
            <w:tcW w:w="687" w:type="dxa"/>
            <w:noWrap/>
            <w:vAlign w:val="center"/>
            <w:hideMark/>
          </w:tcPr>
          <w:p w14:paraId="56E192A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-0.814**</w:t>
            </w:r>
          </w:p>
        </w:tc>
        <w:tc>
          <w:tcPr>
            <w:tcW w:w="643" w:type="dxa"/>
            <w:noWrap/>
            <w:vAlign w:val="center"/>
            <w:hideMark/>
          </w:tcPr>
          <w:p w14:paraId="26C4E81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0.870**</w:t>
            </w:r>
          </w:p>
        </w:tc>
        <w:tc>
          <w:tcPr>
            <w:tcW w:w="606" w:type="dxa"/>
            <w:noWrap/>
            <w:vAlign w:val="center"/>
            <w:hideMark/>
          </w:tcPr>
          <w:p w14:paraId="6B07994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0.751*</w:t>
            </w:r>
          </w:p>
        </w:tc>
        <w:tc>
          <w:tcPr>
            <w:tcW w:w="684" w:type="dxa"/>
            <w:noWrap/>
            <w:vAlign w:val="center"/>
            <w:hideMark/>
          </w:tcPr>
          <w:p w14:paraId="1D8F64F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-0.587*</w:t>
            </w:r>
          </w:p>
        </w:tc>
        <w:tc>
          <w:tcPr>
            <w:tcW w:w="665" w:type="dxa"/>
            <w:noWrap/>
            <w:vAlign w:val="center"/>
            <w:hideMark/>
          </w:tcPr>
          <w:p w14:paraId="21208E6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0.721*</w:t>
            </w:r>
          </w:p>
        </w:tc>
        <w:tc>
          <w:tcPr>
            <w:tcW w:w="643" w:type="dxa"/>
            <w:noWrap/>
            <w:vAlign w:val="center"/>
            <w:hideMark/>
          </w:tcPr>
          <w:p w14:paraId="7902D96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0.835**</w:t>
            </w:r>
          </w:p>
        </w:tc>
        <w:tc>
          <w:tcPr>
            <w:tcW w:w="625" w:type="dxa"/>
            <w:noWrap/>
            <w:vAlign w:val="center"/>
            <w:hideMark/>
          </w:tcPr>
          <w:p w14:paraId="7D5A5CA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-0.644*</w:t>
            </w:r>
          </w:p>
        </w:tc>
        <w:tc>
          <w:tcPr>
            <w:tcW w:w="671" w:type="dxa"/>
            <w:noWrap/>
            <w:vAlign w:val="center"/>
            <w:hideMark/>
          </w:tcPr>
          <w:p w14:paraId="0EA0E9E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0.733*</w:t>
            </w:r>
          </w:p>
        </w:tc>
        <w:tc>
          <w:tcPr>
            <w:tcW w:w="664" w:type="dxa"/>
            <w:noWrap/>
            <w:vAlign w:val="center"/>
            <w:hideMark/>
          </w:tcPr>
          <w:p w14:paraId="4E3A132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390" w:type="dxa"/>
            <w:noWrap/>
            <w:vAlign w:val="center"/>
            <w:hideMark/>
          </w:tcPr>
          <w:p w14:paraId="24FE20B4" w14:textId="77777777" w:rsidR="006B344A" w:rsidRPr="006B344A" w:rsidRDefault="006B344A" w:rsidP="006B344A">
            <w:pPr>
              <w:jc w:val="both"/>
              <w:rPr>
                <w:rFonts w:ascii="Arial" w:hAnsi="Arial" w:cs="Arial"/>
                <w:sz w:val="12"/>
                <w:szCs w:val="12"/>
                <w:lang w:eastAsia="en-IN" w:bidi="hi-IN"/>
              </w:rPr>
            </w:pPr>
          </w:p>
        </w:tc>
      </w:tr>
      <w:tr w:rsidR="006B344A" w:rsidRPr="006B344A" w14:paraId="0E6A93CB" w14:textId="77777777" w:rsidTr="00767612">
        <w:trPr>
          <w:trHeight w:val="264"/>
          <w:jc w:val="center"/>
        </w:trPr>
        <w:tc>
          <w:tcPr>
            <w:tcW w:w="985" w:type="dxa"/>
            <w:noWrap/>
            <w:vAlign w:val="center"/>
            <w:hideMark/>
          </w:tcPr>
          <w:p w14:paraId="6985416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ZP</w:t>
            </w:r>
          </w:p>
        </w:tc>
        <w:tc>
          <w:tcPr>
            <w:tcW w:w="985" w:type="dxa"/>
            <w:noWrap/>
            <w:vAlign w:val="center"/>
            <w:hideMark/>
          </w:tcPr>
          <w:p w14:paraId="382C27D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-0.653*</w:t>
            </w:r>
          </w:p>
        </w:tc>
        <w:tc>
          <w:tcPr>
            <w:tcW w:w="687" w:type="dxa"/>
            <w:noWrap/>
            <w:vAlign w:val="center"/>
            <w:hideMark/>
          </w:tcPr>
          <w:p w14:paraId="1101989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0.630*</w:t>
            </w:r>
          </w:p>
        </w:tc>
        <w:tc>
          <w:tcPr>
            <w:tcW w:w="643" w:type="dxa"/>
            <w:noWrap/>
            <w:vAlign w:val="center"/>
            <w:hideMark/>
          </w:tcPr>
          <w:p w14:paraId="0547636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-0.118</w:t>
            </w:r>
            <w:r w:rsidRPr="006B344A">
              <w:rPr>
                <w:rFonts w:ascii="Arial" w:hAnsi="Arial" w:cs="Arial"/>
                <w:sz w:val="12"/>
                <w:szCs w:val="12"/>
                <w:vertAlign w:val="superscript"/>
                <w:lang w:eastAsia="en-IN" w:bidi="hi-IN"/>
              </w:rPr>
              <w:t>@</w:t>
            </w:r>
          </w:p>
        </w:tc>
        <w:tc>
          <w:tcPr>
            <w:tcW w:w="606" w:type="dxa"/>
            <w:noWrap/>
            <w:vAlign w:val="center"/>
            <w:hideMark/>
          </w:tcPr>
          <w:p w14:paraId="1EBDF12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-0.685*</w:t>
            </w:r>
          </w:p>
        </w:tc>
        <w:tc>
          <w:tcPr>
            <w:tcW w:w="684" w:type="dxa"/>
            <w:noWrap/>
            <w:vAlign w:val="center"/>
            <w:hideMark/>
          </w:tcPr>
          <w:p w14:paraId="77D9A44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-0.178</w:t>
            </w:r>
            <w:r w:rsidRPr="006B344A">
              <w:rPr>
                <w:rFonts w:ascii="Arial" w:hAnsi="Arial" w:cs="Arial"/>
                <w:sz w:val="12"/>
                <w:szCs w:val="12"/>
                <w:vertAlign w:val="superscript"/>
                <w:lang w:eastAsia="en-IN" w:bidi="hi-IN"/>
              </w:rPr>
              <w:t>@</w:t>
            </w:r>
          </w:p>
        </w:tc>
        <w:tc>
          <w:tcPr>
            <w:tcW w:w="665" w:type="dxa"/>
            <w:noWrap/>
            <w:vAlign w:val="center"/>
            <w:hideMark/>
          </w:tcPr>
          <w:p w14:paraId="7381528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-0.326</w:t>
            </w:r>
            <w:r w:rsidRPr="006B344A">
              <w:rPr>
                <w:rFonts w:ascii="Arial" w:hAnsi="Arial" w:cs="Arial"/>
                <w:sz w:val="12"/>
                <w:szCs w:val="12"/>
                <w:vertAlign w:val="superscript"/>
                <w:lang w:eastAsia="en-IN" w:bidi="hi-IN"/>
              </w:rPr>
              <w:t>@</w:t>
            </w:r>
          </w:p>
        </w:tc>
        <w:tc>
          <w:tcPr>
            <w:tcW w:w="643" w:type="dxa"/>
            <w:noWrap/>
            <w:vAlign w:val="center"/>
            <w:hideMark/>
          </w:tcPr>
          <w:p w14:paraId="4348BBC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-0.422</w:t>
            </w:r>
            <w:r w:rsidRPr="006B344A">
              <w:rPr>
                <w:rFonts w:ascii="Arial" w:hAnsi="Arial" w:cs="Arial"/>
                <w:sz w:val="12"/>
                <w:szCs w:val="12"/>
                <w:vertAlign w:val="superscript"/>
                <w:lang w:eastAsia="en-IN" w:bidi="hi-IN"/>
              </w:rPr>
              <w:t>@</w:t>
            </w:r>
          </w:p>
        </w:tc>
        <w:tc>
          <w:tcPr>
            <w:tcW w:w="625" w:type="dxa"/>
            <w:noWrap/>
            <w:vAlign w:val="center"/>
            <w:hideMark/>
          </w:tcPr>
          <w:p w14:paraId="5858589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-0.708*</w:t>
            </w:r>
          </w:p>
        </w:tc>
        <w:tc>
          <w:tcPr>
            <w:tcW w:w="671" w:type="dxa"/>
            <w:noWrap/>
            <w:vAlign w:val="center"/>
            <w:hideMark/>
          </w:tcPr>
          <w:p w14:paraId="504BABD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-0.030</w:t>
            </w:r>
            <w:r w:rsidRPr="006B344A">
              <w:rPr>
                <w:rFonts w:ascii="Arial" w:hAnsi="Arial" w:cs="Arial"/>
                <w:sz w:val="12"/>
                <w:szCs w:val="12"/>
                <w:vertAlign w:val="superscript"/>
                <w:lang w:eastAsia="en-IN" w:bidi="hi-IN"/>
              </w:rPr>
              <w:t>@</w:t>
            </w:r>
          </w:p>
        </w:tc>
        <w:tc>
          <w:tcPr>
            <w:tcW w:w="664" w:type="dxa"/>
            <w:noWrap/>
            <w:vAlign w:val="center"/>
            <w:hideMark/>
          </w:tcPr>
          <w:p w14:paraId="020D25A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-0.071</w:t>
            </w:r>
            <w:r w:rsidRPr="006B344A">
              <w:rPr>
                <w:rFonts w:ascii="Arial" w:hAnsi="Arial" w:cs="Arial"/>
                <w:sz w:val="12"/>
                <w:szCs w:val="12"/>
                <w:vertAlign w:val="superscript"/>
                <w:lang w:eastAsia="en-IN" w:bidi="hi-IN"/>
              </w:rPr>
              <w:t>@</w:t>
            </w:r>
          </w:p>
        </w:tc>
        <w:tc>
          <w:tcPr>
            <w:tcW w:w="390" w:type="dxa"/>
            <w:noWrap/>
            <w:vAlign w:val="center"/>
            <w:hideMark/>
          </w:tcPr>
          <w:p w14:paraId="4D6A9F3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r>
    </w:tbl>
    <w:p w14:paraId="29B48D91" w14:textId="77777777" w:rsidR="006B344A" w:rsidRPr="006B344A" w:rsidRDefault="006B344A" w:rsidP="006B344A">
      <w:pPr>
        <w:jc w:val="both"/>
        <w:rPr>
          <w:rFonts w:ascii="Arial" w:hAnsi="Arial" w:cs="Arial"/>
          <w:sz w:val="20"/>
          <w:szCs w:val="20"/>
        </w:rPr>
      </w:pPr>
    </w:p>
    <w:p w14:paraId="0EA7BDB5" w14:textId="77777777" w:rsidR="006B344A" w:rsidRPr="006B344A" w:rsidRDefault="006B344A" w:rsidP="006B344A">
      <w:pPr>
        <w:jc w:val="both"/>
        <w:rPr>
          <w:rFonts w:ascii="Arial" w:hAnsi="Arial" w:cs="Arial"/>
          <w:sz w:val="20"/>
          <w:szCs w:val="20"/>
        </w:rPr>
      </w:pPr>
      <w:r>
        <w:rPr>
          <w:rFonts w:ascii="Arial" w:eastAsia="Arial" w:hAnsi="Arial" w:cs="Arial"/>
          <w:sz w:val="20"/>
          <w:szCs w:val="20"/>
        </w:rPr>
        <w:t>P =</w:t>
      </w:r>
      <w:r w:rsidRPr="006B344A">
        <w:rPr>
          <w:rFonts w:ascii="Arial" w:eastAsia="Arial" w:hAnsi="Arial" w:cs="Arial"/>
          <w:sz w:val="20"/>
          <w:szCs w:val="20"/>
        </w:rPr>
        <w:t xml:space="preserve">.05 </w:t>
      </w:r>
      <w:r w:rsidRPr="006B344A">
        <w:rPr>
          <w:rFonts w:ascii="Arial" w:eastAsia="Arial" w:hAnsi="Arial" w:cs="Arial"/>
          <w:sz w:val="20"/>
          <w:szCs w:val="20"/>
          <w:vertAlign w:val="superscript"/>
        </w:rPr>
        <w:t>**</w:t>
      </w:r>
      <w:r>
        <w:rPr>
          <w:rFonts w:ascii="Arial" w:eastAsia="Arial" w:hAnsi="Arial" w:cs="Arial"/>
          <w:sz w:val="20"/>
          <w:szCs w:val="20"/>
        </w:rPr>
        <w:t>P=</w:t>
      </w:r>
      <w:r w:rsidRPr="006B344A">
        <w:rPr>
          <w:rFonts w:ascii="Arial" w:eastAsia="Arial" w:hAnsi="Arial" w:cs="Arial"/>
          <w:sz w:val="20"/>
          <w:szCs w:val="20"/>
        </w:rPr>
        <w:t xml:space="preserve">.01 </w:t>
      </w:r>
      <w:r w:rsidRPr="006B344A">
        <w:rPr>
          <w:rFonts w:ascii="Arial" w:eastAsia="Arial" w:hAnsi="Arial" w:cs="Arial"/>
          <w:sz w:val="20"/>
          <w:szCs w:val="20"/>
          <w:vertAlign w:val="superscript"/>
        </w:rPr>
        <w:t>@</w:t>
      </w:r>
      <w:r w:rsidRPr="006B344A">
        <w:rPr>
          <w:rFonts w:ascii="Arial" w:eastAsia="Arial" w:hAnsi="Arial" w:cs="Arial"/>
          <w:sz w:val="20"/>
          <w:szCs w:val="20"/>
        </w:rPr>
        <w:t>NS not significant</w:t>
      </w:r>
      <w:r w:rsidRPr="006B344A">
        <w:rPr>
          <w:rFonts w:ascii="Arial" w:hAnsi="Arial" w:cs="Arial"/>
          <w:sz w:val="20"/>
          <w:szCs w:val="20"/>
        </w:rPr>
        <w:t xml:space="preserve"> </w:t>
      </w:r>
      <w:r w:rsidRPr="006B344A">
        <w:rPr>
          <w:rFonts w:ascii="Arial" w:eastAsia="Arial" w:hAnsi="Arial" w:cs="Arial"/>
          <w:sz w:val="20"/>
          <w:szCs w:val="20"/>
        </w:rPr>
        <w:t>PP – phytoplankton; ZP – zooplankton</w:t>
      </w:r>
    </w:p>
    <w:p w14:paraId="54258DE9"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The correlation coefficient values calculated for phytoplankton abundance with that of zooplankton versus various water quality parameters among the fishing zones during the study peri</w:t>
      </w:r>
      <w:r>
        <w:rPr>
          <w:rFonts w:ascii="Arial" w:eastAsia="Arial" w:hAnsi="Arial" w:cs="Arial"/>
          <w:sz w:val="20"/>
          <w:szCs w:val="20"/>
        </w:rPr>
        <w:t>od are tabulated in Table 1</w:t>
      </w:r>
      <w:r w:rsidRPr="006B344A">
        <w:rPr>
          <w:rFonts w:ascii="Arial" w:eastAsia="Arial" w:hAnsi="Arial" w:cs="Arial"/>
          <w:sz w:val="20"/>
          <w:szCs w:val="20"/>
        </w:rPr>
        <w:t>. Phytoplankton exhibited a positive correlation with pH and nitrite at P &lt; 0.01. Salinity exhibited a negative correlation wi</w:t>
      </w:r>
      <w:r>
        <w:rPr>
          <w:rFonts w:ascii="Arial" w:eastAsia="Arial" w:hAnsi="Arial" w:cs="Arial"/>
          <w:sz w:val="20"/>
          <w:szCs w:val="20"/>
        </w:rPr>
        <w:t>th a high significance value (P=</w:t>
      </w:r>
      <w:r w:rsidRPr="006B344A">
        <w:rPr>
          <w:rFonts w:ascii="Arial" w:eastAsia="Arial" w:hAnsi="Arial" w:cs="Arial"/>
          <w:sz w:val="20"/>
          <w:szCs w:val="20"/>
        </w:rPr>
        <w:t xml:space="preserve"> .01). Phytoplankton showed a positive correlation with DO, nitrate, and silicate at P&lt; 0.05 level; whereas a negative correlation with ammonia and phosphate (P&lt; 0.05). Phytoplankton abundance did not correlate significantly with temperature. The zooplankton exhibited a negative relationship with temperature, DO, and phosphate at P &lt; 0.05, whereas there was a positive correlation with salinity (P &lt; 0.05). Zooplankton showed no significant correlation with pH, ammonia, nitrate, nitrite, or silicate, or with phytoplankton.</w:t>
      </w:r>
    </w:p>
    <w:p w14:paraId="3FC21696" w14:textId="7DAAFD3F" w:rsidR="006B344A" w:rsidRPr="006B344A" w:rsidRDefault="006B344A" w:rsidP="006B344A">
      <w:pPr>
        <w:jc w:val="center"/>
        <w:rPr>
          <w:rFonts w:ascii="Arial" w:hAnsi="Arial" w:cs="Arial"/>
          <w:b/>
          <w:bCs/>
          <w:sz w:val="20"/>
          <w:szCs w:val="20"/>
        </w:rPr>
      </w:pPr>
      <w:r w:rsidRPr="006B344A">
        <w:rPr>
          <w:rFonts w:ascii="Arial" w:hAnsi="Arial" w:cs="Arial"/>
          <w:b/>
          <w:bCs/>
          <w:sz w:val="20"/>
          <w:szCs w:val="20"/>
        </w:rPr>
        <w:t>Table 2.</w:t>
      </w:r>
      <w:r w:rsidR="00B221D5">
        <w:rPr>
          <w:rFonts w:ascii="Arial" w:hAnsi="Arial" w:cs="Arial"/>
          <w:b/>
          <w:bCs/>
          <w:sz w:val="20"/>
          <w:szCs w:val="20"/>
        </w:rPr>
        <w:t xml:space="preserve"> </w:t>
      </w:r>
      <w:r w:rsidR="00B221D5">
        <w:rPr>
          <w:rFonts w:ascii="Arial" w:eastAsia="Arial" w:hAnsi="Arial" w:cs="Arial"/>
          <w:sz w:val="20"/>
          <w:szCs w:val="20"/>
        </w:rPr>
        <w:t>Z</w:t>
      </w:r>
      <w:r w:rsidR="00B221D5" w:rsidRPr="006B344A">
        <w:rPr>
          <w:rFonts w:ascii="Arial" w:eastAsia="Arial" w:hAnsi="Arial" w:cs="Arial"/>
          <w:sz w:val="20"/>
          <w:szCs w:val="20"/>
        </w:rPr>
        <w:t>ooplankton versus various water quality parameters among the non-fishing zones</w:t>
      </w:r>
    </w:p>
    <w:tbl>
      <w:tblPr>
        <w:tblW w:w="8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0"/>
        <w:gridCol w:w="610"/>
        <w:gridCol w:w="701"/>
        <w:gridCol w:w="709"/>
        <w:gridCol w:w="708"/>
        <w:gridCol w:w="709"/>
        <w:gridCol w:w="598"/>
        <w:gridCol w:w="709"/>
        <w:gridCol w:w="709"/>
        <w:gridCol w:w="610"/>
        <w:gridCol w:w="370"/>
      </w:tblGrid>
      <w:tr w:rsidR="006B344A" w:rsidRPr="006B344A" w14:paraId="0AE3A6A6" w14:textId="77777777" w:rsidTr="00767612">
        <w:trPr>
          <w:trHeight w:val="292"/>
          <w:jc w:val="center"/>
        </w:trPr>
        <w:tc>
          <w:tcPr>
            <w:tcW w:w="870" w:type="dxa"/>
            <w:noWrap/>
            <w:vAlign w:val="center"/>
            <w:hideMark/>
          </w:tcPr>
          <w:p w14:paraId="13E94466" w14:textId="77777777" w:rsidR="006B344A" w:rsidRPr="006B344A" w:rsidRDefault="006B344A" w:rsidP="006B344A">
            <w:pPr>
              <w:jc w:val="both"/>
              <w:rPr>
                <w:rFonts w:ascii="Arial" w:hAnsi="Arial" w:cs="Arial"/>
                <w:sz w:val="12"/>
                <w:szCs w:val="12"/>
                <w:lang w:eastAsia="en-IN" w:bidi="hi-IN"/>
              </w:rPr>
            </w:pPr>
          </w:p>
        </w:tc>
        <w:tc>
          <w:tcPr>
            <w:tcW w:w="870" w:type="dxa"/>
            <w:noWrap/>
            <w:vAlign w:val="center"/>
            <w:hideMark/>
          </w:tcPr>
          <w:p w14:paraId="76F1B09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Temperature</w:t>
            </w:r>
          </w:p>
        </w:tc>
        <w:tc>
          <w:tcPr>
            <w:tcW w:w="610" w:type="dxa"/>
            <w:noWrap/>
            <w:vAlign w:val="center"/>
            <w:hideMark/>
          </w:tcPr>
          <w:p w14:paraId="311102F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Salinity</w:t>
            </w:r>
          </w:p>
        </w:tc>
        <w:tc>
          <w:tcPr>
            <w:tcW w:w="701" w:type="dxa"/>
            <w:noWrap/>
            <w:vAlign w:val="center"/>
            <w:hideMark/>
          </w:tcPr>
          <w:p w14:paraId="74AAF99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pH</w:t>
            </w:r>
          </w:p>
        </w:tc>
        <w:tc>
          <w:tcPr>
            <w:tcW w:w="709" w:type="dxa"/>
            <w:noWrap/>
            <w:vAlign w:val="center"/>
            <w:hideMark/>
          </w:tcPr>
          <w:p w14:paraId="5E371E5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DO</w:t>
            </w:r>
          </w:p>
        </w:tc>
        <w:tc>
          <w:tcPr>
            <w:tcW w:w="708" w:type="dxa"/>
            <w:noWrap/>
            <w:vAlign w:val="center"/>
            <w:hideMark/>
          </w:tcPr>
          <w:p w14:paraId="0393672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NH</w:t>
            </w:r>
            <w:r w:rsidRPr="006B344A">
              <w:rPr>
                <w:rFonts w:ascii="Arial" w:hAnsi="Arial" w:cs="Arial"/>
                <w:sz w:val="12"/>
                <w:szCs w:val="12"/>
                <w:vertAlign w:val="subscript"/>
                <w:lang w:eastAsia="en-IN" w:bidi="hi-IN"/>
              </w:rPr>
              <w:t>3</w:t>
            </w:r>
          </w:p>
        </w:tc>
        <w:tc>
          <w:tcPr>
            <w:tcW w:w="709" w:type="dxa"/>
            <w:noWrap/>
            <w:vAlign w:val="center"/>
            <w:hideMark/>
          </w:tcPr>
          <w:p w14:paraId="48E895C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3-</w:t>
            </w:r>
          </w:p>
        </w:tc>
        <w:tc>
          <w:tcPr>
            <w:tcW w:w="567" w:type="dxa"/>
            <w:noWrap/>
            <w:vAlign w:val="center"/>
            <w:hideMark/>
          </w:tcPr>
          <w:p w14:paraId="1DC630D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2-</w:t>
            </w:r>
          </w:p>
        </w:tc>
        <w:tc>
          <w:tcPr>
            <w:tcW w:w="709" w:type="dxa"/>
            <w:noWrap/>
            <w:vAlign w:val="center"/>
            <w:hideMark/>
          </w:tcPr>
          <w:p w14:paraId="574C30C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PO</w:t>
            </w:r>
            <w:r w:rsidRPr="006B344A">
              <w:rPr>
                <w:rFonts w:ascii="Arial" w:hAnsi="Arial" w:cs="Arial"/>
                <w:sz w:val="12"/>
                <w:szCs w:val="12"/>
                <w:vertAlign w:val="subscript"/>
                <w:lang w:eastAsia="en-IN" w:bidi="hi-IN"/>
              </w:rPr>
              <w:t>4</w:t>
            </w:r>
            <w:r w:rsidRPr="006B344A">
              <w:rPr>
                <w:rFonts w:ascii="Arial" w:hAnsi="Arial" w:cs="Arial"/>
                <w:sz w:val="12"/>
                <w:szCs w:val="12"/>
                <w:vertAlign w:val="superscript"/>
                <w:lang w:eastAsia="en-IN" w:bidi="hi-IN"/>
              </w:rPr>
              <w:t>3</w:t>
            </w:r>
          </w:p>
        </w:tc>
        <w:tc>
          <w:tcPr>
            <w:tcW w:w="709" w:type="dxa"/>
            <w:noWrap/>
            <w:vAlign w:val="center"/>
            <w:hideMark/>
          </w:tcPr>
          <w:p w14:paraId="20F8DEA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Silicate</w:t>
            </w:r>
          </w:p>
        </w:tc>
        <w:tc>
          <w:tcPr>
            <w:tcW w:w="610" w:type="dxa"/>
            <w:noWrap/>
            <w:vAlign w:val="center"/>
            <w:hideMark/>
          </w:tcPr>
          <w:p w14:paraId="0682464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PP</w:t>
            </w:r>
          </w:p>
        </w:tc>
        <w:tc>
          <w:tcPr>
            <w:tcW w:w="240" w:type="dxa"/>
            <w:noWrap/>
            <w:vAlign w:val="center"/>
            <w:hideMark/>
          </w:tcPr>
          <w:p w14:paraId="4ECF89B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ZP</w:t>
            </w:r>
          </w:p>
        </w:tc>
      </w:tr>
      <w:tr w:rsidR="006B344A" w:rsidRPr="006B344A" w14:paraId="43B90358" w14:textId="77777777" w:rsidTr="00767612">
        <w:trPr>
          <w:trHeight w:val="292"/>
          <w:jc w:val="center"/>
        </w:trPr>
        <w:tc>
          <w:tcPr>
            <w:tcW w:w="870" w:type="dxa"/>
            <w:noWrap/>
            <w:vAlign w:val="center"/>
            <w:hideMark/>
          </w:tcPr>
          <w:p w14:paraId="5A7CEE5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Temperature</w:t>
            </w:r>
          </w:p>
        </w:tc>
        <w:tc>
          <w:tcPr>
            <w:tcW w:w="870" w:type="dxa"/>
            <w:noWrap/>
            <w:vAlign w:val="center"/>
            <w:hideMark/>
          </w:tcPr>
          <w:p w14:paraId="05D1719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10" w:type="dxa"/>
            <w:noWrap/>
            <w:vAlign w:val="center"/>
            <w:hideMark/>
          </w:tcPr>
          <w:p w14:paraId="4EFFF889" w14:textId="77777777" w:rsidR="006B344A" w:rsidRPr="006B344A" w:rsidRDefault="006B344A" w:rsidP="006B344A">
            <w:pPr>
              <w:jc w:val="both"/>
              <w:rPr>
                <w:rFonts w:ascii="Arial" w:hAnsi="Arial" w:cs="Arial"/>
                <w:sz w:val="12"/>
                <w:szCs w:val="12"/>
                <w:lang w:eastAsia="en-IN" w:bidi="hi-IN"/>
              </w:rPr>
            </w:pPr>
          </w:p>
        </w:tc>
        <w:tc>
          <w:tcPr>
            <w:tcW w:w="701" w:type="dxa"/>
            <w:noWrap/>
            <w:vAlign w:val="center"/>
            <w:hideMark/>
          </w:tcPr>
          <w:p w14:paraId="4CEE8692"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75AD70F8" w14:textId="77777777" w:rsidR="006B344A" w:rsidRPr="006B344A" w:rsidRDefault="006B344A" w:rsidP="006B344A">
            <w:pPr>
              <w:jc w:val="both"/>
              <w:rPr>
                <w:rFonts w:ascii="Arial" w:hAnsi="Arial" w:cs="Arial"/>
                <w:sz w:val="12"/>
                <w:szCs w:val="12"/>
                <w:lang w:eastAsia="en-IN" w:bidi="hi-IN"/>
              </w:rPr>
            </w:pPr>
          </w:p>
        </w:tc>
        <w:tc>
          <w:tcPr>
            <w:tcW w:w="708" w:type="dxa"/>
            <w:noWrap/>
            <w:vAlign w:val="center"/>
            <w:hideMark/>
          </w:tcPr>
          <w:p w14:paraId="19D3C372"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6BFDAEE0"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7E2AA5A2"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4521252C"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239BE36D"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2E70894A"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2E4FBAAB" w14:textId="77777777" w:rsidR="006B344A" w:rsidRPr="006B344A" w:rsidRDefault="006B344A" w:rsidP="006B344A">
            <w:pPr>
              <w:jc w:val="both"/>
              <w:rPr>
                <w:rFonts w:ascii="Arial" w:hAnsi="Arial" w:cs="Arial"/>
                <w:sz w:val="12"/>
                <w:szCs w:val="12"/>
                <w:lang w:eastAsia="en-IN" w:bidi="hi-IN"/>
              </w:rPr>
            </w:pPr>
          </w:p>
        </w:tc>
      </w:tr>
      <w:tr w:rsidR="006B344A" w:rsidRPr="006B344A" w14:paraId="27D40CB8" w14:textId="77777777" w:rsidTr="00767612">
        <w:trPr>
          <w:trHeight w:val="292"/>
          <w:jc w:val="center"/>
        </w:trPr>
        <w:tc>
          <w:tcPr>
            <w:tcW w:w="870" w:type="dxa"/>
            <w:noWrap/>
            <w:vAlign w:val="center"/>
            <w:hideMark/>
          </w:tcPr>
          <w:p w14:paraId="2BC21CE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Salinity</w:t>
            </w:r>
          </w:p>
        </w:tc>
        <w:tc>
          <w:tcPr>
            <w:tcW w:w="870" w:type="dxa"/>
            <w:noWrap/>
            <w:vAlign w:val="center"/>
            <w:hideMark/>
          </w:tcPr>
          <w:p w14:paraId="50DBFD9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0.071</w:t>
            </w:r>
          </w:p>
        </w:tc>
        <w:tc>
          <w:tcPr>
            <w:tcW w:w="610" w:type="dxa"/>
            <w:noWrap/>
            <w:vAlign w:val="center"/>
            <w:hideMark/>
          </w:tcPr>
          <w:p w14:paraId="229CA01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1" w:type="dxa"/>
            <w:noWrap/>
            <w:vAlign w:val="center"/>
            <w:hideMark/>
          </w:tcPr>
          <w:p w14:paraId="6DB64D19"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05B8A183" w14:textId="77777777" w:rsidR="006B344A" w:rsidRPr="006B344A" w:rsidRDefault="006B344A" w:rsidP="006B344A">
            <w:pPr>
              <w:jc w:val="both"/>
              <w:rPr>
                <w:rFonts w:ascii="Arial" w:hAnsi="Arial" w:cs="Arial"/>
                <w:sz w:val="12"/>
                <w:szCs w:val="12"/>
                <w:lang w:eastAsia="en-IN" w:bidi="hi-IN"/>
              </w:rPr>
            </w:pPr>
          </w:p>
        </w:tc>
        <w:tc>
          <w:tcPr>
            <w:tcW w:w="708" w:type="dxa"/>
            <w:noWrap/>
            <w:vAlign w:val="center"/>
            <w:hideMark/>
          </w:tcPr>
          <w:p w14:paraId="1718C196"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2BC7444D"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16940947"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4834B153"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28839066"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5A476B53"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00ED39EE" w14:textId="77777777" w:rsidR="006B344A" w:rsidRPr="006B344A" w:rsidRDefault="006B344A" w:rsidP="006B344A">
            <w:pPr>
              <w:jc w:val="both"/>
              <w:rPr>
                <w:rFonts w:ascii="Arial" w:hAnsi="Arial" w:cs="Arial"/>
                <w:sz w:val="12"/>
                <w:szCs w:val="12"/>
                <w:lang w:eastAsia="en-IN" w:bidi="hi-IN"/>
              </w:rPr>
            </w:pPr>
          </w:p>
        </w:tc>
      </w:tr>
      <w:tr w:rsidR="006B344A" w:rsidRPr="006B344A" w14:paraId="0603BC9E" w14:textId="77777777" w:rsidTr="00767612">
        <w:trPr>
          <w:trHeight w:val="292"/>
          <w:jc w:val="center"/>
        </w:trPr>
        <w:tc>
          <w:tcPr>
            <w:tcW w:w="870" w:type="dxa"/>
            <w:noWrap/>
            <w:vAlign w:val="center"/>
            <w:hideMark/>
          </w:tcPr>
          <w:p w14:paraId="0CF8BD9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Ph</w:t>
            </w:r>
          </w:p>
        </w:tc>
        <w:tc>
          <w:tcPr>
            <w:tcW w:w="870" w:type="dxa"/>
            <w:noWrap/>
            <w:vAlign w:val="center"/>
            <w:hideMark/>
          </w:tcPr>
          <w:p w14:paraId="3D8E51E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-0.463</w:t>
            </w:r>
          </w:p>
        </w:tc>
        <w:tc>
          <w:tcPr>
            <w:tcW w:w="610" w:type="dxa"/>
            <w:noWrap/>
            <w:vAlign w:val="center"/>
            <w:hideMark/>
          </w:tcPr>
          <w:p w14:paraId="17E8559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-0.433</w:t>
            </w:r>
          </w:p>
        </w:tc>
        <w:tc>
          <w:tcPr>
            <w:tcW w:w="701" w:type="dxa"/>
            <w:noWrap/>
            <w:vAlign w:val="center"/>
            <w:hideMark/>
          </w:tcPr>
          <w:p w14:paraId="4728FF4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9" w:type="dxa"/>
            <w:noWrap/>
            <w:vAlign w:val="center"/>
            <w:hideMark/>
          </w:tcPr>
          <w:p w14:paraId="0AD59305" w14:textId="77777777" w:rsidR="006B344A" w:rsidRPr="006B344A" w:rsidRDefault="006B344A" w:rsidP="006B344A">
            <w:pPr>
              <w:jc w:val="both"/>
              <w:rPr>
                <w:rFonts w:ascii="Arial" w:hAnsi="Arial" w:cs="Arial"/>
                <w:sz w:val="12"/>
                <w:szCs w:val="12"/>
                <w:lang w:eastAsia="en-IN" w:bidi="hi-IN"/>
              </w:rPr>
            </w:pPr>
          </w:p>
        </w:tc>
        <w:tc>
          <w:tcPr>
            <w:tcW w:w="708" w:type="dxa"/>
            <w:noWrap/>
            <w:vAlign w:val="center"/>
            <w:hideMark/>
          </w:tcPr>
          <w:p w14:paraId="3E75ECF3"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4D1000B7"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79F84F88"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4610198E"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72B12DE1"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123A1404"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591E99EB" w14:textId="77777777" w:rsidR="006B344A" w:rsidRPr="006B344A" w:rsidRDefault="006B344A" w:rsidP="006B344A">
            <w:pPr>
              <w:jc w:val="both"/>
              <w:rPr>
                <w:rFonts w:ascii="Arial" w:hAnsi="Arial" w:cs="Arial"/>
                <w:sz w:val="12"/>
                <w:szCs w:val="12"/>
                <w:lang w:eastAsia="en-IN" w:bidi="hi-IN"/>
              </w:rPr>
            </w:pPr>
          </w:p>
        </w:tc>
      </w:tr>
      <w:tr w:rsidR="006B344A" w:rsidRPr="006B344A" w14:paraId="200C6081" w14:textId="77777777" w:rsidTr="00767612">
        <w:trPr>
          <w:trHeight w:val="292"/>
          <w:jc w:val="center"/>
        </w:trPr>
        <w:tc>
          <w:tcPr>
            <w:tcW w:w="870" w:type="dxa"/>
            <w:noWrap/>
            <w:vAlign w:val="center"/>
            <w:hideMark/>
          </w:tcPr>
          <w:p w14:paraId="5867B09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DO</w:t>
            </w:r>
          </w:p>
        </w:tc>
        <w:tc>
          <w:tcPr>
            <w:tcW w:w="870" w:type="dxa"/>
            <w:noWrap/>
            <w:vAlign w:val="center"/>
            <w:hideMark/>
          </w:tcPr>
          <w:p w14:paraId="1CEF989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0.484</w:t>
            </w:r>
          </w:p>
        </w:tc>
        <w:tc>
          <w:tcPr>
            <w:tcW w:w="610" w:type="dxa"/>
            <w:noWrap/>
            <w:vAlign w:val="center"/>
            <w:hideMark/>
          </w:tcPr>
          <w:p w14:paraId="2EBD574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-0.830</w:t>
            </w:r>
          </w:p>
        </w:tc>
        <w:tc>
          <w:tcPr>
            <w:tcW w:w="701" w:type="dxa"/>
            <w:noWrap/>
            <w:vAlign w:val="center"/>
            <w:hideMark/>
          </w:tcPr>
          <w:p w14:paraId="30CA461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0.219</w:t>
            </w:r>
          </w:p>
        </w:tc>
        <w:tc>
          <w:tcPr>
            <w:tcW w:w="709" w:type="dxa"/>
            <w:noWrap/>
            <w:vAlign w:val="center"/>
            <w:hideMark/>
          </w:tcPr>
          <w:p w14:paraId="5AF0A205"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8" w:type="dxa"/>
            <w:noWrap/>
            <w:vAlign w:val="center"/>
            <w:hideMark/>
          </w:tcPr>
          <w:p w14:paraId="5C8491B3"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64D671D7"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11DA41F0"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7D205F30"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5DF0ADD2"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75493504"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1483D198" w14:textId="77777777" w:rsidR="006B344A" w:rsidRPr="006B344A" w:rsidRDefault="006B344A" w:rsidP="006B344A">
            <w:pPr>
              <w:jc w:val="both"/>
              <w:rPr>
                <w:rFonts w:ascii="Arial" w:hAnsi="Arial" w:cs="Arial"/>
                <w:sz w:val="12"/>
                <w:szCs w:val="12"/>
                <w:lang w:eastAsia="en-IN" w:bidi="hi-IN"/>
              </w:rPr>
            </w:pPr>
          </w:p>
        </w:tc>
      </w:tr>
      <w:tr w:rsidR="006B344A" w:rsidRPr="006B344A" w14:paraId="3019391C" w14:textId="77777777" w:rsidTr="00767612">
        <w:trPr>
          <w:trHeight w:val="292"/>
          <w:jc w:val="center"/>
        </w:trPr>
        <w:tc>
          <w:tcPr>
            <w:tcW w:w="870" w:type="dxa"/>
            <w:noWrap/>
            <w:vAlign w:val="center"/>
            <w:hideMark/>
          </w:tcPr>
          <w:p w14:paraId="15DEF5C1" w14:textId="77777777" w:rsidR="006B344A" w:rsidRPr="006B344A" w:rsidRDefault="006B344A" w:rsidP="006B344A">
            <w:pPr>
              <w:jc w:val="both"/>
              <w:rPr>
                <w:rFonts w:ascii="Arial" w:hAnsi="Arial" w:cs="Arial"/>
                <w:sz w:val="12"/>
                <w:szCs w:val="12"/>
                <w:vertAlign w:val="subscript"/>
                <w:lang w:eastAsia="en-IN" w:bidi="hi-IN"/>
              </w:rPr>
            </w:pPr>
            <w:r w:rsidRPr="006B344A">
              <w:rPr>
                <w:rFonts w:ascii="Arial" w:hAnsi="Arial" w:cs="Arial"/>
                <w:sz w:val="12"/>
                <w:szCs w:val="12"/>
                <w:lang w:eastAsia="en-IN" w:bidi="hi-IN"/>
              </w:rPr>
              <w:t>NH</w:t>
            </w:r>
            <w:r w:rsidRPr="006B344A">
              <w:rPr>
                <w:rFonts w:ascii="Arial" w:hAnsi="Arial" w:cs="Arial"/>
                <w:sz w:val="12"/>
                <w:szCs w:val="12"/>
                <w:vertAlign w:val="subscript"/>
                <w:lang w:eastAsia="en-IN" w:bidi="hi-IN"/>
              </w:rPr>
              <w:t>3</w:t>
            </w:r>
          </w:p>
        </w:tc>
        <w:tc>
          <w:tcPr>
            <w:tcW w:w="870" w:type="dxa"/>
            <w:noWrap/>
            <w:vAlign w:val="center"/>
            <w:hideMark/>
          </w:tcPr>
          <w:p w14:paraId="2586AC2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0.769</w:t>
            </w:r>
          </w:p>
        </w:tc>
        <w:tc>
          <w:tcPr>
            <w:tcW w:w="610" w:type="dxa"/>
            <w:noWrap/>
            <w:vAlign w:val="center"/>
            <w:hideMark/>
          </w:tcPr>
          <w:p w14:paraId="3A863E9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0.665</w:t>
            </w:r>
          </w:p>
        </w:tc>
        <w:tc>
          <w:tcPr>
            <w:tcW w:w="701" w:type="dxa"/>
            <w:noWrap/>
            <w:vAlign w:val="center"/>
            <w:hideMark/>
          </w:tcPr>
          <w:p w14:paraId="4B1CD19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-0.456</w:t>
            </w:r>
          </w:p>
        </w:tc>
        <w:tc>
          <w:tcPr>
            <w:tcW w:w="709" w:type="dxa"/>
            <w:noWrap/>
            <w:vAlign w:val="center"/>
            <w:hideMark/>
          </w:tcPr>
          <w:p w14:paraId="2BA195C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-0.136</w:t>
            </w:r>
          </w:p>
        </w:tc>
        <w:tc>
          <w:tcPr>
            <w:tcW w:w="708" w:type="dxa"/>
            <w:noWrap/>
            <w:vAlign w:val="center"/>
            <w:hideMark/>
          </w:tcPr>
          <w:p w14:paraId="70FBB9C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9" w:type="dxa"/>
            <w:noWrap/>
            <w:vAlign w:val="center"/>
            <w:hideMark/>
          </w:tcPr>
          <w:p w14:paraId="0413C465" w14:textId="77777777" w:rsidR="006B344A" w:rsidRPr="006B344A" w:rsidRDefault="006B344A" w:rsidP="006B344A">
            <w:pPr>
              <w:jc w:val="both"/>
              <w:rPr>
                <w:rFonts w:ascii="Arial" w:hAnsi="Arial" w:cs="Arial"/>
                <w:sz w:val="12"/>
                <w:szCs w:val="12"/>
                <w:lang w:eastAsia="en-IN" w:bidi="hi-IN"/>
              </w:rPr>
            </w:pPr>
          </w:p>
        </w:tc>
        <w:tc>
          <w:tcPr>
            <w:tcW w:w="567" w:type="dxa"/>
            <w:noWrap/>
            <w:vAlign w:val="center"/>
            <w:hideMark/>
          </w:tcPr>
          <w:p w14:paraId="0561FEC8"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1B77F8F4"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64966841"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792A679E"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6AD608B7" w14:textId="77777777" w:rsidR="006B344A" w:rsidRPr="006B344A" w:rsidRDefault="006B344A" w:rsidP="006B344A">
            <w:pPr>
              <w:jc w:val="both"/>
              <w:rPr>
                <w:rFonts w:ascii="Arial" w:hAnsi="Arial" w:cs="Arial"/>
                <w:sz w:val="12"/>
                <w:szCs w:val="12"/>
                <w:lang w:eastAsia="en-IN" w:bidi="hi-IN"/>
              </w:rPr>
            </w:pPr>
          </w:p>
        </w:tc>
      </w:tr>
      <w:tr w:rsidR="006B344A" w:rsidRPr="006B344A" w14:paraId="4B5424AF" w14:textId="77777777" w:rsidTr="00767612">
        <w:trPr>
          <w:trHeight w:val="292"/>
          <w:jc w:val="center"/>
        </w:trPr>
        <w:tc>
          <w:tcPr>
            <w:tcW w:w="870" w:type="dxa"/>
            <w:noWrap/>
            <w:vAlign w:val="center"/>
            <w:hideMark/>
          </w:tcPr>
          <w:p w14:paraId="52B0BEE9" w14:textId="77777777" w:rsidR="006B344A" w:rsidRPr="006B344A" w:rsidRDefault="006B344A" w:rsidP="006B344A">
            <w:pPr>
              <w:jc w:val="both"/>
              <w:rPr>
                <w:rFonts w:ascii="Arial" w:hAnsi="Arial" w:cs="Arial"/>
                <w:sz w:val="12"/>
                <w:szCs w:val="12"/>
                <w:vertAlign w:val="superscript"/>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3-</w:t>
            </w:r>
          </w:p>
        </w:tc>
        <w:tc>
          <w:tcPr>
            <w:tcW w:w="870" w:type="dxa"/>
            <w:noWrap/>
            <w:vAlign w:val="center"/>
            <w:hideMark/>
          </w:tcPr>
          <w:p w14:paraId="6198E56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-0.673</w:t>
            </w:r>
          </w:p>
        </w:tc>
        <w:tc>
          <w:tcPr>
            <w:tcW w:w="610" w:type="dxa"/>
            <w:noWrap/>
            <w:vAlign w:val="center"/>
            <w:hideMark/>
          </w:tcPr>
          <w:p w14:paraId="41A4BA4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-0.577</w:t>
            </w:r>
          </w:p>
        </w:tc>
        <w:tc>
          <w:tcPr>
            <w:tcW w:w="701" w:type="dxa"/>
            <w:noWrap/>
            <w:vAlign w:val="center"/>
            <w:hideMark/>
          </w:tcPr>
          <w:p w14:paraId="678B92FB"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0.116</w:t>
            </w:r>
          </w:p>
        </w:tc>
        <w:tc>
          <w:tcPr>
            <w:tcW w:w="709" w:type="dxa"/>
            <w:noWrap/>
            <w:vAlign w:val="center"/>
            <w:hideMark/>
          </w:tcPr>
          <w:p w14:paraId="709288D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0.072</w:t>
            </w:r>
          </w:p>
        </w:tc>
        <w:tc>
          <w:tcPr>
            <w:tcW w:w="708" w:type="dxa"/>
            <w:noWrap/>
            <w:vAlign w:val="center"/>
            <w:hideMark/>
          </w:tcPr>
          <w:p w14:paraId="4097876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-0.937</w:t>
            </w:r>
          </w:p>
        </w:tc>
        <w:tc>
          <w:tcPr>
            <w:tcW w:w="709" w:type="dxa"/>
            <w:noWrap/>
            <w:vAlign w:val="center"/>
            <w:hideMark/>
          </w:tcPr>
          <w:p w14:paraId="10324D5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567" w:type="dxa"/>
            <w:noWrap/>
            <w:vAlign w:val="center"/>
            <w:hideMark/>
          </w:tcPr>
          <w:p w14:paraId="74CEC58B"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3B7D60C1"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53F59E4F"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10C72082"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4236CC9B" w14:textId="77777777" w:rsidR="006B344A" w:rsidRPr="006B344A" w:rsidRDefault="006B344A" w:rsidP="006B344A">
            <w:pPr>
              <w:jc w:val="both"/>
              <w:rPr>
                <w:rFonts w:ascii="Arial" w:hAnsi="Arial" w:cs="Arial"/>
                <w:sz w:val="12"/>
                <w:szCs w:val="12"/>
                <w:lang w:eastAsia="en-IN" w:bidi="hi-IN"/>
              </w:rPr>
            </w:pPr>
          </w:p>
        </w:tc>
      </w:tr>
      <w:tr w:rsidR="006B344A" w:rsidRPr="006B344A" w14:paraId="66149CCA" w14:textId="77777777" w:rsidTr="00767612">
        <w:trPr>
          <w:trHeight w:val="292"/>
          <w:jc w:val="center"/>
        </w:trPr>
        <w:tc>
          <w:tcPr>
            <w:tcW w:w="870" w:type="dxa"/>
            <w:noWrap/>
            <w:vAlign w:val="center"/>
            <w:hideMark/>
          </w:tcPr>
          <w:p w14:paraId="76102743"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NO</w:t>
            </w:r>
            <w:r w:rsidRPr="006B344A">
              <w:rPr>
                <w:rFonts w:ascii="Arial" w:hAnsi="Arial" w:cs="Arial"/>
                <w:sz w:val="12"/>
                <w:szCs w:val="12"/>
                <w:vertAlign w:val="superscript"/>
                <w:lang w:eastAsia="en-IN" w:bidi="hi-IN"/>
              </w:rPr>
              <w:t>2-</w:t>
            </w:r>
          </w:p>
        </w:tc>
        <w:tc>
          <w:tcPr>
            <w:tcW w:w="870" w:type="dxa"/>
            <w:noWrap/>
            <w:vAlign w:val="center"/>
            <w:hideMark/>
          </w:tcPr>
          <w:p w14:paraId="64BF1F7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-0.850</w:t>
            </w:r>
          </w:p>
        </w:tc>
        <w:tc>
          <w:tcPr>
            <w:tcW w:w="610" w:type="dxa"/>
            <w:noWrap/>
            <w:vAlign w:val="center"/>
            <w:hideMark/>
          </w:tcPr>
          <w:p w14:paraId="1325ED5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-0.437</w:t>
            </w:r>
          </w:p>
        </w:tc>
        <w:tc>
          <w:tcPr>
            <w:tcW w:w="701" w:type="dxa"/>
            <w:noWrap/>
            <w:vAlign w:val="center"/>
            <w:hideMark/>
          </w:tcPr>
          <w:p w14:paraId="310E304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0.255</w:t>
            </w:r>
          </w:p>
        </w:tc>
        <w:tc>
          <w:tcPr>
            <w:tcW w:w="709" w:type="dxa"/>
            <w:noWrap/>
            <w:vAlign w:val="center"/>
            <w:hideMark/>
          </w:tcPr>
          <w:p w14:paraId="085E7381"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-0.128</w:t>
            </w:r>
          </w:p>
        </w:tc>
        <w:tc>
          <w:tcPr>
            <w:tcW w:w="708" w:type="dxa"/>
            <w:noWrap/>
            <w:vAlign w:val="center"/>
            <w:hideMark/>
          </w:tcPr>
          <w:p w14:paraId="2A81C45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-0.952</w:t>
            </w:r>
          </w:p>
        </w:tc>
        <w:tc>
          <w:tcPr>
            <w:tcW w:w="709" w:type="dxa"/>
            <w:noWrap/>
            <w:vAlign w:val="center"/>
            <w:hideMark/>
          </w:tcPr>
          <w:p w14:paraId="4F55814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0.962</w:t>
            </w:r>
          </w:p>
        </w:tc>
        <w:tc>
          <w:tcPr>
            <w:tcW w:w="567" w:type="dxa"/>
            <w:noWrap/>
            <w:vAlign w:val="center"/>
            <w:hideMark/>
          </w:tcPr>
          <w:p w14:paraId="1E4DC54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9" w:type="dxa"/>
            <w:noWrap/>
            <w:vAlign w:val="center"/>
            <w:hideMark/>
          </w:tcPr>
          <w:p w14:paraId="2895327F" w14:textId="77777777" w:rsidR="006B344A" w:rsidRPr="006B344A" w:rsidRDefault="006B344A" w:rsidP="006B344A">
            <w:pPr>
              <w:jc w:val="both"/>
              <w:rPr>
                <w:rFonts w:ascii="Arial" w:hAnsi="Arial" w:cs="Arial"/>
                <w:sz w:val="12"/>
                <w:szCs w:val="12"/>
                <w:lang w:eastAsia="en-IN" w:bidi="hi-IN"/>
              </w:rPr>
            </w:pPr>
          </w:p>
        </w:tc>
        <w:tc>
          <w:tcPr>
            <w:tcW w:w="709" w:type="dxa"/>
            <w:noWrap/>
            <w:vAlign w:val="center"/>
            <w:hideMark/>
          </w:tcPr>
          <w:p w14:paraId="7EBEEA7B"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7D36614C"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2A3FA11D" w14:textId="77777777" w:rsidR="006B344A" w:rsidRPr="006B344A" w:rsidRDefault="006B344A" w:rsidP="006B344A">
            <w:pPr>
              <w:jc w:val="both"/>
              <w:rPr>
                <w:rFonts w:ascii="Arial" w:hAnsi="Arial" w:cs="Arial"/>
                <w:sz w:val="12"/>
                <w:szCs w:val="12"/>
                <w:lang w:eastAsia="en-IN" w:bidi="hi-IN"/>
              </w:rPr>
            </w:pPr>
          </w:p>
        </w:tc>
      </w:tr>
      <w:tr w:rsidR="006B344A" w:rsidRPr="006B344A" w14:paraId="776E5828" w14:textId="77777777" w:rsidTr="00767612">
        <w:trPr>
          <w:trHeight w:val="292"/>
          <w:jc w:val="center"/>
        </w:trPr>
        <w:tc>
          <w:tcPr>
            <w:tcW w:w="870" w:type="dxa"/>
            <w:noWrap/>
            <w:vAlign w:val="center"/>
            <w:hideMark/>
          </w:tcPr>
          <w:p w14:paraId="3FCFE79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PO</w:t>
            </w:r>
            <w:r w:rsidRPr="006B344A">
              <w:rPr>
                <w:rFonts w:ascii="Arial" w:hAnsi="Arial" w:cs="Arial"/>
                <w:sz w:val="12"/>
                <w:szCs w:val="12"/>
                <w:vertAlign w:val="subscript"/>
                <w:lang w:eastAsia="en-IN" w:bidi="hi-IN"/>
              </w:rPr>
              <w:t>4</w:t>
            </w:r>
            <w:r w:rsidRPr="006B344A">
              <w:rPr>
                <w:rFonts w:ascii="Arial" w:hAnsi="Arial" w:cs="Arial"/>
                <w:sz w:val="12"/>
                <w:szCs w:val="12"/>
                <w:vertAlign w:val="superscript"/>
                <w:lang w:eastAsia="en-IN" w:bidi="hi-IN"/>
              </w:rPr>
              <w:t>3</w:t>
            </w:r>
          </w:p>
        </w:tc>
        <w:tc>
          <w:tcPr>
            <w:tcW w:w="870" w:type="dxa"/>
            <w:noWrap/>
            <w:vAlign w:val="center"/>
            <w:hideMark/>
          </w:tcPr>
          <w:p w14:paraId="25F58A5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0.950</w:t>
            </w:r>
          </w:p>
        </w:tc>
        <w:tc>
          <w:tcPr>
            <w:tcW w:w="610" w:type="dxa"/>
            <w:noWrap/>
            <w:vAlign w:val="center"/>
            <w:hideMark/>
          </w:tcPr>
          <w:p w14:paraId="57C9F63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-0.093</w:t>
            </w:r>
          </w:p>
        </w:tc>
        <w:tc>
          <w:tcPr>
            <w:tcW w:w="701" w:type="dxa"/>
            <w:noWrap/>
            <w:vAlign w:val="center"/>
            <w:hideMark/>
          </w:tcPr>
          <w:p w14:paraId="79F6788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-0.165</w:t>
            </w:r>
          </w:p>
        </w:tc>
        <w:tc>
          <w:tcPr>
            <w:tcW w:w="709" w:type="dxa"/>
            <w:noWrap/>
            <w:vAlign w:val="center"/>
            <w:hideMark/>
          </w:tcPr>
          <w:p w14:paraId="7F7C0014"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0.632</w:t>
            </w:r>
          </w:p>
        </w:tc>
        <w:tc>
          <w:tcPr>
            <w:tcW w:w="708" w:type="dxa"/>
            <w:noWrap/>
            <w:vAlign w:val="center"/>
            <w:hideMark/>
          </w:tcPr>
          <w:p w14:paraId="531C027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0.681</w:t>
            </w:r>
          </w:p>
        </w:tc>
        <w:tc>
          <w:tcPr>
            <w:tcW w:w="709" w:type="dxa"/>
            <w:noWrap/>
            <w:vAlign w:val="center"/>
            <w:hideMark/>
          </w:tcPr>
          <w:p w14:paraId="74976B2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-0.691</w:t>
            </w:r>
          </w:p>
        </w:tc>
        <w:tc>
          <w:tcPr>
            <w:tcW w:w="567" w:type="dxa"/>
            <w:noWrap/>
            <w:vAlign w:val="center"/>
            <w:hideMark/>
          </w:tcPr>
          <w:p w14:paraId="6FF7259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-0.845</w:t>
            </w:r>
          </w:p>
        </w:tc>
        <w:tc>
          <w:tcPr>
            <w:tcW w:w="709" w:type="dxa"/>
            <w:noWrap/>
            <w:vAlign w:val="center"/>
            <w:hideMark/>
          </w:tcPr>
          <w:p w14:paraId="7769EB1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709" w:type="dxa"/>
            <w:noWrap/>
            <w:vAlign w:val="center"/>
            <w:hideMark/>
          </w:tcPr>
          <w:p w14:paraId="356CDE72" w14:textId="77777777" w:rsidR="006B344A" w:rsidRPr="006B344A" w:rsidRDefault="006B344A" w:rsidP="006B344A">
            <w:pPr>
              <w:jc w:val="both"/>
              <w:rPr>
                <w:rFonts w:ascii="Arial" w:hAnsi="Arial" w:cs="Arial"/>
                <w:sz w:val="12"/>
                <w:szCs w:val="12"/>
                <w:lang w:eastAsia="en-IN" w:bidi="hi-IN"/>
              </w:rPr>
            </w:pPr>
          </w:p>
        </w:tc>
        <w:tc>
          <w:tcPr>
            <w:tcW w:w="610" w:type="dxa"/>
            <w:noWrap/>
            <w:vAlign w:val="center"/>
            <w:hideMark/>
          </w:tcPr>
          <w:p w14:paraId="2C9E9674"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5AFEAE37" w14:textId="77777777" w:rsidR="006B344A" w:rsidRPr="006B344A" w:rsidRDefault="006B344A" w:rsidP="006B344A">
            <w:pPr>
              <w:jc w:val="both"/>
              <w:rPr>
                <w:rFonts w:ascii="Arial" w:hAnsi="Arial" w:cs="Arial"/>
                <w:sz w:val="12"/>
                <w:szCs w:val="12"/>
                <w:lang w:eastAsia="en-IN" w:bidi="hi-IN"/>
              </w:rPr>
            </w:pPr>
          </w:p>
        </w:tc>
      </w:tr>
      <w:tr w:rsidR="006B344A" w:rsidRPr="006B344A" w14:paraId="6EA65656" w14:textId="77777777" w:rsidTr="00767612">
        <w:trPr>
          <w:trHeight w:val="292"/>
          <w:jc w:val="center"/>
        </w:trPr>
        <w:tc>
          <w:tcPr>
            <w:tcW w:w="870" w:type="dxa"/>
            <w:noWrap/>
            <w:vAlign w:val="center"/>
            <w:hideMark/>
          </w:tcPr>
          <w:p w14:paraId="5F38F11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Silicate</w:t>
            </w:r>
          </w:p>
        </w:tc>
        <w:tc>
          <w:tcPr>
            <w:tcW w:w="870" w:type="dxa"/>
            <w:noWrap/>
            <w:vAlign w:val="center"/>
            <w:hideMark/>
          </w:tcPr>
          <w:p w14:paraId="2686C5A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-0.427</w:t>
            </w:r>
          </w:p>
        </w:tc>
        <w:tc>
          <w:tcPr>
            <w:tcW w:w="610" w:type="dxa"/>
            <w:noWrap/>
            <w:vAlign w:val="center"/>
            <w:hideMark/>
          </w:tcPr>
          <w:p w14:paraId="1B5A0CB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-0.514</w:t>
            </w:r>
          </w:p>
        </w:tc>
        <w:tc>
          <w:tcPr>
            <w:tcW w:w="701" w:type="dxa"/>
            <w:noWrap/>
            <w:vAlign w:val="center"/>
            <w:hideMark/>
          </w:tcPr>
          <w:p w14:paraId="68A56E10"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0.996</w:t>
            </w:r>
          </w:p>
        </w:tc>
        <w:tc>
          <w:tcPr>
            <w:tcW w:w="709" w:type="dxa"/>
            <w:noWrap/>
            <w:vAlign w:val="center"/>
            <w:hideMark/>
          </w:tcPr>
          <w:p w14:paraId="2D7C498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0.305</w:t>
            </w:r>
          </w:p>
        </w:tc>
        <w:tc>
          <w:tcPr>
            <w:tcW w:w="708" w:type="dxa"/>
            <w:noWrap/>
            <w:vAlign w:val="center"/>
            <w:hideMark/>
          </w:tcPr>
          <w:p w14:paraId="141CD71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-0.485</w:t>
            </w:r>
          </w:p>
        </w:tc>
        <w:tc>
          <w:tcPr>
            <w:tcW w:w="709" w:type="dxa"/>
            <w:noWrap/>
            <w:vAlign w:val="center"/>
            <w:hideMark/>
          </w:tcPr>
          <w:p w14:paraId="3173950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0.150</w:t>
            </w:r>
          </w:p>
        </w:tc>
        <w:tc>
          <w:tcPr>
            <w:tcW w:w="567" w:type="dxa"/>
            <w:noWrap/>
            <w:vAlign w:val="center"/>
            <w:hideMark/>
          </w:tcPr>
          <w:p w14:paraId="3A28C59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0.266</w:t>
            </w:r>
          </w:p>
        </w:tc>
        <w:tc>
          <w:tcPr>
            <w:tcW w:w="709" w:type="dxa"/>
            <w:noWrap/>
            <w:vAlign w:val="center"/>
            <w:hideMark/>
          </w:tcPr>
          <w:p w14:paraId="49313DD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-0.125</w:t>
            </w:r>
          </w:p>
        </w:tc>
        <w:tc>
          <w:tcPr>
            <w:tcW w:w="709" w:type="dxa"/>
            <w:noWrap/>
            <w:vAlign w:val="center"/>
            <w:hideMark/>
          </w:tcPr>
          <w:p w14:paraId="011D86D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610" w:type="dxa"/>
            <w:noWrap/>
            <w:vAlign w:val="center"/>
            <w:hideMark/>
          </w:tcPr>
          <w:p w14:paraId="64C9DE7C" w14:textId="77777777" w:rsidR="006B344A" w:rsidRPr="006B344A" w:rsidRDefault="006B344A" w:rsidP="006B344A">
            <w:pPr>
              <w:jc w:val="both"/>
              <w:rPr>
                <w:rFonts w:ascii="Arial" w:hAnsi="Arial" w:cs="Arial"/>
                <w:sz w:val="12"/>
                <w:szCs w:val="12"/>
                <w:lang w:eastAsia="en-IN" w:bidi="hi-IN"/>
              </w:rPr>
            </w:pPr>
          </w:p>
        </w:tc>
        <w:tc>
          <w:tcPr>
            <w:tcW w:w="240" w:type="dxa"/>
            <w:noWrap/>
            <w:vAlign w:val="center"/>
            <w:hideMark/>
          </w:tcPr>
          <w:p w14:paraId="2F691DBB" w14:textId="77777777" w:rsidR="006B344A" w:rsidRPr="006B344A" w:rsidRDefault="006B344A" w:rsidP="006B344A">
            <w:pPr>
              <w:jc w:val="both"/>
              <w:rPr>
                <w:rFonts w:ascii="Arial" w:hAnsi="Arial" w:cs="Arial"/>
                <w:sz w:val="12"/>
                <w:szCs w:val="12"/>
                <w:lang w:eastAsia="en-IN" w:bidi="hi-IN"/>
              </w:rPr>
            </w:pPr>
          </w:p>
        </w:tc>
      </w:tr>
      <w:tr w:rsidR="006B344A" w:rsidRPr="006B344A" w14:paraId="22B7E815" w14:textId="77777777" w:rsidTr="00767612">
        <w:trPr>
          <w:trHeight w:val="292"/>
          <w:jc w:val="center"/>
        </w:trPr>
        <w:tc>
          <w:tcPr>
            <w:tcW w:w="870" w:type="dxa"/>
            <w:noWrap/>
            <w:vAlign w:val="center"/>
            <w:hideMark/>
          </w:tcPr>
          <w:p w14:paraId="7E4B256A"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PP</w:t>
            </w:r>
          </w:p>
        </w:tc>
        <w:tc>
          <w:tcPr>
            <w:tcW w:w="870" w:type="dxa"/>
            <w:noWrap/>
            <w:vAlign w:val="center"/>
            <w:hideMark/>
          </w:tcPr>
          <w:p w14:paraId="23E73D3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-0.711*</w:t>
            </w:r>
          </w:p>
        </w:tc>
        <w:tc>
          <w:tcPr>
            <w:tcW w:w="610" w:type="dxa"/>
            <w:noWrap/>
            <w:vAlign w:val="center"/>
            <w:hideMark/>
          </w:tcPr>
          <w:p w14:paraId="7924E5A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0.590*</w:t>
            </w:r>
          </w:p>
        </w:tc>
        <w:tc>
          <w:tcPr>
            <w:tcW w:w="701" w:type="dxa"/>
            <w:noWrap/>
            <w:vAlign w:val="center"/>
            <w:hideMark/>
          </w:tcPr>
          <w:p w14:paraId="178B6D7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0.297</w:t>
            </w:r>
            <w:r w:rsidRPr="006B344A">
              <w:rPr>
                <w:rFonts w:ascii="Arial" w:hAnsi="Arial" w:cs="Arial"/>
                <w:sz w:val="12"/>
                <w:szCs w:val="12"/>
                <w:vertAlign w:val="superscript"/>
                <w:lang w:eastAsia="en-IN" w:bidi="hi-IN"/>
              </w:rPr>
              <w:t>@</w:t>
            </w:r>
          </w:p>
        </w:tc>
        <w:tc>
          <w:tcPr>
            <w:tcW w:w="709" w:type="dxa"/>
            <w:noWrap/>
            <w:vAlign w:val="center"/>
            <w:hideMark/>
          </w:tcPr>
          <w:p w14:paraId="5AF27B5D"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-0.867**</w:t>
            </w:r>
          </w:p>
        </w:tc>
        <w:tc>
          <w:tcPr>
            <w:tcW w:w="708" w:type="dxa"/>
            <w:noWrap/>
            <w:vAlign w:val="center"/>
            <w:hideMark/>
          </w:tcPr>
          <w:p w14:paraId="23738D8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-0.102</w:t>
            </w:r>
            <w:r w:rsidRPr="006B344A">
              <w:rPr>
                <w:rFonts w:ascii="Arial" w:hAnsi="Arial" w:cs="Arial"/>
                <w:sz w:val="12"/>
                <w:szCs w:val="12"/>
                <w:vertAlign w:val="superscript"/>
                <w:lang w:eastAsia="en-IN" w:bidi="hi-IN"/>
              </w:rPr>
              <w:t>@</w:t>
            </w:r>
          </w:p>
        </w:tc>
        <w:tc>
          <w:tcPr>
            <w:tcW w:w="709" w:type="dxa"/>
            <w:noWrap/>
            <w:vAlign w:val="center"/>
            <w:hideMark/>
          </w:tcPr>
          <w:p w14:paraId="23095FB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-0.009</w:t>
            </w:r>
            <w:r w:rsidRPr="006B344A">
              <w:rPr>
                <w:rFonts w:ascii="Arial" w:hAnsi="Arial" w:cs="Arial"/>
                <w:sz w:val="12"/>
                <w:szCs w:val="12"/>
                <w:vertAlign w:val="superscript"/>
                <w:lang w:eastAsia="en-IN" w:bidi="hi-IN"/>
              </w:rPr>
              <w:t>@</w:t>
            </w:r>
          </w:p>
        </w:tc>
        <w:tc>
          <w:tcPr>
            <w:tcW w:w="567" w:type="dxa"/>
            <w:noWrap/>
            <w:vAlign w:val="center"/>
            <w:hideMark/>
          </w:tcPr>
          <w:p w14:paraId="39A9C9FF"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0.258</w:t>
            </w:r>
            <w:r w:rsidRPr="006B344A">
              <w:rPr>
                <w:rFonts w:ascii="Arial" w:hAnsi="Arial" w:cs="Arial"/>
                <w:sz w:val="12"/>
                <w:szCs w:val="12"/>
                <w:vertAlign w:val="superscript"/>
                <w:lang w:eastAsia="en-IN" w:bidi="hi-IN"/>
              </w:rPr>
              <w:t>@</w:t>
            </w:r>
          </w:p>
        </w:tc>
        <w:tc>
          <w:tcPr>
            <w:tcW w:w="709" w:type="dxa"/>
            <w:noWrap/>
            <w:vAlign w:val="center"/>
            <w:hideMark/>
          </w:tcPr>
          <w:p w14:paraId="41B6FF4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-0.704*</w:t>
            </w:r>
          </w:p>
        </w:tc>
        <w:tc>
          <w:tcPr>
            <w:tcW w:w="709" w:type="dxa"/>
            <w:noWrap/>
            <w:vAlign w:val="center"/>
            <w:hideMark/>
          </w:tcPr>
          <w:p w14:paraId="246CE14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0.210</w:t>
            </w:r>
            <w:r w:rsidRPr="006B344A">
              <w:rPr>
                <w:rFonts w:ascii="Arial" w:hAnsi="Arial" w:cs="Arial"/>
                <w:sz w:val="12"/>
                <w:szCs w:val="12"/>
                <w:vertAlign w:val="superscript"/>
                <w:lang w:eastAsia="en-IN" w:bidi="hi-IN"/>
              </w:rPr>
              <w:t>@</w:t>
            </w:r>
          </w:p>
        </w:tc>
        <w:tc>
          <w:tcPr>
            <w:tcW w:w="610" w:type="dxa"/>
            <w:noWrap/>
            <w:vAlign w:val="center"/>
            <w:hideMark/>
          </w:tcPr>
          <w:p w14:paraId="000B0C0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c>
          <w:tcPr>
            <w:tcW w:w="240" w:type="dxa"/>
            <w:noWrap/>
            <w:vAlign w:val="center"/>
            <w:hideMark/>
          </w:tcPr>
          <w:p w14:paraId="42D93AF7" w14:textId="77777777" w:rsidR="006B344A" w:rsidRPr="006B344A" w:rsidRDefault="006B344A" w:rsidP="006B344A">
            <w:pPr>
              <w:jc w:val="both"/>
              <w:rPr>
                <w:rFonts w:ascii="Arial" w:hAnsi="Arial" w:cs="Arial"/>
                <w:sz w:val="12"/>
                <w:szCs w:val="12"/>
                <w:lang w:eastAsia="en-IN" w:bidi="hi-IN"/>
              </w:rPr>
            </w:pPr>
          </w:p>
        </w:tc>
      </w:tr>
      <w:tr w:rsidR="006B344A" w:rsidRPr="006B344A" w14:paraId="58E82199" w14:textId="77777777" w:rsidTr="00767612">
        <w:trPr>
          <w:trHeight w:val="300"/>
          <w:jc w:val="center"/>
        </w:trPr>
        <w:tc>
          <w:tcPr>
            <w:tcW w:w="870" w:type="dxa"/>
            <w:noWrap/>
            <w:vAlign w:val="center"/>
            <w:hideMark/>
          </w:tcPr>
          <w:p w14:paraId="044F2049"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ZP</w:t>
            </w:r>
          </w:p>
        </w:tc>
        <w:tc>
          <w:tcPr>
            <w:tcW w:w="870" w:type="dxa"/>
            <w:noWrap/>
            <w:vAlign w:val="center"/>
            <w:hideMark/>
          </w:tcPr>
          <w:p w14:paraId="6A963BE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-0.509*</w:t>
            </w:r>
          </w:p>
        </w:tc>
        <w:tc>
          <w:tcPr>
            <w:tcW w:w="610" w:type="dxa"/>
            <w:noWrap/>
            <w:vAlign w:val="center"/>
            <w:hideMark/>
          </w:tcPr>
          <w:p w14:paraId="2084ED4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0.816**</w:t>
            </w:r>
          </w:p>
        </w:tc>
        <w:tc>
          <w:tcPr>
            <w:tcW w:w="701" w:type="dxa"/>
            <w:noWrap/>
            <w:vAlign w:val="center"/>
            <w:hideMark/>
          </w:tcPr>
          <w:p w14:paraId="268F86E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-0.026</w:t>
            </w:r>
            <w:r w:rsidRPr="006B344A">
              <w:rPr>
                <w:rFonts w:ascii="Arial" w:hAnsi="Arial" w:cs="Arial"/>
                <w:sz w:val="12"/>
                <w:szCs w:val="12"/>
                <w:vertAlign w:val="superscript"/>
                <w:lang w:eastAsia="en-IN" w:bidi="hi-IN"/>
              </w:rPr>
              <w:t>@</w:t>
            </w:r>
          </w:p>
        </w:tc>
        <w:tc>
          <w:tcPr>
            <w:tcW w:w="709" w:type="dxa"/>
            <w:noWrap/>
            <w:vAlign w:val="center"/>
            <w:hideMark/>
          </w:tcPr>
          <w:p w14:paraId="6B36F1AE"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-0.975**</w:t>
            </w:r>
          </w:p>
        </w:tc>
        <w:tc>
          <w:tcPr>
            <w:tcW w:w="708" w:type="dxa"/>
            <w:noWrap/>
            <w:vAlign w:val="center"/>
            <w:hideMark/>
          </w:tcPr>
          <w:p w14:paraId="35E28F08"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0.150</w:t>
            </w:r>
            <w:r w:rsidRPr="006B344A">
              <w:rPr>
                <w:rFonts w:ascii="Arial" w:hAnsi="Arial" w:cs="Arial"/>
                <w:sz w:val="12"/>
                <w:szCs w:val="12"/>
                <w:vertAlign w:val="superscript"/>
                <w:lang w:eastAsia="en-IN" w:bidi="hi-IN"/>
              </w:rPr>
              <w:t>@</w:t>
            </w:r>
          </w:p>
        </w:tc>
        <w:tc>
          <w:tcPr>
            <w:tcW w:w="709" w:type="dxa"/>
            <w:noWrap/>
            <w:vAlign w:val="center"/>
            <w:hideMark/>
          </w:tcPr>
          <w:p w14:paraId="4F95F242"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-0.163</w:t>
            </w:r>
            <w:r w:rsidRPr="006B344A">
              <w:rPr>
                <w:rFonts w:ascii="Arial" w:hAnsi="Arial" w:cs="Arial"/>
                <w:sz w:val="12"/>
                <w:szCs w:val="12"/>
                <w:vertAlign w:val="superscript"/>
                <w:lang w:eastAsia="en-IN" w:bidi="hi-IN"/>
              </w:rPr>
              <w:t>@</w:t>
            </w:r>
          </w:p>
        </w:tc>
        <w:tc>
          <w:tcPr>
            <w:tcW w:w="567" w:type="dxa"/>
            <w:noWrap/>
            <w:vAlign w:val="center"/>
            <w:hideMark/>
          </w:tcPr>
          <w:p w14:paraId="467BAB56" w14:textId="77777777" w:rsidR="006B344A" w:rsidRPr="006B344A" w:rsidRDefault="006B344A" w:rsidP="006B344A">
            <w:pPr>
              <w:jc w:val="both"/>
              <w:rPr>
                <w:rFonts w:ascii="Arial" w:hAnsi="Arial" w:cs="Arial"/>
                <w:sz w:val="12"/>
                <w:szCs w:val="12"/>
                <w:vertAlign w:val="superscript"/>
                <w:lang w:eastAsia="en-IN" w:bidi="hi-IN"/>
              </w:rPr>
            </w:pPr>
            <w:r w:rsidRPr="006B344A">
              <w:rPr>
                <w:rFonts w:ascii="Arial" w:hAnsi="Arial" w:cs="Arial"/>
                <w:sz w:val="12"/>
                <w:szCs w:val="12"/>
                <w:lang w:eastAsia="en-IN" w:bidi="hi-IN"/>
              </w:rPr>
              <w:t>0.073</w:t>
            </w:r>
            <w:r w:rsidRPr="006B344A">
              <w:rPr>
                <w:rFonts w:ascii="Arial" w:hAnsi="Arial" w:cs="Arial"/>
                <w:sz w:val="12"/>
                <w:szCs w:val="12"/>
                <w:vertAlign w:val="superscript"/>
                <w:lang w:eastAsia="en-IN" w:bidi="hi-IN"/>
              </w:rPr>
              <w:t>@</w:t>
            </w:r>
          </w:p>
        </w:tc>
        <w:tc>
          <w:tcPr>
            <w:tcW w:w="709" w:type="dxa"/>
            <w:noWrap/>
            <w:vAlign w:val="center"/>
            <w:hideMark/>
          </w:tcPr>
          <w:p w14:paraId="1168E88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-0.595*</w:t>
            </w:r>
          </w:p>
        </w:tc>
        <w:tc>
          <w:tcPr>
            <w:tcW w:w="709" w:type="dxa"/>
            <w:noWrap/>
            <w:vAlign w:val="center"/>
            <w:hideMark/>
          </w:tcPr>
          <w:p w14:paraId="00AD0DD6"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-0.118</w:t>
            </w:r>
            <w:r w:rsidRPr="006B344A">
              <w:rPr>
                <w:rFonts w:ascii="Arial" w:hAnsi="Arial" w:cs="Arial"/>
                <w:sz w:val="12"/>
                <w:szCs w:val="12"/>
                <w:vertAlign w:val="superscript"/>
                <w:lang w:eastAsia="en-IN" w:bidi="hi-IN"/>
              </w:rPr>
              <w:t>@</w:t>
            </w:r>
          </w:p>
        </w:tc>
        <w:tc>
          <w:tcPr>
            <w:tcW w:w="610" w:type="dxa"/>
            <w:noWrap/>
            <w:vAlign w:val="center"/>
            <w:hideMark/>
          </w:tcPr>
          <w:p w14:paraId="09F88437"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0.940**</w:t>
            </w:r>
          </w:p>
        </w:tc>
        <w:tc>
          <w:tcPr>
            <w:tcW w:w="240" w:type="dxa"/>
            <w:noWrap/>
            <w:vAlign w:val="center"/>
            <w:hideMark/>
          </w:tcPr>
          <w:p w14:paraId="1DF4F1AC" w14:textId="77777777" w:rsidR="006B344A" w:rsidRPr="006B344A" w:rsidRDefault="006B344A" w:rsidP="006B344A">
            <w:pPr>
              <w:jc w:val="both"/>
              <w:rPr>
                <w:rFonts w:ascii="Arial" w:hAnsi="Arial" w:cs="Arial"/>
                <w:sz w:val="12"/>
                <w:szCs w:val="12"/>
                <w:lang w:eastAsia="en-IN" w:bidi="hi-IN"/>
              </w:rPr>
            </w:pPr>
            <w:r w:rsidRPr="006B344A">
              <w:rPr>
                <w:rFonts w:ascii="Arial" w:hAnsi="Arial" w:cs="Arial"/>
                <w:sz w:val="12"/>
                <w:szCs w:val="12"/>
                <w:lang w:eastAsia="en-IN" w:bidi="hi-IN"/>
              </w:rPr>
              <w:t>1</w:t>
            </w:r>
          </w:p>
        </w:tc>
      </w:tr>
    </w:tbl>
    <w:p w14:paraId="5C5DBF10" w14:textId="77777777" w:rsidR="006B344A" w:rsidRPr="006B344A" w:rsidRDefault="006B344A" w:rsidP="006B344A">
      <w:pPr>
        <w:ind w:left="720"/>
        <w:jc w:val="both"/>
        <w:rPr>
          <w:rFonts w:ascii="Arial" w:hAnsi="Arial" w:cs="Arial"/>
          <w:sz w:val="20"/>
          <w:szCs w:val="20"/>
        </w:rPr>
      </w:pPr>
    </w:p>
    <w:p w14:paraId="1377AE1E"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vertAlign w:val="superscript"/>
        </w:rPr>
        <w:t>*</w:t>
      </w:r>
      <w:r>
        <w:rPr>
          <w:rFonts w:ascii="Arial" w:eastAsia="Arial" w:hAnsi="Arial" w:cs="Arial"/>
          <w:sz w:val="20"/>
          <w:szCs w:val="20"/>
        </w:rPr>
        <w:t>P =.</w:t>
      </w:r>
      <w:r w:rsidRPr="006B344A">
        <w:rPr>
          <w:rFonts w:ascii="Arial" w:eastAsia="Arial" w:hAnsi="Arial" w:cs="Arial"/>
          <w:sz w:val="20"/>
          <w:szCs w:val="20"/>
        </w:rPr>
        <w:t xml:space="preserve">05 </w:t>
      </w:r>
      <w:r w:rsidRPr="006B344A">
        <w:rPr>
          <w:rFonts w:ascii="Arial" w:eastAsia="Arial" w:hAnsi="Arial" w:cs="Arial"/>
          <w:sz w:val="20"/>
          <w:szCs w:val="20"/>
          <w:vertAlign w:val="superscript"/>
        </w:rPr>
        <w:t>**</w:t>
      </w:r>
      <w:r w:rsidRPr="006B344A">
        <w:rPr>
          <w:rFonts w:ascii="Arial" w:eastAsia="Arial" w:hAnsi="Arial" w:cs="Arial"/>
          <w:sz w:val="20"/>
          <w:szCs w:val="20"/>
        </w:rPr>
        <w:t xml:space="preserve">P&lt;0.01 </w:t>
      </w:r>
      <w:r w:rsidRPr="006B344A">
        <w:rPr>
          <w:rFonts w:ascii="Arial" w:eastAsia="Arial" w:hAnsi="Arial" w:cs="Arial"/>
          <w:sz w:val="20"/>
          <w:szCs w:val="20"/>
          <w:vertAlign w:val="superscript"/>
        </w:rPr>
        <w:t>@</w:t>
      </w:r>
      <w:r w:rsidRPr="006B344A">
        <w:rPr>
          <w:rFonts w:ascii="Arial" w:eastAsia="Arial" w:hAnsi="Arial" w:cs="Arial"/>
          <w:sz w:val="20"/>
          <w:szCs w:val="20"/>
        </w:rPr>
        <w:t>NS not significant</w:t>
      </w:r>
      <w:r w:rsidRPr="006B344A">
        <w:rPr>
          <w:rFonts w:ascii="Arial" w:hAnsi="Arial" w:cs="Arial"/>
          <w:sz w:val="20"/>
          <w:szCs w:val="20"/>
        </w:rPr>
        <w:t xml:space="preserve"> </w:t>
      </w:r>
      <w:r w:rsidRPr="006B344A">
        <w:rPr>
          <w:rFonts w:ascii="Arial" w:eastAsia="Arial" w:hAnsi="Arial" w:cs="Arial"/>
          <w:sz w:val="20"/>
          <w:szCs w:val="20"/>
        </w:rPr>
        <w:t>PP – phytoplankton; ZP – zooplankton</w:t>
      </w:r>
    </w:p>
    <w:p w14:paraId="715F7E8D" w14:textId="77777777" w:rsidR="006B344A" w:rsidRPr="006B344A" w:rsidRDefault="006B344A" w:rsidP="006B344A">
      <w:pPr>
        <w:jc w:val="both"/>
        <w:rPr>
          <w:rFonts w:ascii="Arial" w:eastAsia="Arial" w:hAnsi="Arial" w:cs="Arial"/>
          <w:sz w:val="20"/>
          <w:szCs w:val="20"/>
        </w:rPr>
      </w:pPr>
      <w:r w:rsidRPr="006B344A">
        <w:rPr>
          <w:rFonts w:ascii="Arial" w:eastAsia="Arial" w:hAnsi="Arial" w:cs="Arial"/>
          <w:sz w:val="20"/>
          <w:szCs w:val="20"/>
        </w:rPr>
        <w:t>The correlation coefficient values calculated for phytoplankton abundance with that of zooplankton versus various water quality parameters among the non-fishing zones during the study period</w:t>
      </w:r>
      <w:r>
        <w:rPr>
          <w:rFonts w:ascii="Arial" w:eastAsia="Arial" w:hAnsi="Arial" w:cs="Arial"/>
          <w:sz w:val="20"/>
          <w:szCs w:val="20"/>
        </w:rPr>
        <w:t xml:space="preserve"> are tabulated in Table 2</w:t>
      </w:r>
      <w:r w:rsidRPr="006B344A">
        <w:rPr>
          <w:rFonts w:ascii="Arial" w:eastAsia="Arial" w:hAnsi="Arial" w:cs="Arial"/>
          <w:sz w:val="20"/>
          <w:szCs w:val="20"/>
        </w:rPr>
        <w:t>. Phytoplankton exhibited a negative relationship with DO at the P &lt; 0.01 level. Temperature and phosphate exhibited a negative correlation (P &lt; 0.05), whereas salinity was positively correlated (P &lt; 0.01). Salinity exhibited a positive correlation with highly significant values (P &lt; 0.05). Zooplankton abundance showed no significant correlation with pH, ammonia, nitrate, nitrite, or silicate, but exhibited a strong positive correlation with phytoplankton at P &lt; 0.01.</w:t>
      </w:r>
    </w:p>
    <w:p w14:paraId="7786D643" w14:textId="4E37CB76" w:rsidR="006B344A" w:rsidRPr="006B344A" w:rsidRDefault="006B344A" w:rsidP="006B344A">
      <w:pPr>
        <w:jc w:val="both"/>
        <w:rPr>
          <w:rFonts w:ascii="Arial" w:eastAsia="Arial" w:hAnsi="Arial" w:cs="Arial"/>
          <w:b/>
          <w:bCs/>
          <w:sz w:val="22"/>
          <w:szCs w:val="22"/>
        </w:rPr>
      </w:pPr>
    </w:p>
    <w:p w14:paraId="0AD6D00A"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 xml:space="preserve">4.1 </w:t>
      </w:r>
      <w:proofErr w:type="spellStart"/>
      <w:r w:rsidRPr="006B344A">
        <w:rPr>
          <w:rFonts w:ascii="Arial" w:eastAsia="Arial" w:hAnsi="Arial" w:cs="Arial"/>
          <w:b/>
          <w:bCs/>
          <w:sz w:val="20"/>
          <w:szCs w:val="20"/>
        </w:rPr>
        <w:t>Physico</w:t>
      </w:r>
      <w:proofErr w:type="spellEnd"/>
      <w:r w:rsidRPr="006B344A">
        <w:rPr>
          <w:rFonts w:ascii="Arial" w:eastAsia="Arial" w:hAnsi="Arial" w:cs="Arial"/>
          <w:b/>
          <w:bCs/>
          <w:sz w:val="20"/>
          <w:szCs w:val="20"/>
        </w:rPr>
        <w:t xml:space="preserve">-chemical Parameters </w:t>
      </w:r>
    </w:p>
    <w:p w14:paraId="6DF7C14F" w14:textId="77777777" w:rsidR="006B344A" w:rsidRDefault="006B344A" w:rsidP="006B344A">
      <w:pPr>
        <w:jc w:val="both"/>
        <w:rPr>
          <w:rFonts w:ascii="Arial" w:hAnsi="Arial" w:cs="Arial"/>
          <w:sz w:val="20"/>
          <w:szCs w:val="20"/>
        </w:rPr>
      </w:pPr>
      <w:r w:rsidRPr="006B344A">
        <w:rPr>
          <w:rFonts w:ascii="Arial" w:eastAsia="Arial" w:hAnsi="Arial" w:cs="Arial"/>
          <w:sz w:val="20"/>
          <w:szCs w:val="20"/>
        </w:rPr>
        <w:t>The temperature increased steadily from November to February after the onset of the northeast monsoon period. The highest (30.5</w:t>
      </w:r>
      <w:r w:rsidRPr="006B344A">
        <w:rPr>
          <w:rFonts w:ascii="Arial" w:eastAsia="Arial" w:hAnsi="Arial" w:cs="Arial"/>
          <w:sz w:val="20"/>
          <w:szCs w:val="20"/>
          <w:vertAlign w:val="superscript"/>
        </w:rPr>
        <w:t xml:space="preserve">0 </w:t>
      </w:r>
      <w:r w:rsidRPr="006B344A">
        <w:rPr>
          <w:rFonts w:ascii="Arial" w:eastAsia="Arial" w:hAnsi="Arial" w:cs="Arial"/>
          <w:sz w:val="20"/>
          <w:szCs w:val="20"/>
        </w:rPr>
        <w:t>°C) and lowest (25.7</w:t>
      </w:r>
      <w:r w:rsidRPr="006B344A">
        <w:rPr>
          <w:rFonts w:ascii="Arial" w:eastAsia="Arial" w:hAnsi="Arial" w:cs="Arial"/>
          <w:sz w:val="20"/>
          <w:szCs w:val="20"/>
          <w:vertAlign w:val="superscript"/>
        </w:rPr>
        <w:t xml:space="preserve">0 </w:t>
      </w:r>
      <w:r w:rsidRPr="006B344A">
        <w:rPr>
          <w:rFonts w:ascii="Arial" w:eastAsia="Arial" w:hAnsi="Arial" w:cs="Arial"/>
          <w:sz w:val="20"/>
          <w:szCs w:val="20"/>
        </w:rPr>
        <w:t>°C) water temperatures recorded in February and November coincided with the results of Sharma et al. (2007).</w:t>
      </w:r>
    </w:p>
    <w:p w14:paraId="54BFDDF2" w14:textId="77777777" w:rsidR="006B344A" w:rsidRDefault="006B344A" w:rsidP="006B344A">
      <w:pPr>
        <w:jc w:val="both"/>
        <w:rPr>
          <w:rFonts w:ascii="Arial" w:hAnsi="Arial" w:cs="Arial"/>
          <w:sz w:val="20"/>
          <w:szCs w:val="20"/>
        </w:rPr>
      </w:pPr>
      <w:r w:rsidRPr="006B344A">
        <w:rPr>
          <w:rFonts w:ascii="Arial" w:eastAsia="Arial" w:hAnsi="Arial" w:cs="Arial"/>
          <w:sz w:val="20"/>
          <w:szCs w:val="20"/>
        </w:rPr>
        <w:lastRenderedPageBreak/>
        <w:t xml:space="preserve">Surface salinity was found to be lower in November and December and ranged between 29.67 ppt and 34.51 ppt. This might be due to the fresh water influx during the onset of the northeast monsoon. Relatively high salinity was observed in surface waters during the pre-monsoon season, as reported by </w:t>
      </w:r>
      <w:proofErr w:type="spellStart"/>
      <w:r w:rsidRPr="006B344A">
        <w:rPr>
          <w:rFonts w:ascii="Arial" w:eastAsia="Arial" w:hAnsi="Arial" w:cs="Arial"/>
          <w:sz w:val="20"/>
          <w:szCs w:val="20"/>
        </w:rPr>
        <w:t>Krishnankutty</w:t>
      </w:r>
      <w:proofErr w:type="spellEnd"/>
      <w:r w:rsidRPr="006B344A">
        <w:rPr>
          <w:rFonts w:ascii="Arial" w:eastAsia="Arial" w:hAnsi="Arial" w:cs="Arial"/>
          <w:sz w:val="20"/>
          <w:szCs w:val="20"/>
        </w:rPr>
        <w:t xml:space="preserve"> et al. (2019). </w:t>
      </w:r>
    </w:p>
    <w:p w14:paraId="5FB27CA1"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 xml:space="preserve">The hydrogen ion concentration was maximum in December (8.37) in FZ-2 and minimum in February (6.56) in NFZ-1. The steep decline in February at NFZ-1 may be due to the influence of organic matter decomposition or pollution in that area. </w:t>
      </w:r>
    </w:p>
    <w:p w14:paraId="5D642605"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 xml:space="preserve">The dissolved oxygen varied between 4.28 mg/l and 6.96 mg/l. The highest DO was observed in December and the lowest in November. Although the surface layers receive a large amount of fresh water during the northeast monsoon season in November, the lowest concentration of DO was observed in the same season. This may be because of the absence of vertical mixing due to density stratification and oxidation of organic matter, as reported by Naqvi and Jayakumar et al., (2000).  </w:t>
      </w:r>
    </w:p>
    <w:p w14:paraId="66137F7B"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In the present study, maximum concentrations of total ammonia were recorded in FZ-2 during February and NFZ-1 during November (0.99 mg/l), whereas the minimum was recorded in Fishing Zone-1 (FZ-1) during January (0.09 mg/l). The higher concentration recorded could be partially due to the death and subsequent decomposition of phytoplankton and the excretion of ammonia by planktonic organisms (Calliari et al., 2005).</w:t>
      </w:r>
    </w:p>
    <w:p w14:paraId="150E8095"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 xml:space="preserve">The ranges of nitrate and nitrite were 0.06 – 3.15 mg/l and 0.08–2.48 mg/l, respectively. They were highest in November and December, which may be due to the increased oxidation of ammonia and recycling of nitrogen by bacterial decomposition. </w:t>
      </w:r>
    </w:p>
    <w:p w14:paraId="68678102"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Phosphate is the most important inorganic nutrient that can limit the production of phytoplankton in coastal water ecosystems. Maximum phosphate was reported in January at FZ-1 (1.75 mg/l), whereas a minimum was recorded in NFZ-2 during November (0.79 mg/l). The addition of super phosphates applied in agricultural fields as fertilizers and alkyl phosphates in detergents can be other contributing sources of these inorganic phosphates during the study period, and earlier studies also support this statement (Das et al., 1997; Senthilkumar et al., 2000).</w:t>
      </w:r>
    </w:p>
    <w:p w14:paraId="65CD225C"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The concentration of silicate during the present study ranged from 3.25 to 5.98 mg/l. The highest and lowest values were observed in December (FZ-3) and February (NFZ-3), respectively. Higher silicate values were recorded in all fishing zones than in the non-fishing zones. This might be due to the addition of silica materials by land runoff caused by flooding (</w:t>
      </w:r>
      <w:proofErr w:type="spellStart"/>
      <w:r w:rsidRPr="006B344A">
        <w:rPr>
          <w:rFonts w:ascii="Arial" w:eastAsia="Arial" w:hAnsi="Arial" w:cs="Arial"/>
          <w:sz w:val="20"/>
          <w:szCs w:val="20"/>
        </w:rPr>
        <w:t>Rajasagar</w:t>
      </w:r>
      <w:proofErr w:type="spellEnd"/>
      <w:r w:rsidRPr="006B344A">
        <w:rPr>
          <w:rFonts w:ascii="Arial" w:eastAsia="Arial" w:hAnsi="Arial" w:cs="Arial"/>
          <w:sz w:val="20"/>
          <w:szCs w:val="20"/>
        </w:rPr>
        <w:t xml:space="preserve"> et al.,2002) and the increase </w:t>
      </w:r>
      <w:proofErr w:type="gramStart"/>
      <w:r w:rsidRPr="006B344A">
        <w:rPr>
          <w:rFonts w:ascii="Arial" w:eastAsia="Arial" w:hAnsi="Arial" w:cs="Arial"/>
          <w:sz w:val="20"/>
          <w:szCs w:val="20"/>
        </w:rPr>
        <w:t>in  silicate</w:t>
      </w:r>
      <w:proofErr w:type="gramEnd"/>
      <w:r w:rsidRPr="006B344A">
        <w:rPr>
          <w:rFonts w:ascii="Arial" w:eastAsia="Arial" w:hAnsi="Arial" w:cs="Arial"/>
          <w:sz w:val="20"/>
          <w:szCs w:val="20"/>
        </w:rPr>
        <w:t xml:space="preserve"> concentration is due to the presence of siliceous frustules of diatoms (Kristiansen and Hoell et al., 2002).</w:t>
      </w:r>
    </w:p>
    <w:p w14:paraId="09AC0E33"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4.2 Plankton</w:t>
      </w:r>
    </w:p>
    <w:p w14:paraId="28A967C9"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 xml:space="preserve">A review of the data on plankton production and its relation to fisheries along the two coasts of India suggests that high concentrations of fish occur in areas of high plankton production, which in turn are the areas of enrichment (Prasad et al., 1969). Pelagic fisheries exhibit a direct relationship with zooplankton production (Sheldon et al., 1977). In the present study the analysis of variance (2 way) calculated for total zooplankton density recorded in the fishing and non-fishing zones showed that there </w:t>
      </w:r>
      <w:proofErr w:type="gramStart"/>
      <w:r w:rsidRPr="006B344A">
        <w:rPr>
          <w:rFonts w:ascii="Arial" w:eastAsia="Arial" w:hAnsi="Arial" w:cs="Arial"/>
          <w:sz w:val="20"/>
          <w:szCs w:val="20"/>
        </w:rPr>
        <w:t>exists</w:t>
      </w:r>
      <w:proofErr w:type="gramEnd"/>
      <w:r w:rsidRPr="006B344A">
        <w:rPr>
          <w:rFonts w:ascii="Arial" w:eastAsia="Arial" w:hAnsi="Arial" w:cs="Arial"/>
          <w:sz w:val="20"/>
          <w:szCs w:val="20"/>
        </w:rPr>
        <w:t xml:space="preserve"> significant differences between the months whereas it exhibited no significant differences between the fishing and non-fishing zones</w:t>
      </w:r>
    </w:p>
    <w:p w14:paraId="05FF58C6"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4.3 Phytoplankton</w:t>
      </w:r>
    </w:p>
    <w:p w14:paraId="2FFD53BC"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Among the zones, the maximum abundance of phytoplankton was reported in FZ-1 during December (10340 number/</w:t>
      </w:r>
      <w:proofErr w:type="spellStart"/>
      <w:r w:rsidRPr="006B344A">
        <w:rPr>
          <w:rFonts w:ascii="Arial" w:eastAsia="Arial" w:hAnsi="Arial" w:cs="Arial"/>
          <w:sz w:val="20"/>
          <w:szCs w:val="20"/>
        </w:rPr>
        <w:t>liter</w:t>
      </w:r>
      <w:proofErr w:type="spellEnd"/>
      <w:r w:rsidRPr="006B344A">
        <w:rPr>
          <w:rFonts w:ascii="Arial" w:eastAsia="Arial" w:hAnsi="Arial" w:cs="Arial"/>
          <w:sz w:val="20"/>
          <w:szCs w:val="20"/>
        </w:rPr>
        <w:t>), whereas the minimum was recorded in NFZ-2 during February (6815 number/</w:t>
      </w:r>
      <w:proofErr w:type="spellStart"/>
      <w:r w:rsidRPr="006B344A">
        <w:rPr>
          <w:rFonts w:ascii="Arial" w:eastAsia="Arial" w:hAnsi="Arial" w:cs="Arial"/>
          <w:sz w:val="20"/>
          <w:szCs w:val="20"/>
        </w:rPr>
        <w:t>liter</w:t>
      </w:r>
      <w:proofErr w:type="spellEnd"/>
      <w:r w:rsidRPr="006B344A">
        <w:rPr>
          <w:rFonts w:ascii="Arial" w:eastAsia="Arial" w:hAnsi="Arial" w:cs="Arial"/>
          <w:sz w:val="20"/>
          <w:szCs w:val="20"/>
        </w:rPr>
        <w:t xml:space="preserve">). In December, the abundance of phytoplankton was comparatively higher in the fishing zone because fishing zones had a higher silicate concentration than the non-fishing zones, and all other parameters were also normal in the fishing zone. In the present study, the abundance of </w:t>
      </w:r>
      <w:r w:rsidRPr="006B344A">
        <w:rPr>
          <w:rFonts w:ascii="Arial" w:eastAsia="Arial" w:hAnsi="Arial" w:cs="Arial"/>
          <w:sz w:val="20"/>
          <w:szCs w:val="20"/>
        </w:rPr>
        <w:lastRenderedPageBreak/>
        <w:t xml:space="preserve">phytoplankton was positively correlated with pH, temperature, salinity, and nutrients, which is in line with the results of Rai and Rajashekhar et al. (2015). The present study showed a relationship between the densities of phytoplankton and environmental variables such as dissolved oxygen and pH, which coincides with the work of </w:t>
      </w:r>
      <w:proofErr w:type="spellStart"/>
      <w:r w:rsidRPr="006B344A">
        <w:rPr>
          <w:rFonts w:ascii="Arial" w:eastAsia="Arial" w:hAnsi="Arial" w:cs="Arial"/>
          <w:sz w:val="20"/>
          <w:szCs w:val="20"/>
        </w:rPr>
        <w:t>Temkar</w:t>
      </w:r>
      <w:proofErr w:type="spellEnd"/>
      <w:r w:rsidRPr="006B344A">
        <w:rPr>
          <w:rFonts w:ascii="Arial" w:eastAsia="Arial" w:hAnsi="Arial" w:cs="Arial"/>
          <w:sz w:val="20"/>
          <w:szCs w:val="20"/>
        </w:rPr>
        <w:t xml:space="preserve"> et al. (2015) in the coastal waters of Veraval.</w:t>
      </w:r>
    </w:p>
    <w:p w14:paraId="248228CB" w14:textId="77777777" w:rsidR="006B344A" w:rsidRPr="006B344A" w:rsidRDefault="006B344A" w:rsidP="006B344A">
      <w:pPr>
        <w:jc w:val="both"/>
        <w:rPr>
          <w:rFonts w:ascii="Arial" w:hAnsi="Arial" w:cs="Arial"/>
          <w:b/>
          <w:bCs/>
          <w:sz w:val="20"/>
          <w:szCs w:val="20"/>
        </w:rPr>
      </w:pPr>
      <w:r w:rsidRPr="006B344A">
        <w:rPr>
          <w:rFonts w:ascii="Arial" w:eastAsia="Arial" w:hAnsi="Arial" w:cs="Arial"/>
          <w:b/>
          <w:bCs/>
          <w:sz w:val="20"/>
          <w:szCs w:val="20"/>
        </w:rPr>
        <w:t xml:space="preserve">4.4 Zooplankton </w:t>
      </w:r>
    </w:p>
    <w:p w14:paraId="3063B0E4"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The maximum zooplankton biomass and abundance values were recorded in November from FZ-1 (0.85 ml/m</w:t>
      </w:r>
      <w:r w:rsidRPr="006B344A">
        <w:rPr>
          <w:rFonts w:ascii="Arial" w:eastAsia="Arial" w:hAnsi="Arial" w:cs="Arial"/>
          <w:sz w:val="20"/>
          <w:szCs w:val="20"/>
          <w:vertAlign w:val="superscript"/>
        </w:rPr>
        <w:t>3</w:t>
      </w:r>
      <w:r w:rsidRPr="006B344A">
        <w:rPr>
          <w:rFonts w:ascii="Arial" w:eastAsia="Arial" w:hAnsi="Arial" w:cs="Arial"/>
          <w:sz w:val="20"/>
          <w:szCs w:val="20"/>
        </w:rPr>
        <w:t>) and (503 no. /m</w:t>
      </w:r>
      <w:r w:rsidRPr="006B344A">
        <w:rPr>
          <w:rFonts w:ascii="Arial" w:eastAsia="Arial" w:hAnsi="Arial" w:cs="Arial"/>
          <w:sz w:val="20"/>
          <w:szCs w:val="20"/>
          <w:vertAlign w:val="superscript"/>
        </w:rPr>
        <w:t>3</w:t>
      </w:r>
      <w:r w:rsidRPr="006B344A">
        <w:rPr>
          <w:rFonts w:ascii="Arial" w:eastAsia="Arial" w:hAnsi="Arial" w:cs="Arial"/>
          <w:sz w:val="20"/>
          <w:szCs w:val="20"/>
        </w:rPr>
        <w:t>) respectively, which might be due to the dense swarms of calanoids copepod and decapods. The minimum biomass and abundance were in December from NFZ-3 (0.63 ml/m</w:t>
      </w:r>
      <w:r w:rsidRPr="006B344A">
        <w:rPr>
          <w:rFonts w:ascii="Arial" w:eastAsia="Arial" w:hAnsi="Arial" w:cs="Arial"/>
          <w:sz w:val="20"/>
          <w:szCs w:val="20"/>
          <w:vertAlign w:val="superscript"/>
        </w:rPr>
        <w:t>3</w:t>
      </w:r>
      <w:r w:rsidRPr="006B344A">
        <w:rPr>
          <w:rFonts w:ascii="Arial" w:eastAsia="Arial" w:hAnsi="Arial" w:cs="Arial"/>
          <w:sz w:val="20"/>
          <w:szCs w:val="20"/>
        </w:rPr>
        <w:t>) and (422 no. /m</w:t>
      </w:r>
      <w:r w:rsidRPr="006B344A">
        <w:rPr>
          <w:rFonts w:ascii="Arial" w:eastAsia="Arial" w:hAnsi="Arial" w:cs="Arial"/>
          <w:sz w:val="20"/>
          <w:szCs w:val="20"/>
          <w:vertAlign w:val="superscript"/>
        </w:rPr>
        <w:t>3</w:t>
      </w:r>
      <w:r w:rsidRPr="006B344A">
        <w:rPr>
          <w:rFonts w:ascii="Arial" w:eastAsia="Arial" w:hAnsi="Arial" w:cs="Arial"/>
          <w:sz w:val="20"/>
          <w:szCs w:val="20"/>
        </w:rPr>
        <w:t xml:space="preserve">) respectively, and an almost inverse trend was noticed with the phytoplankton abundance, which was higher in FZ-1 during December (10340 no. /litre). </w:t>
      </w:r>
    </w:p>
    <w:p w14:paraId="7B85D6B1"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 xml:space="preserve">Most zooplankton species survive under a wide range of environmental conditions, and their growth and density depend on several physical, chemical, and biological factors (Swar and Fernando, 1980). </w:t>
      </w:r>
      <w:r w:rsidRPr="006B344A">
        <w:rPr>
          <w:rFonts w:ascii="Arial" w:hAnsi="Arial" w:cs="Arial"/>
          <w:sz w:val="20"/>
          <w:szCs w:val="20"/>
        </w:rPr>
        <w:t>(</w:t>
      </w:r>
      <w:r w:rsidRPr="006B344A">
        <w:rPr>
          <w:rFonts w:ascii="Arial" w:eastAsia="Arial" w:hAnsi="Arial" w:cs="Arial"/>
          <w:sz w:val="20"/>
          <w:szCs w:val="20"/>
        </w:rPr>
        <w:t>Mclaren, 1963)</w:t>
      </w:r>
      <w:r w:rsidRPr="006B344A">
        <w:rPr>
          <w:rFonts w:ascii="Arial" w:hAnsi="Arial" w:cs="Arial"/>
          <w:sz w:val="20"/>
          <w:szCs w:val="20"/>
        </w:rPr>
        <w:t xml:space="preserve"> </w:t>
      </w:r>
      <w:r w:rsidRPr="006B344A">
        <w:rPr>
          <w:rFonts w:ascii="Arial" w:eastAsia="Arial" w:hAnsi="Arial" w:cs="Arial"/>
          <w:sz w:val="20"/>
          <w:szCs w:val="20"/>
        </w:rPr>
        <w:t>stated that temperature regulates the birth rate, longevity, and other population characteristics of zooplankton. The availability of food (</w:t>
      </w:r>
      <w:proofErr w:type="spellStart"/>
      <w:r w:rsidRPr="006B344A">
        <w:rPr>
          <w:rFonts w:ascii="Arial" w:eastAsia="Arial" w:hAnsi="Arial" w:cs="Arial"/>
          <w:sz w:val="20"/>
          <w:szCs w:val="20"/>
        </w:rPr>
        <w:t>Comita</w:t>
      </w:r>
      <w:proofErr w:type="spellEnd"/>
      <w:r w:rsidRPr="006B344A">
        <w:rPr>
          <w:rFonts w:ascii="Arial" w:eastAsia="Arial" w:hAnsi="Arial" w:cs="Arial"/>
          <w:sz w:val="20"/>
          <w:szCs w:val="20"/>
        </w:rPr>
        <w:t xml:space="preserve"> and Anderson et al., 1959; </w:t>
      </w:r>
      <w:proofErr w:type="spellStart"/>
      <w:r w:rsidRPr="006B344A">
        <w:rPr>
          <w:rFonts w:ascii="Arial" w:eastAsia="Arial" w:hAnsi="Arial" w:cs="Arial"/>
          <w:sz w:val="20"/>
          <w:szCs w:val="20"/>
        </w:rPr>
        <w:t>Patalas</w:t>
      </w:r>
      <w:proofErr w:type="spellEnd"/>
      <w:r w:rsidRPr="006B344A">
        <w:rPr>
          <w:rFonts w:ascii="Arial" w:eastAsia="Arial" w:hAnsi="Arial" w:cs="Arial"/>
          <w:sz w:val="20"/>
          <w:szCs w:val="20"/>
        </w:rPr>
        <w:t xml:space="preserve"> et al., 1972) and predation by planktivorous fishes and invertebrates (Swar and Fernando et al., 1980) might have noticeable effects on zooplankton communities.</w:t>
      </w:r>
    </w:p>
    <w:p w14:paraId="588A4986" w14:textId="77777777" w:rsidR="006B344A" w:rsidRPr="006B344A" w:rsidRDefault="006B344A" w:rsidP="006B344A">
      <w:pPr>
        <w:jc w:val="both"/>
        <w:rPr>
          <w:rFonts w:ascii="Arial" w:eastAsia="Arial" w:hAnsi="Arial" w:cs="Arial"/>
          <w:sz w:val="20"/>
          <w:szCs w:val="20"/>
        </w:rPr>
      </w:pPr>
      <w:r w:rsidRPr="006B344A">
        <w:rPr>
          <w:rFonts w:ascii="Arial" w:eastAsia="Arial" w:hAnsi="Arial" w:cs="Arial"/>
          <w:sz w:val="20"/>
          <w:szCs w:val="20"/>
        </w:rPr>
        <w:t>Copepods were the most dominant group in the zooplankton community in all fishing and non-fishing zones, constituting 49.6–72.1% of the total zooplankton, followed by decapods. The dominance of copepods on the south-central west coast of India has been reported (Venkataramana et al., 2020).</w:t>
      </w:r>
    </w:p>
    <w:p w14:paraId="4C337205" w14:textId="77777777" w:rsidR="006B344A" w:rsidRPr="006B344A" w:rsidRDefault="006B344A" w:rsidP="006B344A">
      <w:pPr>
        <w:jc w:val="both"/>
        <w:rPr>
          <w:rFonts w:ascii="Arial" w:eastAsia="Arial" w:hAnsi="Arial" w:cs="Arial"/>
          <w:b/>
          <w:bCs/>
          <w:sz w:val="20"/>
          <w:szCs w:val="20"/>
        </w:rPr>
      </w:pPr>
      <w:r w:rsidRPr="006B344A">
        <w:rPr>
          <w:rFonts w:ascii="Arial" w:eastAsia="Arial" w:hAnsi="Arial" w:cs="Arial"/>
          <w:b/>
          <w:bCs/>
          <w:sz w:val="20"/>
          <w:szCs w:val="20"/>
        </w:rPr>
        <w:t>5. CONCLUSION</w:t>
      </w:r>
    </w:p>
    <w:p w14:paraId="6CAA0993"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The reasons for the aggregation of fish schools in certain regions or micro-niches within the same habitat must be dealt with in detail, which will be of immense help in ecosystem-based fisheries management. This attempt will surely pave the way for new vistas for the more precise prediction of schools of small pelagic fish species using remote sensing and satellite oceanography. The present study on the zooplankton diversity and density between active fishing zones and non-fishing zones will certainly stand as a baseline reference for any advanced line of investigation in the future by incorporating all facets of oceanographic data monitoring to arrive with a more realistic picture of the role of ocean productivity on fish assemblages within the same habitat.</w:t>
      </w:r>
    </w:p>
    <w:p w14:paraId="523E2B7C" w14:textId="77777777" w:rsidR="006B344A" w:rsidRPr="006B344A" w:rsidRDefault="006B344A" w:rsidP="006B344A">
      <w:pPr>
        <w:jc w:val="both"/>
        <w:rPr>
          <w:rFonts w:ascii="Arial" w:hAnsi="Arial" w:cs="Arial"/>
          <w:sz w:val="20"/>
          <w:szCs w:val="20"/>
        </w:rPr>
      </w:pPr>
      <w:r w:rsidRPr="006B344A">
        <w:rPr>
          <w:rFonts w:ascii="Arial" w:eastAsia="Arial" w:hAnsi="Arial" w:cs="Arial"/>
          <w:sz w:val="20"/>
          <w:szCs w:val="20"/>
        </w:rPr>
        <w:t>The community structure of zooplankton and its regional variations are controlled by primary productivity, along with the seasonality of physicochemical parameters and semi-annually reversing coastal currents coupled with various other biogeochemistry and oceanographic processes. Localized oceanic physical processes, coupled with multiple parameters such as primary productivity, the microbial loop, sea surface temperature (SST), thermal fronts, eddies, and upwelling, play a crucial role in the sustenance of fish schools in a particular place, which warrants detailed investigations.</w:t>
      </w:r>
    </w:p>
    <w:p w14:paraId="08ADE519" w14:textId="77777777" w:rsidR="00091242" w:rsidRDefault="00091242" w:rsidP="006B344A">
      <w:pPr>
        <w:jc w:val="both"/>
        <w:rPr>
          <w:rFonts w:ascii="Arial" w:eastAsia="Arial" w:hAnsi="Arial" w:cs="Arial"/>
          <w:b/>
          <w:bCs/>
          <w:sz w:val="22"/>
          <w:szCs w:val="22"/>
        </w:rPr>
      </w:pPr>
    </w:p>
    <w:p w14:paraId="33B60739" w14:textId="5514592D" w:rsidR="006B344A" w:rsidRPr="006B344A" w:rsidRDefault="006B344A" w:rsidP="006B344A">
      <w:pPr>
        <w:jc w:val="both"/>
        <w:rPr>
          <w:rFonts w:ascii="Arial" w:eastAsia="Arial" w:hAnsi="Arial" w:cs="Arial"/>
          <w:b/>
          <w:bCs/>
          <w:sz w:val="22"/>
          <w:szCs w:val="22"/>
        </w:rPr>
      </w:pPr>
      <w:r w:rsidRPr="006B344A">
        <w:rPr>
          <w:rFonts w:ascii="Arial" w:eastAsia="Arial" w:hAnsi="Arial" w:cs="Arial"/>
          <w:b/>
          <w:bCs/>
          <w:sz w:val="22"/>
          <w:szCs w:val="22"/>
        </w:rPr>
        <w:t>REFERENCE</w:t>
      </w:r>
    </w:p>
    <w:p w14:paraId="693FF204" w14:textId="77777777" w:rsidR="006B344A" w:rsidRPr="006B344A" w:rsidRDefault="006B344A" w:rsidP="006B344A">
      <w:pPr>
        <w:jc w:val="both"/>
        <w:rPr>
          <w:rFonts w:ascii="Arial" w:hAnsi="Arial" w:cs="Arial"/>
          <w:sz w:val="20"/>
          <w:szCs w:val="20"/>
        </w:rPr>
      </w:pPr>
    </w:p>
    <w:p w14:paraId="55347B43"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 xml:space="preserve">Calliari, D., Gómez, M., and Gómez, N. (2004). Biomass and composition of the phytoplankton in the Río de la Plata: large-scale distribution and relationship with environmental variables during a spring cruise. Continental Shelf Research, 25(2), 197–210. </w:t>
      </w:r>
      <w:hyperlink r:id="rId18" w:history="1">
        <w:r w:rsidRPr="006B344A">
          <w:rPr>
            <w:rStyle w:val="Hyperlink"/>
            <w:rFonts w:ascii="Arial" w:eastAsia="Arial" w:hAnsi="Arial" w:cs="Arial"/>
            <w:color w:val="auto"/>
            <w:sz w:val="20"/>
            <w:szCs w:val="20"/>
            <w:u w:val="none"/>
          </w:rPr>
          <w:t>https://doi.org/10.1016/j.csr.2004.09.009</w:t>
        </w:r>
      </w:hyperlink>
      <w:r w:rsidRPr="006B344A">
        <w:rPr>
          <w:rFonts w:ascii="Arial" w:eastAsia="Arial" w:hAnsi="Arial" w:cs="Arial"/>
          <w:sz w:val="20"/>
          <w:szCs w:val="20"/>
          <w:highlight w:val="white"/>
        </w:rPr>
        <w:t>.</w:t>
      </w:r>
    </w:p>
    <w:p w14:paraId="5969A430" w14:textId="77777777" w:rsidR="006B344A" w:rsidRPr="006B344A" w:rsidRDefault="006B344A" w:rsidP="006B344A">
      <w:pPr>
        <w:ind w:left="720" w:hanging="720"/>
        <w:jc w:val="both"/>
        <w:rPr>
          <w:rFonts w:ascii="Arial" w:hAnsi="Arial" w:cs="Arial"/>
          <w:sz w:val="20"/>
          <w:szCs w:val="20"/>
        </w:rPr>
      </w:pPr>
      <w:proofErr w:type="spellStart"/>
      <w:r w:rsidRPr="006B344A">
        <w:rPr>
          <w:rFonts w:ascii="Arial" w:eastAsia="Arial" w:hAnsi="Arial" w:cs="Arial"/>
          <w:sz w:val="20"/>
          <w:szCs w:val="20"/>
          <w:highlight w:val="white"/>
        </w:rPr>
        <w:t>Comita</w:t>
      </w:r>
      <w:proofErr w:type="spellEnd"/>
      <w:r w:rsidRPr="006B344A">
        <w:rPr>
          <w:rFonts w:ascii="Arial" w:eastAsia="Arial" w:hAnsi="Arial" w:cs="Arial"/>
          <w:sz w:val="20"/>
          <w:szCs w:val="20"/>
          <w:highlight w:val="white"/>
        </w:rPr>
        <w:t>, G. W., &amp; Anderson, G. C. (1959). Seasonal Development of a Population of </w:t>
      </w:r>
      <w:proofErr w:type="spellStart"/>
      <w:r w:rsidRPr="006B344A">
        <w:rPr>
          <w:rFonts w:ascii="Arial" w:eastAsia="Arial" w:hAnsi="Arial" w:cs="Arial"/>
          <w:sz w:val="20"/>
          <w:szCs w:val="20"/>
          <w:highlight w:val="white"/>
        </w:rPr>
        <w:t>Diaptomus</w:t>
      </w:r>
      <w:proofErr w:type="spellEnd"/>
      <w:r w:rsidRPr="006B344A">
        <w:rPr>
          <w:rFonts w:ascii="Arial" w:eastAsia="Arial" w:hAnsi="Arial" w:cs="Arial"/>
          <w:sz w:val="20"/>
          <w:szCs w:val="20"/>
          <w:highlight w:val="white"/>
        </w:rPr>
        <w:t xml:space="preserve"> </w:t>
      </w:r>
      <w:proofErr w:type="spellStart"/>
      <w:r w:rsidRPr="006B344A">
        <w:rPr>
          <w:rFonts w:ascii="Arial" w:eastAsia="Arial" w:hAnsi="Arial" w:cs="Arial"/>
          <w:sz w:val="20"/>
          <w:szCs w:val="20"/>
          <w:highlight w:val="white"/>
        </w:rPr>
        <w:t>ashlandi</w:t>
      </w:r>
      <w:proofErr w:type="spellEnd"/>
      <w:r w:rsidRPr="006B344A">
        <w:rPr>
          <w:rFonts w:ascii="Arial" w:eastAsia="Arial" w:hAnsi="Arial" w:cs="Arial"/>
          <w:sz w:val="20"/>
          <w:szCs w:val="20"/>
          <w:highlight w:val="white"/>
        </w:rPr>
        <w:t xml:space="preserve"> Marsh and Related Phytoplankton Cycles in Lake Washington. Limnology and Oceanography, 4(1), 37–52. </w:t>
      </w:r>
      <w:hyperlink r:id="rId19" w:history="1">
        <w:r w:rsidRPr="006B344A">
          <w:rPr>
            <w:rStyle w:val="Hyperlink"/>
            <w:rFonts w:ascii="Arial" w:eastAsia="Arial" w:hAnsi="Arial" w:cs="Arial"/>
            <w:color w:val="auto"/>
            <w:sz w:val="20"/>
            <w:szCs w:val="20"/>
            <w:u w:val="none"/>
          </w:rPr>
          <w:t>https://doi.org/10.4319/lo.1959.4.1.0037</w:t>
        </w:r>
      </w:hyperlink>
      <w:r w:rsidRPr="006B344A">
        <w:rPr>
          <w:rFonts w:ascii="Arial" w:eastAsia="Arial" w:hAnsi="Arial" w:cs="Arial"/>
          <w:sz w:val="20"/>
          <w:szCs w:val="20"/>
          <w:highlight w:val="white"/>
        </w:rPr>
        <w:t>.</w:t>
      </w:r>
    </w:p>
    <w:p w14:paraId="44CCA007"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rPr>
        <w:lastRenderedPageBreak/>
        <w:t xml:space="preserve">Das, J., Das, S. N., &amp; Sahoo, R. K. (1997). Semidiurnal variation of some </w:t>
      </w:r>
      <w:proofErr w:type="spellStart"/>
      <w:r w:rsidRPr="006B344A">
        <w:rPr>
          <w:rFonts w:ascii="Arial" w:eastAsia="Arial" w:hAnsi="Arial" w:cs="Arial"/>
          <w:sz w:val="20"/>
          <w:szCs w:val="20"/>
        </w:rPr>
        <w:t>physico</w:t>
      </w:r>
      <w:proofErr w:type="spellEnd"/>
      <w:r w:rsidRPr="006B344A">
        <w:rPr>
          <w:rFonts w:ascii="Arial" w:eastAsia="Arial" w:hAnsi="Arial" w:cs="Arial"/>
          <w:sz w:val="20"/>
          <w:szCs w:val="20"/>
        </w:rPr>
        <w:t>-chemical parameters in the Mahanadi estuary, East coast of India. Indian Journal of Marine Sciences, 26(3), pp.323–326.</w:t>
      </w:r>
    </w:p>
    <w:p w14:paraId="7923F72B"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 xml:space="preserve">Greenwood, A., O’Riordan, R. M., &amp; Barnes, D. K. A. (2001). Seasonality and vertical zonation of zooplankton in a semi-enclosed sea lough. Journal of the Marine Biological Association of the United Kingdom, 81(2), 213–220. </w:t>
      </w:r>
      <w:hyperlink r:id="rId20" w:history="1">
        <w:r w:rsidRPr="006B344A">
          <w:rPr>
            <w:rStyle w:val="Hyperlink"/>
            <w:rFonts w:ascii="Arial" w:eastAsia="Arial" w:hAnsi="Arial" w:cs="Arial"/>
            <w:color w:val="auto"/>
            <w:sz w:val="20"/>
            <w:szCs w:val="20"/>
            <w:u w:val="none"/>
          </w:rPr>
          <w:t>https://doi.org/10.1017/s0025315401003666</w:t>
        </w:r>
      </w:hyperlink>
      <w:r w:rsidRPr="006B344A">
        <w:rPr>
          <w:rFonts w:ascii="Arial" w:eastAsia="Arial" w:hAnsi="Arial" w:cs="Arial"/>
          <w:sz w:val="20"/>
          <w:szCs w:val="20"/>
          <w:highlight w:val="white"/>
        </w:rPr>
        <w:t>.</w:t>
      </w:r>
    </w:p>
    <w:p w14:paraId="73CE2986"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 xml:space="preserve">Horne, J. K., &amp; Schneider, D. C. (1994). Analysis of Scale-Dependent Processes Using Dimensionless Ratios. Oikos, 70(2), 201. </w:t>
      </w:r>
      <w:hyperlink r:id="rId21" w:history="1">
        <w:r w:rsidRPr="006B344A">
          <w:rPr>
            <w:rStyle w:val="Hyperlink"/>
            <w:rFonts w:ascii="Arial" w:eastAsia="Arial" w:hAnsi="Arial" w:cs="Arial"/>
            <w:color w:val="auto"/>
            <w:sz w:val="20"/>
            <w:szCs w:val="20"/>
            <w:u w:val="none"/>
          </w:rPr>
          <w:t>https://doi.org/10.2307/3545631</w:t>
        </w:r>
      </w:hyperlink>
      <w:r w:rsidRPr="006B344A">
        <w:rPr>
          <w:rFonts w:ascii="Arial" w:eastAsia="Arial" w:hAnsi="Arial" w:cs="Arial"/>
          <w:sz w:val="20"/>
          <w:szCs w:val="20"/>
          <w:highlight w:val="white"/>
        </w:rPr>
        <w:t>.</w:t>
      </w:r>
    </w:p>
    <w:p w14:paraId="471BF217"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 xml:space="preserve">Krishnankutty, S., Joseph, C.A., Vincent, P.D., Jabir, T., Vishnu, P.S., </w:t>
      </w:r>
      <w:proofErr w:type="spellStart"/>
      <w:r w:rsidRPr="006B344A">
        <w:rPr>
          <w:rFonts w:ascii="Arial" w:eastAsia="Arial" w:hAnsi="Arial" w:cs="Arial"/>
          <w:sz w:val="20"/>
          <w:szCs w:val="20"/>
          <w:highlight w:val="white"/>
        </w:rPr>
        <w:t>Saramma</w:t>
      </w:r>
      <w:proofErr w:type="spellEnd"/>
      <w:r w:rsidRPr="006B344A">
        <w:rPr>
          <w:rFonts w:ascii="Arial" w:eastAsia="Arial" w:hAnsi="Arial" w:cs="Arial"/>
          <w:sz w:val="20"/>
          <w:szCs w:val="20"/>
          <w:highlight w:val="white"/>
        </w:rPr>
        <w:t xml:space="preserve">, A.V. and Hatha, A.A., 2019. Hydrographic, seasonal diversity, distribution and abundance of phytoplankton in coastal waters off Cochin-south-eastern Arabian </w:t>
      </w:r>
      <w:proofErr w:type="spellStart"/>
      <w:r w:rsidRPr="006B344A">
        <w:rPr>
          <w:rFonts w:ascii="Arial" w:eastAsia="Arial" w:hAnsi="Arial" w:cs="Arial"/>
          <w:sz w:val="20"/>
          <w:szCs w:val="20"/>
          <w:highlight w:val="white"/>
        </w:rPr>
        <w:t>Sea.Indian</w:t>
      </w:r>
      <w:proofErr w:type="spellEnd"/>
      <w:r w:rsidRPr="006B344A">
        <w:rPr>
          <w:rFonts w:ascii="Arial" w:eastAsia="Arial" w:hAnsi="Arial" w:cs="Arial"/>
          <w:sz w:val="20"/>
          <w:szCs w:val="20"/>
          <w:highlight w:val="white"/>
        </w:rPr>
        <w:t>. J. of Geo-Mar. Sci 48(03), pp.319-326.</w:t>
      </w:r>
    </w:p>
    <w:p w14:paraId="1623324D"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Kristiansen, S., &amp; Hoell, E. E. (2002). The importance of silicon in marine production*. </w:t>
      </w:r>
      <w:proofErr w:type="spellStart"/>
      <w:r w:rsidRPr="006B344A">
        <w:rPr>
          <w:rFonts w:ascii="Arial" w:eastAsia="Arial" w:hAnsi="Arial" w:cs="Arial"/>
          <w:sz w:val="20"/>
          <w:szCs w:val="20"/>
          <w:highlight w:val="white"/>
        </w:rPr>
        <w:t>Hydrobiologia</w:t>
      </w:r>
      <w:proofErr w:type="spellEnd"/>
      <w:r w:rsidRPr="006B344A">
        <w:rPr>
          <w:rFonts w:ascii="Arial" w:eastAsia="Arial" w:hAnsi="Arial" w:cs="Arial"/>
          <w:sz w:val="20"/>
          <w:szCs w:val="20"/>
          <w:highlight w:val="white"/>
        </w:rPr>
        <w:t xml:space="preserve">, 484(1–3),21–31. </w:t>
      </w:r>
      <w:hyperlink r:id="rId22" w:history="1">
        <w:r w:rsidRPr="006B344A">
          <w:rPr>
            <w:rStyle w:val="Hyperlink"/>
            <w:rFonts w:ascii="Arial" w:eastAsia="Arial" w:hAnsi="Arial" w:cs="Arial"/>
            <w:color w:val="auto"/>
            <w:sz w:val="20"/>
            <w:szCs w:val="20"/>
            <w:u w:val="none"/>
          </w:rPr>
          <w:t>https://doi.org/10.1023/a:1021392618824</w:t>
        </w:r>
      </w:hyperlink>
      <w:r w:rsidRPr="006B344A">
        <w:rPr>
          <w:rFonts w:ascii="Arial" w:eastAsia="Arial" w:hAnsi="Arial" w:cs="Arial"/>
          <w:sz w:val="20"/>
          <w:szCs w:val="20"/>
          <w:highlight w:val="white"/>
        </w:rPr>
        <w:t>.</w:t>
      </w:r>
    </w:p>
    <w:p w14:paraId="5F4D748F"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rPr>
        <w:t xml:space="preserve">Marshall, K. N., Levin, P. S., Essington, T. E., Koehn, L. E., Anderson, L. G., Bundy, A., Carothers, C., Coleman, F., Gerber, L. R., Grabowski, J. H., Houde, E., Jensen, O. P., </w:t>
      </w:r>
      <w:proofErr w:type="spellStart"/>
      <w:r w:rsidRPr="006B344A">
        <w:rPr>
          <w:rFonts w:ascii="Arial" w:eastAsia="Arial" w:hAnsi="Arial" w:cs="Arial"/>
          <w:sz w:val="20"/>
          <w:szCs w:val="20"/>
        </w:rPr>
        <w:t>Möllmann</w:t>
      </w:r>
      <w:proofErr w:type="spellEnd"/>
      <w:r w:rsidRPr="006B344A">
        <w:rPr>
          <w:rFonts w:ascii="Arial" w:eastAsia="Arial" w:hAnsi="Arial" w:cs="Arial"/>
          <w:sz w:val="20"/>
          <w:szCs w:val="20"/>
        </w:rPr>
        <w:t xml:space="preserve">, C., Rose, K., and Sanchirico, J. N., &amp; Smith, A. D. M. (2017). Ecosystem-Based Fisheries Management for Social–Ecological Systems: Renewing the Focus in the United States with Next-Generation Fishery Ecosystem Plans. Conservation Letters, 11(1), e12367. </w:t>
      </w:r>
      <w:hyperlink r:id="rId23" w:history="1">
        <w:r w:rsidRPr="006B344A">
          <w:rPr>
            <w:rStyle w:val="Hyperlink"/>
            <w:rFonts w:ascii="Arial" w:eastAsia="Arial" w:hAnsi="Arial" w:cs="Arial"/>
            <w:color w:val="auto"/>
            <w:sz w:val="20"/>
            <w:szCs w:val="20"/>
            <w:u w:val="none"/>
          </w:rPr>
          <w:t>https://doi.org/10.1111/conl.12367</w:t>
        </w:r>
      </w:hyperlink>
      <w:r w:rsidRPr="006B344A">
        <w:rPr>
          <w:rFonts w:ascii="Arial" w:eastAsia="Arial" w:hAnsi="Arial" w:cs="Arial"/>
          <w:sz w:val="20"/>
          <w:szCs w:val="20"/>
        </w:rPr>
        <w:t>.</w:t>
      </w:r>
    </w:p>
    <w:p w14:paraId="397D81D1"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 xml:space="preserve">Mitra A, Castellani C., Gentleman W. C., Jónasdóttir, S. H., Flynn, K. J., Bode, A., </w:t>
      </w:r>
      <w:proofErr w:type="spellStart"/>
      <w:r w:rsidRPr="006B344A">
        <w:rPr>
          <w:rFonts w:ascii="Arial" w:eastAsia="Arial" w:hAnsi="Arial" w:cs="Arial"/>
          <w:sz w:val="20"/>
          <w:szCs w:val="20"/>
          <w:highlight w:val="white"/>
        </w:rPr>
        <w:t>Halsband</w:t>
      </w:r>
      <w:proofErr w:type="spellEnd"/>
      <w:r w:rsidRPr="006B344A">
        <w:rPr>
          <w:rFonts w:ascii="Arial" w:eastAsia="Arial" w:hAnsi="Arial" w:cs="Arial"/>
          <w:sz w:val="20"/>
          <w:szCs w:val="20"/>
          <w:highlight w:val="white"/>
        </w:rPr>
        <w:t xml:space="preserve">, C., Kuhn, P., </w:t>
      </w:r>
      <w:proofErr w:type="spellStart"/>
      <w:r w:rsidRPr="006B344A">
        <w:rPr>
          <w:rFonts w:ascii="Arial" w:eastAsia="Arial" w:hAnsi="Arial" w:cs="Arial"/>
          <w:sz w:val="20"/>
          <w:szCs w:val="20"/>
          <w:highlight w:val="white"/>
        </w:rPr>
        <w:t>Licandro</w:t>
      </w:r>
      <w:proofErr w:type="spellEnd"/>
      <w:r w:rsidRPr="006B344A">
        <w:rPr>
          <w:rFonts w:ascii="Arial" w:eastAsia="Arial" w:hAnsi="Arial" w:cs="Arial"/>
          <w:sz w:val="20"/>
          <w:szCs w:val="20"/>
          <w:highlight w:val="white"/>
        </w:rPr>
        <w:t xml:space="preserve">, P., Agersted, M. D., </w:t>
      </w:r>
      <w:proofErr w:type="spellStart"/>
      <w:r w:rsidRPr="006B344A">
        <w:rPr>
          <w:rFonts w:ascii="Arial" w:eastAsia="Arial" w:hAnsi="Arial" w:cs="Arial"/>
          <w:sz w:val="20"/>
          <w:szCs w:val="20"/>
          <w:highlight w:val="white"/>
        </w:rPr>
        <w:t>Calbet</w:t>
      </w:r>
      <w:proofErr w:type="spellEnd"/>
      <w:r w:rsidRPr="006B344A">
        <w:rPr>
          <w:rFonts w:ascii="Arial" w:eastAsia="Arial" w:hAnsi="Arial" w:cs="Arial"/>
          <w:sz w:val="20"/>
          <w:szCs w:val="20"/>
          <w:highlight w:val="white"/>
        </w:rPr>
        <w:t xml:space="preserve">, A., and Lindeque, P. K., Koppelmann, R., Møller, E. F., Gislason, A., Nielsen, T. G., &amp; St John, M. (2014). Bridging the gap between marine biogeochemical and fisheries sciences: Configuring the zooplankton link. Progress in Oceanography, 129, 176–199. </w:t>
      </w:r>
      <w:hyperlink r:id="rId24" w:history="1">
        <w:r w:rsidRPr="006B344A">
          <w:rPr>
            <w:rStyle w:val="Hyperlink"/>
            <w:rFonts w:ascii="Arial" w:eastAsia="Arial" w:hAnsi="Arial" w:cs="Arial"/>
            <w:color w:val="auto"/>
            <w:sz w:val="20"/>
            <w:szCs w:val="20"/>
            <w:u w:val="none"/>
          </w:rPr>
          <w:t>https://doi.org/10.1016/j.pocean.2014.04.025</w:t>
        </w:r>
      </w:hyperlink>
      <w:r w:rsidRPr="006B344A">
        <w:rPr>
          <w:rFonts w:ascii="Arial" w:eastAsia="Arial" w:hAnsi="Arial" w:cs="Arial"/>
          <w:sz w:val="20"/>
          <w:szCs w:val="20"/>
          <w:highlight w:val="white"/>
        </w:rPr>
        <w:t>.</w:t>
      </w:r>
    </w:p>
    <w:p w14:paraId="1EEA1009"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rPr>
        <w:t xml:space="preserve">Mclaren I. A. (1963). Effects of Temperature on Growth of Zooplankton and the Adaptive Value of Vertical Migration. Journal of the Fisheries Research Board of Canada, 20(3), 685–727. </w:t>
      </w:r>
      <w:hyperlink r:id="rId25" w:history="1">
        <w:r w:rsidRPr="006B344A">
          <w:rPr>
            <w:rStyle w:val="Hyperlink"/>
            <w:rFonts w:ascii="Arial" w:eastAsia="Arial" w:hAnsi="Arial" w:cs="Arial"/>
            <w:color w:val="auto"/>
            <w:sz w:val="20"/>
            <w:szCs w:val="20"/>
            <w:u w:val="none"/>
          </w:rPr>
          <w:t>https://doi.org/10.1139/f63-046</w:t>
        </w:r>
      </w:hyperlink>
      <w:r w:rsidRPr="006B344A">
        <w:rPr>
          <w:rFonts w:ascii="Arial" w:eastAsia="Arial" w:hAnsi="Arial" w:cs="Arial"/>
          <w:sz w:val="20"/>
          <w:szCs w:val="20"/>
        </w:rPr>
        <w:t>.</w:t>
      </w:r>
    </w:p>
    <w:p w14:paraId="1475EC55"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 xml:space="preserve">Naqvi, S.W.A., Naik, H., Jayakumar, A., </w:t>
      </w:r>
      <w:proofErr w:type="spellStart"/>
      <w:r w:rsidRPr="006B344A">
        <w:rPr>
          <w:rFonts w:ascii="Arial" w:eastAsia="Arial" w:hAnsi="Arial" w:cs="Arial"/>
          <w:sz w:val="20"/>
          <w:szCs w:val="20"/>
          <w:highlight w:val="white"/>
        </w:rPr>
        <w:t>Pratihary</w:t>
      </w:r>
      <w:proofErr w:type="spellEnd"/>
      <w:r w:rsidRPr="006B344A">
        <w:rPr>
          <w:rFonts w:ascii="Arial" w:eastAsia="Arial" w:hAnsi="Arial" w:cs="Arial"/>
          <w:sz w:val="20"/>
          <w:szCs w:val="20"/>
          <w:highlight w:val="white"/>
        </w:rPr>
        <w:t xml:space="preserve">, A.K., </w:t>
      </w:r>
      <w:proofErr w:type="spellStart"/>
      <w:r w:rsidRPr="006B344A">
        <w:rPr>
          <w:rFonts w:ascii="Arial" w:eastAsia="Arial" w:hAnsi="Arial" w:cs="Arial"/>
          <w:sz w:val="20"/>
          <w:szCs w:val="20"/>
          <w:highlight w:val="white"/>
        </w:rPr>
        <w:t>Narvenkar</w:t>
      </w:r>
      <w:proofErr w:type="spellEnd"/>
      <w:r w:rsidRPr="006B344A">
        <w:rPr>
          <w:rFonts w:ascii="Arial" w:eastAsia="Arial" w:hAnsi="Arial" w:cs="Arial"/>
          <w:sz w:val="20"/>
          <w:szCs w:val="20"/>
          <w:highlight w:val="white"/>
        </w:rPr>
        <w:t>, G., Kurian, S., Agnihotri, R., Shailaja, M.S. and Narvekar, P.V., 2009. Seasonal anoxia over the western Indian continental shelf. Indian Ocean Biogeochemical Processes and Ecol. variability, 185, pp.333-345.</w:t>
      </w:r>
    </w:p>
    <w:p w14:paraId="0AF8422A" w14:textId="77777777" w:rsidR="006B344A" w:rsidRPr="006B344A" w:rsidRDefault="006B344A" w:rsidP="006B344A">
      <w:pPr>
        <w:ind w:left="720" w:hanging="720"/>
        <w:jc w:val="both"/>
        <w:rPr>
          <w:rFonts w:ascii="Arial" w:hAnsi="Arial" w:cs="Arial"/>
          <w:sz w:val="20"/>
          <w:szCs w:val="20"/>
        </w:rPr>
      </w:pPr>
      <w:proofErr w:type="spellStart"/>
      <w:r w:rsidRPr="006B344A">
        <w:rPr>
          <w:rFonts w:ascii="Arial" w:eastAsia="Arial" w:hAnsi="Arial" w:cs="Arial"/>
          <w:sz w:val="20"/>
          <w:szCs w:val="20"/>
          <w:highlight w:val="white"/>
        </w:rPr>
        <w:t>Patalas</w:t>
      </w:r>
      <w:proofErr w:type="spellEnd"/>
      <w:r w:rsidRPr="006B344A">
        <w:rPr>
          <w:rFonts w:ascii="Arial" w:eastAsia="Arial" w:hAnsi="Arial" w:cs="Arial"/>
          <w:sz w:val="20"/>
          <w:szCs w:val="20"/>
          <w:highlight w:val="white"/>
        </w:rPr>
        <w:t xml:space="preserve">, K. (1972). Crustacean Plankton and Eutrophication of St. Lawrence Great Lakes. Journal of the Fisheries Research Board of Canada, 29(10), 1451–1462. </w:t>
      </w:r>
      <w:hyperlink r:id="rId26" w:history="1">
        <w:r w:rsidRPr="006B344A">
          <w:rPr>
            <w:rStyle w:val="Hyperlink"/>
            <w:rFonts w:ascii="Arial" w:eastAsia="Arial" w:hAnsi="Arial" w:cs="Arial"/>
            <w:color w:val="auto"/>
            <w:sz w:val="20"/>
            <w:szCs w:val="20"/>
            <w:u w:val="none"/>
          </w:rPr>
          <w:t>https://doi.org/10.1139/f72-224</w:t>
        </w:r>
      </w:hyperlink>
      <w:r w:rsidRPr="006B344A">
        <w:rPr>
          <w:rFonts w:ascii="Arial" w:eastAsia="Arial" w:hAnsi="Arial" w:cs="Arial"/>
          <w:sz w:val="20"/>
          <w:szCs w:val="20"/>
          <w:highlight w:val="white"/>
        </w:rPr>
        <w:t>.</w:t>
      </w:r>
    </w:p>
    <w:p w14:paraId="710EEB18"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 xml:space="preserve">Rai, S. V., &amp; Rajashekhar, M. (2015). Ecological measurements of phytoplankton communities in the Arabian Sea water off the Kerala and Karnataka coasts (South India). Algological Studies, 149(1), 39–60. </w:t>
      </w:r>
      <w:hyperlink r:id="rId27" w:history="1">
        <w:r w:rsidRPr="006B344A">
          <w:rPr>
            <w:rStyle w:val="Hyperlink"/>
            <w:rFonts w:ascii="Arial" w:eastAsia="Arial" w:hAnsi="Arial" w:cs="Arial"/>
            <w:color w:val="auto"/>
            <w:sz w:val="20"/>
            <w:szCs w:val="20"/>
            <w:u w:val="none"/>
          </w:rPr>
          <w:t>https://doi.org/10.1127/algol_stud/2015/0205</w:t>
        </w:r>
      </w:hyperlink>
      <w:r w:rsidRPr="006B344A">
        <w:rPr>
          <w:rFonts w:ascii="Arial" w:eastAsia="Arial" w:hAnsi="Arial" w:cs="Arial"/>
          <w:sz w:val="20"/>
          <w:szCs w:val="20"/>
          <w:highlight w:val="white"/>
        </w:rPr>
        <w:t>.</w:t>
      </w:r>
    </w:p>
    <w:p w14:paraId="645DED81" w14:textId="77777777" w:rsidR="006B344A" w:rsidRPr="006B344A" w:rsidRDefault="006B344A" w:rsidP="006B344A">
      <w:pPr>
        <w:ind w:left="720" w:hanging="720"/>
        <w:jc w:val="both"/>
        <w:rPr>
          <w:rFonts w:ascii="Arial" w:hAnsi="Arial" w:cs="Arial"/>
          <w:sz w:val="20"/>
          <w:szCs w:val="20"/>
        </w:rPr>
      </w:pPr>
      <w:proofErr w:type="spellStart"/>
      <w:r w:rsidRPr="006B344A">
        <w:rPr>
          <w:rFonts w:ascii="Arial" w:eastAsia="Arial" w:hAnsi="Arial" w:cs="Arial"/>
          <w:sz w:val="20"/>
          <w:szCs w:val="20"/>
        </w:rPr>
        <w:t>Rajasegar</w:t>
      </w:r>
      <w:proofErr w:type="spellEnd"/>
      <w:r w:rsidRPr="006B344A">
        <w:rPr>
          <w:rFonts w:ascii="Arial" w:eastAsia="Arial" w:hAnsi="Arial" w:cs="Arial"/>
          <w:sz w:val="20"/>
          <w:szCs w:val="20"/>
        </w:rPr>
        <w:t xml:space="preserve"> M, Srinivasan M, Rajaram R (2000) Phytoplankton diversity associated with the shrimp farm development in </w:t>
      </w:r>
      <w:proofErr w:type="spellStart"/>
      <w:r w:rsidRPr="006B344A">
        <w:rPr>
          <w:rFonts w:ascii="Arial" w:eastAsia="Arial" w:hAnsi="Arial" w:cs="Arial"/>
          <w:sz w:val="20"/>
          <w:szCs w:val="20"/>
        </w:rPr>
        <w:t>Vellar</w:t>
      </w:r>
      <w:proofErr w:type="spellEnd"/>
      <w:r w:rsidRPr="006B344A">
        <w:rPr>
          <w:rFonts w:ascii="Arial" w:eastAsia="Arial" w:hAnsi="Arial" w:cs="Arial"/>
          <w:sz w:val="20"/>
          <w:szCs w:val="20"/>
        </w:rPr>
        <w:t xml:space="preserve"> estuary, south India. Seaweed Res. </w:t>
      </w:r>
      <w:proofErr w:type="spellStart"/>
      <w:r w:rsidRPr="006B344A">
        <w:rPr>
          <w:rFonts w:ascii="Arial" w:eastAsia="Arial" w:hAnsi="Arial" w:cs="Arial"/>
          <w:sz w:val="20"/>
          <w:szCs w:val="20"/>
        </w:rPr>
        <w:t>Utiln</w:t>
      </w:r>
      <w:proofErr w:type="spellEnd"/>
      <w:r w:rsidRPr="006B344A">
        <w:rPr>
          <w:rFonts w:ascii="Arial" w:eastAsia="Arial" w:hAnsi="Arial" w:cs="Arial"/>
          <w:sz w:val="20"/>
          <w:szCs w:val="20"/>
        </w:rPr>
        <w:t xml:space="preserve"> 22: 125-131.</w:t>
      </w:r>
    </w:p>
    <w:p w14:paraId="026D5C63"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 xml:space="preserve">Senthilkumar, S., Santhanam, P., and Perumal, P. (2002, January). Diversity of phytoplankton in </w:t>
      </w:r>
      <w:proofErr w:type="spellStart"/>
      <w:r w:rsidRPr="006B344A">
        <w:rPr>
          <w:rFonts w:ascii="Arial" w:eastAsia="Arial" w:hAnsi="Arial" w:cs="Arial"/>
          <w:sz w:val="20"/>
          <w:szCs w:val="20"/>
          <w:highlight w:val="white"/>
        </w:rPr>
        <w:t>Vellar</w:t>
      </w:r>
      <w:proofErr w:type="spellEnd"/>
      <w:r w:rsidRPr="006B344A">
        <w:rPr>
          <w:rFonts w:ascii="Arial" w:eastAsia="Arial" w:hAnsi="Arial" w:cs="Arial"/>
          <w:sz w:val="20"/>
          <w:szCs w:val="20"/>
          <w:highlight w:val="white"/>
        </w:rPr>
        <w:t xml:space="preserve"> estuary, southeast coast of India. In Proc. 5th Indian Fisheries Forum (Eds.: S. Ayyappan, JK Jena, and M. Mohan Joseph). Published by AFSIB, Mangalore, and </w:t>
      </w:r>
      <w:proofErr w:type="spellStart"/>
      <w:r w:rsidRPr="006B344A">
        <w:rPr>
          <w:rFonts w:ascii="Arial" w:eastAsia="Arial" w:hAnsi="Arial" w:cs="Arial"/>
          <w:sz w:val="20"/>
          <w:szCs w:val="20"/>
          <w:highlight w:val="white"/>
        </w:rPr>
        <w:t>AeA</w:t>
      </w:r>
      <w:proofErr w:type="spellEnd"/>
      <w:r w:rsidRPr="006B344A">
        <w:rPr>
          <w:rFonts w:ascii="Arial" w:eastAsia="Arial" w:hAnsi="Arial" w:cs="Arial"/>
          <w:sz w:val="20"/>
          <w:szCs w:val="20"/>
          <w:highlight w:val="white"/>
        </w:rPr>
        <w:t xml:space="preserve">, </w:t>
      </w:r>
      <w:proofErr w:type="spellStart"/>
      <w:r w:rsidRPr="006B344A">
        <w:rPr>
          <w:rFonts w:ascii="Arial" w:eastAsia="Arial" w:hAnsi="Arial" w:cs="Arial"/>
          <w:sz w:val="20"/>
          <w:szCs w:val="20"/>
          <w:highlight w:val="white"/>
        </w:rPr>
        <w:t>Bhubanewar</w:t>
      </w:r>
      <w:proofErr w:type="spellEnd"/>
      <w:r w:rsidRPr="006B344A">
        <w:rPr>
          <w:rFonts w:ascii="Arial" w:eastAsia="Arial" w:hAnsi="Arial" w:cs="Arial"/>
          <w:sz w:val="20"/>
          <w:szCs w:val="20"/>
          <w:highlight w:val="white"/>
        </w:rPr>
        <w:t>, India (pp. 245-248).</w:t>
      </w:r>
    </w:p>
    <w:p w14:paraId="387DF25F"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lastRenderedPageBreak/>
        <w:t>Sharma, B.S. and Cyril, W. (2007). Distribution and abundance of zooplankton in relation to petroleum hydrocarbon content along the coast of Kollam (Quilon), south-west coast of India. J. of Environ. Biol.  28(1), pp.53-62.</w:t>
      </w:r>
    </w:p>
    <w:p w14:paraId="52C7E707"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rPr>
        <w:t xml:space="preserve">Sheldon, R. W., Sutcliffe Jr, W. H., &amp; Paranjape, M. A. (1977). Structure of Pelagic Food Chain and Relationship Between Plankton and Fish Production. Journal of the Fisheries Research Board of Canada, 34(12), 2344–2353. </w:t>
      </w:r>
      <w:hyperlink r:id="rId28" w:history="1">
        <w:r w:rsidRPr="006B344A">
          <w:rPr>
            <w:rStyle w:val="Hyperlink"/>
            <w:rFonts w:ascii="Arial" w:eastAsia="Arial" w:hAnsi="Arial" w:cs="Arial"/>
            <w:color w:val="auto"/>
            <w:sz w:val="20"/>
            <w:szCs w:val="20"/>
            <w:u w:val="none"/>
          </w:rPr>
          <w:t>https://doi.org/10.1139/f77-314</w:t>
        </w:r>
      </w:hyperlink>
      <w:r w:rsidRPr="006B344A">
        <w:rPr>
          <w:rFonts w:ascii="Arial" w:eastAsia="Arial" w:hAnsi="Arial" w:cs="Arial"/>
          <w:sz w:val="20"/>
          <w:szCs w:val="20"/>
        </w:rPr>
        <w:t>.</w:t>
      </w:r>
    </w:p>
    <w:p w14:paraId="59F6D115" w14:textId="77777777" w:rsidR="006B344A" w:rsidRPr="006B344A" w:rsidRDefault="006B344A" w:rsidP="006B344A">
      <w:pPr>
        <w:ind w:left="720" w:hanging="720"/>
        <w:jc w:val="both"/>
        <w:rPr>
          <w:rFonts w:ascii="Arial" w:hAnsi="Arial" w:cs="Arial"/>
          <w:sz w:val="20"/>
          <w:szCs w:val="20"/>
        </w:rPr>
      </w:pPr>
      <w:proofErr w:type="spellStart"/>
      <w:r w:rsidRPr="006B344A">
        <w:rPr>
          <w:rFonts w:ascii="Arial" w:eastAsia="Arial" w:hAnsi="Arial" w:cs="Arial"/>
          <w:sz w:val="20"/>
          <w:szCs w:val="20"/>
        </w:rPr>
        <w:t>Shivhare</w:t>
      </w:r>
      <w:proofErr w:type="spellEnd"/>
      <w:r w:rsidRPr="006B344A">
        <w:rPr>
          <w:rFonts w:ascii="Arial" w:eastAsia="Arial" w:hAnsi="Arial" w:cs="Arial"/>
          <w:sz w:val="20"/>
          <w:szCs w:val="20"/>
        </w:rPr>
        <w:t xml:space="preserve">, M., &amp; Saxena, P. (2024). Role of Zooplankton in Aquatic and Marine Environments. Journal of Advances and Scholarly Researches in Allied Education, 21(6), 157–163. </w:t>
      </w:r>
      <w:hyperlink r:id="rId29" w:history="1">
        <w:r w:rsidRPr="006B344A">
          <w:rPr>
            <w:rStyle w:val="Hyperlink"/>
            <w:rFonts w:ascii="Arial" w:eastAsia="Arial" w:hAnsi="Arial" w:cs="Arial"/>
            <w:color w:val="auto"/>
            <w:sz w:val="20"/>
            <w:szCs w:val="20"/>
            <w:u w:val="none"/>
          </w:rPr>
          <w:t>https://doi.org/10.29070/ejg8nm66</w:t>
        </w:r>
      </w:hyperlink>
      <w:r w:rsidRPr="006B344A">
        <w:rPr>
          <w:rFonts w:ascii="Arial" w:eastAsia="Arial" w:hAnsi="Arial" w:cs="Arial"/>
          <w:sz w:val="20"/>
          <w:szCs w:val="20"/>
        </w:rPr>
        <w:t>.</w:t>
      </w:r>
    </w:p>
    <w:p w14:paraId="6CBFEECA"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highlight w:val="white"/>
        </w:rPr>
        <w:t xml:space="preserve">Swar D. B. and Fernando C. H. (1980). Some studies on the ecology of limnetic crustacean zooplankton in Lake </w:t>
      </w:r>
      <w:proofErr w:type="spellStart"/>
      <w:r w:rsidRPr="006B344A">
        <w:rPr>
          <w:rFonts w:ascii="Arial" w:eastAsia="Arial" w:hAnsi="Arial" w:cs="Arial"/>
          <w:sz w:val="20"/>
          <w:szCs w:val="20"/>
          <w:highlight w:val="white"/>
        </w:rPr>
        <w:t>Begnas</w:t>
      </w:r>
      <w:proofErr w:type="spellEnd"/>
      <w:r w:rsidRPr="006B344A">
        <w:rPr>
          <w:rFonts w:ascii="Arial" w:eastAsia="Arial" w:hAnsi="Arial" w:cs="Arial"/>
          <w:sz w:val="20"/>
          <w:szCs w:val="20"/>
          <w:highlight w:val="white"/>
        </w:rPr>
        <w:t xml:space="preserve"> and Rupa, Pokhara Valley, Nepal. </w:t>
      </w:r>
      <w:proofErr w:type="spellStart"/>
      <w:r w:rsidRPr="006B344A">
        <w:rPr>
          <w:rFonts w:ascii="Arial" w:eastAsia="Arial" w:hAnsi="Arial" w:cs="Arial"/>
          <w:sz w:val="20"/>
          <w:szCs w:val="20"/>
          <w:highlight w:val="white"/>
        </w:rPr>
        <w:t>Hydrobiologia</w:t>
      </w:r>
      <w:proofErr w:type="spellEnd"/>
      <w:r w:rsidRPr="006B344A">
        <w:rPr>
          <w:rFonts w:ascii="Arial" w:eastAsia="Arial" w:hAnsi="Arial" w:cs="Arial"/>
          <w:sz w:val="20"/>
          <w:szCs w:val="20"/>
          <w:highlight w:val="white"/>
        </w:rPr>
        <w:t xml:space="preserve">, 70(3), 235–245. </w:t>
      </w:r>
      <w:hyperlink r:id="rId30" w:history="1">
        <w:r w:rsidRPr="006B344A">
          <w:rPr>
            <w:rStyle w:val="Hyperlink"/>
            <w:rFonts w:ascii="Arial" w:eastAsia="Arial" w:hAnsi="Arial" w:cs="Arial"/>
            <w:color w:val="auto"/>
            <w:sz w:val="20"/>
            <w:szCs w:val="20"/>
            <w:u w:val="none"/>
          </w:rPr>
          <w:t>https://doi.org/10.1007/bf00016765</w:t>
        </w:r>
      </w:hyperlink>
      <w:r w:rsidRPr="006B344A">
        <w:rPr>
          <w:rFonts w:ascii="Arial" w:eastAsia="Arial" w:hAnsi="Arial" w:cs="Arial"/>
          <w:sz w:val="20"/>
          <w:szCs w:val="20"/>
          <w:highlight w:val="white"/>
        </w:rPr>
        <w:t>.</w:t>
      </w:r>
    </w:p>
    <w:p w14:paraId="1A38A542" w14:textId="77777777" w:rsidR="006B344A" w:rsidRPr="006B344A" w:rsidRDefault="006B344A" w:rsidP="006B344A">
      <w:pPr>
        <w:ind w:left="720" w:hanging="720"/>
        <w:jc w:val="both"/>
        <w:rPr>
          <w:rFonts w:ascii="Arial" w:hAnsi="Arial" w:cs="Arial"/>
          <w:sz w:val="20"/>
          <w:szCs w:val="20"/>
        </w:rPr>
      </w:pPr>
      <w:proofErr w:type="spellStart"/>
      <w:r w:rsidRPr="006B344A">
        <w:rPr>
          <w:rFonts w:ascii="Arial" w:eastAsia="Arial" w:hAnsi="Arial" w:cs="Arial"/>
          <w:sz w:val="20"/>
          <w:szCs w:val="20"/>
          <w:highlight w:val="white"/>
        </w:rPr>
        <w:t>Temkar</w:t>
      </w:r>
      <w:proofErr w:type="spellEnd"/>
      <w:r w:rsidRPr="006B344A">
        <w:rPr>
          <w:rFonts w:ascii="Arial" w:eastAsia="Arial" w:hAnsi="Arial" w:cs="Arial"/>
          <w:sz w:val="20"/>
          <w:szCs w:val="20"/>
          <w:highlight w:val="white"/>
        </w:rPr>
        <w:t>, G S and Abdul Azeez, P and </w:t>
      </w:r>
      <w:proofErr w:type="spellStart"/>
      <w:r w:rsidRPr="006B344A">
        <w:rPr>
          <w:rFonts w:ascii="Arial" w:eastAsia="Arial" w:hAnsi="Arial" w:cs="Arial"/>
          <w:sz w:val="20"/>
          <w:szCs w:val="20"/>
          <w:highlight w:val="white"/>
        </w:rPr>
        <w:t>Sikotaria</w:t>
      </w:r>
      <w:proofErr w:type="spellEnd"/>
      <w:r w:rsidRPr="006B344A">
        <w:rPr>
          <w:rFonts w:ascii="Arial" w:eastAsia="Arial" w:hAnsi="Arial" w:cs="Arial"/>
          <w:sz w:val="20"/>
          <w:szCs w:val="20"/>
          <w:highlight w:val="white"/>
        </w:rPr>
        <w:t>, K M and </w:t>
      </w:r>
      <w:proofErr w:type="spellStart"/>
      <w:r w:rsidRPr="006B344A">
        <w:rPr>
          <w:rFonts w:ascii="Arial" w:eastAsia="Arial" w:hAnsi="Arial" w:cs="Arial"/>
          <w:sz w:val="20"/>
          <w:szCs w:val="20"/>
          <w:highlight w:val="white"/>
        </w:rPr>
        <w:t>Brahmane</w:t>
      </w:r>
      <w:proofErr w:type="spellEnd"/>
      <w:r w:rsidRPr="006B344A">
        <w:rPr>
          <w:rFonts w:ascii="Arial" w:eastAsia="Arial" w:hAnsi="Arial" w:cs="Arial"/>
          <w:sz w:val="20"/>
          <w:szCs w:val="20"/>
          <w:highlight w:val="white"/>
        </w:rPr>
        <w:t>, V T and </w:t>
      </w:r>
      <w:proofErr w:type="spellStart"/>
      <w:r w:rsidRPr="006B344A">
        <w:rPr>
          <w:rFonts w:ascii="Arial" w:eastAsia="Arial" w:hAnsi="Arial" w:cs="Arial"/>
          <w:sz w:val="20"/>
          <w:szCs w:val="20"/>
          <w:highlight w:val="white"/>
        </w:rPr>
        <w:t>Metar</w:t>
      </w:r>
      <w:proofErr w:type="spellEnd"/>
      <w:r w:rsidRPr="006B344A">
        <w:rPr>
          <w:rFonts w:ascii="Arial" w:eastAsia="Arial" w:hAnsi="Arial" w:cs="Arial"/>
          <w:sz w:val="20"/>
          <w:szCs w:val="20"/>
          <w:highlight w:val="white"/>
        </w:rPr>
        <w:t xml:space="preserve">, S Y and Gangan, S </w:t>
      </w:r>
      <w:proofErr w:type="spellStart"/>
      <w:r w:rsidRPr="006B344A">
        <w:rPr>
          <w:rFonts w:ascii="Arial" w:eastAsia="Arial" w:hAnsi="Arial" w:cs="Arial"/>
          <w:sz w:val="20"/>
          <w:szCs w:val="20"/>
          <w:highlight w:val="white"/>
        </w:rPr>
        <w:t>S</w:t>
      </w:r>
      <w:proofErr w:type="spellEnd"/>
      <w:r w:rsidRPr="006B344A">
        <w:rPr>
          <w:rFonts w:ascii="Arial" w:eastAsia="Arial" w:hAnsi="Arial" w:cs="Arial"/>
          <w:sz w:val="20"/>
          <w:szCs w:val="20"/>
          <w:highlight w:val="white"/>
        </w:rPr>
        <w:t> and Mathew, K L and Desai, A Y (2015) Correlation of phytoplankton density with certain hydrological parameters along the coastal waters of Veraval, Gujarat. Journal of the Marine Biological Association of India, 57 (2). pp. 65-74.</w:t>
      </w:r>
    </w:p>
    <w:p w14:paraId="0A28A1C8"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rPr>
        <w:t xml:space="preserve">Tranter, D. J. (1960). Method for Determining Zooplankton Volume. ICES Journal of Marine Science, 25(3), 272–278. </w:t>
      </w:r>
      <w:hyperlink r:id="rId31" w:history="1">
        <w:r w:rsidRPr="006B344A">
          <w:rPr>
            <w:rStyle w:val="Hyperlink"/>
            <w:rFonts w:ascii="Arial" w:eastAsia="Arial" w:hAnsi="Arial" w:cs="Arial"/>
            <w:color w:val="auto"/>
            <w:sz w:val="20"/>
            <w:szCs w:val="20"/>
            <w:u w:val="none"/>
          </w:rPr>
          <w:t>https://doi.org/10.1093/icesjms/25.3.272</w:t>
        </w:r>
      </w:hyperlink>
      <w:r w:rsidRPr="006B344A">
        <w:rPr>
          <w:rFonts w:ascii="Arial" w:eastAsia="Arial" w:hAnsi="Arial" w:cs="Arial"/>
          <w:sz w:val="20"/>
          <w:szCs w:val="20"/>
        </w:rPr>
        <w:t>..</w:t>
      </w:r>
    </w:p>
    <w:p w14:paraId="53D33019" w14:textId="77777777" w:rsidR="006B344A" w:rsidRPr="006B344A" w:rsidRDefault="006B344A" w:rsidP="006B344A">
      <w:pPr>
        <w:ind w:left="720" w:hanging="720"/>
        <w:jc w:val="both"/>
        <w:rPr>
          <w:rFonts w:ascii="Arial" w:hAnsi="Arial" w:cs="Arial"/>
          <w:sz w:val="20"/>
          <w:szCs w:val="20"/>
        </w:rPr>
      </w:pPr>
      <w:proofErr w:type="spellStart"/>
      <w:r w:rsidRPr="006B344A">
        <w:rPr>
          <w:rFonts w:ascii="Arial" w:eastAsia="Arial" w:hAnsi="Arial" w:cs="Arial"/>
          <w:sz w:val="20"/>
          <w:szCs w:val="20"/>
        </w:rPr>
        <w:t>Viadero</w:t>
      </w:r>
      <w:proofErr w:type="spellEnd"/>
      <w:r w:rsidRPr="006B344A">
        <w:rPr>
          <w:rFonts w:ascii="Arial" w:eastAsia="Arial" w:hAnsi="Arial" w:cs="Arial"/>
          <w:sz w:val="20"/>
          <w:szCs w:val="20"/>
        </w:rPr>
        <w:t xml:space="preserve">, R. C. (2004). Factors Affecting Fish Growth and Production. Water </w:t>
      </w:r>
      <w:proofErr w:type="spellStart"/>
      <w:r w:rsidRPr="006B344A">
        <w:rPr>
          <w:rFonts w:ascii="Arial" w:eastAsia="Arial" w:hAnsi="Arial" w:cs="Arial"/>
          <w:sz w:val="20"/>
          <w:szCs w:val="20"/>
        </w:rPr>
        <w:t>Encyclopedia</w:t>
      </w:r>
      <w:proofErr w:type="spellEnd"/>
      <w:r w:rsidRPr="006B344A">
        <w:rPr>
          <w:rFonts w:ascii="Arial" w:eastAsia="Arial" w:hAnsi="Arial" w:cs="Arial"/>
          <w:sz w:val="20"/>
          <w:szCs w:val="20"/>
        </w:rPr>
        <w:t>, 129–133.https://doi.org/10.1002/047147844x.sw241.</w:t>
      </w:r>
    </w:p>
    <w:p w14:paraId="67E922FE"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rPr>
        <w:t xml:space="preserve">Venkataramana V., Anilkumar N., Swadling K., Mishra R. K., Tripathy, S. C., Sarkar, A., Augusta, S. M., Sabu, P., &amp; Pillai, H. U. K. (2020). Distribution of zooplankton in the Indian sector of the Southern Ocean. Antarctic Science, 32(3), 168–179. </w:t>
      </w:r>
      <w:hyperlink r:id="rId32" w:history="1">
        <w:r w:rsidRPr="006B344A">
          <w:rPr>
            <w:rStyle w:val="Hyperlink"/>
            <w:rFonts w:ascii="Arial" w:eastAsia="Arial" w:hAnsi="Arial" w:cs="Arial"/>
            <w:color w:val="auto"/>
            <w:sz w:val="20"/>
            <w:szCs w:val="20"/>
            <w:u w:val="none"/>
          </w:rPr>
          <w:t>https://doi.org/10.1017/s0954102019000579</w:t>
        </w:r>
      </w:hyperlink>
      <w:r w:rsidRPr="006B344A">
        <w:rPr>
          <w:rFonts w:ascii="Arial" w:eastAsia="Arial" w:hAnsi="Arial" w:cs="Arial"/>
          <w:sz w:val="20"/>
          <w:szCs w:val="20"/>
        </w:rPr>
        <w:t>.</w:t>
      </w:r>
    </w:p>
    <w:p w14:paraId="75F06A66" w14:textId="77777777" w:rsidR="006B344A" w:rsidRPr="006B344A" w:rsidRDefault="006B344A" w:rsidP="006B344A">
      <w:pPr>
        <w:ind w:left="720" w:hanging="720"/>
        <w:jc w:val="both"/>
        <w:rPr>
          <w:rFonts w:ascii="Arial" w:hAnsi="Arial" w:cs="Arial"/>
          <w:sz w:val="20"/>
          <w:szCs w:val="20"/>
        </w:rPr>
      </w:pPr>
      <w:r w:rsidRPr="006B344A">
        <w:rPr>
          <w:rFonts w:ascii="Arial" w:eastAsia="Arial" w:hAnsi="Arial" w:cs="Arial"/>
          <w:sz w:val="20"/>
          <w:szCs w:val="20"/>
        </w:rPr>
        <w:t>Wilkin, R. T., McNeil, M. S., Adair, C. J., &amp; Wilson, J. T. (2001). Field Measurement of Dissolved Oxygen: A Comparison of Methods. Groundwater Monitoring &amp;amp; Remediation, 21(4), 124–132. https://doi.org/10.1111/j.1745-6592.2001.tb00648.</w:t>
      </w:r>
    </w:p>
    <w:p w14:paraId="232EBC20" w14:textId="77777777" w:rsidR="006B344A" w:rsidRPr="006B344A" w:rsidRDefault="006B344A" w:rsidP="006B344A">
      <w:pPr>
        <w:jc w:val="both"/>
        <w:rPr>
          <w:rFonts w:ascii="Arial" w:hAnsi="Arial" w:cs="Arial"/>
          <w:sz w:val="20"/>
          <w:szCs w:val="20"/>
        </w:rPr>
      </w:pPr>
    </w:p>
    <w:p w14:paraId="52F3CED9" w14:textId="77777777" w:rsidR="00AD16C3" w:rsidRPr="006B344A" w:rsidRDefault="00AD16C3" w:rsidP="006B344A">
      <w:pPr>
        <w:jc w:val="both"/>
        <w:rPr>
          <w:rFonts w:ascii="Arial" w:hAnsi="Arial" w:cs="Arial"/>
          <w:sz w:val="20"/>
          <w:szCs w:val="20"/>
        </w:rPr>
      </w:pPr>
    </w:p>
    <w:sectPr w:rsidR="00AD16C3" w:rsidRPr="006B344A" w:rsidSect="004A101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A5A45" w14:textId="77777777" w:rsidR="001B2838" w:rsidRDefault="001B2838" w:rsidP="006B344A">
      <w:pPr>
        <w:spacing w:after="0" w:line="240" w:lineRule="auto"/>
      </w:pPr>
      <w:r>
        <w:separator/>
      </w:r>
    </w:p>
  </w:endnote>
  <w:endnote w:type="continuationSeparator" w:id="0">
    <w:p w14:paraId="011F87AF" w14:textId="77777777" w:rsidR="001B2838" w:rsidRDefault="001B2838" w:rsidP="006B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B6B" w14:textId="77777777" w:rsidR="004957A0" w:rsidRDefault="00495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9B78" w14:textId="77777777" w:rsidR="00EB58CA" w:rsidRPr="006B344A" w:rsidRDefault="00EB58CA" w:rsidP="006B344A">
    <w:pPr>
      <w:tabs>
        <w:tab w:val="left" w:pos="1130"/>
      </w:tabs>
      <w:rPr>
        <w:rFonts w:ascii="Helvetica" w:hAnsi="Helvetica" w:cs="Arial"/>
        <w:sz w:val="20"/>
        <w:szCs w:val="20"/>
      </w:rPr>
    </w:pPr>
  </w:p>
  <w:p w14:paraId="00552569" w14:textId="77777777" w:rsidR="006B344A" w:rsidRPr="006B344A" w:rsidRDefault="006B344A" w:rsidP="006B344A">
    <w:pPr>
      <w:pStyle w:val="Footer"/>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95AB" w14:textId="77777777" w:rsidR="004957A0" w:rsidRDefault="00495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1DF1" w14:textId="77777777" w:rsidR="001B2838" w:rsidRDefault="001B2838" w:rsidP="006B344A">
      <w:pPr>
        <w:spacing w:after="0" w:line="240" w:lineRule="auto"/>
      </w:pPr>
      <w:r>
        <w:separator/>
      </w:r>
    </w:p>
  </w:footnote>
  <w:footnote w:type="continuationSeparator" w:id="0">
    <w:p w14:paraId="2F2D2481" w14:textId="77777777" w:rsidR="001B2838" w:rsidRDefault="001B2838" w:rsidP="006B3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C528" w14:textId="739C6789" w:rsidR="004957A0" w:rsidRDefault="004957A0">
    <w:pPr>
      <w:pStyle w:val="Header"/>
    </w:pPr>
    <w:r>
      <w:rPr>
        <w:noProof/>
      </w:rPr>
      <w:pict w14:anchorId="492D8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9326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D910" w14:textId="36D30932" w:rsidR="004957A0" w:rsidRDefault="004957A0">
    <w:pPr>
      <w:pStyle w:val="Header"/>
    </w:pPr>
    <w:r>
      <w:rPr>
        <w:noProof/>
      </w:rPr>
      <w:pict w14:anchorId="06604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9326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110F" w14:textId="3B7E1B70" w:rsidR="004957A0" w:rsidRDefault="004957A0">
    <w:pPr>
      <w:pStyle w:val="Header"/>
    </w:pPr>
    <w:r>
      <w:rPr>
        <w:noProof/>
      </w:rPr>
      <w:pict w14:anchorId="3902C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9326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UzNjEwNDAwMze0NDFX0lEKTi0uzszPAykwrAUAMG1djiwAAAA="/>
  </w:docVars>
  <w:rsids>
    <w:rsidRoot w:val="006B344A"/>
    <w:rsid w:val="00005675"/>
    <w:rsid w:val="0008660D"/>
    <w:rsid w:val="00091242"/>
    <w:rsid w:val="000E4252"/>
    <w:rsid w:val="001B2838"/>
    <w:rsid w:val="002241B8"/>
    <w:rsid w:val="00225182"/>
    <w:rsid w:val="003433A9"/>
    <w:rsid w:val="0041254B"/>
    <w:rsid w:val="004957A0"/>
    <w:rsid w:val="005510CA"/>
    <w:rsid w:val="005F7533"/>
    <w:rsid w:val="00614762"/>
    <w:rsid w:val="00653939"/>
    <w:rsid w:val="006726BB"/>
    <w:rsid w:val="006B344A"/>
    <w:rsid w:val="006E0D41"/>
    <w:rsid w:val="006E1E67"/>
    <w:rsid w:val="007D3399"/>
    <w:rsid w:val="008A2908"/>
    <w:rsid w:val="008B6843"/>
    <w:rsid w:val="009220C8"/>
    <w:rsid w:val="00986896"/>
    <w:rsid w:val="00AD16C3"/>
    <w:rsid w:val="00AE59EA"/>
    <w:rsid w:val="00B221D5"/>
    <w:rsid w:val="00D037C0"/>
    <w:rsid w:val="00EA4BD4"/>
    <w:rsid w:val="00EB58CA"/>
    <w:rsid w:val="00F021B3"/>
    <w:rsid w:val="00F938A1"/>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ules>
    </o:shapelayout>
  </w:shapeDefaults>
  <w:decimalSymbol w:val="."/>
  <w:listSeparator w:val=","/>
  <w14:docId w14:val="5B76CC03"/>
  <w15:docId w15:val="{7871E83D-C330-4240-BA0C-2CD3CECC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gu-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44A"/>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44A"/>
    <w:rPr>
      <w:color w:val="467886" w:themeColor="hyperlink"/>
      <w:u w:val="single"/>
    </w:rPr>
  </w:style>
  <w:style w:type="paragraph" w:styleId="NoSpacing">
    <w:name w:val="No Spacing"/>
    <w:uiPriority w:val="1"/>
    <w:qFormat/>
    <w:rsid w:val="006B344A"/>
    <w:pPr>
      <w:spacing w:after="0" w:line="240" w:lineRule="auto"/>
    </w:pPr>
    <w:rPr>
      <w:rFonts w:eastAsiaTheme="minorEastAsia"/>
      <w:kern w:val="0"/>
      <w:sz w:val="20"/>
      <w:szCs w:val="20"/>
    </w:rPr>
  </w:style>
  <w:style w:type="paragraph" w:styleId="BalloonText">
    <w:name w:val="Balloon Text"/>
    <w:basedOn w:val="Normal"/>
    <w:link w:val="BalloonTextChar"/>
    <w:uiPriority w:val="99"/>
    <w:semiHidden/>
    <w:unhideWhenUsed/>
    <w:rsid w:val="006B3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44A"/>
    <w:rPr>
      <w:rFonts w:ascii="Tahoma" w:hAnsi="Tahoma" w:cs="Tahoma"/>
      <w:sz w:val="16"/>
      <w:szCs w:val="16"/>
    </w:rPr>
  </w:style>
  <w:style w:type="paragraph" w:styleId="Header">
    <w:name w:val="header"/>
    <w:basedOn w:val="Normal"/>
    <w:link w:val="HeaderChar"/>
    <w:uiPriority w:val="99"/>
    <w:unhideWhenUsed/>
    <w:rsid w:val="006B3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44A"/>
    <w:rPr>
      <w:rFonts w:cs="Latha"/>
    </w:rPr>
  </w:style>
  <w:style w:type="paragraph" w:styleId="Footer">
    <w:name w:val="footer"/>
    <w:basedOn w:val="Normal"/>
    <w:link w:val="FooterChar"/>
    <w:uiPriority w:val="99"/>
    <w:unhideWhenUsed/>
    <w:rsid w:val="006B3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44A"/>
    <w:rPr>
      <w:rFonts w:cs="Latha"/>
    </w:rPr>
  </w:style>
  <w:style w:type="character" w:styleId="UnresolvedMention">
    <w:name w:val="Unresolved Mention"/>
    <w:basedOn w:val="DefaultParagraphFont"/>
    <w:uiPriority w:val="99"/>
    <w:semiHidden/>
    <w:unhideWhenUsed/>
    <w:rsid w:val="009220C8"/>
    <w:rPr>
      <w:color w:val="605E5C"/>
      <w:shd w:val="clear" w:color="auto" w:fill="E1DFDD"/>
    </w:rPr>
  </w:style>
  <w:style w:type="paragraph" w:styleId="ListParagraph">
    <w:name w:val="List Paragraph"/>
    <w:basedOn w:val="Normal"/>
    <w:uiPriority w:val="34"/>
    <w:qFormat/>
    <w:rsid w:val="00EA4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1016/j.csr.2004.09.009" TargetMode="External"/><Relationship Id="rId26" Type="http://schemas.openxmlformats.org/officeDocument/2006/relationships/hyperlink" Target="https://doi.org/10.1139/f72-224" TargetMode="External"/><Relationship Id="rId39" Type="http://schemas.openxmlformats.org/officeDocument/2006/relationships/fontTable" Target="fontTable.xml"/><Relationship Id="rId21" Type="http://schemas.openxmlformats.org/officeDocument/2006/relationships/hyperlink" Target="https://doi.org/10.2307/3545631"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doi.org/10.1139/f63-04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https://doi.org/10.1017/s0025315401003666" TargetMode="External"/><Relationship Id="rId29" Type="http://schemas.openxmlformats.org/officeDocument/2006/relationships/hyperlink" Target="https://doi.org/10.29070/ejg8nm6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016/j.pocean.2014.04.025" TargetMode="External"/><Relationship Id="rId32" Type="http://schemas.openxmlformats.org/officeDocument/2006/relationships/hyperlink" Target="https://doi.org/10.1017/s095410201900057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oi.org/10.1111/conl.12367" TargetMode="External"/><Relationship Id="rId28" Type="http://schemas.openxmlformats.org/officeDocument/2006/relationships/hyperlink" Target="https://doi.org/10.1139/f77-314" TargetMode="External"/><Relationship Id="rId36"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hyperlink" Target="https://doi.org/10.4319/lo.1959.4.1.0037" TargetMode="External"/><Relationship Id="rId31" Type="http://schemas.openxmlformats.org/officeDocument/2006/relationships/hyperlink" Target="https://doi.org/10.1093/icesjms/25.3.272"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s://doi.org/10.1023/a:1021392618824" TargetMode="External"/><Relationship Id="rId27" Type="http://schemas.openxmlformats.org/officeDocument/2006/relationships/hyperlink" Target="https://doi.org/10.1127/algol_stud/2015/0205" TargetMode="External"/><Relationship Id="rId30" Type="http://schemas.openxmlformats.org/officeDocument/2006/relationships/hyperlink" Target="https://doi.org/10.1007/bf00016765"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Gopika\Desktop\FINAL\E-WQP%20Data.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Gopika\Desktop\FINAL\Edited%20Data%20PP.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chirag\Desktop\ck%20zp%202020.xlsx"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Gopika\Desktop\FINAL\E-WQP%20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Gopika\Desktop\E-WQP%20Data.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088957831020588"/>
          <c:y val="9.8824491200895259E-2"/>
          <c:w val="0.73260656920414469"/>
          <c:h val="0.699054092593001"/>
        </c:manualLayout>
      </c:layout>
      <c:barChart>
        <c:barDir val="col"/>
        <c:grouping val="clustered"/>
        <c:varyColors val="0"/>
        <c:ser>
          <c:idx val="0"/>
          <c:order val="0"/>
          <c:tx>
            <c:strRef>
              <c:f>Sheet5!$D$8</c:f>
              <c:strCache>
                <c:ptCount val="1"/>
                <c:pt idx="0">
                  <c:v>FZ-1</c:v>
                </c:pt>
              </c:strCache>
            </c:strRef>
          </c:tx>
          <c:invertIfNegative val="0"/>
          <c:cat>
            <c:strRef>
              <c:f>Sheet5!$E$7:$H$7</c:f>
              <c:strCache>
                <c:ptCount val="4"/>
                <c:pt idx="0">
                  <c:v>November</c:v>
                </c:pt>
                <c:pt idx="1">
                  <c:v>December</c:v>
                </c:pt>
                <c:pt idx="2">
                  <c:v>January</c:v>
                </c:pt>
                <c:pt idx="3">
                  <c:v>February</c:v>
                </c:pt>
              </c:strCache>
            </c:strRef>
          </c:cat>
          <c:val>
            <c:numRef>
              <c:f>Sheet5!$E$8:$H$8</c:f>
              <c:numCache>
                <c:formatCode>General</c:formatCode>
                <c:ptCount val="4"/>
                <c:pt idx="0">
                  <c:v>25.86</c:v>
                </c:pt>
                <c:pt idx="1">
                  <c:v>26.2</c:v>
                </c:pt>
                <c:pt idx="2">
                  <c:v>26.59</c:v>
                </c:pt>
                <c:pt idx="3">
                  <c:v>25.779999999999987</c:v>
                </c:pt>
              </c:numCache>
            </c:numRef>
          </c:val>
          <c:extLst>
            <c:ext xmlns:c16="http://schemas.microsoft.com/office/drawing/2014/chart" uri="{C3380CC4-5D6E-409C-BE32-E72D297353CC}">
              <c16:uniqueId val="{00000000-0E1E-4ADE-8A91-73C3BDA16112}"/>
            </c:ext>
          </c:extLst>
        </c:ser>
        <c:ser>
          <c:idx val="1"/>
          <c:order val="1"/>
          <c:tx>
            <c:strRef>
              <c:f>Sheet5!$D$9</c:f>
              <c:strCache>
                <c:ptCount val="1"/>
                <c:pt idx="0">
                  <c:v>FZ-2</c:v>
                </c:pt>
              </c:strCache>
            </c:strRef>
          </c:tx>
          <c:invertIfNegative val="0"/>
          <c:cat>
            <c:strRef>
              <c:f>Sheet5!$E$7:$H$7</c:f>
              <c:strCache>
                <c:ptCount val="4"/>
                <c:pt idx="0">
                  <c:v>November</c:v>
                </c:pt>
                <c:pt idx="1">
                  <c:v>December</c:v>
                </c:pt>
                <c:pt idx="2">
                  <c:v>January</c:v>
                </c:pt>
                <c:pt idx="3">
                  <c:v>February</c:v>
                </c:pt>
              </c:strCache>
            </c:strRef>
          </c:cat>
          <c:val>
            <c:numRef>
              <c:f>Sheet5!$E$9:$H$9</c:f>
              <c:numCache>
                <c:formatCode>General</c:formatCode>
                <c:ptCount val="4"/>
                <c:pt idx="0">
                  <c:v>26.72</c:v>
                </c:pt>
                <c:pt idx="1">
                  <c:v>27.5</c:v>
                </c:pt>
                <c:pt idx="2">
                  <c:v>27.21</c:v>
                </c:pt>
                <c:pt idx="3">
                  <c:v>27.12</c:v>
                </c:pt>
              </c:numCache>
            </c:numRef>
          </c:val>
          <c:extLst>
            <c:ext xmlns:c16="http://schemas.microsoft.com/office/drawing/2014/chart" uri="{C3380CC4-5D6E-409C-BE32-E72D297353CC}">
              <c16:uniqueId val="{00000001-0E1E-4ADE-8A91-73C3BDA16112}"/>
            </c:ext>
          </c:extLst>
        </c:ser>
        <c:ser>
          <c:idx val="2"/>
          <c:order val="2"/>
          <c:tx>
            <c:strRef>
              <c:f>Sheet5!$D$10</c:f>
              <c:strCache>
                <c:ptCount val="1"/>
                <c:pt idx="0">
                  <c:v>FZ-3</c:v>
                </c:pt>
              </c:strCache>
            </c:strRef>
          </c:tx>
          <c:invertIfNegative val="0"/>
          <c:cat>
            <c:strRef>
              <c:f>Sheet5!$E$7:$H$7</c:f>
              <c:strCache>
                <c:ptCount val="4"/>
                <c:pt idx="0">
                  <c:v>November</c:v>
                </c:pt>
                <c:pt idx="1">
                  <c:v>December</c:v>
                </c:pt>
                <c:pt idx="2">
                  <c:v>January</c:v>
                </c:pt>
                <c:pt idx="3">
                  <c:v>February</c:v>
                </c:pt>
              </c:strCache>
            </c:strRef>
          </c:cat>
          <c:val>
            <c:numRef>
              <c:f>Sheet5!$E$10:$H$10</c:f>
              <c:numCache>
                <c:formatCode>General</c:formatCode>
                <c:ptCount val="4"/>
                <c:pt idx="0">
                  <c:v>26.02</c:v>
                </c:pt>
                <c:pt idx="1">
                  <c:v>26.54</c:v>
                </c:pt>
                <c:pt idx="2">
                  <c:v>28.23</c:v>
                </c:pt>
                <c:pt idx="3">
                  <c:v>27.52</c:v>
                </c:pt>
              </c:numCache>
            </c:numRef>
          </c:val>
          <c:extLst>
            <c:ext xmlns:c16="http://schemas.microsoft.com/office/drawing/2014/chart" uri="{C3380CC4-5D6E-409C-BE32-E72D297353CC}">
              <c16:uniqueId val="{00000002-0E1E-4ADE-8A91-73C3BDA16112}"/>
            </c:ext>
          </c:extLst>
        </c:ser>
        <c:ser>
          <c:idx val="3"/>
          <c:order val="3"/>
          <c:tx>
            <c:strRef>
              <c:f>Sheet5!$D$11</c:f>
              <c:strCache>
                <c:ptCount val="1"/>
                <c:pt idx="0">
                  <c:v>NFZ-1</c:v>
                </c:pt>
              </c:strCache>
            </c:strRef>
          </c:tx>
          <c:invertIfNegative val="0"/>
          <c:cat>
            <c:strRef>
              <c:f>Sheet5!$E$7:$H$7</c:f>
              <c:strCache>
                <c:ptCount val="4"/>
                <c:pt idx="0">
                  <c:v>November</c:v>
                </c:pt>
                <c:pt idx="1">
                  <c:v>December</c:v>
                </c:pt>
                <c:pt idx="2">
                  <c:v>January</c:v>
                </c:pt>
                <c:pt idx="3">
                  <c:v>February</c:v>
                </c:pt>
              </c:strCache>
            </c:strRef>
          </c:cat>
          <c:val>
            <c:numRef>
              <c:f>Sheet5!$E$11:$H$11</c:f>
              <c:numCache>
                <c:formatCode>General</c:formatCode>
                <c:ptCount val="4"/>
                <c:pt idx="0">
                  <c:v>25.74</c:v>
                </c:pt>
                <c:pt idx="1">
                  <c:v>26.32</c:v>
                </c:pt>
                <c:pt idx="2">
                  <c:v>26.88</c:v>
                </c:pt>
                <c:pt idx="3">
                  <c:v>25.979999999999986</c:v>
                </c:pt>
              </c:numCache>
            </c:numRef>
          </c:val>
          <c:extLst>
            <c:ext xmlns:c16="http://schemas.microsoft.com/office/drawing/2014/chart" uri="{C3380CC4-5D6E-409C-BE32-E72D297353CC}">
              <c16:uniqueId val="{00000003-0E1E-4ADE-8A91-73C3BDA16112}"/>
            </c:ext>
          </c:extLst>
        </c:ser>
        <c:ser>
          <c:idx val="4"/>
          <c:order val="4"/>
          <c:tx>
            <c:strRef>
              <c:f>Sheet5!$D$12</c:f>
              <c:strCache>
                <c:ptCount val="1"/>
                <c:pt idx="0">
                  <c:v>NFZ-2</c:v>
                </c:pt>
              </c:strCache>
            </c:strRef>
          </c:tx>
          <c:invertIfNegative val="0"/>
          <c:cat>
            <c:strRef>
              <c:f>Sheet5!$E$7:$H$7</c:f>
              <c:strCache>
                <c:ptCount val="4"/>
                <c:pt idx="0">
                  <c:v>November</c:v>
                </c:pt>
                <c:pt idx="1">
                  <c:v>December</c:v>
                </c:pt>
                <c:pt idx="2">
                  <c:v>January</c:v>
                </c:pt>
                <c:pt idx="3">
                  <c:v>February</c:v>
                </c:pt>
              </c:strCache>
            </c:strRef>
          </c:cat>
          <c:val>
            <c:numRef>
              <c:f>Sheet5!$E$12:$H$12</c:f>
              <c:numCache>
                <c:formatCode>General</c:formatCode>
                <c:ptCount val="4"/>
                <c:pt idx="0">
                  <c:v>26.650000000000031</c:v>
                </c:pt>
                <c:pt idx="1">
                  <c:v>27.32</c:v>
                </c:pt>
                <c:pt idx="2">
                  <c:v>28.12</c:v>
                </c:pt>
                <c:pt idx="3">
                  <c:v>27.419999999999987</c:v>
                </c:pt>
              </c:numCache>
            </c:numRef>
          </c:val>
          <c:extLst>
            <c:ext xmlns:c16="http://schemas.microsoft.com/office/drawing/2014/chart" uri="{C3380CC4-5D6E-409C-BE32-E72D297353CC}">
              <c16:uniqueId val="{00000004-0E1E-4ADE-8A91-73C3BDA16112}"/>
            </c:ext>
          </c:extLst>
        </c:ser>
        <c:ser>
          <c:idx val="5"/>
          <c:order val="5"/>
          <c:tx>
            <c:strRef>
              <c:f>Sheet5!$D$13</c:f>
              <c:strCache>
                <c:ptCount val="1"/>
                <c:pt idx="0">
                  <c:v>NFZ-3</c:v>
                </c:pt>
              </c:strCache>
            </c:strRef>
          </c:tx>
          <c:invertIfNegative val="0"/>
          <c:cat>
            <c:strRef>
              <c:f>Sheet5!$E$7:$H$7</c:f>
              <c:strCache>
                <c:ptCount val="4"/>
                <c:pt idx="0">
                  <c:v>November</c:v>
                </c:pt>
                <c:pt idx="1">
                  <c:v>December</c:v>
                </c:pt>
                <c:pt idx="2">
                  <c:v>January</c:v>
                </c:pt>
                <c:pt idx="3">
                  <c:v>February</c:v>
                </c:pt>
              </c:strCache>
            </c:strRef>
          </c:cat>
          <c:val>
            <c:numRef>
              <c:f>Sheet5!$E$13:$H$13</c:f>
              <c:numCache>
                <c:formatCode>General</c:formatCode>
                <c:ptCount val="4"/>
                <c:pt idx="0">
                  <c:v>26.82</c:v>
                </c:pt>
                <c:pt idx="1">
                  <c:v>26.979999999999986</c:v>
                </c:pt>
                <c:pt idx="2">
                  <c:v>28.62</c:v>
                </c:pt>
                <c:pt idx="3">
                  <c:v>30.51</c:v>
                </c:pt>
              </c:numCache>
            </c:numRef>
          </c:val>
          <c:extLst>
            <c:ext xmlns:c16="http://schemas.microsoft.com/office/drawing/2014/chart" uri="{C3380CC4-5D6E-409C-BE32-E72D297353CC}">
              <c16:uniqueId val="{00000005-0E1E-4ADE-8A91-73C3BDA16112}"/>
            </c:ext>
          </c:extLst>
        </c:ser>
        <c:dLbls>
          <c:showLegendKey val="0"/>
          <c:showVal val="0"/>
          <c:showCatName val="0"/>
          <c:showSerName val="0"/>
          <c:showPercent val="0"/>
          <c:showBubbleSize val="0"/>
        </c:dLbls>
        <c:gapWidth val="150"/>
        <c:axId val="83998592"/>
        <c:axId val="84463616"/>
      </c:barChart>
      <c:catAx>
        <c:axId val="83998592"/>
        <c:scaling>
          <c:orientation val="minMax"/>
        </c:scaling>
        <c:delete val="0"/>
        <c:axPos val="b"/>
        <c:numFmt formatCode="General" sourceLinked="0"/>
        <c:majorTickMark val="out"/>
        <c:minorTickMark val="none"/>
        <c:tickLblPos val="nextTo"/>
        <c:crossAx val="84463616"/>
        <c:crosses val="autoZero"/>
        <c:auto val="1"/>
        <c:lblAlgn val="ctr"/>
        <c:lblOffset val="100"/>
        <c:noMultiLvlLbl val="0"/>
      </c:catAx>
      <c:valAx>
        <c:axId val="84463616"/>
        <c:scaling>
          <c:orientation val="minMax"/>
          <c:min val="25"/>
        </c:scaling>
        <c:delete val="0"/>
        <c:axPos val="l"/>
        <c:majorGridlines>
          <c:spPr>
            <a:ln>
              <a:noFill/>
            </a:ln>
          </c:spPr>
        </c:majorGridlines>
        <c:title>
          <c:tx>
            <c:rich>
              <a:bodyPr rot="-5400000" vert="horz"/>
              <a:lstStyle/>
              <a:p>
                <a:pPr>
                  <a:defRPr/>
                </a:pPr>
                <a:r>
                  <a:rPr lang="en-US"/>
                  <a:t>Temperature  (oC)</a:t>
                </a:r>
              </a:p>
            </c:rich>
          </c:tx>
          <c:layout>
            <c:manualLayout>
              <c:xMode val="edge"/>
              <c:yMode val="edge"/>
              <c:x val="4.3897160903339408E-2"/>
              <c:y val="0.16953880764904392"/>
            </c:manualLayout>
          </c:layout>
          <c:overlay val="0"/>
        </c:title>
        <c:numFmt formatCode="General" sourceLinked="1"/>
        <c:majorTickMark val="out"/>
        <c:minorTickMark val="none"/>
        <c:tickLblPos val="nextTo"/>
        <c:crossAx val="83998592"/>
        <c:crosses val="autoZero"/>
        <c:crossBetween val="between"/>
      </c:valAx>
    </c:plotArea>
    <c:legend>
      <c:legendPos val="r"/>
      <c:layout>
        <c:manualLayout>
          <c:xMode val="edge"/>
          <c:yMode val="edge"/>
          <c:x val="0.89466080652228808"/>
          <c:y val="0.30371317304484557"/>
          <c:w val="9.1848468351237278E-2"/>
          <c:h val="0.46132053243866172"/>
        </c:manualLayout>
      </c:layout>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Sheet1!$O$13</c:f>
              <c:strCache>
                <c:ptCount val="1"/>
                <c:pt idx="0">
                  <c:v>November</c:v>
                </c:pt>
              </c:strCache>
            </c:strRef>
          </c:tx>
          <c:cat>
            <c:strRef>
              <c:f>Sheet1!$P$12:$U$12</c:f>
              <c:strCache>
                <c:ptCount val="6"/>
                <c:pt idx="0">
                  <c:v>FZ-1</c:v>
                </c:pt>
                <c:pt idx="1">
                  <c:v>FZ-2</c:v>
                </c:pt>
                <c:pt idx="2">
                  <c:v>FZ-3</c:v>
                </c:pt>
                <c:pt idx="3">
                  <c:v>NFZ-1</c:v>
                </c:pt>
                <c:pt idx="4">
                  <c:v>NFZ-2</c:v>
                </c:pt>
                <c:pt idx="5">
                  <c:v>NFZ-3</c:v>
                </c:pt>
              </c:strCache>
            </c:strRef>
          </c:cat>
          <c:val>
            <c:numRef>
              <c:f>Sheet1!$P$13:$U$13</c:f>
              <c:numCache>
                <c:formatCode>General</c:formatCode>
                <c:ptCount val="6"/>
                <c:pt idx="0">
                  <c:v>9790</c:v>
                </c:pt>
                <c:pt idx="1">
                  <c:v>9310</c:v>
                </c:pt>
                <c:pt idx="2">
                  <c:v>8380</c:v>
                </c:pt>
                <c:pt idx="3">
                  <c:v>9140</c:v>
                </c:pt>
                <c:pt idx="4">
                  <c:v>7435</c:v>
                </c:pt>
                <c:pt idx="5">
                  <c:v>9900</c:v>
                </c:pt>
              </c:numCache>
            </c:numRef>
          </c:val>
          <c:smooth val="0"/>
          <c:extLst>
            <c:ext xmlns:c16="http://schemas.microsoft.com/office/drawing/2014/chart" uri="{C3380CC4-5D6E-409C-BE32-E72D297353CC}">
              <c16:uniqueId val="{00000000-C50D-40F0-B80D-6247BB12CDD3}"/>
            </c:ext>
          </c:extLst>
        </c:ser>
        <c:ser>
          <c:idx val="1"/>
          <c:order val="1"/>
          <c:tx>
            <c:strRef>
              <c:f>Sheet1!$O$14</c:f>
              <c:strCache>
                <c:ptCount val="1"/>
                <c:pt idx="0">
                  <c:v>December</c:v>
                </c:pt>
              </c:strCache>
            </c:strRef>
          </c:tx>
          <c:cat>
            <c:strRef>
              <c:f>Sheet1!$P$12:$U$12</c:f>
              <c:strCache>
                <c:ptCount val="6"/>
                <c:pt idx="0">
                  <c:v>FZ-1</c:v>
                </c:pt>
                <c:pt idx="1">
                  <c:v>FZ-2</c:v>
                </c:pt>
                <c:pt idx="2">
                  <c:v>FZ-3</c:v>
                </c:pt>
                <c:pt idx="3">
                  <c:v>NFZ-1</c:v>
                </c:pt>
                <c:pt idx="4">
                  <c:v>NFZ-2</c:v>
                </c:pt>
                <c:pt idx="5">
                  <c:v>NFZ-3</c:v>
                </c:pt>
              </c:strCache>
            </c:strRef>
          </c:cat>
          <c:val>
            <c:numRef>
              <c:f>Sheet1!$P$14:$U$14</c:f>
              <c:numCache>
                <c:formatCode>General</c:formatCode>
                <c:ptCount val="6"/>
                <c:pt idx="0">
                  <c:v>10340</c:v>
                </c:pt>
                <c:pt idx="1">
                  <c:v>8600</c:v>
                </c:pt>
                <c:pt idx="2">
                  <c:v>9665</c:v>
                </c:pt>
                <c:pt idx="3">
                  <c:v>7810</c:v>
                </c:pt>
                <c:pt idx="4">
                  <c:v>8385</c:v>
                </c:pt>
                <c:pt idx="5">
                  <c:v>7585</c:v>
                </c:pt>
              </c:numCache>
            </c:numRef>
          </c:val>
          <c:smooth val="0"/>
          <c:extLst>
            <c:ext xmlns:c16="http://schemas.microsoft.com/office/drawing/2014/chart" uri="{C3380CC4-5D6E-409C-BE32-E72D297353CC}">
              <c16:uniqueId val="{00000001-C50D-40F0-B80D-6247BB12CDD3}"/>
            </c:ext>
          </c:extLst>
        </c:ser>
        <c:ser>
          <c:idx val="2"/>
          <c:order val="2"/>
          <c:tx>
            <c:strRef>
              <c:f>Sheet1!$O$15</c:f>
              <c:strCache>
                <c:ptCount val="1"/>
                <c:pt idx="0">
                  <c:v>January</c:v>
                </c:pt>
              </c:strCache>
            </c:strRef>
          </c:tx>
          <c:cat>
            <c:strRef>
              <c:f>Sheet1!$P$12:$U$12</c:f>
              <c:strCache>
                <c:ptCount val="6"/>
                <c:pt idx="0">
                  <c:v>FZ-1</c:v>
                </c:pt>
                <c:pt idx="1">
                  <c:v>FZ-2</c:v>
                </c:pt>
                <c:pt idx="2">
                  <c:v>FZ-3</c:v>
                </c:pt>
                <c:pt idx="3">
                  <c:v>NFZ-1</c:v>
                </c:pt>
                <c:pt idx="4">
                  <c:v>NFZ-2</c:v>
                </c:pt>
                <c:pt idx="5">
                  <c:v>NFZ-3</c:v>
                </c:pt>
              </c:strCache>
            </c:strRef>
          </c:cat>
          <c:val>
            <c:numRef>
              <c:f>Sheet1!$P$15:$U$15</c:f>
              <c:numCache>
                <c:formatCode>General</c:formatCode>
                <c:ptCount val="6"/>
                <c:pt idx="0">
                  <c:v>8240</c:v>
                </c:pt>
                <c:pt idx="1">
                  <c:v>7665</c:v>
                </c:pt>
                <c:pt idx="2">
                  <c:v>8900</c:v>
                </c:pt>
                <c:pt idx="3">
                  <c:v>7945</c:v>
                </c:pt>
                <c:pt idx="4">
                  <c:v>8700</c:v>
                </c:pt>
                <c:pt idx="5">
                  <c:v>7500</c:v>
                </c:pt>
              </c:numCache>
            </c:numRef>
          </c:val>
          <c:smooth val="0"/>
          <c:extLst>
            <c:ext xmlns:c16="http://schemas.microsoft.com/office/drawing/2014/chart" uri="{C3380CC4-5D6E-409C-BE32-E72D297353CC}">
              <c16:uniqueId val="{00000002-C50D-40F0-B80D-6247BB12CDD3}"/>
            </c:ext>
          </c:extLst>
        </c:ser>
        <c:ser>
          <c:idx val="3"/>
          <c:order val="3"/>
          <c:tx>
            <c:strRef>
              <c:f>Sheet1!$O$16</c:f>
              <c:strCache>
                <c:ptCount val="1"/>
                <c:pt idx="0">
                  <c:v>February</c:v>
                </c:pt>
              </c:strCache>
            </c:strRef>
          </c:tx>
          <c:cat>
            <c:strRef>
              <c:f>Sheet1!$P$12:$U$12</c:f>
              <c:strCache>
                <c:ptCount val="6"/>
                <c:pt idx="0">
                  <c:v>FZ-1</c:v>
                </c:pt>
                <c:pt idx="1">
                  <c:v>FZ-2</c:v>
                </c:pt>
                <c:pt idx="2">
                  <c:v>FZ-3</c:v>
                </c:pt>
                <c:pt idx="3">
                  <c:v>NFZ-1</c:v>
                </c:pt>
                <c:pt idx="4">
                  <c:v>NFZ-2</c:v>
                </c:pt>
                <c:pt idx="5">
                  <c:v>NFZ-3</c:v>
                </c:pt>
              </c:strCache>
            </c:strRef>
          </c:cat>
          <c:val>
            <c:numRef>
              <c:f>Sheet1!$P$16:$U$16</c:f>
              <c:numCache>
                <c:formatCode>General</c:formatCode>
                <c:ptCount val="6"/>
                <c:pt idx="0">
                  <c:v>7480</c:v>
                </c:pt>
                <c:pt idx="1">
                  <c:v>7350</c:v>
                </c:pt>
                <c:pt idx="2">
                  <c:v>8515</c:v>
                </c:pt>
                <c:pt idx="3">
                  <c:v>8925</c:v>
                </c:pt>
                <c:pt idx="4">
                  <c:v>6815</c:v>
                </c:pt>
                <c:pt idx="5">
                  <c:v>8100</c:v>
                </c:pt>
              </c:numCache>
            </c:numRef>
          </c:val>
          <c:smooth val="0"/>
          <c:extLst>
            <c:ext xmlns:c16="http://schemas.microsoft.com/office/drawing/2014/chart" uri="{C3380CC4-5D6E-409C-BE32-E72D297353CC}">
              <c16:uniqueId val="{00000003-C50D-40F0-B80D-6247BB12CDD3}"/>
            </c:ext>
          </c:extLst>
        </c:ser>
        <c:dLbls>
          <c:showLegendKey val="0"/>
          <c:showVal val="0"/>
          <c:showCatName val="0"/>
          <c:showSerName val="0"/>
          <c:showPercent val="0"/>
          <c:showBubbleSize val="0"/>
        </c:dLbls>
        <c:marker val="1"/>
        <c:smooth val="0"/>
        <c:axId val="84022400"/>
        <c:axId val="84023936"/>
      </c:lineChart>
      <c:catAx>
        <c:axId val="84022400"/>
        <c:scaling>
          <c:orientation val="minMax"/>
        </c:scaling>
        <c:delete val="0"/>
        <c:axPos val="b"/>
        <c:numFmt formatCode="General" sourceLinked="0"/>
        <c:majorTickMark val="out"/>
        <c:minorTickMark val="none"/>
        <c:tickLblPos val="nextTo"/>
        <c:crossAx val="84023936"/>
        <c:crosses val="autoZero"/>
        <c:auto val="1"/>
        <c:lblAlgn val="ctr"/>
        <c:lblOffset val="100"/>
        <c:noMultiLvlLbl val="0"/>
      </c:catAx>
      <c:valAx>
        <c:axId val="84023936"/>
        <c:scaling>
          <c:orientation val="minMax"/>
          <c:max val="10500"/>
          <c:min val="6500"/>
        </c:scaling>
        <c:delete val="0"/>
        <c:axPos val="l"/>
        <c:majorGridlines>
          <c:spPr>
            <a:ln>
              <a:noFill/>
            </a:ln>
          </c:spPr>
        </c:majorGridlines>
        <c:title>
          <c:tx>
            <c:rich>
              <a:bodyPr rot="-5400000" vert="horz"/>
              <a:lstStyle/>
              <a:p>
                <a:pPr>
                  <a:defRPr/>
                </a:pPr>
                <a:r>
                  <a:rPr lang="en-US"/>
                  <a:t>Total phytoplankton</a:t>
                </a:r>
              </a:p>
              <a:p>
                <a:pPr>
                  <a:defRPr/>
                </a:pPr>
                <a:r>
                  <a:rPr lang="en-US"/>
                  <a:t>(number/liter)</a:t>
                </a:r>
              </a:p>
            </c:rich>
          </c:tx>
          <c:layout>
            <c:manualLayout>
              <c:xMode val="edge"/>
              <c:yMode val="edge"/>
              <c:x val="2.6564901408984546E-2"/>
              <c:y val="0.15956679833625478"/>
            </c:manualLayout>
          </c:layout>
          <c:overlay val="0"/>
        </c:title>
        <c:numFmt formatCode="General" sourceLinked="1"/>
        <c:majorTickMark val="out"/>
        <c:minorTickMark val="none"/>
        <c:tickLblPos val="nextTo"/>
        <c:crossAx val="84022400"/>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Sheet1!$M$6</c:f>
              <c:strCache>
                <c:ptCount val="1"/>
                <c:pt idx="0">
                  <c:v>NOVEMBER</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Sheet1!$N$4:$S$5</c:f>
              <c:strCache>
                <c:ptCount val="6"/>
                <c:pt idx="0">
                  <c:v>FZ-1</c:v>
                </c:pt>
                <c:pt idx="1">
                  <c:v>FZ-2</c:v>
                </c:pt>
                <c:pt idx="2">
                  <c:v>FZ-3</c:v>
                </c:pt>
                <c:pt idx="3">
                  <c:v>NFZ-1</c:v>
                </c:pt>
                <c:pt idx="4">
                  <c:v>NFZ-2</c:v>
                </c:pt>
                <c:pt idx="5">
                  <c:v>NFZ-3</c:v>
                </c:pt>
              </c:strCache>
            </c:strRef>
          </c:cat>
          <c:val>
            <c:numRef>
              <c:f>Sheet1!$N$6:$S$6</c:f>
              <c:numCache>
                <c:formatCode>General</c:formatCode>
                <c:ptCount val="6"/>
                <c:pt idx="0">
                  <c:v>503</c:v>
                </c:pt>
                <c:pt idx="1">
                  <c:v>473</c:v>
                </c:pt>
                <c:pt idx="2">
                  <c:v>477</c:v>
                </c:pt>
                <c:pt idx="3">
                  <c:v>497</c:v>
                </c:pt>
                <c:pt idx="4">
                  <c:v>493</c:v>
                </c:pt>
                <c:pt idx="5">
                  <c:v>477</c:v>
                </c:pt>
              </c:numCache>
            </c:numRef>
          </c:val>
          <c:smooth val="0"/>
          <c:extLst>
            <c:ext xmlns:c16="http://schemas.microsoft.com/office/drawing/2014/chart" uri="{C3380CC4-5D6E-409C-BE32-E72D297353CC}">
              <c16:uniqueId val="{00000000-D460-4431-BBAC-F079C689AE7E}"/>
            </c:ext>
          </c:extLst>
        </c:ser>
        <c:ser>
          <c:idx val="1"/>
          <c:order val="1"/>
          <c:tx>
            <c:strRef>
              <c:f>Sheet1!$M$7</c:f>
              <c:strCache>
                <c:ptCount val="1"/>
                <c:pt idx="0">
                  <c:v>DECEMBER</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Sheet1!$N$4:$S$5</c:f>
              <c:strCache>
                <c:ptCount val="6"/>
                <c:pt idx="0">
                  <c:v>FZ-1</c:v>
                </c:pt>
                <c:pt idx="1">
                  <c:v>FZ-2</c:v>
                </c:pt>
                <c:pt idx="2">
                  <c:v>FZ-3</c:v>
                </c:pt>
                <c:pt idx="3">
                  <c:v>NFZ-1</c:v>
                </c:pt>
                <c:pt idx="4">
                  <c:v>NFZ-2</c:v>
                </c:pt>
                <c:pt idx="5">
                  <c:v>NFZ-3</c:v>
                </c:pt>
              </c:strCache>
            </c:strRef>
          </c:cat>
          <c:val>
            <c:numRef>
              <c:f>Sheet1!$N$7:$S$7</c:f>
              <c:numCache>
                <c:formatCode>General</c:formatCode>
                <c:ptCount val="6"/>
                <c:pt idx="0">
                  <c:v>442</c:v>
                </c:pt>
                <c:pt idx="1">
                  <c:v>428</c:v>
                </c:pt>
                <c:pt idx="2">
                  <c:v>431</c:v>
                </c:pt>
                <c:pt idx="3">
                  <c:v>449</c:v>
                </c:pt>
                <c:pt idx="4">
                  <c:v>426</c:v>
                </c:pt>
                <c:pt idx="5">
                  <c:v>422</c:v>
                </c:pt>
              </c:numCache>
            </c:numRef>
          </c:val>
          <c:smooth val="0"/>
          <c:extLst>
            <c:ext xmlns:c16="http://schemas.microsoft.com/office/drawing/2014/chart" uri="{C3380CC4-5D6E-409C-BE32-E72D297353CC}">
              <c16:uniqueId val="{00000001-D460-4431-BBAC-F079C689AE7E}"/>
            </c:ext>
          </c:extLst>
        </c:ser>
        <c:ser>
          <c:idx val="2"/>
          <c:order val="2"/>
          <c:tx>
            <c:strRef>
              <c:f>Sheet1!$M$8</c:f>
              <c:strCache>
                <c:ptCount val="1"/>
                <c:pt idx="0">
                  <c:v>JANUARY</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Sheet1!$N$4:$S$5</c:f>
              <c:strCache>
                <c:ptCount val="6"/>
                <c:pt idx="0">
                  <c:v>FZ-1</c:v>
                </c:pt>
                <c:pt idx="1">
                  <c:v>FZ-2</c:v>
                </c:pt>
                <c:pt idx="2">
                  <c:v>FZ-3</c:v>
                </c:pt>
                <c:pt idx="3">
                  <c:v>NFZ-1</c:v>
                </c:pt>
                <c:pt idx="4">
                  <c:v>NFZ-2</c:v>
                </c:pt>
                <c:pt idx="5">
                  <c:v>NFZ-3</c:v>
                </c:pt>
              </c:strCache>
            </c:strRef>
          </c:cat>
          <c:val>
            <c:numRef>
              <c:f>Sheet1!$N$8:$S$8</c:f>
              <c:numCache>
                <c:formatCode>General</c:formatCode>
                <c:ptCount val="6"/>
                <c:pt idx="0">
                  <c:v>467</c:v>
                </c:pt>
                <c:pt idx="1">
                  <c:v>440</c:v>
                </c:pt>
                <c:pt idx="2">
                  <c:v>441</c:v>
                </c:pt>
                <c:pt idx="3">
                  <c:v>455</c:v>
                </c:pt>
                <c:pt idx="4">
                  <c:v>446</c:v>
                </c:pt>
                <c:pt idx="5">
                  <c:v>430</c:v>
                </c:pt>
              </c:numCache>
            </c:numRef>
          </c:val>
          <c:smooth val="0"/>
          <c:extLst>
            <c:ext xmlns:c16="http://schemas.microsoft.com/office/drawing/2014/chart" uri="{C3380CC4-5D6E-409C-BE32-E72D297353CC}">
              <c16:uniqueId val="{00000002-D460-4431-BBAC-F079C689AE7E}"/>
            </c:ext>
          </c:extLst>
        </c:ser>
        <c:ser>
          <c:idx val="3"/>
          <c:order val="3"/>
          <c:tx>
            <c:strRef>
              <c:f>Sheet1!$M$9</c:f>
              <c:strCache>
                <c:ptCount val="1"/>
                <c:pt idx="0">
                  <c:v>FEBRUARY</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Sheet1!$N$4:$S$5</c:f>
              <c:strCache>
                <c:ptCount val="6"/>
                <c:pt idx="0">
                  <c:v>FZ-1</c:v>
                </c:pt>
                <c:pt idx="1">
                  <c:v>FZ-2</c:v>
                </c:pt>
                <c:pt idx="2">
                  <c:v>FZ-3</c:v>
                </c:pt>
                <c:pt idx="3">
                  <c:v>NFZ-1</c:v>
                </c:pt>
                <c:pt idx="4">
                  <c:v>NFZ-2</c:v>
                </c:pt>
                <c:pt idx="5">
                  <c:v>NFZ-3</c:v>
                </c:pt>
              </c:strCache>
            </c:strRef>
          </c:cat>
          <c:val>
            <c:numRef>
              <c:f>Sheet1!$N$9:$S$9</c:f>
              <c:numCache>
                <c:formatCode>General</c:formatCode>
                <c:ptCount val="6"/>
                <c:pt idx="0">
                  <c:v>473</c:v>
                </c:pt>
                <c:pt idx="1">
                  <c:v>450</c:v>
                </c:pt>
                <c:pt idx="2">
                  <c:v>448</c:v>
                </c:pt>
                <c:pt idx="3">
                  <c:v>464</c:v>
                </c:pt>
                <c:pt idx="4">
                  <c:v>459</c:v>
                </c:pt>
                <c:pt idx="5">
                  <c:v>436</c:v>
                </c:pt>
              </c:numCache>
            </c:numRef>
          </c:val>
          <c:smooth val="0"/>
          <c:extLst>
            <c:ext xmlns:c16="http://schemas.microsoft.com/office/drawing/2014/chart" uri="{C3380CC4-5D6E-409C-BE32-E72D297353CC}">
              <c16:uniqueId val="{00000003-D460-4431-BBAC-F079C689AE7E}"/>
            </c:ext>
          </c:extLst>
        </c:ser>
        <c:dLbls>
          <c:showLegendKey val="0"/>
          <c:showVal val="0"/>
          <c:showCatName val="0"/>
          <c:showSerName val="0"/>
          <c:showPercent val="0"/>
          <c:showBubbleSize val="0"/>
        </c:dLbls>
        <c:marker val="1"/>
        <c:smooth val="0"/>
        <c:axId val="84054400"/>
        <c:axId val="84056320"/>
      </c:lineChart>
      <c:catAx>
        <c:axId val="8405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84056320"/>
        <c:crosses val="autoZero"/>
        <c:auto val="1"/>
        <c:lblAlgn val="ctr"/>
        <c:lblOffset val="100"/>
        <c:noMultiLvlLbl val="0"/>
      </c:catAx>
      <c:valAx>
        <c:axId val="84056320"/>
        <c:scaling>
          <c:orientation val="minMax"/>
        </c:scaling>
        <c:delete val="0"/>
        <c:axPos val="l"/>
        <c:title>
          <c:tx>
            <c:rich>
              <a:bodyPr rot="-5400000" vert="horz"/>
              <a:lstStyle/>
              <a:p>
                <a:pPr>
                  <a:defRPr/>
                </a:pPr>
                <a:r>
                  <a:rPr lang="en-IN"/>
                  <a:t>Total zooplankton</a:t>
                </a:r>
              </a:p>
              <a:p>
                <a:pPr>
                  <a:defRPr/>
                </a:pPr>
                <a:r>
                  <a:rPr lang="en-IN"/>
                  <a:t>( no/m3)</a:t>
                </a:r>
              </a:p>
            </c:rich>
          </c:tx>
          <c:layout>
            <c:manualLayout>
              <c:xMode val="edge"/>
              <c:yMode val="edge"/>
              <c:x val="2.2222222222222251E-2"/>
              <c:y val="0.23229913969087257"/>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84054400"/>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600" baseline="0">
          <a:latin typeface="Arial" pitchFamily="34" charset="0"/>
          <a:cs typeface="Arial"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2939632545932"/>
          <c:y val="5.1400554097404488E-2"/>
          <c:w val="0.7355682414698167"/>
          <c:h val="0.85576771653543504"/>
        </c:manualLayout>
      </c:layout>
      <c:barChart>
        <c:barDir val="col"/>
        <c:grouping val="clustered"/>
        <c:varyColors val="0"/>
        <c:ser>
          <c:idx val="0"/>
          <c:order val="0"/>
          <c:tx>
            <c:strRef>
              <c:f>Sheet5!$D$27</c:f>
              <c:strCache>
                <c:ptCount val="1"/>
                <c:pt idx="0">
                  <c:v>FZ-1</c:v>
                </c:pt>
              </c:strCache>
            </c:strRef>
          </c:tx>
          <c:invertIfNegative val="0"/>
          <c:cat>
            <c:strRef>
              <c:f>Sheet5!$E$26:$H$26</c:f>
              <c:strCache>
                <c:ptCount val="4"/>
                <c:pt idx="0">
                  <c:v>November</c:v>
                </c:pt>
                <c:pt idx="1">
                  <c:v>December</c:v>
                </c:pt>
                <c:pt idx="2">
                  <c:v>January</c:v>
                </c:pt>
                <c:pt idx="3">
                  <c:v>February</c:v>
                </c:pt>
              </c:strCache>
            </c:strRef>
          </c:cat>
          <c:val>
            <c:numRef>
              <c:f>Sheet5!$E$27:$H$27</c:f>
              <c:numCache>
                <c:formatCode>General</c:formatCode>
                <c:ptCount val="4"/>
                <c:pt idx="0">
                  <c:v>31.25</c:v>
                </c:pt>
                <c:pt idx="1">
                  <c:v>29.67</c:v>
                </c:pt>
                <c:pt idx="2">
                  <c:v>31.21</c:v>
                </c:pt>
                <c:pt idx="3">
                  <c:v>31.459999999999987</c:v>
                </c:pt>
              </c:numCache>
            </c:numRef>
          </c:val>
          <c:extLst>
            <c:ext xmlns:c16="http://schemas.microsoft.com/office/drawing/2014/chart" uri="{C3380CC4-5D6E-409C-BE32-E72D297353CC}">
              <c16:uniqueId val="{00000000-CA46-4322-9F80-C5BD015C2738}"/>
            </c:ext>
          </c:extLst>
        </c:ser>
        <c:ser>
          <c:idx val="1"/>
          <c:order val="1"/>
          <c:tx>
            <c:strRef>
              <c:f>Sheet5!$D$28</c:f>
              <c:strCache>
                <c:ptCount val="1"/>
                <c:pt idx="0">
                  <c:v>FZ-2</c:v>
                </c:pt>
              </c:strCache>
            </c:strRef>
          </c:tx>
          <c:invertIfNegative val="0"/>
          <c:cat>
            <c:strRef>
              <c:f>Sheet5!$E$26:$H$26</c:f>
              <c:strCache>
                <c:ptCount val="4"/>
                <c:pt idx="0">
                  <c:v>November</c:v>
                </c:pt>
                <c:pt idx="1">
                  <c:v>December</c:v>
                </c:pt>
                <c:pt idx="2">
                  <c:v>January</c:v>
                </c:pt>
                <c:pt idx="3">
                  <c:v>February</c:v>
                </c:pt>
              </c:strCache>
            </c:strRef>
          </c:cat>
          <c:val>
            <c:numRef>
              <c:f>Sheet5!$E$28:$H$28</c:f>
              <c:numCache>
                <c:formatCode>General</c:formatCode>
                <c:ptCount val="4"/>
                <c:pt idx="0">
                  <c:v>32.590000000000003</c:v>
                </c:pt>
                <c:pt idx="1">
                  <c:v>30.610000000000031</c:v>
                </c:pt>
                <c:pt idx="2">
                  <c:v>32.480000000000004</c:v>
                </c:pt>
                <c:pt idx="3">
                  <c:v>32.68</c:v>
                </c:pt>
              </c:numCache>
            </c:numRef>
          </c:val>
          <c:extLst>
            <c:ext xmlns:c16="http://schemas.microsoft.com/office/drawing/2014/chart" uri="{C3380CC4-5D6E-409C-BE32-E72D297353CC}">
              <c16:uniqueId val="{00000001-CA46-4322-9F80-C5BD015C2738}"/>
            </c:ext>
          </c:extLst>
        </c:ser>
        <c:ser>
          <c:idx val="2"/>
          <c:order val="2"/>
          <c:tx>
            <c:strRef>
              <c:f>Sheet5!$D$29</c:f>
              <c:strCache>
                <c:ptCount val="1"/>
                <c:pt idx="0">
                  <c:v>FZ-3</c:v>
                </c:pt>
              </c:strCache>
            </c:strRef>
          </c:tx>
          <c:invertIfNegative val="0"/>
          <c:cat>
            <c:strRef>
              <c:f>Sheet5!$E$26:$H$26</c:f>
              <c:strCache>
                <c:ptCount val="4"/>
                <c:pt idx="0">
                  <c:v>November</c:v>
                </c:pt>
                <c:pt idx="1">
                  <c:v>December</c:v>
                </c:pt>
                <c:pt idx="2">
                  <c:v>January</c:v>
                </c:pt>
                <c:pt idx="3">
                  <c:v>February</c:v>
                </c:pt>
              </c:strCache>
            </c:strRef>
          </c:cat>
          <c:val>
            <c:numRef>
              <c:f>Sheet5!$E$29:$H$29</c:f>
              <c:numCache>
                <c:formatCode>General</c:formatCode>
                <c:ptCount val="4"/>
                <c:pt idx="0">
                  <c:v>32.54</c:v>
                </c:pt>
                <c:pt idx="1">
                  <c:v>32.870000000000005</c:v>
                </c:pt>
                <c:pt idx="2">
                  <c:v>32.760000000000012</c:v>
                </c:pt>
                <c:pt idx="3">
                  <c:v>33.120000000000012</c:v>
                </c:pt>
              </c:numCache>
            </c:numRef>
          </c:val>
          <c:extLst>
            <c:ext xmlns:c16="http://schemas.microsoft.com/office/drawing/2014/chart" uri="{C3380CC4-5D6E-409C-BE32-E72D297353CC}">
              <c16:uniqueId val="{00000002-CA46-4322-9F80-C5BD015C2738}"/>
            </c:ext>
          </c:extLst>
        </c:ser>
        <c:ser>
          <c:idx val="3"/>
          <c:order val="3"/>
          <c:tx>
            <c:strRef>
              <c:f>Sheet5!$D$30</c:f>
              <c:strCache>
                <c:ptCount val="1"/>
                <c:pt idx="0">
                  <c:v>NFZ-1</c:v>
                </c:pt>
              </c:strCache>
            </c:strRef>
          </c:tx>
          <c:invertIfNegative val="0"/>
          <c:cat>
            <c:strRef>
              <c:f>Sheet5!$E$26:$H$26</c:f>
              <c:strCache>
                <c:ptCount val="4"/>
                <c:pt idx="0">
                  <c:v>November</c:v>
                </c:pt>
                <c:pt idx="1">
                  <c:v>December</c:v>
                </c:pt>
                <c:pt idx="2">
                  <c:v>January</c:v>
                </c:pt>
                <c:pt idx="3">
                  <c:v>February</c:v>
                </c:pt>
              </c:strCache>
            </c:strRef>
          </c:cat>
          <c:val>
            <c:numRef>
              <c:f>Sheet5!$E$30:$H$30</c:f>
              <c:numCache>
                <c:formatCode>General</c:formatCode>
                <c:ptCount val="4"/>
                <c:pt idx="0">
                  <c:v>33.21</c:v>
                </c:pt>
                <c:pt idx="1">
                  <c:v>31.79</c:v>
                </c:pt>
                <c:pt idx="2">
                  <c:v>31.919999999999987</c:v>
                </c:pt>
                <c:pt idx="3">
                  <c:v>32.260000000000012</c:v>
                </c:pt>
              </c:numCache>
            </c:numRef>
          </c:val>
          <c:extLst>
            <c:ext xmlns:c16="http://schemas.microsoft.com/office/drawing/2014/chart" uri="{C3380CC4-5D6E-409C-BE32-E72D297353CC}">
              <c16:uniqueId val="{00000003-CA46-4322-9F80-C5BD015C2738}"/>
            </c:ext>
          </c:extLst>
        </c:ser>
        <c:ser>
          <c:idx val="4"/>
          <c:order val="4"/>
          <c:tx>
            <c:strRef>
              <c:f>Sheet5!$D$31</c:f>
              <c:strCache>
                <c:ptCount val="1"/>
                <c:pt idx="0">
                  <c:v>NFZ-2</c:v>
                </c:pt>
              </c:strCache>
            </c:strRef>
          </c:tx>
          <c:invertIfNegative val="0"/>
          <c:cat>
            <c:strRef>
              <c:f>Sheet5!$E$26:$H$26</c:f>
              <c:strCache>
                <c:ptCount val="4"/>
                <c:pt idx="0">
                  <c:v>November</c:v>
                </c:pt>
                <c:pt idx="1">
                  <c:v>December</c:v>
                </c:pt>
                <c:pt idx="2">
                  <c:v>January</c:v>
                </c:pt>
                <c:pt idx="3">
                  <c:v>February</c:v>
                </c:pt>
              </c:strCache>
            </c:strRef>
          </c:cat>
          <c:val>
            <c:numRef>
              <c:f>Sheet5!$E$31:$H$31</c:f>
              <c:numCache>
                <c:formatCode>General</c:formatCode>
                <c:ptCount val="4"/>
                <c:pt idx="0">
                  <c:v>33.42</c:v>
                </c:pt>
                <c:pt idx="1">
                  <c:v>31.02</c:v>
                </c:pt>
                <c:pt idx="2">
                  <c:v>33.89</c:v>
                </c:pt>
                <c:pt idx="3">
                  <c:v>33.56</c:v>
                </c:pt>
              </c:numCache>
            </c:numRef>
          </c:val>
          <c:extLst>
            <c:ext xmlns:c16="http://schemas.microsoft.com/office/drawing/2014/chart" uri="{C3380CC4-5D6E-409C-BE32-E72D297353CC}">
              <c16:uniqueId val="{00000004-CA46-4322-9F80-C5BD015C2738}"/>
            </c:ext>
          </c:extLst>
        </c:ser>
        <c:ser>
          <c:idx val="5"/>
          <c:order val="5"/>
          <c:tx>
            <c:strRef>
              <c:f>Sheet5!$D$32</c:f>
              <c:strCache>
                <c:ptCount val="1"/>
                <c:pt idx="0">
                  <c:v>NFZ-3</c:v>
                </c:pt>
              </c:strCache>
            </c:strRef>
          </c:tx>
          <c:invertIfNegative val="0"/>
          <c:cat>
            <c:strRef>
              <c:f>Sheet5!$E$26:$H$26</c:f>
              <c:strCache>
                <c:ptCount val="4"/>
                <c:pt idx="0">
                  <c:v>November</c:v>
                </c:pt>
                <c:pt idx="1">
                  <c:v>December</c:v>
                </c:pt>
                <c:pt idx="2">
                  <c:v>January</c:v>
                </c:pt>
                <c:pt idx="3">
                  <c:v>February</c:v>
                </c:pt>
              </c:strCache>
            </c:strRef>
          </c:cat>
          <c:val>
            <c:numRef>
              <c:f>Sheet5!$E$32:$H$32</c:f>
              <c:numCache>
                <c:formatCode>General</c:formatCode>
                <c:ptCount val="4"/>
                <c:pt idx="0">
                  <c:v>34.190000000000012</c:v>
                </c:pt>
                <c:pt idx="1">
                  <c:v>32.56</c:v>
                </c:pt>
                <c:pt idx="2">
                  <c:v>32.53</c:v>
                </c:pt>
                <c:pt idx="3">
                  <c:v>34.51</c:v>
                </c:pt>
              </c:numCache>
            </c:numRef>
          </c:val>
          <c:extLst>
            <c:ext xmlns:c16="http://schemas.microsoft.com/office/drawing/2014/chart" uri="{C3380CC4-5D6E-409C-BE32-E72D297353CC}">
              <c16:uniqueId val="{00000005-CA46-4322-9F80-C5BD015C2738}"/>
            </c:ext>
          </c:extLst>
        </c:ser>
        <c:dLbls>
          <c:showLegendKey val="0"/>
          <c:showVal val="0"/>
          <c:showCatName val="0"/>
          <c:showSerName val="0"/>
          <c:showPercent val="0"/>
          <c:showBubbleSize val="0"/>
        </c:dLbls>
        <c:gapWidth val="150"/>
        <c:axId val="91824896"/>
        <c:axId val="91826432"/>
      </c:barChart>
      <c:catAx>
        <c:axId val="91824896"/>
        <c:scaling>
          <c:orientation val="minMax"/>
        </c:scaling>
        <c:delete val="0"/>
        <c:axPos val="b"/>
        <c:numFmt formatCode="General" sourceLinked="0"/>
        <c:majorTickMark val="out"/>
        <c:minorTickMark val="none"/>
        <c:tickLblPos val="nextTo"/>
        <c:crossAx val="91826432"/>
        <c:crosses val="autoZero"/>
        <c:auto val="1"/>
        <c:lblAlgn val="ctr"/>
        <c:lblOffset val="100"/>
        <c:noMultiLvlLbl val="0"/>
      </c:catAx>
      <c:valAx>
        <c:axId val="91826432"/>
        <c:scaling>
          <c:orientation val="minMax"/>
        </c:scaling>
        <c:delete val="0"/>
        <c:axPos val="l"/>
        <c:title>
          <c:tx>
            <c:rich>
              <a:bodyPr rot="-5400000" vert="horz"/>
              <a:lstStyle/>
              <a:p>
                <a:pPr>
                  <a:defRPr/>
                </a:pPr>
                <a:r>
                  <a:rPr lang="en-US"/>
                  <a:t>Salinity (ppt)</a:t>
                </a:r>
              </a:p>
            </c:rich>
          </c:tx>
          <c:layout>
            <c:manualLayout>
              <c:xMode val="edge"/>
              <c:yMode val="edge"/>
              <c:x val="1.6666666666666701E-2"/>
              <c:y val="0.30117089530475583"/>
            </c:manualLayout>
          </c:layout>
          <c:overlay val="0"/>
        </c:title>
        <c:numFmt formatCode="General" sourceLinked="1"/>
        <c:majorTickMark val="out"/>
        <c:minorTickMark val="none"/>
        <c:tickLblPos val="nextTo"/>
        <c:crossAx val="91824896"/>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47395660049541"/>
          <c:y val="7.6248440476523557E-2"/>
          <c:w val="0.72472884551403105"/>
          <c:h val="0.83732930806730999"/>
        </c:manualLayout>
      </c:layout>
      <c:barChart>
        <c:barDir val="col"/>
        <c:grouping val="clustered"/>
        <c:varyColors val="0"/>
        <c:ser>
          <c:idx val="0"/>
          <c:order val="0"/>
          <c:tx>
            <c:strRef>
              <c:f>Sheet5!$D$52</c:f>
              <c:strCache>
                <c:ptCount val="1"/>
                <c:pt idx="0">
                  <c:v>FZ-1</c:v>
                </c:pt>
              </c:strCache>
            </c:strRef>
          </c:tx>
          <c:invertIfNegative val="0"/>
          <c:cat>
            <c:strRef>
              <c:f>Sheet5!$E$51:$H$51</c:f>
              <c:strCache>
                <c:ptCount val="4"/>
                <c:pt idx="0">
                  <c:v>November</c:v>
                </c:pt>
                <c:pt idx="1">
                  <c:v>December</c:v>
                </c:pt>
                <c:pt idx="2">
                  <c:v>January</c:v>
                </c:pt>
                <c:pt idx="3">
                  <c:v>February</c:v>
                </c:pt>
              </c:strCache>
            </c:strRef>
          </c:cat>
          <c:val>
            <c:numRef>
              <c:f>Sheet5!$E$52:$H$52</c:f>
              <c:numCache>
                <c:formatCode>General</c:formatCode>
                <c:ptCount val="4"/>
                <c:pt idx="0">
                  <c:v>8.06</c:v>
                </c:pt>
                <c:pt idx="1">
                  <c:v>7.99</c:v>
                </c:pt>
                <c:pt idx="2">
                  <c:v>7.96</c:v>
                </c:pt>
                <c:pt idx="3">
                  <c:v>7.84</c:v>
                </c:pt>
              </c:numCache>
            </c:numRef>
          </c:val>
          <c:extLst>
            <c:ext xmlns:c16="http://schemas.microsoft.com/office/drawing/2014/chart" uri="{C3380CC4-5D6E-409C-BE32-E72D297353CC}">
              <c16:uniqueId val="{00000000-F1C0-4D6C-8DE5-BCA96AC86AEF}"/>
            </c:ext>
          </c:extLst>
        </c:ser>
        <c:ser>
          <c:idx val="1"/>
          <c:order val="1"/>
          <c:tx>
            <c:strRef>
              <c:f>Sheet5!$D$53</c:f>
              <c:strCache>
                <c:ptCount val="1"/>
                <c:pt idx="0">
                  <c:v>FZ-2</c:v>
                </c:pt>
              </c:strCache>
            </c:strRef>
          </c:tx>
          <c:invertIfNegative val="0"/>
          <c:cat>
            <c:strRef>
              <c:f>Sheet5!$E$51:$H$51</c:f>
              <c:strCache>
                <c:ptCount val="4"/>
                <c:pt idx="0">
                  <c:v>November</c:v>
                </c:pt>
                <c:pt idx="1">
                  <c:v>December</c:v>
                </c:pt>
                <c:pt idx="2">
                  <c:v>January</c:v>
                </c:pt>
                <c:pt idx="3">
                  <c:v>February</c:v>
                </c:pt>
              </c:strCache>
            </c:strRef>
          </c:cat>
          <c:val>
            <c:numRef>
              <c:f>Sheet5!$E$53:$H$53</c:f>
              <c:numCache>
                <c:formatCode>General</c:formatCode>
                <c:ptCount val="4"/>
                <c:pt idx="0">
                  <c:v>7.95</c:v>
                </c:pt>
                <c:pt idx="1">
                  <c:v>8.3700000000000028</c:v>
                </c:pt>
                <c:pt idx="2">
                  <c:v>8.120000000000001</c:v>
                </c:pt>
                <c:pt idx="3">
                  <c:v>8.24</c:v>
                </c:pt>
              </c:numCache>
            </c:numRef>
          </c:val>
          <c:extLst>
            <c:ext xmlns:c16="http://schemas.microsoft.com/office/drawing/2014/chart" uri="{C3380CC4-5D6E-409C-BE32-E72D297353CC}">
              <c16:uniqueId val="{00000001-F1C0-4D6C-8DE5-BCA96AC86AEF}"/>
            </c:ext>
          </c:extLst>
        </c:ser>
        <c:ser>
          <c:idx val="2"/>
          <c:order val="2"/>
          <c:tx>
            <c:strRef>
              <c:f>Sheet5!$D$54</c:f>
              <c:strCache>
                <c:ptCount val="1"/>
                <c:pt idx="0">
                  <c:v>FZ-3</c:v>
                </c:pt>
              </c:strCache>
            </c:strRef>
          </c:tx>
          <c:invertIfNegative val="0"/>
          <c:cat>
            <c:strRef>
              <c:f>Sheet5!$E$51:$H$51</c:f>
              <c:strCache>
                <c:ptCount val="4"/>
                <c:pt idx="0">
                  <c:v>November</c:v>
                </c:pt>
                <c:pt idx="1">
                  <c:v>December</c:v>
                </c:pt>
                <c:pt idx="2">
                  <c:v>January</c:v>
                </c:pt>
                <c:pt idx="3">
                  <c:v>February</c:v>
                </c:pt>
              </c:strCache>
            </c:strRef>
          </c:cat>
          <c:val>
            <c:numRef>
              <c:f>Sheet5!$E$54:$H$54</c:f>
              <c:numCache>
                <c:formatCode>General</c:formatCode>
                <c:ptCount val="4"/>
                <c:pt idx="0">
                  <c:v>8.3000000000000007</c:v>
                </c:pt>
                <c:pt idx="1">
                  <c:v>8.17</c:v>
                </c:pt>
                <c:pt idx="2">
                  <c:v>8.08</c:v>
                </c:pt>
                <c:pt idx="3">
                  <c:v>6.92</c:v>
                </c:pt>
              </c:numCache>
            </c:numRef>
          </c:val>
          <c:extLst>
            <c:ext xmlns:c16="http://schemas.microsoft.com/office/drawing/2014/chart" uri="{C3380CC4-5D6E-409C-BE32-E72D297353CC}">
              <c16:uniqueId val="{00000002-F1C0-4D6C-8DE5-BCA96AC86AEF}"/>
            </c:ext>
          </c:extLst>
        </c:ser>
        <c:ser>
          <c:idx val="3"/>
          <c:order val="3"/>
          <c:tx>
            <c:strRef>
              <c:f>Sheet5!$D$55</c:f>
              <c:strCache>
                <c:ptCount val="1"/>
                <c:pt idx="0">
                  <c:v>NFZ-1</c:v>
                </c:pt>
              </c:strCache>
            </c:strRef>
          </c:tx>
          <c:invertIfNegative val="0"/>
          <c:cat>
            <c:strRef>
              <c:f>Sheet5!$E$51:$H$51</c:f>
              <c:strCache>
                <c:ptCount val="4"/>
                <c:pt idx="0">
                  <c:v>November</c:v>
                </c:pt>
                <c:pt idx="1">
                  <c:v>December</c:v>
                </c:pt>
                <c:pt idx="2">
                  <c:v>January</c:v>
                </c:pt>
                <c:pt idx="3">
                  <c:v>February</c:v>
                </c:pt>
              </c:strCache>
            </c:strRef>
          </c:cat>
          <c:val>
            <c:numRef>
              <c:f>Sheet5!$E$55:$H$55</c:f>
              <c:numCache>
                <c:formatCode>General</c:formatCode>
                <c:ptCount val="4"/>
                <c:pt idx="0">
                  <c:v>8.2100000000000009</c:v>
                </c:pt>
                <c:pt idx="1">
                  <c:v>8.02</c:v>
                </c:pt>
                <c:pt idx="2">
                  <c:v>8.120000000000001</c:v>
                </c:pt>
                <c:pt idx="3">
                  <c:v>6.56</c:v>
                </c:pt>
              </c:numCache>
            </c:numRef>
          </c:val>
          <c:extLst>
            <c:ext xmlns:c16="http://schemas.microsoft.com/office/drawing/2014/chart" uri="{C3380CC4-5D6E-409C-BE32-E72D297353CC}">
              <c16:uniqueId val="{00000003-F1C0-4D6C-8DE5-BCA96AC86AEF}"/>
            </c:ext>
          </c:extLst>
        </c:ser>
        <c:ser>
          <c:idx val="4"/>
          <c:order val="4"/>
          <c:tx>
            <c:strRef>
              <c:f>Sheet5!$D$56</c:f>
              <c:strCache>
                <c:ptCount val="1"/>
                <c:pt idx="0">
                  <c:v>NFZ-2</c:v>
                </c:pt>
              </c:strCache>
            </c:strRef>
          </c:tx>
          <c:invertIfNegative val="0"/>
          <c:cat>
            <c:strRef>
              <c:f>Sheet5!$E$51:$H$51</c:f>
              <c:strCache>
                <c:ptCount val="4"/>
                <c:pt idx="0">
                  <c:v>November</c:v>
                </c:pt>
                <c:pt idx="1">
                  <c:v>December</c:v>
                </c:pt>
                <c:pt idx="2">
                  <c:v>January</c:v>
                </c:pt>
                <c:pt idx="3">
                  <c:v>February</c:v>
                </c:pt>
              </c:strCache>
            </c:strRef>
          </c:cat>
          <c:val>
            <c:numRef>
              <c:f>Sheet5!$E$56:$H$56</c:f>
              <c:numCache>
                <c:formatCode>General</c:formatCode>
                <c:ptCount val="4"/>
                <c:pt idx="0">
                  <c:v>8.02</c:v>
                </c:pt>
                <c:pt idx="1">
                  <c:v>7.96</c:v>
                </c:pt>
                <c:pt idx="2">
                  <c:v>8.24</c:v>
                </c:pt>
                <c:pt idx="3">
                  <c:v>7.92</c:v>
                </c:pt>
              </c:numCache>
            </c:numRef>
          </c:val>
          <c:extLst>
            <c:ext xmlns:c16="http://schemas.microsoft.com/office/drawing/2014/chart" uri="{C3380CC4-5D6E-409C-BE32-E72D297353CC}">
              <c16:uniqueId val="{00000004-F1C0-4D6C-8DE5-BCA96AC86AEF}"/>
            </c:ext>
          </c:extLst>
        </c:ser>
        <c:ser>
          <c:idx val="5"/>
          <c:order val="5"/>
          <c:tx>
            <c:strRef>
              <c:f>Sheet5!$D$57</c:f>
              <c:strCache>
                <c:ptCount val="1"/>
                <c:pt idx="0">
                  <c:v>NFZ-3</c:v>
                </c:pt>
              </c:strCache>
            </c:strRef>
          </c:tx>
          <c:invertIfNegative val="0"/>
          <c:cat>
            <c:strRef>
              <c:f>Sheet5!$E$51:$H$51</c:f>
              <c:strCache>
                <c:ptCount val="4"/>
                <c:pt idx="0">
                  <c:v>November</c:v>
                </c:pt>
                <c:pt idx="1">
                  <c:v>December</c:v>
                </c:pt>
                <c:pt idx="2">
                  <c:v>January</c:v>
                </c:pt>
                <c:pt idx="3">
                  <c:v>February</c:v>
                </c:pt>
              </c:strCache>
            </c:strRef>
          </c:cat>
          <c:val>
            <c:numRef>
              <c:f>Sheet5!$E$57:$H$57</c:f>
              <c:numCache>
                <c:formatCode>General</c:formatCode>
                <c:ptCount val="4"/>
                <c:pt idx="0">
                  <c:v>7.92</c:v>
                </c:pt>
                <c:pt idx="1">
                  <c:v>8.2200000000000024</c:v>
                </c:pt>
                <c:pt idx="2">
                  <c:v>8.3600000000000048</c:v>
                </c:pt>
                <c:pt idx="3">
                  <c:v>6.8199999999999985</c:v>
                </c:pt>
              </c:numCache>
            </c:numRef>
          </c:val>
          <c:extLst>
            <c:ext xmlns:c16="http://schemas.microsoft.com/office/drawing/2014/chart" uri="{C3380CC4-5D6E-409C-BE32-E72D297353CC}">
              <c16:uniqueId val="{00000005-F1C0-4D6C-8DE5-BCA96AC86AEF}"/>
            </c:ext>
          </c:extLst>
        </c:ser>
        <c:dLbls>
          <c:showLegendKey val="0"/>
          <c:showVal val="0"/>
          <c:showCatName val="0"/>
          <c:showSerName val="0"/>
          <c:showPercent val="0"/>
          <c:showBubbleSize val="0"/>
        </c:dLbls>
        <c:gapWidth val="150"/>
        <c:axId val="96514816"/>
        <c:axId val="96516352"/>
      </c:barChart>
      <c:catAx>
        <c:axId val="96514816"/>
        <c:scaling>
          <c:orientation val="minMax"/>
        </c:scaling>
        <c:delete val="0"/>
        <c:axPos val="b"/>
        <c:numFmt formatCode="General" sourceLinked="0"/>
        <c:majorTickMark val="out"/>
        <c:minorTickMark val="none"/>
        <c:tickLblPos val="nextTo"/>
        <c:crossAx val="96516352"/>
        <c:crosses val="autoZero"/>
        <c:auto val="1"/>
        <c:lblAlgn val="ctr"/>
        <c:lblOffset val="100"/>
        <c:noMultiLvlLbl val="0"/>
      </c:catAx>
      <c:valAx>
        <c:axId val="96516352"/>
        <c:scaling>
          <c:orientation val="minMax"/>
          <c:min val="6"/>
        </c:scaling>
        <c:delete val="0"/>
        <c:axPos val="l"/>
        <c:title>
          <c:tx>
            <c:rich>
              <a:bodyPr rot="-5400000" vert="horz"/>
              <a:lstStyle/>
              <a:p>
                <a:pPr>
                  <a:defRPr/>
                </a:pPr>
                <a:r>
                  <a:rPr lang="en-US"/>
                  <a:t>pH</a:t>
                </a:r>
              </a:p>
            </c:rich>
          </c:tx>
          <c:overlay val="0"/>
        </c:title>
        <c:numFmt formatCode="General" sourceLinked="1"/>
        <c:majorTickMark val="out"/>
        <c:minorTickMark val="none"/>
        <c:tickLblPos val="nextTo"/>
        <c:crossAx val="96514816"/>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Sheet5!$D$77</c:f>
              <c:strCache>
                <c:ptCount val="1"/>
                <c:pt idx="0">
                  <c:v>FZ-1</c:v>
                </c:pt>
              </c:strCache>
            </c:strRef>
          </c:tx>
          <c:invertIfNegative val="0"/>
          <c:cat>
            <c:strRef>
              <c:f>Sheet5!$E$76:$H$76</c:f>
              <c:strCache>
                <c:ptCount val="4"/>
                <c:pt idx="0">
                  <c:v>November</c:v>
                </c:pt>
                <c:pt idx="1">
                  <c:v>December</c:v>
                </c:pt>
                <c:pt idx="2">
                  <c:v>January</c:v>
                </c:pt>
                <c:pt idx="3">
                  <c:v>February</c:v>
                </c:pt>
              </c:strCache>
            </c:strRef>
          </c:cat>
          <c:val>
            <c:numRef>
              <c:f>Sheet5!$E$77:$H$77</c:f>
              <c:numCache>
                <c:formatCode>General</c:formatCode>
                <c:ptCount val="4"/>
                <c:pt idx="0">
                  <c:v>5.24</c:v>
                </c:pt>
                <c:pt idx="1">
                  <c:v>6.26</c:v>
                </c:pt>
                <c:pt idx="2">
                  <c:v>5.26</c:v>
                </c:pt>
                <c:pt idx="3">
                  <c:v>5.24</c:v>
                </c:pt>
              </c:numCache>
            </c:numRef>
          </c:val>
          <c:extLst>
            <c:ext xmlns:c16="http://schemas.microsoft.com/office/drawing/2014/chart" uri="{C3380CC4-5D6E-409C-BE32-E72D297353CC}">
              <c16:uniqueId val="{00000000-CC2D-4E21-952D-2686298244EE}"/>
            </c:ext>
          </c:extLst>
        </c:ser>
        <c:ser>
          <c:idx val="1"/>
          <c:order val="1"/>
          <c:tx>
            <c:strRef>
              <c:f>Sheet5!$D$78</c:f>
              <c:strCache>
                <c:ptCount val="1"/>
                <c:pt idx="0">
                  <c:v>FZ-2</c:v>
                </c:pt>
              </c:strCache>
            </c:strRef>
          </c:tx>
          <c:invertIfNegative val="0"/>
          <c:cat>
            <c:strRef>
              <c:f>Sheet5!$E$76:$H$76</c:f>
              <c:strCache>
                <c:ptCount val="4"/>
                <c:pt idx="0">
                  <c:v>November</c:v>
                </c:pt>
                <c:pt idx="1">
                  <c:v>December</c:v>
                </c:pt>
                <c:pt idx="2">
                  <c:v>January</c:v>
                </c:pt>
                <c:pt idx="3">
                  <c:v>February</c:v>
                </c:pt>
              </c:strCache>
            </c:strRef>
          </c:cat>
          <c:val>
            <c:numRef>
              <c:f>Sheet5!$E$78:$H$78</c:f>
              <c:numCache>
                <c:formatCode>General</c:formatCode>
                <c:ptCount val="4"/>
                <c:pt idx="0">
                  <c:v>5.72</c:v>
                </c:pt>
                <c:pt idx="1">
                  <c:v>5.34</c:v>
                </c:pt>
                <c:pt idx="2">
                  <c:v>6.38</c:v>
                </c:pt>
                <c:pt idx="3">
                  <c:v>4.8599999999999985</c:v>
                </c:pt>
              </c:numCache>
            </c:numRef>
          </c:val>
          <c:extLst>
            <c:ext xmlns:c16="http://schemas.microsoft.com/office/drawing/2014/chart" uri="{C3380CC4-5D6E-409C-BE32-E72D297353CC}">
              <c16:uniqueId val="{00000001-CC2D-4E21-952D-2686298244EE}"/>
            </c:ext>
          </c:extLst>
        </c:ser>
        <c:ser>
          <c:idx val="2"/>
          <c:order val="2"/>
          <c:tx>
            <c:strRef>
              <c:f>Sheet5!$D$79</c:f>
              <c:strCache>
                <c:ptCount val="1"/>
                <c:pt idx="0">
                  <c:v>FZ-3</c:v>
                </c:pt>
              </c:strCache>
            </c:strRef>
          </c:tx>
          <c:invertIfNegative val="0"/>
          <c:cat>
            <c:strRef>
              <c:f>Sheet5!$E$76:$H$76</c:f>
              <c:strCache>
                <c:ptCount val="4"/>
                <c:pt idx="0">
                  <c:v>November</c:v>
                </c:pt>
                <c:pt idx="1">
                  <c:v>December</c:v>
                </c:pt>
                <c:pt idx="2">
                  <c:v>January</c:v>
                </c:pt>
                <c:pt idx="3">
                  <c:v>February</c:v>
                </c:pt>
              </c:strCache>
            </c:strRef>
          </c:cat>
          <c:val>
            <c:numRef>
              <c:f>Sheet5!$E$79:$H$79</c:f>
              <c:numCache>
                <c:formatCode>General</c:formatCode>
                <c:ptCount val="4"/>
                <c:pt idx="0">
                  <c:v>5.54</c:v>
                </c:pt>
                <c:pt idx="1">
                  <c:v>6.96</c:v>
                </c:pt>
                <c:pt idx="2">
                  <c:v>5.46</c:v>
                </c:pt>
                <c:pt idx="3">
                  <c:v>5.72</c:v>
                </c:pt>
              </c:numCache>
            </c:numRef>
          </c:val>
          <c:extLst>
            <c:ext xmlns:c16="http://schemas.microsoft.com/office/drawing/2014/chart" uri="{C3380CC4-5D6E-409C-BE32-E72D297353CC}">
              <c16:uniqueId val="{00000002-CC2D-4E21-952D-2686298244EE}"/>
            </c:ext>
          </c:extLst>
        </c:ser>
        <c:ser>
          <c:idx val="3"/>
          <c:order val="3"/>
          <c:tx>
            <c:strRef>
              <c:f>Sheet5!$D$80</c:f>
              <c:strCache>
                <c:ptCount val="1"/>
                <c:pt idx="0">
                  <c:v>NFZ-1</c:v>
                </c:pt>
              </c:strCache>
            </c:strRef>
          </c:tx>
          <c:invertIfNegative val="0"/>
          <c:cat>
            <c:strRef>
              <c:f>Sheet5!$E$76:$H$76</c:f>
              <c:strCache>
                <c:ptCount val="4"/>
                <c:pt idx="0">
                  <c:v>November</c:v>
                </c:pt>
                <c:pt idx="1">
                  <c:v>December</c:v>
                </c:pt>
                <c:pt idx="2">
                  <c:v>January</c:v>
                </c:pt>
                <c:pt idx="3">
                  <c:v>February</c:v>
                </c:pt>
              </c:strCache>
            </c:strRef>
          </c:cat>
          <c:val>
            <c:numRef>
              <c:f>Sheet5!$E$80:$H$80</c:f>
              <c:numCache>
                <c:formatCode>General</c:formatCode>
                <c:ptCount val="4"/>
                <c:pt idx="0">
                  <c:v>4.83</c:v>
                </c:pt>
                <c:pt idx="1">
                  <c:v>5.42</c:v>
                </c:pt>
                <c:pt idx="2">
                  <c:v>5.89</c:v>
                </c:pt>
                <c:pt idx="3">
                  <c:v>5.0199999999999996</c:v>
                </c:pt>
              </c:numCache>
            </c:numRef>
          </c:val>
          <c:extLst>
            <c:ext xmlns:c16="http://schemas.microsoft.com/office/drawing/2014/chart" uri="{C3380CC4-5D6E-409C-BE32-E72D297353CC}">
              <c16:uniqueId val="{00000003-CC2D-4E21-952D-2686298244EE}"/>
            </c:ext>
          </c:extLst>
        </c:ser>
        <c:ser>
          <c:idx val="4"/>
          <c:order val="4"/>
          <c:tx>
            <c:strRef>
              <c:f>Sheet5!$D$81</c:f>
              <c:strCache>
                <c:ptCount val="1"/>
                <c:pt idx="0">
                  <c:v>NFZ-2</c:v>
                </c:pt>
              </c:strCache>
            </c:strRef>
          </c:tx>
          <c:invertIfNegative val="0"/>
          <c:cat>
            <c:strRef>
              <c:f>Sheet5!$E$76:$H$76</c:f>
              <c:strCache>
                <c:ptCount val="4"/>
                <c:pt idx="0">
                  <c:v>November</c:v>
                </c:pt>
                <c:pt idx="1">
                  <c:v>December</c:v>
                </c:pt>
                <c:pt idx="2">
                  <c:v>January</c:v>
                </c:pt>
                <c:pt idx="3">
                  <c:v>February</c:v>
                </c:pt>
              </c:strCache>
            </c:strRef>
          </c:cat>
          <c:val>
            <c:numRef>
              <c:f>Sheet5!$E$81:$H$81</c:f>
              <c:numCache>
                <c:formatCode>General</c:formatCode>
                <c:ptCount val="4"/>
                <c:pt idx="0">
                  <c:v>4.67</c:v>
                </c:pt>
                <c:pt idx="1">
                  <c:v>5.79</c:v>
                </c:pt>
                <c:pt idx="2">
                  <c:v>5.96</c:v>
                </c:pt>
                <c:pt idx="3">
                  <c:v>5.6599999999999975</c:v>
                </c:pt>
              </c:numCache>
            </c:numRef>
          </c:val>
          <c:extLst>
            <c:ext xmlns:c16="http://schemas.microsoft.com/office/drawing/2014/chart" uri="{C3380CC4-5D6E-409C-BE32-E72D297353CC}">
              <c16:uniqueId val="{00000004-CC2D-4E21-952D-2686298244EE}"/>
            </c:ext>
          </c:extLst>
        </c:ser>
        <c:ser>
          <c:idx val="5"/>
          <c:order val="5"/>
          <c:tx>
            <c:strRef>
              <c:f>Sheet5!$D$82</c:f>
              <c:strCache>
                <c:ptCount val="1"/>
                <c:pt idx="0">
                  <c:v>NFZ-3</c:v>
                </c:pt>
              </c:strCache>
            </c:strRef>
          </c:tx>
          <c:invertIfNegative val="0"/>
          <c:cat>
            <c:strRef>
              <c:f>Sheet5!$E$76:$H$76</c:f>
              <c:strCache>
                <c:ptCount val="4"/>
                <c:pt idx="0">
                  <c:v>November</c:v>
                </c:pt>
                <c:pt idx="1">
                  <c:v>December</c:v>
                </c:pt>
                <c:pt idx="2">
                  <c:v>January</c:v>
                </c:pt>
                <c:pt idx="3">
                  <c:v>February</c:v>
                </c:pt>
              </c:strCache>
            </c:strRef>
          </c:cat>
          <c:val>
            <c:numRef>
              <c:f>Sheet5!$E$82:$H$82</c:f>
              <c:numCache>
                <c:formatCode>General</c:formatCode>
                <c:ptCount val="4"/>
                <c:pt idx="0">
                  <c:v>4.28</c:v>
                </c:pt>
                <c:pt idx="1">
                  <c:v>6.1199999999999966</c:v>
                </c:pt>
                <c:pt idx="2">
                  <c:v>5.28</c:v>
                </c:pt>
                <c:pt idx="3">
                  <c:v>4.96</c:v>
                </c:pt>
              </c:numCache>
            </c:numRef>
          </c:val>
          <c:extLst>
            <c:ext xmlns:c16="http://schemas.microsoft.com/office/drawing/2014/chart" uri="{C3380CC4-5D6E-409C-BE32-E72D297353CC}">
              <c16:uniqueId val="{00000005-CC2D-4E21-952D-2686298244EE}"/>
            </c:ext>
          </c:extLst>
        </c:ser>
        <c:dLbls>
          <c:showLegendKey val="0"/>
          <c:showVal val="0"/>
          <c:showCatName val="0"/>
          <c:showSerName val="0"/>
          <c:showPercent val="0"/>
          <c:showBubbleSize val="0"/>
        </c:dLbls>
        <c:gapWidth val="150"/>
        <c:axId val="96958720"/>
        <c:axId val="108855296"/>
      </c:barChart>
      <c:catAx>
        <c:axId val="96958720"/>
        <c:scaling>
          <c:orientation val="minMax"/>
        </c:scaling>
        <c:delete val="0"/>
        <c:axPos val="b"/>
        <c:numFmt formatCode="General" sourceLinked="0"/>
        <c:majorTickMark val="out"/>
        <c:minorTickMark val="none"/>
        <c:tickLblPos val="nextTo"/>
        <c:crossAx val="108855296"/>
        <c:crosses val="autoZero"/>
        <c:auto val="1"/>
        <c:lblAlgn val="ctr"/>
        <c:lblOffset val="100"/>
        <c:noMultiLvlLbl val="0"/>
      </c:catAx>
      <c:valAx>
        <c:axId val="108855296"/>
        <c:scaling>
          <c:orientation val="minMax"/>
          <c:max val="7.5"/>
          <c:min val="4"/>
        </c:scaling>
        <c:delete val="0"/>
        <c:axPos val="l"/>
        <c:majorGridlines>
          <c:spPr>
            <a:ln>
              <a:noFill/>
            </a:ln>
          </c:spPr>
        </c:majorGridlines>
        <c:title>
          <c:tx>
            <c:rich>
              <a:bodyPr rot="-5400000" vert="horz"/>
              <a:lstStyle/>
              <a:p>
                <a:pPr>
                  <a:defRPr/>
                </a:pPr>
                <a:r>
                  <a:rPr lang="en-US"/>
                  <a:t>Dissolved Oxygen (mg/l)</a:t>
                </a:r>
              </a:p>
            </c:rich>
          </c:tx>
          <c:layout>
            <c:manualLayout>
              <c:xMode val="edge"/>
              <c:yMode val="edge"/>
              <c:x val="3.1361399427344387E-2"/>
              <c:y val="0.10422563220553092"/>
            </c:manualLayout>
          </c:layout>
          <c:overlay val="0"/>
        </c:title>
        <c:numFmt formatCode="General" sourceLinked="1"/>
        <c:majorTickMark val="out"/>
        <c:minorTickMark val="none"/>
        <c:tickLblPos val="nextTo"/>
        <c:crossAx val="96958720"/>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Sheet6!$D$6</c:f>
              <c:strCache>
                <c:ptCount val="1"/>
                <c:pt idx="0">
                  <c:v>FZ-1</c:v>
                </c:pt>
              </c:strCache>
            </c:strRef>
          </c:tx>
          <c:invertIfNegative val="0"/>
          <c:cat>
            <c:strRef>
              <c:f>Sheet6!$E$5:$H$5</c:f>
              <c:strCache>
                <c:ptCount val="4"/>
                <c:pt idx="0">
                  <c:v>November</c:v>
                </c:pt>
                <c:pt idx="1">
                  <c:v>December</c:v>
                </c:pt>
                <c:pt idx="2">
                  <c:v>January</c:v>
                </c:pt>
                <c:pt idx="3">
                  <c:v>February</c:v>
                </c:pt>
              </c:strCache>
            </c:strRef>
          </c:cat>
          <c:val>
            <c:numRef>
              <c:f>Sheet6!$E$6:$H$6</c:f>
              <c:numCache>
                <c:formatCode>General</c:formatCode>
                <c:ptCount val="4"/>
                <c:pt idx="0">
                  <c:v>0.19</c:v>
                </c:pt>
                <c:pt idx="1">
                  <c:v>0.37000000000000038</c:v>
                </c:pt>
                <c:pt idx="2">
                  <c:v>9.0000000000000024E-2</c:v>
                </c:pt>
                <c:pt idx="3">
                  <c:v>0.46</c:v>
                </c:pt>
              </c:numCache>
            </c:numRef>
          </c:val>
          <c:extLst>
            <c:ext xmlns:c16="http://schemas.microsoft.com/office/drawing/2014/chart" uri="{C3380CC4-5D6E-409C-BE32-E72D297353CC}">
              <c16:uniqueId val="{00000000-0540-4539-B664-536E3C68A454}"/>
            </c:ext>
          </c:extLst>
        </c:ser>
        <c:ser>
          <c:idx val="1"/>
          <c:order val="1"/>
          <c:tx>
            <c:strRef>
              <c:f>Sheet6!$D$7</c:f>
              <c:strCache>
                <c:ptCount val="1"/>
                <c:pt idx="0">
                  <c:v>FZ-2</c:v>
                </c:pt>
              </c:strCache>
            </c:strRef>
          </c:tx>
          <c:invertIfNegative val="0"/>
          <c:cat>
            <c:strRef>
              <c:f>Sheet6!$E$5:$H$5</c:f>
              <c:strCache>
                <c:ptCount val="4"/>
                <c:pt idx="0">
                  <c:v>November</c:v>
                </c:pt>
                <c:pt idx="1">
                  <c:v>December</c:v>
                </c:pt>
                <c:pt idx="2">
                  <c:v>January</c:v>
                </c:pt>
                <c:pt idx="3">
                  <c:v>February</c:v>
                </c:pt>
              </c:strCache>
            </c:strRef>
          </c:cat>
          <c:val>
            <c:numRef>
              <c:f>Sheet6!$E$7:$H$7</c:f>
              <c:numCache>
                <c:formatCode>General</c:formatCode>
                <c:ptCount val="4"/>
                <c:pt idx="0">
                  <c:v>0.89</c:v>
                </c:pt>
                <c:pt idx="1">
                  <c:v>0.42000000000000032</c:v>
                </c:pt>
                <c:pt idx="2">
                  <c:v>0.36000000000000032</c:v>
                </c:pt>
                <c:pt idx="3">
                  <c:v>0.99</c:v>
                </c:pt>
              </c:numCache>
            </c:numRef>
          </c:val>
          <c:extLst>
            <c:ext xmlns:c16="http://schemas.microsoft.com/office/drawing/2014/chart" uri="{C3380CC4-5D6E-409C-BE32-E72D297353CC}">
              <c16:uniqueId val="{00000001-0540-4539-B664-536E3C68A454}"/>
            </c:ext>
          </c:extLst>
        </c:ser>
        <c:ser>
          <c:idx val="2"/>
          <c:order val="2"/>
          <c:tx>
            <c:strRef>
              <c:f>Sheet6!$D$8</c:f>
              <c:strCache>
                <c:ptCount val="1"/>
                <c:pt idx="0">
                  <c:v>FZ-3</c:v>
                </c:pt>
              </c:strCache>
            </c:strRef>
          </c:tx>
          <c:invertIfNegative val="0"/>
          <c:cat>
            <c:strRef>
              <c:f>Sheet6!$E$5:$H$5</c:f>
              <c:strCache>
                <c:ptCount val="4"/>
                <c:pt idx="0">
                  <c:v>November</c:v>
                </c:pt>
                <c:pt idx="1">
                  <c:v>December</c:v>
                </c:pt>
                <c:pt idx="2">
                  <c:v>January</c:v>
                </c:pt>
                <c:pt idx="3">
                  <c:v>February</c:v>
                </c:pt>
              </c:strCache>
            </c:strRef>
          </c:cat>
          <c:val>
            <c:numRef>
              <c:f>Sheet6!$E$8:$H$8</c:f>
              <c:numCache>
                <c:formatCode>General</c:formatCode>
                <c:ptCount val="4"/>
                <c:pt idx="0">
                  <c:v>0.32000000000000073</c:v>
                </c:pt>
                <c:pt idx="1">
                  <c:v>0.85000000000000064</c:v>
                </c:pt>
                <c:pt idx="2">
                  <c:v>0.95000000000000062</c:v>
                </c:pt>
                <c:pt idx="3">
                  <c:v>0.81</c:v>
                </c:pt>
              </c:numCache>
            </c:numRef>
          </c:val>
          <c:extLst>
            <c:ext xmlns:c16="http://schemas.microsoft.com/office/drawing/2014/chart" uri="{C3380CC4-5D6E-409C-BE32-E72D297353CC}">
              <c16:uniqueId val="{00000002-0540-4539-B664-536E3C68A454}"/>
            </c:ext>
          </c:extLst>
        </c:ser>
        <c:ser>
          <c:idx val="3"/>
          <c:order val="3"/>
          <c:tx>
            <c:strRef>
              <c:f>Sheet6!$D$9</c:f>
              <c:strCache>
                <c:ptCount val="1"/>
                <c:pt idx="0">
                  <c:v>NFZ-1</c:v>
                </c:pt>
              </c:strCache>
            </c:strRef>
          </c:tx>
          <c:invertIfNegative val="0"/>
          <c:cat>
            <c:strRef>
              <c:f>Sheet6!$E$5:$H$5</c:f>
              <c:strCache>
                <c:ptCount val="4"/>
                <c:pt idx="0">
                  <c:v>November</c:v>
                </c:pt>
                <c:pt idx="1">
                  <c:v>December</c:v>
                </c:pt>
                <c:pt idx="2">
                  <c:v>January</c:v>
                </c:pt>
                <c:pt idx="3">
                  <c:v>February</c:v>
                </c:pt>
              </c:strCache>
            </c:strRef>
          </c:cat>
          <c:val>
            <c:numRef>
              <c:f>Sheet6!$E$9:$H$9</c:f>
              <c:numCache>
                <c:formatCode>General</c:formatCode>
                <c:ptCount val="4"/>
                <c:pt idx="0">
                  <c:v>0.99</c:v>
                </c:pt>
                <c:pt idx="1">
                  <c:v>0.56000000000000005</c:v>
                </c:pt>
                <c:pt idx="2">
                  <c:v>0.94000000000000061</c:v>
                </c:pt>
                <c:pt idx="3">
                  <c:v>0.88</c:v>
                </c:pt>
              </c:numCache>
            </c:numRef>
          </c:val>
          <c:extLst>
            <c:ext xmlns:c16="http://schemas.microsoft.com/office/drawing/2014/chart" uri="{C3380CC4-5D6E-409C-BE32-E72D297353CC}">
              <c16:uniqueId val="{00000003-0540-4539-B664-536E3C68A454}"/>
            </c:ext>
          </c:extLst>
        </c:ser>
        <c:ser>
          <c:idx val="4"/>
          <c:order val="4"/>
          <c:tx>
            <c:strRef>
              <c:f>Sheet6!$D$10</c:f>
              <c:strCache>
                <c:ptCount val="1"/>
                <c:pt idx="0">
                  <c:v>NFZ-2</c:v>
                </c:pt>
              </c:strCache>
            </c:strRef>
          </c:tx>
          <c:invertIfNegative val="0"/>
          <c:cat>
            <c:strRef>
              <c:f>Sheet6!$E$5:$H$5</c:f>
              <c:strCache>
                <c:ptCount val="4"/>
                <c:pt idx="0">
                  <c:v>November</c:v>
                </c:pt>
                <c:pt idx="1">
                  <c:v>December</c:v>
                </c:pt>
                <c:pt idx="2">
                  <c:v>January</c:v>
                </c:pt>
                <c:pt idx="3">
                  <c:v>February</c:v>
                </c:pt>
              </c:strCache>
            </c:strRef>
          </c:cat>
          <c:val>
            <c:numRef>
              <c:f>Sheet6!$E$10:$H$10</c:f>
              <c:numCache>
                <c:formatCode>General</c:formatCode>
                <c:ptCount val="4"/>
                <c:pt idx="0">
                  <c:v>0.87000000000000133</c:v>
                </c:pt>
                <c:pt idx="1">
                  <c:v>0.72000000000000064</c:v>
                </c:pt>
                <c:pt idx="2">
                  <c:v>0.98</c:v>
                </c:pt>
                <c:pt idx="3">
                  <c:v>0.94000000000000061</c:v>
                </c:pt>
              </c:numCache>
            </c:numRef>
          </c:val>
          <c:extLst>
            <c:ext xmlns:c16="http://schemas.microsoft.com/office/drawing/2014/chart" uri="{C3380CC4-5D6E-409C-BE32-E72D297353CC}">
              <c16:uniqueId val="{00000004-0540-4539-B664-536E3C68A454}"/>
            </c:ext>
          </c:extLst>
        </c:ser>
        <c:ser>
          <c:idx val="5"/>
          <c:order val="5"/>
          <c:tx>
            <c:strRef>
              <c:f>Sheet6!$D$11</c:f>
              <c:strCache>
                <c:ptCount val="1"/>
                <c:pt idx="0">
                  <c:v>NFZ-3</c:v>
                </c:pt>
              </c:strCache>
            </c:strRef>
          </c:tx>
          <c:invertIfNegative val="0"/>
          <c:cat>
            <c:strRef>
              <c:f>Sheet6!$E$5:$H$5</c:f>
              <c:strCache>
                <c:ptCount val="4"/>
                <c:pt idx="0">
                  <c:v>November</c:v>
                </c:pt>
                <c:pt idx="1">
                  <c:v>December</c:v>
                </c:pt>
                <c:pt idx="2">
                  <c:v>January</c:v>
                </c:pt>
                <c:pt idx="3">
                  <c:v>February</c:v>
                </c:pt>
              </c:strCache>
            </c:strRef>
          </c:cat>
          <c:val>
            <c:numRef>
              <c:f>Sheet6!$E$11:$H$11</c:f>
              <c:numCache>
                <c:formatCode>General</c:formatCode>
                <c:ptCount val="4"/>
                <c:pt idx="0">
                  <c:v>0.65000000000000169</c:v>
                </c:pt>
                <c:pt idx="1">
                  <c:v>0.97000000000000064</c:v>
                </c:pt>
                <c:pt idx="2">
                  <c:v>0.83000000000000063</c:v>
                </c:pt>
                <c:pt idx="3">
                  <c:v>0.97000000000000064</c:v>
                </c:pt>
              </c:numCache>
            </c:numRef>
          </c:val>
          <c:extLst>
            <c:ext xmlns:c16="http://schemas.microsoft.com/office/drawing/2014/chart" uri="{C3380CC4-5D6E-409C-BE32-E72D297353CC}">
              <c16:uniqueId val="{00000005-0540-4539-B664-536E3C68A454}"/>
            </c:ext>
          </c:extLst>
        </c:ser>
        <c:dLbls>
          <c:showLegendKey val="0"/>
          <c:showVal val="0"/>
          <c:showCatName val="0"/>
          <c:showSerName val="0"/>
          <c:showPercent val="0"/>
          <c:showBubbleSize val="0"/>
        </c:dLbls>
        <c:gapWidth val="150"/>
        <c:axId val="116214016"/>
        <c:axId val="129413504"/>
      </c:barChart>
      <c:catAx>
        <c:axId val="116214016"/>
        <c:scaling>
          <c:orientation val="minMax"/>
        </c:scaling>
        <c:delete val="0"/>
        <c:axPos val="b"/>
        <c:numFmt formatCode="General" sourceLinked="0"/>
        <c:majorTickMark val="out"/>
        <c:minorTickMark val="none"/>
        <c:tickLblPos val="nextTo"/>
        <c:crossAx val="129413504"/>
        <c:crosses val="autoZero"/>
        <c:auto val="1"/>
        <c:lblAlgn val="ctr"/>
        <c:lblOffset val="100"/>
        <c:noMultiLvlLbl val="0"/>
      </c:catAx>
      <c:valAx>
        <c:axId val="129413504"/>
        <c:scaling>
          <c:orientation val="minMax"/>
        </c:scaling>
        <c:delete val="0"/>
        <c:axPos val="l"/>
        <c:title>
          <c:tx>
            <c:rich>
              <a:bodyPr rot="-5400000" vert="horz"/>
              <a:lstStyle/>
              <a:p>
                <a:pPr>
                  <a:defRPr/>
                </a:pPr>
                <a:r>
                  <a:rPr lang="en-US"/>
                  <a:t>Ammonia (mg/l)</a:t>
                </a:r>
              </a:p>
            </c:rich>
          </c:tx>
          <c:layout>
            <c:manualLayout>
              <c:xMode val="edge"/>
              <c:yMode val="edge"/>
              <c:x val="2.0704331280893482E-2"/>
              <c:y val="0.304018134096875"/>
            </c:manualLayout>
          </c:layout>
          <c:overlay val="0"/>
        </c:title>
        <c:numFmt formatCode="General" sourceLinked="1"/>
        <c:majorTickMark val="out"/>
        <c:minorTickMark val="none"/>
        <c:tickLblPos val="nextTo"/>
        <c:crossAx val="116214016"/>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809653573418086"/>
          <c:y val="8.4154961263640166E-2"/>
          <c:w val="0.7044219950517655"/>
          <c:h val="0.81097157179996926"/>
        </c:manualLayout>
      </c:layout>
      <c:barChart>
        <c:barDir val="col"/>
        <c:grouping val="clustered"/>
        <c:varyColors val="0"/>
        <c:ser>
          <c:idx val="0"/>
          <c:order val="0"/>
          <c:tx>
            <c:strRef>
              <c:f>Sheet6!$D$28</c:f>
              <c:strCache>
                <c:ptCount val="1"/>
                <c:pt idx="0">
                  <c:v>FZ-1</c:v>
                </c:pt>
              </c:strCache>
            </c:strRef>
          </c:tx>
          <c:invertIfNegative val="0"/>
          <c:cat>
            <c:strRef>
              <c:f>Sheet6!$E$27:$H$27</c:f>
              <c:strCache>
                <c:ptCount val="4"/>
                <c:pt idx="0">
                  <c:v>November</c:v>
                </c:pt>
                <c:pt idx="1">
                  <c:v>December</c:v>
                </c:pt>
                <c:pt idx="2">
                  <c:v>January</c:v>
                </c:pt>
                <c:pt idx="3">
                  <c:v>February</c:v>
                </c:pt>
              </c:strCache>
            </c:strRef>
          </c:cat>
          <c:val>
            <c:numRef>
              <c:f>Sheet6!$E$28:$H$28</c:f>
              <c:numCache>
                <c:formatCode>General</c:formatCode>
                <c:ptCount val="4"/>
                <c:pt idx="0">
                  <c:v>1.9200000000000021</c:v>
                </c:pt>
                <c:pt idx="1">
                  <c:v>2.12</c:v>
                </c:pt>
                <c:pt idx="2">
                  <c:v>6.0000000000000032E-2</c:v>
                </c:pt>
                <c:pt idx="3">
                  <c:v>1.24</c:v>
                </c:pt>
              </c:numCache>
            </c:numRef>
          </c:val>
          <c:extLst>
            <c:ext xmlns:c16="http://schemas.microsoft.com/office/drawing/2014/chart" uri="{C3380CC4-5D6E-409C-BE32-E72D297353CC}">
              <c16:uniqueId val="{00000000-1B3B-4FC2-8436-C3CDF3C80A49}"/>
            </c:ext>
          </c:extLst>
        </c:ser>
        <c:ser>
          <c:idx val="1"/>
          <c:order val="1"/>
          <c:tx>
            <c:strRef>
              <c:f>Sheet6!$D$29</c:f>
              <c:strCache>
                <c:ptCount val="1"/>
                <c:pt idx="0">
                  <c:v>FZ-2</c:v>
                </c:pt>
              </c:strCache>
            </c:strRef>
          </c:tx>
          <c:invertIfNegative val="0"/>
          <c:cat>
            <c:strRef>
              <c:f>Sheet6!$E$27:$H$27</c:f>
              <c:strCache>
                <c:ptCount val="4"/>
                <c:pt idx="0">
                  <c:v>November</c:v>
                </c:pt>
                <c:pt idx="1">
                  <c:v>December</c:v>
                </c:pt>
                <c:pt idx="2">
                  <c:v>January</c:v>
                </c:pt>
                <c:pt idx="3">
                  <c:v>February</c:v>
                </c:pt>
              </c:strCache>
            </c:strRef>
          </c:cat>
          <c:val>
            <c:numRef>
              <c:f>Sheet6!$E$29:$H$29</c:f>
              <c:numCache>
                <c:formatCode>General</c:formatCode>
                <c:ptCount val="4"/>
                <c:pt idx="0">
                  <c:v>1.02</c:v>
                </c:pt>
                <c:pt idx="1">
                  <c:v>2.52</c:v>
                </c:pt>
                <c:pt idx="2">
                  <c:v>0.96000000000000063</c:v>
                </c:pt>
                <c:pt idx="3">
                  <c:v>1.6300000000000001</c:v>
                </c:pt>
              </c:numCache>
            </c:numRef>
          </c:val>
          <c:extLst>
            <c:ext xmlns:c16="http://schemas.microsoft.com/office/drawing/2014/chart" uri="{C3380CC4-5D6E-409C-BE32-E72D297353CC}">
              <c16:uniqueId val="{00000001-1B3B-4FC2-8436-C3CDF3C80A49}"/>
            </c:ext>
          </c:extLst>
        </c:ser>
        <c:ser>
          <c:idx val="2"/>
          <c:order val="2"/>
          <c:tx>
            <c:strRef>
              <c:f>Sheet6!$D$30</c:f>
              <c:strCache>
                <c:ptCount val="1"/>
                <c:pt idx="0">
                  <c:v>FZ-3</c:v>
                </c:pt>
              </c:strCache>
            </c:strRef>
          </c:tx>
          <c:invertIfNegative val="0"/>
          <c:cat>
            <c:strRef>
              <c:f>Sheet6!$E$27:$H$27</c:f>
              <c:strCache>
                <c:ptCount val="4"/>
                <c:pt idx="0">
                  <c:v>November</c:v>
                </c:pt>
                <c:pt idx="1">
                  <c:v>December</c:v>
                </c:pt>
                <c:pt idx="2">
                  <c:v>January</c:v>
                </c:pt>
                <c:pt idx="3">
                  <c:v>February</c:v>
                </c:pt>
              </c:strCache>
            </c:strRef>
          </c:cat>
          <c:val>
            <c:numRef>
              <c:f>Sheet6!$E$30:$H$30</c:f>
              <c:numCache>
                <c:formatCode>General</c:formatCode>
                <c:ptCount val="4"/>
                <c:pt idx="0">
                  <c:v>1.72</c:v>
                </c:pt>
                <c:pt idx="1">
                  <c:v>2.82</c:v>
                </c:pt>
                <c:pt idx="2">
                  <c:v>1.07</c:v>
                </c:pt>
                <c:pt idx="3">
                  <c:v>1.36</c:v>
                </c:pt>
              </c:numCache>
            </c:numRef>
          </c:val>
          <c:extLst>
            <c:ext xmlns:c16="http://schemas.microsoft.com/office/drawing/2014/chart" uri="{C3380CC4-5D6E-409C-BE32-E72D297353CC}">
              <c16:uniqueId val="{00000002-1B3B-4FC2-8436-C3CDF3C80A49}"/>
            </c:ext>
          </c:extLst>
        </c:ser>
        <c:ser>
          <c:idx val="3"/>
          <c:order val="3"/>
          <c:tx>
            <c:strRef>
              <c:f>Sheet6!$D$31</c:f>
              <c:strCache>
                <c:ptCount val="1"/>
                <c:pt idx="0">
                  <c:v>NFZ-1</c:v>
                </c:pt>
              </c:strCache>
            </c:strRef>
          </c:tx>
          <c:invertIfNegative val="0"/>
          <c:cat>
            <c:strRef>
              <c:f>Sheet6!$E$27:$H$27</c:f>
              <c:strCache>
                <c:ptCount val="4"/>
                <c:pt idx="0">
                  <c:v>November</c:v>
                </c:pt>
                <c:pt idx="1">
                  <c:v>December</c:v>
                </c:pt>
                <c:pt idx="2">
                  <c:v>January</c:v>
                </c:pt>
                <c:pt idx="3">
                  <c:v>February</c:v>
                </c:pt>
              </c:strCache>
            </c:strRef>
          </c:cat>
          <c:val>
            <c:numRef>
              <c:f>Sheet6!$E$31:$H$31</c:f>
              <c:numCache>
                <c:formatCode>General</c:formatCode>
                <c:ptCount val="4"/>
                <c:pt idx="0">
                  <c:v>2.0499999999999998</c:v>
                </c:pt>
                <c:pt idx="1">
                  <c:v>2.62</c:v>
                </c:pt>
                <c:pt idx="2">
                  <c:v>1.22</c:v>
                </c:pt>
                <c:pt idx="3">
                  <c:v>1.56</c:v>
                </c:pt>
              </c:numCache>
            </c:numRef>
          </c:val>
          <c:extLst>
            <c:ext xmlns:c16="http://schemas.microsoft.com/office/drawing/2014/chart" uri="{C3380CC4-5D6E-409C-BE32-E72D297353CC}">
              <c16:uniqueId val="{00000003-1B3B-4FC2-8436-C3CDF3C80A49}"/>
            </c:ext>
          </c:extLst>
        </c:ser>
        <c:ser>
          <c:idx val="4"/>
          <c:order val="4"/>
          <c:tx>
            <c:strRef>
              <c:f>Sheet6!$D$32</c:f>
              <c:strCache>
                <c:ptCount val="1"/>
                <c:pt idx="0">
                  <c:v>NFZ-2</c:v>
                </c:pt>
              </c:strCache>
            </c:strRef>
          </c:tx>
          <c:invertIfNegative val="0"/>
          <c:cat>
            <c:strRef>
              <c:f>Sheet6!$E$27:$H$27</c:f>
              <c:strCache>
                <c:ptCount val="4"/>
                <c:pt idx="0">
                  <c:v>November</c:v>
                </c:pt>
                <c:pt idx="1">
                  <c:v>December</c:v>
                </c:pt>
                <c:pt idx="2">
                  <c:v>January</c:v>
                </c:pt>
                <c:pt idx="3">
                  <c:v>February</c:v>
                </c:pt>
              </c:strCache>
            </c:strRef>
          </c:cat>
          <c:val>
            <c:numRef>
              <c:f>Sheet6!$E$32:$H$32</c:f>
              <c:numCache>
                <c:formatCode>General</c:formatCode>
                <c:ptCount val="4"/>
                <c:pt idx="0">
                  <c:v>1.9800000000000033</c:v>
                </c:pt>
                <c:pt idx="1">
                  <c:v>3.15</c:v>
                </c:pt>
                <c:pt idx="2">
                  <c:v>1.23</c:v>
                </c:pt>
                <c:pt idx="3">
                  <c:v>1.76</c:v>
                </c:pt>
              </c:numCache>
            </c:numRef>
          </c:val>
          <c:extLst>
            <c:ext xmlns:c16="http://schemas.microsoft.com/office/drawing/2014/chart" uri="{C3380CC4-5D6E-409C-BE32-E72D297353CC}">
              <c16:uniqueId val="{00000004-1B3B-4FC2-8436-C3CDF3C80A49}"/>
            </c:ext>
          </c:extLst>
        </c:ser>
        <c:ser>
          <c:idx val="5"/>
          <c:order val="5"/>
          <c:tx>
            <c:strRef>
              <c:f>Sheet6!$D$33</c:f>
              <c:strCache>
                <c:ptCount val="1"/>
                <c:pt idx="0">
                  <c:v>NFZ-3</c:v>
                </c:pt>
              </c:strCache>
            </c:strRef>
          </c:tx>
          <c:invertIfNegative val="0"/>
          <c:cat>
            <c:strRef>
              <c:f>Sheet6!$E$27:$H$27</c:f>
              <c:strCache>
                <c:ptCount val="4"/>
                <c:pt idx="0">
                  <c:v>November</c:v>
                </c:pt>
                <c:pt idx="1">
                  <c:v>December</c:v>
                </c:pt>
                <c:pt idx="2">
                  <c:v>January</c:v>
                </c:pt>
                <c:pt idx="3">
                  <c:v>February</c:v>
                </c:pt>
              </c:strCache>
            </c:strRef>
          </c:cat>
          <c:val>
            <c:numRef>
              <c:f>Sheet6!$E$33:$H$33</c:f>
              <c:numCache>
                <c:formatCode>General</c:formatCode>
                <c:ptCount val="4"/>
                <c:pt idx="0">
                  <c:v>2.12</c:v>
                </c:pt>
                <c:pt idx="1">
                  <c:v>2.96</c:v>
                </c:pt>
                <c:pt idx="2">
                  <c:v>1.03</c:v>
                </c:pt>
                <c:pt idx="3">
                  <c:v>1.680000000000003</c:v>
                </c:pt>
              </c:numCache>
            </c:numRef>
          </c:val>
          <c:extLst>
            <c:ext xmlns:c16="http://schemas.microsoft.com/office/drawing/2014/chart" uri="{C3380CC4-5D6E-409C-BE32-E72D297353CC}">
              <c16:uniqueId val="{00000005-1B3B-4FC2-8436-C3CDF3C80A49}"/>
            </c:ext>
          </c:extLst>
        </c:ser>
        <c:dLbls>
          <c:showLegendKey val="0"/>
          <c:showVal val="0"/>
          <c:showCatName val="0"/>
          <c:showSerName val="0"/>
          <c:showPercent val="0"/>
          <c:showBubbleSize val="0"/>
        </c:dLbls>
        <c:gapWidth val="150"/>
        <c:axId val="83777408"/>
        <c:axId val="83778944"/>
      </c:barChart>
      <c:catAx>
        <c:axId val="83777408"/>
        <c:scaling>
          <c:orientation val="minMax"/>
        </c:scaling>
        <c:delete val="0"/>
        <c:axPos val="b"/>
        <c:numFmt formatCode="General" sourceLinked="0"/>
        <c:majorTickMark val="out"/>
        <c:minorTickMark val="none"/>
        <c:tickLblPos val="nextTo"/>
        <c:crossAx val="83778944"/>
        <c:crosses val="autoZero"/>
        <c:auto val="1"/>
        <c:lblAlgn val="ctr"/>
        <c:lblOffset val="100"/>
        <c:noMultiLvlLbl val="0"/>
      </c:catAx>
      <c:valAx>
        <c:axId val="83778944"/>
        <c:scaling>
          <c:orientation val="minMax"/>
          <c:min val="0.5"/>
        </c:scaling>
        <c:delete val="0"/>
        <c:axPos val="l"/>
        <c:title>
          <c:tx>
            <c:rich>
              <a:bodyPr rot="-5400000" vert="horz"/>
              <a:lstStyle/>
              <a:p>
                <a:pPr>
                  <a:defRPr/>
                </a:pPr>
                <a:r>
                  <a:rPr lang="en-US"/>
                  <a:t>Nitrate (mg/l) </a:t>
                </a:r>
              </a:p>
            </c:rich>
          </c:tx>
          <c:layout>
            <c:manualLayout>
              <c:xMode val="edge"/>
              <c:yMode val="edge"/>
              <c:x val="4.47973335719399E-2"/>
              <c:y val="0.30769766382507996"/>
            </c:manualLayout>
          </c:layout>
          <c:overlay val="0"/>
        </c:title>
        <c:numFmt formatCode="General" sourceLinked="1"/>
        <c:majorTickMark val="out"/>
        <c:minorTickMark val="none"/>
        <c:tickLblPos val="nextTo"/>
        <c:crossAx val="83777408"/>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69657502642041"/>
          <c:y val="9.2087757088339134E-2"/>
          <c:w val="0.73713806568129869"/>
          <c:h val="0.82399933712332474"/>
        </c:manualLayout>
      </c:layout>
      <c:barChart>
        <c:barDir val="col"/>
        <c:grouping val="clustered"/>
        <c:varyColors val="0"/>
        <c:ser>
          <c:idx val="0"/>
          <c:order val="0"/>
          <c:tx>
            <c:strRef>
              <c:f>Sheet6!$E$55</c:f>
              <c:strCache>
                <c:ptCount val="1"/>
                <c:pt idx="0">
                  <c:v>FZ-1</c:v>
                </c:pt>
              </c:strCache>
            </c:strRef>
          </c:tx>
          <c:invertIfNegative val="0"/>
          <c:cat>
            <c:strRef>
              <c:f>Sheet6!$F$54:$I$54</c:f>
              <c:strCache>
                <c:ptCount val="4"/>
                <c:pt idx="0">
                  <c:v>November</c:v>
                </c:pt>
                <c:pt idx="1">
                  <c:v>December</c:v>
                </c:pt>
                <c:pt idx="2">
                  <c:v>January</c:v>
                </c:pt>
                <c:pt idx="3">
                  <c:v>February</c:v>
                </c:pt>
              </c:strCache>
            </c:strRef>
          </c:cat>
          <c:val>
            <c:numRef>
              <c:f>Sheet6!$F$55:$I$55</c:f>
              <c:numCache>
                <c:formatCode>General</c:formatCode>
                <c:ptCount val="4"/>
                <c:pt idx="0">
                  <c:v>1.27</c:v>
                </c:pt>
                <c:pt idx="1">
                  <c:v>1.9800000000000033</c:v>
                </c:pt>
                <c:pt idx="2">
                  <c:v>8.0000000000000043E-2</c:v>
                </c:pt>
                <c:pt idx="3">
                  <c:v>0.82000000000000062</c:v>
                </c:pt>
              </c:numCache>
            </c:numRef>
          </c:val>
          <c:extLst>
            <c:ext xmlns:c16="http://schemas.microsoft.com/office/drawing/2014/chart" uri="{C3380CC4-5D6E-409C-BE32-E72D297353CC}">
              <c16:uniqueId val="{00000000-3622-4686-AA96-2CF9A7EDDA51}"/>
            </c:ext>
          </c:extLst>
        </c:ser>
        <c:ser>
          <c:idx val="1"/>
          <c:order val="1"/>
          <c:tx>
            <c:strRef>
              <c:f>Sheet6!$E$56</c:f>
              <c:strCache>
                <c:ptCount val="1"/>
                <c:pt idx="0">
                  <c:v>FZ-2</c:v>
                </c:pt>
              </c:strCache>
            </c:strRef>
          </c:tx>
          <c:invertIfNegative val="0"/>
          <c:cat>
            <c:strRef>
              <c:f>Sheet6!$F$54:$I$54</c:f>
              <c:strCache>
                <c:ptCount val="4"/>
                <c:pt idx="0">
                  <c:v>November</c:v>
                </c:pt>
                <c:pt idx="1">
                  <c:v>December</c:v>
                </c:pt>
                <c:pt idx="2">
                  <c:v>January</c:v>
                </c:pt>
                <c:pt idx="3">
                  <c:v>February</c:v>
                </c:pt>
              </c:strCache>
            </c:strRef>
          </c:cat>
          <c:val>
            <c:numRef>
              <c:f>Sheet6!$F$56:$I$56</c:f>
              <c:numCache>
                <c:formatCode>General</c:formatCode>
                <c:ptCount val="4"/>
                <c:pt idx="0">
                  <c:v>0.95000000000000062</c:v>
                </c:pt>
                <c:pt idx="1">
                  <c:v>1.53</c:v>
                </c:pt>
                <c:pt idx="2">
                  <c:v>0.78</c:v>
                </c:pt>
                <c:pt idx="3">
                  <c:v>0.69000000000000061</c:v>
                </c:pt>
              </c:numCache>
            </c:numRef>
          </c:val>
          <c:extLst>
            <c:ext xmlns:c16="http://schemas.microsoft.com/office/drawing/2014/chart" uri="{C3380CC4-5D6E-409C-BE32-E72D297353CC}">
              <c16:uniqueId val="{00000001-3622-4686-AA96-2CF9A7EDDA51}"/>
            </c:ext>
          </c:extLst>
        </c:ser>
        <c:ser>
          <c:idx val="2"/>
          <c:order val="2"/>
          <c:tx>
            <c:strRef>
              <c:f>Sheet6!$E$57</c:f>
              <c:strCache>
                <c:ptCount val="1"/>
                <c:pt idx="0">
                  <c:v>FZ-3</c:v>
                </c:pt>
              </c:strCache>
            </c:strRef>
          </c:tx>
          <c:invertIfNegative val="0"/>
          <c:cat>
            <c:strRef>
              <c:f>Sheet6!$F$54:$I$54</c:f>
              <c:strCache>
                <c:ptCount val="4"/>
                <c:pt idx="0">
                  <c:v>November</c:v>
                </c:pt>
                <c:pt idx="1">
                  <c:v>December</c:v>
                </c:pt>
                <c:pt idx="2">
                  <c:v>January</c:v>
                </c:pt>
                <c:pt idx="3">
                  <c:v>February</c:v>
                </c:pt>
              </c:strCache>
            </c:strRef>
          </c:cat>
          <c:val>
            <c:numRef>
              <c:f>Sheet6!$F$57:$I$57</c:f>
              <c:numCache>
                <c:formatCode>General</c:formatCode>
                <c:ptCount val="4"/>
                <c:pt idx="0">
                  <c:v>1.1599999999999966</c:v>
                </c:pt>
                <c:pt idx="1">
                  <c:v>2.5299999999999998</c:v>
                </c:pt>
                <c:pt idx="2">
                  <c:v>0.95000000000000062</c:v>
                </c:pt>
                <c:pt idx="3">
                  <c:v>0.95000000000000062</c:v>
                </c:pt>
              </c:numCache>
            </c:numRef>
          </c:val>
          <c:extLst>
            <c:ext xmlns:c16="http://schemas.microsoft.com/office/drawing/2014/chart" uri="{C3380CC4-5D6E-409C-BE32-E72D297353CC}">
              <c16:uniqueId val="{00000002-3622-4686-AA96-2CF9A7EDDA51}"/>
            </c:ext>
          </c:extLst>
        </c:ser>
        <c:ser>
          <c:idx val="3"/>
          <c:order val="3"/>
          <c:tx>
            <c:strRef>
              <c:f>Sheet6!$E$58</c:f>
              <c:strCache>
                <c:ptCount val="1"/>
                <c:pt idx="0">
                  <c:v>NFZ-1</c:v>
                </c:pt>
              </c:strCache>
            </c:strRef>
          </c:tx>
          <c:invertIfNegative val="0"/>
          <c:cat>
            <c:strRef>
              <c:f>Sheet6!$F$54:$I$54</c:f>
              <c:strCache>
                <c:ptCount val="4"/>
                <c:pt idx="0">
                  <c:v>November</c:v>
                </c:pt>
                <c:pt idx="1">
                  <c:v>December</c:v>
                </c:pt>
                <c:pt idx="2">
                  <c:v>January</c:v>
                </c:pt>
                <c:pt idx="3">
                  <c:v>February</c:v>
                </c:pt>
              </c:strCache>
            </c:strRef>
          </c:cat>
          <c:val>
            <c:numRef>
              <c:f>Sheet6!$F$58:$I$58</c:f>
              <c:numCache>
                <c:formatCode>General</c:formatCode>
                <c:ptCount val="4"/>
                <c:pt idx="0">
                  <c:v>1.9800000000000033</c:v>
                </c:pt>
                <c:pt idx="1">
                  <c:v>2.12</c:v>
                </c:pt>
                <c:pt idx="2">
                  <c:v>0.97000000000000064</c:v>
                </c:pt>
                <c:pt idx="3">
                  <c:v>1.34</c:v>
                </c:pt>
              </c:numCache>
            </c:numRef>
          </c:val>
          <c:extLst>
            <c:ext xmlns:c16="http://schemas.microsoft.com/office/drawing/2014/chart" uri="{C3380CC4-5D6E-409C-BE32-E72D297353CC}">
              <c16:uniqueId val="{00000003-3622-4686-AA96-2CF9A7EDDA51}"/>
            </c:ext>
          </c:extLst>
        </c:ser>
        <c:ser>
          <c:idx val="4"/>
          <c:order val="4"/>
          <c:tx>
            <c:strRef>
              <c:f>Sheet6!$E$59</c:f>
              <c:strCache>
                <c:ptCount val="1"/>
                <c:pt idx="0">
                  <c:v>NFZ-2</c:v>
                </c:pt>
              </c:strCache>
            </c:strRef>
          </c:tx>
          <c:invertIfNegative val="0"/>
          <c:cat>
            <c:strRef>
              <c:f>Sheet6!$F$54:$I$54</c:f>
              <c:strCache>
                <c:ptCount val="4"/>
                <c:pt idx="0">
                  <c:v>November</c:v>
                </c:pt>
                <c:pt idx="1">
                  <c:v>December</c:v>
                </c:pt>
                <c:pt idx="2">
                  <c:v>January</c:v>
                </c:pt>
                <c:pt idx="3">
                  <c:v>February</c:v>
                </c:pt>
              </c:strCache>
            </c:strRef>
          </c:cat>
          <c:val>
            <c:numRef>
              <c:f>Sheet6!$F$59:$I$59</c:f>
              <c:numCache>
                <c:formatCode>General</c:formatCode>
                <c:ptCount val="4"/>
                <c:pt idx="0">
                  <c:v>2.2400000000000002</c:v>
                </c:pt>
                <c:pt idx="1">
                  <c:v>2.48</c:v>
                </c:pt>
                <c:pt idx="2">
                  <c:v>1.04</c:v>
                </c:pt>
                <c:pt idx="3">
                  <c:v>1.23</c:v>
                </c:pt>
              </c:numCache>
            </c:numRef>
          </c:val>
          <c:extLst>
            <c:ext xmlns:c16="http://schemas.microsoft.com/office/drawing/2014/chart" uri="{C3380CC4-5D6E-409C-BE32-E72D297353CC}">
              <c16:uniqueId val="{00000004-3622-4686-AA96-2CF9A7EDDA51}"/>
            </c:ext>
          </c:extLst>
        </c:ser>
        <c:ser>
          <c:idx val="5"/>
          <c:order val="5"/>
          <c:tx>
            <c:strRef>
              <c:f>Sheet6!$E$60</c:f>
              <c:strCache>
                <c:ptCount val="1"/>
                <c:pt idx="0">
                  <c:v>NFZ-3</c:v>
                </c:pt>
              </c:strCache>
            </c:strRef>
          </c:tx>
          <c:invertIfNegative val="0"/>
          <c:cat>
            <c:strRef>
              <c:f>Sheet6!$F$54:$I$54</c:f>
              <c:strCache>
                <c:ptCount val="4"/>
                <c:pt idx="0">
                  <c:v>November</c:v>
                </c:pt>
                <c:pt idx="1">
                  <c:v>December</c:v>
                </c:pt>
                <c:pt idx="2">
                  <c:v>January</c:v>
                </c:pt>
                <c:pt idx="3">
                  <c:v>February</c:v>
                </c:pt>
              </c:strCache>
            </c:strRef>
          </c:cat>
          <c:val>
            <c:numRef>
              <c:f>Sheet6!$F$60:$I$60</c:f>
              <c:numCache>
                <c:formatCode>General</c:formatCode>
                <c:ptCount val="4"/>
                <c:pt idx="0">
                  <c:v>1.57</c:v>
                </c:pt>
                <c:pt idx="1">
                  <c:v>2.3099999999999987</c:v>
                </c:pt>
                <c:pt idx="2">
                  <c:v>0.86000000000000065</c:v>
                </c:pt>
                <c:pt idx="3">
                  <c:v>1.1200000000000001</c:v>
                </c:pt>
              </c:numCache>
            </c:numRef>
          </c:val>
          <c:extLst>
            <c:ext xmlns:c16="http://schemas.microsoft.com/office/drawing/2014/chart" uri="{C3380CC4-5D6E-409C-BE32-E72D297353CC}">
              <c16:uniqueId val="{00000005-3622-4686-AA96-2CF9A7EDDA51}"/>
            </c:ext>
          </c:extLst>
        </c:ser>
        <c:dLbls>
          <c:showLegendKey val="0"/>
          <c:showVal val="0"/>
          <c:showCatName val="0"/>
          <c:showSerName val="0"/>
          <c:showPercent val="0"/>
          <c:showBubbleSize val="0"/>
        </c:dLbls>
        <c:gapWidth val="150"/>
        <c:axId val="83811328"/>
        <c:axId val="83841792"/>
      </c:barChart>
      <c:catAx>
        <c:axId val="83811328"/>
        <c:scaling>
          <c:orientation val="minMax"/>
        </c:scaling>
        <c:delete val="0"/>
        <c:axPos val="b"/>
        <c:numFmt formatCode="General" sourceLinked="0"/>
        <c:majorTickMark val="out"/>
        <c:minorTickMark val="none"/>
        <c:tickLblPos val="nextTo"/>
        <c:crossAx val="83841792"/>
        <c:crosses val="autoZero"/>
        <c:auto val="1"/>
        <c:lblAlgn val="ctr"/>
        <c:lblOffset val="100"/>
        <c:noMultiLvlLbl val="0"/>
      </c:catAx>
      <c:valAx>
        <c:axId val="83841792"/>
        <c:scaling>
          <c:orientation val="minMax"/>
          <c:max val="3"/>
        </c:scaling>
        <c:delete val="0"/>
        <c:axPos val="l"/>
        <c:title>
          <c:tx>
            <c:rich>
              <a:bodyPr rot="-5400000" vert="horz"/>
              <a:lstStyle/>
              <a:p>
                <a:pPr>
                  <a:defRPr/>
                </a:pPr>
                <a:r>
                  <a:rPr lang="en-US"/>
                  <a:t>Nitrite (mg/l)</a:t>
                </a:r>
              </a:p>
            </c:rich>
          </c:tx>
          <c:layout>
            <c:manualLayout>
              <c:xMode val="edge"/>
              <c:yMode val="edge"/>
              <c:x val="2.7849409448818942E-2"/>
              <c:y val="0.12699009398018793"/>
            </c:manualLayout>
          </c:layout>
          <c:overlay val="0"/>
        </c:title>
        <c:numFmt formatCode="General" sourceLinked="1"/>
        <c:majorTickMark val="out"/>
        <c:minorTickMark val="none"/>
        <c:tickLblPos val="nextTo"/>
        <c:crossAx val="83811328"/>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062097351467427"/>
          <c:y val="7.3030829288189075E-2"/>
          <c:w val="0.70329416209337658"/>
          <c:h val="0.82590351437557841"/>
        </c:manualLayout>
      </c:layout>
      <c:barChart>
        <c:barDir val="col"/>
        <c:grouping val="clustered"/>
        <c:varyColors val="0"/>
        <c:ser>
          <c:idx val="0"/>
          <c:order val="0"/>
          <c:tx>
            <c:strRef>
              <c:f>Sheet6!$E$80</c:f>
              <c:strCache>
                <c:ptCount val="1"/>
                <c:pt idx="0">
                  <c:v>FZ-1</c:v>
                </c:pt>
              </c:strCache>
            </c:strRef>
          </c:tx>
          <c:invertIfNegative val="0"/>
          <c:cat>
            <c:strRef>
              <c:f>Sheet6!$F$79:$I$79</c:f>
              <c:strCache>
                <c:ptCount val="4"/>
                <c:pt idx="0">
                  <c:v>November</c:v>
                </c:pt>
                <c:pt idx="1">
                  <c:v>December</c:v>
                </c:pt>
                <c:pt idx="2">
                  <c:v>January</c:v>
                </c:pt>
                <c:pt idx="3">
                  <c:v>February</c:v>
                </c:pt>
              </c:strCache>
            </c:strRef>
          </c:cat>
          <c:val>
            <c:numRef>
              <c:f>Sheet6!$F$80:$I$80</c:f>
              <c:numCache>
                <c:formatCode>General</c:formatCode>
                <c:ptCount val="4"/>
                <c:pt idx="0">
                  <c:v>1.36</c:v>
                </c:pt>
                <c:pt idx="1">
                  <c:v>1.56</c:v>
                </c:pt>
                <c:pt idx="2">
                  <c:v>1.9200000000000021</c:v>
                </c:pt>
                <c:pt idx="3">
                  <c:v>1.72</c:v>
                </c:pt>
              </c:numCache>
            </c:numRef>
          </c:val>
          <c:extLst>
            <c:ext xmlns:c16="http://schemas.microsoft.com/office/drawing/2014/chart" uri="{C3380CC4-5D6E-409C-BE32-E72D297353CC}">
              <c16:uniqueId val="{00000000-32AD-416F-AD87-7FBB49F9117D}"/>
            </c:ext>
          </c:extLst>
        </c:ser>
        <c:ser>
          <c:idx val="1"/>
          <c:order val="1"/>
          <c:tx>
            <c:strRef>
              <c:f>Sheet6!$E$81</c:f>
              <c:strCache>
                <c:ptCount val="1"/>
                <c:pt idx="0">
                  <c:v>FZ-2</c:v>
                </c:pt>
              </c:strCache>
            </c:strRef>
          </c:tx>
          <c:invertIfNegative val="0"/>
          <c:cat>
            <c:strRef>
              <c:f>Sheet6!$F$79:$I$79</c:f>
              <c:strCache>
                <c:ptCount val="4"/>
                <c:pt idx="0">
                  <c:v>November</c:v>
                </c:pt>
                <c:pt idx="1">
                  <c:v>December</c:v>
                </c:pt>
                <c:pt idx="2">
                  <c:v>January</c:v>
                </c:pt>
                <c:pt idx="3">
                  <c:v>February</c:v>
                </c:pt>
              </c:strCache>
            </c:strRef>
          </c:cat>
          <c:val>
            <c:numRef>
              <c:f>Sheet6!$F$81:$I$81</c:f>
              <c:numCache>
                <c:formatCode>General</c:formatCode>
                <c:ptCount val="4"/>
                <c:pt idx="0">
                  <c:v>1.21</c:v>
                </c:pt>
                <c:pt idx="1">
                  <c:v>1.41</c:v>
                </c:pt>
                <c:pt idx="2">
                  <c:v>1.72</c:v>
                </c:pt>
                <c:pt idx="3">
                  <c:v>1.680000000000003</c:v>
                </c:pt>
              </c:numCache>
            </c:numRef>
          </c:val>
          <c:extLst>
            <c:ext xmlns:c16="http://schemas.microsoft.com/office/drawing/2014/chart" uri="{C3380CC4-5D6E-409C-BE32-E72D297353CC}">
              <c16:uniqueId val="{00000001-32AD-416F-AD87-7FBB49F9117D}"/>
            </c:ext>
          </c:extLst>
        </c:ser>
        <c:ser>
          <c:idx val="2"/>
          <c:order val="2"/>
          <c:tx>
            <c:strRef>
              <c:f>Sheet6!$E$82</c:f>
              <c:strCache>
                <c:ptCount val="1"/>
                <c:pt idx="0">
                  <c:v>FZ-3</c:v>
                </c:pt>
              </c:strCache>
            </c:strRef>
          </c:tx>
          <c:invertIfNegative val="0"/>
          <c:cat>
            <c:strRef>
              <c:f>Sheet6!$F$79:$I$79</c:f>
              <c:strCache>
                <c:ptCount val="4"/>
                <c:pt idx="0">
                  <c:v>November</c:v>
                </c:pt>
                <c:pt idx="1">
                  <c:v>December</c:v>
                </c:pt>
                <c:pt idx="2">
                  <c:v>January</c:v>
                </c:pt>
                <c:pt idx="3">
                  <c:v>February</c:v>
                </c:pt>
              </c:strCache>
            </c:strRef>
          </c:cat>
          <c:val>
            <c:numRef>
              <c:f>Sheet6!$F$82:$I$82</c:f>
              <c:numCache>
                <c:formatCode>General</c:formatCode>
                <c:ptCount val="4"/>
                <c:pt idx="0">
                  <c:v>0.92</c:v>
                </c:pt>
                <c:pt idx="1">
                  <c:v>1.680000000000003</c:v>
                </c:pt>
                <c:pt idx="2">
                  <c:v>1.62</c:v>
                </c:pt>
                <c:pt idx="3">
                  <c:v>1.75</c:v>
                </c:pt>
              </c:numCache>
            </c:numRef>
          </c:val>
          <c:extLst>
            <c:ext xmlns:c16="http://schemas.microsoft.com/office/drawing/2014/chart" uri="{C3380CC4-5D6E-409C-BE32-E72D297353CC}">
              <c16:uniqueId val="{00000002-32AD-416F-AD87-7FBB49F9117D}"/>
            </c:ext>
          </c:extLst>
        </c:ser>
        <c:ser>
          <c:idx val="3"/>
          <c:order val="3"/>
          <c:tx>
            <c:strRef>
              <c:f>Sheet6!$E$83</c:f>
              <c:strCache>
                <c:ptCount val="1"/>
                <c:pt idx="0">
                  <c:v>NFZ-1</c:v>
                </c:pt>
              </c:strCache>
            </c:strRef>
          </c:tx>
          <c:invertIfNegative val="0"/>
          <c:cat>
            <c:strRef>
              <c:f>Sheet6!$F$79:$I$79</c:f>
              <c:strCache>
                <c:ptCount val="4"/>
                <c:pt idx="0">
                  <c:v>November</c:v>
                </c:pt>
                <c:pt idx="1">
                  <c:v>December</c:v>
                </c:pt>
                <c:pt idx="2">
                  <c:v>January</c:v>
                </c:pt>
                <c:pt idx="3">
                  <c:v>February</c:v>
                </c:pt>
              </c:strCache>
            </c:strRef>
          </c:cat>
          <c:val>
            <c:numRef>
              <c:f>Sheet6!$F$83:$I$83</c:f>
              <c:numCache>
                <c:formatCode>General</c:formatCode>
                <c:ptCount val="4"/>
                <c:pt idx="0">
                  <c:v>0.83000000000000063</c:v>
                </c:pt>
                <c:pt idx="1">
                  <c:v>1.03</c:v>
                </c:pt>
                <c:pt idx="2">
                  <c:v>1.75</c:v>
                </c:pt>
                <c:pt idx="3">
                  <c:v>1.42</c:v>
                </c:pt>
              </c:numCache>
            </c:numRef>
          </c:val>
          <c:extLst>
            <c:ext xmlns:c16="http://schemas.microsoft.com/office/drawing/2014/chart" uri="{C3380CC4-5D6E-409C-BE32-E72D297353CC}">
              <c16:uniqueId val="{00000003-32AD-416F-AD87-7FBB49F9117D}"/>
            </c:ext>
          </c:extLst>
        </c:ser>
        <c:ser>
          <c:idx val="4"/>
          <c:order val="4"/>
          <c:tx>
            <c:strRef>
              <c:f>Sheet6!$E$84</c:f>
              <c:strCache>
                <c:ptCount val="1"/>
                <c:pt idx="0">
                  <c:v>NFZ-2</c:v>
                </c:pt>
              </c:strCache>
            </c:strRef>
          </c:tx>
          <c:invertIfNegative val="0"/>
          <c:cat>
            <c:strRef>
              <c:f>Sheet6!$F$79:$I$79</c:f>
              <c:strCache>
                <c:ptCount val="4"/>
                <c:pt idx="0">
                  <c:v>November</c:v>
                </c:pt>
                <c:pt idx="1">
                  <c:v>December</c:v>
                </c:pt>
                <c:pt idx="2">
                  <c:v>January</c:v>
                </c:pt>
                <c:pt idx="3">
                  <c:v>February</c:v>
                </c:pt>
              </c:strCache>
            </c:strRef>
          </c:cat>
          <c:val>
            <c:numRef>
              <c:f>Sheet6!$F$84:$I$84</c:f>
              <c:numCache>
                <c:formatCode>General</c:formatCode>
                <c:ptCount val="4"/>
                <c:pt idx="0">
                  <c:v>0.79</c:v>
                </c:pt>
                <c:pt idx="1">
                  <c:v>1.21</c:v>
                </c:pt>
                <c:pt idx="2">
                  <c:v>1.48</c:v>
                </c:pt>
                <c:pt idx="3">
                  <c:v>1.28</c:v>
                </c:pt>
              </c:numCache>
            </c:numRef>
          </c:val>
          <c:extLst>
            <c:ext xmlns:c16="http://schemas.microsoft.com/office/drawing/2014/chart" uri="{C3380CC4-5D6E-409C-BE32-E72D297353CC}">
              <c16:uniqueId val="{00000004-32AD-416F-AD87-7FBB49F9117D}"/>
            </c:ext>
          </c:extLst>
        </c:ser>
        <c:ser>
          <c:idx val="5"/>
          <c:order val="5"/>
          <c:tx>
            <c:strRef>
              <c:f>Sheet6!$E$85</c:f>
              <c:strCache>
                <c:ptCount val="1"/>
                <c:pt idx="0">
                  <c:v>NFZ-3</c:v>
                </c:pt>
              </c:strCache>
            </c:strRef>
          </c:tx>
          <c:invertIfNegative val="0"/>
          <c:cat>
            <c:strRef>
              <c:f>Sheet6!$F$79:$I$79</c:f>
              <c:strCache>
                <c:ptCount val="4"/>
                <c:pt idx="0">
                  <c:v>November</c:v>
                </c:pt>
                <c:pt idx="1">
                  <c:v>December</c:v>
                </c:pt>
                <c:pt idx="2">
                  <c:v>January</c:v>
                </c:pt>
                <c:pt idx="3">
                  <c:v>February</c:v>
                </c:pt>
              </c:strCache>
            </c:strRef>
          </c:cat>
          <c:val>
            <c:numRef>
              <c:f>Sheet6!$F$85:$I$85</c:f>
              <c:numCache>
                <c:formatCode>General</c:formatCode>
                <c:ptCount val="4"/>
                <c:pt idx="0">
                  <c:v>0.88</c:v>
                </c:pt>
                <c:pt idx="1">
                  <c:v>1.04</c:v>
                </c:pt>
                <c:pt idx="2">
                  <c:v>1.6400000000000001</c:v>
                </c:pt>
                <c:pt idx="3">
                  <c:v>1.52</c:v>
                </c:pt>
              </c:numCache>
            </c:numRef>
          </c:val>
          <c:extLst>
            <c:ext xmlns:c16="http://schemas.microsoft.com/office/drawing/2014/chart" uri="{C3380CC4-5D6E-409C-BE32-E72D297353CC}">
              <c16:uniqueId val="{00000005-32AD-416F-AD87-7FBB49F9117D}"/>
            </c:ext>
          </c:extLst>
        </c:ser>
        <c:dLbls>
          <c:showLegendKey val="0"/>
          <c:showVal val="0"/>
          <c:showCatName val="0"/>
          <c:showSerName val="0"/>
          <c:showPercent val="0"/>
          <c:showBubbleSize val="0"/>
        </c:dLbls>
        <c:gapWidth val="150"/>
        <c:axId val="83960192"/>
        <c:axId val="83961728"/>
      </c:barChart>
      <c:catAx>
        <c:axId val="83960192"/>
        <c:scaling>
          <c:orientation val="minMax"/>
        </c:scaling>
        <c:delete val="0"/>
        <c:axPos val="b"/>
        <c:numFmt formatCode="General" sourceLinked="0"/>
        <c:majorTickMark val="out"/>
        <c:minorTickMark val="none"/>
        <c:tickLblPos val="nextTo"/>
        <c:crossAx val="83961728"/>
        <c:crosses val="autoZero"/>
        <c:auto val="1"/>
        <c:lblAlgn val="ctr"/>
        <c:lblOffset val="100"/>
        <c:noMultiLvlLbl val="0"/>
      </c:catAx>
      <c:valAx>
        <c:axId val="83961728"/>
        <c:scaling>
          <c:orientation val="minMax"/>
          <c:max val="2.1"/>
          <c:min val="0.5"/>
        </c:scaling>
        <c:delete val="0"/>
        <c:axPos val="l"/>
        <c:title>
          <c:tx>
            <c:rich>
              <a:bodyPr rot="-5400000" vert="horz"/>
              <a:lstStyle/>
              <a:p>
                <a:pPr>
                  <a:defRPr/>
                </a:pPr>
                <a:r>
                  <a:rPr lang="en-US"/>
                  <a:t>Phosphate (mg/l)</a:t>
                </a:r>
              </a:p>
            </c:rich>
          </c:tx>
          <c:layout>
            <c:manualLayout>
              <c:xMode val="edge"/>
              <c:yMode val="edge"/>
              <c:x val="3.6352812622732641E-2"/>
              <c:y val="0.13445044576039608"/>
            </c:manualLayout>
          </c:layout>
          <c:overlay val="0"/>
        </c:title>
        <c:numFmt formatCode="General" sourceLinked="1"/>
        <c:majorTickMark val="out"/>
        <c:minorTickMark val="none"/>
        <c:tickLblPos val="nextTo"/>
        <c:crossAx val="83960192"/>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261525236174745"/>
          <c:y val="7.2460945783769465E-2"/>
          <c:w val="0.73300703265750633"/>
          <c:h val="0.83251145894998801"/>
        </c:manualLayout>
      </c:layout>
      <c:barChart>
        <c:barDir val="col"/>
        <c:grouping val="clustered"/>
        <c:varyColors val="0"/>
        <c:ser>
          <c:idx val="0"/>
          <c:order val="0"/>
          <c:tx>
            <c:strRef>
              <c:f>Sheet6!$D$113</c:f>
              <c:strCache>
                <c:ptCount val="1"/>
                <c:pt idx="0">
                  <c:v>FZ-1</c:v>
                </c:pt>
              </c:strCache>
            </c:strRef>
          </c:tx>
          <c:invertIfNegative val="0"/>
          <c:cat>
            <c:strRef>
              <c:f>Sheet6!$E$112:$H$112</c:f>
              <c:strCache>
                <c:ptCount val="4"/>
                <c:pt idx="0">
                  <c:v>November</c:v>
                </c:pt>
                <c:pt idx="1">
                  <c:v>December</c:v>
                </c:pt>
                <c:pt idx="2">
                  <c:v>January</c:v>
                </c:pt>
                <c:pt idx="3">
                  <c:v>February</c:v>
                </c:pt>
              </c:strCache>
            </c:strRef>
          </c:cat>
          <c:val>
            <c:numRef>
              <c:f>Sheet6!$E$113:$H$113</c:f>
              <c:numCache>
                <c:formatCode>General</c:formatCode>
                <c:ptCount val="4"/>
                <c:pt idx="0">
                  <c:v>5.1199999999999966</c:v>
                </c:pt>
                <c:pt idx="1">
                  <c:v>5.31</c:v>
                </c:pt>
                <c:pt idx="2">
                  <c:v>5.21</c:v>
                </c:pt>
                <c:pt idx="3">
                  <c:v>4.2300000000000004</c:v>
                </c:pt>
              </c:numCache>
            </c:numRef>
          </c:val>
          <c:extLst>
            <c:ext xmlns:c16="http://schemas.microsoft.com/office/drawing/2014/chart" uri="{C3380CC4-5D6E-409C-BE32-E72D297353CC}">
              <c16:uniqueId val="{00000000-BDB4-4BEA-AB03-2338294B7A2A}"/>
            </c:ext>
          </c:extLst>
        </c:ser>
        <c:ser>
          <c:idx val="1"/>
          <c:order val="1"/>
          <c:tx>
            <c:strRef>
              <c:f>Sheet6!$D$114</c:f>
              <c:strCache>
                <c:ptCount val="1"/>
                <c:pt idx="0">
                  <c:v>FZ-2</c:v>
                </c:pt>
              </c:strCache>
            </c:strRef>
          </c:tx>
          <c:invertIfNegative val="0"/>
          <c:cat>
            <c:strRef>
              <c:f>Sheet6!$E$112:$H$112</c:f>
              <c:strCache>
                <c:ptCount val="4"/>
                <c:pt idx="0">
                  <c:v>November</c:v>
                </c:pt>
                <c:pt idx="1">
                  <c:v>December</c:v>
                </c:pt>
                <c:pt idx="2">
                  <c:v>January</c:v>
                </c:pt>
                <c:pt idx="3">
                  <c:v>February</c:v>
                </c:pt>
              </c:strCache>
            </c:strRef>
          </c:cat>
          <c:val>
            <c:numRef>
              <c:f>Sheet6!$E$114:$H$114</c:f>
              <c:numCache>
                <c:formatCode>General</c:formatCode>
                <c:ptCount val="4"/>
                <c:pt idx="0">
                  <c:v>5.8</c:v>
                </c:pt>
                <c:pt idx="1">
                  <c:v>4.6199999999999966</c:v>
                </c:pt>
                <c:pt idx="2">
                  <c:v>4.9800000000000004</c:v>
                </c:pt>
                <c:pt idx="3">
                  <c:v>4.5599999999999996</c:v>
                </c:pt>
              </c:numCache>
            </c:numRef>
          </c:val>
          <c:extLst>
            <c:ext xmlns:c16="http://schemas.microsoft.com/office/drawing/2014/chart" uri="{C3380CC4-5D6E-409C-BE32-E72D297353CC}">
              <c16:uniqueId val="{00000001-BDB4-4BEA-AB03-2338294B7A2A}"/>
            </c:ext>
          </c:extLst>
        </c:ser>
        <c:ser>
          <c:idx val="2"/>
          <c:order val="2"/>
          <c:tx>
            <c:strRef>
              <c:f>Sheet6!$D$115</c:f>
              <c:strCache>
                <c:ptCount val="1"/>
                <c:pt idx="0">
                  <c:v>FZ-3</c:v>
                </c:pt>
              </c:strCache>
            </c:strRef>
          </c:tx>
          <c:invertIfNegative val="0"/>
          <c:cat>
            <c:strRef>
              <c:f>Sheet6!$E$112:$H$112</c:f>
              <c:strCache>
                <c:ptCount val="4"/>
                <c:pt idx="0">
                  <c:v>November</c:v>
                </c:pt>
                <c:pt idx="1">
                  <c:v>December</c:v>
                </c:pt>
                <c:pt idx="2">
                  <c:v>January</c:v>
                </c:pt>
                <c:pt idx="3">
                  <c:v>February</c:v>
                </c:pt>
              </c:strCache>
            </c:strRef>
          </c:cat>
          <c:val>
            <c:numRef>
              <c:f>Sheet6!$E$115:$H$115</c:f>
              <c:numCache>
                <c:formatCode>General</c:formatCode>
                <c:ptCount val="4"/>
                <c:pt idx="0">
                  <c:v>5.01</c:v>
                </c:pt>
                <c:pt idx="1">
                  <c:v>5.98</c:v>
                </c:pt>
                <c:pt idx="2">
                  <c:v>5.8199999999999985</c:v>
                </c:pt>
                <c:pt idx="3">
                  <c:v>3.7800000000000002</c:v>
                </c:pt>
              </c:numCache>
            </c:numRef>
          </c:val>
          <c:extLst>
            <c:ext xmlns:c16="http://schemas.microsoft.com/office/drawing/2014/chart" uri="{C3380CC4-5D6E-409C-BE32-E72D297353CC}">
              <c16:uniqueId val="{00000002-BDB4-4BEA-AB03-2338294B7A2A}"/>
            </c:ext>
          </c:extLst>
        </c:ser>
        <c:ser>
          <c:idx val="3"/>
          <c:order val="3"/>
          <c:tx>
            <c:strRef>
              <c:f>Sheet6!$D$116</c:f>
              <c:strCache>
                <c:ptCount val="1"/>
                <c:pt idx="0">
                  <c:v>NFZ-1</c:v>
                </c:pt>
              </c:strCache>
            </c:strRef>
          </c:tx>
          <c:invertIfNegative val="0"/>
          <c:cat>
            <c:strRef>
              <c:f>Sheet6!$E$112:$H$112</c:f>
              <c:strCache>
                <c:ptCount val="4"/>
                <c:pt idx="0">
                  <c:v>November</c:v>
                </c:pt>
                <c:pt idx="1">
                  <c:v>December</c:v>
                </c:pt>
                <c:pt idx="2">
                  <c:v>January</c:v>
                </c:pt>
                <c:pt idx="3">
                  <c:v>February</c:v>
                </c:pt>
              </c:strCache>
            </c:strRef>
          </c:cat>
          <c:val>
            <c:numRef>
              <c:f>Sheet6!$E$116:$H$116</c:f>
              <c:numCache>
                <c:formatCode>General</c:formatCode>
                <c:ptCount val="4"/>
                <c:pt idx="0">
                  <c:v>4.3099999999999996</c:v>
                </c:pt>
                <c:pt idx="1">
                  <c:v>4.72</c:v>
                </c:pt>
                <c:pt idx="2">
                  <c:v>5.08</c:v>
                </c:pt>
                <c:pt idx="3">
                  <c:v>3.66</c:v>
                </c:pt>
              </c:numCache>
            </c:numRef>
          </c:val>
          <c:extLst>
            <c:ext xmlns:c16="http://schemas.microsoft.com/office/drawing/2014/chart" uri="{C3380CC4-5D6E-409C-BE32-E72D297353CC}">
              <c16:uniqueId val="{00000003-BDB4-4BEA-AB03-2338294B7A2A}"/>
            </c:ext>
          </c:extLst>
        </c:ser>
        <c:ser>
          <c:idx val="4"/>
          <c:order val="4"/>
          <c:tx>
            <c:strRef>
              <c:f>Sheet6!$D$117</c:f>
              <c:strCache>
                <c:ptCount val="1"/>
                <c:pt idx="0">
                  <c:v>NFZ-2</c:v>
                </c:pt>
              </c:strCache>
            </c:strRef>
          </c:tx>
          <c:invertIfNegative val="0"/>
          <c:cat>
            <c:strRef>
              <c:f>Sheet6!$E$112:$H$112</c:f>
              <c:strCache>
                <c:ptCount val="4"/>
                <c:pt idx="0">
                  <c:v>November</c:v>
                </c:pt>
                <c:pt idx="1">
                  <c:v>December</c:v>
                </c:pt>
                <c:pt idx="2">
                  <c:v>January</c:v>
                </c:pt>
                <c:pt idx="3">
                  <c:v>February</c:v>
                </c:pt>
              </c:strCache>
            </c:strRef>
          </c:cat>
          <c:val>
            <c:numRef>
              <c:f>Sheet6!$E$117:$H$117</c:f>
              <c:numCache>
                <c:formatCode>General</c:formatCode>
                <c:ptCount val="4"/>
                <c:pt idx="0">
                  <c:v>4.9800000000000004</c:v>
                </c:pt>
                <c:pt idx="1">
                  <c:v>5.25</c:v>
                </c:pt>
                <c:pt idx="2">
                  <c:v>4.51</c:v>
                </c:pt>
                <c:pt idx="3">
                  <c:v>3.72</c:v>
                </c:pt>
              </c:numCache>
            </c:numRef>
          </c:val>
          <c:extLst>
            <c:ext xmlns:c16="http://schemas.microsoft.com/office/drawing/2014/chart" uri="{C3380CC4-5D6E-409C-BE32-E72D297353CC}">
              <c16:uniqueId val="{00000004-BDB4-4BEA-AB03-2338294B7A2A}"/>
            </c:ext>
          </c:extLst>
        </c:ser>
        <c:ser>
          <c:idx val="5"/>
          <c:order val="5"/>
          <c:tx>
            <c:strRef>
              <c:f>Sheet6!$D$118</c:f>
              <c:strCache>
                <c:ptCount val="1"/>
                <c:pt idx="0">
                  <c:v>NFZ-3</c:v>
                </c:pt>
              </c:strCache>
            </c:strRef>
          </c:tx>
          <c:invertIfNegative val="0"/>
          <c:cat>
            <c:strRef>
              <c:f>Sheet6!$E$112:$H$112</c:f>
              <c:strCache>
                <c:ptCount val="4"/>
                <c:pt idx="0">
                  <c:v>November</c:v>
                </c:pt>
                <c:pt idx="1">
                  <c:v>December</c:v>
                </c:pt>
                <c:pt idx="2">
                  <c:v>January</c:v>
                </c:pt>
                <c:pt idx="3">
                  <c:v>February</c:v>
                </c:pt>
              </c:strCache>
            </c:strRef>
          </c:cat>
          <c:val>
            <c:numRef>
              <c:f>Sheet6!$E$118:$H$118</c:f>
              <c:numCache>
                <c:formatCode>General</c:formatCode>
                <c:ptCount val="4"/>
                <c:pt idx="0">
                  <c:v>4.72</c:v>
                </c:pt>
                <c:pt idx="1">
                  <c:v>4.5599999999999996</c:v>
                </c:pt>
                <c:pt idx="2">
                  <c:v>5.42</c:v>
                </c:pt>
                <c:pt idx="3">
                  <c:v>3.25</c:v>
                </c:pt>
              </c:numCache>
            </c:numRef>
          </c:val>
          <c:extLst>
            <c:ext xmlns:c16="http://schemas.microsoft.com/office/drawing/2014/chart" uri="{C3380CC4-5D6E-409C-BE32-E72D297353CC}">
              <c16:uniqueId val="{00000005-BDB4-4BEA-AB03-2338294B7A2A}"/>
            </c:ext>
          </c:extLst>
        </c:ser>
        <c:dLbls>
          <c:showLegendKey val="0"/>
          <c:showVal val="0"/>
          <c:showCatName val="0"/>
          <c:showSerName val="0"/>
          <c:showPercent val="0"/>
          <c:showBubbleSize val="0"/>
        </c:dLbls>
        <c:gapWidth val="150"/>
        <c:axId val="83990016"/>
        <c:axId val="83991552"/>
      </c:barChart>
      <c:catAx>
        <c:axId val="83990016"/>
        <c:scaling>
          <c:orientation val="minMax"/>
        </c:scaling>
        <c:delete val="0"/>
        <c:axPos val="b"/>
        <c:numFmt formatCode="General" sourceLinked="0"/>
        <c:majorTickMark val="out"/>
        <c:minorTickMark val="none"/>
        <c:tickLblPos val="nextTo"/>
        <c:crossAx val="83991552"/>
        <c:crosses val="autoZero"/>
        <c:auto val="1"/>
        <c:lblAlgn val="ctr"/>
        <c:lblOffset val="100"/>
        <c:noMultiLvlLbl val="0"/>
      </c:catAx>
      <c:valAx>
        <c:axId val="83991552"/>
        <c:scaling>
          <c:orientation val="minMax"/>
          <c:max val="6.5"/>
          <c:min val="3"/>
        </c:scaling>
        <c:delete val="0"/>
        <c:axPos val="l"/>
        <c:title>
          <c:tx>
            <c:rich>
              <a:bodyPr rot="-5400000" vert="horz"/>
              <a:lstStyle/>
              <a:p>
                <a:pPr>
                  <a:defRPr/>
                </a:pPr>
                <a:r>
                  <a:rPr lang="en-US"/>
                  <a:t>Silicate (mg/l)</a:t>
                </a:r>
              </a:p>
            </c:rich>
          </c:tx>
          <c:layout>
            <c:manualLayout>
              <c:xMode val="edge"/>
              <c:yMode val="edge"/>
              <c:x val="2.6622658304627744E-2"/>
              <c:y val="0.21128505181911575"/>
            </c:manualLayout>
          </c:layout>
          <c:overlay val="0"/>
        </c:title>
        <c:numFmt formatCode="General" sourceLinked="1"/>
        <c:majorTickMark val="out"/>
        <c:minorTickMark val="none"/>
        <c:tickLblPos val="nextTo"/>
        <c:crossAx val="83990016"/>
        <c:crosses val="autoZero"/>
        <c:crossBetween val="between"/>
      </c:valAx>
    </c:plotArea>
    <c:legend>
      <c:legendPos val="r"/>
      <c:overlay val="0"/>
    </c:legend>
    <c:plotVisOnly val="1"/>
    <c:dispBlanksAs val="gap"/>
    <c:showDLblsOverMax val="0"/>
  </c:chart>
  <c:txPr>
    <a:bodyPr/>
    <a:lstStyle/>
    <a:p>
      <a:pPr>
        <a:defRPr sz="600" baseline="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F4429-4F27-47BD-87D4-E88306B6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3479</Words>
  <Characters>19833</Characters>
  <Application>Microsoft Office Word</Application>
  <DocSecurity>0</DocSecurity>
  <Lines>165</Lines>
  <Paragraphs>46</Paragraphs>
  <ScaleCrop>false</ScaleCrop>
  <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CODING STUDIO</dc:creator>
  <cp:lastModifiedBy>SDI 1084</cp:lastModifiedBy>
  <cp:revision>21</cp:revision>
  <dcterms:created xsi:type="dcterms:W3CDTF">2026-06-10T10:57:00Z</dcterms:created>
  <dcterms:modified xsi:type="dcterms:W3CDTF">2026-06-11T08:53:00Z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dabd8851-4e47-4299-843b-ff65d9a062f2</vt:lpwstr>
  </property>
</Properties>
</file>