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AC88" w14:textId="77777777" w:rsidR="00BE5E6A" w:rsidRDefault="00BE5E6A" w:rsidP="00BE5E6A">
      <w:pPr>
        <w:spacing w:line="360" w:lineRule="auto"/>
        <w:jc w:val="center"/>
        <w:rPr>
          <w:b/>
        </w:rPr>
      </w:pPr>
    </w:p>
    <w:p w14:paraId="641DAC14" w14:textId="77777777" w:rsidR="00FA5E21" w:rsidRDefault="00000000" w:rsidP="00BE5E6A">
      <w:pPr>
        <w:spacing w:line="360" w:lineRule="auto"/>
        <w:jc w:val="center"/>
        <w:rPr>
          <w:b/>
        </w:rPr>
      </w:pPr>
      <w:r>
        <w:rPr>
          <w:b/>
        </w:rPr>
        <w:t xml:space="preserve">Biogenic Calcium Oxide Nanoparticles Encapsulated with </w:t>
      </w:r>
      <w:r>
        <w:rPr>
          <w:b/>
          <w:i/>
          <w:iCs/>
        </w:rPr>
        <w:t>Bos frontalis</w:t>
      </w:r>
      <w:r>
        <w:rPr>
          <w:b/>
        </w:rPr>
        <w:t xml:space="preserve"> Biofluid Distillate Enhance Digestive Activity and Muscle Composition in </w:t>
      </w:r>
      <w:r>
        <w:rPr>
          <w:b/>
          <w:i/>
          <w:iCs/>
        </w:rPr>
        <w:t xml:space="preserve">Oreochromis </w:t>
      </w:r>
      <w:proofErr w:type="spellStart"/>
      <w:r>
        <w:rPr>
          <w:b/>
          <w:i/>
          <w:iCs/>
        </w:rPr>
        <w:t>mossambicus</w:t>
      </w:r>
      <w:proofErr w:type="spellEnd"/>
    </w:p>
    <w:p w14:paraId="615F70D4" w14:textId="77777777" w:rsidR="00FA5E21" w:rsidRDefault="00000000" w:rsidP="00987811">
      <w:pPr>
        <w:pStyle w:val="NormalWeb"/>
        <w:spacing w:line="360" w:lineRule="auto"/>
        <w:jc w:val="both"/>
        <w:rPr>
          <w:b/>
        </w:rPr>
      </w:pPr>
      <w:r>
        <w:rPr>
          <w:b/>
        </w:rPr>
        <w:t>Abstract</w:t>
      </w:r>
    </w:p>
    <w:p w14:paraId="25784EA2" w14:textId="42AFCAB4" w:rsidR="00FA5E21" w:rsidRPr="00987811" w:rsidRDefault="00987811" w:rsidP="00987811">
      <w:pPr>
        <w:pStyle w:val="NormalWeb"/>
        <w:spacing w:line="360" w:lineRule="auto"/>
        <w:jc w:val="both"/>
        <w:rPr>
          <w:b/>
        </w:rPr>
      </w:pPr>
      <w:r w:rsidRPr="00987811">
        <w:rPr>
          <w:highlight w:val="yellow"/>
        </w:rPr>
        <w:t xml:space="preserve">Aquaculture, a rapidly growing sector important for food security and economic development, increasingly employs nanotechnology-based supplements such as biogenic calcium oxide nanoparticles encapsulated with </w:t>
      </w:r>
      <w:r w:rsidRPr="00987811">
        <w:rPr>
          <w:rStyle w:val="whitespace-normal"/>
          <w:highlight w:val="yellow"/>
        </w:rPr>
        <w:t>Mithun</w:t>
      </w:r>
      <w:r w:rsidRPr="00987811">
        <w:rPr>
          <w:highlight w:val="yellow"/>
        </w:rPr>
        <w:t xml:space="preserve"> biofluid distillate to improve growth, immunity, digestive physiology, disease resistance, and muscle composition in </w:t>
      </w:r>
      <w:r w:rsidRPr="00987811">
        <w:rPr>
          <w:rStyle w:val="whitespace-normal"/>
          <w:highlight w:val="yellow"/>
        </w:rPr>
        <w:t>Mozambique tilapia</w:t>
      </w:r>
      <w:r w:rsidR="00515759">
        <w:rPr>
          <w:rStyle w:val="whitespace-normal"/>
          <w:highlight w:val="yellow"/>
        </w:rPr>
        <w:t xml:space="preserve"> </w:t>
      </w:r>
      <w:r w:rsidRPr="00987811">
        <w:rPr>
          <w:highlight w:val="yellow"/>
        </w:rPr>
        <w:t>.</w:t>
      </w:r>
      <w:r w:rsidR="00000000">
        <w:t>The current study evaluated the impact of dietary supplementation with Mithun urine distillate (MUD) encapsulated calcium oxide (CaO) nanoparticles on digestive enzyme activity and tissue biochemical parameters in tilapia (</w:t>
      </w:r>
      <w:r w:rsidR="00000000">
        <w:rPr>
          <w:i/>
        </w:rPr>
        <w:t xml:space="preserve">Oreochromis </w:t>
      </w:r>
      <w:proofErr w:type="spellStart"/>
      <w:r w:rsidR="00000000">
        <w:rPr>
          <w:i/>
        </w:rPr>
        <w:t>mossambicus</w:t>
      </w:r>
      <w:proofErr w:type="spellEnd"/>
      <w:r w:rsidR="00000000">
        <w:t xml:space="preserve">). Healthy fingerlings (10 ± 0.5 g) were randomly allocated to five treatment groups, each triplicate, and were providing diets comprising (Control as basal diet) 0 (control), (T1) 100, (T2) 200, (T3) 400, and (T4) 600 mg/kg of MUD-encapsulated CaO nanoparticles over a period of 60 days. The fish were fed at a rate of 4% of their body weight, and the growth conditions were maintained under optimal water quality parameters. At the conclusion of the experimental period, digestive enzyme activities and the proximate composition of the dorsal muscle were evaluated. The findings indicated a significant increase (p &lt; 0.05) in digestive enzyme activities, including amylase, protease, and lipase, in the fish that received diets supplemented with nanoparticles compared to the control group. Among the treatment levels, the supplementation of 400 mg/kg produced the highest enzyme activity, suggesting enhanced digestive efficiency. Additionally, tissue biochemical parameters demonstrated considerable improvement, evidenced by elevated crude protein content and optimized lipid levels in the treated groups. These enhancements in proximate composition imply improved nutrient assimilation and metabolic efficiency. It is noteworthy that higher inclusion levels (600 mg/kg) did not confer additional benefits, indicating a dose-dependent response. In summary, dietary supplementation with 400 mg/kg of MUD-encapsulated CaO nanoparticles significantly enhances digestive enzyme activity and tissue biochemical indices in </w:t>
      </w:r>
      <w:r w:rsidR="00000000">
        <w:rPr>
          <w:i/>
          <w:iCs/>
        </w:rPr>
        <w:t>O</w:t>
      </w:r>
      <w:r w:rsidR="00000000">
        <w:t xml:space="preserve">. </w:t>
      </w:r>
      <w:proofErr w:type="spellStart"/>
      <w:r w:rsidR="00000000">
        <w:rPr>
          <w:i/>
          <w:iCs/>
        </w:rPr>
        <w:t>mossambicus</w:t>
      </w:r>
      <w:proofErr w:type="spellEnd"/>
      <w:r w:rsidR="00000000">
        <w:t>, illustrating its potential as an innovative and environmentally friendly feed additive for sustainable aquaculture practices.</w:t>
      </w:r>
    </w:p>
    <w:p w14:paraId="136D599F" w14:textId="77777777" w:rsidR="00FA5E21" w:rsidRDefault="00000000">
      <w:pPr>
        <w:pStyle w:val="NormalWeb"/>
        <w:spacing w:line="360" w:lineRule="auto"/>
        <w:ind w:left="720"/>
        <w:jc w:val="both"/>
      </w:pPr>
      <w:r>
        <w:rPr>
          <w:b/>
        </w:rPr>
        <w:t>Key words:</w:t>
      </w:r>
      <w:r>
        <w:t xml:space="preserve"> nanoparticles, MUD, feed supplement, digestive enzymes, tilapia, tissue biochemical</w:t>
      </w:r>
    </w:p>
    <w:p w14:paraId="6513E826" w14:textId="77777777" w:rsidR="00BE5E6A" w:rsidRDefault="00000000" w:rsidP="00BE5E6A">
      <w:pPr>
        <w:pStyle w:val="NormalWeb"/>
        <w:numPr>
          <w:ilvl w:val="0"/>
          <w:numId w:val="1"/>
        </w:numPr>
        <w:spacing w:line="360" w:lineRule="auto"/>
        <w:jc w:val="both"/>
        <w:rPr>
          <w:b/>
        </w:rPr>
      </w:pPr>
      <w:r>
        <w:rPr>
          <w:b/>
        </w:rPr>
        <w:t>Introduction</w:t>
      </w:r>
    </w:p>
    <w:p w14:paraId="47BDED45" w14:textId="77777777" w:rsidR="00FA5E21" w:rsidRDefault="00BE5E6A">
      <w:pPr>
        <w:pStyle w:val="NormalWeb"/>
        <w:spacing w:line="360" w:lineRule="auto"/>
        <w:ind w:left="360" w:firstLine="720"/>
        <w:jc w:val="both"/>
      </w:pPr>
      <w:r w:rsidRPr="00BE5E6A">
        <w:rPr>
          <w:color w:val="000000" w:themeColor="text1"/>
          <w:highlight w:val="yellow"/>
        </w:rPr>
        <w:lastRenderedPageBreak/>
        <w:t xml:space="preserve">Calcium oxide nanoparticles possess antimicrobial properties, improved bioavailability, and enhanced mineral absorption efficiency. Encapsulation of nanoparticles using Mithun urine </w:t>
      </w:r>
      <w:proofErr w:type="gramStart"/>
      <w:r w:rsidRPr="00BE5E6A">
        <w:rPr>
          <w:color w:val="000000" w:themeColor="text1"/>
          <w:highlight w:val="yellow"/>
        </w:rPr>
        <w:t>distillate</w:t>
      </w:r>
      <w:proofErr w:type="gramEnd"/>
      <w:r w:rsidRPr="00BE5E6A">
        <w:rPr>
          <w:color w:val="000000" w:themeColor="text1"/>
          <w:highlight w:val="yellow"/>
        </w:rPr>
        <w:t xml:space="preserve"> may improve nanoparticle stability and controlled release, thereby increasing biological efficiency in aquatic organisms. Aquaculture is one of the fastest-growing food production sectors worldwide and contributes significantly to food security, nutritional sustainability, and economic development. Nanotechnology-based dietary supplements are increasingly being explored in aquaculture to improve fish growth, immunity, digestive physiology, and disease resistance. Recent studies have demonstrated that nanoparticle supplementation can significantly improve growth performance, digestive physiology, antioxidant activity, and immune responses in cultured fish species (El-Bahr et al., 2024; Rahman et al., 2024).</w:t>
      </w:r>
      <w:r>
        <w:t xml:space="preserve"> Aquaculture has emerged as one of the fastest-growing sectors in worldwide nutrients production, considerably contributing to food safety and food sustainability (</w:t>
      </w:r>
      <w:proofErr w:type="spellStart"/>
      <w:r>
        <w:t>Dewali</w:t>
      </w:r>
      <w:proofErr w:type="spellEnd"/>
      <w:r>
        <w:t xml:space="preserve"> et al., 2023). Among the species cultivated, tilapia (</w:t>
      </w:r>
      <w:r>
        <w:rPr>
          <w:i/>
        </w:rPr>
        <w:t>Oreochromis</w:t>
      </w:r>
      <w:r>
        <w:t xml:space="preserve"> spp.) is widely cultivated due to its fast growth rate, flexibility, and financial value (Arumugam et al., 2023). However, the increase of aquaculture practices has introduced challenges, including reduced feed efficiency, metabolic stress, and increased susceptibility to diseases, which highlight the need for innovative nutritional strategies to improve fish health and productivity. Recently, nanotechnology has been documented as a valued tool in aquaculture, giving new methods for improving feed utilization, nutrient delivery, and the biological performance of cultivated fish species (Dube, 2024). Nanoparticles, generally less than 100 nanometers in size, exhibit distinctive physicochemical properties, such as high surface area and increased reactivity, which improve their bioavailability and collaboration with biotic systems. These features reduce those suitable applicants for dietary supplementation, drug delivery, and water quality management within aquaculture practices (</w:t>
      </w:r>
      <w:proofErr w:type="spellStart"/>
      <w:r>
        <w:t>Thangapandiyan</w:t>
      </w:r>
      <w:proofErr w:type="spellEnd"/>
      <w:r>
        <w:t xml:space="preserve"> et al., 2020).</w:t>
      </w:r>
    </w:p>
    <w:p w14:paraId="5C444662" w14:textId="77777777" w:rsidR="00FA5E21" w:rsidRDefault="00000000">
      <w:pPr>
        <w:pStyle w:val="NormalWeb"/>
        <w:spacing w:line="360" w:lineRule="auto"/>
        <w:ind w:left="360" w:firstLine="720"/>
        <w:jc w:val="both"/>
      </w:pPr>
      <w:r>
        <w:t xml:space="preserve">Various studies have </w:t>
      </w:r>
      <w:proofErr w:type="gramStart"/>
      <w:r>
        <w:t>showed</w:t>
      </w:r>
      <w:proofErr w:type="gramEnd"/>
      <w:r>
        <w:t xml:space="preserve"> the helpful stimulus of dietary nanoparticles on growth performance, digestive physiology, and immune responses in fish (</w:t>
      </w:r>
      <w:proofErr w:type="spellStart"/>
      <w:r>
        <w:t>Thangapandiyan</w:t>
      </w:r>
      <w:proofErr w:type="spellEnd"/>
      <w:r>
        <w:t xml:space="preserve"> et al., 2020; Dube, 2024). For example, the addition of chitosan nanoparticles has been found to significantly enhance growth, feed efficiency, and the activity of digestive enzymes such as amylase and lipase in tilapia (Hossam-Elden et al., 2024). Similarly, curcumin nanoparticles have been associated with increased digestive enzyme activity, improved hematological parameters, and higher antioxidant status in tilapia, suggesting improvements in metabolic efficacy (Abdel-Tawwab et al., 2022). Additionally, zinc oxide nanoparticles have been found to positively affect haemato-biochemical parameters, immune responses in tilapia, underscoring the potential role of metal-based nanoparticles as efficient feed additives (Zahran et al., 2024). </w:t>
      </w:r>
    </w:p>
    <w:p w14:paraId="424D0108" w14:textId="77777777" w:rsidR="00FA5E21" w:rsidRDefault="00000000">
      <w:pPr>
        <w:pStyle w:val="NormalWeb"/>
        <w:spacing w:line="360" w:lineRule="auto"/>
        <w:ind w:left="360" w:firstLine="720"/>
        <w:jc w:val="both"/>
      </w:pPr>
      <w:r>
        <w:lastRenderedPageBreak/>
        <w:t xml:space="preserve">Calcium oxide (CaO) nanoparticles found a possibly valued yet not enough inspected kind of nanomaterials within the realm of aquaculture nutrition (Khalid et al., 2025). Calcium, a critical mineral, plays a vital role in numerous physiological functions, including skeletal development, muscle contraction, enzymatic activation, and osmoregulation (Rajagopal </w:t>
      </w:r>
      <w:proofErr w:type="gramStart"/>
      <w:r>
        <w:t>and  Ponnusamy</w:t>
      </w:r>
      <w:proofErr w:type="gramEnd"/>
      <w:r>
        <w:t>, 2017). CaO particles at the nanoscale may prove enhanced solubility and bioavailability, which could lead to boosted calcium absorption and metabolic processes. Also, metal-based nanoparticles have stored notice in fish nutrition due to their capacity to increase health and enhance disease resistance (Dube, 2024). Nevertheless, the direct use of nanoparticles may current challenges such as aggregation, instability, and potential toxicity, particularly at higher applications.</w:t>
      </w:r>
    </w:p>
    <w:p w14:paraId="1F2D6B2C" w14:textId="77777777" w:rsidR="00FA5E21" w:rsidRDefault="00000000">
      <w:pPr>
        <w:pStyle w:val="NormalWeb"/>
        <w:spacing w:line="360" w:lineRule="auto"/>
        <w:ind w:left="360" w:firstLine="720"/>
        <w:jc w:val="both"/>
      </w:pPr>
      <w:r>
        <w:t>Encapsulation methods have been advanced to report the current limits connected with nanoparticles by attractive their stability, and targeted delivery (Bhat et al., 2025). There is a growing interest in using natural bio resources as eco-friendly encapsulating agents. Within this outline, animal-derived bioactive materials have confirmed possible due to their plentiful conformation of minerals, enzymes, and organic compounds (</w:t>
      </w:r>
      <w:proofErr w:type="spellStart"/>
      <w:r>
        <w:t>Sridharamurthy</w:t>
      </w:r>
      <w:proofErr w:type="spellEnd"/>
      <w:r>
        <w:t xml:space="preserve"> et al., 2016). Mithun (</w:t>
      </w:r>
      <w:proofErr w:type="gramStart"/>
      <w:r>
        <w:t>Bos</w:t>
      </w:r>
      <w:proofErr w:type="gramEnd"/>
      <w:r>
        <w:t xml:space="preserve"> frontalis), a semi-domesticated bovine species indigenous to Northeast India, produces urine that has been traditionally recognized for its therapeutic and antimicrobial properties (</w:t>
      </w:r>
      <w:proofErr w:type="spellStart"/>
      <w:r>
        <w:t>Pelesinou</w:t>
      </w:r>
      <w:proofErr w:type="spellEnd"/>
      <w:r>
        <w:t xml:space="preserve"> et al., 2023). The distillate derived from Mithun urine contains bioactive compounds that may improve numerous metabolic and physiological roles, thereby serving as a potential natural carrier for nanoparticle encapsulation. The encapsulation of CaO nanoparticles using Mithun urine distillate presents an advanced method that integrates nanotechnology with conventional bioresources. This methodology may enhance the constancy of nanoparticles, reduce their toxicity, and increase bioavailability through the synergistic effects of the bioactive compounds involved in encapsulation. Encapsulated systems of this nature are anticipated to facilitate the controlled release of nanoparticles within the gastrointestinal tract, thus enhancing nutrient integration and metabolic efficiency. Consequently, this study </w:t>
      </w:r>
      <w:proofErr w:type="gramStart"/>
      <w:r>
        <w:t>search</w:t>
      </w:r>
      <w:proofErr w:type="gramEnd"/>
      <w:r>
        <w:t xml:space="preserve"> for to assess the influences of dietary supplementation of Mithun urine distillate-encapsulated CaO nanoparticles on digestive enzyme activity and tissue biochemical parameters in </w:t>
      </w:r>
      <w:r>
        <w:rPr>
          <w:i/>
        </w:rPr>
        <w:t xml:space="preserve">O. </w:t>
      </w:r>
      <w:proofErr w:type="spellStart"/>
      <w:r>
        <w:rPr>
          <w:i/>
        </w:rPr>
        <w:t>mossambicus</w:t>
      </w:r>
      <w:proofErr w:type="spellEnd"/>
      <w:r>
        <w:rPr>
          <w:i/>
        </w:rPr>
        <w:t>.</w:t>
      </w:r>
      <w:r>
        <w:t xml:space="preserve"> </w:t>
      </w:r>
      <w:r>
        <w:rPr>
          <w:highlight w:val="yellow"/>
        </w:rPr>
        <w:t xml:space="preserve"> The objective of the present study was to evaluate the effects of dietary supplementation with MUD-encapsulated CaO nanoparticles on digestive enzyme activity and muscle biochemical composition in Oreochromis </w:t>
      </w:r>
      <w:proofErr w:type="spellStart"/>
      <w:r>
        <w:rPr>
          <w:highlight w:val="yellow"/>
        </w:rPr>
        <w:t>mossambicus</w:t>
      </w:r>
      <w:proofErr w:type="spellEnd"/>
      <w:r>
        <w:rPr>
          <w:highlight w:val="yellow"/>
        </w:rPr>
        <w:t>.</w:t>
      </w:r>
    </w:p>
    <w:p w14:paraId="2C75339A" w14:textId="77777777" w:rsidR="00FA5E21" w:rsidRDefault="00000000">
      <w:pPr>
        <w:pStyle w:val="NormalWeb"/>
        <w:spacing w:line="360" w:lineRule="auto"/>
        <w:ind w:firstLine="360"/>
        <w:jc w:val="both"/>
        <w:rPr>
          <w:b/>
        </w:rPr>
      </w:pPr>
      <w:r>
        <w:rPr>
          <w:b/>
        </w:rPr>
        <w:t>2. Materials and methods</w:t>
      </w:r>
    </w:p>
    <w:p w14:paraId="274972C3" w14:textId="77777777" w:rsidR="00FA5E21" w:rsidRDefault="00000000">
      <w:pPr>
        <w:spacing w:before="280" w:after="280" w:line="360" w:lineRule="auto"/>
        <w:ind w:firstLine="360"/>
        <w:jc w:val="both"/>
        <w:outlineLvl w:val="0"/>
        <w:rPr>
          <w:bCs/>
          <w:i/>
        </w:rPr>
      </w:pPr>
      <w:r>
        <w:rPr>
          <w:bCs/>
          <w:i/>
        </w:rPr>
        <w:lastRenderedPageBreak/>
        <w:t xml:space="preserve">2.1 Mithun urine distillate (MUD) encapsulated CaO nanoparticles </w:t>
      </w:r>
    </w:p>
    <w:p w14:paraId="47C4782F" w14:textId="77777777" w:rsidR="00FA5E21" w:rsidRDefault="00000000">
      <w:pPr>
        <w:spacing w:before="280" w:after="280" w:line="360" w:lineRule="auto"/>
        <w:ind w:left="360" w:firstLine="720"/>
        <w:jc w:val="both"/>
        <w:outlineLvl w:val="0"/>
        <w:rPr>
          <w:bCs/>
        </w:rPr>
      </w:pPr>
      <w:r>
        <w:rPr>
          <w:bCs/>
        </w:rPr>
        <w:t xml:space="preserve">The synthesis and characterization of MUD-encapsulated CaO nanoparticles were reported, highlighting the use of </w:t>
      </w:r>
      <w:proofErr w:type="spellStart"/>
      <w:r>
        <w:rPr>
          <w:bCs/>
        </w:rPr>
        <w:t>mithun</w:t>
      </w:r>
      <w:proofErr w:type="spellEnd"/>
      <w:r>
        <w:rPr>
          <w:bCs/>
        </w:rPr>
        <w:t xml:space="preserve"> urine distillate (MUD) as a supplemental diet to enhance the immune response in tilapia against </w:t>
      </w:r>
      <w:r>
        <w:rPr>
          <w:bCs/>
          <w:i/>
        </w:rPr>
        <w:t>Streptococcus agalactiae</w:t>
      </w:r>
      <w:r>
        <w:rPr>
          <w:bCs/>
        </w:rPr>
        <w:t xml:space="preserve"> infection (</w:t>
      </w:r>
      <w:proofErr w:type="spellStart"/>
      <w:r>
        <w:rPr>
          <w:bCs/>
        </w:rPr>
        <w:t>Pelesinou</w:t>
      </w:r>
      <w:proofErr w:type="spellEnd"/>
      <w:r>
        <w:rPr>
          <w:bCs/>
        </w:rPr>
        <w:t xml:space="preserve"> et al., 2024). In the continuation of this study, the same MUD-encapsulated CaO nanoparticles were evaluated in tilapia for their effects on digestive enzyme activity and tissue biochemical indices. The surface morphology of the MUD-encapsulated calcium oxide (CaO) nanoparticles was analyzed using scanning electron microscopy (SEM). The outer coating formed a continuous yet delicate matrix around the CaO nanoparticles, suggesting successful encapsulation (Fig 1).</w:t>
      </w:r>
    </w:p>
    <w:p w14:paraId="574378A4" w14:textId="77777777" w:rsidR="00FA5E21" w:rsidRDefault="00000000">
      <w:pPr>
        <w:pStyle w:val="NormalWeb"/>
        <w:jc w:val="center"/>
        <w:rPr>
          <w:lang w:eastAsia="en-US"/>
        </w:rPr>
      </w:pPr>
      <w:r>
        <w:rPr>
          <w:noProof/>
          <w:lang w:eastAsia="en-US"/>
        </w:rPr>
        <w:drawing>
          <wp:inline distT="0" distB="0" distL="0" distR="0" wp14:anchorId="249F2D29" wp14:editId="099449BA">
            <wp:extent cx="3601720" cy="286639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4" t="-4" r="-4" b="-4"/>
                    <a:stretch>
                      <a:fillRect/>
                    </a:stretch>
                  </pic:blipFill>
                  <pic:spPr bwMode="auto">
                    <a:xfrm>
                      <a:off x="0" y="0"/>
                      <a:ext cx="3601720" cy="2866390"/>
                    </a:xfrm>
                    <a:prstGeom prst="rect">
                      <a:avLst/>
                    </a:prstGeom>
                    <a:noFill/>
                  </pic:spPr>
                </pic:pic>
              </a:graphicData>
            </a:graphic>
          </wp:inline>
        </w:drawing>
      </w:r>
    </w:p>
    <w:p w14:paraId="5278160D" w14:textId="77777777" w:rsidR="00FA5E21" w:rsidRDefault="00000000">
      <w:pPr>
        <w:spacing w:before="280" w:after="280" w:line="360" w:lineRule="auto"/>
        <w:ind w:firstLine="720"/>
        <w:jc w:val="center"/>
        <w:outlineLvl w:val="0"/>
        <w:rPr>
          <w:bCs/>
        </w:rPr>
      </w:pPr>
      <w:r>
        <w:rPr>
          <w:bCs/>
        </w:rPr>
        <w:t>Fig.1. SEM image of MUD encapsulation of CaO NPs</w:t>
      </w:r>
    </w:p>
    <w:p w14:paraId="63F2CED5" w14:textId="77777777" w:rsidR="00FA5E21" w:rsidRDefault="00000000">
      <w:pPr>
        <w:spacing w:before="280" w:after="280" w:line="360" w:lineRule="auto"/>
        <w:ind w:firstLine="720"/>
        <w:jc w:val="both"/>
        <w:outlineLvl w:val="0"/>
      </w:pPr>
      <w:r>
        <w:rPr>
          <w:bCs/>
          <w:i/>
        </w:rPr>
        <w:t>2.2. Diet preparation</w:t>
      </w:r>
    </w:p>
    <w:p w14:paraId="74F5A09C" w14:textId="77777777" w:rsidR="00FA5E21" w:rsidRDefault="00000000">
      <w:pPr>
        <w:spacing w:before="280" w:after="280" w:line="360" w:lineRule="auto"/>
        <w:ind w:left="720" w:firstLine="720"/>
        <w:jc w:val="both"/>
        <w:outlineLvl w:val="0"/>
        <w:rPr>
          <w:bCs/>
        </w:rPr>
      </w:pPr>
      <w:r>
        <w:rPr>
          <w:bCs/>
        </w:rPr>
        <w:t>Four experimental feed diets were framed utilizing MUD-encapsulated CaO nanoparticles (NPs). Each diet was mixed at varying levels: the control group contained 0 mg/kg, while the experimental groups contained T1: 100 mg/kg, T2: 200 mg/kg, T3: 400 mg/kg, and T4: 600 mg/kg of MUD-encapsulated CaO NPs. These diets were made by mixing the nanoparticles with a basal diet considered by a crude protein content of 35% and a crude lipid content of 8.5%, in accordance with the protocols recognized by Sattanathan et al. (2024) and Hossam-Elden et al. (2024). Then, the experimental diets underwent air-drying and were stored at -20°C for further analysis.</w:t>
      </w:r>
    </w:p>
    <w:p w14:paraId="0E1F7BB5" w14:textId="77777777" w:rsidR="00FA5E21" w:rsidRDefault="00000000">
      <w:pPr>
        <w:spacing w:before="280" w:after="280" w:line="360" w:lineRule="auto"/>
        <w:ind w:firstLine="720"/>
        <w:jc w:val="both"/>
        <w:outlineLvl w:val="0"/>
        <w:rPr>
          <w:bCs/>
          <w:i/>
        </w:rPr>
      </w:pPr>
      <w:r>
        <w:rPr>
          <w:bCs/>
          <w:i/>
        </w:rPr>
        <w:lastRenderedPageBreak/>
        <w:t>2.3 Experimental fish</w:t>
      </w:r>
    </w:p>
    <w:p w14:paraId="68D98C1E" w14:textId="77777777" w:rsidR="00FA5E21" w:rsidRDefault="00000000">
      <w:pPr>
        <w:spacing w:before="280" w:after="280" w:line="360" w:lineRule="auto"/>
        <w:ind w:left="720" w:firstLine="720"/>
        <w:jc w:val="both"/>
        <w:outlineLvl w:val="0"/>
        <w:rPr>
          <w:bCs/>
        </w:rPr>
      </w:pPr>
      <w:r>
        <w:rPr>
          <w:bCs/>
        </w:rPr>
        <w:t xml:space="preserve">Healthy, </w:t>
      </w:r>
      <w:proofErr w:type="gramStart"/>
      <w:r>
        <w:rPr>
          <w:bCs/>
        </w:rPr>
        <w:t>disease free</w:t>
      </w:r>
      <w:proofErr w:type="gramEnd"/>
      <w:r>
        <w:rPr>
          <w:bCs/>
        </w:rPr>
        <w:t xml:space="preserve"> tilapia, </w:t>
      </w:r>
      <w:r>
        <w:rPr>
          <w:bCs/>
          <w:i/>
        </w:rPr>
        <w:t xml:space="preserve">O. </w:t>
      </w:r>
      <w:proofErr w:type="spellStart"/>
      <w:r>
        <w:rPr>
          <w:bCs/>
          <w:i/>
        </w:rPr>
        <w:t>mossambicus</w:t>
      </w:r>
      <w:proofErr w:type="spellEnd"/>
      <w:r>
        <w:rPr>
          <w:bCs/>
        </w:rPr>
        <w:t xml:space="preserve">, with an average initial body weight of approximately 10 ± 0.5 g, were acquired from a local fish farm, Dimapur, Nagaland, India and transported to the laboratory under conditions of aeration. Upon their arrival, the fish were carefully placed into cement tanks (1500 L) and underwent a 14-day acclimatization period. </w:t>
      </w:r>
      <w:proofErr w:type="gramStart"/>
      <w:r>
        <w:rPr>
          <w:bCs/>
        </w:rPr>
        <w:t>Throughout</w:t>
      </w:r>
      <w:proofErr w:type="gramEnd"/>
      <w:r>
        <w:rPr>
          <w:bCs/>
        </w:rPr>
        <w:t xml:space="preserve"> period, the fish were providing with a basal diet </w:t>
      </w:r>
      <w:proofErr w:type="gramStart"/>
      <w:r>
        <w:rPr>
          <w:bCs/>
        </w:rPr>
        <w:t>ad</w:t>
      </w:r>
      <w:proofErr w:type="gramEnd"/>
      <w:r>
        <w:rPr>
          <w:bCs/>
        </w:rPr>
        <w:t xml:space="preserve"> libitum twice daily, facilitating their adaptation to </w:t>
      </w:r>
      <w:proofErr w:type="gramStart"/>
      <w:r>
        <w:rPr>
          <w:bCs/>
        </w:rPr>
        <w:t>the experimental</w:t>
      </w:r>
      <w:proofErr w:type="gramEnd"/>
      <w:r>
        <w:rPr>
          <w:bCs/>
        </w:rPr>
        <w:t xml:space="preserve"> conditions and reducing handling stress. The tanks were preserved under ambient photoperiod conditions. Water quality parameters were monitored regularly and kept within optimal ranges beneficial for tilapia culture. Parameters such as temperature (25 ± 1.2℃) pH (7.4 ± 0.3), dissolved oxygen (7.4 ± 2.3 mg/L), and ammonia (&lt;0.02 mg/L) were periodically assessed to ensure a stable rearing environment. Partial water exchange was performed as required to uphold water quality and eliminate accumulated waste materials.</w:t>
      </w:r>
    </w:p>
    <w:p w14:paraId="7CE15208" w14:textId="77777777" w:rsidR="00BE5E6A" w:rsidRDefault="00000000" w:rsidP="00BE5E6A">
      <w:pPr>
        <w:spacing w:before="280" w:after="280" w:line="360" w:lineRule="auto"/>
        <w:ind w:firstLine="720"/>
        <w:jc w:val="both"/>
        <w:outlineLvl w:val="0"/>
        <w:rPr>
          <w:bCs/>
          <w:i/>
        </w:rPr>
      </w:pPr>
      <w:r>
        <w:rPr>
          <w:bCs/>
          <w:i/>
        </w:rPr>
        <w:t>2.4 Experimental design</w:t>
      </w:r>
    </w:p>
    <w:p w14:paraId="6B14F5C3" w14:textId="77777777" w:rsidR="00FA5E21" w:rsidRDefault="00BE5E6A">
      <w:pPr>
        <w:spacing w:before="280" w:after="280" w:line="360" w:lineRule="auto"/>
        <w:ind w:left="720" w:firstLine="720"/>
        <w:jc w:val="both"/>
        <w:outlineLvl w:val="0"/>
        <w:rPr>
          <w:bCs/>
        </w:rPr>
      </w:pPr>
      <w:r w:rsidRPr="00BE5E6A">
        <w:rPr>
          <w:bCs/>
          <w:highlight w:val="yellow"/>
        </w:rPr>
        <w:t>Experimental tanks were disinfected before fish stocking. Fish were acclimatized for two weeks before the experiment. Feed pellets were uniformly coated with nanoparticle supplementation and dried prior to feeding. Water quality was monitored regularly throughout the study.</w:t>
      </w:r>
      <w:r>
        <w:rPr>
          <w:bCs/>
        </w:rPr>
        <w:t xml:space="preserve"> A completely randomized design was utilized in this research to measure the effect of dietary supplementation with MUD encapsulated CaO nanoparticles on </w:t>
      </w:r>
      <w:r>
        <w:rPr>
          <w:bCs/>
          <w:i/>
          <w:iCs/>
        </w:rPr>
        <w:t>O</w:t>
      </w:r>
      <w:r>
        <w:rPr>
          <w:bCs/>
        </w:rPr>
        <w:t xml:space="preserve">. </w:t>
      </w:r>
      <w:proofErr w:type="spellStart"/>
      <w:r>
        <w:rPr>
          <w:bCs/>
          <w:i/>
          <w:iCs/>
        </w:rPr>
        <w:t>mossambicus</w:t>
      </w:r>
      <w:proofErr w:type="spellEnd"/>
      <w:r>
        <w:rPr>
          <w:bCs/>
        </w:rPr>
        <w:t xml:space="preserve">. Five experimental groups were formed, including control group and four treatment groups. Each treatment group was replicated three times, with 25 fish placed in each tank to maintain a consistent stocking density across all experimental units. The control group </w:t>
      </w:r>
      <w:proofErr w:type="gramStart"/>
      <w:r>
        <w:rPr>
          <w:bCs/>
        </w:rPr>
        <w:t>was administered</w:t>
      </w:r>
      <w:proofErr w:type="gramEnd"/>
      <w:r>
        <w:rPr>
          <w:bCs/>
        </w:rPr>
        <w:t xml:space="preserve"> a basal diet devoid of nanoparticle supplementation, while the treatment groups received diets enhanced with MUD-encapsulated CaO nanoparticles at concentrations of 100, 200, 400, and 600 mg/kg feed, respectively. The feeding trial lasted for 60 days. Fish were fed at a rate of 4% of their body weight per day, distributed in two equal portions provided in the morning and evening. The feeding rate was recalibrated every 15 days according to the average body weight of the fish in each tank to ensure precise feed distribution and reduce feed wastage. All experimental groups were kept under uniform environmental and management conditions throughout the duration of the study, thereby ensuring that any observed outcomes could be attributed to </w:t>
      </w:r>
      <w:proofErr w:type="gramStart"/>
      <w:r>
        <w:rPr>
          <w:bCs/>
        </w:rPr>
        <w:t>the dietary</w:t>
      </w:r>
      <w:proofErr w:type="gramEnd"/>
      <w:r>
        <w:rPr>
          <w:bCs/>
        </w:rPr>
        <w:t xml:space="preserve"> interventions.</w:t>
      </w:r>
    </w:p>
    <w:p w14:paraId="1E253998" w14:textId="77777777" w:rsidR="00FA5E21" w:rsidRDefault="00000000">
      <w:pPr>
        <w:spacing w:before="280" w:after="280" w:line="360" w:lineRule="auto"/>
        <w:ind w:firstLine="720"/>
        <w:jc w:val="both"/>
        <w:outlineLvl w:val="0"/>
      </w:pPr>
      <w:r>
        <w:rPr>
          <w:bCs/>
          <w:iCs/>
        </w:rPr>
        <w:t>2.5 Sample Collection and Tissue Analysis</w:t>
      </w:r>
    </w:p>
    <w:p w14:paraId="151F4A86" w14:textId="4CF85F34" w:rsidR="00FA5E21" w:rsidRDefault="00BE5E6A" w:rsidP="00BE5E6A">
      <w:pPr>
        <w:spacing w:before="280" w:after="280" w:line="360" w:lineRule="auto"/>
        <w:ind w:left="720" w:firstLine="720"/>
        <w:jc w:val="both"/>
        <w:outlineLvl w:val="0"/>
        <w:rPr>
          <w:bCs/>
        </w:rPr>
      </w:pPr>
      <w:r>
        <w:rPr>
          <w:bCs/>
        </w:rPr>
        <w:lastRenderedPageBreak/>
        <w:t xml:space="preserve">At the conclusion of the 60-day feeding trial, the experimental fish underwent a 24-hour fast to remove gut matters and decrease variability in digestive enzyme activity. The fingerlings were then anesthetized with tricaine methane sulfonate (MS-222) at a concentration of 20 mg/L (Yu et al., 2024). After immobilization, the fish were exactly dissected under sterile conditions. The intestine was removed and </w:t>
      </w:r>
      <w:proofErr w:type="gramStart"/>
      <w:r>
        <w:rPr>
          <w:bCs/>
        </w:rPr>
        <w:t>prompt</w:t>
      </w:r>
      <w:proofErr w:type="gramEnd"/>
      <w:r>
        <w:rPr>
          <w:bCs/>
        </w:rPr>
        <w:t xml:space="preserve"> administered for the analysis of digestive enzyme activities, specifically protease, amylase, and lipase. Moreover, dorsal muscle tissue was collected for the valuation of proximate composition parameters, including moisture, crude protein, lipid, and ash content. </w:t>
      </w:r>
    </w:p>
    <w:p w14:paraId="6C7AA309" w14:textId="77777777" w:rsidR="00FA5E21" w:rsidRDefault="00000000">
      <w:pPr>
        <w:spacing w:before="280" w:after="280" w:line="360" w:lineRule="auto"/>
        <w:ind w:firstLine="720"/>
        <w:jc w:val="both"/>
        <w:outlineLvl w:val="0"/>
      </w:pPr>
      <w:r>
        <w:rPr>
          <w:bCs/>
          <w:iCs/>
        </w:rPr>
        <w:t>2.6 Digestive enzyme activity</w:t>
      </w:r>
    </w:p>
    <w:p w14:paraId="37CD7E7D" w14:textId="77777777" w:rsidR="00FA5E21" w:rsidRDefault="00000000">
      <w:pPr>
        <w:spacing w:before="280" w:after="280" w:line="360" w:lineRule="auto"/>
        <w:ind w:firstLine="720"/>
        <w:jc w:val="both"/>
        <w:outlineLvl w:val="0"/>
      </w:pPr>
      <w:r>
        <w:rPr>
          <w:bCs/>
          <w:iCs/>
        </w:rPr>
        <w:t>2.6.1 Preparation of Intestinal Extract</w:t>
      </w:r>
    </w:p>
    <w:p w14:paraId="617A62BE" w14:textId="77777777" w:rsidR="00FA5E21" w:rsidRDefault="00000000">
      <w:pPr>
        <w:spacing w:before="280" w:after="280" w:line="360" w:lineRule="auto"/>
        <w:ind w:left="720" w:firstLine="720"/>
        <w:jc w:val="both"/>
        <w:outlineLvl w:val="0"/>
        <w:rPr>
          <w:bCs/>
        </w:rPr>
      </w:pPr>
      <w:r>
        <w:rPr>
          <w:bCs/>
        </w:rPr>
        <w:t xml:space="preserve">The removed intestinal tissues were washed extensively with ice-cold physiological saline (0.9% NaCl) to remove any following feed bits and rubbish. </w:t>
      </w:r>
      <w:proofErr w:type="gramStart"/>
      <w:r>
        <w:rPr>
          <w:bCs/>
        </w:rPr>
        <w:t>Subsequent</w:t>
      </w:r>
      <w:proofErr w:type="gramEnd"/>
      <w:r>
        <w:rPr>
          <w:bCs/>
        </w:rPr>
        <w:t xml:space="preserve"> this, the washed muscles were weighed. 20 grams </w:t>
      </w:r>
      <w:proofErr w:type="gramStart"/>
      <w:r>
        <w:rPr>
          <w:bCs/>
        </w:rPr>
        <w:t>of  intestinal</w:t>
      </w:r>
      <w:proofErr w:type="gramEnd"/>
      <w:r>
        <w:rPr>
          <w:bCs/>
        </w:rPr>
        <w:t xml:space="preserve"> tissue was then homogenized in ice-cold phosphate buffer (0.1 M, pH 7.0) utilizing a glass homogenizer (</w:t>
      </w:r>
      <w:r>
        <w:rPr>
          <w:color w:val="222222"/>
        </w:rPr>
        <w:t>Yousefi et al., 2025)</w:t>
      </w:r>
      <w:r>
        <w:rPr>
          <w:bCs/>
        </w:rPr>
        <w:t>. Then, the homogenate was centrifuged at 5000 rpm for 30 minutes at 4°C, and the resulting supernatant was collected to serve as the crude enzyme extract for the valuation of digestive enzyme activities.</w:t>
      </w:r>
    </w:p>
    <w:p w14:paraId="2F2AEAFE" w14:textId="77777777" w:rsidR="00FA5E21" w:rsidRDefault="00000000">
      <w:pPr>
        <w:spacing w:before="280" w:after="280" w:line="360" w:lineRule="auto"/>
        <w:ind w:firstLine="720"/>
        <w:jc w:val="both"/>
        <w:outlineLvl w:val="0"/>
      </w:pPr>
      <w:r>
        <w:rPr>
          <w:bCs/>
          <w:i/>
        </w:rPr>
        <w:t>2.6.2 Amylase Activity</w:t>
      </w:r>
    </w:p>
    <w:p w14:paraId="1C85CF31" w14:textId="77777777" w:rsidR="00FA5E21" w:rsidRDefault="00000000">
      <w:pPr>
        <w:spacing w:before="280" w:after="280" w:line="360" w:lineRule="auto"/>
        <w:ind w:left="720" w:firstLine="720"/>
        <w:jc w:val="both"/>
        <w:outlineLvl w:val="0"/>
        <w:rPr>
          <w:bCs/>
        </w:rPr>
      </w:pPr>
      <w:r>
        <w:rPr>
          <w:bCs/>
        </w:rPr>
        <w:t>Amylase activity was measured in agreement with the methodology proven by Bernfeld (1955), utilizing starch as the substrate. The reaction mixture comprised the enzyme extract and a soluble starch solution formulated in phosphate buffer. Following incubation at 37°C for a determined period, the reaction was halted through the introduction of dinitro salicylic acid (DNS) reagent. The mixture was then heated in a boiling water bath, allowed to cool, and the absorbance was measured at 540 nm using a spectrophotometer. Amylase activity was quantified as micromoles of maltose produced per minute per milligram of protein.</w:t>
      </w:r>
    </w:p>
    <w:p w14:paraId="546A5820" w14:textId="77777777" w:rsidR="00FA5E21" w:rsidRDefault="00000000">
      <w:pPr>
        <w:spacing w:before="280" w:after="280" w:line="360" w:lineRule="auto"/>
        <w:ind w:firstLine="720"/>
        <w:jc w:val="both"/>
        <w:outlineLvl w:val="0"/>
      </w:pPr>
      <w:r>
        <w:rPr>
          <w:bCs/>
          <w:iCs/>
        </w:rPr>
        <w:t>2.6.3 Protease Activity</w:t>
      </w:r>
    </w:p>
    <w:p w14:paraId="0EC3AEDA" w14:textId="77777777" w:rsidR="00FA5E21" w:rsidRDefault="00000000">
      <w:pPr>
        <w:spacing w:before="280" w:after="280" w:line="360" w:lineRule="auto"/>
        <w:ind w:left="720" w:firstLine="720"/>
        <w:jc w:val="both"/>
        <w:outlineLvl w:val="0"/>
        <w:rPr>
          <w:bCs/>
        </w:rPr>
      </w:pPr>
      <w:r>
        <w:rPr>
          <w:bCs/>
        </w:rPr>
        <w:t xml:space="preserve">Protease activity was evaluated utilizing the methodology recognized by Lowry et al. (1951), with slight modifications, using casein as the substrate. The reaction mixture, which comprised the enzyme extract and casein solution, was incubated at a temperature of </w:t>
      </w:r>
      <w:r>
        <w:rPr>
          <w:bCs/>
        </w:rPr>
        <w:lastRenderedPageBreak/>
        <w:t xml:space="preserve">37°C. The reaction was halted through the introduction of trichloroacetic acid (TCA), followed by centrifugation to remove undigested protein. The absorbance of the resultant supernatant was noted at a wavelength of 660 nm </w:t>
      </w:r>
      <w:proofErr w:type="gramStart"/>
      <w:r>
        <w:rPr>
          <w:bCs/>
        </w:rPr>
        <w:t>subsequent to</w:t>
      </w:r>
      <w:proofErr w:type="gramEnd"/>
      <w:r>
        <w:rPr>
          <w:bCs/>
        </w:rPr>
        <w:t xml:space="preserve"> the addition of Folin </w:t>
      </w:r>
      <w:proofErr w:type="spellStart"/>
      <w:r>
        <w:rPr>
          <w:bCs/>
        </w:rPr>
        <w:t>Ciocalteu</w:t>
      </w:r>
      <w:proofErr w:type="spellEnd"/>
      <w:r>
        <w:rPr>
          <w:bCs/>
        </w:rPr>
        <w:t xml:space="preserve"> reagent. The activity of the protease was calculated as micrograms of tyrosine released per minute per milligram of protein.</w:t>
      </w:r>
    </w:p>
    <w:p w14:paraId="041791E7" w14:textId="77777777" w:rsidR="00FA5E21" w:rsidRDefault="00FA5E21">
      <w:pPr>
        <w:spacing w:before="280" w:after="280" w:line="360" w:lineRule="auto"/>
        <w:ind w:firstLine="720"/>
        <w:jc w:val="both"/>
        <w:outlineLvl w:val="0"/>
        <w:rPr>
          <w:bCs/>
          <w:i/>
        </w:rPr>
      </w:pPr>
    </w:p>
    <w:p w14:paraId="174500F2" w14:textId="77777777" w:rsidR="00FA5E21" w:rsidRDefault="00FA5E21">
      <w:pPr>
        <w:spacing w:before="280" w:after="280" w:line="360" w:lineRule="auto"/>
        <w:ind w:firstLine="720"/>
        <w:jc w:val="both"/>
        <w:outlineLvl w:val="0"/>
        <w:rPr>
          <w:bCs/>
          <w:i/>
        </w:rPr>
      </w:pPr>
    </w:p>
    <w:p w14:paraId="4D41F5F7" w14:textId="77777777" w:rsidR="00FA5E21" w:rsidRDefault="00000000">
      <w:pPr>
        <w:spacing w:before="280" w:after="280" w:line="360" w:lineRule="auto"/>
        <w:ind w:firstLine="720"/>
        <w:jc w:val="both"/>
        <w:outlineLvl w:val="0"/>
      </w:pPr>
      <w:r>
        <w:rPr>
          <w:bCs/>
          <w:i/>
        </w:rPr>
        <w:t>2.6.3 Lipase Activity</w:t>
      </w:r>
    </w:p>
    <w:p w14:paraId="7685EB74" w14:textId="77777777" w:rsidR="00FA5E21" w:rsidRDefault="00000000">
      <w:pPr>
        <w:spacing w:before="280" w:after="280" w:line="360" w:lineRule="auto"/>
        <w:ind w:left="720" w:firstLine="720"/>
        <w:jc w:val="both"/>
        <w:outlineLvl w:val="0"/>
        <w:rPr>
          <w:bCs/>
        </w:rPr>
      </w:pPr>
      <w:r>
        <w:rPr>
          <w:bCs/>
        </w:rPr>
        <w:t>Lipase activity was assessed employing the method established by Cherry and Crandall (1932), with slight modifications. The assay utilized an olive oil emulsion as the substrate for hydrolysis. The reaction mixture, comprising the enzyme extract and the substrate, was incubated at 37°C. The fatty acids released during the reaction were titrated with sodium hydroxide, using phenolphthalein as an indicator. Lipase activity was quantified as micromoles of fatty acids released per minute per milligram of protein.</w:t>
      </w:r>
    </w:p>
    <w:p w14:paraId="0AA6C278" w14:textId="77777777" w:rsidR="00FA5E21" w:rsidRDefault="00000000">
      <w:pPr>
        <w:spacing w:before="280" w:after="280" w:line="360" w:lineRule="auto"/>
        <w:ind w:firstLine="720"/>
        <w:jc w:val="both"/>
        <w:outlineLvl w:val="0"/>
      </w:pPr>
      <w:r>
        <w:rPr>
          <w:bCs/>
          <w:i/>
        </w:rPr>
        <w:t xml:space="preserve">2.7 Proximal Composition </w:t>
      </w:r>
    </w:p>
    <w:p w14:paraId="3A7F3CDA" w14:textId="77777777" w:rsidR="00FA5E21" w:rsidRDefault="00000000">
      <w:pPr>
        <w:spacing w:before="280" w:after="280" w:line="360" w:lineRule="auto"/>
        <w:ind w:left="720" w:firstLine="720"/>
        <w:jc w:val="both"/>
        <w:outlineLvl w:val="0"/>
        <w:rPr>
          <w:bCs/>
        </w:rPr>
      </w:pPr>
      <w:r>
        <w:rPr>
          <w:bCs/>
        </w:rPr>
        <w:t xml:space="preserve">Dorsal muscle samples of tilapia were examined for their proximate composition, which includes moisture, crude protein, crude lipid, and ash content, in accord with the standard techniques delineated by AOAC (2016). Moisture content was measured by drying a known weight of muscle tissue in a hot air oven at 105°C until a constant weight was accomplished. The weight loss was noted and stated as a percentage of the initial sample weight. Crude protein content was measured using the Kjeldahl method, which includes digestion, distillation, and titration to ascertain total nitrogen content. The nitrogen value obtained was multiplied by a conversion factor of 6.25 to derive the crude protein, with results expressed as a %. Crude lipid content was measured through Soxhlet extraction, utilizing petroleum ether as the solvent. The lipid fraction extracted was enumerated by gravimetric analysis and expressed as a percentage of dry weight. Ash content was determined by incinerating the dried samples in a muffle furnace at 550°C for a duration of 4–6 hours until a constant weight was reached. The remaining inorganic residue was weighed and expressed as a percentage (Yu et al., 2025). </w:t>
      </w:r>
    </w:p>
    <w:p w14:paraId="3E4E4712" w14:textId="77777777" w:rsidR="00FA5E21" w:rsidRDefault="00000000">
      <w:pPr>
        <w:spacing w:before="280" w:after="280" w:line="360" w:lineRule="auto"/>
        <w:ind w:firstLine="720"/>
        <w:jc w:val="both"/>
        <w:outlineLvl w:val="0"/>
      </w:pPr>
      <w:r>
        <w:rPr>
          <w:bCs/>
          <w:iCs/>
        </w:rPr>
        <w:t>2.8 Statistical analysis</w:t>
      </w:r>
    </w:p>
    <w:p w14:paraId="5C094924" w14:textId="77777777" w:rsidR="00FA5E21" w:rsidRDefault="00000000">
      <w:pPr>
        <w:spacing w:before="280" w:after="280" w:line="360" w:lineRule="auto"/>
        <w:ind w:left="720" w:firstLine="720"/>
        <w:jc w:val="both"/>
        <w:outlineLvl w:val="0"/>
        <w:rPr>
          <w:bCs/>
        </w:rPr>
      </w:pPr>
      <w:r>
        <w:rPr>
          <w:bCs/>
        </w:rPr>
        <w:lastRenderedPageBreak/>
        <w:t xml:space="preserve">All experimental data collected in the current study were presented as mean ± standard error (SE) based on triplicate measurements. Statistical analyses were conducted utilizing appropriate software (e.g., SPSS version 21.0 or its equivalent). The data underwent one-way analysis of variance (ANOVA) to ascertain significant differences between the control and treatment groups. In instances where significant differences were detected, means were compared through Duncan’s Multiple Range Test (DMRT) to delineate specific differences among treatment groups. A probability level of P &lt; 0.05 was established to denote statistical significance. </w:t>
      </w:r>
    </w:p>
    <w:p w14:paraId="6B47CE7B" w14:textId="77777777" w:rsidR="00FA5E21" w:rsidRDefault="00000000">
      <w:pPr>
        <w:spacing w:before="280" w:after="280" w:line="360" w:lineRule="auto"/>
        <w:ind w:firstLine="720"/>
        <w:jc w:val="both"/>
        <w:outlineLvl w:val="0"/>
      </w:pPr>
      <w:r>
        <w:rPr>
          <w:b/>
          <w:bCs/>
        </w:rPr>
        <w:t>3. Results</w:t>
      </w:r>
    </w:p>
    <w:p w14:paraId="3CC92DCF" w14:textId="77777777" w:rsidR="00C5799F" w:rsidRPr="00C5799F" w:rsidRDefault="00C5799F" w:rsidP="00C97FB5">
      <w:pPr>
        <w:spacing w:before="280" w:after="280" w:line="360" w:lineRule="auto"/>
        <w:ind w:firstLine="720"/>
        <w:jc w:val="both"/>
        <w:outlineLvl w:val="0"/>
        <w:rPr>
          <w:bCs/>
          <w:iCs/>
        </w:rPr>
      </w:pPr>
      <w:r w:rsidRPr="00C5799F">
        <w:rPr>
          <w:bCs/>
          <w:iCs/>
        </w:rPr>
        <w:t>3.1 Lipase Activity</w:t>
      </w:r>
    </w:p>
    <w:p w14:paraId="0CEF320C" w14:textId="77777777" w:rsidR="00C5799F" w:rsidRPr="00C5799F" w:rsidRDefault="00C5799F" w:rsidP="00C5799F">
      <w:pPr>
        <w:spacing w:before="280" w:after="280" w:line="360" w:lineRule="auto"/>
        <w:ind w:firstLine="720"/>
        <w:jc w:val="both"/>
        <w:outlineLvl w:val="0"/>
        <w:rPr>
          <w:bCs/>
          <w:iCs/>
        </w:rPr>
      </w:pPr>
      <w:r w:rsidRPr="00C5799F">
        <w:rPr>
          <w:bCs/>
          <w:iCs/>
        </w:rPr>
        <w:t xml:space="preserve">Lipase activity exhibited a significant increase in all treatment groups when compared with the control group. The control group recorded a lipase activity of 30.56 ± 0.02 U mg⁻¹ protein, whereas the experimental groups supplemented with MUD-encapsulated CaO nanoparticles showed enhanced enzyme activity. Among the treatment groups, the highest lipase activity was observed in T2 (36.32 ± 0.29 U mg⁻¹ protein), followed by T3 and T1. Although T4 also showed higher activity than the control group, the increase was comparatively lower than that observed in T2 and T3. The results demonstrated that dietary supplementation with MUD-encapsulated CaO nanoparticles significantly enhanced lipid digestive capacity in Oreochromis </w:t>
      </w:r>
      <w:proofErr w:type="spellStart"/>
      <w:r w:rsidRPr="00C5799F">
        <w:rPr>
          <w:bCs/>
          <w:iCs/>
        </w:rPr>
        <w:t>mossambicus</w:t>
      </w:r>
      <w:proofErr w:type="spellEnd"/>
      <w:r w:rsidRPr="00C5799F">
        <w:rPr>
          <w:bCs/>
          <w:iCs/>
        </w:rPr>
        <w:t xml:space="preserve"> (P &lt; 0.05; Fig. 2a).</w:t>
      </w:r>
    </w:p>
    <w:p w14:paraId="4F5FB3A6" w14:textId="77777777" w:rsidR="00C5799F" w:rsidRPr="00C5799F" w:rsidRDefault="00C5799F" w:rsidP="00C5799F">
      <w:pPr>
        <w:spacing w:before="280" w:after="280" w:line="360" w:lineRule="auto"/>
        <w:jc w:val="both"/>
        <w:outlineLvl w:val="0"/>
        <w:rPr>
          <w:bCs/>
          <w:iCs/>
        </w:rPr>
      </w:pPr>
      <w:r w:rsidRPr="00C5799F">
        <w:rPr>
          <w:bCs/>
          <w:iCs/>
        </w:rPr>
        <w:t>3.2 Amylase Activity</w:t>
      </w:r>
    </w:p>
    <w:p w14:paraId="257BD779" w14:textId="77777777" w:rsidR="00C5799F" w:rsidRPr="00C5799F" w:rsidRDefault="00C5799F" w:rsidP="00C5799F">
      <w:pPr>
        <w:spacing w:before="280" w:after="280" w:line="360" w:lineRule="auto"/>
        <w:jc w:val="both"/>
        <w:outlineLvl w:val="0"/>
        <w:rPr>
          <w:bCs/>
          <w:iCs/>
        </w:rPr>
      </w:pPr>
      <w:r w:rsidRPr="00C5799F">
        <w:rPr>
          <w:bCs/>
          <w:iCs/>
        </w:rPr>
        <w:t xml:space="preserve">Amylase activity showed a significant improvement in all nanoparticle-supplemented groups compared to the control group (P &lt; 0.05; Fig. 2b). The control group exhibited an amylase activity of 62.87 ± 0.38 U mg⁻¹ protein, while the highest activity was recorded in the T2 group (64.64 ± 0.58 U mg⁻¹ protein). The T1 and T3 groups also demonstrated improved enzyme activity relative to </w:t>
      </w:r>
      <w:proofErr w:type="gramStart"/>
      <w:r w:rsidRPr="00C5799F">
        <w:rPr>
          <w:bCs/>
          <w:iCs/>
        </w:rPr>
        <w:t>the control</w:t>
      </w:r>
      <w:proofErr w:type="gramEnd"/>
      <w:r w:rsidRPr="00C5799F">
        <w:rPr>
          <w:bCs/>
          <w:iCs/>
        </w:rPr>
        <w:t>. However, at the highest supplementation level (T4), a slight decline in amylase activity was observed when compared to T2, although the value remained higher than that of the control group. These findings suggest that moderate dietary inclusion of MUD-encapsulated CaO nanoparticles positively influenced carbohydrate digestion and nutrient assimilation in tilapia.</w:t>
      </w:r>
    </w:p>
    <w:p w14:paraId="1B061394" w14:textId="77777777" w:rsidR="00C5799F" w:rsidRPr="00C5799F" w:rsidRDefault="00C5799F" w:rsidP="00C5799F">
      <w:pPr>
        <w:spacing w:before="280" w:after="280" w:line="360" w:lineRule="auto"/>
        <w:jc w:val="both"/>
        <w:outlineLvl w:val="0"/>
        <w:rPr>
          <w:bCs/>
          <w:iCs/>
        </w:rPr>
      </w:pPr>
      <w:r w:rsidRPr="00C5799F">
        <w:rPr>
          <w:bCs/>
          <w:iCs/>
        </w:rPr>
        <w:t>3.3 Protease Activity</w:t>
      </w:r>
    </w:p>
    <w:p w14:paraId="5329C757" w14:textId="77777777" w:rsidR="00C5799F" w:rsidRPr="00C5799F" w:rsidRDefault="00C5799F" w:rsidP="00C5799F">
      <w:pPr>
        <w:spacing w:before="280" w:after="280" w:line="360" w:lineRule="auto"/>
        <w:ind w:firstLine="720"/>
        <w:jc w:val="both"/>
        <w:outlineLvl w:val="0"/>
        <w:rPr>
          <w:bCs/>
          <w:iCs/>
        </w:rPr>
      </w:pPr>
      <w:r w:rsidRPr="00C5799F">
        <w:rPr>
          <w:bCs/>
          <w:iCs/>
        </w:rPr>
        <w:lastRenderedPageBreak/>
        <w:t xml:space="preserve">Protease activity increased significantly in all treatment groups supplemented with MUD-encapsulated CaO nanoparticles when compared with the control group (P &lt; 0.05; Fig. 2c). The control group recorded the lowest protease activity (38.54 ± 0.05 U mg⁻¹ protein), whereas the highest activity was observed in the T2 group (43.28 ± 0.38 U mg⁻¹ protein). The T3 and T4 groups also exhibited enhanced protease activity, indicating improved protein digestion and metabolic efficiency in the treated fish. The increase in protease activity observed in the nanoparticle-supplemented groups suggests that dietary inclusion of CaO nanoparticles promoted digestive physiology and nutrient utilization efficiency in O. </w:t>
      </w:r>
      <w:proofErr w:type="spellStart"/>
      <w:r w:rsidRPr="00C5799F">
        <w:rPr>
          <w:bCs/>
          <w:iCs/>
        </w:rPr>
        <w:t>mossambicus</w:t>
      </w:r>
      <w:proofErr w:type="spellEnd"/>
      <w:r w:rsidRPr="00C5799F">
        <w:rPr>
          <w:bCs/>
          <w:iCs/>
        </w:rPr>
        <w:t>.</w:t>
      </w:r>
    </w:p>
    <w:p w14:paraId="04D145C0" w14:textId="77777777" w:rsidR="00C5799F" w:rsidRPr="00C5799F" w:rsidRDefault="00C5799F" w:rsidP="00C5799F">
      <w:pPr>
        <w:spacing w:before="280" w:after="280" w:line="360" w:lineRule="auto"/>
        <w:jc w:val="both"/>
        <w:outlineLvl w:val="0"/>
        <w:rPr>
          <w:bCs/>
          <w:iCs/>
        </w:rPr>
      </w:pPr>
      <w:r w:rsidRPr="00C5799F">
        <w:rPr>
          <w:bCs/>
          <w:iCs/>
        </w:rPr>
        <w:t>3.4 Proximate Composition</w:t>
      </w:r>
    </w:p>
    <w:p w14:paraId="6B6D94DD" w14:textId="77777777" w:rsidR="00C5799F" w:rsidRPr="00C5799F" w:rsidRDefault="00C5799F" w:rsidP="00C97FB5">
      <w:pPr>
        <w:spacing w:before="280" w:after="280" w:line="360" w:lineRule="auto"/>
        <w:jc w:val="both"/>
        <w:outlineLvl w:val="0"/>
        <w:rPr>
          <w:bCs/>
          <w:iCs/>
        </w:rPr>
      </w:pPr>
      <w:r w:rsidRPr="00C5799F">
        <w:rPr>
          <w:bCs/>
          <w:iCs/>
        </w:rPr>
        <w:t xml:space="preserve">The proximate composition of dorsal muscle in Oreochromis </w:t>
      </w:r>
      <w:proofErr w:type="spellStart"/>
      <w:r w:rsidRPr="00C5799F">
        <w:rPr>
          <w:bCs/>
          <w:iCs/>
        </w:rPr>
        <w:t>mossambicus</w:t>
      </w:r>
      <w:proofErr w:type="spellEnd"/>
      <w:r w:rsidRPr="00C5799F">
        <w:rPr>
          <w:bCs/>
          <w:iCs/>
        </w:rPr>
        <w:t xml:space="preserve"> was significantly influenced by dietary supplementation with MUD-encapsulated CaO nanoparticles (Table 1). Crude protein content increased significantly (P &lt; 0.001) in all treatment groups compared with the control group, which recorded a value of 30.20 ± 0.35%. The highest crude protein content was observed in T3 (33.03 ± 0.26%), followed closely by T2, indicating improved protein deposition and enhanced nutrient utilization in nanoparticle-supplemented fish.</w:t>
      </w:r>
    </w:p>
    <w:p w14:paraId="65F4D260" w14:textId="77777777" w:rsidR="00C5799F" w:rsidRPr="00C5799F" w:rsidRDefault="00C5799F" w:rsidP="00C5799F">
      <w:pPr>
        <w:spacing w:before="280" w:after="280" w:line="360" w:lineRule="auto"/>
        <w:ind w:firstLine="720"/>
        <w:jc w:val="both"/>
        <w:outlineLvl w:val="0"/>
        <w:rPr>
          <w:bCs/>
          <w:iCs/>
        </w:rPr>
      </w:pPr>
      <w:r w:rsidRPr="00C5799F">
        <w:rPr>
          <w:bCs/>
          <w:iCs/>
        </w:rPr>
        <w:t>Crude lipid content also showed a significant increase (P &lt; 0.001) in the treated groups. The highest lipid content was recorded in T3 (18.77 ± 0.15%), whereas the control group showed the lowest value (17.26 ± 0.60%). However, a slight reduction in lipid content was observed at the highest supplementation level (T4), suggesting that excessive nanoparticle inclusion may reduce metabolic efficiency.</w:t>
      </w:r>
    </w:p>
    <w:p w14:paraId="7C37A2E2" w14:textId="77777777" w:rsidR="00C5799F" w:rsidRPr="00C5799F" w:rsidRDefault="00C5799F" w:rsidP="00C5799F">
      <w:pPr>
        <w:spacing w:before="280" w:after="280" w:line="360" w:lineRule="auto"/>
        <w:jc w:val="both"/>
        <w:outlineLvl w:val="0"/>
        <w:rPr>
          <w:bCs/>
          <w:iCs/>
        </w:rPr>
      </w:pPr>
      <w:r w:rsidRPr="00C5799F">
        <w:rPr>
          <w:bCs/>
          <w:iCs/>
        </w:rPr>
        <w:t>Moisture content exhibited a marginal but statistically significant increase across all treatment groups (P &lt; 0.001). The highest moisture content was observed in T3 (7.73 ± 0.06%), while the control group recorded the lowest value. Similarly, ash content was significantly higher in all nanoparticle-treated groups compared with the control group. The maximum ash content was recorded in T1 (4.73 ± 0.02%), followed by T4 and T2, whereas the control group showed the lowest ash content (3.49 ± 0.02%).</w:t>
      </w:r>
    </w:p>
    <w:p w14:paraId="7D70BB86" w14:textId="77777777" w:rsidR="00C5799F" w:rsidRDefault="00C5799F" w:rsidP="00C5799F">
      <w:pPr>
        <w:spacing w:before="280" w:after="280" w:line="360" w:lineRule="auto"/>
        <w:jc w:val="both"/>
        <w:outlineLvl w:val="0"/>
        <w:rPr>
          <w:bCs/>
          <w:iCs/>
        </w:rPr>
      </w:pPr>
      <w:r w:rsidRPr="00C5799F">
        <w:rPr>
          <w:bCs/>
          <w:iCs/>
        </w:rPr>
        <w:t>Overall, the findings demonstrated that dietary supplementation with MUD-encapsulated CaO nanoparticles positively influenced the biochemical composition and nutritional quality of tilapia muscle, particularly at moderate supplementation levels.</w:t>
      </w:r>
    </w:p>
    <w:p w14:paraId="68D6F498" w14:textId="77777777" w:rsidR="00FA5E21" w:rsidRDefault="00000000" w:rsidP="00C5799F">
      <w:pPr>
        <w:spacing w:before="280" w:after="280" w:line="360" w:lineRule="auto"/>
        <w:jc w:val="both"/>
        <w:outlineLvl w:val="0"/>
        <w:rPr>
          <w:b/>
          <w:bCs/>
        </w:rPr>
      </w:pPr>
      <w:r>
        <w:rPr>
          <w:b/>
          <w:bCs/>
        </w:rPr>
        <w:t>4. Discussion</w:t>
      </w:r>
    </w:p>
    <w:p w14:paraId="1972613C" w14:textId="77777777" w:rsidR="00C5799F" w:rsidRPr="00C5799F" w:rsidRDefault="00C5799F" w:rsidP="00C5799F">
      <w:pPr>
        <w:spacing w:before="280" w:after="280" w:line="360" w:lineRule="auto"/>
        <w:ind w:firstLine="720"/>
        <w:jc w:val="both"/>
        <w:outlineLvl w:val="0"/>
        <w:rPr>
          <w:bCs/>
        </w:rPr>
      </w:pPr>
      <w:r w:rsidRPr="00C5799F">
        <w:rPr>
          <w:bCs/>
        </w:rPr>
        <w:lastRenderedPageBreak/>
        <w:t xml:space="preserve">The present study demonstrated that dietary supplementation with Mithun urine distillate (MUD)-encapsulated calcium oxide (CaO) nanoparticles significantly improved digestive enzyme activities and muscle biochemical composition in Oreochromis </w:t>
      </w:r>
      <w:proofErr w:type="spellStart"/>
      <w:r w:rsidRPr="00C5799F">
        <w:rPr>
          <w:bCs/>
        </w:rPr>
        <w:t>mossambicus</w:t>
      </w:r>
      <w:proofErr w:type="spellEnd"/>
      <w:r w:rsidRPr="00C5799F">
        <w:rPr>
          <w:bCs/>
        </w:rPr>
        <w:t xml:space="preserve">. The enhancement in lipase, amylase, and protease activities observed in the treated groups indicates improved digestive physiology, nutrient digestion, </w:t>
      </w:r>
      <w:proofErr w:type="gramStart"/>
      <w:r w:rsidRPr="00C5799F">
        <w:rPr>
          <w:bCs/>
        </w:rPr>
        <w:t>and feed</w:t>
      </w:r>
      <w:proofErr w:type="gramEnd"/>
      <w:r w:rsidRPr="00C5799F">
        <w:rPr>
          <w:bCs/>
        </w:rPr>
        <w:t xml:space="preserve"> utilization efficiency in nanoparticle-supplemented fish. Among the experimental groups, T2 and T3 exhibited superior enzyme activities, suggesting that moderate levels of CaO nanoparticle supplementation positively influence metabolic performance in </w:t>
      </w:r>
      <w:proofErr w:type="gramStart"/>
      <w:r w:rsidRPr="00C5799F">
        <w:rPr>
          <w:bCs/>
        </w:rPr>
        <w:t>tilapia</w:t>
      </w:r>
      <w:proofErr w:type="gramEnd"/>
      <w:r w:rsidRPr="00C5799F">
        <w:rPr>
          <w:bCs/>
        </w:rPr>
        <w:t>.</w:t>
      </w:r>
    </w:p>
    <w:p w14:paraId="5408F17E" w14:textId="77777777" w:rsidR="00C5799F" w:rsidRPr="00C5799F" w:rsidRDefault="00C5799F" w:rsidP="00C5799F">
      <w:pPr>
        <w:spacing w:before="280" w:after="280" w:line="360" w:lineRule="auto"/>
        <w:ind w:firstLine="720"/>
        <w:jc w:val="both"/>
        <w:outlineLvl w:val="0"/>
        <w:rPr>
          <w:bCs/>
        </w:rPr>
      </w:pPr>
      <w:r w:rsidRPr="00C5799F">
        <w:rPr>
          <w:bCs/>
        </w:rPr>
        <w:t xml:space="preserve">Lipase activity was markedly elevated in the nanoparticle-treated groups compared with the control group, indicating enhanced lipid digestion and utilization. Increased lipase activity may be associated with improved intestinal absorption and stimulation of digestive secretions caused by the higher bioavailability of nanoparticles. Similar observations have been reported in fish supplemented with </w:t>
      </w:r>
      <w:proofErr w:type="spellStart"/>
      <w:r w:rsidRPr="00C5799F">
        <w:rPr>
          <w:bCs/>
        </w:rPr>
        <w:t>nanominerals</w:t>
      </w:r>
      <w:proofErr w:type="spellEnd"/>
      <w:r w:rsidRPr="00C5799F">
        <w:rPr>
          <w:bCs/>
        </w:rPr>
        <w:t>, where enhanced digestive enzyme activities contributed to better feed conversion efficiency and growth performance (Rahman et al., 2024). The improved lipase activity observed in the present study suggests that MUD-encapsulated CaO nanoparticles may enhance lipid metabolism and energy utilization in fish.</w:t>
      </w:r>
    </w:p>
    <w:p w14:paraId="76255F8A" w14:textId="77777777" w:rsidR="00C5799F" w:rsidRPr="00C5799F" w:rsidRDefault="00C5799F" w:rsidP="00C5799F">
      <w:pPr>
        <w:spacing w:before="280" w:after="280" w:line="360" w:lineRule="auto"/>
        <w:ind w:firstLine="720"/>
        <w:jc w:val="both"/>
        <w:outlineLvl w:val="0"/>
        <w:rPr>
          <w:bCs/>
        </w:rPr>
      </w:pPr>
      <w:r w:rsidRPr="00C5799F">
        <w:rPr>
          <w:bCs/>
        </w:rPr>
        <w:t>Amylase activity also showed a significant increase in the treatment groups, particularly in T2, indicating enhanced carbohydrate digestion and nutrient assimilation. Nanoparticles possess a larger surface area and increased reactivity, which may improve enzymatic interactions and intestinal nutrient absorption. Comparable findings were reported by Zahran et al. (2024), who demonstrated that dietary supplementation with zinc nanoparticles improved intestinal integrity and digestive physiology in Nile tilapia. However, a slight reduction in amylase activity at the highest supplementation level (T4) suggests that excessive nanoparticle inclusion may reduce digestive efficiency or induce physiological stress. This finding highlights the importance of determining an optimum nanoparticle dosage for aquaculture applications.</w:t>
      </w:r>
    </w:p>
    <w:p w14:paraId="12CF1923" w14:textId="77777777" w:rsidR="00C5799F" w:rsidRPr="00C5799F" w:rsidRDefault="00C5799F" w:rsidP="00C5799F">
      <w:pPr>
        <w:spacing w:before="280" w:after="280" w:line="360" w:lineRule="auto"/>
        <w:ind w:firstLine="720"/>
        <w:jc w:val="both"/>
        <w:outlineLvl w:val="0"/>
        <w:rPr>
          <w:bCs/>
        </w:rPr>
      </w:pPr>
      <w:r w:rsidRPr="00C5799F">
        <w:rPr>
          <w:bCs/>
        </w:rPr>
        <w:t xml:space="preserve">Protease activity was significantly higher in all nanoparticle-supplemented groups compared with the control group. Enhanced protease activity reflects improved protein digestion and amino acid utilization, which may contribute to increased muscle protein deposition and growth performance. Similar results have been documented in fish supplemented with selenium and chitosan nanoparticles, where enhanced digestive enzyme activities were associated with improved feed utilization and physiological performance (Saffari et al., 2018). The increased protease activity </w:t>
      </w:r>
      <w:r w:rsidRPr="00C5799F">
        <w:rPr>
          <w:bCs/>
        </w:rPr>
        <w:lastRenderedPageBreak/>
        <w:t xml:space="preserve">observed in the present investigation indicates that MUD-encapsulated CaO nanoparticles may positively influence digestive metabolism and nutrient assimilation in O. </w:t>
      </w:r>
      <w:proofErr w:type="spellStart"/>
      <w:r w:rsidRPr="00C5799F">
        <w:rPr>
          <w:bCs/>
        </w:rPr>
        <w:t>mossambicus</w:t>
      </w:r>
      <w:proofErr w:type="spellEnd"/>
      <w:r w:rsidRPr="00C5799F">
        <w:rPr>
          <w:bCs/>
        </w:rPr>
        <w:t>.</w:t>
      </w:r>
    </w:p>
    <w:p w14:paraId="2E040BB0" w14:textId="77777777" w:rsidR="00C5799F" w:rsidRPr="00C5799F" w:rsidRDefault="00C5799F" w:rsidP="00C5799F">
      <w:pPr>
        <w:spacing w:before="280" w:after="280" w:line="360" w:lineRule="auto"/>
        <w:ind w:firstLine="720"/>
        <w:jc w:val="both"/>
        <w:outlineLvl w:val="0"/>
        <w:rPr>
          <w:bCs/>
        </w:rPr>
      </w:pPr>
      <w:r w:rsidRPr="00C5799F">
        <w:rPr>
          <w:bCs/>
        </w:rPr>
        <w:t>The proximate composition analysis further confirmed the beneficial effects of nanoparticle supplementation. Crude protein content increased significantly in all treatment groups, with the highest value observed in T3. Increased protein deposition in muscle tissues suggests enhanced nutrient utilization efficiency and improved metabolic activity in treated fish. Crude lipid content also increased significantly in the supplemented groups, indicating improved energy storage and physiological condition. However, the slight decline in lipid content observed at the highest supplementation level suggests that excessive nanoparticle concentrations may negatively affect metabolic balance. Similar improvements in muscle biochemical composition have been reported in fish receiving nanoparticle-enriched diets, where enhanced nutrient absorption and antioxidant activity contributed to improved tissue quality and growth performance (El-Bahr et al., 2024).</w:t>
      </w:r>
    </w:p>
    <w:p w14:paraId="6C412CB6" w14:textId="77777777" w:rsidR="00C5799F" w:rsidRPr="00C5799F" w:rsidRDefault="00C5799F" w:rsidP="00C5799F">
      <w:pPr>
        <w:spacing w:before="280" w:after="280" w:line="360" w:lineRule="auto"/>
        <w:ind w:firstLine="720"/>
        <w:jc w:val="both"/>
        <w:outlineLvl w:val="0"/>
        <w:rPr>
          <w:bCs/>
        </w:rPr>
      </w:pPr>
      <w:r w:rsidRPr="00C5799F">
        <w:rPr>
          <w:bCs/>
        </w:rPr>
        <w:t>The present findings support the growing application of nanotechnology in aquaculture nutrition and fish health management. Nanoparticles have gained considerable attention because of their enhanced bioavailability, antimicrobial properties, controlled-release capacity, and improved nutrient delivery efficiency. Encapsulation of CaO nanoparticles using Mithun urine distillate may further improve nanoparticle stability and biological compatibility, thereby enhancing their physiological effects in aquatic organisms. Recent investigations have highlighted the potential of nanoparticle-based feed additives in improving growth, digestive efficiency, immune response, and disease resistance in cultured fish species (Kumar and Singh, 2025; Rahman et al., 2024).</w:t>
      </w:r>
    </w:p>
    <w:p w14:paraId="1B5D30CA" w14:textId="77777777" w:rsidR="00C5799F" w:rsidRDefault="00C5799F" w:rsidP="00C5799F">
      <w:pPr>
        <w:spacing w:before="280" w:after="280" w:line="360" w:lineRule="auto"/>
        <w:ind w:firstLine="720"/>
        <w:jc w:val="both"/>
        <w:outlineLvl w:val="0"/>
        <w:rPr>
          <w:bCs/>
        </w:rPr>
      </w:pPr>
      <w:r w:rsidRPr="00C5799F">
        <w:rPr>
          <w:bCs/>
        </w:rPr>
        <w:t>Despite the beneficial effects observed in the present study, certain limitations should be considered. The experiment was conducted under controlled laboratory conditions for a limited duration, and long-term toxicity, histopathological alterations, bioaccumulation, immune responses, and environmental impacts of CaO nanoparticles were not investigated. Recent studies have emphasized the importance of evaluating nanoparticle toxicity and ecological safety before large-scale application in aquaculture systems (Kumar and Singh, 2025; El-Bahr et al., 2024). Therefore, further studies are required to assess the long-term physiological, molecular, reproductive, and environmental effects of MUD-encapsulated CaO nanoparticles in different aquaculture species and culture systems.</w:t>
      </w:r>
    </w:p>
    <w:p w14:paraId="612573CC" w14:textId="77777777" w:rsidR="00FA5E21" w:rsidRDefault="00000000" w:rsidP="00C5799F">
      <w:pPr>
        <w:spacing w:before="280" w:after="280" w:line="360" w:lineRule="auto"/>
        <w:jc w:val="both"/>
        <w:outlineLvl w:val="0"/>
        <w:rPr>
          <w:b/>
          <w:bCs/>
        </w:rPr>
      </w:pPr>
      <w:r>
        <w:rPr>
          <w:b/>
          <w:bCs/>
        </w:rPr>
        <w:t>Conclusion</w:t>
      </w:r>
    </w:p>
    <w:p w14:paraId="74D83EB6" w14:textId="77777777" w:rsidR="00FA5E21" w:rsidRDefault="00BE5E6A" w:rsidP="00C5799F">
      <w:pPr>
        <w:spacing w:before="280" w:after="280" w:line="360" w:lineRule="auto"/>
        <w:jc w:val="both"/>
        <w:outlineLvl w:val="0"/>
        <w:rPr>
          <w:bCs/>
        </w:rPr>
      </w:pPr>
      <w:r w:rsidRPr="00BE5E6A">
        <w:rPr>
          <w:bCs/>
        </w:rPr>
        <w:lastRenderedPageBreak/>
        <w:t xml:space="preserve">The present study demonstrated that dietary supplementation with Mithun urine distillate (MUD)-encapsulated calcium oxide (CaO) nanoparticles significantly improved digestive enzyme activities and biochemical composition in Oreochromis </w:t>
      </w:r>
      <w:proofErr w:type="spellStart"/>
      <w:r w:rsidRPr="00BE5E6A">
        <w:rPr>
          <w:bCs/>
        </w:rPr>
        <w:t>mossambicus</w:t>
      </w:r>
      <w:proofErr w:type="spellEnd"/>
      <w:r w:rsidRPr="00BE5E6A">
        <w:rPr>
          <w:bCs/>
        </w:rPr>
        <w:t>. Among the tested concentrations, 400 mg/kg diet was found to be the most effective in enhancing amylase, protease, and lipase activities, indicating improved digestive efficiency and nutrient utilization. Increased crude protein and balanced lipid levels in muscle tissues further suggested enhanced metabolic performance and physiological condition of the fish.</w:t>
      </w:r>
      <w:r>
        <w:rPr>
          <w:bCs/>
        </w:rPr>
        <w:t xml:space="preserve"> </w:t>
      </w:r>
      <w:r w:rsidRPr="00BE5E6A">
        <w:rPr>
          <w:bCs/>
        </w:rPr>
        <w:t>The findings indicate that MUD-encapsulated CaO nanoparticles may serve as a promising dietary supplement for improving fish health and aquaculture productivity. However, long-term toxicity, bioaccumulation, immune responses, molecular mechanisms, and environmental impacts of CaO nanoparticles were not evaluated in the present study. Therefore, further investigations are necessary to assess the long-term safety and ecological effects of nanoparticle supplementation before large-scale application in aquaculture systems.</w:t>
      </w:r>
    </w:p>
    <w:p w14:paraId="31EC2E2C" w14:textId="7D477336" w:rsidR="00E84DCA" w:rsidRPr="00E84DCA" w:rsidRDefault="00E84DCA" w:rsidP="00C5799F">
      <w:pPr>
        <w:spacing w:before="280" w:after="280" w:line="360" w:lineRule="auto"/>
        <w:jc w:val="both"/>
        <w:outlineLvl w:val="0"/>
        <w:rPr>
          <w:b/>
        </w:rPr>
      </w:pPr>
      <w:r w:rsidRPr="00E84DCA">
        <w:rPr>
          <w:b/>
        </w:rPr>
        <w:t>Ethical Approval</w:t>
      </w:r>
    </w:p>
    <w:p w14:paraId="367F9A4A" w14:textId="3568B500" w:rsidR="00E84DCA" w:rsidRDefault="00E84DCA" w:rsidP="00C5799F">
      <w:pPr>
        <w:spacing w:before="280" w:after="280" w:line="360" w:lineRule="auto"/>
        <w:jc w:val="both"/>
        <w:outlineLvl w:val="0"/>
        <w:rPr>
          <w:bCs/>
        </w:rPr>
      </w:pPr>
      <w:r w:rsidRPr="00BE5E6A">
        <w:rPr>
          <w:bCs/>
          <w:highlight w:val="yellow"/>
        </w:rPr>
        <w:t>All fish handling and sampling procedures were conducted according to institutional ethical guidelines to minimize stress and discomfort.</w:t>
      </w:r>
      <w:r>
        <w:rPr>
          <w:bCs/>
        </w:rPr>
        <w:t xml:space="preserve"> </w:t>
      </w:r>
      <w:r w:rsidRPr="00BE5E6A">
        <w:rPr>
          <w:bCs/>
          <w:highlight w:val="yellow"/>
        </w:rPr>
        <w:t>All experimental procedures involving fish were conducted according to institutional animal ethics guidelines and approved by the Institutional Animal Ethics Committee (IAEC). Fish handling and anesthesia procedures using MS-222 were performed to minimize stress and discomfort</w:t>
      </w:r>
    </w:p>
    <w:p w14:paraId="26EAB1A6" w14:textId="77777777" w:rsidR="00FA5E21" w:rsidRDefault="00000000">
      <w:pPr>
        <w:rPr>
          <w:rFonts w:ascii="Arial" w:eastAsia="Calibri" w:hAnsi="Arial" w:cs="Arial"/>
          <w:kern w:val="2"/>
          <w:sz w:val="22"/>
          <w:szCs w:val="22"/>
          <w:highlight w:val="yellow"/>
        </w:rPr>
      </w:pPr>
      <w:r>
        <w:rPr>
          <w:rFonts w:ascii="Arial" w:eastAsia="Calibri" w:hAnsi="Arial" w:cs="Arial"/>
          <w:kern w:val="2"/>
          <w:sz w:val="22"/>
          <w:szCs w:val="22"/>
          <w:highlight w:val="yellow"/>
        </w:rPr>
        <w:t>Disclaimer (Artificial intelligence)</w:t>
      </w:r>
    </w:p>
    <w:p w14:paraId="14ADE594" w14:textId="77777777" w:rsidR="00FA5E21" w:rsidRDefault="00FA5E21">
      <w:pPr>
        <w:rPr>
          <w:rFonts w:ascii="Arial" w:eastAsia="Calibri" w:hAnsi="Arial" w:cs="Arial"/>
          <w:kern w:val="2"/>
          <w:sz w:val="22"/>
          <w:szCs w:val="22"/>
          <w:highlight w:val="yellow"/>
        </w:rPr>
      </w:pPr>
    </w:p>
    <w:p w14:paraId="6E4D220C" w14:textId="77777777" w:rsidR="00FA5E21" w:rsidRDefault="00000000">
      <w:pPr>
        <w:rPr>
          <w:rFonts w:ascii="Arial" w:eastAsia="Calibri" w:hAnsi="Arial" w:cs="Arial"/>
          <w:kern w:val="2"/>
          <w:sz w:val="22"/>
          <w:szCs w:val="22"/>
        </w:rPr>
      </w:pPr>
      <w:bookmarkStart w:id="0" w:name="_Hlk198031404"/>
      <w:r>
        <w:rPr>
          <w:rFonts w:ascii="Arial" w:eastAsia="Calibri" w:hAnsi="Arial" w:cs="Arial"/>
          <w:kern w:val="2"/>
          <w:sz w:val="22"/>
          <w:szCs w:val="22"/>
          <w:highlight w:val="yellow"/>
        </w:rPr>
        <w:t xml:space="preserve">Author(s) hereby </w:t>
      </w:r>
      <w:proofErr w:type="gramStart"/>
      <w:r>
        <w:rPr>
          <w:rFonts w:ascii="Arial" w:eastAsia="Calibri" w:hAnsi="Arial" w:cs="Arial"/>
          <w:kern w:val="2"/>
          <w:sz w:val="22"/>
          <w:szCs w:val="22"/>
          <w:highlight w:val="yellow"/>
        </w:rPr>
        <w:t>declare</w:t>
      </w:r>
      <w:proofErr w:type="gramEnd"/>
      <w:r>
        <w:rPr>
          <w:rFonts w:ascii="Arial" w:eastAsia="Calibri" w:hAnsi="Arial" w:cs="Arial"/>
          <w:kern w:val="2"/>
          <w:sz w:val="22"/>
          <w:szCs w:val="22"/>
          <w:highlight w:val="yellow"/>
        </w:rPr>
        <w:t xml:space="preserve"> that NO generative AI technologies such as Large Language Models (ChatGPT, COPILOT, etc.) and text-to-image generators have been used during the writing or editing of this manuscript. </w:t>
      </w:r>
      <w:bookmarkEnd w:id="0"/>
    </w:p>
    <w:p w14:paraId="20202AE9" w14:textId="77777777" w:rsidR="00FA5E21" w:rsidRDefault="00FA5E21">
      <w:pPr>
        <w:rPr>
          <w:rFonts w:ascii="Arial" w:eastAsia="Calibri" w:hAnsi="Arial" w:cs="Arial"/>
          <w:kern w:val="2"/>
          <w:sz w:val="22"/>
          <w:szCs w:val="22"/>
        </w:rPr>
      </w:pPr>
    </w:p>
    <w:p w14:paraId="5CF20177" w14:textId="77777777" w:rsidR="00FA5E21" w:rsidRDefault="00FA5E21">
      <w:pPr>
        <w:rPr>
          <w:rFonts w:ascii="Arial" w:eastAsia="Calibri" w:hAnsi="Arial" w:cs="Arial"/>
          <w:kern w:val="2"/>
          <w:sz w:val="22"/>
          <w:szCs w:val="22"/>
        </w:rPr>
      </w:pPr>
    </w:p>
    <w:p w14:paraId="4B2F1210" w14:textId="77777777" w:rsidR="00FA5E21" w:rsidRDefault="00000000">
      <w:pPr>
        <w:rPr>
          <w:b/>
          <w:bCs/>
        </w:rPr>
      </w:pPr>
      <w:r>
        <w:rPr>
          <w:b/>
          <w:bCs/>
        </w:rPr>
        <w:t>References</w:t>
      </w:r>
    </w:p>
    <w:p w14:paraId="67D4D5DD" w14:textId="77777777" w:rsidR="00C97FB5" w:rsidRDefault="00C97FB5">
      <w:pPr>
        <w:rPr>
          <w:highlight w:val="yellow"/>
        </w:rPr>
      </w:pPr>
    </w:p>
    <w:p w14:paraId="6B1D6842" w14:textId="77777777" w:rsidR="00C97FB5" w:rsidRDefault="00C97FB5">
      <w:pPr>
        <w:rPr>
          <w:highlight w:val="yellow"/>
        </w:rPr>
      </w:pPr>
    </w:p>
    <w:p w14:paraId="6235982C" w14:textId="77777777" w:rsidR="00C97FB5" w:rsidRDefault="00C97FB5" w:rsidP="00C97FB5">
      <w:pPr>
        <w:pStyle w:val="c-bibliographic-informationcitation"/>
        <w:shd w:val="clear" w:color="auto" w:fill="FFFFFF"/>
        <w:spacing w:before="0" w:after="161" w:line="276" w:lineRule="auto"/>
        <w:ind w:firstLine="720"/>
        <w:jc w:val="both"/>
        <w:rPr>
          <w:color w:val="222222"/>
        </w:rPr>
      </w:pPr>
      <w:r>
        <w:rPr>
          <w:color w:val="222222"/>
        </w:rPr>
        <w:t>Abdel-Ghany, H.M., El-</w:t>
      </w:r>
      <w:proofErr w:type="spellStart"/>
      <w:r>
        <w:rPr>
          <w:color w:val="222222"/>
        </w:rPr>
        <w:t>Sisy</w:t>
      </w:r>
      <w:proofErr w:type="spellEnd"/>
      <w:r>
        <w:rPr>
          <w:color w:val="222222"/>
        </w:rPr>
        <w:t>, D.M. &amp; Salem, M.ES. A comparative study of effects of curcumin and its nanoparticles on the growth, immunity and heat stress resistance of Nile tilapia (</w:t>
      </w:r>
      <w:r>
        <w:rPr>
          <w:i/>
          <w:iCs/>
          <w:color w:val="222222"/>
        </w:rPr>
        <w:t>Oreochromis niloticus</w:t>
      </w:r>
      <w:r>
        <w:rPr>
          <w:color w:val="222222"/>
        </w:rPr>
        <w:t>). </w:t>
      </w:r>
      <w:r>
        <w:rPr>
          <w:i/>
          <w:iCs/>
          <w:color w:val="222222"/>
        </w:rPr>
        <w:t>Sci Rep</w:t>
      </w:r>
      <w:r>
        <w:rPr>
          <w:color w:val="222222"/>
        </w:rPr>
        <w:t> </w:t>
      </w:r>
      <w:r>
        <w:rPr>
          <w:b/>
          <w:bCs/>
          <w:color w:val="222222"/>
        </w:rPr>
        <w:t>13</w:t>
      </w:r>
      <w:r>
        <w:rPr>
          <w:color w:val="222222"/>
        </w:rPr>
        <w:t xml:space="preserve">, 2523 (2023). </w:t>
      </w:r>
      <w:hyperlink r:id="rId8">
        <w:r>
          <w:rPr>
            <w:rStyle w:val="Hyperlink"/>
          </w:rPr>
          <w:t>https://doi.org/10.1038/s41598-023-29343-z</w:t>
        </w:r>
      </w:hyperlink>
    </w:p>
    <w:p w14:paraId="3D1BB4EA" w14:textId="77777777" w:rsidR="00C97FB5" w:rsidRDefault="00C97FB5" w:rsidP="00C97FB5">
      <w:pPr>
        <w:spacing w:line="276" w:lineRule="auto"/>
        <w:ind w:firstLine="720"/>
        <w:jc w:val="both"/>
        <w:rPr>
          <w:color w:val="222222"/>
        </w:rPr>
      </w:pPr>
      <w:r>
        <w:rPr>
          <w:color w:val="222222"/>
        </w:rPr>
        <w:t xml:space="preserve">Abdel-Tawwab, M., Eissa, ES.H., Tawfik, W.A. et al. Dietary curcumin nanoparticles promoted the performance, antioxidant activity, and humoral immunity, and modulated the hepatic and intestinal histology of Nile tilapia fingerlings. Fish </w:t>
      </w:r>
      <w:proofErr w:type="spellStart"/>
      <w:r>
        <w:rPr>
          <w:color w:val="222222"/>
        </w:rPr>
        <w:t>Physiol</w:t>
      </w:r>
      <w:proofErr w:type="spellEnd"/>
      <w:r>
        <w:rPr>
          <w:color w:val="222222"/>
        </w:rPr>
        <w:t xml:space="preserve"> </w:t>
      </w:r>
      <w:proofErr w:type="spellStart"/>
      <w:r>
        <w:rPr>
          <w:color w:val="222222"/>
        </w:rPr>
        <w:t>Biochem</w:t>
      </w:r>
      <w:proofErr w:type="spellEnd"/>
      <w:r>
        <w:rPr>
          <w:color w:val="222222"/>
        </w:rPr>
        <w:t xml:space="preserve"> 48, 585–601 (2022). </w:t>
      </w:r>
      <w:hyperlink r:id="rId9">
        <w:r>
          <w:rPr>
            <w:rStyle w:val="Hyperlink"/>
          </w:rPr>
          <w:t>https://doi.org/10.1007/s10695-022-01066-4</w:t>
        </w:r>
      </w:hyperlink>
      <w:r>
        <w:rPr>
          <w:color w:val="222222"/>
        </w:rPr>
        <w:t>.</w:t>
      </w:r>
    </w:p>
    <w:p w14:paraId="6AF8422F" w14:textId="77777777" w:rsidR="00C97FB5" w:rsidRDefault="00C97FB5" w:rsidP="00C97FB5">
      <w:pPr>
        <w:spacing w:line="276" w:lineRule="auto"/>
        <w:ind w:firstLine="720"/>
        <w:jc w:val="both"/>
      </w:pPr>
      <w:r>
        <w:lastRenderedPageBreak/>
        <w:t xml:space="preserve">Ahmad N, Hussain SM, Azam SM, Shahzad MM, Noureen A, Yaqoob R, Lateef M, Yawer A, Riaz D, Usman A, Faizan M, Hassan S, Ishtiaq A, Riaz P, Ali A, Amin F, Imran M, Kausar R, Ahmed M, Bashir W, Adnan M, Siddique A, Farooq M, Ahmad S. Effects of Se nanoparticles supplementation on growth performance, hematological parameters and nutrient digestibility of </w:t>
      </w:r>
      <w:proofErr w:type="spellStart"/>
      <w:r>
        <w:t>Labeo</w:t>
      </w:r>
      <w:proofErr w:type="spellEnd"/>
      <w:r>
        <w:t xml:space="preserve"> </w:t>
      </w:r>
      <w:proofErr w:type="spellStart"/>
      <w:r>
        <w:t>rohita</w:t>
      </w:r>
      <w:proofErr w:type="spellEnd"/>
      <w:r>
        <w:t xml:space="preserve"> fingerling fed sunflower </w:t>
      </w:r>
      <w:proofErr w:type="spellStart"/>
      <w:r>
        <w:t>mealbased</w:t>
      </w:r>
      <w:proofErr w:type="spellEnd"/>
      <w:r>
        <w:t xml:space="preserve"> diet. Braz J Biol. 2022 Jan 5;</w:t>
      </w:r>
      <w:proofErr w:type="gramStart"/>
      <w:r>
        <w:t>84:e</w:t>
      </w:r>
      <w:proofErr w:type="gramEnd"/>
      <w:r>
        <w:t xml:space="preserve">253555. </w:t>
      </w:r>
      <w:proofErr w:type="spellStart"/>
      <w:r>
        <w:t>doi</w:t>
      </w:r>
      <w:proofErr w:type="spellEnd"/>
      <w:r>
        <w:t>: 10.1590/1519-6984.253555. PMID: 35019098.</w:t>
      </w:r>
    </w:p>
    <w:p w14:paraId="510FE25C" w14:textId="77777777" w:rsidR="00C97FB5" w:rsidRDefault="00C97FB5" w:rsidP="00C97FB5">
      <w:pPr>
        <w:spacing w:before="280" w:after="280" w:line="276" w:lineRule="auto"/>
        <w:ind w:firstLine="720"/>
        <w:jc w:val="both"/>
        <w:outlineLvl w:val="0"/>
      </w:pPr>
      <w:r>
        <w:rPr>
          <w:bCs/>
          <w:color w:val="000000"/>
        </w:rPr>
        <w:t>AOAC (2016). Official Methods of Analysis of AOAC International (20th ed.). Association of Official Analytical Chemists, Washington, DC.</w:t>
      </w:r>
    </w:p>
    <w:p w14:paraId="696BC2CE"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Arumugam, M.; Jayaraman, S.; Sridhar, A.; </w:t>
      </w:r>
      <w:proofErr w:type="spellStart"/>
      <w:r>
        <w:rPr>
          <w:color w:val="000000"/>
        </w:rPr>
        <w:t>Venkatasamy</w:t>
      </w:r>
      <w:proofErr w:type="spellEnd"/>
      <w:r>
        <w:rPr>
          <w:color w:val="000000"/>
        </w:rPr>
        <w:t xml:space="preserve">, V.; Brown, P.B.; Abdul Kari, Z.; Tellez-Isaias, G.; Ramasamy, T. Recent Advances in Tilapia Production for Sustainable Developments in Indian Aquaculture and Its Economic Benefits. Fishes 2023, 8, 176. </w:t>
      </w:r>
      <w:hyperlink r:id="rId10">
        <w:r>
          <w:rPr>
            <w:rStyle w:val="Hyperlink"/>
            <w:color w:val="000000"/>
          </w:rPr>
          <w:t>https://doi.org/10.3390/fishes8040176</w:t>
        </w:r>
      </w:hyperlink>
    </w:p>
    <w:p w14:paraId="661D3B71" w14:textId="77777777" w:rsidR="00C97FB5" w:rsidRDefault="00C97FB5" w:rsidP="00C97FB5">
      <w:pPr>
        <w:spacing w:before="280" w:after="280" w:line="276" w:lineRule="auto"/>
        <w:ind w:firstLine="720"/>
        <w:jc w:val="both"/>
        <w:outlineLvl w:val="0"/>
        <w:rPr>
          <w:bCs/>
          <w:color w:val="000000"/>
        </w:rPr>
      </w:pPr>
      <w:r>
        <w:rPr>
          <w:bCs/>
          <w:color w:val="000000"/>
        </w:rPr>
        <w:t>Bernfeld, P. (1955). Amylases, α and β. Methods in Enzymology, 1, 149–158.</w:t>
      </w:r>
    </w:p>
    <w:p w14:paraId="0A7E3964"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Bhat, F.M., Wani, S.A., Verma, R. (2025). Nanoencapsulation Techniques: A Comprehensive Overview. In: Wani, S.A., Naik, H.R. (eds) Harnessing Nanoencapsulation: Valorization of Bioactive Compounds for Health and Beyond. Food Bioactive Ingredients. Springer, Cham. </w:t>
      </w:r>
      <w:hyperlink r:id="rId11">
        <w:r>
          <w:rPr>
            <w:rStyle w:val="Hyperlink"/>
            <w:color w:val="000000"/>
          </w:rPr>
          <w:t>https://doi.org/10.1007/978-3-032-03329-1_4</w:t>
        </w:r>
      </w:hyperlink>
    </w:p>
    <w:p w14:paraId="276C74EA" w14:textId="77777777" w:rsidR="00C97FB5" w:rsidRDefault="00C97FB5" w:rsidP="00C97FB5">
      <w:pPr>
        <w:spacing w:before="280" w:after="280" w:line="276" w:lineRule="auto"/>
        <w:ind w:firstLine="720"/>
        <w:jc w:val="both"/>
        <w:outlineLvl w:val="0"/>
      </w:pPr>
      <w:r>
        <w:rPr>
          <w:bCs/>
          <w:color w:val="000000"/>
        </w:rPr>
        <w:t>Cherry, I.S., Crandall, L.A. (1932). The specificity of pancreatic lipase. American Journal of Physiology, 100, 266–273.</w:t>
      </w:r>
    </w:p>
    <w:p w14:paraId="06CE08B5"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Dube, E. Nanoparticle-Enhanced Fish Feed: Benefits and Challenges. Fishes 2024, 9, 322. </w:t>
      </w:r>
      <w:hyperlink r:id="rId12">
        <w:r>
          <w:rPr>
            <w:rStyle w:val="Hyperlink"/>
            <w:color w:val="000000"/>
          </w:rPr>
          <w:t>https://doi.org/10.3390/fishes9080322</w:t>
        </w:r>
      </w:hyperlink>
    </w:p>
    <w:p w14:paraId="2930B71C" w14:textId="77777777" w:rsidR="00C97FB5" w:rsidRDefault="00C97FB5" w:rsidP="00C97FB5">
      <w:pPr>
        <w:ind w:firstLine="720"/>
      </w:pPr>
      <w:r>
        <w:rPr>
          <w:highlight w:val="yellow"/>
        </w:rPr>
        <w:t>El-Bahr SM, Almeer RS, Abdel-Daim MM. (2024). Nanotechnology applications in aquaculture nutrition and fish health management. Aquaculture Reports, 35, 101245.</w:t>
      </w:r>
    </w:p>
    <w:p w14:paraId="4CED7F38" w14:textId="77777777" w:rsidR="00C97FB5" w:rsidRDefault="00C97FB5" w:rsidP="00C97FB5">
      <w:pPr>
        <w:ind w:firstLine="720"/>
      </w:pPr>
    </w:p>
    <w:p w14:paraId="4E365D36"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Hossam-Elden, N.; Abu-Elala, N.M.; </w:t>
      </w:r>
      <w:proofErr w:type="spellStart"/>
      <w:r>
        <w:rPr>
          <w:color w:val="000000"/>
        </w:rPr>
        <w:t>AbuBakr</w:t>
      </w:r>
      <w:proofErr w:type="spellEnd"/>
      <w:r>
        <w:rPr>
          <w:color w:val="000000"/>
        </w:rPr>
        <w:t xml:space="preserve">, H.O.; Luo, Z.; </w:t>
      </w:r>
      <w:proofErr w:type="spellStart"/>
      <w:r>
        <w:rPr>
          <w:color w:val="000000"/>
        </w:rPr>
        <w:t>Aljuaydi</w:t>
      </w:r>
      <w:proofErr w:type="spellEnd"/>
      <w:r>
        <w:rPr>
          <w:color w:val="000000"/>
        </w:rPr>
        <w:t xml:space="preserve">, S.H.; Khattab, M.; Ali, S.E.; Marzouk, M.S.; Teiba, I.I. Dietary Chitosan Nanoparticles Enhance Growth, Antioxidant Defenses, Immunity, and Aeromonas </w:t>
      </w:r>
      <w:proofErr w:type="spellStart"/>
      <w:r>
        <w:rPr>
          <w:color w:val="000000"/>
        </w:rPr>
        <w:t>veronii</w:t>
      </w:r>
      <w:proofErr w:type="spellEnd"/>
      <w:r>
        <w:rPr>
          <w:color w:val="000000"/>
        </w:rPr>
        <w:t xml:space="preserve"> biovar </w:t>
      </w:r>
      <w:proofErr w:type="spellStart"/>
      <w:r>
        <w:rPr>
          <w:color w:val="000000"/>
        </w:rPr>
        <w:t>sobria</w:t>
      </w:r>
      <w:proofErr w:type="spellEnd"/>
      <w:r>
        <w:rPr>
          <w:color w:val="000000"/>
        </w:rPr>
        <w:t xml:space="preserve"> Resistance in Nile tilapia Oreochromis niloticus. Fishes 2024, 9, 388. </w:t>
      </w:r>
      <w:hyperlink r:id="rId13">
        <w:r>
          <w:rPr>
            <w:rStyle w:val="Hyperlink"/>
            <w:color w:val="000000"/>
          </w:rPr>
          <w:t>https://doi.org/10.3390/fishes9100388</w:t>
        </w:r>
      </w:hyperlink>
    </w:p>
    <w:p w14:paraId="16A2C09A" w14:textId="77777777" w:rsidR="00C97FB5" w:rsidRDefault="00C97FB5" w:rsidP="00C97FB5">
      <w:pPr>
        <w:pStyle w:val="c-bibliographic-informationcitation"/>
        <w:shd w:val="clear" w:color="auto" w:fill="FFFFFF"/>
        <w:spacing w:before="0" w:after="184" w:line="276" w:lineRule="auto"/>
        <w:ind w:firstLine="720"/>
        <w:jc w:val="both"/>
      </w:pPr>
      <w:r>
        <w:rPr>
          <w:color w:val="000000"/>
        </w:rPr>
        <w:t>Khalid, R., Din, M.I., Parveen, A. </w:t>
      </w:r>
      <w:r>
        <w:rPr>
          <w:i/>
          <w:iCs/>
          <w:color w:val="000000"/>
        </w:rPr>
        <w:t>et al.</w:t>
      </w:r>
      <w:r>
        <w:rPr>
          <w:color w:val="000000"/>
        </w:rPr>
        <w:t> A Critical Review on Green Synthesis of Calcium Oxide Nanoparticles and Calcium Based Nanocomposites. </w:t>
      </w:r>
      <w:proofErr w:type="spellStart"/>
      <w:r>
        <w:rPr>
          <w:i/>
          <w:iCs/>
          <w:color w:val="000000"/>
        </w:rPr>
        <w:t>BioNanoSci</w:t>
      </w:r>
      <w:proofErr w:type="spellEnd"/>
      <w:r>
        <w:rPr>
          <w:i/>
          <w:iCs/>
          <w:color w:val="000000"/>
        </w:rPr>
        <w:t>.</w:t>
      </w:r>
      <w:r>
        <w:rPr>
          <w:color w:val="000000"/>
        </w:rPr>
        <w:t> </w:t>
      </w:r>
      <w:r>
        <w:rPr>
          <w:b/>
          <w:bCs/>
          <w:color w:val="000000"/>
        </w:rPr>
        <w:t>15</w:t>
      </w:r>
      <w:r>
        <w:rPr>
          <w:color w:val="000000"/>
        </w:rPr>
        <w:t>, 390 (2025). https://doi.org/10.1007/s12668-025-02013-2</w:t>
      </w:r>
    </w:p>
    <w:p w14:paraId="7CC3A191" w14:textId="77777777" w:rsidR="00C97FB5" w:rsidRDefault="00C97FB5" w:rsidP="00C97FB5">
      <w:pPr>
        <w:pStyle w:val="c-bibliographic-informationcitation"/>
        <w:shd w:val="clear" w:color="auto" w:fill="FFFFFF"/>
        <w:spacing w:before="0" w:after="161" w:line="276" w:lineRule="auto"/>
        <w:ind w:firstLine="720"/>
        <w:jc w:val="both"/>
      </w:pPr>
      <w:r>
        <w:rPr>
          <w:color w:val="000000"/>
        </w:rPr>
        <w:t xml:space="preserve">Khorshidi Z, Sarvi </w:t>
      </w:r>
      <w:proofErr w:type="spellStart"/>
      <w:r>
        <w:rPr>
          <w:color w:val="000000"/>
        </w:rPr>
        <w:t>Moghanlou</w:t>
      </w:r>
      <w:proofErr w:type="spellEnd"/>
      <w:r>
        <w:rPr>
          <w:color w:val="000000"/>
        </w:rPr>
        <w:t xml:space="preserve"> K, Imani A, Behrouzi S. Impact of dietary curcumin administration along with feed-born silver nanoparticle on growth, </w:t>
      </w:r>
      <w:proofErr w:type="spellStart"/>
      <w:r>
        <w:rPr>
          <w:color w:val="000000"/>
        </w:rPr>
        <w:t>hemato</w:t>
      </w:r>
      <w:proofErr w:type="spellEnd"/>
      <w:r>
        <w:rPr>
          <w:color w:val="000000"/>
        </w:rPr>
        <w:t xml:space="preserve">-biochemical parameters, and digestive enzyme activity of common carp (Cyprinus carpio). Vet Res Forum. 2023;14(10):567-573. </w:t>
      </w:r>
      <w:proofErr w:type="spellStart"/>
      <w:r>
        <w:rPr>
          <w:color w:val="000000"/>
        </w:rPr>
        <w:t>doi</w:t>
      </w:r>
      <w:proofErr w:type="spellEnd"/>
      <w:r>
        <w:rPr>
          <w:color w:val="000000"/>
        </w:rPr>
        <w:t xml:space="preserve">: 10.30466/vrf.2023.1982714.3708. </w:t>
      </w:r>
      <w:proofErr w:type="spellStart"/>
      <w:r>
        <w:rPr>
          <w:color w:val="000000"/>
        </w:rPr>
        <w:t>Epub</w:t>
      </w:r>
      <w:proofErr w:type="spellEnd"/>
      <w:r>
        <w:rPr>
          <w:color w:val="000000"/>
        </w:rPr>
        <w:t xml:space="preserve"> 2023 Oct 15. PMID: 37901352; PMCID: PMC10612394.</w:t>
      </w:r>
    </w:p>
    <w:p w14:paraId="781A3EC5" w14:textId="77777777" w:rsidR="00C97FB5" w:rsidRDefault="00C97FB5" w:rsidP="00C97FB5">
      <w:pPr>
        <w:ind w:firstLine="720"/>
      </w:pPr>
      <w:r>
        <w:rPr>
          <w:highlight w:val="yellow"/>
        </w:rPr>
        <w:t>Kumar R, Singh V. (2025). Calcium oxide nanoparticles and their biomedical and aquaculture applications. Journal of Nanobiotechnology, 23, 118.</w:t>
      </w:r>
    </w:p>
    <w:p w14:paraId="21E6F897" w14:textId="77777777" w:rsidR="00C97FB5" w:rsidRDefault="00C97FB5" w:rsidP="00C97FB5">
      <w:pPr>
        <w:spacing w:before="280" w:after="280" w:line="276" w:lineRule="auto"/>
        <w:ind w:firstLine="720"/>
        <w:jc w:val="both"/>
        <w:outlineLvl w:val="0"/>
      </w:pPr>
      <w:r>
        <w:rPr>
          <w:bCs/>
          <w:color w:val="000000"/>
        </w:rPr>
        <w:lastRenderedPageBreak/>
        <w:t>Lowry, O.H., Rosebrough, N.J., Farr, A.L., Randall, R.J. (1951). Protein measurement with the Folin phenol reagent. Journal of Biological Chemistry, 193, 265–275.</w:t>
      </w:r>
    </w:p>
    <w:p w14:paraId="34DB776C" w14:textId="77777777" w:rsidR="00C97FB5" w:rsidRDefault="00C97FB5" w:rsidP="00C97FB5">
      <w:pPr>
        <w:spacing w:line="276" w:lineRule="auto"/>
        <w:ind w:firstLine="720"/>
        <w:jc w:val="both"/>
        <w:rPr>
          <w:color w:val="000000"/>
        </w:rPr>
      </w:pPr>
      <w:proofErr w:type="spellStart"/>
      <w:r>
        <w:rPr>
          <w:color w:val="000000"/>
        </w:rPr>
        <w:t>Nwanna</w:t>
      </w:r>
      <w:proofErr w:type="spellEnd"/>
      <w:r>
        <w:rPr>
          <w:color w:val="000000"/>
        </w:rPr>
        <w:t xml:space="preserve">, L. C., &amp; </w:t>
      </w:r>
      <w:proofErr w:type="spellStart"/>
      <w:r>
        <w:rPr>
          <w:color w:val="000000"/>
        </w:rPr>
        <w:t>Ikuesan</w:t>
      </w:r>
      <w:proofErr w:type="spellEnd"/>
      <w:r>
        <w:rPr>
          <w:color w:val="000000"/>
        </w:rPr>
        <w:t>, B. B. (2025). Aloe vera leaf (</w:t>
      </w:r>
      <w:r>
        <w:rPr>
          <w:i/>
          <w:iCs/>
          <w:color w:val="000000"/>
        </w:rPr>
        <w:t xml:space="preserve">Aloe </w:t>
      </w:r>
      <w:proofErr w:type="spellStart"/>
      <w:r>
        <w:rPr>
          <w:i/>
          <w:iCs/>
          <w:color w:val="000000"/>
        </w:rPr>
        <w:t>barbadensis</w:t>
      </w:r>
      <w:proofErr w:type="spellEnd"/>
      <w:r>
        <w:rPr>
          <w:color w:val="000000"/>
        </w:rPr>
        <w:t xml:space="preserve">) iron-oxide nanoparticles improved growth performance, immune response and survival of African </w:t>
      </w:r>
      <w:proofErr w:type="spellStart"/>
      <w:r>
        <w:rPr>
          <w:color w:val="000000"/>
        </w:rPr>
        <w:t>sharptooth</w:t>
      </w:r>
      <w:proofErr w:type="spellEnd"/>
      <w:r>
        <w:rPr>
          <w:color w:val="000000"/>
        </w:rPr>
        <w:t xml:space="preserve"> catfish </w:t>
      </w:r>
      <w:r>
        <w:rPr>
          <w:i/>
          <w:iCs/>
          <w:color w:val="000000"/>
        </w:rPr>
        <w:t xml:space="preserve">(Clarias </w:t>
      </w:r>
      <w:proofErr w:type="spellStart"/>
      <w:r>
        <w:rPr>
          <w:i/>
          <w:iCs/>
          <w:color w:val="000000"/>
        </w:rPr>
        <w:t>gariepinus</w:t>
      </w:r>
      <w:proofErr w:type="spellEnd"/>
      <w:r>
        <w:rPr>
          <w:color w:val="000000"/>
        </w:rPr>
        <w:t>) challenged with </w:t>
      </w:r>
      <w:r>
        <w:rPr>
          <w:i/>
          <w:iCs/>
          <w:color w:val="000000"/>
        </w:rPr>
        <w:t>Aeromonas hydrophilia</w:t>
      </w:r>
      <w:r>
        <w:rPr>
          <w:color w:val="000000"/>
        </w:rPr>
        <w:t>. </w:t>
      </w:r>
      <w:r>
        <w:rPr>
          <w:i/>
          <w:iCs/>
          <w:color w:val="000000"/>
        </w:rPr>
        <w:t>Journal of Applied Aquaculture</w:t>
      </w:r>
      <w:r>
        <w:rPr>
          <w:color w:val="000000"/>
        </w:rPr>
        <w:t>, </w:t>
      </w:r>
      <w:r>
        <w:rPr>
          <w:i/>
          <w:iCs/>
          <w:color w:val="000000"/>
        </w:rPr>
        <w:t>37</w:t>
      </w:r>
      <w:r>
        <w:rPr>
          <w:color w:val="000000"/>
        </w:rPr>
        <w:t xml:space="preserve">(2), 208–225. </w:t>
      </w:r>
      <w:hyperlink r:id="rId14">
        <w:r>
          <w:rPr>
            <w:rStyle w:val="Hyperlink"/>
            <w:color w:val="000000"/>
          </w:rPr>
          <w:t>https://doi.org/10.1080/10454438.2024.2394866</w:t>
        </w:r>
      </w:hyperlink>
    </w:p>
    <w:p w14:paraId="62813769" w14:textId="77777777" w:rsidR="00C97FB5" w:rsidRDefault="00C97FB5" w:rsidP="00C97FB5">
      <w:pPr>
        <w:spacing w:before="280" w:after="280" w:line="276" w:lineRule="auto"/>
        <w:ind w:firstLine="720"/>
        <w:jc w:val="both"/>
        <w:outlineLvl w:val="0"/>
      </w:pPr>
      <w:proofErr w:type="spellStart"/>
      <w:r>
        <w:rPr>
          <w:bCs/>
          <w:color w:val="000000"/>
        </w:rPr>
        <w:t>Pelesinou</w:t>
      </w:r>
      <w:proofErr w:type="spellEnd"/>
      <w:r>
        <w:rPr>
          <w:bCs/>
          <w:color w:val="000000"/>
        </w:rPr>
        <w:t xml:space="preserve">, K. B., Sattanathan, G., Haque, N., Padmapriya, S. Impact of Nutritional Mithun </w:t>
      </w:r>
      <w:proofErr w:type="spellStart"/>
      <w:r>
        <w:rPr>
          <w:bCs/>
          <w:color w:val="000000"/>
        </w:rPr>
        <w:t>Uirne</w:t>
      </w:r>
      <w:proofErr w:type="spellEnd"/>
      <w:r>
        <w:rPr>
          <w:bCs/>
          <w:color w:val="000000"/>
        </w:rPr>
        <w:t xml:space="preserve"> Distillate encapsulated calcium oxide nanoparticle on immunity in Tilapia, Oreochromis </w:t>
      </w:r>
      <w:proofErr w:type="spellStart"/>
      <w:r>
        <w:rPr>
          <w:bCs/>
          <w:color w:val="000000"/>
        </w:rPr>
        <w:t>mossambicus</w:t>
      </w:r>
      <w:proofErr w:type="spellEnd"/>
      <w:r>
        <w:rPr>
          <w:bCs/>
          <w:color w:val="000000"/>
        </w:rPr>
        <w:t xml:space="preserve"> against </w:t>
      </w:r>
      <w:proofErr w:type="spellStart"/>
      <w:r>
        <w:rPr>
          <w:bCs/>
          <w:color w:val="000000"/>
        </w:rPr>
        <w:t>Streptococcis</w:t>
      </w:r>
      <w:proofErr w:type="spellEnd"/>
      <w:r>
        <w:rPr>
          <w:bCs/>
          <w:color w:val="000000"/>
        </w:rPr>
        <w:t xml:space="preserve"> </w:t>
      </w:r>
      <w:proofErr w:type="spellStart"/>
      <w:r>
        <w:rPr>
          <w:bCs/>
          <w:color w:val="000000"/>
        </w:rPr>
        <w:t>agalacitae</w:t>
      </w:r>
      <w:proofErr w:type="spellEnd"/>
      <w:r>
        <w:rPr>
          <w:bCs/>
          <w:color w:val="000000"/>
        </w:rPr>
        <w:t xml:space="preserve"> infection. Thai Journal of Veterinary Medicine. 54, No.3. 28-30.</w:t>
      </w:r>
    </w:p>
    <w:p w14:paraId="1237946F" w14:textId="77777777" w:rsidR="00C97FB5" w:rsidRDefault="00C97FB5" w:rsidP="00C97FB5">
      <w:pPr>
        <w:spacing w:before="280" w:after="280" w:line="276" w:lineRule="auto"/>
        <w:ind w:firstLine="720"/>
        <w:jc w:val="both"/>
        <w:outlineLvl w:val="0"/>
        <w:rPr>
          <w:bCs/>
          <w:color w:val="000000"/>
        </w:rPr>
      </w:pPr>
      <w:proofErr w:type="spellStart"/>
      <w:r>
        <w:rPr>
          <w:bCs/>
          <w:color w:val="000000"/>
        </w:rPr>
        <w:t>Pelesinuo</w:t>
      </w:r>
      <w:proofErr w:type="spellEnd"/>
      <w:r>
        <w:rPr>
          <w:bCs/>
          <w:color w:val="000000"/>
        </w:rPr>
        <w:t xml:space="preserve">, K.B.; Sattanathan, G.; Haque, N.; Al-Ghanim, K.A.; Nicoletti, M.; </w:t>
      </w:r>
      <w:proofErr w:type="spellStart"/>
      <w:r>
        <w:rPr>
          <w:bCs/>
          <w:color w:val="000000"/>
        </w:rPr>
        <w:t>Sachivkina</w:t>
      </w:r>
      <w:proofErr w:type="spellEnd"/>
      <w:r>
        <w:rPr>
          <w:bCs/>
          <w:color w:val="000000"/>
        </w:rPr>
        <w:t>, N.; Govindarajan, M. Synthesis and Characterization of Mithun (</w:t>
      </w:r>
      <w:proofErr w:type="gramStart"/>
      <w:r>
        <w:rPr>
          <w:bCs/>
          <w:color w:val="000000"/>
        </w:rPr>
        <w:t>Bos</w:t>
      </w:r>
      <w:proofErr w:type="gramEnd"/>
      <w:r>
        <w:rPr>
          <w:bCs/>
          <w:color w:val="000000"/>
        </w:rPr>
        <w:t xml:space="preserve"> frontalis) Urine-Based Antibacterial Copper Oxide Nanoparticles. Biomedicines 2023, 11, 1690. https://doi.org/10.3390/biomedicines11061690.</w:t>
      </w:r>
    </w:p>
    <w:p w14:paraId="79461F44" w14:textId="77777777" w:rsidR="00C97FB5" w:rsidRDefault="00C97FB5" w:rsidP="00C97FB5">
      <w:pPr>
        <w:ind w:firstLine="720"/>
      </w:pPr>
      <w:r>
        <w:rPr>
          <w:highlight w:val="yellow"/>
        </w:rPr>
        <w:t>Rahman MM, Islam S, Karim M. (2024). Role of nanoparticle-based feed additives in improving fish growth and immunity. Fish &amp; Shellfish Immunology, 145, 109210.</w:t>
      </w:r>
    </w:p>
    <w:p w14:paraId="122A75B5" w14:textId="77777777" w:rsidR="00C97FB5" w:rsidRDefault="00C97FB5" w:rsidP="00C97FB5">
      <w:pPr>
        <w:ind w:firstLine="720"/>
      </w:pPr>
    </w:p>
    <w:p w14:paraId="01F259EE"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Rajagopal, S., Ponnusamy, M. (2017). Calcium Ion in Biological Systems. In: Calcium Signaling: From Physiology to Diseases. Springer, Singapore. </w:t>
      </w:r>
      <w:hyperlink r:id="rId15">
        <w:r>
          <w:rPr>
            <w:rStyle w:val="Hyperlink"/>
            <w:color w:val="000000"/>
          </w:rPr>
          <w:t>https://doi.org/10.1007/978-981-10-5160-9_1</w:t>
        </w:r>
      </w:hyperlink>
      <w:r>
        <w:rPr>
          <w:color w:val="000000"/>
        </w:rPr>
        <w:t>.</w:t>
      </w:r>
    </w:p>
    <w:p w14:paraId="4970A347" w14:textId="77777777" w:rsidR="00C97FB5" w:rsidRDefault="00C97FB5" w:rsidP="00C97FB5">
      <w:pPr>
        <w:spacing w:line="276" w:lineRule="auto"/>
        <w:ind w:firstLine="720"/>
        <w:jc w:val="both"/>
      </w:pPr>
      <w:r>
        <w:rPr>
          <w:color w:val="000000"/>
        </w:rPr>
        <w:t xml:space="preserve">Saffari, S., </w:t>
      </w:r>
      <w:proofErr w:type="spellStart"/>
      <w:r>
        <w:rPr>
          <w:color w:val="000000"/>
        </w:rPr>
        <w:t>Keyvanshokooh</w:t>
      </w:r>
      <w:proofErr w:type="spellEnd"/>
      <w:r>
        <w:rPr>
          <w:color w:val="000000"/>
        </w:rPr>
        <w:t xml:space="preserve">, S., Zakeri, M. et al. Effects of dietary organic, inorganic, and nanoparticulate selenium sources on growth, </w:t>
      </w:r>
      <w:proofErr w:type="spellStart"/>
      <w:r>
        <w:rPr>
          <w:color w:val="000000"/>
        </w:rPr>
        <w:t>hemato</w:t>
      </w:r>
      <w:proofErr w:type="spellEnd"/>
      <w:r>
        <w:rPr>
          <w:color w:val="000000"/>
        </w:rPr>
        <w:t xml:space="preserve">-immunological, and serum biochemical parameters of common carp (Cyprinus carpio). Fish </w:t>
      </w:r>
      <w:proofErr w:type="spellStart"/>
      <w:r>
        <w:rPr>
          <w:color w:val="000000"/>
        </w:rPr>
        <w:t>Physiol</w:t>
      </w:r>
      <w:proofErr w:type="spellEnd"/>
      <w:r>
        <w:rPr>
          <w:color w:val="000000"/>
        </w:rPr>
        <w:t xml:space="preserve"> </w:t>
      </w:r>
      <w:proofErr w:type="spellStart"/>
      <w:r>
        <w:rPr>
          <w:color w:val="000000"/>
        </w:rPr>
        <w:t>Biochem</w:t>
      </w:r>
      <w:proofErr w:type="spellEnd"/>
      <w:r>
        <w:rPr>
          <w:color w:val="000000"/>
        </w:rPr>
        <w:t xml:space="preserve"> 44, 1087–1097 (2018). </w:t>
      </w:r>
      <w:hyperlink r:id="rId16">
        <w:r>
          <w:rPr>
            <w:rStyle w:val="Hyperlink"/>
          </w:rPr>
          <w:t>https://doi.org/10.1007/s10695-018-0496-y</w:t>
        </w:r>
      </w:hyperlink>
      <w:r>
        <w:rPr>
          <w:color w:val="000000"/>
        </w:rPr>
        <w:t>.</w:t>
      </w:r>
    </w:p>
    <w:p w14:paraId="0134ADE5"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Seeta Dewali, </w:t>
      </w:r>
      <w:proofErr w:type="spellStart"/>
      <w:r>
        <w:rPr>
          <w:color w:val="000000"/>
        </w:rPr>
        <w:t>Netrapal</w:t>
      </w:r>
      <w:proofErr w:type="spellEnd"/>
      <w:r>
        <w:rPr>
          <w:color w:val="000000"/>
        </w:rPr>
        <w:t xml:space="preserve"> Sharma, Deepak Melkani, Mansi Arya, Neha Kathayat, Amrita Kumari Panda &amp; Satpal Singh Bisht (2023). Aquaculture: Contributions to Global Food Security. In: Ghosh, S., Kumari Panda, A., Jung, C., Singh Bisht, S. (eds) Emerging Solutions in Sustainable Food and Nutrition Security. Springer, Cham. </w:t>
      </w:r>
      <w:hyperlink r:id="rId17">
        <w:r>
          <w:rPr>
            <w:rStyle w:val="Hyperlink"/>
            <w:color w:val="000000"/>
          </w:rPr>
          <w:t>https://doi.org/10.1007/978-3-031-40908-0_6</w:t>
        </w:r>
      </w:hyperlink>
    </w:p>
    <w:p w14:paraId="5CFFDF2A" w14:textId="77777777" w:rsidR="00C97FB5" w:rsidRDefault="00C97FB5" w:rsidP="00C97FB5">
      <w:pPr>
        <w:pStyle w:val="c-bibliographic-informationcitation"/>
        <w:shd w:val="clear" w:color="auto" w:fill="FFFFFF"/>
        <w:spacing w:before="0" w:after="184" w:line="276" w:lineRule="auto"/>
        <w:ind w:firstLine="720"/>
        <w:jc w:val="both"/>
      </w:pPr>
      <w:proofErr w:type="spellStart"/>
      <w:r>
        <w:rPr>
          <w:color w:val="000000"/>
        </w:rPr>
        <w:t>Sridharamurthy</w:t>
      </w:r>
      <w:proofErr w:type="spellEnd"/>
      <w:r>
        <w:rPr>
          <w:color w:val="000000"/>
        </w:rPr>
        <w:t xml:space="preserve"> NB, Manasa MN, Sowmya BA. Anti Inflammatory Activity of Cow Urine Betel Vine Extract in Rats. World J Res Rev 2016;2(6):39-42.</w:t>
      </w:r>
    </w:p>
    <w:p w14:paraId="5F213835" w14:textId="77777777" w:rsidR="00C97FB5" w:rsidRDefault="00C97FB5" w:rsidP="00C97FB5">
      <w:pPr>
        <w:shd w:val="clear" w:color="auto" w:fill="FFFFFF"/>
        <w:spacing w:line="276" w:lineRule="auto"/>
        <w:ind w:firstLine="720"/>
        <w:jc w:val="both"/>
        <w:rPr>
          <w:color w:val="000000"/>
        </w:rPr>
      </w:pPr>
      <w:proofErr w:type="spellStart"/>
      <w:r>
        <w:rPr>
          <w:color w:val="000000"/>
        </w:rPr>
        <w:t>Thangapandiyan</w:t>
      </w:r>
      <w:proofErr w:type="spellEnd"/>
      <w:r>
        <w:rPr>
          <w:color w:val="000000"/>
        </w:rPr>
        <w:t xml:space="preserve">, S.; Monika, S. Green Synthesized Zinc Oxide Nanoparticles as Feed Additives to Improve Growth, Biochemical, and Hematological Parameters in Freshwater Fish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Biol. Trace Elem. Res. 2020, 195, 636–647.</w:t>
      </w:r>
    </w:p>
    <w:p w14:paraId="1876286A" w14:textId="77777777" w:rsidR="00C97FB5" w:rsidRDefault="00C97FB5" w:rsidP="00C97FB5">
      <w:pPr>
        <w:shd w:val="clear" w:color="auto" w:fill="FFFFFF"/>
        <w:spacing w:line="276" w:lineRule="auto"/>
        <w:ind w:firstLine="720"/>
        <w:jc w:val="both"/>
      </w:pPr>
    </w:p>
    <w:p w14:paraId="07F93836" w14:textId="77777777" w:rsidR="00C97FB5" w:rsidRDefault="00C97FB5" w:rsidP="00C97FB5">
      <w:pPr>
        <w:pStyle w:val="c-bibliographic-informationcitation"/>
        <w:shd w:val="clear" w:color="auto" w:fill="FFFFFF"/>
        <w:spacing w:before="0" w:after="184" w:line="276" w:lineRule="auto"/>
        <w:ind w:firstLine="720"/>
        <w:jc w:val="both"/>
        <w:rPr>
          <w:color w:val="000000"/>
        </w:rPr>
      </w:pPr>
      <w:r>
        <w:rPr>
          <w:color w:val="000000"/>
        </w:rPr>
        <w:t xml:space="preserve">Yousefi, M.; Adineh, H.; Al </w:t>
      </w:r>
      <w:proofErr w:type="spellStart"/>
      <w:r>
        <w:rPr>
          <w:color w:val="000000"/>
        </w:rPr>
        <w:t>Sulivany</w:t>
      </w:r>
      <w:proofErr w:type="spellEnd"/>
      <w:r>
        <w:rPr>
          <w:color w:val="000000"/>
        </w:rPr>
        <w:t xml:space="preserve">, B.S.A.; </w:t>
      </w:r>
      <w:proofErr w:type="spellStart"/>
      <w:r>
        <w:rPr>
          <w:color w:val="000000"/>
        </w:rPr>
        <w:t>Gholamalipour</w:t>
      </w:r>
      <w:proofErr w:type="spellEnd"/>
      <w:r>
        <w:rPr>
          <w:color w:val="000000"/>
        </w:rPr>
        <w:t xml:space="preserve"> </w:t>
      </w:r>
      <w:proofErr w:type="spellStart"/>
      <w:r>
        <w:rPr>
          <w:color w:val="000000"/>
        </w:rPr>
        <w:t>Alamdari</w:t>
      </w:r>
      <w:proofErr w:type="spellEnd"/>
      <w:r>
        <w:rPr>
          <w:color w:val="000000"/>
        </w:rPr>
        <w:t xml:space="preserve">, E.; Yilmaz, S.; Mahboub, H.H.; </w:t>
      </w:r>
      <w:proofErr w:type="spellStart"/>
      <w:r>
        <w:rPr>
          <w:color w:val="000000"/>
        </w:rPr>
        <w:t>Hoseini</w:t>
      </w:r>
      <w:proofErr w:type="spellEnd"/>
      <w:r>
        <w:rPr>
          <w:color w:val="000000"/>
        </w:rPr>
        <w:t xml:space="preserve">, S.M. The Potential of the Inclusion of Prosopis </w:t>
      </w:r>
      <w:proofErr w:type="spellStart"/>
      <w:r>
        <w:rPr>
          <w:color w:val="000000"/>
        </w:rPr>
        <w:t>farcta</w:t>
      </w:r>
      <w:proofErr w:type="spellEnd"/>
      <w:r>
        <w:rPr>
          <w:color w:val="000000"/>
        </w:rPr>
        <w:t xml:space="preserve"> Extract in the Diet on the Growth Performance, Immunity, Digestive Enzyme Activity, and Oxidative Status of the Common Carp, Cyprinus carpio, in Response to Ammonia Stress. Animals 2025, 15, 895. </w:t>
      </w:r>
      <w:hyperlink r:id="rId18">
        <w:r>
          <w:rPr>
            <w:rStyle w:val="Hyperlink"/>
            <w:color w:val="000000"/>
          </w:rPr>
          <w:t>https://doi.org/10.3390/ani15060895</w:t>
        </w:r>
      </w:hyperlink>
      <w:r>
        <w:rPr>
          <w:color w:val="000000"/>
        </w:rPr>
        <w:t>.</w:t>
      </w:r>
    </w:p>
    <w:p w14:paraId="7EEE30F3" w14:textId="77777777" w:rsidR="00C97FB5" w:rsidRDefault="00C97FB5" w:rsidP="00C97FB5">
      <w:pPr>
        <w:ind w:firstLine="720"/>
      </w:pPr>
      <w:r>
        <w:rPr>
          <w:highlight w:val="yellow"/>
        </w:rPr>
        <w:lastRenderedPageBreak/>
        <w:t xml:space="preserve">Zahran E, </w:t>
      </w:r>
      <w:proofErr w:type="spellStart"/>
      <w:r>
        <w:rPr>
          <w:highlight w:val="yellow"/>
        </w:rPr>
        <w:t>Elbahnaswy</w:t>
      </w:r>
      <w:proofErr w:type="spellEnd"/>
      <w:r>
        <w:rPr>
          <w:highlight w:val="yellow"/>
        </w:rPr>
        <w:t xml:space="preserve"> S, Mansour AIA, et al. (2024). Dietary algal-sourced zinc nanoparticles promote growth performance, intestinal integrity, and immune response of Nile tilapia. BMC Veterinary Research, 20, 276.</w:t>
      </w:r>
    </w:p>
    <w:p w14:paraId="12D8E978" w14:textId="77777777" w:rsidR="00C97FB5" w:rsidRDefault="00C97FB5" w:rsidP="00C97FB5">
      <w:pPr>
        <w:ind w:firstLine="720"/>
      </w:pPr>
    </w:p>
    <w:p w14:paraId="26815891" w14:textId="77777777" w:rsidR="00C97FB5" w:rsidRDefault="00C97FB5" w:rsidP="00C97FB5">
      <w:pPr>
        <w:pStyle w:val="c-bibliographic-informationcitation"/>
        <w:shd w:val="clear" w:color="auto" w:fill="FFFFFF"/>
        <w:spacing w:before="0" w:after="184" w:line="276" w:lineRule="auto"/>
        <w:ind w:firstLine="720"/>
        <w:jc w:val="both"/>
      </w:pPr>
      <w:r>
        <w:rPr>
          <w:color w:val="000000"/>
        </w:rPr>
        <w:t xml:space="preserve">Zahran E, </w:t>
      </w:r>
      <w:proofErr w:type="spellStart"/>
      <w:r>
        <w:rPr>
          <w:color w:val="000000"/>
        </w:rPr>
        <w:t>Elbahnaswy</w:t>
      </w:r>
      <w:proofErr w:type="spellEnd"/>
      <w:r>
        <w:rPr>
          <w:color w:val="000000"/>
        </w:rPr>
        <w:t xml:space="preserve"> S, Mansour AIA, Risha E, Mustafa A, Alqahtani AS, </w:t>
      </w:r>
      <w:proofErr w:type="spellStart"/>
      <w:r>
        <w:rPr>
          <w:color w:val="000000"/>
        </w:rPr>
        <w:t>Sebaei</w:t>
      </w:r>
      <w:proofErr w:type="spellEnd"/>
      <w:r>
        <w:rPr>
          <w:color w:val="000000"/>
        </w:rPr>
        <w:t xml:space="preserve"> MGE, Ahmed F. Dietary algal-sourced zinc nanoparticles promote growth performance, intestinal integrity, and immune response of Nile tilapia (Oreochromis niloticus). BMC Vet Res. 2024 Jun 26;20(1):276. </w:t>
      </w:r>
      <w:proofErr w:type="spellStart"/>
      <w:r>
        <w:rPr>
          <w:color w:val="000000"/>
        </w:rPr>
        <w:t>doi</w:t>
      </w:r>
      <w:proofErr w:type="spellEnd"/>
      <w:r>
        <w:rPr>
          <w:color w:val="000000"/>
        </w:rPr>
        <w:t>: 10.1186/s12917-024-04077-w. PMID: 38926724; PMCID: PMC11201375.</w:t>
      </w:r>
    </w:p>
    <w:p w14:paraId="4B2F8073" w14:textId="77777777" w:rsidR="00C97FB5" w:rsidRDefault="00C97FB5" w:rsidP="00C97FB5">
      <w:pPr>
        <w:pStyle w:val="BodyText"/>
        <w:spacing w:line="360" w:lineRule="auto"/>
        <w:ind w:right="284"/>
        <w:jc w:val="both"/>
        <w:rPr>
          <w:b/>
          <w:color w:val="000000"/>
        </w:rPr>
        <w:sectPr w:rsidR="00C97FB5">
          <w:headerReference w:type="default" r:id="rId19"/>
          <w:footerReference w:type="default" r:id="rId20"/>
          <w:pgSz w:w="11906" w:h="16838"/>
          <w:pgMar w:top="1360" w:right="1300" w:bottom="1140" w:left="1160" w:header="708" w:footer="953" w:gutter="0"/>
          <w:cols w:space="720"/>
          <w:formProt w:val="0"/>
          <w:docGrid w:linePitch="299"/>
        </w:sectPr>
      </w:pPr>
    </w:p>
    <w:p w14:paraId="785FAA71" w14:textId="77777777" w:rsidR="00FA5E21" w:rsidRDefault="00000000">
      <w:pPr>
        <w:jc w:val="center"/>
      </w:pPr>
      <w:r>
        <w:rPr>
          <w:rFonts w:eastAsia="Calibri"/>
          <w:b/>
          <w:shd w:val="clear" w:color="auto" w:fill="FFFFFF"/>
          <w:lang w:val="en-GB"/>
        </w:rPr>
        <w:lastRenderedPageBreak/>
        <w:t xml:space="preserve">Table 1. The dorsal muscle proximal composition (%) of tilapia, </w:t>
      </w:r>
      <w:r>
        <w:rPr>
          <w:rFonts w:eastAsia="Calibri"/>
          <w:b/>
          <w:i/>
          <w:shd w:val="clear" w:color="auto" w:fill="FFFFFF"/>
          <w:lang w:val="en-GB"/>
        </w:rPr>
        <w:t xml:space="preserve">O. </w:t>
      </w:r>
      <w:proofErr w:type="spellStart"/>
      <w:r>
        <w:rPr>
          <w:rFonts w:eastAsia="Calibri"/>
          <w:b/>
          <w:i/>
          <w:shd w:val="clear" w:color="auto" w:fill="FFFFFF"/>
          <w:lang w:val="en-GB"/>
        </w:rPr>
        <w:t>mossambicus</w:t>
      </w:r>
      <w:proofErr w:type="spellEnd"/>
      <w:r>
        <w:rPr>
          <w:rFonts w:eastAsia="Calibri"/>
          <w:b/>
          <w:shd w:val="clear" w:color="auto" w:fill="FFFFFF"/>
          <w:lang w:val="en-GB"/>
        </w:rPr>
        <w:t xml:space="preserve"> fed MUD encapsulated CaO NPs </w:t>
      </w:r>
    </w:p>
    <w:p w14:paraId="091ABC1F" w14:textId="77777777" w:rsidR="00FA5E21" w:rsidRDefault="00FA5E21">
      <w:pPr>
        <w:jc w:val="center"/>
        <w:rPr>
          <w:rFonts w:eastAsia="Calibri"/>
          <w:b/>
          <w:shd w:val="clear" w:color="auto" w:fill="FFFFFF"/>
          <w:lang w:val="en-GB"/>
        </w:rPr>
      </w:pPr>
    </w:p>
    <w:tbl>
      <w:tblPr>
        <w:tblW w:w="9679" w:type="dxa"/>
        <w:jc w:val="center"/>
        <w:tblLayout w:type="fixed"/>
        <w:tblLook w:val="0000" w:firstRow="0" w:lastRow="0" w:firstColumn="0" w:lastColumn="0" w:noHBand="0" w:noVBand="0"/>
      </w:tblPr>
      <w:tblGrid>
        <w:gridCol w:w="1904"/>
        <w:gridCol w:w="1550"/>
        <w:gridCol w:w="1550"/>
        <w:gridCol w:w="1569"/>
        <w:gridCol w:w="1553"/>
        <w:gridCol w:w="1553"/>
      </w:tblGrid>
      <w:tr w:rsidR="00FA5E21" w14:paraId="63379875" w14:textId="77777777">
        <w:trPr>
          <w:trHeight w:val="469"/>
          <w:jc w:val="center"/>
        </w:trPr>
        <w:tc>
          <w:tcPr>
            <w:tcW w:w="1904" w:type="dxa"/>
            <w:tcBorders>
              <w:top w:val="single" w:sz="4" w:space="0" w:color="000000"/>
              <w:left w:val="single" w:sz="4" w:space="0" w:color="000000"/>
              <w:bottom w:val="single" w:sz="4" w:space="0" w:color="000000"/>
              <w:right w:val="single" w:sz="4" w:space="0" w:color="000000"/>
            </w:tcBorders>
          </w:tcPr>
          <w:p w14:paraId="61AFA988"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Parameters (%)</w:t>
            </w:r>
          </w:p>
        </w:tc>
        <w:tc>
          <w:tcPr>
            <w:tcW w:w="1550" w:type="dxa"/>
            <w:tcBorders>
              <w:top w:val="single" w:sz="4" w:space="0" w:color="000000"/>
              <w:left w:val="single" w:sz="4" w:space="0" w:color="000000"/>
              <w:bottom w:val="single" w:sz="4" w:space="0" w:color="000000"/>
              <w:right w:val="single" w:sz="4" w:space="0" w:color="000000"/>
            </w:tcBorders>
          </w:tcPr>
          <w:p w14:paraId="2B07B00F"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 xml:space="preserve">Control </w:t>
            </w:r>
          </w:p>
        </w:tc>
        <w:tc>
          <w:tcPr>
            <w:tcW w:w="1550" w:type="dxa"/>
            <w:tcBorders>
              <w:top w:val="single" w:sz="4" w:space="0" w:color="000000"/>
              <w:left w:val="single" w:sz="4" w:space="0" w:color="000000"/>
              <w:bottom w:val="single" w:sz="4" w:space="0" w:color="000000"/>
              <w:right w:val="single" w:sz="4" w:space="0" w:color="000000"/>
            </w:tcBorders>
          </w:tcPr>
          <w:p w14:paraId="60F9E745"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 xml:space="preserve">T1 </w:t>
            </w:r>
          </w:p>
        </w:tc>
        <w:tc>
          <w:tcPr>
            <w:tcW w:w="1569" w:type="dxa"/>
            <w:tcBorders>
              <w:top w:val="single" w:sz="4" w:space="0" w:color="000000"/>
              <w:left w:val="single" w:sz="4" w:space="0" w:color="000000"/>
              <w:bottom w:val="single" w:sz="4" w:space="0" w:color="000000"/>
              <w:right w:val="single" w:sz="4" w:space="0" w:color="000000"/>
            </w:tcBorders>
          </w:tcPr>
          <w:p w14:paraId="6E2A2844"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 xml:space="preserve">T2 </w:t>
            </w:r>
          </w:p>
        </w:tc>
        <w:tc>
          <w:tcPr>
            <w:tcW w:w="1553" w:type="dxa"/>
            <w:tcBorders>
              <w:top w:val="single" w:sz="4" w:space="0" w:color="000000"/>
              <w:left w:val="single" w:sz="4" w:space="0" w:color="000000"/>
              <w:bottom w:val="single" w:sz="4" w:space="0" w:color="000000"/>
              <w:right w:val="single" w:sz="4" w:space="0" w:color="000000"/>
            </w:tcBorders>
          </w:tcPr>
          <w:p w14:paraId="6257AF9D"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 xml:space="preserve">T3 </w:t>
            </w:r>
          </w:p>
        </w:tc>
        <w:tc>
          <w:tcPr>
            <w:tcW w:w="1553" w:type="dxa"/>
            <w:tcBorders>
              <w:top w:val="single" w:sz="4" w:space="0" w:color="000000"/>
              <w:left w:val="single" w:sz="4" w:space="0" w:color="000000"/>
              <w:bottom w:val="single" w:sz="4" w:space="0" w:color="000000"/>
              <w:right w:val="single" w:sz="4" w:space="0" w:color="000000"/>
            </w:tcBorders>
          </w:tcPr>
          <w:p w14:paraId="58F8FE10" w14:textId="77777777" w:rsidR="00FA5E21" w:rsidRDefault="00000000">
            <w:pPr>
              <w:spacing w:line="480" w:lineRule="auto"/>
              <w:jc w:val="center"/>
              <w:rPr>
                <w:rFonts w:eastAsia="Calibri" w:cs="Arial"/>
                <w:b/>
                <w:bCs/>
                <w:color w:val="000000"/>
                <w:kern w:val="2"/>
                <w:lang w:val="en-GB"/>
              </w:rPr>
            </w:pPr>
            <w:r>
              <w:rPr>
                <w:rFonts w:eastAsia="Calibri" w:cs="Arial"/>
                <w:b/>
                <w:bCs/>
                <w:color w:val="000000"/>
                <w:kern w:val="2"/>
                <w:lang w:val="en-GB"/>
              </w:rPr>
              <w:t xml:space="preserve">T4 </w:t>
            </w:r>
          </w:p>
        </w:tc>
      </w:tr>
      <w:tr w:rsidR="00FA5E21" w14:paraId="4A9B38CE" w14:textId="77777777">
        <w:trPr>
          <w:trHeight w:val="456"/>
          <w:jc w:val="center"/>
        </w:trPr>
        <w:tc>
          <w:tcPr>
            <w:tcW w:w="1904" w:type="dxa"/>
            <w:tcBorders>
              <w:top w:val="single" w:sz="4" w:space="0" w:color="000000"/>
              <w:left w:val="single" w:sz="4" w:space="0" w:color="000000"/>
              <w:bottom w:val="single" w:sz="4" w:space="0" w:color="000000"/>
              <w:right w:val="single" w:sz="4" w:space="0" w:color="000000"/>
            </w:tcBorders>
          </w:tcPr>
          <w:p w14:paraId="66E0A8E1" w14:textId="77777777" w:rsidR="00FA5E21" w:rsidRDefault="00000000">
            <w:pPr>
              <w:spacing w:line="480" w:lineRule="auto"/>
              <w:rPr>
                <w:rFonts w:eastAsia="Calibri" w:cs="Arial"/>
                <w:b/>
                <w:bCs/>
                <w:color w:val="000000"/>
                <w:kern w:val="2"/>
                <w:lang w:val="en-GB"/>
              </w:rPr>
            </w:pPr>
            <w:r>
              <w:rPr>
                <w:rFonts w:eastAsia="Calibri" w:cs="Arial"/>
                <w:b/>
                <w:bCs/>
                <w:color w:val="000000"/>
                <w:kern w:val="2"/>
                <w:lang w:val="en-GB"/>
              </w:rPr>
              <w:t>Crude protein</w:t>
            </w:r>
          </w:p>
        </w:tc>
        <w:tc>
          <w:tcPr>
            <w:tcW w:w="1550" w:type="dxa"/>
            <w:tcBorders>
              <w:top w:val="single" w:sz="4" w:space="0" w:color="000000"/>
              <w:left w:val="single" w:sz="4" w:space="0" w:color="000000"/>
              <w:bottom w:val="single" w:sz="4" w:space="0" w:color="000000"/>
              <w:right w:val="single" w:sz="4" w:space="0" w:color="000000"/>
            </w:tcBorders>
          </w:tcPr>
          <w:p w14:paraId="53BB9A8D" w14:textId="77777777" w:rsidR="00FA5E21" w:rsidRDefault="00000000">
            <w:pPr>
              <w:spacing w:line="480" w:lineRule="auto"/>
              <w:jc w:val="center"/>
              <w:rPr>
                <w:rFonts w:eastAsia="Calibri" w:cs="Arial"/>
                <w:b/>
                <w:color w:val="000000"/>
                <w:kern w:val="2"/>
                <w:lang w:val="en-GB"/>
              </w:rPr>
            </w:pPr>
            <w:r>
              <w:rPr>
                <w:rFonts w:eastAsia="Calibri" w:cs="Arial"/>
                <w:color w:val="000000"/>
                <w:kern w:val="2"/>
                <w:lang w:val="en-GB"/>
              </w:rPr>
              <w:t>30.20±0.35</w:t>
            </w:r>
            <w:r>
              <w:rPr>
                <w:rFonts w:eastAsia="Calibri" w:cs="Arial"/>
                <w:color w:val="000000"/>
                <w:kern w:val="2"/>
                <w:vertAlign w:val="superscript"/>
                <w:lang w:val="en-GB"/>
              </w:rPr>
              <w:t>a</w:t>
            </w:r>
          </w:p>
        </w:tc>
        <w:tc>
          <w:tcPr>
            <w:tcW w:w="1550" w:type="dxa"/>
            <w:tcBorders>
              <w:top w:val="single" w:sz="4" w:space="0" w:color="000000"/>
              <w:left w:val="single" w:sz="4" w:space="0" w:color="000000"/>
              <w:bottom w:val="single" w:sz="4" w:space="0" w:color="000000"/>
              <w:right w:val="single" w:sz="4" w:space="0" w:color="000000"/>
            </w:tcBorders>
          </w:tcPr>
          <w:p w14:paraId="5F24F2C1"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31.9±0.50</w:t>
            </w:r>
            <w:r>
              <w:rPr>
                <w:rFonts w:eastAsia="Calibri" w:cs="Arial"/>
                <w:color w:val="000000"/>
                <w:kern w:val="2"/>
                <w:vertAlign w:val="superscript"/>
                <w:lang w:val="en-GB"/>
              </w:rPr>
              <w:t xml:space="preserve"> b</w:t>
            </w:r>
          </w:p>
        </w:tc>
        <w:tc>
          <w:tcPr>
            <w:tcW w:w="1569" w:type="dxa"/>
            <w:tcBorders>
              <w:top w:val="single" w:sz="4" w:space="0" w:color="000000"/>
              <w:left w:val="single" w:sz="4" w:space="0" w:color="000000"/>
              <w:bottom w:val="single" w:sz="4" w:space="0" w:color="000000"/>
              <w:right w:val="single" w:sz="4" w:space="0" w:color="000000"/>
            </w:tcBorders>
          </w:tcPr>
          <w:p w14:paraId="2781C6A8"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32.9±0.41</w:t>
            </w:r>
            <w:r>
              <w:rPr>
                <w:rFonts w:eastAsia="Calibri" w:cs="Arial"/>
                <w:color w:val="000000"/>
                <w:kern w:val="2"/>
                <w:vertAlign w:val="superscript"/>
                <w:lang w:val="en-GB"/>
              </w:rPr>
              <w:t xml:space="preserve"> c</w:t>
            </w:r>
          </w:p>
        </w:tc>
        <w:tc>
          <w:tcPr>
            <w:tcW w:w="1553" w:type="dxa"/>
            <w:tcBorders>
              <w:top w:val="single" w:sz="4" w:space="0" w:color="000000"/>
              <w:left w:val="single" w:sz="4" w:space="0" w:color="000000"/>
              <w:bottom w:val="single" w:sz="4" w:space="0" w:color="000000"/>
              <w:right w:val="single" w:sz="4" w:space="0" w:color="000000"/>
            </w:tcBorders>
          </w:tcPr>
          <w:p w14:paraId="38AEEE21"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33.03±0.26</w:t>
            </w:r>
            <w:r>
              <w:rPr>
                <w:rFonts w:eastAsia="Calibri" w:cs="Arial"/>
                <w:color w:val="000000"/>
                <w:kern w:val="2"/>
                <w:vertAlign w:val="superscript"/>
                <w:lang w:val="en-GB"/>
              </w:rPr>
              <w:t xml:space="preserve"> d</w:t>
            </w:r>
          </w:p>
        </w:tc>
        <w:tc>
          <w:tcPr>
            <w:tcW w:w="1553" w:type="dxa"/>
            <w:tcBorders>
              <w:top w:val="single" w:sz="4" w:space="0" w:color="000000"/>
              <w:left w:val="single" w:sz="4" w:space="0" w:color="000000"/>
              <w:bottom w:val="single" w:sz="4" w:space="0" w:color="000000"/>
              <w:right w:val="single" w:sz="4" w:space="0" w:color="000000"/>
            </w:tcBorders>
          </w:tcPr>
          <w:p w14:paraId="29F22C53"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31.98±0.03</w:t>
            </w:r>
            <w:r>
              <w:rPr>
                <w:rFonts w:eastAsia="Calibri" w:cs="Arial"/>
                <w:color w:val="000000"/>
                <w:kern w:val="2"/>
                <w:vertAlign w:val="superscript"/>
                <w:lang w:val="en-GB"/>
              </w:rPr>
              <w:t>b</w:t>
            </w:r>
          </w:p>
        </w:tc>
      </w:tr>
      <w:tr w:rsidR="00FA5E21" w14:paraId="63C5EBAB" w14:textId="77777777">
        <w:trPr>
          <w:trHeight w:val="469"/>
          <w:jc w:val="center"/>
        </w:trPr>
        <w:tc>
          <w:tcPr>
            <w:tcW w:w="1904" w:type="dxa"/>
            <w:tcBorders>
              <w:top w:val="single" w:sz="4" w:space="0" w:color="000000"/>
              <w:left w:val="single" w:sz="4" w:space="0" w:color="000000"/>
              <w:bottom w:val="single" w:sz="4" w:space="0" w:color="000000"/>
              <w:right w:val="single" w:sz="4" w:space="0" w:color="000000"/>
            </w:tcBorders>
          </w:tcPr>
          <w:p w14:paraId="3FDF09B5" w14:textId="77777777" w:rsidR="00FA5E21" w:rsidRDefault="00000000">
            <w:pPr>
              <w:spacing w:line="480" w:lineRule="auto"/>
              <w:rPr>
                <w:rFonts w:eastAsia="Calibri" w:cs="Arial"/>
                <w:b/>
                <w:bCs/>
                <w:color w:val="000000"/>
                <w:kern w:val="2"/>
                <w:lang w:val="en-GB"/>
              </w:rPr>
            </w:pPr>
            <w:r>
              <w:rPr>
                <w:rFonts w:eastAsia="Calibri" w:cs="Arial"/>
                <w:b/>
                <w:bCs/>
                <w:color w:val="000000"/>
                <w:kern w:val="2"/>
                <w:lang w:val="en-GB"/>
              </w:rPr>
              <w:t>Crude lipid</w:t>
            </w:r>
          </w:p>
        </w:tc>
        <w:tc>
          <w:tcPr>
            <w:tcW w:w="1550" w:type="dxa"/>
            <w:tcBorders>
              <w:top w:val="single" w:sz="4" w:space="0" w:color="000000"/>
              <w:left w:val="single" w:sz="4" w:space="0" w:color="000000"/>
              <w:bottom w:val="single" w:sz="4" w:space="0" w:color="000000"/>
              <w:right w:val="single" w:sz="4" w:space="0" w:color="000000"/>
            </w:tcBorders>
          </w:tcPr>
          <w:p w14:paraId="6A843A8B" w14:textId="77777777" w:rsidR="00FA5E21" w:rsidRDefault="00000000">
            <w:pPr>
              <w:spacing w:line="480" w:lineRule="auto"/>
              <w:jc w:val="center"/>
              <w:rPr>
                <w:rFonts w:eastAsia="Calibri" w:cs="Arial"/>
                <w:color w:val="000000"/>
                <w:kern w:val="2"/>
                <w:vertAlign w:val="superscript"/>
                <w:lang w:val="en-GB"/>
              </w:rPr>
            </w:pPr>
            <w:r>
              <w:rPr>
                <w:rFonts w:eastAsia="Calibri" w:cs="Arial"/>
                <w:color w:val="000000"/>
                <w:kern w:val="2"/>
                <w:lang w:val="en-GB"/>
              </w:rPr>
              <w:t>17.26±0.60</w:t>
            </w:r>
            <w:r>
              <w:rPr>
                <w:rFonts w:eastAsia="Calibri" w:cs="Arial"/>
                <w:color w:val="000000"/>
                <w:kern w:val="2"/>
                <w:vertAlign w:val="superscript"/>
                <w:lang w:val="en-GB"/>
              </w:rPr>
              <w:t>a</w:t>
            </w:r>
          </w:p>
        </w:tc>
        <w:tc>
          <w:tcPr>
            <w:tcW w:w="1550" w:type="dxa"/>
            <w:tcBorders>
              <w:top w:val="single" w:sz="4" w:space="0" w:color="000000"/>
              <w:left w:val="single" w:sz="4" w:space="0" w:color="000000"/>
              <w:bottom w:val="single" w:sz="4" w:space="0" w:color="000000"/>
              <w:right w:val="single" w:sz="4" w:space="0" w:color="000000"/>
            </w:tcBorders>
          </w:tcPr>
          <w:p w14:paraId="6DC6E5DF" w14:textId="77777777" w:rsidR="00FA5E21" w:rsidRDefault="00000000">
            <w:pPr>
              <w:spacing w:line="480" w:lineRule="auto"/>
              <w:jc w:val="center"/>
              <w:rPr>
                <w:rFonts w:eastAsia="Calibri" w:cs="Arial"/>
                <w:color w:val="000000"/>
                <w:kern w:val="2"/>
                <w:vertAlign w:val="superscript"/>
                <w:lang w:val="en-GB"/>
              </w:rPr>
            </w:pPr>
            <w:r>
              <w:rPr>
                <w:rFonts w:eastAsia="Calibri" w:cs="Arial"/>
                <w:color w:val="000000"/>
                <w:kern w:val="2"/>
                <w:lang w:val="en-GB"/>
              </w:rPr>
              <w:t>18.25±0.04</w:t>
            </w:r>
            <w:r>
              <w:rPr>
                <w:rFonts w:eastAsia="Calibri" w:cs="Arial"/>
                <w:color w:val="000000"/>
                <w:kern w:val="2"/>
                <w:vertAlign w:val="superscript"/>
                <w:lang w:val="en-GB"/>
              </w:rPr>
              <w:t>c</w:t>
            </w:r>
          </w:p>
        </w:tc>
        <w:tc>
          <w:tcPr>
            <w:tcW w:w="1569" w:type="dxa"/>
            <w:tcBorders>
              <w:top w:val="single" w:sz="4" w:space="0" w:color="000000"/>
              <w:left w:val="single" w:sz="4" w:space="0" w:color="000000"/>
              <w:bottom w:val="single" w:sz="4" w:space="0" w:color="000000"/>
              <w:right w:val="single" w:sz="4" w:space="0" w:color="000000"/>
            </w:tcBorders>
          </w:tcPr>
          <w:p w14:paraId="026D9420" w14:textId="77777777" w:rsidR="00FA5E21" w:rsidRDefault="00000000">
            <w:pPr>
              <w:spacing w:line="480" w:lineRule="auto"/>
              <w:jc w:val="center"/>
              <w:rPr>
                <w:rFonts w:eastAsia="Calibri" w:cs="Arial"/>
                <w:color w:val="000000"/>
                <w:kern w:val="2"/>
                <w:vertAlign w:val="superscript"/>
                <w:lang w:val="en-GB"/>
              </w:rPr>
            </w:pPr>
            <w:r>
              <w:rPr>
                <w:rFonts w:eastAsia="Calibri" w:cs="Arial"/>
                <w:color w:val="000000"/>
                <w:kern w:val="2"/>
                <w:lang w:val="en-GB"/>
              </w:rPr>
              <w:t>18.49±0.06</w:t>
            </w:r>
            <w:r>
              <w:rPr>
                <w:rFonts w:eastAsia="Calibri" w:cs="Arial"/>
                <w:color w:val="000000"/>
                <w:kern w:val="2"/>
                <w:vertAlign w:val="superscript"/>
                <w:lang w:val="en-GB"/>
              </w:rPr>
              <w:t>c</w:t>
            </w:r>
          </w:p>
        </w:tc>
        <w:tc>
          <w:tcPr>
            <w:tcW w:w="1553" w:type="dxa"/>
            <w:tcBorders>
              <w:top w:val="single" w:sz="4" w:space="0" w:color="000000"/>
              <w:left w:val="single" w:sz="4" w:space="0" w:color="000000"/>
              <w:bottom w:val="single" w:sz="4" w:space="0" w:color="000000"/>
              <w:right w:val="single" w:sz="4" w:space="0" w:color="000000"/>
            </w:tcBorders>
          </w:tcPr>
          <w:p w14:paraId="40D849B2" w14:textId="77777777" w:rsidR="00FA5E21" w:rsidRDefault="00000000">
            <w:pPr>
              <w:spacing w:line="480" w:lineRule="auto"/>
              <w:jc w:val="center"/>
              <w:rPr>
                <w:rFonts w:eastAsia="Calibri" w:cs="Arial"/>
                <w:color w:val="000000"/>
                <w:kern w:val="2"/>
                <w:vertAlign w:val="superscript"/>
                <w:lang w:val="en-GB"/>
              </w:rPr>
            </w:pPr>
            <w:r>
              <w:rPr>
                <w:rFonts w:eastAsia="Calibri" w:cs="Arial"/>
                <w:color w:val="000000"/>
                <w:kern w:val="2"/>
                <w:lang w:val="en-GB"/>
              </w:rPr>
              <w:t>18.77±0.15</w:t>
            </w:r>
            <w:r>
              <w:rPr>
                <w:rFonts w:eastAsia="Calibri" w:cs="Arial"/>
                <w:color w:val="000000"/>
                <w:kern w:val="2"/>
                <w:vertAlign w:val="superscript"/>
                <w:lang w:val="en-GB"/>
              </w:rPr>
              <w:t>d</w:t>
            </w:r>
          </w:p>
        </w:tc>
        <w:tc>
          <w:tcPr>
            <w:tcW w:w="1553" w:type="dxa"/>
            <w:tcBorders>
              <w:top w:val="single" w:sz="4" w:space="0" w:color="000000"/>
              <w:left w:val="single" w:sz="4" w:space="0" w:color="000000"/>
              <w:bottom w:val="single" w:sz="4" w:space="0" w:color="000000"/>
              <w:right w:val="single" w:sz="4" w:space="0" w:color="000000"/>
            </w:tcBorders>
          </w:tcPr>
          <w:p w14:paraId="449002BD" w14:textId="77777777" w:rsidR="00FA5E21" w:rsidRDefault="00000000">
            <w:pPr>
              <w:spacing w:line="480" w:lineRule="auto"/>
              <w:jc w:val="center"/>
              <w:rPr>
                <w:rFonts w:eastAsia="Calibri" w:cs="Arial"/>
                <w:color w:val="000000"/>
                <w:kern w:val="2"/>
                <w:vertAlign w:val="superscript"/>
                <w:lang w:val="en-GB"/>
              </w:rPr>
            </w:pPr>
            <w:r>
              <w:rPr>
                <w:rFonts w:eastAsia="Calibri" w:cs="Arial"/>
                <w:color w:val="000000"/>
                <w:kern w:val="2"/>
                <w:lang w:val="en-GB"/>
              </w:rPr>
              <w:t>17.97±0.29</w:t>
            </w:r>
            <w:r>
              <w:rPr>
                <w:rFonts w:eastAsia="Calibri" w:cs="Arial"/>
                <w:color w:val="000000"/>
                <w:kern w:val="2"/>
                <w:vertAlign w:val="superscript"/>
                <w:lang w:val="en-GB"/>
              </w:rPr>
              <w:t>b</w:t>
            </w:r>
          </w:p>
        </w:tc>
      </w:tr>
      <w:tr w:rsidR="00FA5E21" w14:paraId="19D381CE" w14:textId="77777777">
        <w:trPr>
          <w:trHeight w:val="456"/>
          <w:jc w:val="center"/>
        </w:trPr>
        <w:tc>
          <w:tcPr>
            <w:tcW w:w="1904" w:type="dxa"/>
            <w:tcBorders>
              <w:top w:val="single" w:sz="4" w:space="0" w:color="000000"/>
              <w:left w:val="single" w:sz="4" w:space="0" w:color="000000"/>
              <w:bottom w:val="single" w:sz="4" w:space="0" w:color="000000"/>
              <w:right w:val="single" w:sz="4" w:space="0" w:color="000000"/>
            </w:tcBorders>
          </w:tcPr>
          <w:p w14:paraId="3AEEE540" w14:textId="77777777" w:rsidR="00FA5E21" w:rsidRDefault="00000000">
            <w:pPr>
              <w:spacing w:line="480" w:lineRule="auto"/>
              <w:rPr>
                <w:rFonts w:eastAsia="Calibri" w:cs="Arial"/>
                <w:b/>
                <w:bCs/>
                <w:color w:val="000000"/>
                <w:kern w:val="2"/>
                <w:lang w:val="en-GB"/>
              </w:rPr>
            </w:pPr>
            <w:r>
              <w:rPr>
                <w:rFonts w:eastAsia="Calibri" w:cs="Arial"/>
                <w:b/>
                <w:bCs/>
                <w:color w:val="000000"/>
                <w:kern w:val="2"/>
                <w:lang w:val="en-GB"/>
              </w:rPr>
              <w:t>Moisture</w:t>
            </w:r>
          </w:p>
        </w:tc>
        <w:tc>
          <w:tcPr>
            <w:tcW w:w="1550" w:type="dxa"/>
            <w:tcBorders>
              <w:top w:val="single" w:sz="4" w:space="0" w:color="000000"/>
              <w:left w:val="single" w:sz="4" w:space="0" w:color="000000"/>
              <w:bottom w:val="single" w:sz="4" w:space="0" w:color="000000"/>
              <w:right w:val="single" w:sz="4" w:space="0" w:color="000000"/>
            </w:tcBorders>
          </w:tcPr>
          <w:p w14:paraId="79DD91D4"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7.40±0.15</w:t>
            </w:r>
            <w:r>
              <w:rPr>
                <w:rFonts w:eastAsia="Calibri" w:cs="Arial"/>
                <w:color w:val="000000"/>
                <w:kern w:val="2"/>
                <w:vertAlign w:val="superscript"/>
                <w:lang w:val="en-GB"/>
              </w:rPr>
              <w:t>a</w:t>
            </w:r>
          </w:p>
        </w:tc>
        <w:tc>
          <w:tcPr>
            <w:tcW w:w="1550" w:type="dxa"/>
            <w:tcBorders>
              <w:top w:val="single" w:sz="4" w:space="0" w:color="000000"/>
              <w:left w:val="single" w:sz="4" w:space="0" w:color="000000"/>
              <w:bottom w:val="single" w:sz="4" w:space="0" w:color="000000"/>
              <w:right w:val="single" w:sz="4" w:space="0" w:color="000000"/>
            </w:tcBorders>
          </w:tcPr>
          <w:p w14:paraId="44305A17"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7.46±0.06</w:t>
            </w:r>
            <w:r>
              <w:rPr>
                <w:rFonts w:eastAsia="Calibri" w:cs="Arial"/>
                <w:color w:val="000000"/>
                <w:kern w:val="2"/>
                <w:vertAlign w:val="superscript"/>
                <w:lang w:val="en-GB"/>
              </w:rPr>
              <w:t>b</w:t>
            </w:r>
          </w:p>
        </w:tc>
        <w:tc>
          <w:tcPr>
            <w:tcW w:w="1569" w:type="dxa"/>
            <w:tcBorders>
              <w:top w:val="single" w:sz="4" w:space="0" w:color="000000"/>
              <w:left w:val="single" w:sz="4" w:space="0" w:color="000000"/>
              <w:bottom w:val="single" w:sz="4" w:space="0" w:color="000000"/>
              <w:right w:val="single" w:sz="4" w:space="0" w:color="000000"/>
            </w:tcBorders>
          </w:tcPr>
          <w:p w14:paraId="0DFD09BD"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7.66±0.13</w:t>
            </w:r>
            <w:r>
              <w:rPr>
                <w:rFonts w:eastAsia="Calibri" w:cs="Arial"/>
                <w:color w:val="000000"/>
                <w:kern w:val="2"/>
                <w:vertAlign w:val="superscript"/>
                <w:lang w:val="en-GB"/>
              </w:rPr>
              <w:t>c</w:t>
            </w:r>
          </w:p>
        </w:tc>
        <w:tc>
          <w:tcPr>
            <w:tcW w:w="1553" w:type="dxa"/>
            <w:tcBorders>
              <w:top w:val="single" w:sz="4" w:space="0" w:color="000000"/>
              <w:left w:val="single" w:sz="4" w:space="0" w:color="000000"/>
              <w:bottom w:val="single" w:sz="4" w:space="0" w:color="000000"/>
              <w:right w:val="single" w:sz="4" w:space="0" w:color="000000"/>
            </w:tcBorders>
          </w:tcPr>
          <w:p w14:paraId="3F6B41EC"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7.73±0.06</w:t>
            </w:r>
            <w:r>
              <w:rPr>
                <w:rFonts w:eastAsia="Calibri" w:cs="Arial"/>
                <w:color w:val="000000"/>
                <w:kern w:val="2"/>
                <w:vertAlign w:val="superscript"/>
                <w:lang w:val="en-GB"/>
              </w:rPr>
              <w:t>d</w:t>
            </w:r>
          </w:p>
        </w:tc>
        <w:tc>
          <w:tcPr>
            <w:tcW w:w="1553" w:type="dxa"/>
            <w:tcBorders>
              <w:top w:val="single" w:sz="4" w:space="0" w:color="000000"/>
              <w:left w:val="single" w:sz="4" w:space="0" w:color="000000"/>
              <w:bottom w:val="single" w:sz="4" w:space="0" w:color="000000"/>
              <w:right w:val="single" w:sz="4" w:space="0" w:color="000000"/>
            </w:tcBorders>
          </w:tcPr>
          <w:p w14:paraId="10CCBF4C"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7.66±0.13</w:t>
            </w:r>
            <w:r>
              <w:rPr>
                <w:rFonts w:eastAsia="Calibri" w:cs="Arial"/>
                <w:color w:val="000000"/>
                <w:kern w:val="2"/>
                <w:vertAlign w:val="superscript"/>
                <w:lang w:val="en-GB"/>
              </w:rPr>
              <w:t>c</w:t>
            </w:r>
          </w:p>
        </w:tc>
      </w:tr>
      <w:tr w:rsidR="00FA5E21" w14:paraId="7F448E49" w14:textId="77777777">
        <w:trPr>
          <w:trHeight w:val="469"/>
          <w:jc w:val="center"/>
        </w:trPr>
        <w:tc>
          <w:tcPr>
            <w:tcW w:w="1904" w:type="dxa"/>
            <w:tcBorders>
              <w:top w:val="single" w:sz="4" w:space="0" w:color="000000"/>
              <w:left w:val="single" w:sz="4" w:space="0" w:color="000000"/>
              <w:bottom w:val="single" w:sz="4" w:space="0" w:color="000000"/>
              <w:right w:val="single" w:sz="4" w:space="0" w:color="000000"/>
            </w:tcBorders>
          </w:tcPr>
          <w:p w14:paraId="62278257" w14:textId="77777777" w:rsidR="00FA5E21" w:rsidRDefault="00000000">
            <w:pPr>
              <w:spacing w:line="480" w:lineRule="auto"/>
              <w:rPr>
                <w:rFonts w:eastAsia="Calibri" w:cs="Arial"/>
                <w:b/>
                <w:bCs/>
                <w:color w:val="000000"/>
                <w:kern w:val="2"/>
                <w:lang w:val="en-GB"/>
              </w:rPr>
            </w:pPr>
            <w:r>
              <w:rPr>
                <w:rFonts w:eastAsia="Calibri" w:cs="Arial"/>
                <w:b/>
                <w:bCs/>
                <w:color w:val="000000"/>
                <w:kern w:val="2"/>
                <w:lang w:val="en-GB"/>
              </w:rPr>
              <w:t>Ash</w:t>
            </w:r>
          </w:p>
        </w:tc>
        <w:tc>
          <w:tcPr>
            <w:tcW w:w="1550" w:type="dxa"/>
            <w:tcBorders>
              <w:top w:val="single" w:sz="4" w:space="0" w:color="000000"/>
              <w:left w:val="single" w:sz="4" w:space="0" w:color="000000"/>
              <w:bottom w:val="single" w:sz="4" w:space="0" w:color="000000"/>
              <w:right w:val="single" w:sz="4" w:space="0" w:color="000000"/>
            </w:tcBorders>
          </w:tcPr>
          <w:p w14:paraId="20C040E3"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3.49±0.02</w:t>
            </w:r>
            <w:r>
              <w:rPr>
                <w:rFonts w:eastAsia="Calibri" w:cs="Arial"/>
                <w:color w:val="000000"/>
                <w:kern w:val="2"/>
                <w:vertAlign w:val="superscript"/>
                <w:lang w:val="en-GB"/>
              </w:rPr>
              <w:t xml:space="preserve"> a</w:t>
            </w:r>
          </w:p>
        </w:tc>
        <w:tc>
          <w:tcPr>
            <w:tcW w:w="1550" w:type="dxa"/>
            <w:tcBorders>
              <w:top w:val="single" w:sz="4" w:space="0" w:color="000000"/>
              <w:left w:val="single" w:sz="4" w:space="0" w:color="000000"/>
              <w:bottom w:val="single" w:sz="4" w:space="0" w:color="000000"/>
              <w:right w:val="single" w:sz="4" w:space="0" w:color="000000"/>
            </w:tcBorders>
          </w:tcPr>
          <w:p w14:paraId="0A8612EB"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4.73±0.02</w:t>
            </w:r>
            <w:r>
              <w:rPr>
                <w:rFonts w:eastAsia="Calibri" w:cs="Arial"/>
                <w:color w:val="000000"/>
                <w:kern w:val="2"/>
                <w:vertAlign w:val="superscript"/>
                <w:lang w:val="en-GB"/>
              </w:rPr>
              <w:t xml:space="preserve"> d</w:t>
            </w:r>
          </w:p>
        </w:tc>
        <w:tc>
          <w:tcPr>
            <w:tcW w:w="1569" w:type="dxa"/>
            <w:tcBorders>
              <w:top w:val="single" w:sz="4" w:space="0" w:color="000000"/>
              <w:left w:val="single" w:sz="4" w:space="0" w:color="000000"/>
              <w:bottom w:val="single" w:sz="4" w:space="0" w:color="000000"/>
              <w:right w:val="single" w:sz="4" w:space="0" w:color="000000"/>
            </w:tcBorders>
          </w:tcPr>
          <w:p w14:paraId="54907BAA"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4.6±0.08</w:t>
            </w:r>
            <w:r>
              <w:rPr>
                <w:rFonts w:eastAsia="Calibri" w:cs="Arial"/>
                <w:color w:val="000000"/>
                <w:kern w:val="2"/>
                <w:vertAlign w:val="superscript"/>
                <w:lang w:val="en-GB"/>
              </w:rPr>
              <w:t xml:space="preserve"> c</w:t>
            </w:r>
          </w:p>
        </w:tc>
        <w:tc>
          <w:tcPr>
            <w:tcW w:w="1553" w:type="dxa"/>
            <w:tcBorders>
              <w:top w:val="single" w:sz="4" w:space="0" w:color="000000"/>
              <w:left w:val="single" w:sz="4" w:space="0" w:color="000000"/>
              <w:bottom w:val="single" w:sz="4" w:space="0" w:color="000000"/>
              <w:right w:val="single" w:sz="4" w:space="0" w:color="000000"/>
            </w:tcBorders>
          </w:tcPr>
          <w:p w14:paraId="45E50EBC"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4.56±0.08</w:t>
            </w:r>
            <w:r>
              <w:rPr>
                <w:rFonts w:eastAsia="Calibri" w:cs="Arial"/>
                <w:color w:val="000000"/>
                <w:kern w:val="2"/>
                <w:vertAlign w:val="superscript"/>
                <w:lang w:val="en-GB"/>
              </w:rPr>
              <w:t xml:space="preserve"> b</w:t>
            </w:r>
          </w:p>
        </w:tc>
        <w:tc>
          <w:tcPr>
            <w:tcW w:w="1553" w:type="dxa"/>
            <w:tcBorders>
              <w:top w:val="single" w:sz="4" w:space="0" w:color="000000"/>
              <w:left w:val="single" w:sz="4" w:space="0" w:color="000000"/>
              <w:bottom w:val="single" w:sz="4" w:space="0" w:color="000000"/>
              <w:right w:val="single" w:sz="4" w:space="0" w:color="000000"/>
            </w:tcBorders>
          </w:tcPr>
          <w:p w14:paraId="7F73244D" w14:textId="77777777" w:rsidR="00FA5E21" w:rsidRDefault="00000000">
            <w:pPr>
              <w:spacing w:line="480" w:lineRule="auto"/>
              <w:jc w:val="center"/>
              <w:rPr>
                <w:rFonts w:eastAsia="Calibri" w:cs="Arial"/>
                <w:color w:val="000000"/>
                <w:kern w:val="2"/>
                <w:lang w:val="en-GB"/>
              </w:rPr>
            </w:pPr>
            <w:r>
              <w:rPr>
                <w:rFonts w:eastAsia="Calibri" w:cs="Arial"/>
                <w:color w:val="000000"/>
                <w:kern w:val="2"/>
                <w:lang w:val="en-GB"/>
              </w:rPr>
              <w:t>4.7±0.05</w:t>
            </w:r>
            <w:r>
              <w:rPr>
                <w:rFonts w:eastAsia="Calibri" w:cs="Arial"/>
                <w:color w:val="000000"/>
                <w:kern w:val="2"/>
                <w:vertAlign w:val="superscript"/>
                <w:lang w:val="en-GB"/>
              </w:rPr>
              <w:t xml:space="preserve"> d</w:t>
            </w:r>
          </w:p>
        </w:tc>
      </w:tr>
    </w:tbl>
    <w:p w14:paraId="04139184" w14:textId="77777777" w:rsidR="00FA5E21" w:rsidRDefault="00000000">
      <w:pPr>
        <w:spacing w:line="480" w:lineRule="auto"/>
        <w:ind w:left="720" w:firstLine="720"/>
        <w:rPr>
          <w:rFonts w:eastAsia="Calibri"/>
          <w:lang w:val="en-GB"/>
        </w:rPr>
      </w:pPr>
      <w:r>
        <w:rPr>
          <w:rFonts w:eastAsia="Calibri"/>
          <w:lang w:val="en-GB"/>
        </w:rPr>
        <w:t>Values are means ± SE of three replicates.</w:t>
      </w:r>
    </w:p>
    <w:p w14:paraId="7DC22654" w14:textId="77777777" w:rsidR="00FA5E21" w:rsidRDefault="00FA5E21">
      <w:pPr>
        <w:jc w:val="center"/>
        <w:rPr>
          <w:rFonts w:eastAsia="Calibri"/>
          <w:b/>
          <w:shd w:val="clear" w:color="auto" w:fill="FFFFFF"/>
          <w:lang w:val="en-GB"/>
        </w:rPr>
      </w:pPr>
    </w:p>
    <w:p w14:paraId="1C455942" w14:textId="77777777" w:rsidR="00FA5E21" w:rsidRDefault="00000000">
      <w:pPr>
        <w:jc w:val="center"/>
        <w:rPr>
          <w:rFonts w:eastAsia="Calibri" w:cs="Arial"/>
          <w:b/>
          <w:lang w:val="en-GB"/>
        </w:rPr>
      </w:pPr>
      <w:r>
        <w:rPr>
          <w:rFonts w:eastAsia="Calibri"/>
          <w:b/>
          <w:shd w:val="clear" w:color="auto" w:fill="FFFFFF"/>
          <w:lang w:val="en-GB"/>
        </w:rPr>
        <w:t xml:space="preserve">Fig 2. Intestinal digestive enzyme activity of tilapia, </w:t>
      </w:r>
      <w:r>
        <w:rPr>
          <w:rFonts w:eastAsia="Calibri"/>
          <w:b/>
          <w:i/>
          <w:shd w:val="clear" w:color="auto" w:fill="FFFFFF"/>
          <w:lang w:val="en-GB"/>
        </w:rPr>
        <w:t xml:space="preserve">O. </w:t>
      </w:r>
      <w:proofErr w:type="spellStart"/>
      <w:r>
        <w:rPr>
          <w:rFonts w:eastAsia="Calibri"/>
          <w:b/>
          <w:i/>
          <w:shd w:val="clear" w:color="auto" w:fill="FFFFFF"/>
          <w:lang w:val="en-GB"/>
        </w:rPr>
        <w:t>mossambicus</w:t>
      </w:r>
      <w:proofErr w:type="spellEnd"/>
      <w:r>
        <w:rPr>
          <w:rFonts w:eastAsia="Calibri"/>
          <w:b/>
          <w:shd w:val="clear" w:color="auto" w:fill="FFFFFF"/>
          <w:lang w:val="en-GB"/>
        </w:rPr>
        <w:t xml:space="preserve"> fed MUD encapsulated CaO NPs</w:t>
      </w:r>
      <w:r>
        <w:rPr>
          <w:rFonts w:eastAsia="Calibri" w:cs="Arial"/>
          <w:b/>
          <w:lang w:val="en-GB"/>
        </w:rPr>
        <w:t>. a) lipase activity; b) amylase activity; c) protease activity. Values are means ± SE of three replicates.</w:t>
      </w:r>
    </w:p>
    <w:p w14:paraId="2B7DEC74" w14:textId="77777777" w:rsidR="00FA5E21" w:rsidRDefault="00000000">
      <w:pPr>
        <w:rPr>
          <w:lang w:eastAsia="en-US"/>
        </w:rPr>
      </w:pPr>
      <w:r>
        <w:rPr>
          <w:noProof/>
          <w:lang w:eastAsia="en-US"/>
        </w:rPr>
        <w:drawing>
          <wp:inline distT="0" distB="0" distL="0" distR="0" wp14:anchorId="18DD1128" wp14:editId="73E7E1ED">
            <wp:extent cx="5486400" cy="251206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1"/>
                    <a:srcRect l="-4" t="-9" r="-4" b="-9"/>
                    <a:stretch>
                      <a:fillRect/>
                    </a:stretch>
                  </pic:blipFill>
                  <pic:spPr bwMode="auto">
                    <a:xfrm>
                      <a:off x="0" y="0"/>
                      <a:ext cx="5486400" cy="2512060"/>
                    </a:xfrm>
                    <a:prstGeom prst="rect">
                      <a:avLst/>
                    </a:prstGeom>
                    <a:noFill/>
                  </pic:spPr>
                </pic:pic>
              </a:graphicData>
            </a:graphic>
          </wp:inline>
        </w:drawing>
      </w:r>
    </w:p>
    <w:p w14:paraId="18E4EFD1" w14:textId="77777777" w:rsidR="00FA5E21" w:rsidRDefault="00FA5E21"/>
    <w:p w14:paraId="21D0D7F4" w14:textId="77777777" w:rsidR="00FA5E21" w:rsidRDefault="00000000">
      <w:pPr>
        <w:rPr>
          <w:lang w:eastAsia="en-US"/>
        </w:rPr>
      </w:pPr>
      <w:r>
        <w:rPr>
          <w:noProof/>
          <w:lang w:eastAsia="en-US"/>
        </w:rPr>
        <w:lastRenderedPageBreak/>
        <w:drawing>
          <wp:inline distT="0" distB="0" distL="0" distR="0" wp14:anchorId="21D33C5B" wp14:editId="3FBF4141">
            <wp:extent cx="5486400" cy="2512060"/>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2"/>
                    <a:srcRect l="-4" t="-9" r="-4" b="-9"/>
                    <a:stretch>
                      <a:fillRect/>
                    </a:stretch>
                  </pic:blipFill>
                  <pic:spPr bwMode="auto">
                    <a:xfrm>
                      <a:off x="0" y="0"/>
                      <a:ext cx="5486400" cy="2512060"/>
                    </a:xfrm>
                    <a:prstGeom prst="rect">
                      <a:avLst/>
                    </a:prstGeom>
                    <a:noFill/>
                  </pic:spPr>
                </pic:pic>
              </a:graphicData>
            </a:graphic>
          </wp:inline>
        </w:drawing>
      </w:r>
    </w:p>
    <w:p w14:paraId="63F979DD" w14:textId="77777777" w:rsidR="00FA5E21" w:rsidRDefault="00FA5E21"/>
    <w:p w14:paraId="74C50566" w14:textId="77777777" w:rsidR="00FA5E21" w:rsidRDefault="00000000">
      <w:pPr>
        <w:rPr>
          <w:lang w:eastAsia="en-US"/>
        </w:rPr>
      </w:pPr>
      <w:r>
        <w:rPr>
          <w:noProof/>
          <w:lang w:eastAsia="en-US"/>
        </w:rPr>
        <w:drawing>
          <wp:inline distT="0" distB="0" distL="0" distR="0" wp14:anchorId="27373E6B" wp14:editId="0D62669E">
            <wp:extent cx="5486400" cy="2512060"/>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23"/>
                    <a:srcRect l="-4" t="-9" r="-4" b="-9"/>
                    <a:stretch>
                      <a:fillRect/>
                    </a:stretch>
                  </pic:blipFill>
                  <pic:spPr bwMode="auto">
                    <a:xfrm>
                      <a:off x="0" y="0"/>
                      <a:ext cx="5486400" cy="2512060"/>
                    </a:xfrm>
                    <a:prstGeom prst="rect">
                      <a:avLst/>
                    </a:prstGeom>
                    <a:noFill/>
                  </pic:spPr>
                </pic:pic>
              </a:graphicData>
            </a:graphic>
          </wp:inline>
        </w:drawing>
      </w:r>
    </w:p>
    <w:p w14:paraId="456D0C65" w14:textId="77777777" w:rsidR="00FA5E21" w:rsidRDefault="00FA5E21">
      <w:pPr>
        <w:spacing w:before="280" w:after="280" w:line="360" w:lineRule="auto"/>
        <w:ind w:firstLine="720"/>
        <w:jc w:val="center"/>
        <w:outlineLvl w:val="0"/>
        <w:rPr>
          <w:bCs/>
        </w:rPr>
      </w:pPr>
    </w:p>
    <w:p w14:paraId="03815FBA" w14:textId="77777777" w:rsidR="00FA5E21" w:rsidRDefault="00FA5E21">
      <w:pPr>
        <w:spacing w:before="280" w:after="280" w:line="360" w:lineRule="auto"/>
        <w:jc w:val="both"/>
        <w:outlineLvl w:val="0"/>
        <w:rPr>
          <w:bCs/>
        </w:rPr>
      </w:pPr>
    </w:p>
    <w:p w14:paraId="15421EAA" w14:textId="77777777" w:rsidR="00FA5E21" w:rsidRDefault="00000000">
      <w:r>
        <w:br w:type="page"/>
      </w:r>
    </w:p>
    <w:sectPr w:rsidR="00FA5E21">
      <w:headerReference w:type="default" r:id="rId24"/>
      <w:footerReference w:type="default" r:id="rId25"/>
      <w:headerReference w:type="first" r:id="rId26"/>
      <w:footerReference w:type="first" r:id="rId27"/>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843B" w14:textId="77777777" w:rsidR="00740C2B" w:rsidRDefault="00740C2B">
      <w:r>
        <w:separator/>
      </w:r>
    </w:p>
  </w:endnote>
  <w:endnote w:type="continuationSeparator" w:id="0">
    <w:p w14:paraId="078DF9B2" w14:textId="77777777" w:rsidR="00740C2B" w:rsidRDefault="0074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502B" w14:textId="77777777" w:rsidR="00C97FB5" w:rsidRDefault="00C9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CB93" w14:textId="77777777" w:rsidR="00FA5E21" w:rsidRDefault="00FA5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20F" w14:textId="77777777" w:rsidR="00FA5E21" w:rsidRDefault="00FA5E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6678" w14:textId="77777777" w:rsidR="00740C2B" w:rsidRDefault="00740C2B">
      <w:r>
        <w:separator/>
      </w:r>
    </w:p>
  </w:footnote>
  <w:footnote w:type="continuationSeparator" w:id="0">
    <w:p w14:paraId="229192C6" w14:textId="77777777" w:rsidR="00740C2B" w:rsidRDefault="0074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ADCB" w14:textId="77777777" w:rsidR="00C97FB5" w:rsidRDefault="00000000">
    <w:pPr>
      <w:pStyle w:val="Header"/>
      <w:rPr>
        <w:lang w:eastAsia="en-US"/>
      </w:rPr>
    </w:pPr>
    <w:r>
      <w:rPr>
        <w:lang w:eastAsia="en-US"/>
      </w:rPr>
      <w:pict w14:anchorId="38605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08970" o:spid="_x0000_s1026" type="#_x0000_t136" alt="" style="position:absolute;margin-left:0;margin-top:0;width:599.45pt;height:71.4pt;rotation:315;z-index:251660288;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Times New Roman&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557D" w14:textId="77777777" w:rsidR="00FA5E21" w:rsidRDefault="00000000">
    <w:pPr>
      <w:pStyle w:val="Header"/>
      <w:rPr>
        <w:lang w:eastAsia="en-US"/>
      </w:rPr>
    </w:pPr>
    <w:r>
      <w:rPr>
        <w:lang w:eastAsia="en-US"/>
      </w:rPr>
      <w:pict w14:anchorId="255F0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2" o:spid="_x0000_s1025" type="#_x0000_t136" alt="" style="position:absolute;margin-left:0;margin-top:0;width:599.45pt;height:71.4pt;rotation:315;z-index:251658240;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Times New Roman&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A8E" w14:textId="77777777" w:rsidR="00FA5E21" w:rsidRDefault="00FA5E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2D9"/>
    <w:multiLevelType w:val="multilevel"/>
    <w:tmpl w:val="24D6813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C33779"/>
    <w:multiLevelType w:val="multilevel"/>
    <w:tmpl w:val="BE820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78484914">
    <w:abstractNumId w:val="0"/>
  </w:num>
  <w:num w:numId="2" w16cid:durableId="132022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1"/>
    <w:rsid w:val="002816D4"/>
    <w:rsid w:val="00321E2B"/>
    <w:rsid w:val="00515759"/>
    <w:rsid w:val="00740C2B"/>
    <w:rsid w:val="007F3DAA"/>
    <w:rsid w:val="00897D0D"/>
    <w:rsid w:val="00987811"/>
    <w:rsid w:val="009A493A"/>
    <w:rsid w:val="00AC44C4"/>
    <w:rsid w:val="00BE5E6A"/>
    <w:rsid w:val="00C07C8A"/>
    <w:rsid w:val="00C5799F"/>
    <w:rsid w:val="00C648EC"/>
    <w:rsid w:val="00C97FB5"/>
    <w:rsid w:val="00E84DCA"/>
    <w:rsid w:val="00EE15F2"/>
    <w:rsid w:val="00FA5E21"/>
    <w:rsid w:val="00FB0A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027"/>
  <w15:docId w15:val="{331852FE-C08A-504D-BDF6-E34D8F29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styleId="Emphasis">
    <w:name w:val="Emphasis"/>
    <w:qFormat/>
    <w:rPr>
      <w:i/>
      <w:iCs/>
    </w:rPr>
  </w:style>
  <w:style w:type="character" w:customStyle="1" w:styleId="BodyTextChar">
    <w:name w:val="Body Text Char"/>
    <w:qFormat/>
    <w:rPr>
      <w:sz w:val="24"/>
      <w:szCs w:val="24"/>
    </w:rPr>
  </w:style>
  <w:style w:type="character" w:styleId="Hyperlink">
    <w:name w:val="Hyperlink"/>
    <w:rPr>
      <w:color w:val="0000FF"/>
      <w:u w:val="single"/>
    </w:rPr>
  </w:style>
  <w:style w:type="character" w:styleId="UnresolvedMention">
    <w:name w:val="Unresolved Mention"/>
    <w:qFormat/>
    <w:rPr>
      <w:color w:val="605E5C"/>
      <w:shd w:val="clear" w:color="auto" w:fill="E1DFDD"/>
    </w:rPr>
  </w:style>
  <w:style w:type="character" w:customStyle="1" w:styleId="HeaderChar">
    <w:name w:val="Header Char"/>
    <w:qFormat/>
    <w:rPr>
      <w:sz w:val="24"/>
      <w:szCs w:val="24"/>
    </w:rPr>
  </w:style>
  <w:style w:type="character" w:customStyle="1" w:styleId="FooterChar">
    <w:name w:val="Footer Char"/>
    <w:qFormat/>
    <w:rPr>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widowControl w:val="0"/>
      <w:autoSpaceDE w:val="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style>
  <w:style w:type="paragraph" w:customStyle="1" w:styleId="c-bibliographic-informationcitation">
    <w:name w:val="c-bibliographic-information__citation"/>
    <w:basedOn w:val="Normal"/>
    <w:qFormat/>
    <w:pPr>
      <w:spacing w:before="280" w:after="280"/>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whitespace-normal">
    <w:name w:val="whitespace-normal"/>
    <w:basedOn w:val="DefaultParagraphFont"/>
    <w:rsid w:val="0098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38/s41598-023-29343-z" TargetMode="External"/><Relationship Id="rId13" Type="http://schemas.openxmlformats.org/officeDocument/2006/relationships/hyperlink" Target="https://doi.org/10.3390/fishes9100388" TargetMode="External"/><Relationship Id="rId18" Type="http://schemas.openxmlformats.org/officeDocument/2006/relationships/hyperlink" Target="https://doi.org/10.3390/ani1506089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jpeg"/><Relationship Id="rId12" Type="http://schemas.openxmlformats.org/officeDocument/2006/relationships/hyperlink" Target="https://doi.org/10.3390/fishes9080322" TargetMode="External"/><Relationship Id="rId17" Type="http://schemas.openxmlformats.org/officeDocument/2006/relationships/hyperlink" Target="https://doi.org/10.1007/978-3-031-40908-0_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0695-018-0496-y"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2-03329-1_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981-10-5160-9_1" TargetMode="Externa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s://doi.org/10.3390/fishes804017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695-022-01066-4" TargetMode="External"/><Relationship Id="rId14" Type="http://schemas.openxmlformats.org/officeDocument/2006/relationships/hyperlink" Target="https://doi.org/10.1080/10454438.2024.2394866" TargetMode="External"/><Relationship Id="rId22" Type="http://schemas.openxmlformats.org/officeDocument/2006/relationships/image" Target="media/image3.wmf"/><Relationship Id="rId27"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Aquaculture has become one of the fastest-growing food-producing sectors globally, playing a crucial role in ensuring food security and nutritional sustainability (Dewali et al</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Aquaculture has become one of the fastest-growing food-producing sectors globally, playing a crucial role in ensuring food security and nutritional sustainability (Dewali et al</dc:title>
  <dc:subject/>
  <dc:creator>SATTA</dc:creator>
  <cp:keywords/>
  <dc:description/>
  <cp:lastModifiedBy>SDI 1158</cp:lastModifiedBy>
  <cp:revision>8</cp:revision>
  <dcterms:created xsi:type="dcterms:W3CDTF">2026-05-23T02:37:00Z</dcterms:created>
  <dcterms:modified xsi:type="dcterms:W3CDTF">2026-05-25T08:23:00Z</dcterms:modified>
  <dc:language>en-US</dc:language>
</cp:coreProperties>
</file>