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954" w:rsidRDefault="00C341DF">
      <w:pPr>
        <w:pStyle w:val="Heading1"/>
        <w:spacing w:before="60" w:line="398" w:lineRule="auto"/>
        <w:ind w:left="3360" w:right="3024" w:firstLine="513"/>
      </w:pPr>
      <w:r>
        <w:rPr>
          <w:noProof/>
        </w:rPr>
        <mc:AlternateContent>
          <mc:Choice Requires="wps">
            <w:drawing>
              <wp:anchor distT="0" distB="0" distL="0" distR="0" simplePos="0" relativeHeight="487293440" behindDoc="1" locked="0" layoutInCell="1" allowOverlap="1">
                <wp:simplePos x="0" y="0"/>
                <wp:positionH relativeFrom="page">
                  <wp:posOffset>-343000</wp:posOffset>
                </wp:positionH>
                <wp:positionV relativeFrom="page">
                  <wp:posOffset>101040</wp:posOffset>
                </wp:positionV>
                <wp:extent cx="1598930" cy="1038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27pt;margin-top:7.95pt;width:125.9pt;height:81.75pt;rotation:-45;z-index:-1602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" filled="f" stroked="f">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r>
        <w:t>Type of Article: Original</w:t>
      </w:r>
      <w:r>
        <w:rPr>
          <w:spacing w:val="-15"/>
        </w:rPr>
        <w:t xml:space="preserve"> </w:t>
      </w:r>
      <w:r>
        <w:t>Research</w:t>
      </w:r>
      <w:r>
        <w:rPr>
          <w:spacing w:val="-15"/>
        </w:rPr>
        <w:t xml:space="preserve"> </w:t>
      </w:r>
      <w:r>
        <w:t>Article</w:t>
      </w:r>
    </w:p>
    <w:p w:rsidR="00FF2954" w:rsidRDefault="00C341DF">
      <w:pPr>
        <w:spacing w:line="259" w:lineRule="auto"/>
        <w:ind w:left="1385" w:right="80" w:hanging="1096"/>
        <w:rPr>
          <w:b/>
          <w:sz w:val="24"/>
        </w:rPr>
      </w:pPr>
      <w:r>
        <w:rPr>
          <w:b/>
          <w:sz w:val="24"/>
        </w:rPr>
        <w:t>Pathological</w:t>
      </w:r>
      <w:r>
        <w:rPr>
          <w:b/>
          <w:spacing w:val="-5"/>
          <w:sz w:val="24"/>
        </w:rPr>
        <w:t xml:space="preserve"> </w:t>
      </w:r>
      <w:r>
        <w:rPr>
          <w:b/>
          <w:sz w:val="24"/>
        </w:rPr>
        <w:t>insight</w:t>
      </w:r>
      <w:r>
        <w:rPr>
          <w:b/>
          <w:sz w:val="24"/>
        </w:rPr>
        <w:t>s</w:t>
      </w:r>
      <w:r>
        <w:rPr>
          <w:b/>
          <w:spacing w:val="-5"/>
          <w:sz w:val="24"/>
        </w:rPr>
        <w:t xml:space="preserve"> </w:t>
      </w:r>
      <w:r>
        <w:rPr>
          <w:b/>
          <w:sz w:val="24"/>
        </w:rPr>
        <w:t>of</w:t>
      </w:r>
      <w:r>
        <w:rPr>
          <w:b/>
          <w:spacing w:val="-5"/>
          <w:sz w:val="24"/>
        </w:rPr>
        <w:t xml:space="preserve"> </w:t>
      </w:r>
      <w:r>
        <w:rPr>
          <w:b/>
          <w:sz w:val="24"/>
        </w:rPr>
        <w:t>Hepatic,</w:t>
      </w:r>
      <w:r>
        <w:rPr>
          <w:b/>
          <w:spacing w:val="-5"/>
          <w:sz w:val="24"/>
        </w:rPr>
        <w:t xml:space="preserve"> </w:t>
      </w:r>
      <w:r>
        <w:rPr>
          <w:b/>
          <w:sz w:val="24"/>
        </w:rPr>
        <w:t>Renal,</w:t>
      </w:r>
      <w:r>
        <w:rPr>
          <w:b/>
          <w:spacing w:val="-5"/>
          <w:sz w:val="24"/>
        </w:rPr>
        <w:t xml:space="preserve"> </w:t>
      </w:r>
      <w:r>
        <w:rPr>
          <w:b/>
          <w:sz w:val="24"/>
        </w:rPr>
        <w:t>and</w:t>
      </w:r>
      <w:r>
        <w:rPr>
          <w:b/>
          <w:spacing w:val="-5"/>
          <w:sz w:val="24"/>
        </w:rPr>
        <w:t xml:space="preserve"> </w:t>
      </w:r>
      <w:r>
        <w:rPr>
          <w:b/>
          <w:sz w:val="24"/>
        </w:rPr>
        <w:t>Cerebral</w:t>
      </w:r>
      <w:r>
        <w:rPr>
          <w:b/>
          <w:spacing w:val="-5"/>
          <w:sz w:val="24"/>
        </w:rPr>
        <w:t xml:space="preserve"> </w:t>
      </w:r>
      <w:r>
        <w:rPr>
          <w:b/>
          <w:sz w:val="24"/>
        </w:rPr>
        <w:t>Changes</w:t>
      </w:r>
      <w:r>
        <w:rPr>
          <w:b/>
          <w:spacing w:val="-5"/>
          <w:sz w:val="24"/>
        </w:rPr>
        <w:t xml:space="preserve"> </w:t>
      </w:r>
      <w:r>
        <w:rPr>
          <w:b/>
          <w:sz w:val="24"/>
        </w:rPr>
        <w:t>Following</w:t>
      </w:r>
      <w:r>
        <w:rPr>
          <w:b/>
          <w:spacing w:val="-5"/>
          <w:sz w:val="24"/>
        </w:rPr>
        <w:t xml:space="preserve"> </w:t>
      </w:r>
      <w:r>
        <w:rPr>
          <w:b/>
          <w:sz w:val="24"/>
        </w:rPr>
        <w:t>concomitant Deltamethrin and Escherichia coli Exposure in Broiler Chickens</w:t>
      </w:r>
    </w:p>
    <w:p w:rsidR="00FF2954" w:rsidRDefault="00FF2954">
      <w:pPr>
        <w:pStyle w:val="BodyText"/>
        <w:spacing w:before="137"/>
        <w:ind w:left="0"/>
      </w:pPr>
    </w:p>
    <w:p w:rsidR="00FF2954" w:rsidRDefault="00C341DF">
      <w:pPr>
        <w:pStyle w:val="Heading1"/>
        <w:spacing w:before="60"/>
      </w:pPr>
      <w:r>
        <w:rPr>
          <w:noProof/>
        </w:rPr>
        <mc:AlternateContent>
          <mc:Choice Requires="wps">
            <w:drawing>
              <wp:anchor distT="0" distB="0" distL="0" distR="0" simplePos="0" relativeHeight="487293952" behindDoc="1" locked="0" layoutInCell="1" allowOverlap="1">
                <wp:simplePos x="0" y="0"/>
                <wp:positionH relativeFrom="page">
                  <wp:posOffset>-343000</wp:posOffset>
                </wp:positionH>
                <wp:positionV relativeFrom="page">
                  <wp:posOffset>101041</wp:posOffset>
                </wp:positionV>
                <wp:extent cx="1598930" cy="10382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2" o:spid="_x0000_s1027" type="#_x0000_t202" style="position:absolute;left:0;text-align:left;margin-left:-27pt;margin-top:7.95pt;width:125.9pt;height:81.75pt;rotation:-45;z-index:-1602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" filled="f" stroked="f">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r>
        <w:rPr>
          <w:spacing w:val="-2"/>
        </w:rPr>
        <w:t>A</w:t>
      </w:r>
      <w:r>
        <w:rPr>
          <w:spacing w:val="-2"/>
        </w:rPr>
        <w:t>BSTRACT</w:t>
      </w:r>
    </w:p>
    <w:p w:rsidR="00FF2954" w:rsidRDefault="00FF2954">
      <w:pPr>
        <w:pStyle w:val="BodyText"/>
        <w:spacing w:before="142"/>
        <w:ind w:left="0"/>
        <w:rPr>
          <w:b/>
        </w:rPr>
      </w:pPr>
    </w:p>
    <w:p w:rsidR="00FF2954" w:rsidRDefault="00C341DF">
      <w:pPr>
        <w:pStyle w:val="BodyText"/>
        <w:spacing w:line="360" w:lineRule="auto"/>
        <w:ind w:right="178"/>
        <w:jc w:val="both"/>
      </w:pPr>
      <w:r>
        <w:rPr>
          <w:color w:val="000000"/>
          <w:highlight w:val="yellow"/>
        </w:rPr>
        <w:t xml:space="preserve">Present study was conducted </w:t>
      </w:r>
      <w:r>
        <w:rPr>
          <w:color w:val="000000"/>
        </w:rPr>
        <w:t xml:space="preserve">to evaluate the concomitant deleterious effect of deltamethrin with </w:t>
      </w:r>
      <w:proofErr w:type="gramStart"/>
      <w:r>
        <w:rPr>
          <w:color w:val="000000"/>
        </w:rPr>
        <w:t>E.coli</w:t>
      </w:r>
      <w:proofErr w:type="gramEnd"/>
      <w:r>
        <w:rPr>
          <w:color w:val="000000"/>
        </w:rPr>
        <w:t xml:space="preserve"> infection. 230 seven-day-old chicks were randomly allocated into three groups: Group A (70 birds), Group B (80 birds),</w:t>
      </w:r>
      <w:r>
        <w:rPr>
          <w:color w:val="000000"/>
          <w:spacing w:val="-2"/>
        </w:rPr>
        <w:t xml:space="preserve"> </w:t>
      </w:r>
      <w:r>
        <w:rPr>
          <w:color w:val="000000"/>
        </w:rPr>
        <w:t>and</w:t>
      </w:r>
      <w:r>
        <w:rPr>
          <w:color w:val="000000"/>
          <w:spacing w:val="-2"/>
        </w:rPr>
        <w:t xml:space="preserve"> </w:t>
      </w:r>
      <w:r>
        <w:rPr>
          <w:color w:val="000000"/>
        </w:rPr>
        <w:t>Group</w:t>
      </w:r>
      <w:r>
        <w:rPr>
          <w:color w:val="000000"/>
          <w:spacing w:val="-2"/>
        </w:rPr>
        <w:t xml:space="preserve"> </w:t>
      </w:r>
      <w:r>
        <w:rPr>
          <w:color w:val="000000"/>
        </w:rPr>
        <w:t>C</w:t>
      </w:r>
      <w:r>
        <w:rPr>
          <w:color w:val="000000"/>
          <w:spacing w:val="-2"/>
        </w:rPr>
        <w:t xml:space="preserve"> </w:t>
      </w:r>
      <w:r>
        <w:rPr>
          <w:color w:val="000000"/>
        </w:rPr>
        <w:t>(80</w:t>
      </w:r>
      <w:r>
        <w:rPr>
          <w:color w:val="000000"/>
          <w:spacing w:val="-2"/>
        </w:rPr>
        <w:t xml:space="preserve"> </w:t>
      </w:r>
      <w:r>
        <w:rPr>
          <w:color w:val="000000"/>
        </w:rPr>
        <w:t>birds).</w:t>
      </w:r>
      <w:r>
        <w:rPr>
          <w:color w:val="000000"/>
          <w:spacing w:val="-2"/>
        </w:rPr>
        <w:t xml:space="preserve"> </w:t>
      </w:r>
      <w:r>
        <w:rPr>
          <w:color w:val="000000"/>
          <w:highlight w:val="yellow"/>
        </w:rPr>
        <w:t>Prior</w:t>
      </w:r>
      <w:r>
        <w:rPr>
          <w:color w:val="000000"/>
          <w:spacing w:val="-2"/>
          <w:highlight w:val="yellow"/>
        </w:rPr>
        <w:t xml:space="preserve"> </w:t>
      </w:r>
      <w:r>
        <w:rPr>
          <w:color w:val="000000"/>
          <w:highlight w:val="yellow"/>
        </w:rPr>
        <w:t>to</w:t>
      </w:r>
      <w:r>
        <w:rPr>
          <w:color w:val="000000"/>
          <w:spacing w:val="-2"/>
          <w:highlight w:val="yellow"/>
        </w:rPr>
        <w:t xml:space="preserve"> </w:t>
      </w:r>
      <w:r>
        <w:rPr>
          <w:color w:val="000000"/>
          <w:highlight w:val="yellow"/>
        </w:rPr>
        <w:t>the</w:t>
      </w:r>
      <w:r>
        <w:rPr>
          <w:color w:val="000000"/>
          <w:spacing w:val="-2"/>
          <w:highlight w:val="yellow"/>
        </w:rPr>
        <w:t xml:space="preserve"> </w:t>
      </w:r>
      <w:r>
        <w:rPr>
          <w:color w:val="000000"/>
          <w:highlight w:val="yellow"/>
        </w:rPr>
        <w:t>experiment,</w:t>
      </w:r>
      <w:r>
        <w:rPr>
          <w:color w:val="000000"/>
          <w:spacing w:val="-2"/>
          <w:highlight w:val="yellow"/>
        </w:rPr>
        <w:t xml:space="preserve"> </w:t>
      </w:r>
      <w:r>
        <w:rPr>
          <w:color w:val="000000"/>
          <w:highlight w:val="yellow"/>
        </w:rPr>
        <w:t>the</w:t>
      </w:r>
      <w:r>
        <w:rPr>
          <w:color w:val="000000"/>
        </w:rPr>
        <w:t xml:space="preserve"> </w:t>
      </w:r>
      <w:r>
        <w:rPr>
          <w:color w:val="000000"/>
          <w:highlight w:val="yellow"/>
        </w:rPr>
        <w:t>maximal</w:t>
      </w:r>
      <w:r>
        <w:rPr>
          <w:color w:val="000000"/>
          <w:spacing w:val="15"/>
          <w:highlight w:val="yellow"/>
        </w:rPr>
        <w:t xml:space="preserve"> </w:t>
      </w:r>
      <w:r>
        <w:rPr>
          <w:color w:val="000000"/>
          <w:highlight w:val="yellow"/>
        </w:rPr>
        <w:t>tolerated</w:t>
      </w:r>
      <w:r>
        <w:rPr>
          <w:color w:val="000000"/>
          <w:spacing w:val="15"/>
          <w:highlight w:val="yellow"/>
        </w:rPr>
        <w:t xml:space="preserve"> </w:t>
      </w:r>
      <w:r>
        <w:rPr>
          <w:color w:val="000000"/>
          <w:highlight w:val="yellow"/>
        </w:rPr>
        <w:t>dose</w:t>
      </w:r>
      <w:r>
        <w:rPr>
          <w:color w:val="000000"/>
          <w:spacing w:val="15"/>
          <w:highlight w:val="yellow"/>
        </w:rPr>
        <w:t xml:space="preserve"> </w:t>
      </w:r>
      <w:r>
        <w:rPr>
          <w:color w:val="000000"/>
          <w:highlight w:val="yellow"/>
        </w:rPr>
        <w:t>(MTD)</w:t>
      </w:r>
      <w:r>
        <w:rPr>
          <w:color w:val="000000"/>
          <w:spacing w:val="15"/>
          <w:highlight w:val="yellow"/>
        </w:rPr>
        <w:t xml:space="preserve"> </w:t>
      </w:r>
      <w:r>
        <w:rPr>
          <w:color w:val="000000"/>
          <w:highlight w:val="yellow"/>
        </w:rPr>
        <w:t>of</w:t>
      </w:r>
      <w:r>
        <w:rPr>
          <w:color w:val="000000"/>
          <w:spacing w:val="15"/>
          <w:highlight w:val="yellow"/>
        </w:rPr>
        <w:t xml:space="preserve"> </w:t>
      </w:r>
      <w:r>
        <w:rPr>
          <w:color w:val="000000"/>
          <w:highlight w:val="yellow"/>
        </w:rPr>
        <w:t>deltamethrin</w:t>
      </w:r>
      <w:r>
        <w:rPr>
          <w:color w:val="000000"/>
          <w:spacing w:val="15"/>
          <w:highlight w:val="yellow"/>
        </w:rPr>
        <w:t xml:space="preserve"> </w:t>
      </w:r>
      <w:r>
        <w:rPr>
          <w:color w:val="000000"/>
          <w:highlight w:val="yellow"/>
        </w:rPr>
        <w:t xml:space="preserve">was determined and found to be 43.75 </w:t>
      </w:r>
      <w:r>
        <w:rPr>
          <w:color w:val="000000"/>
          <w:spacing w:val="-2"/>
          <w:highlight w:val="yellow"/>
        </w:rPr>
        <w:t>mg/kg</w:t>
      </w:r>
    </w:p>
    <w:p w:rsidR="00FF2954" w:rsidRDefault="00C341DF">
      <w:pPr>
        <w:pStyle w:val="BodyText"/>
        <w:spacing w:line="357" w:lineRule="auto"/>
        <w:ind w:right="181"/>
        <w:jc w:val="both"/>
      </w:pPr>
      <w:r>
        <w:t>. Birds in Group B received 1/5th of the MTD orally, while those in Group C were administered 1/10th of the MTD throughout the stud</w:t>
      </w:r>
      <w:r>
        <w:t>y period. Group A served as the</w:t>
      </w:r>
      <w:r>
        <w:rPr>
          <w:spacing w:val="40"/>
        </w:rPr>
        <w:t xml:space="preserve"> </w:t>
      </w:r>
      <w:r>
        <w:t>untreated control. At 14 days of age, each group</w:t>
      </w:r>
      <w:r>
        <w:rPr>
          <w:spacing w:val="-2"/>
        </w:rPr>
        <w:t xml:space="preserve"> </w:t>
      </w:r>
      <w:r>
        <w:t>was</w:t>
      </w:r>
      <w:r>
        <w:rPr>
          <w:spacing w:val="-2"/>
        </w:rPr>
        <w:t xml:space="preserve"> </w:t>
      </w:r>
      <w:r>
        <w:t>further</w:t>
      </w:r>
      <w:r>
        <w:rPr>
          <w:spacing w:val="-2"/>
        </w:rPr>
        <w:t xml:space="preserve"> </w:t>
      </w:r>
      <w:r>
        <w:t>subdivided</w:t>
      </w:r>
      <w:r>
        <w:rPr>
          <w:spacing w:val="-2"/>
        </w:rPr>
        <w:t xml:space="preserve"> </w:t>
      </w:r>
      <w:r>
        <w:t>as</w:t>
      </w:r>
      <w:r>
        <w:rPr>
          <w:spacing w:val="-2"/>
        </w:rPr>
        <w:t xml:space="preserve"> </w:t>
      </w:r>
      <w:r>
        <w:t>follows:</w:t>
      </w:r>
      <w:r>
        <w:rPr>
          <w:spacing w:val="-2"/>
        </w:rPr>
        <w:t xml:space="preserve"> </w:t>
      </w:r>
      <w:r>
        <w:t>Group</w:t>
      </w:r>
      <w:r>
        <w:rPr>
          <w:spacing w:val="-2"/>
        </w:rPr>
        <w:t xml:space="preserve"> </w:t>
      </w:r>
      <w:r>
        <w:t>A into A1 (30 birds) and A2 (40 birds), Group B into B1 and B2</w:t>
      </w:r>
      <w:r>
        <w:rPr>
          <w:spacing w:val="-2"/>
        </w:rPr>
        <w:t xml:space="preserve"> </w:t>
      </w:r>
      <w:r>
        <w:t>(40</w:t>
      </w:r>
      <w:r>
        <w:rPr>
          <w:spacing w:val="-2"/>
        </w:rPr>
        <w:t xml:space="preserve"> </w:t>
      </w:r>
      <w:r>
        <w:t>birds</w:t>
      </w:r>
      <w:r>
        <w:rPr>
          <w:spacing w:val="-2"/>
        </w:rPr>
        <w:t xml:space="preserve"> </w:t>
      </w:r>
      <w:r>
        <w:t>each),</w:t>
      </w:r>
      <w:r>
        <w:rPr>
          <w:spacing w:val="-2"/>
        </w:rPr>
        <w:t xml:space="preserve"> </w:t>
      </w:r>
      <w:r>
        <w:t>and</w:t>
      </w:r>
      <w:r>
        <w:rPr>
          <w:spacing w:val="-2"/>
        </w:rPr>
        <w:t xml:space="preserve"> </w:t>
      </w:r>
      <w:r>
        <w:t>Group</w:t>
      </w:r>
      <w:r>
        <w:rPr>
          <w:spacing w:val="-2"/>
        </w:rPr>
        <w:t xml:space="preserve"> </w:t>
      </w:r>
      <w:r>
        <w:t>C into C1 and C2 (40 birds each). Birds in s</w:t>
      </w:r>
      <w:r>
        <w:t>ubgroups A2, B2, and C2 were inoculated intraperitoneally</w:t>
      </w:r>
      <w:r>
        <w:rPr>
          <w:spacing w:val="-15"/>
        </w:rPr>
        <w:t xml:space="preserve"> </w:t>
      </w:r>
      <w:r>
        <w:t>with</w:t>
      </w:r>
      <w:r>
        <w:rPr>
          <w:spacing w:val="-15"/>
        </w:rPr>
        <w:t xml:space="preserve"> </w:t>
      </w:r>
      <w:r>
        <w:t>10</w:t>
      </w:r>
      <w:r>
        <w:rPr>
          <w:rFonts w:ascii="SimSun-ExtB" w:hAnsi="SimSun-ExtB"/>
        </w:rPr>
        <w:t>⁷</w:t>
      </w:r>
      <w:r>
        <w:rPr>
          <w:rFonts w:ascii="SimSun-ExtB" w:hAnsi="SimSun-ExtB"/>
          <w:spacing w:val="-30"/>
        </w:rPr>
        <w:t xml:space="preserve"> </w:t>
      </w:r>
      <w:r>
        <w:t xml:space="preserve">CFU of </w:t>
      </w:r>
      <w:r>
        <w:rPr>
          <w:i/>
        </w:rPr>
        <w:t xml:space="preserve">Escherichia coli </w:t>
      </w:r>
      <w:r>
        <w:t>in 1 ml of normal</w:t>
      </w:r>
      <w:r>
        <w:rPr>
          <w:spacing w:val="-12"/>
        </w:rPr>
        <w:t xml:space="preserve"> </w:t>
      </w:r>
      <w:r>
        <w:t>saline.</w:t>
      </w:r>
      <w:r>
        <w:rPr>
          <w:spacing w:val="-12"/>
        </w:rPr>
        <w:t xml:space="preserve"> </w:t>
      </w:r>
      <w:r>
        <w:t>The</w:t>
      </w:r>
      <w:r>
        <w:rPr>
          <w:spacing w:val="-12"/>
        </w:rPr>
        <w:t xml:space="preserve"> </w:t>
      </w:r>
      <w:r>
        <w:t>experiment was conducted over a period of 42 days. Gross pathological examination of infected subgroups revealed characteristic lesions of colibacillosis, including fibrinous perihepatitis. Birds exposed to deltamethrin alone exhibited pale carcasses, hepa</w:t>
      </w:r>
      <w:r>
        <w:t>tomegaly with mottling, and congestion of the liver, kidneys, and brain. These lesions were comparatively milder in subgroup C1 than in B1. Histopathological findings in colibacillosis-infected birds included vascular congestion, fibrinous perihepatitis wi</w:t>
      </w:r>
      <w:r>
        <w:t>th fibrin deposition, mononuclear cell infiltration in the kidneys with focal interstitial nephritis, and cerebral congestion accompanied by meningitis and encephalitis.</w:t>
      </w:r>
      <w:r>
        <w:rPr>
          <w:spacing w:val="-3"/>
        </w:rPr>
        <w:t xml:space="preserve"> </w:t>
      </w:r>
      <w:r>
        <w:t>In</w:t>
      </w:r>
      <w:r>
        <w:rPr>
          <w:spacing w:val="-3"/>
        </w:rPr>
        <w:t xml:space="preserve"> </w:t>
      </w:r>
      <w:r>
        <w:t>birds</w:t>
      </w:r>
      <w:r>
        <w:rPr>
          <w:spacing w:val="-3"/>
        </w:rPr>
        <w:t xml:space="preserve"> </w:t>
      </w:r>
      <w:r>
        <w:t>treated</w:t>
      </w:r>
      <w:r>
        <w:rPr>
          <w:spacing w:val="-3"/>
        </w:rPr>
        <w:t xml:space="preserve"> </w:t>
      </w:r>
      <w:r>
        <w:t>with</w:t>
      </w:r>
      <w:r>
        <w:rPr>
          <w:spacing w:val="-3"/>
        </w:rPr>
        <w:t xml:space="preserve"> </w:t>
      </w:r>
      <w:r>
        <w:t>deltamethrin</w:t>
      </w:r>
      <w:r>
        <w:rPr>
          <w:spacing w:val="-3"/>
        </w:rPr>
        <w:t xml:space="preserve"> </w:t>
      </w:r>
      <w:r>
        <w:t>alone,</w:t>
      </w:r>
      <w:r>
        <w:rPr>
          <w:spacing w:val="-3"/>
        </w:rPr>
        <w:t xml:space="preserve"> </w:t>
      </w:r>
      <w:r>
        <w:t>lesions included mild hepatic congestion wit</w:t>
      </w:r>
      <w:r>
        <w:t>h focal necrosis, focal interstitial nephritis,</w:t>
      </w:r>
      <w:r>
        <w:rPr>
          <w:spacing w:val="-3"/>
        </w:rPr>
        <w:t xml:space="preserve"> </w:t>
      </w:r>
      <w:r>
        <w:t>and</w:t>
      </w:r>
      <w:r>
        <w:rPr>
          <w:spacing w:val="-3"/>
        </w:rPr>
        <w:t xml:space="preserve"> </w:t>
      </w:r>
      <w:r>
        <w:t>cerebral congestion.</w:t>
      </w:r>
      <w:r>
        <w:rPr>
          <w:spacing w:val="40"/>
        </w:rPr>
        <w:t xml:space="preserve"> </w:t>
      </w:r>
      <w:r>
        <w:t>Thus, it is concluded from the present study that</w:t>
      </w:r>
      <w:r>
        <w:rPr>
          <w:spacing w:val="-3"/>
        </w:rPr>
        <w:t xml:space="preserve"> </w:t>
      </w:r>
      <w:r>
        <w:t>the</w:t>
      </w:r>
      <w:r>
        <w:rPr>
          <w:spacing w:val="-3"/>
        </w:rPr>
        <w:t xml:space="preserve"> </w:t>
      </w:r>
      <w:r>
        <w:t>severe</w:t>
      </w:r>
      <w:r>
        <w:rPr>
          <w:spacing w:val="-3"/>
        </w:rPr>
        <w:t xml:space="preserve"> </w:t>
      </w:r>
      <w:r>
        <w:t xml:space="preserve">pathomorphological alterations were induced following concomitant exposure of deltamethrin with </w:t>
      </w:r>
      <w:proofErr w:type="gramStart"/>
      <w:r>
        <w:t>E.coli</w:t>
      </w:r>
      <w:proofErr w:type="gramEnd"/>
      <w:r>
        <w:t xml:space="preserve"> infection in poultr</w:t>
      </w:r>
      <w:r>
        <w:t>y birds at the dose i.e. 1/5th of MTD as compared to 1/10th</w:t>
      </w:r>
      <w:r>
        <w:rPr>
          <w:spacing w:val="-2"/>
        </w:rPr>
        <w:t xml:space="preserve"> </w:t>
      </w:r>
      <w:r>
        <w:t>of</w:t>
      </w:r>
      <w:r>
        <w:rPr>
          <w:spacing w:val="-2"/>
        </w:rPr>
        <w:t xml:space="preserve"> </w:t>
      </w:r>
      <w:r>
        <w:t>MTD.</w:t>
      </w:r>
      <w:r>
        <w:rPr>
          <w:spacing w:val="-2"/>
        </w:rPr>
        <w:t xml:space="preserve"> </w:t>
      </w:r>
      <w:r>
        <w:t>And the GLS and HLS indicated that dose dependent toxicity of deltamethrin.</w:t>
      </w:r>
    </w:p>
    <w:p w:rsidR="00FF2954" w:rsidRDefault="00FF2954">
      <w:pPr>
        <w:pStyle w:val="BodyText"/>
        <w:spacing w:before="9"/>
        <w:ind w:left="0"/>
      </w:pPr>
    </w:p>
    <w:p w:rsidR="00FF2954" w:rsidRDefault="00C341DF">
      <w:pPr>
        <w:ind w:left="165"/>
        <w:jc w:val="both"/>
        <w:rPr>
          <w:sz w:val="24"/>
        </w:rPr>
      </w:pPr>
      <w:r>
        <w:rPr>
          <w:b/>
          <w:sz w:val="24"/>
        </w:rPr>
        <w:t>Keywords:</w:t>
      </w:r>
      <w:r>
        <w:rPr>
          <w:b/>
          <w:spacing w:val="-7"/>
          <w:sz w:val="24"/>
        </w:rPr>
        <w:t xml:space="preserve"> </w:t>
      </w:r>
      <w:r>
        <w:rPr>
          <w:sz w:val="24"/>
        </w:rPr>
        <w:t>Deltamethrin,</w:t>
      </w:r>
      <w:r>
        <w:rPr>
          <w:spacing w:val="-5"/>
          <w:sz w:val="24"/>
        </w:rPr>
        <w:t xml:space="preserve"> </w:t>
      </w:r>
      <w:r>
        <w:rPr>
          <w:sz w:val="24"/>
        </w:rPr>
        <w:t>Broiler</w:t>
      </w:r>
      <w:r>
        <w:rPr>
          <w:spacing w:val="-5"/>
          <w:sz w:val="24"/>
        </w:rPr>
        <w:t xml:space="preserve"> </w:t>
      </w:r>
      <w:r>
        <w:rPr>
          <w:sz w:val="24"/>
        </w:rPr>
        <w:t>chickens,</w:t>
      </w:r>
      <w:r>
        <w:rPr>
          <w:spacing w:val="-4"/>
          <w:sz w:val="24"/>
        </w:rPr>
        <w:t xml:space="preserve"> </w:t>
      </w:r>
      <w:r>
        <w:rPr>
          <w:i/>
          <w:sz w:val="24"/>
        </w:rPr>
        <w:t>Escherichia</w:t>
      </w:r>
      <w:r>
        <w:rPr>
          <w:i/>
          <w:spacing w:val="-5"/>
          <w:sz w:val="24"/>
        </w:rPr>
        <w:t xml:space="preserve"> </w:t>
      </w:r>
      <w:r>
        <w:rPr>
          <w:i/>
          <w:sz w:val="24"/>
        </w:rPr>
        <w:t>coli</w:t>
      </w:r>
      <w:r>
        <w:rPr>
          <w:sz w:val="24"/>
        </w:rPr>
        <w:t>,</w:t>
      </w:r>
      <w:r>
        <w:rPr>
          <w:spacing w:val="-5"/>
          <w:sz w:val="24"/>
        </w:rPr>
        <w:t xml:space="preserve"> </w:t>
      </w:r>
      <w:r>
        <w:rPr>
          <w:sz w:val="24"/>
        </w:rPr>
        <w:t>Toxicity,</w:t>
      </w:r>
      <w:r>
        <w:rPr>
          <w:spacing w:val="-4"/>
          <w:sz w:val="24"/>
        </w:rPr>
        <w:t xml:space="preserve"> </w:t>
      </w:r>
      <w:r>
        <w:rPr>
          <w:spacing w:val="-2"/>
          <w:sz w:val="24"/>
        </w:rPr>
        <w:t>Colibacillosis</w:t>
      </w:r>
    </w:p>
    <w:p w:rsidR="00FF2954" w:rsidRDefault="00FF2954">
      <w:pPr>
        <w:pStyle w:val="BodyText"/>
        <w:ind w:left="0"/>
      </w:pPr>
    </w:p>
    <w:p w:rsidR="00FF2954" w:rsidRDefault="00FF2954">
      <w:pPr>
        <w:pStyle w:val="BodyText"/>
        <w:ind w:left="0"/>
      </w:pPr>
    </w:p>
    <w:p w:rsidR="00FF2954" w:rsidRDefault="00FF2954">
      <w:pPr>
        <w:pStyle w:val="BodyText"/>
        <w:ind w:left="0"/>
      </w:pPr>
    </w:p>
    <w:p w:rsidR="00FF2954" w:rsidRDefault="00FF2954">
      <w:pPr>
        <w:pStyle w:val="BodyText"/>
        <w:ind w:left="0"/>
      </w:pPr>
    </w:p>
    <w:p w:rsidR="00FF2954" w:rsidRDefault="00FF2954">
      <w:pPr>
        <w:pStyle w:val="BodyText"/>
        <w:ind w:left="0"/>
      </w:pPr>
    </w:p>
    <w:p w:rsidR="00FF2954" w:rsidRDefault="00FF2954">
      <w:pPr>
        <w:pStyle w:val="BodyText"/>
        <w:ind w:left="0"/>
      </w:pPr>
    </w:p>
    <w:p w:rsidR="00FF2954" w:rsidRDefault="00FF2954">
      <w:pPr>
        <w:pStyle w:val="BodyText"/>
        <w:ind w:left="0"/>
      </w:pPr>
    </w:p>
    <w:p w:rsidR="00FF2954" w:rsidRDefault="00FF2954">
      <w:pPr>
        <w:pStyle w:val="BodyText"/>
        <w:ind w:left="0"/>
      </w:pPr>
    </w:p>
    <w:p w:rsidR="00FF2954" w:rsidRDefault="00FF2954">
      <w:pPr>
        <w:pStyle w:val="BodyText"/>
        <w:spacing w:before="16"/>
        <w:ind w:left="0"/>
      </w:pPr>
    </w:p>
    <w:p w:rsidR="00FF2954" w:rsidRDefault="00C341DF">
      <w:pPr>
        <w:pStyle w:val="Heading1"/>
        <w:numPr>
          <w:ilvl w:val="0"/>
          <w:numId w:val="1"/>
        </w:numPr>
        <w:tabs>
          <w:tab w:val="left" w:pos="690"/>
        </w:tabs>
        <w:jc w:val="left"/>
        <w:rPr>
          <w:b w:val="0"/>
        </w:rPr>
      </w:pPr>
      <w:r>
        <w:rPr>
          <w:spacing w:val="-2"/>
        </w:rPr>
        <w:t>Introduction</w:t>
      </w:r>
    </w:p>
    <w:p w:rsidR="00FF2954" w:rsidRDefault="00C341DF">
      <w:pPr>
        <w:pStyle w:val="BodyText"/>
        <w:spacing w:before="60" w:line="360" w:lineRule="auto"/>
        <w:ind w:right="182" w:firstLine="525"/>
        <w:jc w:val="both"/>
      </w:pPr>
      <w:r>
        <w:rPr>
          <w:noProof/>
        </w:rPr>
        <mc:AlternateContent>
          <mc:Choice Requires="wps">
            <w:drawing>
              <wp:anchor distT="0" distB="0" distL="0" distR="0" simplePos="0" relativeHeight="487294464" behindDoc="1" locked="0" layoutInCell="1" allowOverlap="1">
                <wp:simplePos x="0" y="0"/>
                <wp:positionH relativeFrom="page">
                  <wp:posOffset>-343000</wp:posOffset>
                </wp:positionH>
                <wp:positionV relativeFrom="page">
                  <wp:posOffset>101041</wp:posOffset>
                </wp:positionV>
                <wp:extent cx="1598930" cy="10382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3" o:spid="_x0000_s1028" type="#_x0000_t202" style="position:absolute;left:0;text-align:left;margin-left:-27pt;margin-top:7.95pt;width:125.9pt;height:81.75pt;rotation:-45;z-index:-1602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" filled="f" stroked="f">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r>
        <w:t>India holds second rank in terms of farm</w:t>
      </w:r>
      <w:r>
        <w:rPr>
          <w:spacing w:val="-3"/>
        </w:rPr>
        <w:t xml:space="preserve"> </w:t>
      </w:r>
      <w:r>
        <w:t>outp</w:t>
      </w:r>
      <w:r>
        <w:t>ut</w:t>
      </w:r>
      <w:r>
        <w:rPr>
          <w:spacing w:val="-3"/>
        </w:rPr>
        <w:t xml:space="preserve"> </w:t>
      </w:r>
      <w:r>
        <w:t>throughout</w:t>
      </w:r>
      <w:r>
        <w:rPr>
          <w:spacing w:val="-3"/>
        </w:rPr>
        <w:t xml:space="preserve"> </w:t>
      </w:r>
      <w:r>
        <w:t>the</w:t>
      </w:r>
      <w:r>
        <w:rPr>
          <w:spacing w:val="-3"/>
        </w:rPr>
        <w:t xml:space="preserve"> </w:t>
      </w:r>
      <w:r>
        <w:t>world.</w:t>
      </w:r>
      <w:r>
        <w:rPr>
          <w:spacing w:val="-3"/>
        </w:rPr>
        <w:t xml:space="preserve"> </w:t>
      </w:r>
      <w:r>
        <w:t>Indian</w:t>
      </w:r>
      <w:r>
        <w:rPr>
          <w:spacing w:val="-3"/>
        </w:rPr>
        <w:t xml:space="preserve"> </w:t>
      </w:r>
      <w:r>
        <w:t>economic survey (2020-21) stated that in India, more than 50 % of the population relies</w:t>
      </w:r>
      <w:r>
        <w:rPr>
          <w:spacing w:val="-2"/>
        </w:rPr>
        <w:t xml:space="preserve"> </w:t>
      </w:r>
      <w:r>
        <w:t>on</w:t>
      </w:r>
      <w:r>
        <w:rPr>
          <w:spacing w:val="-2"/>
        </w:rPr>
        <w:t xml:space="preserve"> </w:t>
      </w:r>
      <w:r>
        <w:t>agriculture and contributed around 20.2% to the Gross domestic</w:t>
      </w:r>
      <w:r>
        <w:rPr>
          <w:spacing w:val="-4"/>
        </w:rPr>
        <w:t xml:space="preserve"> </w:t>
      </w:r>
      <w:r>
        <w:t>product</w:t>
      </w:r>
      <w:r>
        <w:rPr>
          <w:spacing w:val="-4"/>
        </w:rPr>
        <w:t xml:space="preserve"> </w:t>
      </w:r>
      <w:r>
        <w:t>of</w:t>
      </w:r>
      <w:r>
        <w:rPr>
          <w:spacing w:val="-4"/>
        </w:rPr>
        <w:t xml:space="preserve"> </w:t>
      </w:r>
      <w:r>
        <w:t>the</w:t>
      </w:r>
      <w:r>
        <w:rPr>
          <w:spacing w:val="-4"/>
        </w:rPr>
        <w:t xml:space="preserve"> </w:t>
      </w:r>
      <w:r>
        <w:t>country.</w:t>
      </w:r>
      <w:r>
        <w:rPr>
          <w:spacing w:val="-4"/>
        </w:rPr>
        <w:t xml:space="preserve"> </w:t>
      </w:r>
      <w:r>
        <w:t>As</w:t>
      </w:r>
      <w:r>
        <w:rPr>
          <w:spacing w:val="-4"/>
        </w:rPr>
        <w:t xml:space="preserve"> </w:t>
      </w:r>
      <w:r>
        <w:t>a</w:t>
      </w:r>
      <w:r>
        <w:rPr>
          <w:spacing w:val="-4"/>
        </w:rPr>
        <w:t xml:space="preserve"> </w:t>
      </w:r>
      <w:r>
        <w:t>developing country and one of the fastest growing economies in the world, agriculture farming is of utmost importance in terms of economy. Pressure to increase the supply of agricultural produce has increased the indiscriminate use of pesticides, herbicide</w:t>
      </w:r>
      <w:r>
        <w:t>s and other agrochemicals in the farm land that imposes great threat to human</w:t>
      </w:r>
      <w:r>
        <w:rPr>
          <w:spacing w:val="-2"/>
        </w:rPr>
        <w:t xml:space="preserve"> </w:t>
      </w:r>
      <w:r>
        <w:t>and</w:t>
      </w:r>
      <w:r>
        <w:rPr>
          <w:spacing w:val="-2"/>
        </w:rPr>
        <w:t xml:space="preserve"> </w:t>
      </w:r>
      <w:r>
        <w:t>animal</w:t>
      </w:r>
      <w:r>
        <w:rPr>
          <w:spacing w:val="-2"/>
        </w:rPr>
        <w:t xml:space="preserve"> </w:t>
      </w:r>
      <w:r>
        <w:t>health.</w:t>
      </w:r>
      <w:r>
        <w:rPr>
          <w:spacing w:val="-2"/>
        </w:rPr>
        <w:t xml:space="preserve"> </w:t>
      </w:r>
      <w:r>
        <w:rPr>
          <w:color w:val="000000"/>
          <w:highlight w:val="yellow"/>
        </w:rPr>
        <w:t>Use</w:t>
      </w:r>
      <w:r>
        <w:rPr>
          <w:color w:val="000000"/>
          <w:spacing w:val="-2"/>
          <w:highlight w:val="yellow"/>
        </w:rPr>
        <w:t xml:space="preserve"> </w:t>
      </w:r>
      <w:r>
        <w:rPr>
          <w:color w:val="000000"/>
          <w:highlight w:val="yellow"/>
        </w:rPr>
        <w:t>of</w:t>
      </w:r>
      <w:r>
        <w:rPr>
          <w:color w:val="000000"/>
        </w:rPr>
        <w:t xml:space="preserve"> </w:t>
      </w:r>
      <w:r>
        <w:rPr>
          <w:color w:val="000000"/>
          <w:highlight w:val="yellow"/>
        </w:rPr>
        <w:t>agrochemicals</w:t>
      </w:r>
      <w:r>
        <w:rPr>
          <w:color w:val="000000"/>
          <w:spacing w:val="-7"/>
          <w:highlight w:val="yellow"/>
        </w:rPr>
        <w:t xml:space="preserve"> </w:t>
      </w:r>
      <w:r>
        <w:rPr>
          <w:color w:val="000000"/>
          <w:highlight w:val="yellow"/>
        </w:rPr>
        <w:t>must</w:t>
      </w:r>
      <w:r>
        <w:rPr>
          <w:color w:val="000000"/>
          <w:spacing w:val="-4"/>
          <w:highlight w:val="yellow"/>
        </w:rPr>
        <w:t xml:space="preserve"> </w:t>
      </w:r>
      <w:r>
        <w:rPr>
          <w:color w:val="000000"/>
          <w:highlight w:val="yellow"/>
        </w:rPr>
        <w:t>be</w:t>
      </w:r>
      <w:r>
        <w:rPr>
          <w:color w:val="000000"/>
          <w:spacing w:val="-4"/>
          <w:highlight w:val="yellow"/>
        </w:rPr>
        <w:t xml:space="preserve"> </w:t>
      </w:r>
      <w:r>
        <w:rPr>
          <w:color w:val="000000"/>
          <w:highlight w:val="yellow"/>
        </w:rPr>
        <w:t>reduced</w:t>
      </w:r>
      <w:r>
        <w:rPr>
          <w:color w:val="000000"/>
          <w:spacing w:val="-4"/>
          <w:highlight w:val="yellow"/>
        </w:rPr>
        <w:t xml:space="preserve"> </w:t>
      </w:r>
      <w:r>
        <w:rPr>
          <w:color w:val="000000"/>
          <w:highlight w:val="yellow"/>
        </w:rPr>
        <w:t>and</w:t>
      </w:r>
      <w:r>
        <w:rPr>
          <w:color w:val="000000"/>
          <w:spacing w:val="-4"/>
          <w:highlight w:val="yellow"/>
        </w:rPr>
        <w:t xml:space="preserve"> </w:t>
      </w:r>
      <w:r>
        <w:rPr>
          <w:color w:val="000000"/>
          <w:highlight w:val="yellow"/>
        </w:rPr>
        <w:t>replaced</w:t>
      </w:r>
      <w:r>
        <w:rPr>
          <w:color w:val="000000"/>
          <w:spacing w:val="-4"/>
          <w:highlight w:val="yellow"/>
        </w:rPr>
        <w:t xml:space="preserve"> </w:t>
      </w:r>
      <w:r>
        <w:rPr>
          <w:color w:val="000000"/>
          <w:highlight w:val="yellow"/>
        </w:rPr>
        <w:t>with</w:t>
      </w:r>
      <w:r>
        <w:rPr>
          <w:color w:val="000000"/>
          <w:spacing w:val="-5"/>
          <w:highlight w:val="yellow"/>
        </w:rPr>
        <w:t xml:space="preserve"> </w:t>
      </w:r>
      <w:r>
        <w:rPr>
          <w:color w:val="000000"/>
          <w:highlight w:val="yellow"/>
        </w:rPr>
        <w:t>safer</w:t>
      </w:r>
      <w:r>
        <w:rPr>
          <w:color w:val="000000"/>
          <w:spacing w:val="-4"/>
          <w:highlight w:val="yellow"/>
        </w:rPr>
        <w:t xml:space="preserve"> </w:t>
      </w:r>
      <w:r>
        <w:rPr>
          <w:color w:val="000000"/>
          <w:highlight w:val="yellow"/>
        </w:rPr>
        <w:t>alternatives</w:t>
      </w:r>
      <w:r>
        <w:rPr>
          <w:color w:val="000000"/>
          <w:spacing w:val="-4"/>
          <w:highlight w:val="yellow"/>
        </w:rPr>
        <w:t xml:space="preserve"> </w:t>
      </w:r>
      <w:r>
        <w:rPr>
          <w:color w:val="000000"/>
          <w:highlight w:val="yellow"/>
        </w:rPr>
        <w:t>(Weston</w:t>
      </w:r>
      <w:r>
        <w:rPr>
          <w:color w:val="000000"/>
          <w:spacing w:val="-4"/>
          <w:highlight w:val="yellow"/>
        </w:rPr>
        <w:t xml:space="preserve"> </w:t>
      </w:r>
      <w:r>
        <w:rPr>
          <w:color w:val="000000"/>
          <w:highlight w:val="yellow"/>
        </w:rPr>
        <w:t>and</w:t>
      </w:r>
      <w:r>
        <w:rPr>
          <w:color w:val="000000"/>
          <w:spacing w:val="-4"/>
          <w:highlight w:val="yellow"/>
        </w:rPr>
        <w:t xml:space="preserve"> </w:t>
      </w:r>
      <w:proofErr w:type="spellStart"/>
      <w:r>
        <w:rPr>
          <w:color w:val="000000"/>
          <w:highlight w:val="yellow"/>
        </w:rPr>
        <w:t>Lydy</w:t>
      </w:r>
      <w:proofErr w:type="spellEnd"/>
      <w:r>
        <w:rPr>
          <w:color w:val="000000"/>
          <w:highlight w:val="yellow"/>
        </w:rPr>
        <w:t>,</w:t>
      </w:r>
      <w:r>
        <w:rPr>
          <w:color w:val="000000"/>
          <w:spacing w:val="-4"/>
          <w:highlight w:val="yellow"/>
        </w:rPr>
        <w:t xml:space="preserve"> </w:t>
      </w:r>
      <w:r>
        <w:rPr>
          <w:color w:val="000000"/>
          <w:spacing w:val="-2"/>
          <w:highlight w:val="yellow"/>
        </w:rPr>
        <w:t>2010).</w:t>
      </w:r>
    </w:p>
    <w:p w:rsidR="00FF2954" w:rsidRDefault="00C341DF">
      <w:pPr>
        <w:pStyle w:val="BodyText"/>
        <w:spacing w:before="160" w:line="360" w:lineRule="auto"/>
        <w:ind w:right="178"/>
        <w:jc w:val="both"/>
      </w:pPr>
      <w:r>
        <w:t xml:space="preserve">Deltamethrin is proclaimed as one of the most commonly used </w:t>
      </w:r>
      <w:r>
        <w:t>agrochemical in the poultry industry (</w:t>
      </w:r>
      <w:proofErr w:type="spellStart"/>
      <w:proofErr w:type="gramStart"/>
      <w:r>
        <w:t>Soderlund,et</w:t>
      </w:r>
      <w:proofErr w:type="spellEnd"/>
      <w:r>
        <w:t xml:space="preserve"> al.</w:t>
      </w:r>
      <w:proofErr w:type="gramEnd"/>
      <w:r>
        <w:t xml:space="preserve">, 2002, </w:t>
      </w:r>
      <w:proofErr w:type="spellStart"/>
      <w:r>
        <w:t>Khater</w:t>
      </w:r>
      <w:proofErr w:type="spellEnd"/>
      <w:r>
        <w:t xml:space="preserve"> et.al., 2013). Deltamethrin is classified as </w:t>
      </w:r>
      <w:proofErr w:type="gramStart"/>
      <w:r>
        <w:t>broad spectrum</w:t>
      </w:r>
      <w:proofErr w:type="gramEnd"/>
      <w:r>
        <w:t xml:space="preserve"> agrochemical of synthetic pyrethroids class (Tomlin, 2006).</w:t>
      </w:r>
      <w:r>
        <w:rPr>
          <w:spacing w:val="40"/>
        </w:rPr>
        <w:t xml:space="preserve"> </w:t>
      </w:r>
      <w:r>
        <w:t>Synthetic pyrethroids are anthropogenic analogues of naturally occu</w:t>
      </w:r>
      <w:r>
        <w:t xml:space="preserve">rring pyrethrin found in the flowers of </w:t>
      </w:r>
      <w:r>
        <w:rPr>
          <w:i/>
        </w:rPr>
        <w:t xml:space="preserve">Chrysanthemum </w:t>
      </w:r>
      <w:proofErr w:type="spellStart"/>
      <w:r>
        <w:rPr>
          <w:i/>
        </w:rPr>
        <w:t>cinerariaefolium</w:t>
      </w:r>
      <w:proofErr w:type="spellEnd"/>
      <w:r>
        <w:t xml:space="preserve">. Alpha </w:t>
      </w:r>
      <w:proofErr w:type="spellStart"/>
      <w:r>
        <w:t>cyano</w:t>
      </w:r>
      <w:proofErr w:type="spellEnd"/>
      <w:r>
        <w:t xml:space="preserve"> group in deltamethrin contributes in the</w:t>
      </w:r>
      <w:r>
        <w:rPr>
          <w:spacing w:val="80"/>
        </w:rPr>
        <w:t xml:space="preserve"> </w:t>
      </w:r>
      <w:r>
        <w:t>long-lasting inhibition of sodium channel activation resulting in</w:t>
      </w:r>
      <w:r>
        <w:rPr>
          <w:spacing w:val="-3"/>
        </w:rPr>
        <w:t xml:space="preserve"> </w:t>
      </w:r>
      <w:r>
        <w:t>event</w:t>
      </w:r>
      <w:r>
        <w:rPr>
          <w:spacing w:val="-3"/>
        </w:rPr>
        <w:t xml:space="preserve"> </w:t>
      </w:r>
      <w:r>
        <w:t>full</w:t>
      </w:r>
      <w:r>
        <w:rPr>
          <w:spacing w:val="-3"/>
        </w:rPr>
        <w:t xml:space="preserve"> </w:t>
      </w:r>
      <w:r>
        <w:t>of</w:t>
      </w:r>
      <w:r>
        <w:rPr>
          <w:spacing w:val="-3"/>
        </w:rPr>
        <w:t xml:space="preserve"> </w:t>
      </w:r>
      <w:r>
        <w:t>repetitive</w:t>
      </w:r>
      <w:r>
        <w:rPr>
          <w:spacing w:val="-3"/>
        </w:rPr>
        <w:t xml:space="preserve"> </w:t>
      </w:r>
      <w:r>
        <w:t>nerve signals in sensory nerves and muscles (Johnson et al., 2010). Poultry industry has expanded immensely in the last</w:t>
      </w:r>
      <w:r>
        <w:rPr>
          <w:spacing w:val="-2"/>
        </w:rPr>
        <w:t xml:space="preserve"> </w:t>
      </w:r>
      <w:r>
        <w:t>few</w:t>
      </w:r>
      <w:r>
        <w:rPr>
          <w:spacing w:val="-2"/>
        </w:rPr>
        <w:t xml:space="preserve"> </w:t>
      </w:r>
      <w:r>
        <w:t>decades</w:t>
      </w:r>
      <w:r>
        <w:rPr>
          <w:spacing w:val="-2"/>
        </w:rPr>
        <w:t xml:space="preserve"> </w:t>
      </w:r>
      <w:r>
        <w:t>and</w:t>
      </w:r>
      <w:r>
        <w:rPr>
          <w:spacing w:val="-2"/>
        </w:rPr>
        <w:t xml:space="preserve"> </w:t>
      </w:r>
      <w:r>
        <w:t>overall</w:t>
      </w:r>
      <w:r>
        <w:rPr>
          <w:spacing w:val="-2"/>
        </w:rPr>
        <w:t xml:space="preserve"> </w:t>
      </w:r>
      <w:r>
        <w:t>advancement</w:t>
      </w:r>
      <w:r>
        <w:rPr>
          <w:spacing w:val="-2"/>
        </w:rPr>
        <w:t xml:space="preserve"> </w:t>
      </w:r>
      <w:r>
        <w:t>has</w:t>
      </w:r>
      <w:r>
        <w:rPr>
          <w:spacing w:val="-2"/>
        </w:rPr>
        <w:t xml:space="preserve"> </w:t>
      </w:r>
      <w:r>
        <w:t>been</w:t>
      </w:r>
      <w:r>
        <w:rPr>
          <w:spacing w:val="-2"/>
        </w:rPr>
        <w:t xml:space="preserve"> </w:t>
      </w:r>
      <w:r>
        <w:t>noted</w:t>
      </w:r>
      <w:r>
        <w:rPr>
          <w:spacing w:val="-2"/>
        </w:rPr>
        <w:t xml:space="preserve"> </w:t>
      </w:r>
      <w:r>
        <w:t>in</w:t>
      </w:r>
      <w:r>
        <w:rPr>
          <w:spacing w:val="-2"/>
        </w:rPr>
        <w:t xml:space="preserve"> </w:t>
      </w:r>
      <w:r>
        <w:t>terms</w:t>
      </w:r>
      <w:r>
        <w:rPr>
          <w:spacing w:val="-2"/>
        </w:rPr>
        <w:t xml:space="preserve"> </w:t>
      </w:r>
      <w:r>
        <w:t>of</w:t>
      </w:r>
      <w:r>
        <w:rPr>
          <w:spacing w:val="-2"/>
        </w:rPr>
        <w:t xml:space="preserve"> </w:t>
      </w:r>
      <w:r>
        <w:t>use</w:t>
      </w:r>
      <w:r>
        <w:rPr>
          <w:spacing w:val="-2"/>
        </w:rPr>
        <w:t xml:space="preserve"> </w:t>
      </w:r>
      <w:r>
        <w:t xml:space="preserve">of feed additives, growth promoters and feed supplement etc. Despite </w:t>
      </w:r>
      <w:r>
        <w:t xml:space="preserve">these improvements, frequent disease outbreaks remain a major challenge hindering the growth of the poultry. </w:t>
      </w:r>
      <w:r>
        <w:rPr>
          <w:i/>
        </w:rPr>
        <w:t>Escherichia</w:t>
      </w:r>
      <w:r>
        <w:rPr>
          <w:i/>
          <w:spacing w:val="27"/>
        </w:rPr>
        <w:t xml:space="preserve"> </w:t>
      </w:r>
      <w:r>
        <w:rPr>
          <w:i/>
        </w:rPr>
        <w:t>coli</w:t>
      </w:r>
      <w:r>
        <w:rPr>
          <w:i/>
          <w:spacing w:val="27"/>
        </w:rPr>
        <w:t xml:space="preserve"> </w:t>
      </w:r>
      <w:r>
        <w:t>infection</w:t>
      </w:r>
      <w:r>
        <w:rPr>
          <w:spacing w:val="27"/>
        </w:rPr>
        <w:t xml:space="preserve"> </w:t>
      </w:r>
      <w:r>
        <w:t xml:space="preserve">is one of the commonest </w:t>
      </w:r>
      <w:proofErr w:type="gramStart"/>
      <w:r>
        <w:t>infection</w:t>
      </w:r>
      <w:proofErr w:type="gramEnd"/>
      <w:r>
        <w:t xml:space="preserve"> among poultry birds and serve as a causative agent for various diseases viz. pericardi</w:t>
      </w:r>
      <w:r>
        <w:t xml:space="preserve">tis, perihepatitis, </w:t>
      </w:r>
      <w:proofErr w:type="spellStart"/>
      <w:r>
        <w:t>airsacculitis</w:t>
      </w:r>
      <w:proofErr w:type="spellEnd"/>
      <w:r>
        <w:t xml:space="preserve">, peritonitis, salpingitis, </w:t>
      </w:r>
      <w:proofErr w:type="spellStart"/>
      <w:r>
        <w:t>panophthalmitis</w:t>
      </w:r>
      <w:proofErr w:type="spellEnd"/>
      <w:r>
        <w:t xml:space="preserve">, omphalitis, cellulitis, </w:t>
      </w:r>
      <w:proofErr w:type="spellStart"/>
      <w:r>
        <w:t>colisepticemia</w:t>
      </w:r>
      <w:proofErr w:type="spellEnd"/>
      <w:r>
        <w:t xml:space="preserve">, </w:t>
      </w:r>
      <w:proofErr w:type="spellStart"/>
      <w:r>
        <w:t>coligranuloma</w:t>
      </w:r>
      <w:proofErr w:type="spellEnd"/>
      <w:r>
        <w:t>, and Swollen-Head Syndrome. Colibacillosis,</w:t>
      </w:r>
      <w:r>
        <w:rPr>
          <w:spacing w:val="-4"/>
        </w:rPr>
        <w:t xml:space="preserve"> </w:t>
      </w:r>
      <w:r>
        <w:t>in</w:t>
      </w:r>
      <w:r>
        <w:rPr>
          <w:spacing w:val="-4"/>
        </w:rPr>
        <w:t xml:space="preserve"> </w:t>
      </w:r>
      <w:r>
        <w:t>particular,</w:t>
      </w:r>
      <w:r>
        <w:rPr>
          <w:spacing w:val="-4"/>
        </w:rPr>
        <w:t xml:space="preserve"> </w:t>
      </w:r>
      <w:r>
        <w:t>is</w:t>
      </w:r>
      <w:r>
        <w:rPr>
          <w:spacing w:val="-4"/>
        </w:rPr>
        <w:t xml:space="preserve"> </w:t>
      </w:r>
      <w:r>
        <w:t>a</w:t>
      </w:r>
      <w:r>
        <w:rPr>
          <w:spacing w:val="-4"/>
        </w:rPr>
        <w:t xml:space="preserve"> </w:t>
      </w:r>
      <w:r>
        <w:t>major</w:t>
      </w:r>
      <w:r>
        <w:rPr>
          <w:spacing w:val="-4"/>
        </w:rPr>
        <w:t xml:space="preserve"> </w:t>
      </w:r>
      <w:r>
        <w:t>contributor</w:t>
      </w:r>
      <w:r>
        <w:rPr>
          <w:spacing w:val="-4"/>
        </w:rPr>
        <w:t xml:space="preserve"> </w:t>
      </w:r>
      <w:r>
        <w:t>to</w:t>
      </w:r>
      <w:r>
        <w:rPr>
          <w:spacing w:val="-4"/>
        </w:rPr>
        <w:t xml:space="preserve"> </w:t>
      </w:r>
      <w:r>
        <w:t>economic losses in the global poultry i</w:t>
      </w:r>
      <w:r>
        <w:t>ndustry in India. (Ewers et al., 2003).</w:t>
      </w:r>
      <w:r>
        <w:rPr>
          <w:spacing w:val="-3"/>
        </w:rPr>
        <w:t xml:space="preserve"> </w:t>
      </w:r>
      <w:r>
        <w:t>Moreover,</w:t>
      </w:r>
      <w:r>
        <w:rPr>
          <w:spacing w:val="-3"/>
        </w:rPr>
        <w:t xml:space="preserve"> </w:t>
      </w:r>
      <w:r>
        <w:t>slaughterhouse rejection of carcass is also attributed to the infection of</w:t>
      </w:r>
      <w:r>
        <w:rPr>
          <w:spacing w:val="-2"/>
        </w:rPr>
        <w:t xml:space="preserve"> </w:t>
      </w:r>
      <w:r>
        <w:rPr>
          <w:i/>
          <w:color w:val="000000"/>
          <w:highlight w:val="yellow"/>
        </w:rPr>
        <w:t>E.</w:t>
      </w:r>
      <w:r>
        <w:rPr>
          <w:i/>
          <w:color w:val="000000"/>
          <w:spacing w:val="-2"/>
          <w:highlight w:val="yellow"/>
        </w:rPr>
        <w:t xml:space="preserve"> </w:t>
      </w:r>
      <w:r>
        <w:rPr>
          <w:i/>
          <w:color w:val="000000"/>
          <w:highlight w:val="yellow"/>
        </w:rPr>
        <w:t>coli.</w:t>
      </w:r>
      <w:r>
        <w:rPr>
          <w:i/>
          <w:color w:val="000000"/>
          <w:spacing w:val="-2"/>
          <w:highlight w:val="yellow"/>
        </w:rPr>
        <w:t xml:space="preserve"> </w:t>
      </w:r>
      <w:r>
        <w:rPr>
          <w:color w:val="000000"/>
          <w:highlight w:val="yellow"/>
        </w:rPr>
        <w:t>The</w:t>
      </w:r>
      <w:r>
        <w:rPr>
          <w:color w:val="000000"/>
          <w:spacing w:val="-2"/>
          <w:highlight w:val="yellow"/>
        </w:rPr>
        <w:t xml:space="preserve"> </w:t>
      </w:r>
      <w:r>
        <w:rPr>
          <w:color w:val="000000"/>
          <w:highlight w:val="yellow"/>
        </w:rPr>
        <w:t>concomitant</w:t>
      </w:r>
      <w:r>
        <w:rPr>
          <w:color w:val="000000"/>
          <w:spacing w:val="-2"/>
          <w:highlight w:val="yellow"/>
        </w:rPr>
        <w:t xml:space="preserve"> </w:t>
      </w:r>
      <w:r>
        <w:rPr>
          <w:color w:val="000000"/>
          <w:highlight w:val="yellow"/>
        </w:rPr>
        <w:t>exposure</w:t>
      </w:r>
      <w:r>
        <w:rPr>
          <w:color w:val="000000"/>
          <w:spacing w:val="-2"/>
          <w:highlight w:val="yellow"/>
        </w:rPr>
        <w:t xml:space="preserve"> </w:t>
      </w:r>
      <w:r>
        <w:rPr>
          <w:color w:val="000000"/>
          <w:highlight w:val="yellow"/>
        </w:rPr>
        <w:t>of</w:t>
      </w:r>
      <w:r>
        <w:rPr>
          <w:color w:val="000000"/>
        </w:rPr>
        <w:t xml:space="preserve"> </w:t>
      </w:r>
      <w:r>
        <w:rPr>
          <w:color w:val="000000"/>
          <w:highlight w:val="yellow"/>
        </w:rPr>
        <w:t xml:space="preserve">pesticide or agrochemicals along with </w:t>
      </w:r>
      <w:r>
        <w:rPr>
          <w:i/>
          <w:color w:val="000000"/>
          <w:highlight w:val="yellow"/>
        </w:rPr>
        <w:t xml:space="preserve">E. coli </w:t>
      </w:r>
      <w:r>
        <w:rPr>
          <w:color w:val="000000"/>
          <w:highlight w:val="yellow"/>
        </w:rPr>
        <w:t>inf</w:t>
      </w:r>
      <w:r>
        <w:rPr>
          <w:color w:val="000000"/>
        </w:rPr>
        <w:t>ection significantly impairs growth performan</w:t>
      </w:r>
      <w:r>
        <w:rPr>
          <w:color w:val="000000"/>
        </w:rPr>
        <w:t>ce and feed conversion ratio (FCR) in the poultry birds (Abbas, 2016). Furthermore, the deposition of pesticide residues in the meat and other</w:t>
      </w:r>
      <w:r>
        <w:rPr>
          <w:color w:val="000000"/>
          <w:spacing w:val="-2"/>
        </w:rPr>
        <w:t xml:space="preserve"> </w:t>
      </w:r>
      <w:r>
        <w:rPr>
          <w:color w:val="000000"/>
        </w:rPr>
        <w:t>secretions</w:t>
      </w:r>
      <w:r>
        <w:rPr>
          <w:color w:val="000000"/>
          <w:spacing w:val="-2"/>
        </w:rPr>
        <w:t xml:space="preserve"> </w:t>
      </w:r>
      <w:r>
        <w:rPr>
          <w:color w:val="000000"/>
        </w:rPr>
        <w:t>of</w:t>
      </w:r>
      <w:r>
        <w:rPr>
          <w:color w:val="000000"/>
          <w:spacing w:val="-2"/>
        </w:rPr>
        <w:t xml:space="preserve"> </w:t>
      </w:r>
      <w:r>
        <w:rPr>
          <w:color w:val="000000"/>
        </w:rPr>
        <w:t>animals produces deleterious effect on the health of human and animals. array of adverse effects is adjudged with various ailments viz. endocrine disruption, teratogenicity, embryo toxicity immunosuppression, mutagenicity and carcinogenic effects etc. (Bro</w:t>
      </w:r>
      <w:r>
        <w:rPr>
          <w:color w:val="000000"/>
        </w:rPr>
        <w:t>uwer et al.,1999).</w:t>
      </w:r>
      <w:r>
        <w:rPr>
          <w:color w:val="000000"/>
          <w:spacing w:val="80"/>
        </w:rPr>
        <w:t xml:space="preserve"> </w:t>
      </w:r>
      <w:r>
        <w:rPr>
          <w:color w:val="000000"/>
        </w:rPr>
        <w:t>As</w:t>
      </w:r>
      <w:r>
        <w:rPr>
          <w:color w:val="000000"/>
          <w:spacing w:val="40"/>
        </w:rPr>
        <w:t xml:space="preserve"> </w:t>
      </w:r>
      <w:r>
        <w:rPr>
          <w:color w:val="000000"/>
        </w:rPr>
        <w:t>per the reports of Guerrero et al. (2012) even the direct exposure of these agrochemicals</w:t>
      </w:r>
      <w:r>
        <w:rPr>
          <w:color w:val="000000"/>
          <w:spacing w:val="40"/>
        </w:rPr>
        <w:t xml:space="preserve"> </w:t>
      </w:r>
      <w:r>
        <w:rPr>
          <w:color w:val="000000"/>
        </w:rPr>
        <w:t xml:space="preserve">could result into mortality in birds and animals. </w:t>
      </w:r>
      <w:r>
        <w:rPr>
          <w:i/>
          <w:color w:val="000000"/>
          <w:highlight w:val="yellow"/>
        </w:rPr>
        <w:t>E. coli</w:t>
      </w:r>
      <w:r>
        <w:rPr>
          <w:color w:val="000000"/>
          <w:highlight w:val="yellow"/>
        </w:rPr>
        <w:t>, and interaction with deltamethrin</w:t>
      </w:r>
      <w:r>
        <w:rPr>
          <w:color w:val="000000"/>
        </w:rPr>
        <w:t xml:space="preserve"> </w:t>
      </w:r>
      <w:r>
        <w:rPr>
          <w:color w:val="000000"/>
          <w:highlight w:val="yellow"/>
        </w:rPr>
        <w:t>highlights</w:t>
      </w:r>
      <w:r>
        <w:rPr>
          <w:color w:val="000000"/>
          <w:spacing w:val="59"/>
          <w:highlight w:val="yellow"/>
        </w:rPr>
        <w:t xml:space="preserve"> </w:t>
      </w:r>
      <w:r>
        <w:rPr>
          <w:color w:val="000000"/>
          <w:highlight w:val="yellow"/>
        </w:rPr>
        <w:t>the</w:t>
      </w:r>
      <w:r>
        <w:rPr>
          <w:color w:val="000000"/>
          <w:spacing w:val="45"/>
          <w:highlight w:val="yellow"/>
        </w:rPr>
        <w:t xml:space="preserve"> </w:t>
      </w:r>
      <w:r>
        <w:rPr>
          <w:color w:val="000000"/>
          <w:highlight w:val="yellow"/>
        </w:rPr>
        <w:t>potential</w:t>
      </w:r>
      <w:r>
        <w:rPr>
          <w:color w:val="000000"/>
          <w:spacing w:val="44"/>
          <w:highlight w:val="yellow"/>
        </w:rPr>
        <w:t xml:space="preserve"> </w:t>
      </w:r>
      <w:r>
        <w:rPr>
          <w:color w:val="000000"/>
          <w:highlight w:val="yellow"/>
        </w:rPr>
        <w:t>for</w:t>
      </w:r>
      <w:r>
        <w:rPr>
          <w:color w:val="000000"/>
          <w:spacing w:val="45"/>
          <w:highlight w:val="yellow"/>
        </w:rPr>
        <w:t xml:space="preserve"> </w:t>
      </w:r>
      <w:r>
        <w:rPr>
          <w:color w:val="000000"/>
          <w:highlight w:val="yellow"/>
        </w:rPr>
        <w:t>pesticides</w:t>
      </w:r>
      <w:r>
        <w:rPr>
          <w:color w:val="000000"/>
          <w:spacing w:val="44"/>
          <w:highlight w:val="yellow"/>
        </w:rPr>
        <w:t xml:space="preserve"> </w:t>
      </w:r>
      <w:r>
        <w:rPr>
          <w:color w:val="000000"/>
          <w:highlight w:val="yellow"/>
        </w:rPr>
        <w:t>to</w:t>
      </w:r>
      <w:r>
        <w:rPr>
          <w:color w:val="000000"/>
          <w:spacing w:val="45"/>
          <w:highlight w:val="yellow"/>
        </w:rPr>
        <w:t xml:space="preserve"> </w:t>
      </w:r>
      <w:r>
        <w:rPr>
          <w:color w:val="000000"/>
          <w:highlight w:val="yellow"/>
        </w:rPr>
        <w:t>interact</w:t>
      </w:r>
      <w:r>
        <w:rPr>
          <w:color w:val="000000"/>
          <w:spacing w:val="45"/>
          <w:highlight w:val="yellow"/>
        </w:rPr>
        <w:t xml:space="preserve"> </w:t>
      </w:r>
      <w:r>
        <w:rPr>
          <w:color w:val="000000"/>
          <w:highlight w:val="yellow"/>
        </w:rPr>
        <w:t>with</w:t>
      </w:r>
      <w:r>
        <w:rPr>
          <w:color w:val="000000"/>
          <w:spacing w:val="44"/>
          <w:highlight w:val="yellow"/>
        </w:rPr>
        <w:t xml:space="preserve"> </w:t>
      </w:r>
      <w:r>
        <w:rPr>
          <w:color w:val="000000"/>
          <w:highlight w:val="yellow"/>
        </w:rPr>
        <w:t>microflora</w:t>
      </w:r>
      <w:r>
        <w:rPr>
          <w:color w:val="000000"/>
          <w:spacing w:val="45"/>
          <w:highlight w:val="yellow"/>
        </w:rPr>
        <w:t xml:space="preserve"> </w:t>
      </w:r>
      <w:r>
        <w:rPr>
          <w:color w:val="000000"/>
          <w:highlight w:val="yellow"/>
        </w:rPr>
        <w:t>affecting</w:t>
      </w:r>
      <w:r>
        <w:rPr>
          <w:color w:val="000000"/>
          <w:spacing w:val="44"/>
          <w:highlight w:val="yellow"/>
        </w:rPr>
        <w:t xml:space="preserve"> </w:t>
      </w:r>
      <w:r>
        <w:rPr>
          <w:color w:val="000000"/>
          <w:highlight w:val="yellow"/>
        </w:rPr>
        <w:t>the</w:t>
      </w:r>
      <w:r>
        <w:rPr>
          <w:color w:val="000000"/>
          <w:spacing w:val="45"/>
          <w:highlight w:val="yellow"/>
        </w:rPr>
        <w:t xml:space="preserve"> </w:t>
      </w:r>
      <w:r>
        <w:rPr>
          <w:color w:val="000000"/>
          <w:highlight w:val="yellow"/>
        </w:rPr>
        <w:t>health</w:t>
      </w:r>
      <w:r>
        <w:rPr>
          <w:color w:val="000000"/>
          <w:spacing w:val="45"/>
          <w:highlight w:val="yellow"/>
        </w:rPr>
        <w:t xml:space="preserve"> </w:t>
      </w:r>
      <w:r>
        <w:rPr>
          <w:color w:val="000000"/>
          <w:spacing w:val="-5"/>
          <w:highlight w:val="yellow"/>
        </w:rPr>
        <w:t>and</w:t>
      </w:r>
    </w:p>
    <w:p w:rsidR="00FF2954" w:rsidRDefault="00FF2954">
      <w:pPr>
        <w:pStyle w:val="BodyText"/>
        <w:spacing w:line="360" w:lineRule="auto"/>
        <w:jc w:val="both"/>
        <w:sectPr w:rsidR="00FF2954">
          <w:pgSz w:w="11920" w:h="16840"/>
          <w:pgMar w:top="1380" w:right="1275" w:bottom="280" w:left="1275" w:header="720" w:footer="720" w:gutter="0"/>
          <w:cols w:space="720"/>
        </w:sectPr>
      </w:pPr>
    </w:p>
    <w:p w:rsidR="00FF2954" w:rsidRDefault="00C341DF">
      <w:pPr>
        <w:pStyle w:val="BodyText"/>
        <w:spacing w:before="60" w:line="360" w:lineRule="auto"/>
        <w:ind w:right="178"/>
        <w:jc w:val="both"/>
      </w:pPr>
      <w:r>
        <w:rPr>
          <w:noProof/>
        </w:rPr>
        <w:lastRenderedPageBreak/>
        <mc:AlternateContent>
          <mc:Choice Requires="wps">
            <w:drawing>
              <wp:anchor distT="0" distB="0" distL="0" distR="0" simplePos="0" relativeHeight="487294976" behindDoc="1" locked="0" layoutInCell="1" allowOverlap="1">
                <wp:simplePos x="0" y="0"/>
                <wp:positionH relativeFrom="page">
                  <wp:posOffset>-343000</wp:posOffset>
                </wp:positionH>
                <wp:positionV relativeFrom="page">
                  <wp:posOffset>101041</wp:posOffset>
                </wp:positionV>
                <wp:extent cx="1598930" cy="10382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4" o:spid="_x0000_s1029" type="#_x0000_t202" style="position:absolute;left:0;text-align:left;margin-left:-27pt;margin-top:7.95pt;width:125.9pt;height:81.75pt;rotation:-45;z-index:-1602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" filled="f" stroked="f">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r>
        <w:rPr>
          <w:color w:val="000000"/>
          <w:highlight w:val="yellow"/>
        </w:rPr>
        <w:t>production of animals and human through several modes viz. disr</w:t>
      </w:r>
      <w:r>
        <w:rPr>
          <w:color w:val="000000"/>
          <w:highlight w:val="yellow"/>
        </w:rPr>
        <w:t>uption of microbiota and</w:t>
      </w:r>
      <w:r>
        <w:rPr>
          <w:color w:val="000000"/>
        </w:rPr>
        <w:t xml:space="preserve"> </w:t>
      </w:r>
      <w:r>
        <w:rPr>
          <w:color w:val="000000"/>
          <w:highlight w:val="yellow"/>
        </w:rPr>
        <w:t>development of antimicrobial resistance posing</w:t>
      </w:r>
      <w:r>
        <w:rPr>
          <w:color w:val="000000"/>
          <w:spacing w:val="-3"/>
          <w:highlight w:val="yellow"/>
        </w:rPr>
        <w:t xml:space="preserve"> </w:t>
      </w:r>
      <w:r>
        <w:rPr>
          <w:color w:val="000000"/>
          <w:highlight w:val="yellow"/>
        </w:rPr>
        <w:t>a</w:t>
      </w:r>
      <w:r>
        <w:rPr>
          <w:color w:val="000000"/>
          <w:spacing w:val="-3"/>
          <w:highlight w:val="yellow"/>
        </w:rPr>
        <w:t xml:space="preserve"> </w:t>
      </w:r>
      <w:r>
        <w:rPr>
          <w:color w:val="000000"/>
          <w:highlight w:val="yellow"/>
        </w:rPr>
        <w:t>great</w:t>
      </w:r>
      <w:r>
        <w:rPr>
          <w:color w:val="000000"/>
          <w:spacing w:val="-3"/>
          <w:highlight w:val="yellow"/>
        </w:rPr>
        <w:t xml:space="preserve"> </w:t>
      </w:r>
      <w:r>
        <w:rPr>
          <w:color w:val="000000"/>
          <w:highlight w:val="yellow"/>
        </w:rPr>
        <w:t>threat</w:t>
      </w:r>
      <w:r>
        <w:rPr>
          <w:color w:val="000000"/>
          <w:spacing w:val="-3"/>
          <w:highlight w:val="yellow"/>
        </w:rPr>
        <w:t xml:space="preserve"> </w:t>
      </w:r>
      <w:r>
        <w:rPr>
          <w:color w:val="000000"/>
          <w:highlight w:val="yellow"/>
        </w:rPr>
        <w:t>to</w:t>
      </w:r>
      <w:r>
        <w:rPr>
          <w:color w:val="000000"/>
          <w:spacing w:val="-3"/>
          <w:highlight w:val="yellow"/>
        </w:rPr>
        <w:t xml:space="preserve"> </w:t>
      </w:r>
      <w:r>
        <w:rPr>
          <w:color w:val="000000"/>
          <w:highlight w:val="yellow"/>
        </w:rPr>
        <w:t>the</w:t>
      </w:r>
      <w:r>
        <w:rPr>
          <w:color w:val="000000"/>
          <w:spacing w:val="-3"/>
          <w:highlight w:val="yellow"/>
        </w:rPr>
        <w:t xml:space="preserve"> </w:t>
      </w:r>
      <w:r>
        <w:rPr>
          <w:color w:val="000000"/>
          <w:highlight w:val="yellow"/>
        </w:rPr>
        <w:t>One</w:t>
      </w:r>
      <w:r>
        <w:rPr>
          <w:color w:val="000000"/>
          <w:spacing w:val="-3"/>
          <w:highlight w:val="yellow"/>
        </w:rPr>
        <w:t xml:space="preserve"> </w:t>
      </w:r>
      <w:r>
        <w:rPr>
          <w:color w:val="000000"/>
          <w:highlight w:val="yellow"/>
        </w:rPr>
        <w:t>Health.</w:t>
      </w:r>
      <w:r>
        <w:rPr>
          <w:color w:val="000000"/>
          <w:spacing w:val="-3"/>
          <w:highlight w:val="yellow"/>
        </w:rPr>
        <w:t xml:space="preserve"> </w:t>
      </w:r>
      <w:r>
        <w:rPr>
          <w:color w:val="FF0000"/>
          <w:highlight w:val="yellow"/>
        </w:rPr>
        <w:t>This</w:t>
      </w:r>
      <w:r>
        <w:rPr>
          <w:color w:val="FF0000"/>
          <w:spacing w:val="-3"/>
          <w:highlight w:val="yellow"/>
        </w:rPr>
        <w:t xml:space="preserve"> </w:t>
      </w:r>
      <w:r>
        <w:rPr>
          <w:color w:val="FF0000"/>
          <w:highlight w:val="yellow"/>
        </w:rPr>
        <w:t>study</w:t>
      </w:r>
      <w:r>
        <w:rPr>
          <w:color w:val="FF0000"/>
          <w:spacing w:val="-3"/>
          <w:highlight w:val="yellow"/>
        </w:rPr>
        <w:t xml:space="preserve"> </w:t>
      </w:r>
      <w:r>
        <w:rPr>
          <w:color w:val="FF0000"/>
          <w:highlight w:val="yellow"/>
        </w:rPr>
        <w:t>is</w:t>
      </w:r>
      <w:r>
        <w:rPr>
          <w:color w:val="FF0000"/>
        </w:rPr>
        <w:t xml:space="preserve"> </w:t>
      </w:r>
      <w:r>
        <w:rPr>
          <w:color w:val="FF0000"/>
          <w:highlight w:val="yellow"/>
        </w:rPr>
        <w:t>oriented to undermine the pathological damage to the liver, kidneys, and brain in chicken is</w:t>
      </w:r>
      <w:r>
        <w:rPr>
          <w:color w:val="FF0000"/>
        </w:rPr>
        <w:t xml:space="preserve"> </w:t>
      </w:r>
      <w:r>
        <w:rPr>
          <w:color w:val="FF0000"/>
          <w:highlight w:val="yellow"/>
        </w:rPr>
        <w:t xml:space="preserve">exacerbated by the combined exposure to deltamethrin and </w:t>
      </w:r>
      <w:r>
        <w:rPr>
          <w:i/>
          <w:color w:val="FF0000"/>
          <w:highlight w:val="yellow"/>
        </w:rPr>
        <w:t>E. coli</w:t>
      </w:r>
      <w:r>
        <w:rPr>
          <w:color w:val="FF0000"/>
          <w:highlight w:val="yellow"/>
        </w:rPr>
        <w:t>, resulting in more severe</w:t>
      </w:r>
      <w:r>
        <w:rPr>
          <w:color w:val="FF0000"/>
        </w:rPr>
        <w:t xml:space="preserve"> </w:t>
      </w:r>
      <w:r>
        <w:rPr>
          <w:color w:val="FF0000"/>
          <w:highlight w:val="yellow"/>
        </w:rPr>
        <w:t>lesions than those induced by</w:t>
      </w:r>
      <w:r>
        <w:rPr>
          <w:color w:val="FF0000"/>
          <w:spacing w:val="-3"/>
          <w:highlight w:val="yellow"/>
        </w:rPr>
        <w:t xml:space="preserve"> </w:t>
      </w:r>
      <w:r>
        <w:rPr>
          <w:color w:val="FF0000"/>
          <w:highlight w:val="yellow"/>
        </w:rPr>
        <w:t>either</w:t>
      </w:r>
      <w:r>
        <w:rPr>
          <w:color w:val="FF0000"/>
          <w:spacing w:val="-3"/>
          <w:highlight w:val="yellow"/>
        </w:rPr>
        <w:t xml:space="preserve"> </w:t>
      </w:r>
      <w:r>
        <w:rPr>
          <w:color w:val="FF0000"/>
          <w:highlight w:val="yellow"/>
        </w:rPr>
        <w:t>factor</w:t>
      </w:r>
      <w:r>
        <w:rPr>
          <w:color w:val="FF0000"/>
          <w:spacing w:val="-3"/>
          <w:highlight w:val="yellow"/>
        </w:rPr>
        <w:t xml:space="preserve"> </w:t>
      </w:r>
      <w:r>
        <w:rPr>
          <w:color w:val="FF0000"/>
          <w:highlight w:val="yellow"/>
        </w:rPr>
        <w:t>alone.</w:t>
      </w:r>
      <w:r>
        <w:rPr>
          <w:color w:val="FF0000"/>
          <w:spacing w:val="-3"/>
          <w:highlight w:val="yellow"/>
        </w:rPr>
        <w:t xml:space="preserve"> </w:t>
      </w:r>
      <w:r>
        <w:rPr>
          <w:color w:val="FF0000"/>
          <w:highlight w:val="yellow"/>
        </w:rPr>
        <w:t>These</w:t>
      </w:r>
      <w:r>
        <w:rPr>
          <w:color w:val="FF0000"/>
          <w:spacing w:val="-3"/>
          <w:highlight w:val="yellow"/>
        </w:rPr>
        <w:t xml:space="preserve"> </w:t>
      </w:r>
      <w:r>
        <w:rPr>
          <w:color w:val="FF0000"/>
          <w:highlight w:val="yellow"/>
        </w:rPr>
        <w:t>results</w:t>
      </w:r>
      <w:r>
        <w:rPr>
          <w:color w:val="FF0000"/>
          <w:spacing w:val="-3"/>
          <w:highlight w:val="yellow"/>
        </w:rPr>
        <w:t xml:space="preserve"> </w:t>
      </w:r>
      <w:r>
        <w:rPr>
          <w:color w:val="FF0000"/>
          <w:highlight w:val="yellow"/>
        </w:rPr>
        <w:t>offer</w:t>
      </w:r>
      <w:r>
        <w:rPr>
          <w:color w:val="FF0000"/>
          <w:spacing w:val="-3"/>
          <w:highlight w:val="yellow"/>
        </w:rPr>
        <w:t xml:space="preserve"> </w:t>
      </w:r>
      <w:r>
        <w:rPr>
          <w:color w:val="FF0000"/>
          <w:highlight w:val="yellow"/>
        </w:rPr>
        <w:t>an</w:t>
      </w:r>
      <w:r>
        <w:rPr>
          <w:color w:val="FF0000"/>
          <w:spacing w:val="-3"/>
          <w:highlight w:val="yellow"/>
        </w:rPr>
        <w:t xml:space="preserve"> </w:t>
      </w:r>
      <w:r>
        <w:rPr>
          <w:color w:val="FF0000"/>
          <w:highlight w:val="yellow"/>
        </w:rPr>
        <w:t>essential</w:t>
      </w:r>
      <w:r>
        <w:rPr>
          <w:color w:val="FF0000"/>
          <w:spacing w:val="-3"/>
          <w:highlight w:val="yellow"/>
        </w:rPr>
        <w:t xml:space="preserve"> </w:t>
      </w:r>
      <w:r>
        <w:rPr>
          <w:color w:val="FF0000"/>
          <w:highlight w:val="yellow"/>
        </w:rPr>
        <w:t>pathological</w:t>
      </w:r>
      <w:r>
        <w:rPr>
          <w:color w:val="FF0000"/>
        </w:rPr>
        <w:t xml:space="preserve"> </w:t>
      </w:r>
      <w:r>
        <w:rPr>
          <w:color w:val="FF0000"/>
          <w:highlight w:val="yellow"/>
        </w:rPr>
        <w:t>foundation for comprehending the increased health and economic conse</w:t>
      </w:r>
      <w:r>
        <w:rPr>
          <w:color w:val="FF0000"/>
          <w:highlight w:val="yellow"/>
        </w:rPr>
        <w:t>quences associated</w:t>
      </w:r>
      <w:r>
        <w:rPr>
          <w:color w:val="FF0000"/>
        </w:rPr>
        <w:t xml:space="preserve"> </w:t>
      </w:r>
      <w:r>
        <w:rPr>
          <w:color w:val="FF0000"/>
          <w:highlight w:val="yellow"/>
        </w:rPr>
        <w:t>with the careless application of agrochemicals</w:t>
      </w:r>
      <w:r>
        <w:rPr>
          <w:color w:val="FF0000"/>
          <w:spacing w:val="-2"/>
          <w:highlight w:val="yellow"/>
        </w:rPr>
        <w:t xml:space="preserve"> </w:t>
      </w:r>
      <w:r>
        <w:rPr>
          <w:color w:val="FF0000"/>
          <w:highlight w:val="yellow"/>
        </w:rPr>
        <w:t>in</w:t>
      </w:r>
      <w:r>
        <w:rPr>
          <w:color w:val="FF0000"/>
          <w:spacing w:val="-3"/>
          <w:highlight w:val="yellow"/>
        </w:rPr>
        <w:t xml:space="preserve"> </w:t>
      </w:r>
      <w:r>
        <w:rPr>
          <w:color w:val="FF0000"/>
          <w:highlight w:val="yellow"/>
        </w:rPr>
        <w:t>environments</w:t>
      </w:r>
      <w:r>
        <w:rPr>
          <w:color w:val="FF0000"/>
          <w:spacing w:val="-2"/>
          <w:highlight w:val="yellow"/>
        </w:rPr>
        <w:t xml:space="preserve"> </w:t>
      </w:r>
      <w:r>
        <w:rPr>
          <w:color w:val="FF0000"/>
          <w:highlight w:val="yellow"/>
        </w:rPr>
        <w:t>where</w:t>
      </w:r>
      <w:r>
        <w:rPr>
          <w:color w:val="FF0000"/>
          <w:spacing w:val="-3"/>
          <w:highlight w:val="yellow"/>
        </w:rPr>
        <w:t xml:space="preserve"> </w:t>
      </w:r>
      <w:r>
        <w:rPr>
          <w:color w:val="FF0000"/>
          <w:highlight w:val="yellow"/>
        </w:rPr>
        <w:t>bacterial</w:t>
      </w:r>
      <w:r>
        <w:rPr>
          <w:color w:val="FF0000"/>
          <w:spacing w:val="-2"/>
          <w:highlight w:val="yellow"/>
        </w:rPr>
        <w:t xml:space="preserve"> </w:t>
      </w:r>
      <w:r>
        <w:rPr>
          <w:color w:val="FF0000"/>
          <w:highlight w:val="yellow"/>
        </w:rPr>
        <w:t>infections</w:t>
      </w:r>
      <w:r>
        <w:rPr>
          <w:color w:val="FF0000"/>
          <w:spacing w:val="-3"/>
          <w:highlight w:val="yellow"/>
        </w:rPr>
        <w:t xml:space="preserve"> </w:t>
      </w:r>
      <w:r>
        <w:rPr>
          <w:color w:val="FF0000"/>
          <w:highlight w:val="yellow"/>
        </w:rPr>
        <w:t>are</w:t>
      </w:r>
      <w:r>
        <w:rPr>
          <w:color w:val="FF0000"/>
        </w:rPr>
        <w:t xml:space="preserve"> </w:t>
      </w:r>
      <w:proofErr w:type="spellStart"/>
      <w:proofErr w:type="gramStart"/>
      <w:r>
        <w:rPr>
          <w:color w:val="FF0000"/>
          <w:highlight w:val="yellow"/>
        </w:rPr>
        <w:t>common.Present</w:t>
      </w:r>
      <w:proofErr w:type="spellEnd"/>
      <w:proofErr w:type="gramEnd"/>
      <w:r>
        <w:rPr>
          <w:color w:val="FF0000"/>
          <w:highlight w:val="yellow"/>
        </w:rPr>
        <w:t xml:space="preserve"> study was</w:t>
      </w:r>
      <w:r>
        <w:rPr>
          <w:color w:val="FF0000"/>
          <w:spacing w:val="-3"/>
          <w:highlight w:val="yellow"/>
        </w:rPr>
        <w:t xml:space="preserve"> </w:t>
      </w:r>
      <w:r>
        <w:rPr>
          <w:color w:val="FF0000"/>
          <w:highlight w:val="yellow"/>
        </w:rPr>
        <w:t>aimed</w:t>
      </w:r>
      <w:r>
        <w:rPr>
          <w:color w:val="FF0000"/>
          <w:spacing w:val="-3"/>
          <w:highlight w:val="yellow"/>
        </w:rPr>
        <w:t xml:space="preserve"> </w:t>
      </w:r>
      <w:r>
        <w:rPr>
          <w:color w:val="FF0000"/>
          <w:highlight w:val="yellow"/>
        </w:rPr>
        <w:t>to</w:t>
      </w:r>
      <w:r>
        <w:rPr>
          <w:color w:val="FF0000"/>
          <w:spacing w:val="-3"/>
          <w:highlight w:val="yellow"/>
        </w:rPr>
        <w:t xml:space="preserve"> </w:t>
      </w:r>
      <w:r>
        <w:rPr>
          <w:color w:val="FF0000"/>
          <w:highlight w:val="yellow"/>
        </w:rPr>
        <w:t>bridge</w:t>
      </w:r>
      <w:r>
        <w:rPr>
          <w:color w:val="FF0000"/>
          <w:spacing w:val="-3"/>
          <w:highlight w:val="yellow"/>
        </w:rPr>
        <w:t xml:space="preserve"> </w:t>
      </w:r>
      <w:r>
        <w:rPr>
          <w:color w:val="FF0000"/>
          <w:highlight w:val="yellow"/>
        </w:rPr>
        <w:t>the</w:t>
      </w:r>
      <w:r>
        <w:rPr>
          <w:color w:val="FF0000"/>
          <w:spacing w:val="-3"/>
          <w:highlight w:val="yellow"/>
        </w:rPr>
        <w:t xml:space="preserve"> </w:t>
      </w:r>
      <w:r>
        <w:rPr>
          <w:color w:val="FF0000"/>
          <w:highlight w:val="yellow"/>
        </w:rPr>
        <w:t>gap</w:t>
      </w:r>
      <w:r>
        <w:rPr>
          <w:color w:val="FF0000"/>
          <w:spacing w:val="-3"/>
          <w:highlight w:val="yellow"/>
        </w:rPr>
        <w:t xml:space="preserve"> </w:t>
      </w:r>
      <w:r>
        <w:rPr>
          <w:color w:val="FF0000"/>
          <w:highlight w:val="yellow"/>
        </w:rPr>
        <w:t>in</w:t>
      </w:r>
      <w:r>
        <w:rPr>
          <w:color w:val="FF0000"/>
          <w:spacing w:val="-3"/>
          <w:highlight w:val="yellow"/>
        </w:rPr>
        <w:t xml:space="preserve"> </w:t>
      </w:r>
      <w:r>
        <w:rPr>
          <w:color w:val="FF0000"/>
          <w:highlight w:val="yellow"/>
        </w:rPr>
        <w:t>the</w:t>
      </w:r>
      <w:r>
        <w:rPr>
          <w:color w:val="FF0000"/>
          <w:spacing w:val="-3"/>
          <w:highlight w:val="yellow"/>
        </w:rPr>
        <w:t xml:space="preserve"> </w:t>
      </w:r>
      <w:r>
        <w:rPr>
          <w:color w:val="FF0000"/>
          <w:highlight w:val="yellow"/>
        </w:rPr>
        <w:t>finding</w:t>
      </w:r>
      <w:r>
        <w:rPr>
          <w:color w:val="FF0000"/>
          <w:spacing w:val="-3"/>
          <w:highlight w:val="yellow"/>
        </w:rPr>
        <w:t xml:space="preserve"> </w:t>
      </w:r>
      <w:r>
        <w:rPr>
          <w:color w:val="FF0000"/>
          <w:highlight w:val="yellow"/>
        </w:rPr>
        <w:t>of</w:t>
      </w:r>
      <w:r>
        <w:rPr>
          <w:color w:val="FF0000"/>
          <w:spacing w:val="-3"/>
          <w:highlight w:val="yellow"/>
        </w:rPr>
        <w:t xml:space="preserve"> </w:t>
      </w:r>
      <w:r>
        <w:rPr>
          <w:color w:val="FF0000"/>
          <w:highlight w:val="yellow"/>
        </w:rPr>
        <w:t>concomitant</w:t>
      </w:r>
      <w:r>
        <w:rPr>
          <w:color w:val="FF0000"/>
          <w:spacing w:val="-3"/>
          <w:highlight w:val="yellow"/>
        </w:rPr>
        <w:t xml:space="preserve"> </w:t>
      </w:r>
      <w:r>
        <w:rPr>
          <w:color w:val="FF0000"/>
          <w:highlight w:val="yellow"/>
        </w:rPr>
        <w:t>exposure</w:t>
      </w:r>
      <w:r>
        <w:rPr>
          <w:color w:val="FF0000"/>
          <w:spacing w:val="-3"/>
          <w:highlight w:val="yellow"/>
        </w:rPr>
        <w:t xml:space="preserve"> </w:t>
      </w:r>
      <w:r>
        <w:rPr>
          <w:color w:val="FF0000"/>
          <w:highlight w:val="yellow"/>
        </w:rPr>
        <w:t>of</w:t>
      </w:r>
      <w:r>
        <w:rPr>
          <w:color w:val="FF0000"/>
        </w:rPr>
        <w:t xml:space="preserve"> </w:t>
      </w:r>
      <w:r>
        <w:rPr>
          <w:color w:val="FF0000"/>
          <w:highlight w:val="yellow"/>
        </w:rPr>
        <w:t xml:space="preserve">deltamethrin with infection of </w:t>
      </w:r>
      <w:r>
        <w:rPr>
          <w:i/>
          <w:color w:val="FF0000"/>
          <w:highlight w:val="yellow"/>
        </w:rPr>
        <w:t xml:space="preserve">E.coli </w:t>
      </w:r>
      <w:r>
        <w:rPr>
          <w:color w:val="FF0000"/>
          <w:highlight w:val="yellow"/>
        </w:rPr>
        <w:t>in poultry birds with special reference to pathological</w:t>
      </w:r>
      <w:r>
        <w:rPr>
          <w:color w:val="FF0000"/>
        </w:rPr>
        <w:t xml:space="preserve"> </w:t>
      </w:r>
      <w:r>
        <w:rPr>
          <w:color w:val="FF0000"/>
          <w:spacing w:val="-2"/>
          <w:highlight w:val="yellow"/>
        </w:rPr>
        <w:t>alterations.</w:t>
      </w:r>
    </w:p>
    <w:p w:rsidR="00FF2954" w:rsidRDefault="00C341DF">
      <w:pPr>
        <w:pStyle w:val="BodyText"/>
        <w:spacing w:line="360" w:lineRule="auto"/>
        <w:ind w:right="181"/>
        <w:jc w:val="both"/>
      </w:pPr>
      <w:r>
        <w:t xml:space="preserve">Present study was aimed to bridge the gap in the finding of concomitant exposure of deltamethrin with infection of </w:t>
      </w:r>
      <w:proofErr w:type="gramStart"/>
      <w:r>
        <w:rPr>
          <w:i/>
        </w:rPr>
        <w:t>E.coli</w:t>
      </w:r>
      <w:proofErr w:type="gramEnd"/>
      <w:r>
        <w:rPr>
          <w:i/>
        </w:rPr>
        <w:t xml:space="preserve"> </w:t>
      </w:r>
      <w:r>
        <w:t xml:space="preserve">in poultry birds with special reference to pathological </w:t>
      </w:r>
      <w:r>
        <w:rPr>
          <w:spacing w:val="-2"/>
        </w:rPr>
        <w:t>alteratio</w:t>
      </w:r>
      <w:r>
        <w:rPr>
          <w:spacing w:val="-2"/>
        </w:rPr>
        <w:t>ns.</w:t>
      </w:r>
    </w:p>
    <w:p w:rsidR="00FF2954" w:rsidRDefault="00C341DF">
      <w:pPr>
        <w:pStyle w:val="Heading1"/>
        <w:numPr>
          <w:ilvl w:val="0"/>
          <w:numId w:val="1"/>
        </w:numPr>
        <w:tabs>
          <w:tab w:val="left" w:pos="405"/>
        </w:tabs>
        <w:ind w:left="405" w:hanging="240"/>
        <w:jc w:val="both"/>
      </w:pPr>
      <w:r>
        <w:rPr>
          <w:spacing w:val="-2"/>
        </w:rPr>
        <w:t>Methodology</w:t>
      </w:r>
    </w:p>
    <w:p w:rsidR="00FF2954" w:rsidRDefault="00FF2954">
      <w:pPr>
        <w:pStyle w:val="BodyText"/>
        <w:spacing w:before="22"/>
        <w:ind w:left="0"/>
        <w:rPr>
          <w:b/>
        </w:rPr>
      </w:pPr>
    </w:p>
    <w:p w:rsidR="00FF2954" w:rsidRDefault="00C341DF">
      <w:pPr>
        <w:pStyle w:val="BodyText"/>
        <w:spacing w:line="360" w:lineRule="auto"/>
        <w:ind w:right="177"/>
        <w:jc w:val="both"/>
      </w:pPr>
      <w:r>
        <w:rPr>
          <w:color w:val="000000"/>
          <w:highlight w:val="yellow"/>
        </w:rPr>
        <w:t>Present study</w:t>
      </w:r>
      <w:r>
        <w:rPr>
          <w:color w:val="000000"/>
          <w:spacing w:val="-4"/>
          <w:highlight w:val="yellow"/>
        </w:rPr>
        <w:t xml:space="preserve"> </w:t>
      </w:r>
      <w:r>
        <w:rPr>
          <w:color w:val="000000"/>
          <w:highlight w:val="yellow"/>
        </w:rPr>
        <w:t>utilized</w:t>
      </w:r>
      <w:r>
        <w:rPr>
          <w:color w:val="000000"/>
          <w:spacing w:val="-4"/>
          <w:highlight w:val="yellow"/>
        </w:rPr>
        <w:t xml:space="preserve"> </w:t>
      </w:r>
      <w:r>
        <w:rPr>
          <w:color w:val="000000"/>
          <w:highlight w:val="yellow"/>
        </w:rPr>
        <w:t>270</w:t>
      </w:r>
      <w:r>
        <w:rPr>
          <w:color w:val="000000"/>
          <w:spacing w:val="-4"/>
          <w:highlight w:val="yellow"/>
        </w:rPr>
        <w:t xml:space="preserve"> </w:t>
      </w:r>
      <w:r>
        <w:rPr>
          <w:color w:val="000000"/>
          <w:highlight w:val="yellow"/>
        </w:rPr>
        <w:t>healthy,</w:t>
      </w:r>
      <w:r>
        <w:rPr>
          <w:color w:val="000000"/>
          <w:spacing w:val="-4"/>
          <w:highlight w:val="yellow"/>
        </w:rPr>
        <w:t xml:space="preserve"> </w:t>
      </w:r>
      <w:r>
        <w:rPr>
          <w:color w:val="000000"/>
          <w:highlight w:val="yellow"/>
        </w:rPr>
        <w:t>day-old</w:t>
      </w:r>
      <w:r>
        <w:rPr>
          <w:color w:val="000000"/>
          <w:spacing w:val="-4"/>
          <w:highlight w:val="yellow"/>
        </w:rPr>
        <w:t xml:space="preserve"> </w:t>
      </w:r>
      <w:r>
        <w:rPr>
          <w:color w:val="000000"/>
          <w:highlight w:val="yellow"/>
        </w:rPr>
        <w:t>broiler</w:t>
      </w:r>
      <w:r>
        <w:rPr>
          <w:color w:val="000000"/>
          <w:spacing w:val="-4"/>
          <w:highlight w:val="yellow"/>
        </w:rPr>
        <w:t xml:space="preserve"> </w:t>
      </w:r>
      <w:r>
        <w:rPr>
          <w:color w:val="000000"/>
          <w:highlight w:val="yellow"/>
        </w:rPr>
        <w:t>chicks</w:t>
      </w:r>
      <w:r>
        <w:rPr>
          <w:color w:val="000000"/>
          <w:spacing w:val="-4"/>
          <w:highlight w:val="yellow"/>
        </w:rPr>
        <w:t xml:space="preserve"> </w:t>
      </w:r>
      <w:r>
        <w:rPr>
          <w:color w:val="000000"/>
          <w:highlight w:val="yellow"/>
        </w:rPr>
        <w:t>Ross</w:t>
      </w:r>
      <w:r>
        <w:rPr>
          <w:color w:val="000000"/>
          <w:spacing w:val="-4"/>
          <w:highlight w:val="yellow"/>
        </w:rPr>
        <w:t xml:space="preserve"> </w:t>
      </w:r>
      <w:r>
        <w:rPr>
          <w:color w:val="000000"/>
          <w:highlight w:val="yellow"/>
        </w:rPr>
        <w:t>procured</w:t>
      </w:r>
      <w:r>
        <w:rPr>
          <w:color w:val="000000"/>
          <w:spacing w:val="-4"/>
          <w:highlight w:val="yellow"/>
        </w:rPr>
        <w:t xml:space="preserve"> </w:t>
      </w:r>
      <w:r>
        <w:rPr>
          <w:color w:val="000000"/>
          <w:highlight w:val="yellow"/>
        </w:rPr>
        <w:t>from</w:t>
      </w:r>
      <w:r>
        <w:rPr>
          <w:color w:val="000000"/>
          <w:spacing w:val="-4"/>
          <w:highlight w:val="yellow"/>
        </w:rPr>
        <w:t xml:space="preserve"> </w:t>
      </w:r>
      <w:r>
        <w:rPr>
          <w:color w:val="000000"/>
          <w:highlight w:val="yellow"/>
        </w:rPr>
        <w:t>a</w:t>
      </w:r>
      <w:r>
        <w:rPr>
          <w:color w:val="000000"/>
          <w:spacing w:val="-4"/>
          <w:highlight w:val="yellow"/>
        </w:rPr>
        <w:t xml:space="preserve"> </w:t>
      </w:r>
      <w:r>
        <w:rPr>
          <w:color w:val="000000"/>
          <w:highlight w:val="yellow"/>
        </w:rPr>
        <w:t>local</w:t>
      </w:r>
      <w:r>
        <w:rPr>
          <w:color w:val="000000"/>
          <w:spacing w:val="-4"/>
          <w:highlight w:val="yellow"/>
        </w:rPr>
        <w:t xml:space="preserve"> </w:t>
      </w:r>
      <w:r>
        <w:rPr>
          <w:color w:val="000000"/>
          <w:highlight w:val="yellow"/>
        </w:rPr>
        <w:t>hatchery</w:t>
      </w:r>
      <w:r>
        <w:rPr>
          <w:color w:val="000000"/>
        </w:rPr>
        <w:t xml:space="preserve"> </w:t>
      </w:r>
      <w:r>
        <w:rPr>
          <w:color w:val="000000"/>
          <w:highlight w:val="yellow"/>
        </w:rPr>
        <w:t>and reared under strict hygienic conditions.</w:t>
      </w:r>
      <w:r>
        <w:rPr>
          <w:color w:val="000000"/>
        </w:rPr>
        <w:t xml:space="preserve"> Optimum housing condition with proper ventilation</w:t>
      </w:r>
      <w:r>
        <w:rPr>
          <w:color w:val="000000"/>
          <w:spacing w:val="-3"/>
        </w:rPr>
        <w:t xml:space="preserve"> </w:t>
      </w:r>
      <w:r>
        <w:rPr>
          <w:color w:val="000000"/>
        </w:rPr>
        <w:t>and</w:t>
      </w:r>
      <w:r>
        <w:rPr>
          <w:color w:val="000000"/>
          <w:spacing w:val="-3"/>
        </w:rPr>
        <w:t xml:space="preserve"> </w:t>
      </w:r>
      <w:r>
        <w:rPr>
          <w:color w:val="000000"/>
        </w:rPr>
        <w:t>ad</w:t>
      </w:r>
      <w:r>
        <w:rPr>
          <w:color w:val="000000"/>
          <w:spacing w:val="-3"/>
        </w:rPr>
        <w:t xml:space="preserve"> </w:t>
      </w:r>
      <w:r>
        <w:rPr>
          <w:color w:val="000000"/>
        </w:rPr>
        <w:t>lib</w:t>
      </w:r>
      <w:r>
        <w:rPr>
          <w:color w:val="000000"/>
          <w:spacing w:val="-3"/>
        </w:rPr>
        <w:t xml:space="preserve"> </w:t>
      </w:r>
      <w:r>
        <w:rPr>
          <w:color w:val="000000"/>
        </w:rPr>
        <w:t>water</w:t>
      </w:r>
      <w:r>
        <w:rPr>
          <w:color w:val="000000"/>
          <w:spacing w:val="-3"/>
        </w:rPr>
        <w:t xml:space="preserve"> </w:t>
      </w:r>
      <w:r>
        <w:rPr>
          <w:color w:val="000000"/>
        </w:rPr>
        <w:t>and</w:t>
      </w:r>
      <w:r>
        <w:rPr>
          <w:color w:val="000000"/>
          <w:spacing w:val="-3"/>
        </w:rPr>
        <w:t xml:space="preserve"> </w:t>
      </w:r>
      <w:r>
        <w:rPr>
          <w:color w:val="000000"/>
        </w:rPr>
        <w:t>feed</w:t>
      </w:r>
      <w:r>
        <w:rPr>
          <w:color w:val="000000"/>
          <w:spacing w:val="-3"/>
        </w:rPr>
        <w:t xml:space="preserve"> </w:t>
      </w:r>
      <w:r>
        <w:rPr>
          <w:color w:val="000000"/>
        </w:rPr>
        <w:t>supply</w:t>
      </w:r>
      <w:r>
        <w:rPr>
          <w:color w:val="000000"/>
          <w:spacing w:val="-3"/>
        </w:rPr>
        <w:t xml:space="preserve"> </w:t>
      </w:r>
      <w:r>
        <w:rPr>
          <w:color w:val="000000"/>
        </w:rPr>
        <w:t>was</w:t>
      </w:r>
      <w:r>
        <w:rPr>
          <w:color w:val="000000"/>
          <w:spacing w:val="-3"/>
        </w:rPr>
        <w:t xml:space="preserve"> </w:t>
      </w:r>
      <w:r>
        <w:rPr>
          <w:color w:val="000000"/>
        </w:rPr>
        <w:t>ensured</w:t>
      </w:r>
      <w:r>
        <w:rPr>
          <w:color w:val="000000"/>
          <w:spacing w:val="-3"/>
        </w:rPr>
        <w:t xml:space="preserve"> </w:t>
      </w:r>
      <w:proofErr w:type="spellStart"/>
      <w:r>
        <w:rPr>
          <w:color w:val="000000"/>
        </w:rPr>
        <w:t>thro</w:t>
      </w:r>
      <w:r>
        <w:rPr>
          <w:color w:val="000000"/>
        </w:rPr>
        <w:t>ugh</w:t>
      </w:r>
      <w:r>
        <w:rPr>
          <w:color w:val="000000"/>
          <w:spacing w:val="-3"/>
        </w:rPr>
        <w:t xml:space="preserve"> </w:t>
      </w:r>
      <w:r>
        <w:rPr>
          <w:color w:val="000000"/>
        </w:rPr>
        <w:t>out</w:t>
      </w:r>
      <w:proofErr w:type="spellEnd"/>
      <w:r>
        <w:rPr>
          <w:color w:val="000000"/>
          <w:spacing w:val="-3"/>
        </w:rPr>
        <w:t xml:space="preserve"> </w:t>
      </w:r>
      <w:r>
        <w:rPr>
          <w:color w:val="000000"/>
        </w:rPr>
        <w:t>the</w:t>
      </w:r>
      <w:r>
        <w:rPr>
          <w:color w:val="000000"/>
          <w:spacing w:val="-3"/>
        </w:rPr>
        <w:t xml:space="preserve"> </w:t>
      </w:r>
      <w:r>
        <w:rPr>
          <w:color w:val="000000"/>
        </w:rPr>
        <w:t>experimental</w:t>
      </w:r>
      <w:r>
        <w:rPr>
          <w:color w:val="000000"/>
          <w:spacing w:val="-3"/>
        </w:rPr>
        <w:t xml:space="preserve"> </w:t>
      </w:r>
      <w:r>
        <w:rPr>
          <w:color w:val="000000"/>
        </w:rPr>
        <w:t>period. Deltamethrin (</w:t>
      </w:r>
      <w:proofErr w:type="spellStart"/>
      <w:r>
        <w:rPr>
          <w:color w:val="000000"/>
        </w:rPr>
        <w:t>Decis</w:t>
      </w:r>
      <w:proofErr w:type="spellEnd"/>
      <w:r>
        <w:rPr>
          <w:color w:val="000000"/>
        </w:rPr>
        <w:t xml:space="preserve"> 2.5% E.C. India) was used in the present study for determination of maximal</w:t>
      </w:r>
      <w:r>
        <w:rPr>
          <w:color w:val="000000"/>
          <w:spacing w:val="40"/>
        </w:rPr>
        <w:t xml:space="preserve"> </w:t>
      </w:r>
      <w:r>
        <w:rPr>
          <w:color w:val="000000"/>
        </w:rPr>
        <w:t>tolerated</w:t>
      </w:r>
      <w:r>
        <w:rPr>
          <w:color w:val="000000"/>
          <w:spacing w:val="40"/>
        </w:rPr>
        <w:t xml:space="preserve"> </w:t>
      </w:r>
      <w:r>
        <w:rPr>
          <w:color w:val="000000"/>
        </w:rPr>
        <w:t>dose</w:t>
      </w:r>
      <w:r>
        <w:rPr>
          <w:color w:val="000000"/>
          <w:spacing w:val="40"/>
        </w:rPr>
        <w:t xml:space="preserve"> </w:t>
      </w:r>
      <w:r>
        <w:rPr>
          <w:color w:val="000000"/>
        </w:rPr>
        <w:t>(MTD)</w:t>
      </w:r>
      <w:r>
        <w:rPr>
          <w:color w:val="000000"/>
          <w:spacing w:val="40"/>
        </w:rPr>
        <w:t xml:space="preserve"> </w:t>
      </w:r>
      <w:r>
        <w:rPr>
          <w:color w:val="000000"/>
        </w:rPr>
        <w:t>as well as for toxicity study in which 1/5</w:t>
      </w:r>
      <w:r>
        <w:rPr>
          <w:color w:val="000000"/>
          <w:vertAlign w:val="superscript"/>
        </w:rPr>
        <w:t>th</w:t>
      </w:r>
      <w:r>
        <w:rPr>
          <w:color w:val="000000"/>
          <w:spacing w:val="80"/>
        </w:rPr>
        <w:t xml:space="preserve"> </w:t>
      </w:r>
      <w:r>
        <w:rPr>
          <w:color w:val="000000"/>
        </w:rPr>
        <w:t>and 1/10</w:t>
      </w:r>
      <w:r>
        <w:rPr>
          <w:color w:val="000000"/>
          <w:vertAlign w:val="superscript"/>
        </w:rPr>
        <w:t>th</w:t>
      </w:r>
      <w:r>
        <w:rPr>
          <w:color w:val="000000"/>
          <w:spacing w:val="80"/>
        </w:rPr>
        <w:t xml:space="preserve"> </w:t>
      </w:r>
      <w:r>
        <w:rPr>
          <w:color w:val="000000"/>
        </w:rPr>
        <w:t>of MTD of deltamethrin was used in the different experimental groups. Maximum tolerated</w:t>
      </w:r>
      <w:r>
        <w:rPr>
          <w:color w:val="000000"/>
          <w:spacing w:val="40"/>
        </w:rPr>
        <w:t xml:space="preserve"> </w:t>
      </w:r>
      <w:r>
        <w:rPr>
          <w:color w:val="000000"/>
        </w:rPr>
        <w:t>dose (MTD) of deltamethrin was determined after screening various doses of deltamethrin, following standard methods (Turner, 1965). 40 chicks were used to calculate the</w:t>
      </w:r>
      <w:r>
        <w:rPr>
          <w:color w:val="000000"/>
        </w:rPr>
        <w:t xml:space="preserve"> MTD and MTD value was found to be 43.75 mg/kg body weight on the basis of clinical signs and mortality. All the research work </w:t>
      </w:r>
      <w:proofErr w:type="gramStart"/>
      <w:r>
        <w:rPr>
          <w:color w:val="000000"/>
        </w:rPr>
        <w:t>were</w:t>
      </w:r>
      <w:proofErr w:type="gramEnd"/>
      <w:r>
        <w:rPr>
          <w:color w:val="000000"/>
        </w:rPr>
        <w:t xml:space="preserve"> carried out</w:t>
      </w:r>
      <w:r>
        <w:rPr>
          <w:color w:val="000000"/>
          <w:spacing w:val="-3"/>
        </w:rPr>
        <w:t xml:space="preserve"> </w:t>
      </w:r>
      <w:r>
        <w:rPr>
          <w:color w:val="000000"/>
        </w:rPr>
        <w:t>following</w:t>
      </w:r>
      <w:r>
        <w:rPr>
          <w:color w:val="000000"/>
          <w:spacing w:val="-3"/>
        </w:rPr>
        <w:t xml:space="preserve"> </w:t>
      </w:r>
      <w:r>
        <w:rPr>
          <w:color w:val="000000"/>
        </w:rPr>
        <w:t>the</w:t>
      </w:r>
      <w:r>
        <w:rPr>
          <w:color w:val="000000"/>
          <w:spacing w:val="-3"/>
        </w:rPr>
        <w:t xml:space="preserve"> </w:t>
      </w:r>
      <w:r>
        <w:rPr>
          <w:color w:val="000000"/>
        </w:rPr>
        <w:t>ethical</w:t>
      </w:r>
      <w:r>
        <w:rPr>
          <w:color w:val="000000"/>
          <w:spacing w:val="-3"/>
        </w:rPr>
        <w:t xml:space="preserve"> </w:t>
      </w:r>
      <w:r>
        <w:rPr>
          <w:color w:val="000000"/>
        </w:rPr>
        <w:t>approval</w:t>
      </w:r>
      <w:r>
        <w:rPr>
          <w:color w:val="000000"/>
          <w:spacing w:val="40"/>
        </w:rPr>
        <w:t xml:space="preserve"> </w:t>
      </w:r>
      <w:r>
        <w:rPr>
          <w:color w:val="000000"/>
        </w:rPr>
        <w:t>from</w:t>
      </w:r>
      <w:r>
        <w:rPr>
          <w:color w:val="000000"/>
          <w:spacing w:val="-3"/>
        </w:rPr>
        <w:t xml:space="preserve"> </w:t>
      </w:r>
      <w:r>
        <w:rPr>
          <w:color w:val="000000"/>
        </w:rPr>
        <w:t>ethical approval from Institutional Animal Ethics committee (IAEC) of LUVAS,</w:t>
      </w:r>
      <w:r>
        <w:rPr>
          <w:color w:val="000000"/>
        </w:rPr>
        <w:t xml:space="preserve"> Hisar with permission order number TVCC/IAEC/2017/223151; dated 27/01/2017.</w:t>
      </w:r>
    </w:p>
    <w:p w:rsidR="00FF2954" w:rsidRDefault="00FF2954">
      <w:pPr>
        <w:pStyle w:val="BodyText"/>
        <w:ind w:left="0"/>
      </w:pPr>
    </w:p>
    <w:p w:rsidR="00FF2954" w:rsidRDefault="00FF2954">
      <w:pPr>
        <w:pStyle w:val="BodyText"/>
        <w:spacing w:before="22"/>
        <w:ind w:left="0"/>
      </w:pPr>
    </w:p>
    <w:p w:rsidR="00FF2954" w:rsidRDefault="00C341DF">
      <w:pPr>
        <w:pStyle w:val="BodyText"/>
        <w:jc w:val="both"/>
      </w:pPr>
      <w:r>
        <w:t xml:space="preserve">Experimental </w:t>
      </w:r>
      <w:r>
        <w:rPr>
          <w:spacing w:val="-2"/>
        </w:rPr>
        <w:t>design</w:t>
      </w:r>
    </w:p>
    <w:p w:rsidR="00FF2954" w:rsidRDefault="00FF2954">
      <w:pPr>
        <w:pStyle w:val="BodyText"/>
        <w:spacing w:before="22"/>
        <w:ind w:left="0"/>
      </w:pPr>
    </w:p>
    <w:p w:rsidR="00FF2954" w:rsidRDefault="00C341DF">
      <w:pPr>
        <w:pStyle w:val="BodyText"/>
        <w:jc w:val="both"/>
      </w:pPr>
      <w:r>
        <w:t>Remaining</w:t>
      </w:r>
      <w:r>
        <w:rPr>
          <w:spacing w:val="-1"/>
        </w:rPr>
        <w:t xml:space="preserve"> </w:t>
      </w:r>
      <w:r>
        <w:t>230 birds</w:t>
      </w:r>
      <w:r>
        <w:rPr>
          <w:spacing w:val="-1"/>
        </w:rPr>
        <w:t xml:space="preserve"> </w:t>
      </w:r>
      <w:r>
        <w:t>were divided</w:t>
      </w:r>
      <w:r>
        <w:rPr>
          <w:spacing w:val="-1"/>
        </w:rPr>
        <w:t xml:space="preserve"> </w:t>
      </w:r>
      <w:r>
        <w:t>into six</w:t>
      </w:r>
      <w:r>
        <w:rPr>
          <w:spacing w:val="-1"/>
        </w:rPr>
        <w:t xml:space="preserve"> </w:t>
      </w:r>
      <w:r>
        <w:t>different groups</w:t>
      </w:r>
      <w:r>
        <w:rPr>
          <w:spacing w:val="-1"/>
        </w:rPr>
        <w:t xml:space="preserve"> </w:t>
      </w:r>
      <w:r>
        <w:t xml:space="preserve">as </w:t>
      </w:r>
      <w:r>
        <w:rPr>
          <w:spacing w:val="-2"/>
        </w:rPr>
        <w:t>follows:</w:t>
      </w:r>
    </w:p>
    <w:p w:rsidR="00FF2954" w:rsidRDefault="00FF2954">
      <w:pPr>
        <w:pStyle w:val="BodyText"/>
        <w:spacing w:before="22"/>
        <w:ind w:left="0"/>
      </w:pPr>
    </w:p>
    <w:p w:rsidR="00FF2954" w:rsidRDefault="00C341DF">
      <w:pPr>
        <w:pStyle w:val="BodyText"/>
        <w:spacing w:line="499" w:lineRule="auto"/>
        <w:ind w:right="700"/>
      </w:pPr>
      <w:r>
        <w:t>Group</w:t>
      </w:r>
      <w:r>
        <w:rPr>
          <w:spacing w:val="-4"/>
        </w:rPr>
        <w:t xml:space="preserve"> </w:t>
      </w:r>
      <w:r>
        <w:t>A1</w:t>
      </w:r>
      <w:r>
        <w:rPr>
          <w:spacing w:val="-4"/>
        </w:rPr>
        <w:t xml:space="preserve"> </w:t>
      </w:r>
      <w:r>
        <w:t>(n=30)</w:t>
      </w:r>
      <w:r>
        <w:rPr>
          <w:spacing w:val="-4"/>
        </w:rPr>
        <w:t xml:space="preserve"> </w:t>
      </w:r>
      <w:r>
        <w:t>=</w:t>
      </w:r>
      <w:r>
        <w:rPr>
          <w:spacing w:val="-4"/>
        </w:rPr>
        <w:t xml:space="preserve"> </w:t>
      </w:r>
      <w:r>
        <w:t>Negative</w:t>
      </w:r>
      <w:r>
        <w:rPr>
          <w:spacing w:val="-4"/>
        </w:rPr>
        <w:t xml:space="preserve"> </w:t>
      </w:r>
      <w:r>
        <w:t>control</w:t>
      </w:r>
      <w:r>
        <w:rPr>
          <w:spacing w:val="-4"/>
        </w:rPr>
        <w:t xml:space="preserve"> </w:t>
      </w:r>
      <w:r>
        <w:t>group</w:t>
      </w:r>
      <w:r>
        <w:rPr>
          <w:spacing w:val="-4"/>
        </w:rPr>
        <w:t xml:space="preserve"> </w:t>
      </w:r>
      <w:r>
        <w:t>i.e.</w:t>
      </w:r>
      <w:r>
        <w:rPr>
          <w:spacing w:val="-4"/>
        </w:rPr>
        <w:t xml:space="preserve"> </w:t>
      </w:r>
      <w:r>
        <w:t>without</w:t>
      </w:r>
      <w:r>
        <w:rPr>
          <w:spacing w:val="-4"/>
        </w:rPr>
        <w:t xml:space="preserve"> </w:t>
      </w:r>
      <w:r>
        <w:t>Deltamethrin</w:t>
      </w:r>
      <w:r>
        <w:rPr>
          <w:spacing w:val="-4"/>
        </w:rPr>
        <w:t xml:space="preserve"> </w:t>
      </w:r>
      <w:r>
        <w:t>and</w:t>
      </w:r>
      <w:r>
        <w:rPr>
          <w:spacing w:val="-4"/>
        </w:rPr>
        <w:t xml:space="preserve"> </w:t>
      </w:r>
      <w:r>
        <w:t>infection Gro</w:t>
      </w:r>
      <w:r>
        <w:t>up A2 (n=40) = 10</w:t>
      </w:r>
      <w:r>
        <w:rPr>
          <w:vertAlign w:val="superscript"/>
        </w:rPr>
        <w:t>7</w:t>
      </w:r>
      <w:r>
        <w:t xml:space="preserve"> CFU E. coli/ ml, intraperitoneally on day 14</w:t>
      </w:r>
    </w:p>
    <w:p w:rsidR="00FF2954" w:rsidRDefault="00FF2954">
      <w:pPr>
        <w:pStyle w:val="BodyText"/>
        <w:spacing w:line="499" w:lineRule="auto"/>
        <w:sectPr w:rsidR="00FF2954">
          <w:pgSz w:w="11920" w:h="16840"/>
          <w:pgMar w:top="1380" w:right="1275" w:bottom="280" w:left="1275" w:header="720" w:footer="720" w:gutter="0"/>
          <w:cols w:space="720"/>
        </w:sectPr>
      </w:pPr>
    </w:p>
    <w:p w:rsidR="00FF2954" w:rsidRDefault="00C341DF">
      <w:pPr>
        <w:pStyle w:val="BodyText"/>
        <w:spacing w:before="80"/>
        <w:jc w:val="both"/>
      </w:pPr>
      <w:r>
        <w:rPr>
          <w:noProof/>
        </w:rPr>
        <w:lastRenderedPageBreak/>
        <mc:AlternateContent>
          <mc:Choice Requires="wps">
            <w:drawing>
              <wp:anchor distT="0" distB="0" distL="0" distR="0" simplePos="0" relativeHeight="487296512" behindDoc="1" locked="0" layoutInCell="1" allowOverlap="1">
                <wp:simplePos x="0" y="0"/>
                <wp:positionH relativeFrom="page">
                  <wp:posOffset>-343000</wp:posOffset>
                </wp:positionH>
                <wp:positionV relativeFrom="page">
                  <wp:posOffset>101041</wp:posOffset>
                </wp:positionV>
                <wp:extent cx="1598930" cy="10382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5" o:spid="_x0000_s1030" type="#_x0000_t202" style="position:absolute;left:0;text-align:left;margin-left:-27pt;margin-top:7.95pt;width:125.9pt;height:81.75pt;rotation:-45;z-index:-1601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" filled="f" stroked="f">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r>
        <w:t>Group</w:t>
      </w:r>
      <w:r>
        <w:rPr>
          <w:spacing w:val="-1"/>
        </w:rPr>
        <w:t xml:space="preserve"> </w:t>
      </w:r>
      <w:r>
        <w:t>B1</w:t>
      </w:r>
      <w:r>
        <w:rPr>
          <w:spacing w:val="-1"/>
        </w:rPr>
        <w:t xml:space="preserve"> </w:t>
      </w:r>
      <w:r>
        <w:t>(n=40)</w:t>
      </w:r>
      <w:r>
        <w:rPr>
          <w:spacing w:val="58"/>
        </w:rPr>
        <w:t xml:space="preserve"> </w:t>
      </w:r>
      <w:r>
        <w:t>=</w:t>
      </w:r>
      <w:r>
        <w:rPr>
          <w:spacing w:val="-1"/>
        </w:rPr>
        <w:t xml:space="preserve"> </w:t>
      </w:r>
      <w:r>
        <w:t>1/5</w:t>
      </w:r>
      <w:r>
        <w:rPr>
          <w:vertAlign w:val="superscript"/>
        </w:rPr>
        <w:t>th</w:t>
      </w:r>
      <w:r>
        <w:rPr>
          <w:spacing w:val="57"/>
        </w:rPr>
        <w:t xml:space="preserve"> </w:t>
      </w:r>
      <w:r>
        <w:t>MTD</w:t>
      </w:r>
      <w:r>
        <w:rPr>
          <w:spacing w:val="-1"/>
        </w:rPr>
        <w:t xml:space="preserve"> </w:t>
      </w:r>
      <w:r>
        <w:t>of</w:t>
      </w:r>
      <w:r>
        <w:rPr>
          <w:spacing w:val="-1"/>
        </w:rPr>
        <w:t xml:space="preserve"> </w:t>
      </w:r>
      <w:r>
        <w:t>Deltamethrin</w:t>
      </w:r>
      <w:r>
        <w:rPr>
          <w:spacing w:val="-1"/>
        </w:rPr>
        <w:t xml:space="preserve"> </w:t>
      </w:r>
      <w:r>
        <w:t>on</w:t>
      </w:r>
      <w:r>
        <w:rPr>
          <w:spacing w:val="-1"/>
        </w:rPr>
        <w:t xml:space="preserve"> </w:t>
      </w:r>
      <w:r>
        <w:t xml:space="preserve">day </w:t>
      </w:r>
      <w:r>
        <w:rPr>
          <w:spacing w:val="-10"/>
        </w:rPr>
        <w:t>7</w:t>
      </w:r>
    </w:p>
    <w:p w:rsidR="00FF2954" w:rsidRDefault="00FF2954">
      <w:pPr>
        <w:pStyle w:val="BodyText"/>
        <w:spacing w:before="22"/>
        <w:ind w:left="0"/>
      </w:pPr>
    </w:p>
    <w:p w:rsidR="00FF2954" w:rsidRDefault="00C341DF">
      <w:pPr>
        <w:pStyle w:val="BodyText"/>
        <w:spacing w:line="360" w:lineRule="auto"/>
        <w:ind w:right="178"/>
        <w:jc w:val="both"/>
      </w:pPr>
      <w:r>
        <w:t>Group B2 (n=40) = 1/5</w:t>
      </w:r>
      <w:r>
        <w:rPr>
          <w:vertAlign w:val="superscript"/>
        </w:rPr>
        <w:t>th</w:t>
      </w:r>
      <w:r>
        <w:rPr>
          <w:spacing w:val="40"/>
        </w:rPr>
        <w:t xml:space="preserve"> </w:t>
      </w:r>
      <w:r>
        <w:t>MTD of Deltamethrin on day 7 + 10</w:t>
      </w:r>
      <w:r>
        <w:rPr>
          <w:vertAlign w:val="superscript"/>
        </w:rPr>
        <w:t>7</w:t>
      </w:r>
      <w:r>
        <w:t xml:space="preserve"> CFU E. coli / ml, intraperitoneally on day 14</w:t>
      </w:r>
    </w:p>
    <w:p w:rsidR="00FF2954" w:rsidRDefault="00C341DF">
      <w:pPr>
        <w:pStyle w:val="BodyText"/>
        <w:spacing w:before="160"/>
        <w:jc w:val="both"/>
      </w:pPr>
      <w:r>
        <w:t>Group</w:t>
      </w:r>
      <w:r>
        <w:rPr>
          <w:spacing w:val="-1"/>
        </w:rPr>
        <w:t xml:space="preserve"> </w:t>
      </w:r>
      <w:r>
        <w:t>C1</w:t>
      </w:r>
      <w:r>
        <w:rPr>
          <w:spacing w:val="-1"/>
        </w:rPr>
        <w:t xml:space="preserve"> </w:t>
      </w:r>
      <w:r>
        <w:t>(n=40)</w:t>
      </w:r>
      <w:r>
        <w:rPr>
          <w:spacing w:val="-1"/>
        </w:rPr>
        <w:t xml:space="preserve"> </w:t>
      </w:r>
      <w:r>
        <w:t>=</w:t>
      </w:r>
      <w:r>
        <w:rPr>
          <w:spacing w:val="-1"/>
        </w:rPr>
        <w:t xml:space="preserve"> </w:t>
      </w:r>
      <w:r>
        <w:t>1/10</w:t>
      </w:r>
      <w:r>
        <w:rPr>
          <w:vertAlign w:val="superscript"/>
        </w:rPr>
        <w:t>th</w:t>
      </w:r>
      <w:r>
        <w:rPr>
          <w:spacing w:val="57"/>
        </w:rPr>
        <w:t xml:space="preserve"> </w:t>
      </w:r>
      <w:r>
        <w:t>MTD</w:t>
      </w:r>
      <w:r>
        <w:rPr>
          <w:spacing w:val="-1"/>
        </w:rPr>
        <w:t xml:space="preserve"> </w:t>
      </w:r>
      <w:r>
        <w:t>of</w:t>
      </w:r>
      <w:r>
        <w:rPr>
          <w:spacing w:val="-1"/>
        </w:rPr>
        <w:t xml:space="preserve"> </w:t>
      </w:r>
      <w:r>
        <w:t>Deltamethrin</w:t>
      </w:r>
      <w:r>
        <w:rPr>
          <w:spacing w:val="-1"/>
        </w:rPr>
        <w:t xml:space="preserve"> </w:t>
      </w:r>
      <w:r>
        <w:t>on</w:t>
      </w:r>
      <w:r>
        <w:rPr>
          <w:spacing w:val="-1"/>
        </w:rPr>
        <w:t xml:space="preserve"> </w:t>
      </w:r>
      <w:r>
        <w:t>day</w:t>
      </w:r>
      <w:r>
        <w:rPr>
          <w:spacing w:val="-1"/>
        </w:rPr>
        <w:t xml:space="preserve"> </w:t>
      </w:r>
      <w:r>
        <w:rPr>
          <w:spacing w:val="-10"/>
        </w:rPr>
        <w:t>7</w:t>
      </w:r>
    </w:p>
    <w:p w:rsidR="00FF2954" w:rsidRDefault="00FF2954">
      <w:pPr>
        <w:pStyle w:val="BodyText"/>
        <w:spacing w:before="22"/>
        <w:ind w:left="0"/>
      </w:pPr>
    </w:p>
    <w:p w:rsidR="00FF2954" w:rsidRDefault="00C341DF">
      <w:pPr>
        <w:pStyle w:val="BodyText"/>
        <w:spacing w:line="360" w:lineRule="auto"/>
        <w:ind w:right="178"/>
        <w:jc w:val="both"/>
      </w:pPr>
      <w:r>
        <w:t>Group C2 (n=40) = 1/10</w:t>
      </w:r>
      <w:r>
        <w:rPr>
          <w:vertAlign w:val="superscript"/>
        </w:rPr>
        <w:t>th</w:t>
      </w:r>
      <w:r>
        <w:rPr>
          <w:spacing w:val="40"/>
        </w:rPr>
        <w:t xml:space="preserve"> </w:t>
      </w:r>
      <w:r>
        <w:t>MTD of Deltamethrin on day 7+ 10</w:t>
      </w:r>
      <w:r>
        <w:rPr>
          <w:vertAlign w:val="superscript"/>
        </w:rPr>
        <w:t>7</w:t>
      </w:r>
      <w:r>
        <w:t xml:space="preserve"> CFU E. coli / ml, intraperitoneally on day 14</w:t>
      </w:r>
    </w:p>
    <w:p w:rsidR="00FF2954" w:rsidRDefault="00C341DF">
      <w:pPr>
        <w:spacing w:before="160"/>
        <w:ind w:left="225"/>
        <w:jc w:val="both"/>
        <w:rPr>
          <w:b/>
          <w:i/>
          <w:sz w:val="24"/>
        </w:rPr>
      </w:pPr>
      <w:r>
        <w:rPr>
          <w:b/>
          <w:sz w:val="24"/>
        </w:rPr>
        <w:t xml:space="preserve">Infective dose of </w:t>
      </w:r>
      <w:r>
        <w:rPr>
          <w:b/>
          <w:i/>
          <w:sz w:val="24"/>
        </w:rPr>
        <w:t xml:space="preserve">E. </w:t>
      </w:r>
      <w:r>
        <w:rPr>
          <w:b/>
          <w:i/>
          <w:spacing w:val="-2"/>
          <w:sz w:val="24"/>
        </w:rPr>
        <w:t>coli.</w:t>
      </w:r>
    </w:p>
    <w:p w:rsidR="00FF2954" w:rsidRDefault="00C341DF">
      <w:pPr>
        <w:pStyle w:val="BodyText"/>
        <w:spacing w:before="138" w:line="360" w:lineRule="auto"/>
        <w:ind w:right="182"/>
        <w:jc w:val="both"/>
        <w:rPr>
          <w:b/>
        </w:rPr>
      </w:pPr>
      <w:r>
        <w:t>O</w:t>
      </w:r>
      <w:r>
        <w:rPr>
          <w:vertAlign w:val="subscript"/>
        </w:rPr>
        <w:t>78</w:t>
      </w:r>
      <w:r>
        <w:t xml:space="preserve"> serotype of </w:t>
      </w:r>
      <w:r>
        <w:rPr>
          <w:i/>
        </w:rPr>
        <w:t xml:space="preserve">E. coli </w:t>
      </w:r>
      <w:r>
        <w:t>isolated from natural cases was inoculated into Brain Heart Infusion Broth (BHIB) and incubated at 37</w:t>
      </w:r>
      <w:r>
        <w:rPr>
          <w:vertAlign w:val="superscript"/>
        </w:rPr>
        <w:t>0</w:t>
      </w:r>
      <w:r>
        <w:t>C for 24</w:t>
      </w:r>
      <w:r>
        <w:rPr>
          <w:spacing w:val="-4"/>
        </w:rPr>
        <w:t xml:space="preserve"> </w:t>
      </w:r>
      <w:r>
        <w:t>hours.</w:t>
      </w:r>
      <w:r>
        <w:rPr>
          <w:spacing w:val="-4"/>
        </w:rPr>
        <w:t xml:space="preserve"> </w:t>
      </w:r>
      <w:r>
        <w:t>Viable</w:t>
      </w:r>
      <w:r>
        <w:rPr>
          <w:spacing w:val="-4"/>
        </w:rPr>
        <w:t xml:space="preserve"> </w:t>
      </w:r>
      <w:r>
        <w:t>count</w:t>
      </w:r>
      <w:r>
        <w:rPr>
          <w:spacing w:val="-4"/>
        </w:rPr>
        <w:t xml:space="preserve"> </w:t>
      </w:r>
      <w:r>
        <w:t>of</w:t>
      </w:r>
      <w:r>
        <w:rPr>
          <w:spacing w:val="-4"/>
        </w:rPr>
        <w:t xml:space="preserve"> </w:t>
      </w:r>
      <w:r>
        <w:rPr>
          <w:i/>
        </w:rPr>
        <w:t>E.</w:t>
      </w:r>
      <w:r>
        <w:rPr>
          <w:i/>
          <w:spacing w:val="-4"/>
        </w:rPr>
        <w:t xml:space="preserve"> </w:t>
      </w:r>
      <w:r>
        <w:rPr>
          <w:i/>
        </w:rPr>
        <w:t>coli</w:t>
      </w:r>
      <w:r>
        <w:rPr>
          <w:i/>
          <w:spacing w:val="-4"/>
        </w:rPr>
        <w:t xml:space="preserve"> </w:t>
      </w:r>
      <w:r>
        <w:t>organism</w:t>
      </w:r>
      <w:r>
        <w:rPr>
          <w:spacing w:val="-4"/>
        </w:rPr>
        <w:t xml:space="preserve"> </w:t>
      </w:r>
      <w:r>
        <w:t>per</w:t>
      </w:r>
      <w:r>
        <w:rPr>
          <w:spacing w:val="-4"/>
        </w:rPr>
        <w:t xml:space="preserve"> </w:t>
      </w:r>
      <w:r>
        <w:t>ml</w:t>
      </w:r>
      <w:r>
        <w:rPr>
          <w:spacing w:val="-4"/>
        </w:rPr>
        <w:t xml:space="preserve"> </w:t>
      </w:r>
      <w:r>
        <w:t>of BHIB was determined by surface spread method with minor modification as prescribed by Cruicksha</w:t>
      </w:r>
      <w:r>
        <w:t>nk et al. (1975). Infective dose @ 10</w:t>
      </w:r>
      <w:r>
        <w:rPr>
          <w:vertAlign w:val="superscript"/>
        </w:rPr>
        <w:t>7</w:t>
      </w:r>
      <w:r>
        <w:t xml:space="preserve"> CFU of </w:t>
      </w:r>
      <w:r>
        <w:rPr>
          <w:i/>
        </w:rPr>
        <w:t xml:space="preserve">E. coli </w:t>
      </w:r>
      <w:r>
        <w:t>/0.5 ml was</w:t>
      </w:r>
      <w:r>
        <w:rPr>
          <w:spacing w:val="-2"/>
        </w:rPr>
        <w:t xml:space="preserve"> </w:t>
      </w:r>
      <w:r>
        <w:t>prepared</w:t>
      </w:r>
      <w:r>
        <w:rPr>
          <w:spacing w:val="-2"/>
        </w:rPr>
        <w:t xml:space="preserve"> </w:t>
      </w:r>
      <w:r>
        <w:t>for</w:t>
      </w:r>
      <w:r>
        <w:rPr>
          <w:spacing w:val="-2"/>
        </w:rPr>
        <w:t xml:space="preserve"> </w:t>
      </w:r>
      <w:r>
        <w:t xml:space="preserve">the experiment as </w:t>
      </w:r>
      <w:r>
        <w:rPr>
          <w:i/>
        </w:rPr>
        <w:t xml:space="preserve">E. coli </w:t>
      </w:r>
      <w:r>
        <w:t>inoculums (Jindal et al., 2003)</w:t>
      </w:r>
      <w:r>
        <w:rPr>
          <w:b/>
        </w:rPr>
        <w:t>.</w:t>
      </w:r>
    </w:p>
    <w:p w:rsidR="00FF2954" w:rsidRDefault="00C341DF">
      <w:pPr>
        <w:pStyle w:val="Heading1"/>
        <w:ind w:left="225"/>
        <w:jc w:val="both"/>
      </w:pPr>
      <w:r>
        <w:t>Gross</w:t>
      </w:r>
      <w:r>
        <w:rPr>
          <w:spacing w:val="-5"/>
        </w:rPr>
        <w:t xml:space="preserve"> </w:t>
      </w:r>
      <w:r>
        <w:rPr>
          <w:spacing w:val="-2"/>
        </w:rPr>
        <w:t>pathology</w:t>
      </w:r>
    </w:p>
    <w:p w:rsidR="00FF2954" w:rsidRDefault="00C341DF">
      <w:pPr>
        <w:pStyle w:val="BodyText"/>
        <w:spacing w:before="138" w:line="360" w:lineRule="auto"/>
        <w:ind w:right="178"/>
        <w:jc w:val="both"/>
      </w:pPr>
      <w:r>
        <w:t xml:space="preserve">Birds were humanely sacrificed to assess the pathological changes induced by deltamethrin plus </w:t>
      </w:r>
      <w:proofErr w:type="gramStart"/>
      <w:r>
        <w:t>E.coli</w:t>
      </w:r>
      <w:proofErr w:type="gramEnd"/>
      <w:r>
        <w:t xml:space="preserve"> </w:t>
      </w:r>
      <w:r>
        <w:t>concomitant infection on different time intervals i.e.</w:t>
      </w:r>
      <w:r>
        <w:rPr>
          <w:spacing w:val="-3"/>
        </w:rPr>
        <w:t xml:space="preserve"> </w:t>
      </w:r>
      <w:r>
        <w:t>on</w:t>
      </w:r>
      <w:r>
        <w:rPr>
          <w:spacing w:val="-3"/>
        </w:rPr>
        <w:t xml:space="preserve"> </w:t>
      </w:r>
      <w:r>
        <w:t>day</w:t>
      </w:r>
      <w:r>
        <w:rPr>
          <w:spacing w:val="-3"/>
        </w:rPr>
        <w:t xml:space="preserve"> </w:t>
      </w:r>
      <w:r>
        <w:t>3,</w:t>
      </w:r>
      <w:r>
        <w:rPr>
          <w:spacing w:val="-3"/>
        </w:rPr>
        <w:t xml:space="preserve"> </w:t>
      </w:r>
      <w:r>
        <w:t>11,</w:t>
      </w:r>
      <w:r>
        <w:rPr>
          <w:spacing w:val="-3"/>
        </w:rPr>
        <w:t xml:space="preserve"> </w:t>
      </w:r>
      <w:r>
        <w:t>21</w:t>
      </w:r>
      <w:r>
        <w:rPr>
          <w:spacing w:val="-3"/>
        </w:rPr>
        <w:t xml:space="preserve"> </w:t>
      </w:r>
      <w:r>
        <w:t>and</w:t>
      </w:r>
      <w:r>
        <w:rPr>
          <w:spacing w:val="-3"/>
        </w:rPr>
        <w:t xml:space="preserve"> </w:t>
      </w:r>
      <w:r>
        <w:t>28</w:t>
      </w:r>
      <w:r>
        <w:rPr>
          <w:spacing w:val="-3"/>
        </w:rPr>
        <w:t xml:space="preserve"> </w:t>
      </w:r>
      <w:r>
        <w:t>days of post infection (DPI). Gross pathological lesions were recorded to undermine the</w:t>
      </w:r>
      <w:r>
        <w:rPr>
          <w:spacing w:val="40"/>
        </w:rPr>
        <w:t xml:space="preserve"> </w:t>
      </w:r>
      <w:r>
        <w:t>deleterious effect on organs viz. liver, kidney and brain. Per cent mean gross and histop</w:t>
      </w:r>
      <w:r>
        <w:t>athological lesions were calculated as per method described by Witter (1982) with slight modifications with following formula.</w:t>
      </w:r>
    </w:p>
    <w:p w:rsidR="00FF2954" w:rsidRDefault="00FF2954">
      <w:pPr>
        <w:pStyle w:val="BodyText"/>
        <w:spacing w:before="137"/>
        <w:ind w:left="0"/>
      </w:pPr>
    </w:p>
    <w:p w:rsidR="00FF2954" w:rsidRDefault="00C341DF">
      <w:pPr>
        <w:pStyle w:val="Heading1"/>
        <w:spacing w:before="1"/>
      </w:pPr>
      <w:r>
        <w:t>Per</w:t>
      </w:r>
      <w:r>
        <w:rPr>
          <w:spacing w:val="-2"/>
        </w:rPr>
        <w:t xml:space="preserve"> </w:t>
      </w:r>
      <w:r>
        <w:t>cent</w:t>
      </w:r>
      <w:r>
        <w:rPr>
          <w:spacing w:val="-1"/>
        </w:rPr>
        <w:t xml:space="preserve"> </w:t>
      </w:r>
      <w:r>
        <w:t>mean</w:t>
      </w:r>
      <w:r>
        <w:rPr>
          <w:spacing w:val="-1"/>
        </w:rPr>
        <w:t xml:space="preserve"> </w:t>
      </w:r>
      <w:r>
        <w:t>gross/histopathological</w:t>
      </w:r>
      <w:r>
        <w:rPr>
          <w:spacing w:val="-1"/>
        </w:rPr>
        <w:t xml:space="preserve"> </w:t>
      </w:r>
      <w:r>
        <w:t>lesion</w:t>
      </w:r>
      <w:r>
        <w:rPr>
          <w:spacing w:val="-2"/>
        </w:rPr>
        <w:t xml:space="preserve"> </w:t>
      </w:r>
      <w:r>
        <w:t>score</w:t>
      </w:r>
      <w:r>
        <w:rPr>
          <w:spacing w:val="-1"/>
        </w:rPr>
        <w:t xml:space="preserve"> </w:t>
      </w:r>
      <w:r>
        <w:t>(GLS/HLS)</w:t>
      </w:r>
      <w:r>
        <w:rPr>
          <w:spacing w:val="-1"/>
        </w:rPr>
        <w:t xml:space="preserve"> </w:t>
      </w:r>
      <w:r>
        <w:t>of</w:t>
      </w:r>
      <w:r>
        <w:rPr>
          <w:spacing w:val="-1"/>
        </w:rPr>
        <w:t xml:space="preserve"> </w:t>
      </w:r>
      <w:r>
        <w:rPr>
          <w:spacing w:val="-2"/>
        </w:rPr>
        <w:t>organs</w:t>
      </w:r>
    </w:p>
    <w:p w:rsidR="00FF2954" w:rsidRDefault="00C341DF">
      <w:pPr>
        <w:pStyle w:val="BodyText"/>
        <w:spacing w:before="138"/>
        <w:ind w:left="2685"/>
      </w:pPr>
      <w:r>
        <w:t xml:space="preserve">Mean GLS/HLS of an </w:t>
      </w:r>
      <w:r>
        <w:rPr>
          <w:spacing w:val="-2"/>
        </w:rPr>
        <w:t>organ</w:t>
      </w:r>
    </w:p>
    <w:p w:rsidR="00FF2954" w:rsidRDefault="00C341DF">
      <w:pPr>
        <w:pStyle w:val="BodyText"/>
        <w:tabs>
          <w:tab w:val="left" w:pos="4513"/>
        </w:tabs>
        <w:spacing w:before="138"/>
        <w:ind w:left="193"/>
        <w:jc w:val="center"/>
      </w:pPr>
      <w:r>
        <w:rPr>
          <w:noProof/>
        </w:rPr>
        <mc:AlternateContent>
          <mc:Choice Requires="wps">
            <w:drawing>
              <wp:anchor distT="0" distB="0" distL="0" distR="0" simplePos="0" relativeHeight="487295488" behindDoc="1" locked="0" layoutInCell="1" allowOverlap="1">
                <wp:simplePos x="0" y="0"/>
                <wp:positionH relativeFrom="page">
                  <wp:posOffset>2524125</wp:posOffset>
                </wp:positionH>
                <wp:positionV relativeFrom="paragraph">
                  <wp:posOffset>178095</wp:posOffset>
                </wp:positionV>
                <wp:extent cx="226695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6950" cy="1270"/>
                        </a:xfrm>
                        <a:custGeom>
                          <a:avLst/>
                          <a:gdLst/>
                          <a:ahLst/>
                          <a:cxnLst/>
                          <a:rect l="l" t="t" r="r" b="b"/>
                          <a:pathLst>
                            <a:path w="2266950">
                              <a:moveTo>
                                <a:pt x="0" y="0"/>
                              </a:moveTo>
                              <a:lnTo>
                                <a:pt x="22669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902003" id="Graphic 6" o:spid="_x0000_s1026" style="position:absolute;margin-left:198.75pt;margin-top:14pt;width:178.5pt;height:.1pt;z-index:-16020992;visibility:visible;mso-wrap-style:square;mso-wrap-distance-left:0;mso-wrap-distance-top:0;mso-wrap-distance-right:0;mso-wrap-distance-bottom:0;mso-position-horizontal:absolute;mso-position-horizontal-relative:page;mso-position-vertical:absolute;mso-position-vertical-relative:text;v-text-anchor:top" coordsize="226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" path="m,l2266950,e" filled="f">
                <v:path arrowok="t"/>
                <w10:wrap anchorx="page"/>
              </v:shape>
            </w:pict>
          </mc:Fallback>
        </mc:AlternateContent>
      </w:r>
      <w:r>
        <w:rPr>
          <w:spacing w:val="-10"/>
        </w:rPr>
        <w:t>=</w:t>
      </w:r>
      <w:r>
        <w:tab/>
        <w:t xml:space="preserve">X </w:t>
      </w:r>
      <w:r>
        <w:rPr>
          <w:spacing w:val="-5"/>
        </w:rPr>
        <w:t>100</w:t>
      </w:r>
    </w:p>
    <w:p w:rsidR="00FF2954" w:rsidRDefault="00C341DF">
      <w:pPr>
        <w:pStyle w:val="BodyText"/>
        <w:spacing w:before="138"/>
        <w:ind w:left="2745"/>
      </w:pPr>
      <w:r>
        <w:t xml:space="preserve">Maximum GLS/HLS of an </w:t>
      </w:r>
      <w:r>
        <w:rPr>
          <w:spacing w:val="-2"/>
        </w:rPr>
        <w:t>organ</w:t>
      </w:r>
    </w:p>
    <w:p w:rsidR="00FF2954" w:rsidRDefault="00FF2954">
      <w:pPr>
        <w:pStyle w:val="BodyText"/>
        <w:spacing w:before="275"/>
        <w:ind w:left="0"/>
      </w:pPr>
    </w:p>
    <w:p w:rsidR="00FF2954" w:rsidRDefault="00C341DF">
      <w:pPr>
        <w:pStyle w:val="Heading1"/>
        <w:spacing w:before="1"/>
      </w:pPr>
      <w:r>
        <w:t>Overall</w:t>
      </w:r>
      <w:r>
        <w:rPr>
          <w:spacing w:val="-1"/>
        </w:rPr>
        <w:t xml:space="preserve"> </w:t>
      </w:r>
      <w:r>
        <w:t>per cent</w:t>
      </w:r>
      <w:r>
        <w:rPr>
          <w:spacing w:val="-1"/>
        </w:rPr>
        <w:t xml:space="preserve"> </w:t>
      </w:r>
      <w:r>
        <w:t>mean GLS/HLS</w:t>
      </w:r>
      <w:r>
        <w:rPr>
          <w:spacing w:val="-1"/>
        </w:rPr>
        <w:t xml:space="preserve"> </w:t>
      </w:r>
      <w:r>
        <w:t>of organs</w:t>
      </w:r>
      <w:r>
        <w:rPr>
          <w:spacing w:val="-1"/>
        </w:rPr>
        <w:t xml:space="preserve"> </w:t>
      </w:r>
      <w:r>
        <w:t>irrespective of</w:t>
      </w:r>
      <w:r>
        <w:rPr>
          <w:spacing w:val="-1"/>
        </w:rPr>
        <w:t xml:space="preserve"> </w:t>
      </w:r>
      <w:r>
        <w:t xml:space="preserve">post infection </w:t>
      </w:r>
      <w:r>
        <w:rPr>
          <w:spacing w:val="-2"/>
        </w:rPr>
        <w:t>period</w:t>
      </w:r>
    </w:p>
    <w:p w:rsidR="00FF2954" w:rsidRDefault="00C341DF">
      <w:pPr>
        <w:pStyle w:val="BodyText"/>
        <w:spacing w:before="138"/>
      </w:pPr>
      <w:r>
        <w:t>Sum</w:t>
      </w:r>
      <w:r>
        <w:rPr>
          <w:spacing w:val="-1"/>
        </w:rPr>
        <w:t xml:space="preserve"> </w:t>
      </w:r>
      <w:r>
        <w:t>of</w:t>
      </w:r>
      <w:r>
        <w:rPr>
          <w:spacing w:val="-1"/>
        </w:rPr>
        <w:t xml:space="preserve"> </w:t>
      </w:r>
      <w:r>
        <w:t>per</w:t>
      </w:r>
      <w:r>
        <w:rPr>
          <w:spacing w:val="-1"/>
        </w:rPr>
        <w:t xml:space="preserve"> </w:t>
      </w:r>
      <w:r>
        <w:t>cent</w:t>
      </w:r>
      <w:r>
        <w:rPr>
          <w:spacing w:val="-1"/>
        </w:rPr>
        <w:t xml:space="preserve"> </w:t>
      </w:r>
      <w:r>
        <w:t>mean GLS/HLS</w:t>
      </w:r>
      <w:r>
        <w:rPr>
          <w:spacing w:val="-1"/>
        </w:rPr>
        <w:t xml:space="preserve"> </w:t>
      </w:r>
      <w:r>
        <w:t>of</w:t>
      </w:r>
      <w:r>
        <w:rPr>
          <w:spacing w:val="-1"/>
        </w:rPr>
        <w:t xml:space="preserve"> </w:t>
      </w:r>
      <w:r>
        <w:t>an</w:t>
      </w:r>
      <w:r>
        <w:rPr>
          <w:spacing w:val="-1"/>
        </w:rPr>
        <w:t xml:space="preserve"> </w:t>
      </w:r>
      <w:r>
        <w:t>organ at</w:t>
      </w:r>
      <w:r>
        <w:rPr>
          <w:spacing w:val="-1"/>
        </w:rPr>
        <w:t xml:space="preserve"> </w:t>
      </w:r>
      <w:r>
        <w:t>different</w:t>
      </w:r>
      <w:r>
        <w:rPr>
          <w:spacing w:val="-1"/>
        </w:rPr>
        <w:t xml:space="preserve"> </w:t>
      </w:r>
      <w:r>
        <w:t>post</w:t>
      </w:r>
      <w:r>
        <w:rPr>
          <w:spacing w:val="-1"/>
        </w:rPr>
        <w:t xml:space="preserve"> </w:t>
      </w:r>
      <w:r>
        <w:t xml:space="preserve">infection </w:t>
      </w:r>
      <w:r>
        <w:rPr>
          <w:spacing w:val="-2"/>
        </w:rPr>
        <w:t>period</w:t>
      </w:r>
    </w:p>
    <w:p w:rsidR="00FF2954" w:rsidRDefault="00C341DF">
      <w:pPr>
        <w:spacing w:before="138"/>
        <w:ind w:left="165"/>
        <w:rPr>
          <w:sz w:val="24"/>
        </w:rPr>
      </w:pPr>
      <w:r>
        <w:rPr>
          <w:noProof/>
          <w:sz w:val="24"/>
        </w:rPr>
        <mc:AlternateContent>
          <mc:Choice Requires="wps">
            <w:drawing>
              <wp:anchor distT="0" distB="0" distL="0" distR="0" simplePos="0" relativeHeight="15731200" behindDoc="0" locked="0" layoutInCell="1" allowOverlap="1">
                <wp:simplePos x="0" y="0"/>
                <wp:positionH relativeFrom="page">
                  <wp:posOffset>1076325</wp:posOffset>
                </wp:positionH>
                <wp:positionV relativeFrom="paragraph">
                  <wp:posOffset>187582</wp:posOffset>
                </wp:positionV>
                <wp:extent cx="516255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2550" cy="1270"/>
                        </a:xfrm>
                        <a:custGeom>
                          <a:avLst/>
                          <a:gdLst/>
                          <a:ahLst/>
                          <a:cxnLst/>
                          <a:rect l="l" t="t" r="r" b="b"/>
                          <a:pathLst>
                            <a:path w="5162550">
                              <a:moveTo>
                                <a:pt x="0" y="0"/>
                              </a:moveTo>
                              <a:lnTo>
                                <a:pt x="5162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1CDBF5" id="Graphic 7" o:spid="_x0000_s1026" style="position:absolute;margin-left:84.75pt;margin-top:14.75pt;width:406.5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5162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" path="m,l5162550,e" filled="f">
                <v:path arrowok="t"/>
                <w10:wrap anchorx="page"/>
              </v:shape>
            </w:pict>
          </mc:Fallback>
        </mc:AlternateContent>
      </w:r>
      <w:r>
        <w:rPr>
          <w:spacing w:val="-10"/>
          <w:sz w:val="24"/>
        </w:rPr>
        <w:t>=</w:t>
      </w:r>
    </w:p>
    <w:p w:rsidR="00FF2954" w:rsidRDefault="00C341DF">
      <w:pPr>
        <w:pStyle w:val="BodyText"/>
        <w:spacing w:before="138"/>
        <w:ind w:left="885"/>
      </w:pPr>
      <w:r>
        <w:t>Total</w:t>
      </w:r>
      <w:r>
        <w:rPr>
          <w:spacing w:val="-4"/>
        </w:rPr>
        <w:t xml:space="preserve"> </w:t>
      </w:r>
      <w:r>
        <w:t>number</w:t>
      </w:r>
      <w:r>
        <w:rPr>
          <w:spacing w:val="-3"/>
        </w:rPr>
        <w:t xml:space="preserve"> </w:t>
      </w:r>
      <w:r>
        <w:t>of</w:t>
      </w:r>
      <w:r>
        <w:rPr>
          <w:spacing w:val="-4"/>
        </w:rPr>
        <w:t xml:space="preserve"> </w:t>
      </w:r>
      <w:r>
        <w:t>post</w:t>
      </w:r>
      <w:r>
        <w:rPr>
          <w:spacing w:val="-3"/>
        </w:rPr>
        <w:t xml:space="preserve"> </w:t>
      </w:r>
      <w:r>
        <w:t>infection</w:t>
      </w:r>
      <w:r>
        <w:rPr>
          <w:spacing w:val="-3"/>
        </w:rPr>
        <w:t xml:space="preserve"> </w:t>
      </w:r>
      <w:r>
        <w:rPr>
          <w:spacing w:val="-2"/>
        </w:rPr>
        <w:t>periods</w:t>
      </w:r>
    </w:p>
    <w:p w:rsidR="00FF2954" w:rsidRDefault="00FF2954">
      <w:pPr>
        <w:pStyle w:val="BodyText"/>
        <w:spacing w:before="275"/>
        <w:ind w:left="0"/>
      </w:pPr>
    </w:p>
    <w:p w:rsidR="00FF2954" w:rsidRDefault="00C341DF">
      <w:pPr>
        <w:pStyle w:val="Heading1"/>
        <w:spacing w:before="1"/>
      </w:pPr>
      <w:r>
        <w:t>Overall</w:t>
      </w:r>
      <w:r>
        <w:rPr>
          <w:spacing w:val="-1"/>
        </w:rPr>
        <w:t xml:space="preserve"> </w:t>
      </w:r>
      <w:r>
        <w:t>per cent</w:t>
      </w:r>
      <w:r>
        <w:rPr>
          <w:spacing w:val="-1"/>
        </w:rPr>
        <w:t xml:space="preserve"> </w:t>
      </w:r>
      <w:r>
        <w:t>mean GLS/HLS</w:t>
      </w:r>
      <w:r>
        <w:rPr>
          <w:spacing w:val="-1"/>
        </w:rPr>
        <w:t xml:space="preserve"> </w:t>
      </w:r>
      <w:r>
        <w:t>irrespective of</w:t>
      </w:r>
      <w:r>
        <w:rPr>
          <w:spacing w:val="-1"/>
        </w:rPr>
        <w:t xml:space="preserve"> </w:t>
      </w:r>
      <w:r>
        <w:t>post i</w:t>
      </w:r>
      <w:r>
        <w:t>nfection</w:t>
      </w:r>
      <w:r>
        <w:rPr>
          <w:spacing w:val="-1"/>
        </w:rPr>
        <w:t xml:space="preserve"> </w:t>
      </w:r>
      <w:r>
        <w:t xml:space="preserve">period and </w:t>
      </w:r>
      <w:r>
        <w:rPr>
          <w:spacing w:val="-2"/>
        </w:rPr>
        <w:t>organs</w:t>
      </w:r>
    </w:p>
    <w:p w:rsidR="00FF2954" w:rsidRDefault="00C341DF">
      <w:pPr>
        <w:pStyle w:val="BodyText"/>
        <w:spacing w:before="138"/>
        <w:ind w:left="465"/>
      </w:pPr>
      <w:r>
        <w:t>Sum</w:t>
      </w:r>
      <w:r>
        <w:rPr>
          <w:spacing w:val="-1"/>
        </w:rPr>
        <w:t xml:space="preserve"> </w:t>
      </w:r>
      <w:r>
        <w:t>of overall</w:t>
      </w:r>
      <w:r>
        <w:rPr>
          <w:spacing w:val="-1"/>
        </w:rPr>
        <w:t xml:space="preserve"> </w:t>
      </w:r>
      <w:r>
        <w:t>per cent mean</w:t>
      </w:r>
      <w:r>
        <w:rPr>
          <w:spacing w:val="-1"/>
        </w:rPr>
        <w:t xml:space="preserve"> </w:t>
      </w:r>
      <w:r>
        <w:t>GLS/HLS of</w:t>
      </w:r>
      <w:r>
        <w:rPr>
          <w:spacing w:val="-1"/>
        </w:rPr>
        <w:t xml:space="preserve"> </w:t>
      </w:r>
      <w:r>
        <w:t>organs irrespective of</w:t>
      </w:r>
      <w:r>
        <w:rPr>
          <w:spacing w:val="-1"/>
        </w:rPr>
        <w:t xml:space="preserve"> </w:t>
      </w:r>
      <w:r>
        <w:t xml:space="preserve">post infection </w:t>
      </w:r>
      <w:r>
        <w:rPr>
          <w:spacing w:val="-2"/>
        </w:rPr>
        <w:t>period</w:t>
      </w:r>
    </w:p>
    <w:p w:rsidR="00FF2954" w:rsidRDefault="00FF2954">
      <w:pPr>
        <w:pStyle w:val="BodyText"/>
        <w:sectPr w:rsidR="00FF2954">
          <w:pgSz w:w="11920" w:h="16840"/>
          <w:pgMar w:top="1360" w:right="1275" w:bottom="280" w:left="1275" w:header="720" w:footer="720" w:gutter="0"/>
          <w:cols w:space="720"/>
        </w:sectPr>
      </w:pPr>
    </w:p>
    <w:p w:rsidR="00FF2954" w:rsidRDefault="00C341DF">
      <w:pPr>
        <w:spacing w:before="60"/>
        <w:ind w:left="165"/>
        <w:rPr>
          <w:sz w:val="24"/>
        </w:rPr>
      </w:pPr>
      <w:r>
        <w:rPr>
          <w:noProof/>
          <w:sz w:val="24"/>
        </w:rPr>
        <w:lastRenderedPageBreak/>
        <mc:AlternateContent>
          <mc:Choice Requires="wps">
            <w:drawing>
              <wp:anchor distT="0" distB="0" distL="0" distR="0" simplePos="0" relativeHeight="15732224" behindDoc="0" locked="0" layoutInCell="1" allowOverlap="1">
                <wp:simplePos x="0" y="0"/>
                <wp:positionH relativeFrom="page">
                  <wp:posOffset>1114425</wp:posOffset>
                </wp:positionH>
                <wp:positionV relativeFrom="paragraph">
                  <wp:posOffset>119062</wp:posOffset>
                </wp:positionV>
                <wp:extent cx="512445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0" cy="1270"/>
                        </a:xfrm>
                        <a:custGeom>
                          <a:avLst/>
                          <a:gdLst/>
                          <a:ahLst/>
                          <a:cxnLst/>
                          <a:rect l="l" t="t" r="r" b="b"/>
                          <a:pathLst>
                            <a:path w="5124450">
                              <a:moveTo>
                                <a:pt x="0" y="0"/>
                              </a:moveTo>
                              <a:lnTo>
                                <a:pt x="51244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9C0C66" id="Graphic 8" o:spid="_x0000_s1026" style="position:absolute;margin-left:87.75pt;margin-top:9.35pt;width:403.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5124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" path="m,l5124450,e" filled="f">
                <v:path arrowok="t"/>
                <w10:wrap anchorx="page"/>
              </v:shape>
            </w:pict>
          </mc:Fallback>
        </mc:AlternateContent>
      </w:r>
      <w:r>
        <w:rPr>
          <w:noProof/>
          <w:sz w:val="24"/>
        </w:rPr>
        <mc:AlternateContent>
          <mc:Choice Requires="wps">
            <w:drawing>
              <wp:anchor distT="0" distB="0" distL="0" distR="0" simplePos="0" relativeHeight="487297536" behindDoc="1" locked="0" layoutInCell="1" allowOverlap="1">
                <wp:simplePos x="0" y="0"/>
                <wp:positionH relativeFrom="page">
                  <wp:posOffset>-343000</wp:posOffset>
                </wp:positionH>
                <wp:positionV relativeFrom="page">
                  <wp:posOffset>101041</wp:posOffset>
                </wp:positionV>
                <wp:extent cx="1598930" cy="10382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9" o:spid="_x0000_s1031" type="#_x0000_t202" style="position:absolute;left:0;text-align:left;margin-left:-27pt;margin-top:7.95pt;width:125.9pt;height:81.75pt;rotation:-45;z-index:-160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" filled="f" stroked="f">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r>
        <w:rPr>
          <w:spacing w:val="-10"/>
          <w:sz w:val="24"/>
        </w:rPr>
        <w:t>=</w:t>
      </w:r>
    </w:p>
    <w:p w:rsidR="00FF2954" w:rsidRDefault="00C341DF">
      <w:pPr>
        <w:pStyle w:val="BodyText"/>
        <w:spacing w:before="138"/>
      </w:pPr>
      <w:r>
        <w:t>Total</w:t>
      </w:r>
      <w:r>
        <w:rPr>
          <w:spacing w:val="-6"/>
        </w:rPr>
        <w:t xml:space="preserve"> </w:t>
      </w:r>
      <w:r>
        <w:t>number</w:t>
      </w:r>
      <w:r>
        <w:rPr>
          <w:spacing w:val="-6"/>
        </w:rPr>
        <w:t xml:space="preserve"> </w:t>
      </w:r>
      <w:r>
        <w:t>of</w:t>
      </w:r>
      <w:r>
        <w:rPr>
          <w:spacing w:val="-5"/>
        </w:rPr>
        <w:t xml:space="preserve"> </w:t>
      </w:r>
      <w:r>
        <w:rPr>
          <w:spacing w:val="-2"/>
        </w:rPr>
        <w:t>organs</w:t>
      </w:r>
    </w:p>
    <w:p w:rsidR="00FF2954" w:rsidRDefault="00FF2954">
      <w:pPr>
        <w:pStyle w:val="BodyText"/>
        <w:spacing w:before="275"/>
        <w:ind w:left="0"/>
      </w:pPr>
    </w:p>
    <w:p w:rsidR="00FF2954" w:rsidRDefault="00C341DF">
      <w:pPr>
        <w:spacing w:before="1" w:line="360" w:lineRule="auto"/>
        <w:ind w:left="165" w:right="332"/>
        <w:rPr>
          <w:sz w:val="24"/>
        </w:rPr>
      </w:pPr>
      <w:r>
        <w:rPr>
          <w:b/>
          <w:sz w:val="24"/>
        </w:rPr>
        <w:t>Per</w:t>
      </w:r>
      <w:r>
        <w:rPr>
          <w:b/>
          <w:spacing w:val="-3"/>
          <w:sz w:val="24"/>
        </w:rPr>
        <w:t xml:space="preserve"> </w:t>
      </w:r>
      <w:r>
        <w:rPr>
          <w:b/>
          <w:sz w:val="24"/>
        </w:rPr>
        <w:t>cent</w:t>
      </w:r>
      <w:r>
        <w:rPr>
          <w:b/>
          <w:spacing w:val="-2"/>
          <w:sz w:val="24"/>
        </w:rPr>
        <w:t xml:space="preserve"> </w:t>
      </w:r>
      <w:r>
        <w:rPr>
          <w:b/>
          <w:sz w:val="24"/>
        </w:rPr>
        <w:t>severity</w:t>
      </w:r>
      <w:r>
        <w:rPr>
          <w:b/>
          <w:spacing w:val="-2"/>
          <w:sz w:val="24"/>
        </w:rPr>
        <w:t xml:space="preserve"> </w:t>
      </w:r>
      <w:r>
        <w:rPr>
          <w:b/>
          <w:sz w:val="24"/>
        </w:rPr>
        <w:t>effect</w:t>
      </w:r>
      <w:r>
        <w:rPr>
          <w:b/>
          <w:spacing w:val="-2"/>
          <w:sz w:val="24"/>
        </w:rPr>
        <w:t xml:space="preserve"> </w:t>
      </w:r>
      <w:r>
        <w:rPr>
          <w:b/>
          <w:sz w:val="24"/>
        </w:rPr>
        <w:t>due</w:t>
      </w:r>
      <w:r>
        <w:rPr>
          <w:b/>
          <w:spacing w:val="-2"/>
          <w:sz w:val="24"/>
        </w:rPr>
        <w:t xml:space="preserve"> </w:t>
      </w:r>
      <w:r>
        <w:rPr>
          <w:b/>
          <w:sz w:val="24"/>
        </w:rPr>
        <w:t>to</w:t>
      </w:r>
      <w:r>
        <w:rPr>
          <w:b/>
          <w:spacing w:val="-2"/>
          <w:sz w:val="24"/>
        </w:rPr>
        <w:t xml:space="preserve"> </w:t>
      </w:r>
      <w:r>
        <w:rPr>
          <w:b/>
          <w:sz w:val="24"/>
        </w:rPr>
        <w:t>1/5</w:t>
      </w:r>
      <w:r>
        <w:rPr>
          <w:b/>
          <w:sz w:val="24"/>
          <w:vertAlign w:val="superscript"/>
        </w:rPr>
        <w:t>th</w:t>
      </w:r>
      <w:r>
        <w:rPr>
          <w:b/>
          <w:spacing w:val="-25"/>
          <w:sz w:val="24"/>
        </w:rPr>
        <w:t xml:space="preserve"> </w:t>
      </w:r>
      <w:r>
        <w:rPr>
          <w:b/>
          <w:sz w:val="24"/>
        </w:rPr>
        <w:t>deltamethrin</w:t>
      </w:r>
      <w:r>
        <w:rPr>
          <w:b/>
          <w:spacing w:val="-2"/>
          <w:sz w:val="24"/>
        </w:rPr>
        <w:t xml:space="preserve"> </w:t>
      </w:r>
      <w:r>
        <w:rPr>
          <w:b/>
          <w:sz w:val="24"/>
        </w:rPr>
        <w:t>intoxication</w:t>
      </w:r>
      <w:r>
        <w:rPr>
          <w:b/>
          <w:spacing w:val="-2"/>
          <w:sz w:val="24"/>
        </w:rPr>
        <w:t xml:space="preserve"> </w:t>
      </w:r>
      <w:r>
        <w:rPr>
          <w:b/>
          <w:sz w:val="24"/>
        </w:rPr>
        <w:t>in</w:t>
      </w:r>
      <w:r>
        <w:rPr>
          <w:b/>
          <w:spacing w:val="-2"/>
          <w:sz w:val="24"/>
        </w:rPr>
        <w:t xml:space="preserve"> </w:t>
      </w:r>
      <w:r>
        <w:rPr>
          <w:b/>
          <w:i/>
          <w:sz w:val="24"/>
        </w:rPr>
        <w:t>E.</w:t>
      </w:r>
      <w:r>
        <w:rPr>
          <w:b/>
          <w:i/>
          <w:spacing w:val="-2"/>
          <w:sz w:val="24"/>
        </w:rPr>
        <w:t xml:space="preserve"> </w:t>
      </w:r>
      <w:r>
        <w:rPr>
          <w:b/>
          <w:i/>
          <w:sz w:val="24"/>
        </w:rPr>
        <w:t>coli</w:t>
      </w:r>
      <w:r>
        <w:rPr>
          <w:b/>
          <w:i/>
          <w:spacing w:val="-2"/>
          <w:sz w:val="24"/>
        </w:rPr>
        <w:t xml:space="preserve"> </w:t>
      </w:r>
      <w:r>
        <w:rPr>
          <w:b/>
          <w:sz w:val="24"/>
        </w:rPr>
        <w:t>infected</w:t>
      </w:r>
      <w:r>
        <w:rPr>
          <w:b/>
          <w:spacing w:val="-2"/>
          <w:sz w:val="24"/>
        </w:rPr>
        <w:t xml:space="preserve"> </w:t>
      </w:r>
      <w:r>
        <w:rPr>
          <w:b/>
          <w:sz w:val="24"/>
        </w:rPr>
        <w:t xml:space="preserve">chicken </w:t>
      </w:r>
      <w:r>
        <w:rPr>
          <w:sz w:val="24"/>
        </w:rPr>
        <w:t>Overall</w:t>
      </w:r>
      <w:r>
        <w:rPr>
          <w:spacing w:val="-1"/>
          <w:sz w:val="24"/>
        </w:rPr>
        <w:t xml:space="preserve"> </w:t>
      </w:r>
      <w:r>
        <w:rPr>
          <w:sz w:val="24"/>
        </w:rPr>
        <w:t>per</w:t>
      </w:r>
      <w:r>
        <w:rPr>
          <w:spacing w:val="-1"/>
          <w:sz w:val="24"/>
        </w:rPr>
        <w:t xml:space="preserve"> </w:t>
      </w:r>
      <w:r>
        <w:rPr>
          <w:sz w:val="24"/>
        </w:rPr>
        <w:t>cent mean GLS/HLS</w:t>
      </w:r>
      <w:r>
        <w:rPr>
          <w:spacing w:val="-1"/>
          <w:sz w:val="24"/>
        </w:rPr>
        <w:t xml:space="preserve"> </w:t>
      </w:r>
      <w:r>
        <w:rPr>
          <w:sz w:val="24"/>
        </w:rPr>
        <w:t>in group</w:t>
      </w:r>
      <w:r>
        <w:rPr>
          <w:spacing w:val="-1"/>
          <w:sz w:val="24"/>
        </w:rPr>
        <w:t xml:space="preserve"> </w:t>
      </w:r>
      <w:r>
        <w:rPr>
          <w:sz w:val="24"/>
        </w:rPr>
        <w:t>B</w:t>
      </w:r>
      <w:r>
        <w:rPr>
          <w:sz w:val="24"/>
          <w:vertAlign w:val="subscript"/>
        </w:rPr>
        <w:t>2</w:t>
      </w:r>
      <w:r>
        <w:rPr>
          <w:spacing w:val="-25"/>
          <w:sz w:val="24"/>
        </w:rPr>
        <w:t xml:space="preserve"> </w:t>
      </w:r>
      <w:r>
        <w:rPr>
          <w:sz w:val="24"/>
        </w:rPr>
        <w:t>– Overall per</w:t>
      </w:r>
      <w:r>
        <w:rPr>
          <w:spacing w:val="-1"/>
          <w:sz w:val="24"/>
        </w:rPr>
        <w:t xml:space="preserve"> </w:t>
      </w:r>
      <w:r>
        <w:rPr>
          <w:sz w:val="24"/>
        </w:rPr>
        <w:t>cent mean</w:t>
      </w:r>
      <w:r>
        <w:rPr>
          <w:spacing w:val="-1"/>
          <w:sz w:val="24"/>
        </w:rPr>
        <w:t xml:space="preserve"> </w:t>
      </w:r>
      <w:r>
        <w:rPr>
          <w:sz w:val="24"/>
        </w:rPr>
        <w:t>GLS/HLS in group</w:t>
      </w:r>
      <w:r>
        <w:rPr>
          <w:spacing w:val="-1"/>
          <w:sz w:val="24"/>
        </w:rPr>
        <w:t xml:space="preserve"> </w:t>
      </w:r>
      <w:r>
        <w:rPr>
          <w:spacing w:val="-10"/>
          <w:sz w:val="24"/>
        </w:rPr>
        <w:t>A</w:t>
      </w:r>
      <w:r>
        <w:rPr>
          <w:spacing w:val="-10"/>
          <w:sz w:val="24"/>
          <w:vertAlign w:val="subscript"/>
        </w:rPr>
        <w:t>2</w:t>
      </w:r>
    </w:p>
    <w:p w:rsidR="00FF2954" w:rsidRDefault="00C341DF">
      <w:pPr>
        <w:pStyle w:val="BodyText"/>
        <w:tabs>
          <w:tab w:val="left" w:pos="7244"/>
        </w:tabs>
      </w:pPr>
      <w:r>
        <w:t>=</w:t>
      </w:r>
      <w:r>
        <w:rPr>
          <w:spacing w:val="74"/>
        </w:rPr>
        <w:t xml:space="preserve"> </w:t>
      </w:r>
      <w:r>
        <w:rPr>
          <w:strike/>
        </w:rPr>
        <w:tab/>
      </w:r>
      <w:r>
        <w:rPr>
          <w:strike/>
          <w:spacing w:val="-4"/>
        </w:rPr>
        <w:t>×100</w:t>
      </w:r>
      <w:r>
        <w:rPr>
          <w:strike/>
          <w:spacing w:val="40"/>
        </w:rPr>
        <w:t xml:space="preserve"> </w:t>
      </w:r>
    </w:p>
    <w:p w:rsidR="00FF2954" w:rsidRDefault="00C341DF">
      <w:pPr>
        <w:pStyle w:val="BodyText"/>
        <w:spacing w:before="138"/>
      </w:pPr>
      <w:r>
        <w:t xml:space="preserve">Overall per cent mean GLS/HLS in group </w:t>
      </w:r>
      <w:r>
        <w:rPr>
          <w:spacing w:val="-5"/>
        </w:rPr>
        <w:t>B</w:t>
      </w:r>
      <w:r>
        <w:rPr>
          <w:spacing w:val="-5"/>
          <w:vertAlign w:val="subscript"/>
        </w:rPr>
        <w:t>2</w:t>
      </w:r>
    </w:p>
    <w:p w:rsidR="00FF2954" w:rsidRDefault="00FF2954">
      <w:pPr>
        <w:pStyle w:val="BodyText"/>
        <w:spacing w:before="275"/>
        <w:ind w:left="0"/>
      </w:pPr>
    </w:p>
    <w:p w:rsidR="00FF2954" w:rsidRDefault="00C341DF">
      <w:pPr>
        <w:spacing w:before="1" w:line="360" w:lineRule="auto"/>
        <w:ind w:left="165"/>
        <w:rPr>
          <w:sz w:val="24"/>
        </w:rPr>
      </w:pPr>
      <w:r>
        <w:rPr>
          <w:b/>
          <w:sz w:val="24"/>
        </w:rPr>
        <w:t>Per</w:t>
      </w:r>
      <w:r>
        <w:rPr>
          <w:b/>
          <w:spacing w:val="-7"/>
          <w:sz w:val="24"/>
        </w:rPr>
        <w:t xml:space="preserve"> </w:t>
      </w:r>
      <w:r>
        <w:rPr>
          <w:b/>
          <w:sz w:val="24"/>
        </w:rPr>
        <w:t>cent</w:t>
      </w:r>
      <w:r>
        <w:rPr>
          <w:b/>
          <w:spacing w:val="-5"/>
          <w:sz w:val="24"/>
        </w:rPr>
        <w:t xml:space="preserve"> </w:t>
      </w:r>
      <w:r>
        <w:rPr>
          <w:b/>
          <w:sz w:val="24"/>
        </w:rPr>
        <w:t>severity</w:t>
      </w:r>
      <w:r>
        <w:rPr>
          <w:b/>
          <w:spacing w:val="-5"/>
          <w:sz w:val="24"/>
        </w:rPr>
        <w:t xml:space="preserve"> </w:t>
      </w:r>
      <w:r>
        <w:rPr>
          <w:b/>
          <w:sz w:val="24"/>
        </w:rPr>
        <w:t>effect</w:t>
      </w:r>
      <w:r>
        <w:rPr>
          <w:b/>
          <w:spacing w:val="-5"/>
          <w:sz w:val="24"/>
        </w:rPr>
        <w:t xml:space="preserve"> </w:t>
      </w:r>
      <w:r>
        <w:rPr>
          <w:b/>
          <w:sz w:val="24"/>
        </w:rPr>
        <w:t>due</w:t>
      </w:r>
      <w:r>
        <w:rPr>
          <w:b/>
          <w:spacing w:val="-5"/>
          <w:sz w:val="24"/>
        </w:rPr>
        <w:t xml:space="preserve"> </w:t>
      </w:r>
      <w:r>
        <w:rPr>
          <w:b/>
          <w:sz w:val="24"/>
        </w:rPr>
        <w:t>to</w:t>
      </w:r>
      <w:r>
        <w:rPr>
          <w:b/>
          <w:spacing w:val="-5"/>
          <w:sz w:val="24"/>
        </w:rPr>
        <w:t xml:space="preserve"> </w:t>
      </w:r>
      <w:r>
        <w:rPr>
          <w:b/>
          <w:sz w:val="24"/>
        </w:rPr>
        <w:t>1/10</w:t>
      </w:r>
      <w:r>
        <w:rPr>
          <w:b/>
          <w:sz w:val="24"/>
          <w:vertAlign w:val="superscript"/>
        </w:rPr>
        <w:t>th</w:t>
      </w:r>
      <w:r>
        <w:rPr>
          <w:b/>
          <w:spacing w:val="-25"/>
          <w:sz w:val="24"/>
        </w:rPr>
        <w:t xml:space="preserve"> </w:t>
      </w:r>
      <w:r>
        <w:rPr>
          <w:b/>
          <w:sz w:val="24"/>
        </w:rPr>
        <w:t>deltamethrin</w:t>
      </w:r>
      <w:r>
        <w:rPr>
          <w:b/>
          <w:spacing w:val="-5"/>
          <w:sz w:val="24"/>
        </w:rPr>
        <w:t xml:space="preserve"> </w:t>
      </w:r>
      <w:r>
        <w:rPr>
          <w:b/>
          <w:sz w:val="24"/>
        </w:rPr>
        <w:t>intoxication</w:t>
      </w:r>
      <w:r>
        <w:rPr>
          <w:b/>
          <w:spacing w:val="-5"/>
          <w:sz w:val="24"/>
        </w:rPr>
        <w:t xml:space="preserve"> </w:t>
      </w:r>
      <w:r>
        <w:rPr>
          <w:b/>
          <w:sz w:val="24"/>
        </w:rPr>
        <w:t>in</w:t>
      </w:r>
      <w:r>
        <w:rPr>
          <w:b/>
          <w:spacing w:val="-5"/>
          <w:sz w:val="24"/>
        </w:rPr>
        <w:t xml:space="preserve"> </w:t>
      </w:r>
      <w:r>
        <w:rPr>
          <w:b/>
          <w:i/>
          <w:sz w:val="24"/>
        </w:rPr>
        <w:t>E.</w:t>
      </w:r>
      <w:r>
        <w:rPr>
          <w:b/>
          <w:i/>
          <w:spacing w:val="-5"/>
          <w:sz w:val="24"/>
        </w:rPr>
        <w:t xml:space="preserve"> </w:t>
      </w:r>
      <w:r>
        <w:rPr>
          <w:b/>
          <w:i/>
          <w:sz w:val="24"/>
        </w:rPr>
        <w:t>coli</w:t>
      </w:r>
      <w:r>
        <w:rPr>
          <w:b/>
          <w:i/>
          <w:spacing w:val="-5"/>
          <w:sz w:val="24"/>
        </w:rPr>
        <w:t xml:space="preserve"> </w:t>
      </w:r>
      <w:r>
        <w:rPr>
          <w:b/>
          <w:sz w:val="24"/>
        </w:rPr>
        <w:t>infected</w:t>
      </w:r>
      <w:r>
        <w:rPr>
          <w:b/>
          <w:spacing w:val="-5"/>
          <w:sz w:val="24"/>
        </w:rPr>
        <w:t xml:space="preserve"> </w:t>
      </w:r>
      <w:r>
        <w:rPr>
          <w:b/>
          <w:sz w:val="24"/>
        </w:rPr>
        <w:t xml:space="preserve">chicken </w:t>
      </w:r>
      <w:r>
        <w:rPr>
          <w:sz w:val="24"/>
        </w:rPr>
        <w:t>Overall per cent mean GLS/HLS in group C</w:t>
      </w:r>
      <w:r>
        <w:rPr>
          <w:sz w:val="24"/>
          <w:vertAlign w:val="subscript"/>
        </w:rPr>
        <w:t>2</w:t>
      </w:r>
      <w:r>
        <w:rPr>
          <w:spacing w:val="-24"/>
          <w:sz w:val="24"/>
        </w:rPr>
        <w:t xml:space="preserve"> </w:t>
      </w:r>
      <w:r>
        <w:rPr>
          <w:sz w:val="24"/>
        </w:rPr>
        <w:t>– Overall per cent mean GLS/HLS in group A</w:t>
      </w:r>
      <w:r>
        <w:rPr>
          <w:sz w:val="24"/>
          <w:vertAlign w:val="subscript"/>
        </w:rPr>
        <w:t>2</w:t>
      </w:r>
    </w:p>
    <w:p w:rsidR="00FF2954" w:rsidRDefault="00C341DF">
      <w:pPr>
        <w:ind w:left="165"/>
        <w:rPr>
          <w:sz w:val="24"/>
        </w:rPr>
      </w:pPr>
      <w:r>
        <w:rPr>
          <w:spacing w:val="-10"/>
          <w:sz w:val="24"/>
        </w:rPr>
        <w:t>=</w:t>
      </w:r>
    </w:p>
    <w:p w:rsidR="00FF2954" w:rsidRDefault="00C341DF">
      <w:pPr>
        <w:pStyle w:val="BodyText"/>
        <w:spacing w:before="138"/>
      </w:pPr>
      <w:r>
        <w:t>–––––––––––––––––––––––––––––––––––––––––––––––––––––––––––––––––––––––––</w:t>
      </w:r>
      <w:r>
        <w:rPr>
          <w:spacing w:val="-5"/>
        </w:rPr>
        <w:t>×1</w:t>
      </w:r>
    </w:p>
    <w:p w:rsidR="00FF2954" w:rsidRDefault="00C341DF">
      <w:pPr>
        <w:pStyle w:val="BodyText"/>
        <w:spacing w:before="138"/>
      </w:pPr>
      <w:r>
        <w:rPr>
          <w:spacing w:val="-5"/>
        </w:rPr>
        <w:t>00</w:t>
      </w:r>
    </w:p>
    <w:p w:rsidR="00FF2954" w:rsidRDefault="00C341DF">
      <w:pPr>
        <w:pStyle w:val="BodyText"/>
        <w:spacing w:before="138"/>
      </w:pPr>
      <w:r>
        <w:t xml:space="preserve">Overall per cent mean GLS/HLS in group </w:t>
      </w:r>
      <w:r>
        <w:rPr>
          <w:spacing w:val="-5"/>
        </w:rPr>
        <w:t>C</w:t>
      </w:r>
      <w:r>
        <w:rPr>
          <w:spacing w:val="-5"/>
          <w:vertAlign w:val="subscript"/>
        </w:rPr>
        <w:t>2</w:t>
      </w:r>
    </w:p>
    <w:p w:rsidR="00FF2954" w:rsidRDefault="00FF2954">
      <w:pPr>
        <w:pStyle w:val="BodyText"/>
        <w:spacing w:before="275"/>
        <w:ind w:left="0"/>
      </w:pPr>
    </w:p>
    <w:p w:rsidR="00FF2954" w:rsidRDefault="00C341DF">
      <w:pPr>
        <w:pStyle w:val="Heading1"/>
        <w:spacing w:before="1"/>
      </w:pPr>
      <w:r>
        <w:t xml:space="preserve">Hematoxylin and eosin (H&amp;E) </w:t>
      </w:r>
      <w:r>
        <w:rPr>
          <w:spacing w:val="-2"/>
        </w:rPr>
        <w:t>staining</w:t>
      </w:r>
    </w:p>
    <w:p w:rsidR="00FF2954" w:rsidRDefault="00FF2954">
      <w:pPr>
        <w:pStyle w:val="BodyText"/>
        <w:spacing w:before="21"/>
        <w:ind w:left="0"/>
        <w:rPr>
          <w:b/>
        </w:rPr>
      </w:pPr>
    </w:p>
    <w:p w:rsidR="00FF2954" w:rsidRDefault="00C341DF">
      <w:pPr>
        <w:pStyle w:val="BodyText"/>
        <w:spacing w:before="1" w:line="360" w:lineRule="auto"/>
        <w:ind w:right="182"/>
        <w:jc w:val="both"/>
      </w:pPr>
      <w:r>
        <w:t>Representative tissue samples of liver, kidney and brain of group A</w:t>
      </w:r>
      <w:proofErr w:type="gramStart"/>
      <w:r>
        <w:t>2,B</w:t>
      </w:r>
      <w:proofErr w:type="gramEnd"/>
      <w:r>
        <w:t>2 and C2 were collected from the birds of</w:t>
      </w:r>
      <w:r>
        <w:rPr>
          <w:spacing w:val="-3"/>
        </w:rPr>
        <w:t xml:space="preserve"> </w:t>
      </w:r>
      <w:r>
        <w:t>each</w:t>
      </w:r>
      <w:r>
        <w:rPr>
          <w:spacing w:val="-3"/>
        </w:rPr>
        <w:t xml:space="preserve"> </w:t>
      </w:r>
      <w:r>
        <w:t>group</w:t>
      </w:r>
      <w:r>
        <w:rPr>
          <w:spacing w:val="-3"/>
        </w:rPr>
        <w:t xml:space="preserve"> </w:t>
      </w:r>
      <w:r>
        <w:t>and</w:t>
      </w:r>
      <w:r>
        <w:rPr>
          <w:spacing w:val="-3"/>
        </w:rPr>
        <w:t xml:space="preserve"> </w:t>
      </w:r>
      <w:r>
        <w:t>samples</w:t>
      </w:r>
      <w:r>
        <w:rPr>
          <w:spacing w:val="-3"/>
        </w:rPr>
        <w:t xml:space="preserve"> </w:t>
      </w:r>
      <w:r>
        <w:t>were</w:t>
      </w:r>
      <w:r>
        <w:rPr>
          <w:spacing w:val="-3"/>
        </w:rPr>
        <w:t xml:space="preserve"> </w:t>
      </w:r>
      <w:r>
        <w:t>fixed</w:t>
      </w:r>
      <w:r>
        <w:rPr>
          <w:spacing w:val="-3"/>
        </w:rPr>
        <w:t xml:space="preserve"> </w:t>
      </w:r>
      <w:r>
        <w:t>in</w:t>
      </w:r>
      <w:r>
        <w:rPr>
          <w:spacing w:val="-3"/>
        </w:rPr>
        <w:t xml:space="preserve"> </w:t>
      </w:r>
      <w:r>
        <w:t>10%</w:t>
      </w:r>
      <w:r>
        <w:rPr>
          <w:spacing w:val="-3"/>
        </w:rPr>
        <w:t xml:space="preserve"> </w:t>
      </w:r>
      <w:r>
        <w:t>buffered</w:t>
      </w:r>
      <w:r>
        <w:rPr>
          <w:spacing w:val="-3"/>
        </w:rPr>
        <w:t xml:space="preserve"> </w:t>
      </w:r>
      <w:r>
        <w:t>formalin,</w:t>
      </w:r>
      <w:r>
        <w:rPr>
          <w:spacing w:val="-3"/>
        </w:rPr>
        <w:t xml:space="preserve"> </w:t>
      </w:r>
      <w:r>
        <w:t xml:space="preserve">and tissue samples were sectioned to 5 </w:t>
      </w:r>
      <w:proofErr w:type="spellStart"/>
      <w:r>
        <w:t>μm</w:t>
      </w:r>
      <w:proofErr w:type="spellEnd"/>
      <w:r>
        <w:t xml:space="preserve"> size</w:t>
      </w:r>
      <w:r>
        <w:t xml:space="preserve"> using microtome and stained with H&amp;E as described previously (Luna, 1968).</w:t>
      </w:r>
    </w:p>
    <w:p w:rsidR="00FF2954" w:rsidRDefault="00C341DF">
      <w:pPr>
        <w:pStyle w:val="Heading1"/>
        <w:spacing w:before="120"/>
        <w:ind w:left="225"/>
        <w:jc w:val="both"/>
      </w:pPr>
      <w:r>
        <w:t xml:space="preserve">Lesion </w:t>
      </w:r>
      <w:r>
        <w:rPr>
          <w:spacing w:val="-2"/>
        </w:rPr>
        <w:t>score</w:t>
      </w:r>
    </w:p>
    <w:p w:rsidR="00FF2954" w:rsidRDefault="00C341DF">
      <w:pPr>
        <w:pStyle w:val="BodyText"/>
        <w:spacing w:before="138" w:line="360" w:lineRule="auto"/>
        <w:ind w:right="185"/>
        <w:jc w:val="both"/>
      </w:pPr>
      <w:r>
        <w:t>The gross lesion score (GLS) and histopathological lesion score (HLS) in different experimental groups were calculated for different organs/tissues at scale of 0</w:t>
      </w:r>
      <w:r>
        <w:rPr>
          <w:spacing w:val="-3"/>
        </w:rPr>
        <w:t xml:space="preserve"> </w:t>
      </w:r>
      <w:r>
        <w:t>to</w:t>
      </w:r>
      <w:r>
        <w:rPr>
          <w:spacing w:val="-3"/>
        </w:rPr>
        <w:t xml:space="preserve"> </w:t>
      </w:r>
      <w:r>
        <w:t>4</w:t>
      </w:r>
      <w:r>
        <w:rPr>
          <w:spacing w:val="-3"/>
        </w:rPr>
        <w:t xml:space="preserve"> </w:t>
      </w:r>
      <w:r>
        <w:t>as</w:t>
      </w:r>
      <w:r>
        <w:rPr>
          <w:spacing w:val="-3"/>
        </w:rPr>
        <w:t xml:space="preserve"> </w:t>
      </w:r>
      <w:r>
        <w:t xml:space="preserve">detailed </w:t>
      </w:r>
      <w:r>
        <w:rPr>
          <w:spacing w:val="-2"/>
        </w:rPr>
        <w:t>below:</w:t>
      </w:r>
    </w:p>
    <w:p w:rsidR="00FF2954" w:rsidRDefault="00C341DF">
      <w:pPr>
        <w:pStyle w:val="BodyText"/>
        <w:ind w:left="885"/>
      </w:pPr>
      <w:r>
        <w:t xml:space="preserve">0 = No </w:t>
      </w:r>
      <w:r>
        <w:rPr>
          <w:spacing w:val="-2"/>
        </w:rPr>
        <w:t>lesion</w:t>
      </w:r>
    </w:p>
    <w:p w:rsidR="00FF2954" w:rsidRDefault="00C341DF">
      <w:pPr>
        <w:pStyle w:val="BodyText"/>
        <w:spacing w:before="138"/>
        <w:ind w:left="885"/>
      </w:pPr>
      <w:r>
        <w:t xml:space="preserve">1 = Mild </w:t>
      </w:r>
      <w:r>
        <w:rPr>
          <w:spacing w:val="-2"/>
        </w:rPr>
        <w:t>lesions</w:t>
      </w:r>
    </w:p>
    <w:p w:rsidR="00FF2954" w:rsidRDefault="00C341DF">
      <w:pPr>
        <w:pStyle w:val="BodyText"/>
        <w:spacing w:before="138"/>
        <w:ind w:left="885"/>
      </w:pPr>
      <w:r>
        <w:t xml:space="preserve">2 = Moderate </w:t>
      </w:r>
      <w:r>
        <w:rPr>
          <w:spacing w:val="-2"/>
        </w:rPr>
        <w:t>lesions</w:t>
      </w:r>
    </w:p>
    <w:p w:rsidR="00FF2954" w:rsidRDefault="00C341DF">
      <w:pPr>
        <w:pStyle w:val="BodyText"/>
        <w:spacing w:before="138"/>
        <w:ind w:left="885"/>
      </w:pPr>
      <w:r>
        <w:t xml:space="preserve">3 = moderately severe </w:t>
      </w:r>
      <w:r>
        <w:rPr>
          <w:spacing w:val="-2"/>
        </w:rPr>
        <w:t>lesions</w:t>
      </w:r>
    </w:p>
    <w:p w:rsidR="00FF2954" w:rsidRDefault="00C341DF">
      <w:pPr>
        <w:pStyle w:val="BodyText"/>
        <w:spacing w:before="138"/>
        <w:ind w:left="885"/>
      </w:pPr>
      <w:r>
        <w:t xml:space="preserve">4 = Severe </w:t>
      </w:r>
      <w:r>
        <w:rPr>
          <w:spacing w:val="-2"/>
        </w:rPr>
        <w:t>lesions</w:t>
      </w:r>
    </w:p>
    <w:p w:rsidR="00FF2954" w:rsidRDefault="00C341DF">
      <w:pPr>
        <w:pStyle w:val="Heading1"/>
        <w:spacing w:before="138"/>
      </w:pPr>
      <w:r>
        <w:t xml:space="preserve">Statistical </w:t>
      </w:r>
      <w:r>
        <w:rPr>
          <w:spacing w:val="-2"/>
        </w:rPr>
        <w:t>Analysis</w:t>
      </w:r>
    </w:p>
    <w:p w:rsidR="00FF2954" w:rsidRDefault="00C341DF">
      <w:pPr>
        <w:pStyle w:val="BodyText"/>
        <w:spacing w:before="258" w:line="360" w:lineRule="auto"/>
        <w:ind w:right="180"/>
      </w:pPr>
      <w:r>
        <w:t>Results</w:t>
      </w:r>
      <w:r>
        <w:rPr>
          <w:spacing w:val="27"/>
        </w:rPr>
        <w:t xml:space="preserve"> </w:t>
      </w:r>
      <w:r>
        <w:t>are</w:t>
      </w:r>
      <w:r>
        <w:rPr>
          <w:spacing w:val="27"/>
        </w:rPr>
        <w:t xml:space="preserve"> </w:t>
      </w:r>
      <w:r>
        <w:t>expressed</w:t>
      </w:r>
      <w:r>
        <w:rPr>
          <w:spacing w:val="27"/>
        </w:rPr>
        <w:t xml:space="preserve"> </w:t>
      </w:r>
      <w:r>
        <w:t>as</w:t>
      </w:r>
      <w:r>
        <w:rPr>
          <w:spacing w:val="27"/>
        </w:rPr>
        <w:t xml:space="preserve"> </w:t>
      </w:r>
      <w:r>
        <w:t>Mean</w:t>
      </w:r>
      <w:r>
        <w:rPr>
          <w:spacing w:val="27"/>
        </w:rPr>
        <w:t xml:space="preserve"> </w:t>
      </w:r>
      <w:r>
        <w:t>±</w:t>
      </w:r>
      <w:r>
        <w:rPr>
          <w:spacing w:val="27"/>
        </w:rPr>
        <w:t xml:space="preserve"> </w:t>
      </w:r>
      <w:r>
        <w:t>SEM</w:t>
      </w:r>
      <w:r>
        <w:rPr>
          <w:spacing w:val="27"/>
        </w:rPr>
        <w:t xml:space="preserve"> </w:t>
      </w:r>
      <w:r>
        <w:t>with</w:t>
      </w:r>
      <w:r>
        <w:rPr>
          <w:spacing w:val="27"/>
        </w:rPr>
        <w:t xml:space="preserve"> </w:t>
      </w:r>
      <w:r>
        <w:t>‘n’</w:t>
      </w:r>
      <w:r>
        <w:rPr>
          <w:spacing w:val="27"/>
        </w:rPr>
        <w:t xml:space="preserve"> </w:t>
      </w:r>
      <w:r>
        <w:t>equal</w:t>
      </w:r>
      <w:r>
        <w:rPr>
          <w:spacing w:val="27"/>
        </w:rPr>
        <w:t xml:space="preserve"> </w:t>
      </w:r>
      <w:r>
        <w:t>to</w:t>
      </w:r>
      <w:r>
        <w:rPr>
          <w:spacing w:val="27"/>
        </w:rPr>
        <w:t xml:space="preserve"> </w:t>
      </w:r>
      <w:r>
        <w:t>the number of animals. The mean values</w:t>
      </w:r>
      <w:r>
        <w:rPr>
          <w:spacing w:val="28"/>
        </w:rPr>
        <w:t xml:space="preserve"> </w:t>
      </w:r>
      <w:r>
        <w:t>were</w:t>
      </w:r>
      <w:r>
        <w:rPr>
          <w:spacing w:val="29"/>
        </w:rPr>
        <w:t xml:space="preserve"> </w:t>
      </w:r>
      <w:r>
        <w:t>statistically</w:t>
      </w:r>
      <w:r>
        <w:rPr>
          <w:spacing w:val="28"/>
        </w:rPr>
        <w:t xml:space="preserve"> </w:t>
      </w:r>
      <w:r>
        <w:t>compared</w:t>
      </w:r>
      <w:r>
        <w:rPr>
          <w:spacing w:val="29"/>
        </w:rPr>
        <w:t xml:space="preserve"> </w:t>
      </w:r>
      <w:r>
        <w:t>by</w:t>
      </w:r>
      <w:r>
        <w:rPr>
          <w:spacing w:val="29"/>
        </w:rPr>
        <w:t xml:space="preserve"> </w:t>
      </w:r>
      <w:r>
        <w:t>student’s</w:t>
      </w:r>
      <w:r>
        <w:rPr>
          <w:spacing w:val="28"/>
        </w:rPr>
        <w:t xml:space="preserve"> </w:t>
      </w:r>
      <w:r>
        <w:rPr>
          <w:i/>
        </w:rPr>
        <w:t>t</w:t>
      </w:r>
      <w:r>
        <w:t>-test</w:t>
      </w:r>
      <w:r>
        <w:rPr>
          <w:spacing w:val="29"/>
        </w:rPr>
        <w:t xml:space="preserve"> </w:t>
      </w:r>
      <w:r>
        <w:t>and/or</w:t>
      </w:r>
      <w:r>
        <w:rPr>
          <w:spacing w:val="14"/>
        </w:rPr>
        <w:t xml:space="preserve"> </w:t>
      </w:r>
      <w:r>
        <w:t>analysis</w:t>
      </w:r>
      <w:r>
        <w:rPr>
          <w:spacing w:val="14"/>
        </w:rPr>
        <w:t xml:space="preserve"> </w:t>
      </w:r>
      <w:r>
        <w:t>of</w:t>
      </w:r>
      <w:r>
        <w:rPr>
          <w:spacing w:val="14"/>
        </w:rPr>
        <w:t xml:space="preserve"> </w:t>
      </w:r>
      <w:r>
        <w:t>variance</w:t>
      </w:r>
      <w:r>
        <w:rPr>
          <w:spacing w:val="14"/>
        </w:rPr>
        <w:t xml:space="preserve"> </w:t>
      </w:r>
      <w:r>
        <w:rPr>
          <w:spacing w:val="-6"/>
        </w:rPr>
        <w:t>(ANOVA)</w:t>
      </w:r>
    </w:p>
    <w:p w:rsidR="00FF2954" w:rsidRDefault="00FF2954">
      <w:pPr>
        <w:pStyle w:val="BodyText"/>
        <w:spacing w:line="360" w:lineRule="auto"/>
        <w:sectPr w:rsidR="00FF2954">
          <w:pgSz w:w="11920" w:h="16840"/>
          <w:pgMar w:top="1380" w:right="1275" w:bottom="280" w:left="1275" w:header="720" w:footer="720" w:gutter="0"/>
          <w:cols w:space="720"/>
        </w:sectPr>
      </w:pPr>
    </w:p>
    <w:p w:rsidR="00FF2954" w:rsidRDefault="00C341DF">
      <w:pPr>
        <w:pStyle w:val="BodyText"/>
        <w:spacing w:before="60" w:line="360" w:lineRule="auto"/>
        <w:ind w:right="187"/>
        <w:jc w:val="both"/>
      </w:pPr>
      <w:r>
        <w:rPr>
          <w:noProof/>
        </w:rPr>
        <w:lastRenderedPageBreak/>
        <mc:AlternateContent>
          <mc:Choice Requires="wps">
            <w:drawing>
              <wp:anchor distT="0" distB="0" distL="0" distR="0" simplePos="0" relativeHeight="487299072" behindDoc="1" locked="0" layoutInCell="1" allowOverlap="1">
                <wp:simplePos x="0" y="0"/>
                <wp:positionH relativeFrom="page">
                  <wp:posOffset>-343000</wp:posOffset>
                </wp:positionH>
                <wp:positionV relativeFrom="page">
                  <wp:posOffset>101041</wp:posOffset>
                </wp:positionV>
                <wp:extent cx="1598930" cy="10382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10" o:spid="_x0000_s1032" type="#_x0000_t202" style="position:absolute;left:0;text-align:left;margin-left:-27pt;margin-top:7.95pt;width:125.9pt;height:81.75pt;rotation:-45;z-index:-1601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" filled="f" stroked="f">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r>
        <w:t xml:space="preserve">using </w:t>
      </w:r>
      <w:r>
        <w:rPr>
          <w:color w:val="000000"/>
          <w:highlight w:val="yellow"/>
        </w:rPr>
        <w:t>GraphPad depending on experimental design as per the method described earlier</w:t>
      </w:r>
      <w:r>
        <w:rPr>
          <w:color w:val="000000"/>
        </w:rPr>
        <w:t xml:space="preserve"> </w:t>
      </w:r>
      <w:r>
        <w:rPr>
          <w:color w:val="000000"/>
          <w:highlight w:val="yellow"/>
        </w:rPr>
        <w:t>(</w:t>
      </w:r>
      <w:proofErr w:type="spellStart"/>
      <w:r>
        <w:rPr>
          <w:color w:val="000000"/>
          <w:highlight w:val="yellow"/>
        </w:rPr>
        <w:t>Snedecor</w:t>
      </w:r>
      <w:proofErr w:type="spellEnd"/>
      <w:r>
        <w:rPr>
          <w:color w:val="000000"/>
          <w:highlight w:val="yellow"/>
        </w:rPr>
        <w:t xml:space="preserve"> and Cochran 1989).</w:t>
      </w:r>
    </w:p>
    <w:p w:rsidR="00FF2954" w:rsidRDefault="00C341DF">
      <w:pPr>
        <w:pStyle w:val="Heading1"/>
        <w:numPr>
          <w:ilvl w:val="0"/>
          <w:numId w:val="1"/>
        </w:numPr>
        <w:tabs>
          <w:tab w:val="left" w:pos="405"/>
        </w:tabs>
        <w:spacing w:before="120"/>
        <w:ind w:left="405" w:hanging="240"/>
        <w:jc w:val="both"/>
      </w:pPr>
      <w:r>
        <w:rPr>
          <w:spacing w:val="-2"/>
        </w:rPr>
        <w:t>Results</w:t>
      </w:r>
    </w:p>
    <w:p w:rsidR="00FF2954" w:rsidRDefault="00C341DF">
      <w:pPr>
        <w:pStyle w:val="BodyText"/>
        <w:spacing w:before="138" w:line="360" w:lineRule="auto"/>
        <w:ind w:right="178"/>
        <w:jc w:val="both"/>
      </w:pPr>
      <w:r>
        <w:t>Gross representative images of different organs viz. Liver, kidney and brain</w:t>
      </w:r>
      <w:r>
        <w:rPr>
          <w:spacing w:val="-3"/>
        </w:rPr>
        <w:t xml:space="preserve"> </w:t>
      </w:r>
      <w:r>
        <w:t>at</w:t>
      </w:r>
      <w:r>
        <w:rPr>
          <w:spacing w:val="-4"/>
        </w:rPr>
        <w:t xml:space="preserve"> </w:t>
      </w:r>
      <w:r>
        <w:t>different</w:t>
      </w:r>
      <w:r>
        <w:rPr>
          <w:spacing w:val="-3"/>
        </w:rPr>
        <w:t xml:space="preserve"> </w:t>
      </w:r>
      <w:r>
        <w:t>time intervals were depict</w:t>
      </w:r>
      <w:r>
        <w:t xml:space="preserve">ed as Figure 1. None of the </w:t>
      </w:r>
      <w:r>
        <w:rPr>
          <w:color w:val="000000"/>
          <w:highlight w:val="yellow"/>
        </w:rPr>
        <w:t>birds from</w:t>
      </w:r>
      <w:r>
        <w:rPr>
          <w:color w:val="000000"/>
        </w:rPr>
        <w:t xml:space="preserve"> control group A1 at </w:t>
      </w:r>
      <w:r>
        <w:rPr>
          <w:color w:val="000000"/>
        </w:rPr>
        <w:t xml:space="preserve">different intervals showed any pathologically significant changes. Thin layer of fibrin deposit was noticed in birds of group A2. Birds of group B1exhibited </w:t>
      </w:r>
      <w:proofErr w:type="spellStart"/>
      <w:r>
        <w:rPr>
          <w:color w:val="000000"/>
        </w:rPr>
        <w:t>anaemic</w:t>
      </w:r>
      <w:proofErr w:type="spellEnd"/>
      <w:r>
        <w:rPr>
          <w:color w:val="000000"/>
        </w:rPr>
        <w:t xml:space="preserve"> carcass with mottled enlarged liver </w:t>
      </w:r>
      <w:r>
        <w:rPr>
          <w:color w:val="000000"/>
          <w:highlight w:val="yellow"/>
        </w:rPr>
        <w:t xml:space="preserve">and congestion was observed in liver and kidney. </w:t>
      </w:r>
      <w:proofErr w:type="gramStart"/>
      <w:r>
        <w:rPr>
          <w:color w:val="000000"/>
          <w:highlight w:val="yellow"/>
        </w:rPr>
        <w:t>Howeve</w:t>
      </w:r>
      <w:r>
        <w:rPr>
          <w:color w:val="000000"/>
          <w:highlight w:val="yellow"/>
        </w:rPr>
        <w:t>r</w:t>
      </w:r>
      <w:proofErr w:type="gramEnd"/>
      <w:r>
        <w:rPr>
          <w:color w:val="000000"/>
          <w:highlight w:val="yellow"/>
        </w:rPr>
        <w:t xml:space="preserve"> the group B2 and</w:t>
      </w:r>
      <w:r>
        <w:rPr>
          <w:color w:val="000000"/>
        </w:rPr>
        <w:t xml:space="preserve"> </w:t>
      </w:r>
      <w:r>
        <w:rPr>
          <w:color w:val="000000"/>
          <w:highlight w:val="yellow"/>
        </w:rPr>
        <w:t>C2 showed severe</w:t>
      </w:r>
      <w:r>
        <w:rPr>
          <w:color w:val="000000"/>
          <w:spacing w:val="-3"/>
          <w:highlight w:val="yellow"/>
        </w:rPr>
        <w:t xml:space="preserve"> </w:t>
      </w:r>
      <w:r>
        <w:rPr>
          <w:color w:val="000000"/>
          <w:highlight w:val="yellow"/>
        </w:rPr>
        <w:t>gross</w:t>
      </w:r>
      <w:r>
        <w:rPr>
          <w:color w:val="000000"/>
          <w:spacing w:val="-3"/>
          <w:highlight w:val="yellow"/>
        </w:rPr>
        <w:t xml:space="preserve"> </w:t>
      </w:r>
      <w:r>
        <w:rPr>
          <w:color w:val="000000"/>
          <w:highlight w:val="yellow"/>
        </w:rPr>
        <w:t>lesion</w:t>
      </w:r>
      <w:r>
        <w:rPr>
          <w:color w:val="000000"/>
          <w:spacing w:val="-3"/>
          <w:highlight w:val="yellow"/>
        </w:rPr>
        <w:t xml:space="preserve"> </w:t>
      </w:r>
      <w:r>
        <w:rPr>
          <w:color w:val="000000"/>
          <w:highlight w:val="yellow"/>
        </w:rPr>
        <w:t>compare</w:t>
      </w:r>
      <w:r>
        <w:rPr>
          <w:color w:val="000000"/>
          <w:spacing w:val="-3"/>
          <w:highlight w:val="yellow"/>
        </w:rPr>
        <w:t xml:space="preserve"> </w:t>
      </w:r>
      <w:r>
        <w:rPr>
          <w:color w:val="000000"/>
          <w:highlight w:val="yellow"/>
        </w:rPr>
        <w:t>to</w:t>
      </w:r>
      <w:r>
        <w:rPr>
          <w:color w:val="000000"/>
          <w:spacing w:val="-3"/>
          <w:highlight w:val="yellow"/>
        </w:rPr>
        <w:t xml:space="preserve"> </w:t>
      </w:r>
      <w:r>
        <w:rPr>
          <w:color w:val="000000"/>
          <w:highlight w:val="yellow"/>
        </w:rPr>
        <w:t>the</w:t>
      </w:r>
      <w:r>
        <w:rPr>
          <w:color w:val="000000"/>
          <w:spacing w:val="-3"/>
          <w:highlight w:val="yellow"/>
        </w:rPr>
        <w:t xml:space="preserve"> </w:t>
      </w:r>
      <w:r>
        <w:rPr>
          <w:color w:val="000000"/>
          <w:highlight w:val="yellow"/>
        </w:rPr>
        <w:t>group</w:t>
      </w:r>
      <w:r>
        <w:rPr>
          <w:color w:val="000000"/>
          <w:spacing w:val="-3"/>
          <w:highlight w:val="yellow"/>
        </w:rPr>
        <w:t xml:space="preserve"> </w:t>
      </w:r>
      <w:r>
        <w:rPr>
          <w:color w:val="000000"/>
          <w:highlight w:val="yellow"/>
        </w:rPr>
        <w:t>B1</w:t>
      </w:r>
      <w:r>
        <w:rPr>
          <w:color w:val="000000"/>
          <w:spacing w:val="-3"/>
          <w:highlight w:val="yellow"/>
        </w:rPr>
        <w:t xml:space="preserve"> </w:t>
      </w:r>
      <w:r>
        <w:rPr>
          <w:color w:val="000000"/>
          <w:highlight w:val="yellow"/>
        </w:rPr>
        <w:t>and</w:t>
      </w:r>
      <w:r>
        <w:rPr>
          <w:color w:val="000000"/>
          <w:spacing w:val="-3"/>
        </w:rPr>
        <w:t xml:space="preserve"> </w:t>
      </w:r>
      <w:r>
        <w:rPr>
          <w:color w:val="000000"/>
        </w:rPr>
        <w:t>C1.</w:t>
      </w:r>
      <w:r>
        <w:rPr>
          <w:color w:val="000000"/>
          <w:spacing w:val="40"/>
        </w:rPr>
        <w:t xml:space="preserve"> </w:t>
      </w:r>
      <w:r>
        <w:rPr>
          <w:color w:val="000000"/>
        </w:rPr>
        <w:t>Majority</w:t>
      </w:r>
      <w:r>
        <w:rPr>
          <w:color w:val="000000"/>
          <w:spacing w:val="-3"/>
        </w:rPr>
        <w:t xml:space="preserve"> </w:t>
      </w:r>
      <w:r>
        <w:rPr>
          <w:color w:val="000000"/>
        </w:rPr>
        <w:t>of</w:t>
      </w:r>
      <w:r>
        <w:rPr>
          <w:color w:val="000000"/>
          <w:spacing w:val="-3"/>
        </w:rPr>
        <w:t xml:space="preserve"> </w:t>
      </w:r>
      <w:r>
        <w:rPr>
          <w:color w:val="000000"/>
        </w:rPr>
        <w:t>symptoms</w:t>
      </w:r>
      <w:r>
        <w:rPr>
          <w:color w:val="000000"/>
          <w:spacing w:val="-3"/>
        </w:rPr>
        <w:t xml:space="preserve"> </w:t>
      </w:r>
      <w:r>
        <w:rPr>
          <w:color w:val="000000"/>
        </w:rPr>
        <w:t>were recorded</w:t>
      </w:r>
      <w:r>
        <w:rPr>
          <w:color w:val="000000"/>
          <w:spacing w:val="26"/>
        </w:rPr>
        <w:t xml:space="preserve"> </w:t>
      </w:r>
      <w:r>
        <w:rPr>
          <w:color w:val="000000"/>
        </w:rPr>
        <w:t>at 11 day of DPI in brain with severe congestion along with fibrinous perihepatitis in liver in birds of group B2.</w:t>
      </w:r>
      <w:r>
        <w:rPr>
          <w:color w:val="000000"/>
          <w:spacing w:val="40"/>
        </w:rPr>
        <w:t xml:space="preserve"> </w:t>
      </w:r>
      <w:r>
        <w:rPr>
          <w:color w:val="000000"/>
        </w:rPr>
        <w:t>The</w:t>
      </w:r>
      <w:r>
        <w:rPr>
          <w:color w:val="000000"/>
          <w:spacing w:val="-2"/>
        </w:rPr>
        <w:t xml:space="preserve"> </w:t>
      </w:r>
      <w:r>
        <w:rPr>
          <w:color w:val="000000"/>
        </w:rPr>
        <w:t>birds</w:t>
      </w:r>
      <w:r>
        <w:rPr>
          <w:color w:val="000000"/>
          <w:spacing w:val="-2"/>
        </w:rPr>
        <w:t xml:space="preserve"> </w:t>
      </w:r>
      <w:r>
        <w:rPr>
          <w:color w:val="000000"/>
        </w:rPr>
        <w:t>of</w:t>
      </w:r>
      <w:r>
        <w:rPr>
          <w:color w:val="000000"/>
          <w:spacing w:val="-2"/>
        </w:rPr>
        <w:t xml:space="preserve"> </w:t>
      </w:r>
      <w:r>
        <w:rPr>
          <w:color w:val="000000"/>
        </w:rPr>
        <w:t>group</w:t>
      </w:r>
      <w:r>
        <w:rPr>
          <w:color w:val="000000"/>
          <w:spacing w:val="-2"/>
        </w:rPr>
        <w:t xml:space="preserve"> </w:t>
      </w:r>
      <w:r>
        <w:rPr>
          <w:color w:val="000000"/>
        </w:rPr>
        <w:t>B2</w:t>
      </w:r>
      <w:r>
        <w:rPr>
          <w:color w:val="000000"/>
          <w:spacing w:val="-2"/>
        </w:rPr>
        <w:t xml:space="preserve"> </w:t>
      </w:r>
      <w:r>
        <w:rPr>
          <w:color w:val="000000"/>
        </w:rPr>
        <w:t>sho</w:t>
      </w:r>
      <w:r>
        <w:rPr>
          <w:color w:val="000000"/>
        </w:rPr>
        <w:t>wed</w:t>
      </w:r>
      <w:r>
        <w:rPr>
          <w:color w:val="000000"/>
          <w:spacing w:val="-2"/>
        </w:rPr>
        <w:t xml:space="preserve"> </w:t>
      </w:r>
      <w:r>
        <w:rPr>
          <w:color w:val="000000"/>
        </w:rPr>
        <w:t>the</w:t>
      </w:r>
      <w:r>
        <w:rPr>
          <w:color w:val="000000"/>
          <w:spacing w:val="-2"/>
        </w:rPr>
        <w:t xml:space="preserve"> </w:t>
      </w:r>
      <w:r>
        <w:rPr>
          <w:color w:val="000000"/>
        </w:rPr>
        <w:t>deleterious</w:t>
      </w:r>
      <w:r>
        <w:rPr>
          <w:color w:val="000000"/>
          <w:spacing w:val="-2"/>
        </w:rPr>
        <w:t xml:space="preserve"> </w:t>
      </w:r>
      <w:r>
        <w:rPr>
          <w:color w:val="000000"/>
        </w:rPr>
        <w:t>gross</w:t>
      </w:r>
      <w:r>
        <w:rPr>
          <w:color w:val="000000"/>
          <w:spacing w:val="-2"/>
        </w:rPr>
        <w:t xml:space="preserve"> </w:t>
      </w:r>
      <w:r>
        <w:rPr>
          <w:color w:val="000000"/>
        </w:rPr>
        <w:t xml:space="preserve">observable fibrin layer and pathological changes </w:t>
      </w:r>
      <w:proofErr w:type="spellStart"/>
      <w:r>
        <w:rPr>
          <w:color w:val="000000"/>
        </w:rPr>
        <w:t>upto</w:t>
      </w:r>
      <w:proofErr w:type="spellEnd"/>
      <w:r>
        <w:rPr>
          <w:color w:val="000000"/>
        </w:rPr>
        <w:t xml:space="preserve"> day 28 DPI as compared to other groups.</w:t>
      </w:r>
    </w:p>
    <w:p w:rsidR="00FF2954" w:rsidRDefault="00C341DF">
      <w:pPr>
        <w:pStyle w:val="BodyText"/>
        <w:spacing w:before="170"/>
        <w:ind w:left="0"/>
        <w:rPr>
          <w:sz w:val="20"/>
        </w:rPr>
      </w:pPr>
      <w:r>
        <w:rPr>
          <w:noProof/>
          <w:sz w:val="20"/>
        </w:rPr>
        <mc:AlternateContent>
          <mc:Choice Requires="wpg">
            <w:drawing>
              <wp:anchor distT="0" distB="0" distL="0" distR="0" simplePos="0" relativeHeight="487592448" behindDoc="1" locked="0" layoutInCell="1" allowOverlap="1">
                <wp:simplePos x="0" y="0"/>
                <wp:positionH relativeFrom="page">
                  <wp:posOffset>914400</wp:posOffset>
                </wp:positionH>
                <wp:positionV relativeFrom="paragraph">
                  <wp:posOffset>269334</wp:posOffset>
                </wp:positionV>
                <wp:extent cx="5740400" cy="122047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0400" cy="1220470"/>
                          <a:chOff x="0" y="0"/>
                          <a:chExt cx="5740400" cy="1220470"/>
                        </a:xfrm>
                      </wpg:grpSpPr>
                      <wps:wsp>
                        <wps:cNvPr id="12" name="Textbox 12"/>
                        <wps:cNvSpPr txBox="1"/>
                        <wps:spPr>
                          <a:xfrm>
                            <a:off x="0" y="0"/>
                            <a:ext cx="5739765" cy="431800"/>
                          </a:xfrm>
                          <a:prstGeom prst="rect">
                            <a:avLst/>
                          </a:prstGeom>
                        </wps:spPr>
                        <wps:txbx>
                          <w:txbxContent>
                            <w:p w:rsidR="00FF2954" w:rsidRDefault="00C341DF">
                              <w:pPr>
                                <w:spacing w:line="266" w:lineRule="exact"/>
                                <w:rPr>
                                  <w:sz w:val="24"/>
                                </w:rPr>
                              </w:pPr>
                              <w:r>
                                <w:rPr>
                                  <w:sz w:val="24"/>
                                </w:rPr>
                                <w:t>Figure</w:t>
                              </w:r>
                              <w:r>
                                <w:rPr>
                                  <w:spacing w:val="29"/>
                                  <w:sz w:val="24"/>
                                </w:rPr>
                                <w:t xml:space="preserve"> </w:t>
                              </w:r>
                              <w:r>
                                <w:rPr>
                                  <w:sz w:val="24"/>
                                </w:rPr>
                                <w:t>1:</w:t>
                              </w:r>
                              <w:r>
                                <w:rPr>
                                  <w:spacing w:val="30"/>
                                  <w:sz w:val="24"/>
                                </w:rPr>
                                <w:t xml:space="preserve"> </w:t>
                              </w:r>
                              <w:r>
                                <w:rPr>
                                  <w:sz w:val="24"/>
                                </w:rPr>
                                <w:t>Gross</w:t>
                              </w:r>
                              <w:r>
                                <w:rPr>
                                  <w:spacing w:val="29"/>
                                  <w:sz w:val="24"/>
                                </w:rPr>
                                <w:t xml:space="preserve"> </w:t>
                              </w:r>
                              <w:r>
                                <w:rPr>
                                  <w:sz w:val="24"/>
                                </w:rPr>
                                <w:t>images</w:t>
                              </w:r>
                              <w:r>
                                <w:rPr>
                                  <w:spacing w:val="30"/>
                                  <w:sz w:val="24"/>
                                </w:rPr>
                                <w:t xml:space="preserve"> </w:t>
                              </w:r>
                              <w:r>
                                <w:rPr>
                                  <w:sz w:val="24"/>
                                </w:rPr>
                                <w:t>representing</w:t>
                              </w:r>
                              <w:r>
                                <w:rPr>
                                  <w:spacing w:val="30"/>
                                  <w:sz w:val="24"/>
                                </w:rPr>
                                <w:t xml:space="preserve"> </w:t>
                              </w:r>
                              <w:r>
                                <w:rPr>
                                  <w:sz w:val="24"/>
                                </w:rPr>
                                <w:t>enlarged</w:t>
                              </w:r>
                              <w:r>
                                <w:rPr>
                                  <w:spacing w:val="29"/>
                                  <w:sz w:val="24"/>
                                </w:rPr>
                                <w:t xml:space="preserve"> </w:t>
                              </w:r>
                              <w:r>
                                <w:rPr>
                                  <w:sz w:val="24"/>
                                </w:rPr>
                                <w:t>liver</w:t>
                              </w:r>
                              <w:r>
                                <w:rPr>
                                  <w:spacing w:val="30"/>
                                  <w:sz w:val="24"/>
                                </w:rPr>
                                <w:t xml:space="preserve"> </w:t>
                              </w:r>
                              <w:r>
                                <w:rPr>
                                  <w:sz w:val="24"/>
                                </w:rPr>
                                <w:t>in</w:t>
                              </w:r>
                              <w:r>
                                <w:rPr>
                                  <w:spacing w:val="29"/>
                                  <w:sz w:val="24"/>
                                </w:rPr>
                                <w:t xml:space="preserve"> </w:t>
                              </w:r>
                              <w:r>
                                <w:rPr>
                                  <w:sz w:val="24"/>
                                </w:rPr>
                                <w:t>Group</w:t>
                              </w:r>
                              <w:r>
                                <w:rPr>
                                  <w:spacing w:val="30"/>
                                  <w:sz w:val="24"/>
                                </w:rPr>
                                <w:t xml:space="preserve"> </w:t>
                              </w:r>
                              <w:r>
                                <w:rPr>
                                  <w:sz w:val="24"/>
                                </w:rPr>
                                <w:t>B2</w:t>
                              </w:r>
                              <w:r>
                                <w:rPr>
                                  <w:spacing w:val="15"/>
                                  <w:sz w:val="24"/>
                                </w:rPr>
                                <w:t xml:space="preserve"> </w:t>
                              </w:r>
                              <w:r>
                                <w:rPr>
                                  <w:sz w:val="24"/>
                                </w:rPr>
                                <w:t>and</w:t>
                              </w:r>
                              <w:r>
                                <w:rPr>
                                  <w:spacing w:val="14"/>
                                  <w:sz w:val="24"/>
                                </w:rPr>
                                <w:t xml:space="preserve"> </w:t>
                              </w:r>
                              <w:r>
                                <w:rPr>
                                  <w:sz w:val="24"/>
                                </w:rPr>
                                <w:t>C2</w:t>
                              </w:r>
                              <w:r>
                                <w:rPr>
                                  <w:spacing w:val="15"/>
                                  <w:sz w:val="24"/>
                                </w:rPr>
                                <w:t xml:space="preserve"> </w:t>
                              </w:r>
                              <w:r>
                                <w:rPr>
                                  <w:sz w:val="24"/>
                                </w:rPr>
                                <w:t>compared</w:t>
                              </w:r>
                              <w:r>
                                <w:rPr>
                                  <w:spacing w:val="15"/>
                                  <w:sz w:val="24"/>
                                </w:rPr>
                                <w:t xml:space="preserve"> </w:t>
                              </w:r>
                              <w:r>
                                <w:rPr>
                                  <w:sz w:val="24"/>
                                </w:rPr>
                                <w:t>to</w:t>
                              </w:r>
                              <w:r>
                                <w:rPr>
                                  <w:spacing w:val="15"/>
                                  <w:sz w:val="24"/>
                                </w:rPr>
                                <w:t xml:space="preserve"> </w:t>
                              </w:r>
                              <w:r>
                                <w:rPr>
                                  <w:spacing w:val="-2"/>
                                  <w:sz w:val="24"/>
                                </w:rPr>
                                <w:t>other</w:t>
                              </w:r>
                            </w:p>
                            <w:p w:rsidR="00FF2954" w:rsidRDefault="00C341DF">
                              <w:pPr>
                                <w:spacing w:before="138"/>
                                <w:rPr>
                                  <w:sz w:val="24"/>
                                </w:rPr>
                              </w:pPr>
                              <w:r>
                                <w:rPr>
                                  <w:sz w:val="24"/>
                                </w:rPr>
                                <w:t xml:space="preserve">groups with fibrinous Layer deposition (Marked as </w:t>
                              </w:r>
                              <w:r>
                                <w:rPr>
                                  <w:spacing w:val="-2"/>
                                  <w:sz w:val="24"/>
                                </w:rPr>
                                <w:t>Star).</w:t>
                              </w:r>
                            </w:p>
                          </w:txbxContent>
                        </wps:txbx>
                        <wps:bodyPr wrap="square" lIns="0" tIns="0" rIns="0" bIns="0" rtlCol="0">
                          <a:noAutofit/>
                        </wps:bodyPr>
                      </wps:wsp>
                      <wps:wsp>
                        <wps:cNvPr id="13" name="Textbox 13"/>
                        <wps:cNvSpPr txBox="1"/>
                        <wps:spPr>
                          <a:xfrm>
                            <a:off x="0" y="788603"/>
                            <a:ext cx="5740400" cy="431800"/>
                          </a:xfrm>
                          <a:prstGeom prst="rect">
                            <a:avLst/>
                          </a:prstGeom>
                        </wps:spPr>
                        <wps:txbx>
                          <w:txbxContent>
                            <w:p w:rsidR="00FF2954" w:rsidRDefault="00C341DF">
                              <w:pPr>
                                <w:spacing w:line="266" w:lineRule="exact"/>
                                <w:rPr>
                                  <w:b/>
                                  <w:sz w:val="24"/>
                                </w:rPr>
                              </w:pPr>
                              <w:r>
                                <w:rPr>
                                  <w:b/>
                                  <w:sz w:val="24"/>
                                </w:rPr>
                                <w:t xml:space="preserve">Histopathological changes in </w:t>
                              </w:r>
                              <w:r>
                                <w:rPr>
                                  <w:b/>
                                  <w:spacing w:val="-2"/>
                                  <w:sz w:val="24"/>
                                </w:rPr>
                                <w:t>Liver</w:t>
                              </w:r>
                            </w:p>
                            <w:p w:rsidR="00FF2954" w:rsidRDefault="00C341DF">
                              <w:pPr>
                                <w:spacing w:before="138"/>
                                <w:rPr>
                                  <w:sz w:val="24"/>
                                </w:rPr>
                              </w:pPr>
                              <w:r>
                                <w:rPr>
                                  <w:sz w:val="24"/>
                                </w:rPr>
                                <w:t>Histopathological</w:t>
                              </w:r>
                              <w:r>
                                <w:rPr>
                                  <w:spacing w:val="45"/>
                                  <w:sz w:val="24"/>
                                </w:rPr>
                                <w:t xml:space="preserve"> </w:t>
                              </w:r>
                              <w:r>
                                <w:rPr>
                                  <w:sz w:val="24"/>
                                </w:rPr>
                                <w:t>changes</w:t>
                              </w:r>
                              <w:r>
                                <w:rPr>
                                  <w:spacing w:val="45"/>
                                  <w:sz w:val="24"/>
                                </w:rPr>
                                <w:t xml:space="preserve"> </w:t>
                              </w:r>
                              <w:r>
                                <w:rPr>
                                  <w:sz w:val="24"/>
                                </w:rPr>
                                <w:t>in</w:t>
                              </w:r>
                              <w:r>
                                <w:rPr>
                                  <w:spacing w:val="45"/>
                                  <w:sz w:val="24"/>
                                </w:rPr>
                                <w:t xml:space="preserve"> </w:t>
                              </w:r>
                              <w:r>
                                <w:rPr>
                                  <w:sz w:val="24"/>
                                </w:rPr>
                                <w:t>the</w:t>
                              </w:r>
                              <w:r>
                                <w:rPr>
                                  <w:spacing w:val="45"/>
                                  <w:sz w:val="24"/>
                                </w:rPr>
                                <w:t xml:space="preserve"> </w:t>
                              </w:r>
                              <w:r>
                                <w:rPr>
                                  <w:sz w:val="24"/>
                                </w:rPr>
                                <w:t>liver</w:t>
                              </w:r>
                              <w:r>
                                <w:rPr>
                                  <w:spacing w:val="45"/>
                                  <w:sz w:val="24"/>
                                </w:rPr>
                                <w:t xml:space="preserve"> </w:t>
                              </w:r>
                              <w:r>
                                <w:rPr>
                                  <w:sz w:val="24"/>
                                </w:rPr>
                                <w:t>are</w:t>
                              </w:r>
                              <w:r>
                                <w:rPr>
                                  <w:spacing w:val="45"/>
                                  <w:sz w:val="24"/>
                                </w:rPr>
                                <w:t xml:space="preserve"> </w:t>
                              </w:r>
                              <w:r>
                                <w:rPr>
                                  <w:sz w:val="24"/>
                                </w:rPr>
                                <w:t>represented</w:t>
                              </w:r>
                              <w:r>
                                <w:rPr>
                                  <w:spacing w:val="45"/>
                                  <w:sz w:val="24"/>
                                </w:rPr>
                                <w:t xml:space="preserve"> </w:t>
                              </w:r>
                              <w:r>
                                <w:rPr>
                                  <w:sz w:val="24"/>
                                </w:rPr>
                                <w:t>as</w:t>
                              </w:r>
                              <w:r>
                                <w:rPr>
                                  <w:spacing w:val="45"/>
                                  <w:sz w:val="24"/>
                                </w:rPr>
                                <w:t xml:space="preserve"> </w:t>
                              </w:r>
                              <w:r>
                                <w:rPr>
                                  <w:sz w:val="24"/>
                                </w:rPr>
                                <w:t>Figure</w:t>
                              </w:r>
                              <w:r>
                                <w:rPr>
                                  <w:spacing w:val="45"/>
                                  <w:sz w:val="24"/>
                                </w:rPr>
                                <w:t xml:space="preserve"> </w:t>
                              </w:r>
                              <w:r>
                                <w:rPr>
                                  <w:sz w:val="24"/>
                                </w:rPr>
                                <w:t>2.</w:t>
                              </w:r>
                              <w:r>
                                <w:rPr>
                                  <w:spacing w:val="45"/>
                                  <w:sz w:val="24"/>
                                </w:rPr>
                                <w:t xml:space="preserve"> </w:t>
                              </w:r>
                              <w:r>
                                <w:rPr>
                                  <w:sz w:val="24"/>
                                </w:rPr>
                                <w:t>The</w:t>
                              </w:r>
                              <w:r>
                                <w:rPr>
                                  <w:spacing w:val="45"/>
                                  <w:sz w:val="24"/>
                                </w:rPr>
                                <w:t xml:space="preserve"> </w:t>
                              </w:r>
                              <w:r>
                                <w:rPr>
                                  <w:sz w:val="24"/>
                                </w:rPr>
                                <w:t>birds</w:t>
                              </w:r>
                              <w:r>
                                <w:rPr>
                                  <w:spacing w:val="30"/>
                                  <w:sz w:val="24"/>
                                </w:rPr>
                                <w:t xml:space="preserve"> </w:t>
                              </w:r>
                              <w:r>
                                <w:rPr>
                                  <w:sz w:val="24"/>
                                </w:rPr>
                                <w:t>from</w:t>
                              </w:r>
                              <w:r>
                                <w:rPr>
                                  <w:spacing w:val="30"/>
                                  <w:sz w:val="24"/>
                                </w:rPr>
                                <w:t xml:space="preserve"> </w:t>
                              </w:r>
                              <w:r>
                                <w:rPr>
                                  <w:spacing w:val="-2"/>
                                  <w:sz w:val="24"/>
                                </w:rPr>
                                <w:t>group</w:t>
                              </w:r>
                            </w:p>
                          </w:txbxContent>
                        </wps:txbx>
                        <wps:bodyPr wrap="square" lIns="0" tIns="0" rIns="0" bIns="0" rtlCol="0">
                          <a:noAutofit/>
                        </wps:bodyPr>
                      </wps:wsp>
                    </wpg:wgp>
                  </a:graphicData>
                </a:graphic>
              </wp:anchor>
            </w:drawing>
          </mc:Choice>
          <mc:Fallback>
            <w:pict>
              <v:group id="Group 11" o:spid="_x0000_s1033" style="position:absolute;margin-left:1in;margin-top:21.2pt;width:452pt;height:96.1pt;z-index:-15724032;mso-wrap-distance-left:0;mso-wrap-distance-right:0;mso-position-horizontal-relative:page" coordsize="57404,1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">
                <v:shape id="Textbox 12" o:spid="_x0000_s1034" type="#_x0000_t202" style="position:absolute;width:57397;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FF2954" w:rsidRDefault="00C341DF">
                        <w:pPr>
                          <w:spacing w:line="266" w:lineRule="exact"/>
                          <w:rPr>
                            <w:sz w:val="24"/>
                          </w:rPr>
                        </w:pPr>
                        <w:r>
                          <w:rPr>
                            <w:sz w:val="24"/>
                          </w:rPr>
                          <w:t>Figure</w:t>
                        </w:r>
                        <w:r>
                          <w:rPr>
                            <w:spacing w:val="29"/>
                            <w:sz w:val="24"/>
                          </w:rPr>
                          <w:t xml:space="preserve"> </w:t>
                        </w:r>
                        <w:r>
                          <w:rPr>
                            <w:sz w:val="24"/>
                          </w:rPr>
                          <w:t>1:</w:t>
                        </w:r>
                        <w:r>
                          <w:rPr>
                            <w:spacing w:val="30"/>
                            <w:sz w:val="24"/>
                          </w:rPr>
                          <w:t xml:space="preserve"> </w:t>
                        </w:r>
                        <w:r>
                          <w:rPr>
                            <w:sz w:val="24"/>
                          </w:rPr>
                          <w:t>Gross</w:t>
                        </w:r>
                        <w:r>
                          <w:rPr>
                            <w:spacing w:val="29"/>
                            <w:sz w:val="24"/>
                          </w:rPr>
                          <w:t xml:space="preserve"> </w:t>
                        </w:r>
                        <w:r>
                          <w:rPr>
                            <w:sz w:val="24"/>
                          </w:rPr>
                          <w:t>images</w:t>
                        </w:r>
                        <w:r>
                          <w:rPr>
                            <w:spacing w:val="30"/>
                            <w:sz w:val="24"/>
                          </w:rPr>
                          <w:t xml:space="preserve"> </w:t>
                        </w:r>
                        <w:r>
                          <w:rPr>
                            <w:sz w:val="24"/>
                          </w:rPr>
                          <w:t>representing</w:t>
                        </w:r>
                        <w:r>
                          <w:rPr>
                            <w:spacing w:val="30"/>
                            <w:sz w:val="24"/>
                          </w:rPr>
                          <w:t xml:space="preserve"> </w:t>
                        </w:r>
                        <w:r>
                          <w:rPr>
                            <w:sz w:val="24"/>
                          </w:rPr>
                          <w:t>enlarged</w:t>
                        </w:r>
                        <w:r>
                          <w:rPr>
                            <w:spacing w:val="29"/>
                            <w:sz w:val="24"/>
                          </w:rPr>
                          <w:t xml:space="preserve"> </w:t>
                        </w:r>
                        <w:r>
                          <w:rPr>
                            <w:sz w:val="24"/>
                          </w:rPr>
                          <w:t>liver</w:t>
                        </w:r>
                        <w:r>
                          <w:rPr>
                            <w:spacing w:val="30"/>
                            <w:sz w:val="24"/>
                          </w:rPr>
                          <w:t xml:space="preserve"> </w:t>
                        </w:r>
                        <w:r>
                          <w:rPr>
                            <w:sz w:val="24"/>
                          </w:rPr>
                          <w:t>in</w:t>
                        </w:r>
                        <w:r>
                          <w:rPr>
                            <w:spacing w:val="29"/>
                            <w:sz w:val="24"/>
                          </w:rPr>
                          <w:t xml:space="preserve"> </w:t>
                        </w:r>
                        <w:r>
                          <w:rPr>
                            <w:sz w:val="24"/>
                          </w:rPr>
                          <w:t>Group</w:t>
                        </w:r>
                        <w:r>
                          <w:rPr>
                            <w:spacing w:val="30"/>
                            <w:sz w:val="24"/>
                          </w:rPr>
                          <w:t xml:space="preserve"> </w:t>
                        </w:r>
                        <w:r>
                          <w:rPr>
                            <w:sz w:val="24"/>
                          </w:rPr>
                          <w:t>B2</w:t>
                        </w:r>
                        <w:r>
                          <w:rPr>
                            <w:spacing w:val="15"/>
                            <w:sz w:val="24"/>
                          </w:rPr>
                          <w:t xml:space="preserve"> </w:t>
                        </w:r>
                        <w:r>
                          <w:rPr>
                            <w:sz w:val="24"/>
                          </w:rPr>
                          <w:t>and</w:t>
                        </w:r>
                        <w:r>
                          <w:rPr>
                            <w:spacing w:val="14"/>
                            <w:sz w:val="24"/>
                          </w:rPr>
                          <w:t xml:space="preserve"> </w:t>
                        </w:r>
                        <w:r>
                          <w:rPr>
                            <w:sz w:val="24"/>
                          </w:rPr>
                          <w:t>C2</w:t>
                        </w:r>
                        <w:r>
                          <w:rPr>
                            <w:spacing w:val="15"/>
                            <w:sz w:val="24"/>
                          </w:rPr>
                          <w:t xml:space="preserve"> </w:t>
                        </w:r>
                        <w:r>
                          <w:rPr>
                            <w:sz w:val="24"/>
                          </w:rPr>
                          <w:t>compared</w:t>
                        </w:r>
                        <w:r>
                          <w:rPr>
                            <w:spacing w:val="15"/>
                            <w:sz w:val="24"/>
                          </w:rPr>
                          <w:t xml:space="preserve"> </w:t>
                        </w:r>
                        <w:r>
                          <w:rPr>
                            <w:sz w:val="24"/>
                          </w:rPr>
                          <w:t>to</w:t>
                        </w:r>
                        <w:r>
                          <w:rPr>
                            <w:spacing w:val="15"/>
                            <w:sz w:val="24"/>
                          </w:rPr>
                          <w:t xml:space="preserve"> </w:t>
                        </w:r>
                        <w:r>
                          <w:rPr>
                            <w:spacing w:val="-2"/>
                            <w:sz w:val="24"/>
                          </w:rPr>
                          <w:t>other</w:t>
                        </w:r>
                      </w:p>
                      <w:p w:rsidR="00FF2954" w:rsidRDefault="00C341DF">
                        <w:pPr>
                          <w:spacing w:before="138"/>
                          <w:rPr>
                            <w:sz w:val="24"/>
                          </w:rPr>
                        </w:pPr>
                        <w:r>
                          <w:rPr>
                            <w:sz w:val="24"/>
                          </w:rPr>
                          <w:t xml:space="preserve">groups with fibrinous Layer deposition (Marked as </w:t>
                        </w:r>
                        <w:r>
                          <w:rPr>
                            <w:spacing w:val="-2"/>
                            <w:sz w:val="24"/>
                          </w:rPr>
                          <w:t>Star).</w:t>
                        </w:r>
                      </w:p>
                    </w:txbxContent>
                  </v:textbox>
                </v:shape>
                <v:shape id="Textbox 13" o:spid="_x0000_s1035" type="#_x0000_t202" style="position:absolute;top:7886;width:57404;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FF2954" w:rsidRDefault="00C341DF">
                        <w:pPr>
                          <w:spacing w:line="266" w:lineRule="exact"/>
                          <w:rPr>
                            <w:b/>
                            <w:sz w:val="24"/>
                          </w:rPr>
                        </w:pPr>
                        <w:r>
                          <w:rPr>
                            <w:b/>
                            <w:sz w:val="24"/>
                          </w:rPr>
                          <w:t xml:space="preserve">Histopathological changes in </w:t>
                        </w:r>
                        <w:r>
                          <w:rPr>
                            <w:b/>
                            <w:spacing w:val="-2"/>
                            <w:sz w:val="24"/>
                          </w:rPr>
                          <w:t>Liver</w:t>
                        </w:r>
                      </w:p>
                      <w:p w:rsidR="00FF2954" w:rsidRDefault="00C341DF">
                        <w:pPr>
                          <w:spacing w:before="138"/>
                          <w:rPr>
                            <w:sz w:val="24"/>
                          </w:rPr>
                        </w:pPr>
                        <w:r>
                          <w:rPr>
                            <w:sz w:val="24"/>
                          </w:rPr>
                          <w:t>Histopathological</w:t>
                        </w:r>
                        <w:r>
                          <w:rPr>
                            <w:spacing w:val="45"/>
                            <w:sz w:val="24"/>
                          </w:rPr>
                          <w:t xml:space="preserve"> </w:t>
                        </w:r>
                        <w:r>
                          <w:rPr>
                            <w:sz w:val="24"/>
                          </w:rPr>
                          <w:t>changes</w:t>
                        </w:r>
                        <w:r>
                          <w:rPr>
                            <w:spacing w:val="45"/>
                            <w:sz w:val="24"/>
                          </w:rPr>
                          <w:t xml:space="preserve"> </w:t>
                        </w:r>
                        <w:r>
                          <w:rPr>
                            <w:sz w:val="24"/>
                          </w:rPr>
                          <w:t>in</w:t>
                        </w:r>
                        <w:r>
                          <w:rPr>
                            <w:spacing w:val="45"/>
                            <w:sz w:val="24"/>
                          </w:rPr>
                          <w:t xml:space="preserve"> </w:t>
                        </w:r>
                        <w:r>
                          <w:rPr>
                            <w:sz w:val="24"/>
                          </w:rPr>
                          <w:t>the</w:t>
                        </w:r>
                        <w:r>
                          <w:rPr>
                            <w:spacing w:val="45"/>
                            <w:sz w:val="24"/>
                          </w:rPr>
                          <w:t xml:space="preserve"> </w:t>
                        </w:r>
                        <w:r>
                          <w:rPr>
                            <w:sz w:val="24"/>
                          </w:rPr>
                          <w:t>liver</w:t>
                        </w:r>
                        <w:r>
                          <w:rPr>
                            <w:spacing w:val="45"/>
                            <w:sz w:val="24"/>
                          </w:rPr>
                          <w:t xml:space="preserve"> </w:t>
                        </w:r>
                        <w:r>
                          <w:rPr>
                            <w:sz w:val="24"/>
                          </w:rPr>
                          <w:t>are</w:t>
                        </w:r>
                        <w:r>
                          <w:rPr>
                            <w:spacing w:val="45"/>
                            <w:sz w:val="24"/>
                          </w:rPr>
                          <w:t xml:space="preserve"> </w:t>
                        </w:r>
                        <w:r>
                          <w:rPr>
                            <w:sz w:val="24"/>
                          </w:rPr>
                          <w:t>represented</w:t>
                        </w:r>
                        <w:r>
                          <w:rPr>
                            <w:spacing w:val="45"/>
                            <w:sz w:val="24"/>
                          </w:rPr>
                          <w:t xml:space="preserve"> </w:t>
                        </w:r>
                        <w:r>
                          <w:rPr>
                            <w:sz w:val="24"/>
                          </w:rPr>
                          <w:t>as</w:t>
                        </w:r>
                        <w:r>
                          <w:rPr>
                            <w:spacing w:val="45"/>
                            <w:sz w:val="24"/>
                          </w:rPr>
                          <w:t xml:space="preserve"> </w:t>
                        </w:r>
                        <w:r>
                          <w:rPr>
                            <w:sz w:val="24"/>
                          </w:rPr>
                          <w:t>Figure</w:t>
                        </w:r>
                        <w:r>
                          <w:rPr>
                            <w:spacing w:val="45"/>
                            <w:sz w:val="24"/>
                          </w:rPr>
                          <w:t xml:space="preserve"> </w:t>
                        </w:r>
                        <w:r>
                          <w:rPr>
                            <w:sz w:val="24"/>
                          </w:rPr>
                          <w:t>2.</w:t>
                        </w:r>
                        <w:r>
                          <w:rPr>
                            <w:spacing w:val="45"/>
                            <w:sz w:val="24"/>
                          </w:rPr>
                          <w:t xml:space="preserve"> </w:t>
                        </w:r>
                        <w:r>
                          <w:rPr>
                            <w:sz w:val="24"/>
                          </w:rPr>
                          <w:t>The</w:t>
                        </w:r>
                        <w:r>
                          <w:rPr>
                            <w:spacing w:val="45"/>
                            <w:sz w:val="24"/>
                          </w:rPr>
                          <w:t xml:space="preserve"> </w:t>
                        </w:r>
                        <w:r>
                          <w:rPr>
                            <w:sz w:val="24"/>
                          </w:rPr>
                          <w:t>birds</w:t>
                        </w:r>
                        <w:r>
                          <w:rPr>
                            <w:spacing w:val="30"/>
                            <w:sz w:val="24"/>
                          </w:rPr>
                          <w:t xml:space="preserve"> </w:t>
                        </w:r>
                        <w:r>
                          <w:rPr>
                            <w:sz w:val="24"/>
                          </w:rPr>
                          <w:t>from</w:t>
                        </w:r>
                        <w:r>
                          <w:rPr>
                            <w:spacing w:val="30"/>
                            <w:sz w:val="24"/>
                          </w:rPr>
                          <w:t xml:space="preserve"> </w:t>
                        </w:r>
                        <w:r>
                          <w:rPr>
                            <w:spacing w:val="-2"/>
                            <w:sz w:val="24"/>
                          </w:rPr>
                          <w:t>group</w:t>
                        </w:r>
                      </w:p>
                    </w:txbxContent>
                  </v:textbox>
                </v:shape>
                <w10:wrap type="topAndBottom" anchorx="page"/>
              </v:group>
            </w:pict>
          </mc:Fallback>
        </mc:AlternateContent>
      </w:r>
    </w:p>
    <w:p w:rsidR="00FF2954" w:rsidRDefault="00C341DF">
      <w:pPr>
        <w:pStyle w:val="BodyText"/>
        <w:spacing w:before="138" w:line="360" w:lineRule="auto"/>
        <w:ind w:right="178"/>
        <w:jc w:val="both"/>
      </w:pPr>
      <w:r>
        <w:t>A2from 3 DPI revealed congestion in</w:t>
      </w:r>
      <w:r>
        <w:rPr>
          <w:spacing w:val="-2"/>
        </w:rPr>
        <w:t xml:space="preserve"> </w:t>
      </w:r>
      <w:r>
        <w:t>the</w:t>
      </w:r>
      <w:r>
        <w:rPr>
          <w:spacing w:val="-2"/>
        </w:rPr>
        <w:t xml:space="preserve"> </w:t>
      </w:r>
      <w:r>
        <w:t>portal</w:t>
      </w:r>
      <w:r>
        <w:rPr>
          <w:spacing w:val="-2"/>
        </w:rPr>
        <w:t xml:space="preserve"> </w:t>
      </w:r>
      <w:r>
        <w:t>vein</w:t>
      </w:r>
      <w:r>
        <w:rPr>
          <w:spacing w:val="-2"/>
        </w:rPr>
        <w:t xml:space="preserve"> </w:t>
      </w:r>
      <w:r>
        <w:t>along</w:t>
      </w:r>
      <w:r>
        <w:rPr>
          <w:spacing w:val="-2"/>
        </w:rPr>
        <w:t xml:space="preserve"> </w:t>
      </w:r>
      <w:r>
        <w:t>with</w:t>
      </w:r>
      <w:r>
        <w:rPr>
          <w:spacing w:val="-2"/>
        </w:rPr>
        <w:t xml:space="preserve"> </w:t>
      </w:r>
      <w:r>
        <w:t>mononuclear</w:t>
      </w:r>
      <w:r>
        <w:rPr>
          <w:spacing w:val="-2"/>
        </w:rPr>
        <w:t xml:space="preserve"> </w:t>
      </w:r>
      <w:r>
        <w:t>cell</w:t>
      </w:r>
      <w:r>
        <w:rPr>
          <w:spacing w:val="-2"/>
        </w:rPr>
        <w:t xml:space="preserve"> </w:t>
      </w:r>
      <w:r>
        <w:t xml:space="preserve">infiltration in the portal area. Fibrinous perihepatitis </w:t>
      </w:r>
      <w:proofErr w:type="spellStart"/>
      <w:r>
        <w:t>characterised</w:t>
      </w:r>
      <w:proofErr w:type="spellEnd"/>
      <w:r>
        <w:t xml:space="preserve"> by</w:t>
      </w:r>
      <w:r>
        <w:rPr>
          <w:spacing w:val="-3"/>
        </w:rPr>
        <w:t xml:space="preserve"> </w:t>
      </w:r>
      <w:r>
        <w:t>deposition</w:t>
      </w:r>
      <w:r>
        <w:rPr>
          <w:spacing w:val="-3"/>
        </w:rPr>
        <w:t xml:space="preserve"> </w:t>
      </w:r>
      <w:r>
        <w:t>of</w:t>
      </w:r>
      <w:r>
        <w:rPr>
          <w:spacing w:val="-3"/>
        </w:rPr>
        <w:t xml:space="preserve"> </w:t>
      </w:r>
      <w:r>
        <w:t>fibrin</w:t>
      </w:r>
      <w:r>
        <w:rPr>
          <w:spacing w:val="-3"/>
        </w:rPr>
        <w:t xml:space="preserve"> </w:t>
      </w:r>
      <w:r>
        <w:t>and</w:t>
      </w:r>
      <w:r>
        <w:rPr>
          <w:spacing w:val="-3"/>
        </w:rPr>
        <w:t xml:space="preserve"> </w:t>
      </w:r>
      <w:r>
        <w:t>leukocytic infiltration extending up to parenchyma till 11 day of infection were</w:t>
      </w:r>
      <w:r>
        <w:rPr>
          <w:spacing w:val="-3"/>
        </w:rPr>
        <w:t xml:space="preserve"> </w:t>
      </w:r>
      <w:r>
        <w:t>noticed.</w:t>
      </w:r>
      <w:r>
        <w:rPr>
          <w:spacing w:val="-3"/>
        </w:rPr>
        <w:t xml:space="preserve"> </w:t>
      </w:r>
      <w:r>
        <w:t>The</w:t>
      </w:r>
      <w:r>
        <w:rPr>
          <w:spacing w:val="-3"/>
        </w:rPr>
        <w:t xml:space="preserve"> </w:t>
      </w:r>
      <w:r>
        <w:t>severity</w:t>
      </w:r>
      <w:r>
        <w:rPr>
          <w:spacing w:val="-3"/>
        </w:rPr>
        <w:t xml:space="preserve"> </w:t>
      </w:r>
      <w:r>
        <w:t>of lesions was reduced after 21 DPI and become almost normal at 28 days.</w:t>
      </w:r>
    </w:p>
    <w:p w:rsidR="00FF2954" w:rsidRDefault="00C341DF">
      <w:pPr>
        <w:pStyle w:val="BodyText"/>
        <w:spacing w:line="360" w:lineRule="auto"/>
        <w:ind w:right="180"/>
        <w:jc w:val="both"/>
      </w:pPr>
      <w:r>
        <w:rPr>
          <w:noProof/>
        </w:rPr>
        <w:drawing>
          <wp:anchor distT="0" distB="0" distL="0" distR="0" simplePos="0" relativeHeight="15734784" behindDoc="0" locked="0" layoutInCell="1" allowOverlap="1">
            <wp:simplePos x="0" y="0"/>
            <wp:positionH relativeFrom="page">
              <wp:posOffset>914400</wp:posOffset>
            </wp:positionH>
            <wp:positionV relativeFrom="paragraph">
              <wp:posOffset>-2628684</wp:posOffset>
            </wp:positionV>
            <wp:extent cx="5734050" cy="161925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5" cstate="print"/>
                    <a:stretch>
                      <a:fillRect/>
                    </a:stretch>
                  </pic:blipFill>
                  <pic:spPr>
                    <a:xfrm>
                      <a:off x="0" y="0"/>
                      <a:ext cx="5734050" cy="1619250"/>
                    </a:xfrm>
                    <a:prstGeom prst="rect">
                      <a:avLst/>
                    </a:prstGeom>
                  </pic:spPr>
                </pic:pic>
              </a:graphicData>
            </a:graphic>
          </wp:anchor>
        </w:drawing>
      </w:r>
      <w:r>
        <w:t>Birds from group B2showed more</w:t>
      </w:r>
      <w:r>
        <w:rPr>
          <w:spacing w:val="-3"/>
        </w:rPr>
        <w:t xml:space="preserve"> </w:t>
      </w:r>
      <w:r>
        <w:t>severe</w:t>
      </w:r>
      <w:r>
        <w:rPr>
          <w:spacing w:val="-3"/>
        </w:rPr>
        <w:t xml:space="preserve"> </w:t>
      </w:r>
      <w:r>
        <w:t>lesion</w:t>
      </w:r>
      <w:r>
        <w:rPr>
          <w:spacing w:val="-3"/>
        </w:rPr>
        <w:t xml:space="preserve"> </w:t>
      </w:r>
      <w:r>
        <w:t>compare</w:t>
      </w:r>
      <w:r>
        <w:rPr>
          <w:spacing w:val="-3"/>
        </w:rPr>
        <w:t xml:space="preserve"> </w:t>
      </w:r>
      <w:r>
        <w:t>to</w:t>
      </w:r>
      <w:r>
        <w:rPr>
          <w:spacing w:val="-3"/>
        </w:rPr>
        <w:t xml:space="preserve"> </w:t>
      </w:r>
      <w:r>
        <w:t>birds</w:t>
      </w:r>
      <w:r>
        <w:rPr>
          <w:spacing w:val="-3"/>
        </w:rPr>
        <w:t xml:space="preserve"> </w:t>
      </w:r>
      <w:r>
        <w:t>of</w:t>
      </w:r>
      <w:r>
        <w:rPr>
          <w:spacing w:val="-3"/>
        </w:rPr>
        <w:t xml:space="preserve"> </w:t>
      </w:r>
      <w:r>
        <w:t>Group</w:t>
      </w:r>
      <w:r>
        <w:rPr>
          <w:spacing w:val="-3"/>
        </w:rPr>
        <w:t xml:space="preserve"> </w:t>
      </w:r>
      <w:r>
        <w:t>A2.</w:t>
      </w:r>
      <w:r>
        <w:rPr>
          <w:spacing w:val="-3"/>
        </w:rPr>
        <w:t xml:space="preserve"> </w:t>
      </w:r>
      <w:r>
        <w:t>On</w:t>
      </w:r>
      <w:r>
        <w:rPr>
          <w:spacing w:val="-3"/>
        </w:rPr>
        <w:t xml:space="preserve"> </w:t>
      </w:r>
      <w:r>
        <w:t>11</w:t>
      </w:r>
      <w:r>
        <w:rPr>
          <w:spacing w:val="-3"/>
        </w:rPr>
        <w:t xml:space="preserve"> </w:t>
      </w:r>
      <w:r>
        <w:t>DPI,</w:t>
      </w:r>
      <w:r>
        <w:rPr>
          <w:spacing w:val="-3"/>
        </w:rPr>
        <w:t xml:space="preserve"> </w:t>
      </w:r>
      <w:r>
        <w:t xml:space="preserve">it showed severe fibrinous perihepatitis along with infiltration of the mononuclear </w:t>
      </w:r>
      <w:proofErr w:type="gramStart"/>
      <w:r>
        <w:t xml:space="preserve">cells </w:t>
      </w:r>
      <w:r>
        <w:rPr>
          <w:b/>
        </w:rPr>
        <w:t>.</w:t>
      </w:r>
      <w:r>
        <w:t>In</w:t>
      </w:r>
      <w:proofErr w:type="gramEnd"/>
      <w:r>
        <w:rPr>
          <w:spacing w:val="40"/>
        </w:rPr>
        <w:t xml:space="preserve"> </w:t>
      </w:r>
      <w:r>
        <w:t>so</w:t>
      </w:r>
      <w:r>
        <w:t>me cases there were also lymphoid aggregations in liver parenchyma.</w:t>
      </w:r>
    </w:p>
    <w:p w:rsidR="00FF2954" w:rsidRDefault="00C341DF">
      <w:pPr>
        <w:pStyle w:val="BodyText"/>
        <w:spacing w:line="360" w:lineRule="auto"/>
        <w:ind w:right="179"/>
        <w:jc w:val="both"/>
      </w:pPr>
      <w:r>
        <w:rPr>
          <w:noProof/>
        </w:rPr>
        <w:drawing>
          <wp:anchor distT="0" distB="0" distL="0" distR="0" simplePos="0" relativeHeight="15735296" behindDoc="0" locked="0" layoutInCell="1" allowOverlap="1">
            <wp:simplePos x="0" y="0"/>
            <wp:positionH relativeFrom="page">
              <wp:posOffset>914400</wp:posOffset>
            </wp:positionH>
            <wp:positionV relativeFrom="paragraph">
              <wp:posOffset>1051463</wp:posOffset>
            </wp:positionV>
            <wp:extent cx="5734050" cy="147637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6" cstate="print"/>
                    <a:stretch>
                      <a:fillRect/>
                    </a:stretch>
                  </pic:blipFill>
                  <pic:spPr>
                    <a:xfrm>
                      <a:off x="0" y="0"/>
                      <a:ext cx="5734050" cy="1476374"/>
                    </a:xfrm>
                    <a:prstGeom prst="rect">
                      <a:avLst/>
                    </a:prstGeom>
                  </pic:spPr>
                </pic:pic>
              </a:graphicData>
            </a:graphic>
          </wp:anchor>
        </w:drawing>
      </w:r>
      <w:r>
        <w:t>Birds from the group C2 showed lesion in the liver with similar pathological alteration but were of lesser magnitude as compared to the group B2. The lesions were observed till 28</w:t>
      </w:r>
      <w:r>
        <w:rPr>
          <w:vertAlign w:val="superscript"/>
        </w:rPr>
        <w:t>th</w:t>
      </w:r>
      <w:r>
        <w:t xml:space="preserve"> DPI w</w:t>
      </w:r>
      <w:r>
        <w:t>ith mild congestion in hepatic sinusoids.</w:t>
      </w:r>
    </w:p>
    <w:p w:rsidR="00FF2954" w:rsidRDefault="00C341DF">
      <w:pPr>
        <w:pStyle w:val="BodyText"/>
        <w:spacing w:before="159"/>
        <w:ind w:left="0"/>
        <w:rPr>
          <w:sz w:val="20"/>
        </w:rPr>
      </w:pPr>
      <w:r>
        <w:rPr>
          <w:noProof/>
          <w:sz w:val="20"/>
        </w:rPr>
        <mc:AlternateContent>
          <mc:Choice Requires="wps">
            <w:drawing>
              <wp:anchor distT="0" distB="0" distL="0" distR="0" simplePos="0" relativeHeight="487592960" behindDoc="1" locked="0" layoutInCell="1" allowOverlap="1">
                <wp:simplePos x="0" y="0"/>
                <wp:positionH relativeFrom="page">
                  <wp:posOffset>914400</wp:posOffset>
                </wp:positionH>
                <wp:positionV relativeFrom="paragraph">
                  <wp:posOffset>262242</wp:posOffset>
                </wp:positionV>
                <wp:extent cx="5734050" cy="147637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0" cy="1476375"/>
                        </a:xfrm>
                        <a:prstGeom prst="rect">
                          <a:avLst/>
                        </a:prstGeom>
                      </wps:spPr>
                      <wps:txbx>
                        <w:txbxContent>
                          <w:p w:rsidR="00FF2954" w:rsidRDefault="00FF2954">
                            <w:pPr>
                              <w:pStyle w:val="BodyText"/>
                              <w:spacing w:before="137"/>
                              <w:ind w:left="0"/>
                            </w:pPr>
                          </w:p>
                          <w:p w:rsidR="00FF2954" w:rsidRDefault="00C341DF">
                            <w:pPr>
                              <w:pStyle w:val="BodyText"/>
                              <w:spacing w:before="1" w:line="360" w:lineRule="auto"/>
                              <w:ind w:left="0" w:right="9"/>
                              <w:jc w:val="both"/>
                            </w:pPr>
                            <w:r>
                              <w:t xml:space="preserve">Figure 2: Liver histopathological microphotographs showed severe fibrinous perihepatitis along with infiltration of mononuclear cells in Group A2 11 </w:t>
                            </w:r>
                            <w:proofErr w:type="gramStart"/>
                            <w:r>
                              <w:t>DPI ,</w:t>
                            </w:r>
                            <w:proofErr w:type="gramEnd"/>
                            <w:r>
                              <w:t xml:space="preserve"> group B2 showed Severe fibrinous perihepatitis along wi</w:t>
                            </w:r>
                            <w:r>
                              <w:t xml:space="preserve">th congestion of blood vessels, sinusoids and infiltration of </w:t>
                            </w:r>
                            <w:r>
                              <w:rPr>
                                <w:spacing w:val="-5"/>
                              </w:rPr>
                              <w:t>the</w:t>
                            </w:r>
                          </w:p>
                        </w:txbxContent>
                      </wps:txbx>
                      <wps:bodyPr wrap="square" lIns="0" tIns="0" rIns="0" bIns="0" rtlCol="0">
                        <a:noAutofit/>
                      </wps:bodyPr>
                    </wps:wsp>
                  </a:graphicData>
                </a:graphic>
              </wp:anchor>
            </w:drawing>
          </mc:Choice>
          <mc:Fallback>
            <w:pict>
              <v:shape id="Textbox 16" o:spid="_x0000_s1036" type="#_x0000_t202" style="position:absolute;margin-left:1in;margin-top:20.65pt;width:451.5pt;height:116.2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" filled="f" stroked="f">
                <v:textbox inset="0,0,0,0">
                  <w:txbxContent>
                    <w:p w:rsidR="00FF2954" w:rsidRDefault="00FF2954">
                      <w:pPr>
                        <w:pStyle w:val="BodyText"/>
                        <w:spacing w:before="137"/>
                        <w:ind w:left="0"/>
                      </w:pPr>
                    </w:p>
                    <w:p w:rsidR="00FF2954" w:rsidRDefault="00C341DF">
                      <w:pPr>
                        <w:pStyle w:val="BodyText"/>
                        <w:spacing w:before="1" w:line="360" w:lineRule="auto"/>
                        <w:ind w:left="0" w:right="9"/>
                        <w:jc w:val="both"/>
                      </w:pPr>
                      <w:r>
                        <w:t xml:space="preserve">Figure 2: Liver histopathological microphotographs showed severe fibrinous perihepatitis along with infiltration of mononuclear cells in Group A2 11 </w:t>
                      </w:r>
                      <w:proofErr w:type="gramStart"/>
                      <w:r>
                        <w:t>DPI ,</w:t>
                      </w:r>
                      <w:proofErr w:type="gramEnd"/>
                      <w:r>
                        <w:t xml:space="preserve"> group B2 showed Severe fibrinous perihepatitis along wi</w:t>
                      </w:r>
                      <w:r>
                        <w:t xml:space="preserve">th congestion of blood vessels, sinusoids and infiltration of </w:t>
                      </w:r>
                      <w:r>
                        <w:rPr>
                          <w:spacing w:val="-5"/>
                        </w:rPr>
                        <w:t>the</w:t>
                      </w:r>
                    </w:p>
                  </w:txbxContent>
                </v:textbox>
                <w10:wrap type="topAndBottom" anchorx="page"/>
              </v:shape>
            </w:pict>
          </mc:Fallback>
        </mc:AlternateContent>
      </w:r>
    </w:p>
    <w:p w:rsidR="00FF2954" w:rsidRDefault="00FF2954">
      <w:pPr>
        <w:pStyle w:val="BodyText"/>
        <w:rPr>
          <w:sz w:val="20"/>
        </w:rPr>
        <w:sectPr w:rsidR="00FF2954">
          <w:pgSz w:w="11920" w:h="16840"/>
          <w:pgMar w:top="1380" w:right="1275" w:bottom="280" w:left="1275" w:header="720" w:footer="720" w:gutter="0"/>
          <w:cols w:space="720"/>
        </w:sectPr>
      </w:pPr>
    </w:p>
    <w:p w:rsidR="00FF2954" w:rsidRDefault="00C341DF">
      <w:pPr>
        <w:pStyle w:val="BodyText"/>
        <w:spacing w:before="60" w:line="360" w:lineRule="auto"/>
        <w:ind w:right="181"/>
        <w:jc w:val="both"/>
      </w:pPr>
      <w:r>
        <w:rPr>
          <w:noProof/>
        </w:rPr>
        <w:lastRenderedPageBreak/>
        <mc:AlternateContent>
          <mc:Choice Requires="wps">
            <w:drawing>
              <wp:anchor distT="0" distB="0" distL="0" distR="0" simplePos="0" relativeHeight="487301120" behindDoc="1" locked="0" layoutInCell="1" allowOverlap="1">
                <wp:simplePos x="0" y="0"/>
                <wp:positionH relativeFrom="page">
                  <wp:posOffset>-343000</wp:posOffset>
                </wp:positionH>
                <wp:positionV relativeFrom="page">
                  <wp:posOffset>101041</wp:posOffset>
                </wp:positionV>
                <wp:extent cx="1598930" cy="103822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17" o:spid="_x0000_s1037" type="#_x0000_t202" style="position:absolute;left:0;text-align:left;margin-left:-27pt;margin-top:7.95pt;width:125.9pt;height:81.75pt;rotation:-45;z-index:-1601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" filled="f" stroked="f">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r>
        <w:t>mononuclear cells in parenchyma and group C2 showed marked sinusoidal congestion</w:t>
      </w:r>
      <w:r>
        <w:rPr>
          <w:spacing w:val="-3"/>
        </w:rPr>
        <w:t xml:space="preserve"> </w:t>
      </w:r>
      <w:r>
        <w:t xml:space="preserve">H&amp;E </w:t>
      </w:r>
      <w:r>
        <w:rPr>
          <w:spacing w:val="-2"/>
        </w:rPr>
        <w:t>x100).</w:t>
      </w:r>
    </w:p>
    <w:p w:rsidR="00FF2954" w:rsidRDefault="00FF2954">
      <w:pPr>
        <w:pStyle w:val="BodyText"/>
        <w:ind w:left="0"/>
      </w:pPr>
    </w:p>
    <w:p w:rsidR="00FF2954" w:rsidRDefault="00FF2954">
      <w:pPr>
        <w:pStyle w:val="BodyText"/>
        <w:ind w:left="0"/>
      </w:pPr>
    </w:p>
    <w:p w:rsidR="00FF2954" w:rsidRDefault="00C341DF">
      <w:pPr>
        <w:pStyle w:val="Heading1"/>
        <w:spacing w:before="276"/>
        <w:jc w:val="both"/>
      </w:pPr>
      <w:r>
        <w:t xml:space="preserve">Histopathological changes in </w:t>
      </w:r>
      <w:r>
        <w:rPr>
          <w:spacing w:val="-2"/>
        </w:rPr>
        <w:t>Kidney</w:t>
      </w:r>
    </w:p>
    <w:p w:rsidR="00FF2954" w:rsidRDefault="00C341DF">
      <w:pPr>
        <w:pStyle w:val="BodyText"/>
        <w:spacing w:before="138" w:line="360" w:lineRule="auto"/>
        <w:ind w:right="181"/>
        <w:jc w:val="both"/>
      </w:pPr>
      <w:r>
        <w:t>Histopathological</w:t>
      </w:r>
      <w:r>
        <w:rPr>
          <w:spacing w:val="-2"/>
        </w:rPr>
        <w:t xml:space="preserve"> </w:t>
      </w:r>
      <w:r>
        <w:t>changes</w:t>
      </w:r>
      <w:r>
        <w:rPr>
          <w:spacing w:val="-2"/>
        </w:rPr>
        <w:t xml:space="preserve"> </w:t>
      </w:r>
      <w:r>
        <w:t>in</w:t>
      </w:r>
      <w:r>
        <w:rPr>
          <w:spacing w:val="-2"/>
        </w:rPr>
        <w:t xml:space="preserve"> </w:t>
      </w:r>
      <w:r>
        <w:t>the</w:t>
      </w:r>
      <w:r>
        <w:rPr>
          <w:spacing w:val="-2"/>
        </w:rPr>
        <w:t xml:space="preserve"> </w:t>
      </w:r>
      <w:r>
        <w:t>kidney</w:t>
      </w:r>
      <w:r>
        <w:rPr>
          <w:spacing w:val="-2"/>
        </w:rPr>
        <w:t xml:space="preserve"> </w:t>
      </w:r>
      <w:r>
        <w:t>are</w:t>
      </w:r>
      <w:r>
        <w:rPr>
          <w:spacing w:val="-2"/>
        </w:rPr>
        <w:t xml:space="preserve"> </w:t>
      </w:r>
      <w:r>
        <w:t>represented</w:t>
      </w:r>
      <w:r>
        <w:rPr>
          <w:spacing w:val="-2"/>
        </w:rPr>
        <w:t xml:space="preserve"> </w:t>
      </w:r>
      <w:r>
        <w:t>as</w:t>
      </w:r>
      <w:r>
        <w:rPr>
          <w:spacing w:val="-2"/>
        </w:rPr>
        <w:t xml:space="preserve"> </w:t>
      </w:r>
      <w:r>
        <w:t>Figure</w:t>
      </w:r>
      <w:r>
        <w:rPr>
          <w:spacing w:val="-2"/>
        </w:rPr>
        <w:t xml:space="preserve"> </w:t>
      </w:r>
      <w:r>
        <w:t>3.</w:t>
      </w:r>
      <w:r>
        <w:rPr>
          <w:spacing w:val="-2"/>
        </w:rPr>
        <w:t xml:space="preserve"> </w:t>
      </w:r>
      <w:r>
        <w:t>On</w:t>
      </w:r>
      <w:r>
        <w:rPr>
          <w:spacing w:val="-2"/>
        </w:rPr>
        <w:t xml:space="preserve"> </w:t>
      </w:r>
      <w:r>
        <w:t>3</w:t>
      </w:r>
      <w:r>
        <w:rPr>
          <w:spacing w:val="-2"/>
        </w:rPr>
        <w:t xml:space="preserve"> </w:t>
      </w:r>
      <w:r>
        <w:t>DPI</w:t>
      </w:r>
      <w:r>
        <w:rPr>
          <w:spacing w:val="-2"/>
        </w:rPr>
        <w:t xml:space="preserve"> </w:t>
      </w:r>
      <w:r>
        <w:t>onwards,</w:t>
      </w:r>
      <w:r>
        <w:rPr>
          <w:spacing w:val="-2"/>
        </w:rPr>
        <w:t xml:space="preserve"> </w:t>
      </w:r>
      <w:r>
        <w:t xml:space="preserve">birds of group A2 revealed congestion in the blood vessels and renal parenchyma along with the </w:t>
      </w:r>
      <w:proofErr w:type="spellStart"/>
      <w:r>
        <w:t>haemorrhages</w:t>
      </w:r>
      <w:proofErr w:type="spellEnd"/>
      <w:r>
        <w:t xml:space="preserve"> in the </w:t>
      </w:r>
      <w:proofErr w:type="spellStart"/>
      <w:r>
        <w:t>intertubular</w:t>
      </w:r>
      <w:proofErr w:type="spellEnd"/>
      <w:r>
        <w:t xml:space="preserve"> area. On 11 DPI, tubular necrosis and mononuclear cells infiltration were observed. On 21</w:t>
      </w:r>
      <w:r>
        <w:rPr>
          <w:spacing w:val="-3"/>
        </w:rPr>
        <w:t xml:space="preserve"> </w:t>
      </w:r>
      <w:r>
        <w:t>DPI,</w:t>
      </w:r>
      <w:r>
        <w:rPr>
          <w:spacing w:val="-3"/>
        </w:rPr>
        <w:t xml:space="preserve"> </w:t>
      </w:r>
      <w:r>
        <w:t>Kidneys</w:t>
      </w:r>
      <w:r>
        <w:rPr>
          <w:spacing w:val="-3"/>
        </w:rPr>
        <w:t xml:space="preserve"> </w:t>
      </w:r>
      <w:r>
        <w:t>revealed</w:t>
      </w:r>
      <w:r>
        <w:rPr>
          <w:spacing w:val="-3"/>
        </w:rPr>
        <w:t xml:space="preserve"> </w:t>
      </w:r>
      <w:r>
        <w:t>congestion,</w:t>
      </w:r>
      <w:r>
        <w:rPr>
          <w:spacing w:val="-3"/>
        </w:rPr>
        <w:t xml:space="preserve"> </w:t>
      </w:r>
      <w:r>
        <w:t>dege</w:t>
      </w:r>
      <w:r>
        <w:t>nerative</w:t>
      </w:r>
      <w:r>
        <w:rPr>
          <w:spacing w:val="-3"/>
        </w:rPr>
        <w:t xml:space="preserve"> </w:t>
      </w:r>
      <w:r>
        <w:t>changes</w:t>
      </w:r>
      <w:r>
        <w:rPr>
          <w:spacing w:val="-3"/>
        </w:rPr>
        <w:t xml:space="preserve"> </w:t>
      </w:r>
      <w:r>
        <w:t>in the renal tubules and lymphocytic infiltration in the interstitial tissue. Whereas, on 28</w:t>
      </w:r>
      <w:r>
        <w:rPr>
          <w:vertAlign w:val="superscript"/>
        </w:rPr>
        <w:t>th</w:t>
      </w:r>
      <w:r>
        <w:t xml:space="preserve"> of DPI, no significant changes were noticed in the kidneys.</w:t>
      </w:r>
    </w:p>
    <w:p w:rsidR="00FF2954" w:rsidRDefault="00C341DF">
      <w:pPr>
        <w:pStyle w:val="BodyText"/>
        <w:spacing w:line="360" w:lineRule="auto"/>
        <w:ind w:right="178"/>
        <w:jc w:val="both"/>
      </w:pPr>
      <w:r>
        <w:t>Group B2</w:t>
      </w:r>
      <w:r>
        <w:rPr>
          <w:vertAlign w:val="subscript"/>
        </w:rPr>
        <w:t>,</w:t>
      </w:r>
      <w:r>
        <w:t xml:space="preserve"> revealed congested and </w:t>
      </w:r>
      <w:proofErr w:type="spellStart"/>
      <w:r>
        <w:t>haemorrhagic</w:t>
      </w:r>
      <w:proofErr w:type="spellEnd"/>
      <w:r>
        <w:t xml:space="preserve"> area in the </w:t>
      </w:r>
      <w:proofErr w:type="spellStart"/>
      <w:r>
        <w:t>intertubular</w:t>
      </w:r>
      <w:proofErr w:type="spellEnd"/>
      <w:r>
        <w:t xml:space="preserve"> space along w</w:t>
      </w:r>
      <w:r>
        <w:t xml:space="preserve">ith mild leukocytic infiltration. Focal interstitial nephritis characterized by the </w:t>
      </w:r>
      <w:r>
        <w:rPr>
          <w:color w:val="000000"/>
          <w:highlight w:val="yellow"/>
        </w:rPr>
        <w:t>mild leukocytic</w:t>
      </w:r>
      <w:r>
        <w:rPr>
          <w:color w:val="000000"/>
        </w:rPr>
        <w:t xml:space="preserve"> infiltration and degenerative changes in the tubules were also observed. On 11 DPI, kidneys revealed focal interstitial nephritis characterized by degenerat</w:t>
      </w:r>
      <w:r>
        <w:rPr>
          <w:color w:val="000000"/>
        </w:rPr>
        <w:t>ive changes in the tubules and severe infiltration of mononuclear cells in the parenchyma.</w:t>
      </w:r>
    </w:p>
    <w:p w:rsidR="00FF2954" w:rsidRDefault="00C341DF">
      <w:pPr>
        <w:pStyle w:val="BodyText"/>
        <w:spacing w:line="360" w:lineRule="auto"/>
        <w:ind w:right="179"/>
        <w:jc w:val="both"/>
      </w:pPr>
      <w:r>
        <w:rPr>
          <w:noProof/>
        </w:rPr>
        <w:drawing>
          <wp:anchor distT="0" distB="0" distL="0" distR="0" simplePos="0" relativeHeight="15736832" behindDoc="0" locked="0" layoutInCell="1" allowOverlap="1">
            <wp:simplePos x="0" y="0"/>
            <wp:positionH relativeFrom="page">
              <wp:posOffset>914400</wp:posOffset>
            </wp:positionH>
            <wp:positionV relativeFrom="paragraph">
              <wp:posOffset>1577183</wp:posOffset>
            </wp:positionV>
            <wp:extent cx="5734050" cy="1914525"/>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734050" cy="1914525"/>
                    </a:xfrm>
                    <a:prstGeom prst="rect">
                      <a:avLst/>
                    </a:prstGeom>
                  </pic:spPr>
                </pic:pic>
              </a:graphicData>
            </a:graphic>
          </wp:anchor>
        </w:drawing>
      </w:r>
      <w:r>
        <w:t>Group C2 showed congestion and focal necrosis of the renal tubule with infiltration of mononuclear cells and fibroblast proliferation including glomerular capillari</w:t>
      </w:r>
      <w:r>
        <w:t>es from 11 DPI onwards. On 21 DPI onwards, there were degenerative changes in renal tubular epithelium along with severe necrotic changes in few tubules. Congestion and focal</w:t>
      </w:r>
      <w:r>
        <w:rPr>
          <w:spacing w:val="-3"/>
        </w:rPr>
        <w:t xml:space="preserve"> </w:t>
      </w:r>
      <w:r>
        <w:t>interstitial</w:t>
      </w:r>
      <w:r>
        <w:rPr>
          <w:spacing w:val="-3"/>
        </w:rPr>
        <w:t xml:space="preserve"> </w:t>
      </w:r>
      <w:r>
        <w:t>nephritis characterized by mononuclear cells infiltration along with</w:t>
      </w:r>
      <w:r>
        <w:t xml:space="preserve"> degeneration of renal tubules was also observed from 21 DPI onwards in the birds of group C1.</w:t>
      </w:r>
    </w:p>
    <w:p w:rsidR="00FF2954" w:rsidRDefault="00C341DF">
      <w:pPr>
        <w:ind w:left="165"/>
        <w:rPr>
          <w:sz w:val="20"/>
        </w:rPr>
      </w:pPr>
      <w:r>
        <w:rPr>
          <w:noProof/>
          <w:sz w:val="20"/>
        </w:rPr>
        <mc:AlternateContent>
          <mc:Choice Requires="wpg">
            <w:drawing>
              <wp:inline distT="0" distB="0" distL="0" distR="0">
                <wp:extent cx="5734050" cy="1914525"/>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4050" cy="1914525"/>
                          <a:chOff x="0" y="0"/>
                          <a:chExt cx="5734050" cy="1914525"/>
                        </a:xfrm>
                      </wpg:grpSpPr>
                      <wps:wsp>
                        <wps:cNvPr id="20" name="Textbox 20"/>
                        <wps:cNvSpPr txBox="1"/>
                        <wps:spPr>
                          <a:xfrm>
                            <a:off x="0" y="0"/>
                            <a:ext cx="5734050" cy="1914525"/>
                          </a:xfrm>
                          <a:prstGeom prst="rect">
                            <a:avLst/>
                          </a:prstGeom>
                        </wps:spPr>
                        <wps:txbx>
                          <w:txbxContent>
                            <w:p w:rsidR="00FF2954" w:rsidRDefault="00FF2954">
                              <w:pPr>
                                <w:spacing w:before="137"/>
                                <w:rPr>
                                  <w:sz w:val="24"/>
                                </w:rPr>
                              </w:pPr>
                            </w:p>
                            <w:p w:rsidR="00FF2954" w:rsidRDefault="00C341DF">
                              <w:pPr>
                                <w:spacing w:before="1" w:line="360" w:lineRule="auto"/>
                                <w:ind w:right="4"/>
                                <w:jc w:val="both"/>
                                <w:rPr>
                                  <w:sz w:val="24"/>
                                </w:rPr>
                              </w:pPr>
                              <w:r>
                                <w:rPr>
                                  <w:sz w:val="24"/>
                                </w:rPr>
                                <w:t xml:space="preserve">Figure 3: Kidney histopathological microphotographs showed Congestion and </w:t>
                              </w:r>
                              <w:proofErr w:type="spellStart"/>
                              <w:r>
                                <w:rPr>
                                  <w:sz w:val="24"/>
                                </w:rPr>
                                <w:t>haemorrhages</w:t>
                              </w:r>
                              <w:proofErr w:type="spellEnd"/>
                              <w:r>
                                <w:rPr>
                                  <w:sz w:val="24"/>
                                </w:rPr>
                                <w:t xml:space="preserve"> in the </w:t>
                              </w:r>
                              <w:proofErr w:type="spellStart"/>
                              <w:r>
                                <w:rPr>
                                  <w:sz w:val="24"/>
                                </w:rPr>
                                <w:t>intertubular</w:t>
                              </w:r>
                              <w:proofErr w:type="spellEnd"/>
                              <w:r>
                                <w:rPr>
                                  <w:sz w:val="24"/>
                                </w:rPr>
                                <w:t xml:space="preserve"> area along with mild leukocytic infiltration in Gr</w:t>
                              </w:r>
                              <w:r>
                                <w:rPr>
                                  <w:sz w:val="24"/>
                                </w:rPr>
                                <w:t xml:space="preserve">oup A2, Focal interstitial nephritis characterized by the severe leukocytic infiltration and degenerative changes in the tubules in group B2 with </w:t>
                              </w:r>
                              <w:proofErr w:type="spellStart"/>
                              <w:r>
                                <w:rPr>
                                  <w:sz w:val="24"/>
                                </w:rPr>
                                <w:t>intertubular</w:t>
                              </w:r>
                              <w:proofErr w:type="spellEnd"/>
                              <w:r>
                                <w:rPr>
                                  <w:sz w:val="24"/>
                                </w:rPr>
                                <w:t xml:space="preserve"> </w:t>
                              </w:r>
                              <w:proofErr w:type="spellStart"/>
                              <w:r>
                                <w:rPr>
                                  <w:sz w:val="24"/>
                                </w:rPr>
                                <w:t>haemorrhage</w:t>
                              </w:r>
                              <w:proofErr w:type="spellEnd"/>
                              <w:r>
                                <w:rPr>
                                  <w:sz w:val="24"/>
                                </w:rPr>
                                <w:t xml:space="preserve"> and Focal interstitial nephritis characterized by the mild leukocytic infiltration an</w:t>
                              </w:r>
                              <w:r>
                                <w:rPr>
                                  <w:sz w:val="24"/>
                                </w:rPr>
                                <w:t>d degenerative changes in the tubules in group C2 (H&amp;E x200).</w:t>
                              </w:r>
                            </w:p>
                          </w:txbxContent>
                        </wps:txbx>
                        <wps:bodyPr wrap="square" lIns="0" tIns="0" rIns="0" bIns="0" rtlCol="0">
                          <a:noAutofit/>
                        </wps:bodyPr>
                      </wps:wsp>
                    </wpg:wgp>
                  </a:graphicData>
                </a:graphic>
              </wp:inline>
            </w:drawing>
          </mc:Choice>
          <mc:Fallback>
            <w:pict>
              <v:group id="Group 19" o:spid="_x0000_s1038" style="width:451.5pt;height:150.75pt;mso-position-horizontal-relative:char;mso-position-vertical-relative:line" coordsize="57340,19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">
                <v:shape id="Textbox 20" o:spid="_x0000_s1039" type="#_x0000_t202" style="position:absolute;width:57340;height:19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FF2954" w:rsidRDefault="00FF2954">
                        <w:pPr>
                          <w:spacing w:before="137"/>
                          <w:rPr>
                            <w:sz w:val="24"/>
                          </w:rPr>
                        </w:pPr>
                      </w:p>
                      <w:p w:rsidR="00FF2954" w:rsidRDefault="00C341DF">
                        <w:pPr>
                          <w:spacing w:before="1" w:line="360" w:lineRule="auto"/>
                          <w:ind w:right="4"/>
                          <w:jc w:val="both"/>
                          <w:rPr>
                            <w:sz w:val="24"/>
                          </w:rPr>
                        </w:pPr>
                        <w:r>
                          <w:rPr>
                            <w:sz w:val="24"/>
                          </w:rPr>
                          <w:t xml:space="preserve">Figure 3: Kidney histopathological microphotographs showed Congestion and </w:t>
                        </w:r>
                        <w:proofErr w:type="spellStart"/>
                        <w:r>
                          <w:rPr>
                            <w:sz w:val="24"/>
                          </w:rPr>
                          <w:t>haemorrhages</w:t>
                        </w:r>
                        <w:proofErr w:type="spellEnd"/>
                        <w:r>
                          <w:rPr>
                            <w:sz w:val="24"/>
                          </w:rPr>
                          <w:t xml:space="preserve"> in the </w:t>
                        </w:r>
                        <w:proofErr w:type="spellStart"/>
                        <w:r>
                          <w:rPr>
                            <w:sz w:val="24"/>
                          </w:rPr>
                          <w:t>intertubular</w:t>
                        </w:r>
                        <w:proofErr w:type="spellEnd"/>
                        <w:r>
                          <w:rPr>
                            <w:sz w:val="24"/>
                          </w:rPr>
                          <w:t xml:space="preserve"> area along with mild leukocytic infiltration in Gr</w:t>
                        </w:r>
                        <w:r>
                          <w:rPr>
                            <w:sz w:val="24"/>
                          </w:rPr>
                          <w:t xml:space="preserve">oup A2, Focal interstitial nephritis characterized by the severe leukocytic infiltration and degenerative changes in the tubules in group B2 with </w:t>
                        </w:r>
                        <w:proofErr w:type="spellStart"/>
                        <w:r>
                          <w:rPr>
                            <w:sz w:val="24"/>
                          </w:rPr>
                          <w:t>intertubular</w:t>
                        </w:r>
                        <w:proofErr w:type="spellEnd"/>
                        <w:r>
                          <w:rPr>
                            <w:sz w:val="24"/>
                          </w:rPr>
                          <w:t xml:space="preserve"> </w:t>
                        </w:r>
                        <w:proofErr w:type="spellStart"/>
                        <w:r>
                          <w:rPr>
                            <w:sz w:val="24"/>
                          </w:rPr>
                          <w:t>haemorrhage</w:t>
                        </w:r>
                        <w:proofErr w:type="spellEnd"/>
                        <w:r>
                          <w:rPr>
                            <w:sz w:val="24"/>
                          </w:rPr>
                          <w:t xml:space="preserve"> and Focal interstitial nephritis characterized by the mild leukocytic infiltration an</w:t>
                        </w:r>
                        <w:r>
                          <w:rPr>
                            <w:sz w:val="24"/>
                          </w:rPr>
                          <w:t>d degenerative changes in the tubules in group C2 (H&amp;E x200).</w:t>
                        </w:r>
                      </w:p>
                    </w:txbxContent>
                  </v:textbox>
                </v:shape>
                <w10:anchorlock/>
              </v:group>
            </w:pict>
          </mc:Fallback>
        </mc:AlternateContent>
      </w:r>
    </w:p>
    <w:p w:rsidR="00FF2954" w:rsidRDefault="00FF2954">
      <w:pPr>
        <w:pStyle w:val="BodyText"/>
        <w:ind w:left="0"/>
      </w:pPr>
    </w:p>
    <w:p w:rsidR="00FF2954" w:rsidRDefault="00FF2954">
      <w:pPr>
        <w:pStyle w:val="BodyText"/>
        <w:ind w:left="0"/>
      </w:pPr>
    </w:p>
    <w:p w:rsidR="00FF2954" w:rsidRDefault="00FF2954">
      <w:pPr>
        <w:pStyle w:val="BodyText"/>
        <w:ind w:left="0"/>
      </w:pPr>
    </w:p>
    <w:p w:rsidR="00FF2954" w:rsidRDefault="00FF2954">
      <w:pPr>
        <w:pStyle w:val="BodyText"/>
        <w:spacing w:before="10"/>
        <w:ind w:left="0"/>
      </w:pPr>
    </w:p>
    <w:p w:rsidR="00FF2954" w:rsidRDefault="00C341DF">
      <w:pPr>
        <w:pStyle w:val="Heading1"/>
        <w:jc w:val="both"/>
      </w:pPr>
      <w:r>
        <w:t xml:space="preserve">Histopathological changes in </w:t>
      </w:r>
      <w:r>
        <w:rPr>
          <w:spacing w:val="-2"/>
        </w:rPr>
        <w:t>Brain</w:t>
      </w:r>
    </w:p>
    <w:p w:rsidR="00FF2954" w:rsidRDefault="00FF2954">
      <w:pPr>
        <w:pStyle w:val="Heading1"/>
        <w:jc w:val="both"/>
        <w:sectPr w:rsidR="00FF2954">
          <w:pgSz w:w="11920" w:h="16840"/>
          <w:pgMar w:top="1380" w:right="1275" w:bottom="280" w:left="1275" w:header="720" w:footer="720" w:gutter="0"/>
          <w:cols w:space="720"/>
        </w:sectPr>
      </w:pPr>
    </w:p>
    <w:p w:rsidR="00FF2954" w:rsidRDefault="00C341DF">
      <w:pPr>
        <w:pStyle w:val="BodyText"/>
        <w:spacing w:before="60" w:line="360" w:lineRule="auto"/>
        <w:ind w:right="178"/>
        <w:jc w:val="both"/>
      </w:pPr>
      <w:r>
        <w:rPr>
          <w:noProof/>
        </w:rPr>
        <w:lastRenderedPageBreak/>
        <mc:AlternateContent>
          <mc:Choice Requires="wps">
            <w:drawing>
              <wp:anchor distT="0" distB="0" distL="0" distR="0" simplePos="0" relativeHeight="487302656" behindDoc="1" locked="0" layoutInCell="1" allowOverlap="1">
                <wp:simplePos x="0" y="0"/>
                <wp:positionH relativeFrom="page">
                  <wp:posOffset>-343000</wp:posOffset>
                </wp:positionH>
                <wp:positionV relativeFrom="page">
                  <wp:posOffset>101035</wp:posOffset>
                </wp:positionV>
                <wp:extent cx="1598930" cy="103822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21" o:spid="_x0000_s1040" type="#_x0000_t202" style="position:absolute;left:0;text-align:left;margin-left:-27pt;margin-top:7.95pt;width:125.9pt;height:81.75pt;rotation:-45;z-index:-1601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" filled="f" stroked="f">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r>
        <w:rPr>
          <w:noProof/>
        </w:rPr>
        <w:drawing>
          <wp:anchor distT="0" distB="0" distL="0" distR="0" simplePos="0" relativeHeight="15738368" behindDoc="0" locked="0" layoutInCell="1" allowOverlap="1">
            <wp:simplePos x="0" y="0"/>
            <wp:positionH relativeFrom="page">
              <wp:posOffset>914400</wp:posOffset>
            </wp:positionH>
            <wp:positionV relativeFrom="paragraph">
              <wp:posOffset>2666776</wp:posOffset>
            </wp:positionV>
            <wp:extent cx="5734050" cy="1609724"/>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5734050" cy="1609724"/>
                    </a:xfrm>
                    <a:prstGeom prst="rect">
                      <a:avLst/>
                    </a:prstGeom>
                  </pic:spPr>
                </pic:pic>
              </a:graphicData>
            </a:graphic>
          </wp:anchor>
        </w:drawing>
      </w:r>
      <w:r>
        <w:t>Histopathological changes in the brain are represented as Figu</w:t>
      </w:r>
      <w:r>
        <w:t>re 4. Birds from group A2 revealed congested blood vessels with mild degenerative changes in cerebrum from</w:t>
      </w:r>
      <w:r>
        <w:rPr>
          <w:spacing w:val="-3"/>
        </w:rPr>
        <w:t xml:space="preserve"> </w:t>
      </w:r>
      <w:r>
        <w:t>11</w:t>
      </w:r>
      <w:r>
        <w:rPr>
          <w:spacing w:val="-3"/>
        </w:rPr>
        <w:t xml:space="preserve"> </w:t>
      </w:r>
      <w:r>
        <w:t>to</w:t>
      </w:r>
      <w:r>
        <w:rPr>
          <w:spacing w:val="-3"/>
        </w:rPr>
        <w:t xml:space="preserve"> </w:t>
      </w:r>
      <w:r>
        <w:t xml:space="preserve">21 DPI. Birds of group B2 showed similar lesion as birds of group A2 and group C2but found more severe and appeared at earlier time period. On 3 DPI, group B2 birds exhibited meningitis characterized by infiltration of mononuclear cells in cerebrum. On 11 </w:t>
      </w:r>
      <w:r>
        <w:t>DPI, presence of marked mononuclear cell infiltration and focal area of gliosis was noticed. Degenerative changes in neurons along with vacuolation in the parenchyma were recorded from 3 to 21 DPI. Group C2 revealed congested</w:t>
      </w:r>
      <w:r>
        <w:rPr>
          <w:spacing w:val="-3"/>
        </w:rPr>
        <w:t xml:space="preserve"> </w:t>
      </w:r>
      <w:r>
        <w:t>cerebral</w:t>
      </w:r>
      <w:r>
        <w:rPr>
          <w:spacing w:val="-3"/>
        </w:rPr>
        <w:t xml:space="preserve"> </w:t>
      </w:r>
      <w:r>
        <w:t>blood</w:t>
      </w:r>
      <w:r>
        <w:rPr>
          <w:spacing w:val="-3"/>
        </w:rPr>
        <w:t xml:space="preserve"> </w:t>
      </w:r>
      <w:r>
        <w:t>vessels</w:t>
      </w:r>
      <w:r>
        <w:rPr>
          <w:spacing w:val="-3"/>
        </w:rPr>
        <w:t xml:space="preserve"> </w:t>
      </w:r>
      <w:r>
        <w:t>on</w:t>
      </w:r>
      <w:r>
        <w:rPr>
          <w:spacing w:val="-3"/>
        </w:rPr>
        <w:t xml:space="preserve"> </w:t>
      </w:r>
      <w:r>
        <w:t>21</w:t>
      </w:r>
      <w:r>
        <w:rPr>
          <w:spacing w:val="-3"/>
        </w:rPr>
        <w:t xml:space="preserve"> </w:t>
      </w:r>
      <w:r>
        <w:t>D</w:t>
      </w:r>
      <w:r>
        <w:t>PI.</w:t>
      </w:r>
      <w:r>
        <w:rPr>
          <w:spacing w:val="-3"/>
        </w:rPr>
        <w:t xml:space="preserve"> </w:t>
      </w:r>
      <w:r>
        <w:t>Group</w:t>
      </w:r>
      <w:r>
        <w:rPr>
          <w:spacing w:val="-3"/>
        </w:rPr>
        <w:t xml:space="preserve"> </w:t>
      </w:r>
      <w:r>
        <w:t>C1 showed mild congestion of blood vessels in cerebrum on 28 DPI.</w:t>
      </w:r>
    </w:p>
    <w:p w:rsidR="00FF2954" w:rsidRDefault="00C341DF">
      <w:pPr>
        <w:pStyle w:val="BodyText"/>
        <w:spacing w:before="159"/>
        <w:ind w:left="0"/>
        <w:rPr>
          <w:sz w:val="20"/>
        </w:rPr>
      </w:pPr>
      <w:r>
        <w:rPr>
          <w:noProof/>
          <w:sz w:val="20"/>
        </w:rPr>
        <mc:AlternateContent>
          <mc:Choice Requires="wps">
            <w:drawing>
              <wp:anchor distT="0" distB="0" distL="0" distR="0" simplePos="0" relativeHeight="487596544" behindDoc="1" locked="0" layoutInCell="1" allowOverlap="1">
                <wp:simplePos x="0" y="0"/>
                <wp:positionH relativeFrom="page">
                  <wp:posOffset>914400</wp:posOffset>
                </wp:positionH>
                <wp:positionV relativeFrom="paragraph">
                  <wp:posOffset>262867</wp:posOffset>
                </wp:positionV>
                <wp:extent cx="5734050" cy="160972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0" cy="1609725"/>
                        </a:xfrm>
                        <a:prstGeom prst="rect">
                          <a:avLst/>
                        </a:prstGeom>
                      </wps:spPr>
                      <wps:txbx>
                        <w:txbxContent>
                          <w:p w:rsidR="00FF2954" w:rsidRDefault="00FF2954">
                            <w:pPr>
                              <w:pStyle w:val="BodyText"/>
                              <w:spacing w:before="137"/>
                              <w:ind w:left="0"/>
                            </w:pPr>
                          </w:p>
                          <w:p w:rsidR="00FF2954" w:rsidRDefault="00C341DF">
                            <w:pPr>
                              <w:pStyle w:val="BodyText"/>
                              <w:spacing w:before="1" w:line="360" w:lineRule="auto"/>
                              <w:ind w:left="0" w:right="8"/>
                              <w:jc w:val="both"/>
                            </w:pPr>
                            <w:r>
                              <w:t>Figure 4: Brain histopathological microphotographs showed Mild congestion in group A2, Congestion and</w:t>
                            </w:r>
                            <w:r>
                              <w:rPr>
                                <w:spacing w:val="-4"/>
                              </w:rPr>
                              <w:t xml:space="preserve"> </w:t>
                            </w:r>
                            <w:r>
                              <w:t>meningitis</w:t>
                            </w:r>
                            <w:r>
                              <w:rPr>
                                <w:spacing w:val="-4"/>
                              </w:rPr>
                              <w:t xml:space="preserve"> </w:t>
                            </w:r>
                            <w:r>
                              <w:t>characterized</w:t>
                            </w:r>
                            <w:r>
                              <w:rPr>
                                <w:spacing w:val="-4"/>
                              </w:rPr>
                              <w:t xml:space="preserve"> </w:t>
                            </w:r>
                            <w:r>
                              <w:t>by</w:t>
                            </w:r>
                            <w:r>
                              <w:rPr>
                                <w:spacing w:val="-4"/>
                              </w:rPr>
                              <w:t xml:space="preserve"> </w:t>
                            </w:r>
                            <w:r>
                              <w:t>marked</w:t>
                            </w:r>
                            <w:r>
                              <w:rPr>
                                <w:spacing w:val="-4"/>
                              </w:rPr>
                              <w:t xml:space="preserve"> </w:t>
                            </w:r>
                            <w:r>
                              <w:t>mononuclear</w:t>
                            </w:r>
                            <w:r>
                              <w:rPr>
                                <w:spacing w:val="-4"/>
                              </w:rPr>
                              <w:t xml:space="preserve"> </w:t>
                            </w:r>
                            <w:r>
                              <w:t>cell</w:t>
                            </w:r>
                            <w:r>
                              <w:rPr>
                                <w:spacing w:val="-4"/>
                              </w:rPr>
                              <w:t xml:space="preserve"> </w:t>
                            </w:r>
                            <w:r>
                              <w:t>infiltration</w:t>
                            </w:r>
                            <w:r>
                              <w:rPr>
                                <w:spacing w:val="-4"/>
                              </w:rPr>
                              <w:t xml:space="preserve"> </w:t>
                            </w:r>
                            <w:r>
                              <w:t>in</w:t>
                            </w:r>
                            <w:r>
                              <w:rPr>
                                <w:spacing w:val="-4"/>
                              </w:rPr>
                              <w:t xml:space="preserve"> </w:t>
                            </w:r>
                            <w:r>
                              <w:t>group</w:t>
                            </w:r>
                            <w:r>
                              <w:rPr>
                                <w:spacing w:val="-4"/>
                              </w:rPr>
                              <w:t xml:space="preserve"> </w:t>
                            </w:r>
                            <w:r>
                              <w:t>B2 and focal area of gliosis in group C2 (H&amp;E x100).</w:t>
                            </w:r>
                          </w:p>
                        </w:txbxContent>
                      </wps:txbx>
                      <wps:bodyPr wrap="square" lIns="0" tIns="0" rIns="0" bIns="0" rtlCol="0">
                        <a:noAutofit/>
                      </wps:bodyPr>
                    </wps:wsp>
                  </a:graphicData>
                </a:graphic>
              </wp:anchor>
            </w:drawing>
          </mc:Choice>
          <mc:Fallback>
            <w:pict>
              <v:shape id="Textbox 23" o:spid="_x0000_s1041" type="#_x0000_t202" style="position:absolute;margin-left:1in;margin-top:20.7pt;width:451.5pt;height:126.7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" filled="f" stroked="f">
                <v:textbox inset="0,0,0,0">
                  <w:txbxContent>
                    <w:p w:rsidR="00FF2954" w:rsidRDefault="00FF2954">
                      <w:pPr>
                        <w:pStyle w:val="BodyText"/>
                        <w:spacing w:before="137"/>
                        <w:ind w:left="0"/>
                      </w:pPr>
                    </w:p>
                    <w:p w:rsidR="00FF2954" w:rsidRDefault="00C341DF">
                      <w:pPr>
                        <w:pStyle w:val="BodyText"/>
                        <w:spacing w:before="1" w:line="360" w:lineRule="auto"/>
                        <w:ind w:left="0" w:right="8"/>
                        <w:jc w:val="both"/>
                      </w:pPr>
                      <w:r>
                        <w:t>Figure 4: Brain histopathological microphotographs showed Mild congestion in group A2, Congestion and</w:t>
                      </w:r>
                      <w:r>
                        <w:rPr>
                          <w:spacing w:val="-4"/>
                        </w:rPr>
                        <w:t xml:space="preserve"> </w:t>
                      </w:r>
                      <w:r>
                        <w:t>meningitis</w:t>
                      </w:r>
                      <w:r>
                        <w:rPr>
                          <w:spacing w:val="-4"/>
                        </w:rPr>
                        <w:t xml:space="preserve"> </w:t>
                      </w:r>
                      <w:r>
                        <w:t>characterized</w:t>
                      </w:r>
                      <w:r>
                        <w:rPr>
                          <w:spacing w:val="-4"/>
                        </w:rPr>
                        <w:t xml:space="preserve"> </w:t>
                      </w:r>
                      <w:r>
                        <w:t>by</w:t>
                      </w:r>
                      <w:r>
                        <w:rPr>
                          <w:spacing w:val="-4"/>
                        </w:rPr>
                        <w:t xml:space="preserve"> </w:t>
                      </w:r>
                      <w:r>
                        <w:t>marked</w:t>
                      </w:r>
                      <w:r>
                        <w:rPr>
                          <w:spacing w:val="-4"/>
                        </w:rPr>
                        <w:t xml:space="preserve"> </w:t>
                      </w:r>
                      <w:r>
                        <w:t>mononuclear</w:t>
                      </w:r>
                      <w:r>
                        <w:rPr>
                          <w:spacing w:val="-4"/>
                        </w:rPr>
                        <w:t xml:space="preserve"> </w:t>
                      </w:r>
                      <w:r>
                        <w:t>cell</w:t>
                      </w:r>
                      <w:r>
                        <w:rPr>
                          <w:spacing w:val="-4"/>
                        </w:rPr>
                        <w:t xml:space="preserve"> </w:t>
                      </w:r>
                      <w:r>
                        <w:t>infiltration</w:t>
                      </w:r>
                      <w:r>
                        <w:rPr>
                          <w:spacing w:val="-4"/>
                        </w:rPr>
                        <w:t xml:space="preserve"> </w:t>
                      </w:r>
                      <w:r>
                        <w:t>in</w:t>
                      </w:r>
                      <w:r>
                        <w:rPr>
                          <w:spacing w:val="-4"/>
                        </w:rPr>
                        <w:t xml:space="preserve"> </w:t>
                      </w:r>
                      <w:r>
                        <w:t>group</w:t>
                      </w:r>
                      <w:r>
                        <w:rPr>
                          <w:spacing w:val="-4"/>
                        </w:rPr>
                        <w:t xml:space="preserve"> </w:t>
                      </w:r>
                      <w:r>
                        <w:t>B2 and focal area of gliosis in group C2 (H&amp;E x100).</w:t>
                      </w:r>
                    </w:p>
                  </w:txbxContent>
                </v:textbox>
                <w10:wrap type="topAndBottom" anchorx="page"/>
              </v:shape>
            </w:pict>
          </mc:Fallback>
        </mc:AlternateContent>
      </w:r>
    </w:p>
    <w:p w:rsidR="00FF2954" w:rsidRDefault="00FF2954">
      <w:pPr>
        <w:pStyle w:val="BodyText"/>
        <w:ind w:left="0"/>
      </w:pPr>
    </w:p>
    <w:p w:rsidR="00FF2954" w:rsidRDefault="00FF2954">
      <w:pPr>
        <w:pStyle w:val="BodyText"/>
        <w:ind w:left="0"/>
      </w:pPr>
    </w:p>
    <w:p w:rsidR="00FF2954" w:rsidRDefault="00FF2954">
      <w:pPr>
        <w:pStyle w:val="BodyText"/>
        <w:ind w:left="0"/>
      </w:pPr>
    </w:p>
    <w:p w:rsidR="00FF2954" w:rsidRDefault="00FF2954">
      <w:pPr>
        <w:pStyle w:val="BodyText"/>
        <w:ind w:left="0"/>
      </w:pPr>
    </w:p>
    <w:p w:rsidR="00FF2954" w:rsidRDefault="00FF2954">
      <w:pPr>
        <w:pStyle w:val="BodyText"/>
        <w:ind w:left="0"/>
      </w:pPr>
    </w:p>
    <w:p w:rsidR="00FF2954" w:rsidRDefault="00FF2954">
      <w:pPr>
        <w:pStyle w:val="BodyText"/>
        <w:ind w:left="0"/>
      </w:pPr>
    </w:p>
    <w:p w:rsidR="00FF2954" w:rsidRDefault="00FF2954">
      <w:pPr>
        <w:pStyle w:val="BodyText"/>
        <w:ind w:left="0"/>
      </w:pPr>
    </w:p>
    <w:p w:rsidR="00FF2954" w:rsidRDefault="00FF2954">
      <w:pPr>
        <w:pStyle w:val="BodyText"/>
        <w:ind w:left="0"/>
      </w:pPr>
    </w:p>
    <w:p w:rsidR="00FF2954" w:rsidRDefault="00FF2954">
      <w:pPr>
        <w:pStyle w:val="BodyText"/>
        <w:ind w:left="0"/>
      </w:pPr>
    </w:p>
    <w:p w:rsidR="00FF2954" w:rsidRDefault="00FF2954">
      <w:pPr>
        <w:pStyle w:val="BodyText"/>
        <w:ind w:left="0"/>
      </w:pPr>
    </w:p>
    <w:p w:rsidR="00FF2954" w:rsidRDefault="00FF2954">
      <w:pPr>
        <w:pStyle w:val="BodyText"/>
        <w:spacing w:before="224"/>
        <w:ind w:left="0"/>
      </w:pPr>
    </w:p>
    <w:p w:rsidR="00FF2954" w:rsidRDefault="00C341DF">
      <w:pPr>
        <w:pStyle w:val="Heading1"/>
        <w:spacing w:line="360" w:lineRule="auto"/>
        <w:ind w:right="181"/>
        <w:jc w:val="both"/>
      </w:pPr>
      <w:r>
        <w:t>Overall per cent mean scores in different organs irrespective of post</w:t>
      </w:r>
      <w:r>
        <w:rPr>
          <w:spacing w:val="-4"/>
        </w:rPr>
        <w:t xml:space="preserve"> </w:t>
      </w:r>
      <w:r>
        <w:t>infection</w:t>
      </w:r>
      <w:r>
        <w:rPr>
          <w:spacing w:val="-4"/>
        </w:rPr>
        <w:t xml:space="preserve"> </w:t>
      </w:r>
      <w:r>
        <w:t>period</w:t>
      </w:r>
      <w:r>
        <w:rPr>
          <w:spacing w:val="-4"/>
        </w:rPr>
        <w:t xml:space="preserve"> </w:t>
      </w:r>
      <w:r>
        <w:t xml:space="preserve">in different </w:t>
      </w:r>
      <w:r>
        <w:rPr>
          <w:i/>
        </w:rPr>
        <w:t xml:space="preserve">Escherichia coli </w:t>
      </w:r>
      <w:r>
        <w:t>infected groups</w:t>
      </w:r>
    </w:p>
    <w:p w:rsidR="00FF2954" w:rsidRDefault="00C341DF">
      <w:pPr>
        <w:pStyle w:val="BodyText"/>
        <w:spacing w:line="360" w:lineRule="auto"/>
        <w:ind w:right="178"/>
        <w:jc w:val="both"/>
      </w:pPr>
      <w:r>
        <w:t>Present study showed that birds of group B2 showed significant increase in the overall per cent mean GLS and HLS score</w:t>
      </w:r>
      <w:r>
        <w:rPr>
          <w:spacing w:val="-3"/>
        </w:rPr>
        <w:t xml:space="preserve"> </w:t>
      </w:r>
      <w:r>
        <w:t>as</w:t>
      </w:r>
      <w:r>
        <w:rPr>
          <w:spacing w:val="-3"/>
        </w:rPr>
        <w:t xml:space="preserve"> </w:t>
      </w:r>
      <w:r>
        <w:t>compared</w:t>
      </w:r>
      <w:r>
        <w:rPr>
          <w:spacing w:val="-3"/>
        </w:rPr>
        <w:t xml:space="preserve"> </w:t>
      </w:r>
      <w:r>
        <w:t>to</w:t>
      </w:r>
      <w:r>
        <w:rPr>
          <w:spacing w:val="-3"/>
        </w:rPr>
        <w:t xml:space="preserve"> </w:t>
      </w:r>
      <w:r>
        <w:t>birds</w:t>
      </w:r>
      <w:r>
        <w:rPr>
          <w:spacing w:val="-3"/>
        </w:rPr>
        <w:t xml:space="preserve"> </w:t>
      </w:r>
      <w:r>
        <w:t>of</w:t>
      </w:r>
      <w:r>
        <w:rPr>
          <w:spacing w:val="-3"/>
        </w:rPr>
        <w:t xml:space="preserve"> </w:t>
      </w:r>
      <w:r>
        <w:t>A2,</w:t>
      </w:r>
      <w:r>
        <w:rPr>
          <w:spacing w:val="-3"/>
        </w:rPr>
        <w:t xml:space="preserve"> </w:t>
      </w:r>
      <w:r>
        <w:t>and</w:t>
      </w:r>
      <w:r>
        <w:rPr>
          <w:spacing w:val="-3"/>
        </w:rPr>
        <w:t xml:space="preserve"> </w:t>
      </w:r>
      <w:r>
        <w:t>C2</w:t>
      </w:r>
      <w:r>
        <w:rPr>
          <w:spacing w:val="-3"/>
        </w:rPr>
        <w:t xml:space="preserve"> </w:t>
      </w:r>
      <w:r>
        <w:t>groups</w:t>
      </w:r>
      <w:r>
        <w:rPr>
          <w:spacing w:val="-3"/>
        </w:rPr>
        <w:t xml:space="preserve"> </w:t>
      </w:r>
      <w:r>
        <w:t>as</w:t>
      </w:r>
      <w:r>
        <w:rPr>
          <w:spacing w:val="-3"/>
        </w:rPr>
        <w:t xml:space="preserve"> </w:t>
      </w:r>
      <w:r>
        <w:t>shown</w:t>
      </w:r>
      <w:r>
        <w:rPr>
          <w:spacing w:val="-3"/>
        </w:rPr>
        <w:t xml:space="preserve"> </w:t>
      </w:r>
      <w:r>
        <w:t>in</w:t>
      </w:r>
      <w:r>
        <w:rPr>
          <w:spacing w:val="-3"/>
        </w:rPr>
        <w:t xml:space="preserve"> </w:t>
      </w:r>
      <w:r>
        <w:t xml:space="preserve">Table </w:t>
      </w:r>
      <w:r>
        <w:rPr>
          <w:spacing w:val="-6"/>
        </w:rPr>
        <w:t>1.</w:t>
      </w:r>
    </w:p>
    <w:p w:rsidR="00FF2954" w:rsidRDefault="00C341DF">
      <w:pPr>
        <w:pStyle w:val="Heading1"/>
        <w:spacing w:line="360" w:lineRule="auto"/>
        <w:ind w:left="1245" w:right="177" w:hanging="1080"/>
        <w:jc w:val="both"/>
      </w:pPr>
      <w:r>
        <w:t>Table</w:t>
      </w:r>
      <w:r>
        <w:rPr>
          <w:spacing w:val="-5"/>
        </w:rPr>
        <w:t xml:space="preserve"> </w:t>
      </w:r>
      <w:r>
        <w:t>1:</w:t>
      </w:r>
      <w:r>
        <w:rPr>
          <w:spacing w:val="80"/>
          <w:w w:val="150"/>
        </w:rPr>
        <w:t xml:space="preserve"> </w:t>
      </w:r>
      <w:r>
        <w:t>Overall per cent mean scores</w:t>
      </w:r>
      <w:r>
        <w:rPr>
          <w:spacing w:val="-5"/>
        </w:rPr>
        <w:t xml:space="preserve"> </w:t>
      </w:r>
      <w:r>
        <w:t>in</w:t>
      </w:r>
      <w:r>
        <w:rPr>
          <w:spacing w:val="-5"/>
        </w:rPr>
        <w:t xml:space="preserve"> </w:t>
      </w:r>
      <w:r>
        <w:t>different</w:t>
      </w:r>
      <w:r>
        <w:rPr>
          <w:spacing w:val="-5"/>
        </w:rPr>
        <w:t xml:space="preserve"> </w:t>
      </w:r>
      <w:r>
        <w:t>organs</w:t>
      </w:r>
      <w:r>
        <w:rPr>
          <w:spacing w:val="-5"/>
        </w:rPr>
        <w:t xml:space="preserve"> </w:t>
      </w:r>
      <w:r>
        <w:t>irrespective</w:t>
      </w:r>
      <w:r>
        <w:rPr>
          <w:spacing w:val="-5"/>
        </w:rPr>
        <w:t xml:space="preserve"> </w:t>
      </w:r>
      <w:r>
        <w:t>of</w:t>
      </w:r>
      <w:r>
        <w:rPr>
          <w:spacing w:val="-5"/>
        </w:rPr>
        <w:t xml:space="preserve"> </w:t>
      </w:r>
      <w:r>
        <w:t>post</w:t>
      </w:r>
      <w:r>
        <w:rPr>
          <w:spacing w:val="-5"/>
        </w:rPr>
        <w:t xml:space="preserve"> </w:t>
      </w:r>
      <w:r>
        <w:t xml:space="preserve">infection period in different </w:t>
      </w:r>
      <w:r>
        <w:rPr>
          <w:i/>
        </w:rPr>
        <w:t xml:space="preserve">Escherichia coli </w:t>
      </w:r>
      <w:r>
        <w:t>infected groups</w:t>
      </w:r>
    </w:p>
    <w:tbl>
      <w:tblPr>
        <w:tblW w:w="0" w:type="auto"/>
        <w:tblInd w:w="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0"/>
        <w:gridCol w:w="6900"/>
      </w:tblGrid>
      <w:tr w:rsidR="00FF2954">
        <w:trPr>
          <w:trHeight w:val="939"/>
        </w:trPr>
        <w:tc>
          <w:tcPr>
            <w:tcW w:w="1200" w:type="dxa"/>
            <w:shd w:val="clear" w:color="auto" w:fill="BF4F4D"/>
          </w:tcPr>
          <w:p w:rsidR="00FF2954" w:rsidRDefault="00C341DF">
            <w:pPr>
              <w:pStyle w:val="TableParagraph"/>
              <w:spacing w:before="55" w:line="360" w:lineRule="auto"/>
              <w:ind w:left="110" w:right="408"/>
              <w:rPr>
                <w:sz w:val="24"/>
              </w:rPr>
            </w:pPr>
            <w:r>
              <w:rPr>
                <w:spacing w:val="-2"/>
                <w:sz w:val="24"/>
              </w:rPr>
              <w:t>Lesion score</w:t>
            </w:r>
          </w:p>
        </w:tc>
        <w:tc>
          <w:tcPr>
            <w:tcW w:w="6900" w:type="dxa"/>
            <w:shd w:val="clear" w:color="auto" w:fill="BF4F4D"/>
          </w:tcPr>
          <w:p w:rsidR="00FF2954" w:rsidRDefault="00C341DF">
            <w:pPr>
              <w:pStyle w:val="TableParagraph"/>
              <w:spacing w:before="55"/>
              <w:jc w:val="center"/>
              <w:rPr>
                <w:sz w:val="24"/>
              </w:rPr>
            </w:pPr>
            <w:r>
              <w:rPr>
                <w:spacing w:val="-2"/>
                <w:sz w:val="24"/>
              </w:rPr>
              <w:t>Groups</w:t>
            </w:r>
          </w:p>
        </w:tc>
      </w:tr>
    </w:tbl>
    <w:p w:rsidR="00FF2954" w:rsidRDefault="00FF2954">
      <w:pPr>
        <w:pStyle w:val="TableParagraph"/>
        <w:jc w:val="center"/>
        <w:rPr>
          <w:sz w:val="24"/>
        </w:rPr>
        <w:sectPr w:rsidR="00FF2954">
          <w:pgSz w:w="11920" w:h="16840"/>
          <w:pgMar w:top="1380" w:right="1275" w:bottom="1328" w:left="1275" w:header="720" w:footer="720" w:gutter="0"/>
          <w:cols w:space="720"/>
        </w:sectPr>
      </w:pPr>
    </w:p>
    <w:tbl>
      <w:tblPr>
        <w:tblW w:w="0" w:type="auto"/>
        <w:tblInd w:w="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0"/>
        <w:gridCol w:w="1440"/>
        <w:gridCol w:w="1180"/>
        <w:gridCol w:w="1860"/>
        <w:gridCol w:w="2420"/>
      </w:tblGrid>
      <w:tr w:rsidR="00FF2954">
        <w:trPr>
          <w:trHeight w:val="520"/>
        </w:trPr>
        <w:tc>
          <w:tcPr>
            <w:tcW w:w="1200" w:type="dxa"/>
            <w:vMerge w:val="restart"/>
            <w:shd w:val="clear" w:color="auto" w:fill="BF4F4D"/>
          </w:tcPr>
          <w:p w:rsidR="00FF2954" w:rsidRDefault="00C341DF">
            <w:pPr>
              <w:pStyle w:val="TableParagraph"/>
              <w:spacing w:before="55"/>
              <w:ind w:left="110"/>
              <w:rPr>
                <w:sz w:val="24"/>
              </w:rPr>
            </w:pPr>
            <w:r>
              <w:rPr>
                <w:spacing w:val="-5"/>
                <w:sz w:val="24"/>
              </w:rPr>
              <w:lastRenderedPageBreak/>
              <w:t>GLS</w:t>
            </w:r>
          </w:p>
        </w:tc>
        <w:tc>
          <w:tcPr>
            <w:tcW w:w="1440" w:type="dxa"/>
            <w:shd w:val="clear" w:color="auto" w:fill="E4B8B6"/>
          </w:tcPr>
          <w:p w:rsidR="00FF2954" w:rsidRDefault="00C341DF">
            <w:pPr>
              <w:pStyle w:val="TableParagraph"/>
              <w:spacing w:before="55"/>
              <w:ind w:left="15"/>
              <w:jc w:val="center"/>
              <w:rPr>
                <w:sz w:val="24"/>
              </w:rPr>
            </w:pPr>
            <w:r>
              <w:rPr>
                <w:sz w:val="24"/>
              </w:rPr>
              <w:t xml:space="preserve">Group </w:t>
            </w:r>
            <w:r>
              <w:rPr>
                <w:spacing w:val="-5"/>
                <w:sz w:val="24"/>
              </w:rPr>
              <w:t>A</w:t>
            </w:r>
            <w:r>
              <w:rPr>
                <w:spacing w:val="-5"/>
                <w:sz w:val="24"/>
                <w:vertAlign w:val="subscript"/>
              </w:rPr>
              <w:t>2</w:t>
            </w:r>
          </w:p>
        </w:tc>
        <w:tc>
          <w:tcPr>
            <w:tcW w:w="1180" w:type="dxa"/>
            <w:shd w:val="clear" w:color="auto" w:fill="F1F1F1"/>
          </w:tcPr>
          <w:p w:rsidR="00FF2954" w:rsidRDefault="00C341DF">
            <w:pPr>
              <w:pStyle w:val="TableParagraph"/>
              <w:spacing w:before="55"/>
              <w:ind w:left="20"/>
              <w:jc w:val="center"/>
              <w:rPr>
                <w:sz w:val="24"/>
              </w:rPr>
            </w:pPr>
            <w:r>
              <w:rPr>
                <w:spacing w:val="-2"/>
                <w:sz w:val="24"/>
              </w:rPr>
              <w:t>38.50</w:t>
            </w:r>
            <w:r>
              <w:rPr>
                <w:spacing w:val="-2"/>
                <w:sz w:val="24"/>
                <w:vertAlign w:val="superscript"/>
              </w:rPr>
              <w:t>c</w:t>
            </w:r>
          </w:p>
        </w:tc>
        <w:tc>
          <w:tcPr>
            <w:tcW w:w="1860" w:type="dxa"/>
            <w:shd w:val="clear" w:color="auto" w:fill="F1F1F1"/>
          </w:tcPr>
          <w:p w:rsidR="00FF2954" w:rsidRDefault="00C341DF">
            <w:pPr>
              <w:pStyle w:val="TableParagraph"/>
              <w:spacing w:before="55"/>
              <w:ind w:left="605"/>
              <w:rPr>
                <w:sz w:val="24"/>
              </w:rPr>
            </w:pPr>
            <w:r>
              <w:rPr>
                <w:sz w:val="24"/>
              </w:rPr>
              <w:t>32.25</w:t>
            </w:r>
            <w:r>
              <w:rPr>
                <w:spacing w:val="-25"/>
                <w:sz w:val="24"/>
              </w:rPr>
              <w:t xml:space="preserve"> </w:t>
            </w:r>
            <w:r>
              <w:rPr>
                <w:spacing w:val="-10"/>
                <w:sz w:val="24"/>
                <w:vertAlign w:val="superscript"/>
              </w:rPr>
              <w:t>c</w:t>
            </w:r>
          </w:p>
        </w:tc>
        <w:tc>
          <w:tcPr>
            <w:tcW w:w="2420" w:type="dxa"/>
            <w:shd w:val="clear" w:color="auto" w:fill="F1F1F1"/>
          </w:tcPr>
          <w:p w:rsidR="00FF2954" w:rsidRDefault="00C341DF">
            <w:pPr>
              <w:pStyle w:val="TableParagraph"/>
              <w:spacing w:before="55"/>
              <w:ind w:left="882"/>
              <w:rPr>
                <w:sz w:val="24"/>
              </w:rPr>
            </w:pPr>
            <w:r>
              <w:rPr>
                <w:sz w:val="24"/>
              </w:rPr>
              <w:t>20.81</w:t>
            </w:r>
            <w:r>
              <w:rPr>
                <w:spacing w:val="-25"/>
                <w:sz w:val="24"/>
              </w:rPr>
              <w:t xml:space="preserve"> </w:t>
            </w:r>
            <w:r>
              <w:rPr>
                <w:spacing w:val="-10"/>
                <w:sz w:val="24"/>
                <w:vertAlign w:val="superscript"/>
              </w:rPr>
              <w:t>c</w:t>
            </w:r>
          </w:p>
        </w:tc>
      </w:tr>
      <w:tr w:rsidR="00FF2954">
        <w:trPr>
          <w:trHeight w:val="519"/>
        </w:trPr>
        <w:tc>
          <w:tcPr>
            <w:tcW w:w="1200" w:type="dxa"/>
            <w:vMerge/>
            <w:tcBorders>
              <w:top w:val="nil"/>
            </w:tcBorders>
            <w:shd w:val="clear" w:color="auto" w:fill="BF4F4D"/>
          </w:tcPr>
          <w:p w:rsidR="00FF2954" w:rsidRDefault="00FF2954">
            <w:pPr>
              <w:rPr>
                <w:sz w:val="2"/>
                <w:szCs w:val="2"/>
              </w:rPr>
            </w:pPr>
          </w:p>
        </w:tc>
        <w:tc>
          <w:tcPr>
            <w:tcW w:w="1440" w:type="dxa"/>
            <w:shd w:val="clear" w:color="auto" w:fill="E4B8B6"/>
          </w:tcPr>
          <w:p w:rsidR="00FF2954" w:rsidRDefault="00C341DF">
            <w:pPr>
              <w:pStyle w:val="TableParagraph"/>
              <w:spacing w:before="64"/>
              <w:ind w:left="15"/>
              <w:jc w:val="center"/>
              <w:rPr>
                <w:sz w:val="24"/>
              </w:rPr>
            </w:pPr>
            <w:r>
              <w:rPr>
                <w:sz w:val="24"/>
              </w:rPr>
              <w:t xml:space="preserve">Group </w:t>
            </w:r>
            <w:r>
              <w:rPr>
                <w:spacing w:val="-5"/>
                <w:sz w:val="24"/>
              </w:rPr>
              <w:t>B</w:t>
            </w:r>
            <w:r>
              <w:rPr>
                <w:spacing w:val="-5"/>
                <w:sz w:val="24"/>
                <w:vertAlign w:val="subscript"/>
              </w:rPr>
              <w:t>2</w:t>
            </w:r>
          </w:p>
        </w:tc>
        <w:tc>
          <w:tcPr>
            <w:tcW w:w="1180" w:type="dxa"/>
            <w:shd w:val="clear" w:color="auto" w:fill="BEBEBE"/>
          </w:tcPr>
          <w:p w:rsidR="00FF2954" w:rsidRDefault="00C341DF">
            <w:pPr>
              <w:pStyle w:val="TableParagraph"/>
              <w:spacing w:before="64"/>
              <w:ind w:left="20"/>
              <w:jc w:val="center"/>
              <w:rPr>
                <w:sz w:val="24"/>
              </w:rPr>
            </w:pPr>
            <w:r>
              <w:rPr>
                <w:spacing w:val="-2"/>
                <w:sz w:val="24"/>
              </w:rPr>
              <w:t>47.81</w:t>
            </w:r>
            <w:r>
              <w:rPr>
                <w:spacing w:val="-2"/>
                <w:sz w:val="24"/>
                <w:vertAlign w:val="superscript"/>
              </w:rPr>
              <w:t>a</w:t>
            </w:r>
          </w:p>
        </w:tc>
        <w:tc>
          <w:tcPr>
            <w:tcW w:w="1860" w:type="dxa"/>
            <w:shd w:val="clear" w:color="auto" w:fill="BEBEBE"/>
          </w:tcPr>
          <w:p w:rsidR="00FF2954" w:rsidRDefault="00C341DF">
            <w:pPr>
              <w:pStyle w:val="TableParagraph"/>
              <w:spacing w:before="64"/>
              <w:ind w:left="605"/>
              <w:rPr>
                <w:sz w:val="24"/>
              </w:rPr>
            </w:pPr>
            <w:r>
              <w:rPr>
                <w:sz w:val="24"/>
              </w:rPr>
              <w:t>45.81</w:t>
            </w:r>
            <w:r>
              <w:rPr>
                <w:spacing w:val="-25"/>
                <w:sz w:val="24"/>
              </w:rPr>
              <w:t xml:space="preserve"> </w:t>
            </w:r>
            <w:r>
              <w:rPr>
                <w:spacing w:val="-10"/>
                <w:sz w:val="24"/>
                <w:vertAlign w:val="superscript"/>
              </w:rPr>
              <w:t>a</w:t>
            </w:r>
          </w:p>
        </w:tc>
        <w:tc>
          <w:tcPr>
            <w:tcW w:w="2420" w:type="dxa"/>
            <w:shd w:val="clear" w:color="auto" w:fill="BEBEBE"/>
          </w:tcPr>
          <w:p w:rsidR="00FF2954" w:rsidRDefault="00C341DF">
            <w:pPr>
              <w:pStyle w:val="TableParagraph"/>
              <w:spacing w:before="64"/>
              <w:ind w:left="882"/>
              <w:rPr>
                <w:sz w:val="24"/>
              </w:rPr>
            </w:pPr>
            <w:r>
              <w:rPr>
                <w:sz w:val="24"/>
              </w:rPr>
              <w:t>31.63</w:t>
            </w:r>
            <w:r>
              <w:rPr>
                <w:spacing w:val="-25"/>
                <w:sz w:val="24"/>
              </w:rPr>
              <w:t xml:space="preserve"> </w:t>
            </w:r>
            <w:r>
              <w:rPr>
                <w:spacing w:val="-10"/>
                <w:sz w:val="24"/>
                <w:vertAlign w:val="superscript"/>
              </w:rPr>
              <w:t>a</w:t>
            </w:r>
          </w:p>
        </w:tc>
      </w:tr>
      <w:tr w:rsidR="00FF2954">
        <w:trPr>
          <w:trHeight w:val="540"/>
        </w:trPr>
        <w:tc>
          <w:tcPr>
            <w:tcW w:w="1200" w:type="dxa"/>
            <w:vMerge/>
            <w:tcBorders>
              <w:top w:val="nil"/>
            </w:tcBorders>
            <w:shd w:val="clear" w:color="auto" w:fill="BF4F4D"/>
          </w:tcPr>
          <w:p w:rsidR="00FF2954" w:rsidRDefault="00FF2954">
            <w:pPr>
              <w:rPr>
                <w:sz w:val="2"/>
                <w:szCs w:val="2"/>
              </w:rPr>
            </w:pPr>
          </w:p>
        </w:tc>
        <w:tc>
          <w:tcPr>
            <w:tcW w:w="1440" w:type="dxa"/>
            <w:shd w:val="clear" w:color="auto" w:fill="E4B8B6"/>
          </w:tcPr>
          <w:p w:rsidR="00FF2954" w:rsidRDefault="00C341DF">
            <w:pPr>
              <w:pStyle w:val="TableParagraph"/>
              <w:spacing w:before="73"/>
              <w:ind w:left="15"/>
              <w:jc w:val="center"/>
              <w:rPr>
                <w:sz w:val="24"/>
              </w:rPr>
            </w:pPr>
            <w:r>
              <w:rPr>
                <w:sz w:val="24"/>
              </w:rPr>
              <w:t xml:space="preserve">Group </w:t>
            </w:r>
            <w:r>
              <w:rPr>
                <w:spacing w:val="-5"/>
                <w:sz w:val="24"/>
              </w:rPr>
              <w:t>C</w:t>
            </w:r>
            <w:r>
              <w:rPr>
                <w:spacing w:val="-5"/>
                <w:sz w:val="24"/>
                <w:vertAlign w:val="subscript"/>
              </w:rPr>
              <w:t>2</w:t>
            </w:r>
          </w:p>
        </w:tc>
        <w:tc>
          <w:tcPr>
            <w:tcW w:w="1180" w:type="dxa"/>
            <w:shd w:val="clear" w:color="auto" w:fill="F1F1F1"/>
          </w:tcPr>
          <w:p w:rsidR="00FF2954" w:rsidRDefault="00C341DF">
            <w:pPr>
              <w:pStyle w:val="TableParagraph"/>
              <w:spacing w:before="73"/>
              <w:ind w:left="266"/>
              <w:rPr>
                <w:sz w:val="24"/>
              </w:rPr>
            </w:pPr>
            <w:r>
              <w:rPr>
                <w:sz w:val="24"/>
              </w:rPr>
              <w:t>42.63</w:t>
            </w:r>
            <w:r>
              <w:rPr>
                <w:spacing w:val="-25"/>
                <w:sz w:val="24"/>
              </w:rPr>
              <w:t xml:space="preserve"> </w:t>
            </w:r>
            <w:r>
              <w:rPr>
                <w:spacing w:val="-10"/>
                <w:sz w:val="24"/>
                <w:vertAlign w:val="superscript"/>
              </w:rPr>
              <w:t>b</w:t>
            </w:r>
          </w:p>
        </w:tc>
        <w:tc>
          <w:tcPr>
            <w:tcW w:w="1860" w:type="dxa"/>
            <w:shd w:val="clear" w:color="auto" w:fill="F1F1F1"/>
          </w:tcPr>
          <w:p w:rsidR="00FF2954" w:rsidRDefault="00C341DF">
            <w:pPr>
              <w:pStyle w:val="TableParagraph"/>
              <w:spacing w:before="73"/>
              <w:ind w:left="601"/>
              <w:rPr>
                <w:sz w:val="24"/>
              </w:rPr>
            </w:pPr>
            <w:r>
              <w:rPr>
                <w:sz w:val="24"/>
              </w:rPr>
              <w:t>37.25</w:t>
            </w:r>
            <w:r>
              <w:rPr>
                <w:spacing w:val="-25"/>
                <w:sz w:val="24"/>
              </w:rPr>
              <w:t xml:space="preserve"> </w:t>
            </w:r>
            <w:r>
              <w:rPr>
                <w:spacing w:val="-10"/>
                <w:sz w:val="24"/>
                <w:vertAlign w:val="superscript"/>
              </w:rPr>
              <w:t>b</w:t>
            </w:r>
          </w:p>
        </w:tc>
        <w:tc>
          <w:tcPr>
            <w:tcW w:w="2420" w:type="dxa"/>
            <w:shd w:val="clear" w:color="auto" w:fill="F1F1F1"/>
          </w:tcPr>
          <w:p w:rsidR="00FF2954" w:rsidRDefault="00C341DF">
            <w:pPr>
              <w:pStyle w:val="TableParagraph"/>
              <w:spacing w:before="73"/>
              <w:ind w:left="878"/>
              <w:rPr>
                <w:sz w:val="24"/>
              </w:rPr>
            </w:pPr>
            <w:r>
              <w:rPr>
                <w:sz w:val="24"/>
              </w:rPr>
              <w:t>27.50</w:t>
            </w:r>
            <w:r>
              <w:rPr>
                <w:spacing w:val="-25"/>
                <w:sz w:val="24"/>
              </w:rPr>
              <w:t xml:space="preserve"> </w:t>
            </w:r>
            <w:r>
              <w:rPr>
                <w:spacing w:val="-10"/>
                <w:sz w:val="24"/>
                <w:vertAlign w:val="superscript"/>
              </w:rPr>
              <w:t>b</w:t>
            </w:r>
          </w:p>
        </w:tc>
      </w:tr>
      <w:tr w:rsidR="00FF2954">
        <w:trPr>
          <w:trHeight w:val="520"/>
        </w:trPr>
        <w:tc>
          <w:tcPr>
            <w:tcW w:w="1200" w:type="dxa"/>
            <w:vMerge w:val="restart"/>
            <w:shd w:val="clear" w:color="auto" w:fill="BF4F4D"/>
          </w:tcPr>
          <w:p w:rsidR="00FF2954" w:rsidRDefault="00C341DF">
            <w:pPr>
              <w:pStyle w:val="TableParagraph"/>
              <w:spacing w:before="62"/>
              <w:ind w:left="110"/>
              <w:rPr>
                <w:sz w:val="24"/>
              </w:rPr>
            </w:pPr>
            <w:r>
              <w:rPr>
                <w:spacing w:val="-5"/>
                <w:sz w:val="24"/>
              </w:rPr>
              <w:t>HLS</w:t>
            </w:r>
          </w:p>
        </w:tc>
        <w:tc>
          <w:tcPr>
            <w:tcW w:w="1440" w:type="dxa"/>
            <w:shd w:val="clear" w:color="auto" w:fill="E4B8B6"/>
          </w:tcPr>
          <w:p w:rsidR="00FF2954" w:rsidRDefault="00C341DF">
            <w:pPr>
              <w:pStyle w:val="TableParagraph"/>
              <w:spacing w:before="62"/>
              <w:ind w:left="15"/>
              <w:jc w:val="center"/>
              <w:rPr>
                <w:sz w:val="24"/>
              </w:rPr>
            </w:pPr>
            <w:r>
              <w:rPr>
                <w:sz w:val="24"/>
              </w:rPr>
              <w:t xml:space="preserve">Group </w:t>
            </w:r>
            <w:r>
              <w:rPr>
                <w:spacing w:val="-5"/>
                <w:sz w:val="24"/>
              </w:rPr>
              <w:t>A</w:t>
            </w:r>
            <w:r>
              <w:rPr>
                <w:spacing w:val="-5"/>
                <w:sz w:val="24"/>
                <w:vertAlign w:val="subscript"/>
              </w:rPr>
              <w:t>2</w:t>
            </w:r>
          </w:p>
        </w:tc>
        <w:tc>
          <w:tcPr>
            <w:tcW w:w="1180" w:type="dxa"/>
            <w:shd w:val="clear" w:color="auto" w:fill="BEBEBE"/>
          </w:tcPr>
          <w:p w:rsidR="00FF2954" w:rsidRDefault="00C341DF">
            <w:pPr>
              <w:pStyle w:val="TableParagraph"/>
              <w:spacing w:before="62"/>
              <w:ind w:left="270"/>
              <w:rPr>
                <w:sz w:val="24"/>
              </w:rPr>
            </w:pPr>
            <w:r>
              <w:rPr>
                <w:sz w:val="24"/>
              </w:rPr>
              <w:t>38.50</w:t>
            </w:r>
            <w:r>
              <w:rPr>
                <w:spacing w:val="-25"/>
                <w:sz w:val="24"/>
              </w:rPr>
              <w:t xml:space="preserve"> </w:t>
            </w:r>
            <w:r>
              <w:rPr>
                <w:spacing w:val="-10"/>
                <w:sz w:val="24"/>
                <w:vertAlign w:val="superscript"/>
              </w:rPr>
              <w:t>c</w:t>
            </w:r>
          </w:p>
        </w:tc>
        <w:tc>
          <w:tcPr>
            <w:tcW w:w="1860" w:type="dxa"/>
            <w:shd w:val="clear" w:color="auto" w:fill="BEBEBE"/>
          </w:tcPr>
          <w:p w:rsidR="00FF2954" w:rsidRDefault="00C341DF">
            <w:pPr>
              <w:pStyle w:val="TableParagraph"/>
              <w:spacing w:before="62"/>
              <w:ind w:left="605"/>
              <w:rPr>
                <w:sz w:val="24"/>
              </w:rPr>
            </w:pPr>
            <w:r>
              <w:rPr>
                <w:sz w:val="24"/>
              </w:rPr>
              <w:t>37.50</w:t>
            </w:r>
            <w:r>
              <w:rPr>
                <w:spacing w:val="-25"/>
                <w:sz w:val="24"/>
              </w:rPr>
              <w:t xml:space="preserve"> </w:t>
            </w:r>
            <w:r>
              <w:rPr>
                <w:spacing w:val="-10"/>
                <w:sz w:val="24"/>
                <w:vertAlign w:val="superscript"/>
              </w:rPr>
              <w:t>c</w:t>
            </w:r>
          </w:p>
        </w:tc>
        <w:tc>
          <w:tcPr>
            <w:tcW w:w="2420" w:type="dxa"/>
            <w:shd w:val="clear" w:color="auto" w:fill="BEBEBE"/>
          </w:tcPr>
          <w:p w:rsidR="00FF2954" w:rsidRDefault="00C341DF">
            <w:pPr>
              <w:pStyle w:val="TableParagraph"/>
              <w:spacing w:before="62"/>
              <w:ind w:left="882"/>
              <w:rPr>
                <w:sz w:val="24"/>
              </w:rPr>
            </w:pPr>
            <w:r>
              <w:rPr>
                <w:sz w:val="24"/>
              </w:rPr>
              <w:t>24.88</w:t>
            </w:r>
            <w:r>
              <w:rPr>
                <w:spacing w:val="-25"/>
                <w:sz w:val="24"/>
              </w:rPr>
              <w:t xml:space="preserve"> </w:t>
            </w:r>
            <w:r>
              <w:rPr>
                <w:spacing w:val="-10"/>
                <w:sz w:val="24"/>
                <w:vertAlign w:val="superscript"/>
              </w:rPr>
              <w:t>c</w:t>
            </w:r>
          </w:p>
        </w:tc>
      </w:tr>
      <w:tr w:rsidR="00FF2954">
        <w:trPr>
          <w:trHeight w:val="539"/>
        </w:trPr>
        <w:tc>
          <w:tcPr>
            <w:tcW w:w="1200" w:type="dxa"/>
            <w:vMerge/>
            <w:tcBorders>
              <w:top w:val="nil"/>
            </w:tcBorders>
            <w:shd w:val="clear" w:color="auto" w:fill="BF4F4D"/>
          </w:tcPr>
          <w:p w:rsidR="00FF2954" w:rsidRDefault="00FF2954">
            <w:pPr>
              <w:rPr>
                <w:sz w:val="2"/>
                <w:szCs w:val="2"/>
              </w:rPr>
            </w:pPr>
          </w:p>
        </w:tc>
        <w:tc>
          <w:tcPr>
            <w:tcW w:w="1440" w:type="dxa"/>
            <w:shd w:val="clear" w:color="auto" w:fill="E4B8B6"/>
          </w:tcPr>
          <w:p w:rsidR="00FF2954" w:rsidRDefault="00C341DF">
            <w:pPr>
              <w:pStyle w:val="TableParagraph"/>
              <w:spacing w:before="71"/>
              <w:ind w:left="15"/>
              <w:jc w:val="center"/>
              <w:rPr>
                <w:sz w:val="24"/>
              </w:rPr>
            </w:pPr>
            <w:r>
              <w:rPr>
                <w:sz w:val="24"/>
              </w:rPr>
              <w:t xml:space="preserve">Group </w:t>
            </w:r>
            <w:r>
              <w:rPr>
                <w:spacing w:val="-5"/>
                <w:sz w:val="24"/>
              </w:rPr>
              <w:t>B</w:t>
            </w:r>
            <w:r>
              <w:rPr>
                <w:spacing w:val="-5"/>
                <w:sz w:val="24"/>
                <w:vertAlign w:val="subscript"/>
              </w:rPr>
              <w:t>2</w:t>
            </w:r>
          </w:p>
        </w:tc>
        <w:tc>
          <w:tcPr>
            <w:tcW w:w="1180" w:type="dxa"/>
            <w:shd w:val="clear" w:color="auto" w:fill="F1F1F1"/>
          </w:tcPr>
          <w:p w:rsidR="00FF2954" w:rsidRDefault="00C341DF">
            <w:pPr>
              <w:pStyle w:val="TableParagraph"/>
              <w:spacing w:before="71"/>
              <w:ind w:left="270"/>
              <w:rPr>
                <w:sz w:val="24"/>
              </w:rPr>
            </w:pPr>
            <w:r>
              <w:rPr>
                <w:sz w:val="24"/>
              </w:rPr>
              <w:t>53.63</w:t>
            </w:r>
            <w:r>
              <w:rPr>
                <w:spacing w:val="-25"/>
                <w:sz w:val="24"/>
              </w:rPr>
              <w:t xml:space="preserve"> </w:t>
            </w:r>
            <w:r>
              <w:rPr>
                <w:spacing w:val="-10"/>
                <w:sz w:val="24"/>
                <w:vertAlign w:val="superscript"/>
              </w:rPr>
              <w:t>a</w:t>
            </w:r>
          </w:p>
        </w:tc>
        <w:tc>
          <w:tcPr>
            <w:tcW w:w="1860" w:type="dxa"/>
            <w:shd w:val="clear" w:color="auto" w:fill="F1F1F1"/>
          </w:tcPr>
          <w:p w:rsidR="00FF2954" w:rsidRDefault="00C341DF">
            <w:pPr>
              <w:pStyle w:val="TableParagraph"/>
              <w:spacing w:before="71"/>
              <w:ind w:left="605"/>
              <w:rPr>
                <w:sz w:val="24"/>
              </w:rPr>
            </w:pPr>
            <w:r>
              <w:rPr>
                <w:sz w:val="24"/>
              </w:rPr>
              <w:t>50.75</w:t>
            </w:r>
            <w:r>
              <w:rPr>
                <w:spacing w:val="-25"/>
                <w:sz w:val="24"/>
              </w:rPr>
              <w:t xml:space="preserve"> </w:t>
            </w:r>
            <w:r>
              <w:rPr>
                <w:spacing w:val="-10"/>
                <w:sz w:val="24"/>
                <w:vertAlign w:val="superscript"/>
              </w:rPr>
              <w:t>a</w:t>
            </w:r>
          </w:p>
        </w:tc>
        <w:tc>
          <w:tcPr>
            <w:tcW w:w="2420" w:type="dxa"/>
            <w:shd w:val="clear" w:color="auto" w:fill="F1F1F1"/>
          </w:tcPr>
          <w:p w:rsidR="00FF2954" w:rsidRDefault="00C341DF">
            <w:pPr>
              <w:pStyle w:val="TableParagraph"/>
              <w:spacing w:before="71"/>
              <w:ind w:left="882"/>
              <w:rPr>
                <w:sz w:val="24"/>
              </w:rPr>
            </w:pPr>
            <w:r>
              <w:rPr>
                <w:sz w:val="24"/>
              </w:rPr>
              <w:t>36.44</w:t>
            </w:r>
            <w:r>
              <w:rPr>
                <w:spacing w:val="-25"/>
                <w:sz w:val="24"/>
              </w:rPr>
              <w:t xml:space="preserve"> </w:t>
            </w:r>
            <w:r>
              <w:rPr>
                <w:spacing w:val="-10"/>
                <w:sz w:val="24"/>
                <w:vertAlign w:val="superscript"/>
              </w:rPr>
              <w:t>a</w:t>
            </w:r>
          </w:p>
        </w:tc>
      </w:tr>
      <w:tr w:rsidR="00FF2954">
        <w:trPr>
          <w:trHeight w:val="520"/>
        </w:trPr>
        <w:tc>
          <w:tcPr>
            <w:tcW w:w="1200" w:type="dxa"/>
            <w:vMerge/>
            <w:tcBorders>
              <w:top w:val="nil"/>
            </w:tcBorders>
            <w:shd w:val="clear" w:color="auto" w:fill="BF4F4D"/>
          </w:tcPr>
          <w:p w:rsidR="00FF2954" w:rsidRDefault="00FF2954">
            <w:pPr>
              <w:rPr>
                <w:sz w:val="2"/>
                <w:szCs w:val="2"/>
              </w:rPr>
            </w:pPr>
          </w:p>
        </w:tc>
        <w:tc>
          <w:tcPr>
            <w:tcW w:w="1440" w:type="dxa"/>
            <w:shd w:val="clear" w:color="auto" w:fill="E4B8B6"/>
          </w:tcPr>
          <w:p w:rsidR="00FF2954" w:rsidRDefault="00C341DF">
            <w:pPr>
              <w:pStyle w:val="TableParagraph"/>
              <w:spacing w:before="60"/>
              <w:ind w:left="15"/>
              <w:jc w:val="center"/>
              <w:rPr>
                <w:sz w:val="24"/>
              </w:rPr>
            </w:pPr>
            <w:r>
              <w:rPr>
                <w:sz w:val="24"/>
              </w:rPr>
              <w:t xml:space="preserve">Group </w:t>
            </w:r>
            <w:r>
              <w:rPr>
                <w:spacing w:val="-5"/>
                <w:sz w:val="24"/>
              </w:rPr>
              <w:t>C</w:t>
            </w:r>
            <w:r>
              <w:rPr>
                <w:spacing w:val="-5"/>
                <w:sz w:val="24"/>
                <w:vertAlign w:val="subscript"/>
              </w:rPr>
              <w:t>2</w:t>
            </w:r>
          </w:p>
        </w:tc>
        <w:tc>
          <w:tcPr>
            <w:tcW w:w="1180" w:type="dxa"/>
            <w:shd w:val="clear" w:color="auto" w:fill="BEBEBE"/>
          </w:tcPr>
          <w:p w:rsidR="00FF2954" w:rsidRDefault="00C341DF">
            <w:pPr>
              <w:pStyle w:val="TableParagraph"/>
              <w:spacing w:before="60"/>
              <w:ind w:left="266"/>
              <w:rPr>
                <w:sz w:val="24"/>
              </w:rPr>
            </w:pPr>
            <w:r>
              <w:rPr>
                <w:sz w:val="24"/>
              </w:rPr>
              <w:t>43.50</w:t>
            </w:r>
            <w:r>
              <w:rPr>
                <w:spacing w:val="-25"/>
                <w:sz w:val="24"/>
              </w:rPr>
              <w:t xml:space="preserve"> </w:t>
            </w:r>
            <w:r>
              <w:rPr>
                <w:spacing w:val="-10"/>
                <w:sz w:val="24"/>
                <w:vertAlign w:val="superscript"/>
              </w:rPr>
              <w:t>b</w:t>
            </w:r>
          </w:p>
        </w:tc>
        <w:tc>
          <w:tcPr>
            <w:tcW w:w="1860" w:type="dxa"/>
            <w:shd w:val="clear" w:color="auto" w:fill="BEBEBE"/>
          </w:tcPr>
          <w:p w:rsidR="00FF2954" w:rsidRDefault="00C341DF">
            <w:pPr>
              <w:pStyle w:val="TableParagraph"/>
              <w:spacing w:before="60"/>
              <w:ind w:left="601"/>
              <w:rPr>
                <w:sz w:val="24"/>
              </w:rPr>
            </w:pPr>
            <w:r>
              <w:rPr>
                <w:sz w:val="24"/>
              </w:rPr>
              <w:t>42.88</w:t>
            </w:r>
            <w:r>
              <w:rPr>
                <w:spacing w:val="-25"/>
                <w:sz w:val="24"/>
              </w:rPr>
              <w:t xml:space="preserve"> </w:t>
            </w:r>
            <w:r>
              <w:rPr>
                <w:spacing w:val="-10"/>
                <w:sz w:val="24"/>
                <w:vertAlign w:val="superscript"/>
              </w:rPr>
              <w:t>b</w:t>
            </w:r>
          </w:p>
        </w:tc>
        <w:tc>
          <w:tcPr>
            <w:tcW w:w="2420" w:type="dxa"/>
            <w:shd w:val="clear" w:color="auto" w:fill="BEBEBE"/>
          </w:tcPr>
          <w:p w:rsidR="00FF2954" w:rsidRDefault="00C341DF">
            <w:pPr>
              <w:pStyle w:val="TableParagraph"/>
              <w:spacing w:before="60"/>
              <w:ind w:left="882"/>
              <w:rPr>
                <w:sz w:val="24"/>
              </w:rPr>
            </w:pPr>
            <w:r>
              <w:rPr>
                <w:sz w:val="24"/>
              </w:rPr>
              <w:t>32.19</w:t>
            </w:r>
            <w:r>
              <w:rPr>
                <w:spacing w:val="-25"/>
                <w:sz w:val="24"/>
              </w:rPr>
              <w:t xml:space="preserve"> </w:t>
            </w:r>
            <w:r>
              <w:rPr>
                <w:spacing w:val="-10"/>
                <w:sz w:val="24"/>
                <w:vertAlign w:val="superscript"/>
              </w:rPr>
              <w:t>a</w:t>
            </w:r>
          </w:p>
        </w:tc>
      </w:tr>
    </w:tbl>
    <w:p w:rsidR="00FF2954" w:rsidRDefault="00C341DF">
      <w:pPr>
        <w:pStyle w:val="BodyText"/>
        <w:spacing w:before="30"/>
      </w:pPr>
      <w:r>
        <w:rPr>
          <w:noProof/>
        </w:rPr>
        <mc:AlternateContent>
          <mc:Choice Requires="wps">
            <w:drawing>
              <wp:anchor distT="0" distB="0" distL="0" distR="0" simplePos="0" relativeHeight="487303680" behindDoc="1" locked="0" layoutInCell="1" allowOverlap="1">
                <wp:simplePos x="0" y="0"/>
                <wp:positionH relativeFrom="page">
                  <wp:posOffset>-343000</wp:posOffset>
                </wp:positionH>
                <wp:positionV relativeFrom="page">
                  <wp:posOffset>101035</wp:posOffset>
                </wp:positionV>
                <wp:extent cx="1598930" cy="103822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24" o:spid="_x0000_s1042" type="#_x0000_t202" style="position:absolute;left:0;text-align:left;margin-left:-27pt;margin-top:7.95pt;width:125.9pt;height:81.75pt;rotation:-45;z-index:-1601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" filled="f" stroked="f">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r>
        <w:t>Superscripts</w:t>
      </w:r>
      <w:r>
        <w:rPr>
          <w:spacing w:val="-4"/>
        </w:rPr>
        <w:t xml:space="preserve"> </w:t>
      </w:r>
      <w:r>
        <w:t>bearing</w:t>
      </w:r>
      <w:r>
        <w:rPr>
          <w:spacing w:val="-2"/>
        </w:rPr>
        <w:t xml:space="preserve"> </w:t>
      </w:r>
      <w:r>
        <w:t>different</w:t>
      </w:r>
      <w:r>
        <w:rPr>
          <w:spacing w:val="-2"/>
        </w:rPr>
        <w:t xml:space="preserve"> </w:t>
      </w:r>
      <w:r>
        <w:t>alphabets</w:t>
      </w:r>
      <w:r>
        <w:rPr>
          <w:spacing w:val="-2"/>
        </w:rPr>
        <w:t xml:space="preserve"> </w:t>
      </w:r>
      <w:r>
        <w:t>differ</w:t>
      </w:r>
      <w:r>
        <w:rPr>
          <w:spacing w:val="-2"/>
        </w:rPr>
        <w:t xml:space="preserve"> significantly</w:t>
      </w:r>
    </w:p>
    <w:p w:rsidR="00FF2954" w:rsidRDefault="00FF2954">
      <w:pPr>
        <w:pStyle w:val="BodyText"/>
        <w:ind w:left="0"/>
      </w:pPr>
    </w:p>
    <w:p w:rsidR="00FF2954" w:rsidRDefault="00FF2954">
      <w:pPr>
        <w:pStyle w:val="BodyText"/>
        <w:ind w:left="0"/>
      </w:pPr>
    </w:p>
    <w:p w:rsidR="00FF2954" w:rsidRDefault="00C341DF">
      <w:pPr>
        <w:pStyle w:val="Heading1"/>
        <w:spacing w:line="360" w:lineRule="auto"/>
      </w:pPr>
      <w:r>
        <w:t>Per</w:t>
      </w:r>
      <w:r>
        <w:rPr>
          <w:spacing w:val="80"/>
        </w:rPr>
        <w:t xml:space="preserve"> </w:t>
      </w:r>
      <w:r>
        <w:t>cent</w:t>
      </w:r>
      <w:r>
        <w:rPr>
          <w:spacing w:val="80"/>
        </w:rPr>
        <w:t xml:space="preserve"> </w:t>
      </w:r>
      <w:r>
        <w:t>severity</w:t>
      </w:r>
      <w:r>
        <w:rPr>
          <w:spacing w:val="80"/>
        </w:rPr>
        <w:t xml:space="preserve"> </w:t>
      </w:r>
      <w:r>
        <w:t>effect</w:t>
      </w:r>
      <w:r>
        <w:rPr>
          <w:spacing w:val="80"/>
        </w:rPr>
        <w:t xml:space="preserve"> </w:t>
      </w:r>
      <w:r>
        <w:t>due</w:t>
      </w:r>
      <w:r>
        <w:rPr>
          <w:spacing w:val="80"/>
        </w:rPr>
        <w:t xml:space="preserve"> </w:t>
      </w:r>
      <w:r>
        <w:t>to</w:t>
      </w:r>
      <w:r>
        <w:rPr>
          <w:spacing w:val="80"/>
        </w:rPr>
        <w:t xml:space="preserve"> </w:t>
      </w:r>
      <w:r>
        <w:t>1/5</w:t>
      </w:r>
      <w:r>
        <w:rPr>
          <w:vertAlign w:val="superscript"/>
        </w:rPr>
        <w:t>th</w:t>
      </w:r>
      <w:r>
        <w:rPr>
          <w:spacing w:val="80"/>
        </w:rPr>
        <w:t xml:space="preserve"> </w:t>
      </w:r>
      <w:r>
        <w:t>MTD</w:t>
      </w:r>
      <w:r>
        <w:rPr>
          <w:spacing w:val="80"/>
        </w:rPr>
        <w:t xml:space="preserve"> </w:t>
      </w:r>
      <w:r>
        <w:t>of</w:t>
      </w:r>
      <w:r>
        <w:rPr>
          <w:spacing w:val="80"/>
        </w:rPr>
        <w:t xml:space="preserve"> </w:t>
      </w:r>
      <w:r>
        <w:t>deltamethrin</w:t>
      </w:r>
      <w:r>
        <w:rPr>
          <w:spacing w:val="80"/>
        </w:rPr>
        <w:t xml:space="preserve"> </w:t>
      </w:r>
      <w:r>
        <w:t>and</w:t>
      </w:r>
      <w:r>
        <w:rPr>
          <w:spacing w:val="80"/>
        </w:rPr>
        <w:t xml:space="preserve"> </w:t>
      </w:r>
      <w:r>
        <w:t>1/10</w:t>
      </w:r>
      <w:r>
        <w:rPr>
          <w:vertAlign w:val="superscript"/>
        </w:rPr>
        <w:t>th</w:t>
      </w:r>
      <w:r>
        <w:rPr>
          <w:spacing w:val="80"/>
        </w:rPr>
        <w:t xml:space="preserve"> </w:t>
      </w:r>
      <w:r>
        <w:t>MTD</w:t>
      </w:r>
      <w:r>
        <w:rPr>
          <w:spacing w:val="80"/>
        </w:rPr>
        <w:t xml:space="preserve"> </w:t>
      </w:r>
      <w:r>
        <w:t xml:space="preserve">of deltamethrin intoxication in </w:t>
      </w:r>
      <w:r>
        <w:rPr>
          <w:i/>
        </w:rPr>
        <w:t xml:space="preserve">Escherichia coli </w:t>
      </w:r>
      <w:r>
        <w:t>infected groups</w:t>
      </w:r>
    </w:p>
    <w:p w:rsidR="00FF2954" w:rsidRDefault="00C341DF">
      <w:pPr>
        <w:pStyle w:val="BodyText"/>
        <w:spacing w:line="360" w:lineRule="auto"/>
        <w:ind w:right="212"/>
      </w:pPr>
      <w:r>
        <w:t>Present</w:t>
      </w:r>
      <w:r>
        <w:rPr>
          <w:spacing w:val="-3"/>
        </w:rPr>
        <w:t xml:space="preserve"> </w:t>
      </w:r>
      <w:r>
        <w:t>study</w:t>
      </w:r>
      <w:r>
        <w:rPr>
          <w:spacing w:val="-3"/>
        </w:rPr>
        <w:t xml:space="preserve"> </w:t>
      </w:r>
      <w:r>
        <w:t>revealed</w:t>
      </w:r>
      <w:r>
        <w:rPr>
          <w:spacing w:val="-3"/>
        </w:rPr>
        <w:t xml:space="preserve"> </w:t>
      </w:r>
      <w:r>
        <w:t>overall</w:t>
      </w:r>
      <w:r>
        <w:rPr>
          <w:spacing w:val="-3"/>
        </w:rPr>
        <w:t xml:space="preserve"> </w:t>
      </w:r>
      <w:r>
        <w:t>significant</w:t>
      </w:r>
      <w:r>
        <w:rPr>
          <w:spacing w:val="-3"/>
        </w:rPr>
        <w:t xml:space="preserve"> </w:t>
      </w:r>
      <w:r>
        <w:t>increase</w:t>
      </w:r>
      <w:r>
        <w:rPr>
          <w:spacing w:val="-3"/>
        </w:rPr>
        <w:t xml:space="preserve"> </w:t>
      </w:r>
      <w:r>
        <w:t>in</w:t>
      </w:r>
      <w:r>
        <w:rPr>
          <w:spacing w:val="-3"/>
        </w:rPr>
        <w:t xml:space="preserve"> </w:t>
      </w:r>
      <w:r>
        <w:t>the</w:t>
      </w:r>
      <w:r>
        <w:rPr>
          <w:spacing w:val="-3"/>
        </w:rPr>
        <w:t xml:space="preserve"> </w:t>
      </w:r>
      <w:r>
        <w:t>mean</w:t>
      </w:r>
      <w:r>
        <w:rPr>
          <w:spacing w:val="-3"/>
        </w:rPr>
        <w:t xml:space="preserve"> </w:t>
      </w:r>
      <w:r>
        <w:t>lesion</w:t>
      </w:r>
      <w:r>
        <w:rPr>
          <w:spacing w:val="-3"/>
        </w:rPr>
        <w:t xml:space="preserve"> </w:t>
      </w:r>
      <w:r>
        <w:t>score</w:t>
      </w:r>
      <w:r>
        <w:rPr>
          <w:spacing w:val="-3"/>
        </w:rPr>
        <w:t xml:space="preserve"> </w:t>
      </w:r>
      <w:r>
        <w:t>scores</w:t>
      </w:r>
      <w:r>
        <w:rPr>
          <w:spacing w:val="-3"/>
        </w:rPr>
        <w:t xml:space="preserve"> </w:t>
      </w:r>
      <w:r>
        <w:t>respective of</w:t>
      </w:r>
      <w:r>
        <w:rPr>
          <w:spacing w:val="40"/>
        </w:rPr>
        <w:t xml:space="preserve"> </w:t>
      </w:r>
      <w:r>
        <w:t>post</w:t>
      </w:r>
      <w:r>
        <w:rPr>
          <w:spacing w:val="-3"/>
        </w:rPr>
        <w:t xml:space="preserve"> </w:t>
      </w:r>
      <w:r>
        <w:t>infection</w:t>
      </w:r>
      <w:r>
        <w:rPr>
          <w:spacing w:val="-3"/>
        </w:rPr>
        <w:t xml:space="preserve"> </w:t>
      </w:r>
      <w:r>
        <w:t>periods</w:t>
      </w:r>
      <w:r>
        <w:rPr>
          <w:spacing w:val="-3"/>
        </w:rPr>
        <w:t xml:space="preserve"> </w:t>
      </w:r>
      <w:r>
        <w:t>and</w:t>
      </w:r>
      <w:r>
        <w:rPr>
          <w:spacing w:val="-3"/>
        </w:rPr>
        <w:t xml:space="preserve"> </w:t>
      </w:r>
      <w:r>
        <w:t>organs</w:t>
      </w:r>
      <w:r>
        <w:rPr>
          <w:spacing w:val="-3"/>
        </w:rPr>
        <w:t xml:space="preserve"> </w:t>
      </w:r>
      <w:r>
        <w:t>in</w:t>
      </w:r>
      <w:r>
        <w:rPr>
          <w:spacing w:val="-3"/>
        </w:rPr>
        <w:t xml:space="preserve"> </w:t>
      </w:r>
      <w:r>
        <w:t>the</w:t>
      </w:r>
      <w:r>
        <w:rPr>
          <w:spacing w:val="-3"/>
        </w:rPr>
        <w:t xml:space="preserve"> </w:t>
      </w:r>
      <w:r>
        <w:t>birds</w:t>
      </w:r>
      <w:r>
        <w:rPr>
          <w:spacing w:val="-3"/>
        </w:rPr>
        <w:t xml:space="preserve"> </w:t>
      </w:r>
      <w:r>
        <w:t>of</w:t>
      </w:r>
      <w:r>
        <w:rPr>
          <w:spacing w:val="-3"/>
        </w:rPr>
        <w:t xml:space="preserve"> </w:t>
      </w:r>
      <w:r>
        <w:t>group</w:t>
      </w:r>
      <w:r>
        <w:rPr>
          <w:spacing w:val="-3"/>
        </w:rPr>
        <w:t xml:space="preserve"> </w:t>
      </w:r>
      <w:r>
        <w:t>B2</w:t>
      </w:r>
      <w:r>
        <w:rPr>
          <w:spacing w:val="-3"/>
        </w:rPr>
        <w:t xml:space="preserve"> </w:t>
      </w:r>
      <w:r>
        <w:t>as</w:t>
      </w:r>
      <w:r>
        <w:rPr>
          <w:spacing w:val="-3"/>
        </w:rPr>
        <w:t xml:space="preserve"> </w:t>
      </w:r>
      <w:r>
        <w:t>compared</w:t>
      </w:r>
      <w:r>
        <w:rPr>
          <w:spacing w:val="-3"/>
        </w:rPr>
        <w:t xml:space="preserve"> </w:t>
      </w:r>
      <w:r>
        <w:t>to</w:t>
      </w:r>
      <w:r>
        <w:rPr>
          <w:spacing w:val="-3"/>
        </w:rPr>
        <w:t xml:space="preserve"> </w:t>
      </w:r>
      <w:r>
        <w:t>A2</w:t>
      </w:r>
      <w:r>
        <w:rPr>
          <w:spacing w:val="-3"/>
        </w:rPr>
        <w:t xml:space="preserve"> </w:t>
      </w:r>
      <w:r>
        <w:t>and</w:t>
      </w:r>
      <w:r>
        <w:rPr>
          <w:spacing w:val="-3"/>
        </w:rPr>
        <w:t xml:space="preserve"> </w:t>
      </w:r>
      <w:r>
        <w:t>C2</w:t>
      </w:r>
      <w:r>
        <w:rPr>
          <w:spacing w:val="-3"/>
        </w:rPr>
        <w:t xml:space="preserve"> </w:t>
      </w:r>
      <w:r>
        <w:t>and showed increased per cent severity effect due to 1/5</w:t>
      </w:r>
      <w:r>
        <w:rPr>
          <w:vertAlign w:val="superscript"/>
        </w:rPr>
        <w:t>th</w:t>
      </w:r>
      <w:r>
        <w:t xml:space="preserve"> dose of MTD as compared to 1/10</w:t>
      </w:r>
      <w:r>
        <w:rPr>
          <w:vertAlign w:val="superscript"/>
        </w:rPr>
        <w:t>th</w:t>
      </w:r>
      <w:r>
        <w:t xml:space="preserve"> dose of MTD as shown in Table 2.</w:t>
      </w:r>
    </w:p>
    <w:p w:rsidR="00FF2954" w:rsidRDefault="00C341DF">
      <w:pPr>
        <w:pStyle w:val="Heading1"/>
        <w:tabs>
          <w:tab w:val="left" w:pos="1244"/>
        </w:tabs>
        <w:spacing w:line="360" w:lineRule="auto"/>
        <w:ind w:left="1245" w:right="212" w:hanging="1080"/>
      </w:pPr>
      <w:r>
        <w:t>Table 2:</w:t>
      </w:r>
      <w:r>
        <w:tab/>
        <w:t>Per cent severity effect due to 1/5</w:t>
      </w:r>
      <w:r>
        <w:rPr>
          <w:vertAlign w:val="superscript"/>
        </w:rPr>
        <w:t>th</w:t>
      </w:r>
      <w:r>
        <w:t xml:space="preserve"> MTD of deltamethrin and 1/10</w:t>
      </w:r>
      <w:r>
        <w:rPr>
          <w:vertAlign w:val="superscript"/>
        </w:rPr>
        <w:t>th</w:t>
      </w:r>
      <w:r>
        <w:t xml:space="preserve"> MTD of deltamethrin intoxication in </w:t>
      </w:r>
      <w:r>
        <w:rPr>
          <w:i/>
        </w:rPr>
        <w:t xml:space="preserve">Escherichia coli </w:t>
      </w:r>
      <w:r>
        <w:t>infected groups</w:t>
      </w:r>
    </w:p>
    <w:tbl>
      <w:tblPr>
        <w:tblW w:w="0" w:type="auto"/>
        <w:tblInd w:w="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00"/>
        <w:gridCol w:w="1140"/>
        <w:gridCol w:w="2600"/>
        <w:gridCol w:w="2320"/>
        <w:gridCol w:w="2200"/>
      </w:tblGrid>
      <w:tr w:rsidR="00FF2954">
        <w:trPr>
          <w:trHeight w:val="2059"/>
        </w:trPr>
        <w:tc>
          <w:tcPr>
            <w:tcW w:w="1000" w:type="dxa"/>
            <w:shd w:val="clear" w:color="auto" w:fill="BF4F4D"/>
          </w:tcPr>
          <w:p w:rsidR="00FF2954" w:rsidRDefault="00FF2954">
            <w:pPr>
              <w:pStyle w:val="TableParagraph"/>
              <w:rPr>
                <w:b/>
                <w:sz w:val="24"/>
              </w:rPr>
            </w:pPr>
          </w:p>
          <w:p w:rsidR="00FF2954" w:rsidRDefault="00FF2954">
            <w:pPr>
              <w:pStyle w:val="TableParagraph"/>
              <w:spacing w:before="64"/>
              <w:rPr>
                <w:b/>
                <w:sz w:val="24"/>
              </w:rPr>
            </w:pPr>
          </w:p>
          <w:p w:rsidR="00FF2954" w:rsidRDefault="00C341DF">
            <w:pPr>
              <w:pStyle w:val="TableParagraph"/>
              <w:spacing w:line="360" w:lineRule="auto"/>
              <w:ind w:left="215" w:right="132" w:hanging="56"/>
              <w:rPr>
                <w:b/>
                <w:sz w:val="24"/>
              </w:rPr>
            </w:pPr>
            <w:r>
              <w:rPr>
                <w:b/>
                <w:spacing w:val="-2"/>
                <w:sz w:val="24"/>
              </w:rPr>
              <w:t xml:space="preserve">Lesion </w:t>
            </w:r>
            <w:r>
              <w:rPr>
                <w:b/>
                <w:spacing w:val="-4"/>
                <w:sz w:val="24"/>
              </w:rPr>
              <w:t>Score</w:t>
            </w:r>
          </w:p>
        </w:tc>
        <w:tc>
          <w:tcPr>
            <w:tcW w:w="1140" w:type="dxa"/>
            <w:shd w:val="clear" w:color="auto" w:fill="BF4F4D"/>
          </w:tcPr>
          <w:p w:rsidR="00FF2954" w:rsidRDefault="00FF2954">
            <w:pPr>
              <w:pStyle w:val="TableParagraph"/>
              <w:rPr>
                <w:b/>
                <w:sz w:val="24"/>
              </w:rPr>
            </w:pPr>
          </w:p>
          <w:p w:rsidR="00FF2954" w:rsidRDefault="00FF2954">
            <w:pPr>
              <w:pStyle w:val="TableParagraph"/>
              <w:spacing w:before="271"/>
              <w:rPr>
                <w:b/>
                <w:sz w:val="24"/>
              </w:rPr>
            </w:pPr>
          </w:p>
          <w:p w:rsidR="00FF2954" w:rsidRDefault="00C341DF">
            <w:pPr>
              <w:pStyle w:val="TableParagraph"/>
              <w:ind w:left="180"/>
              <w:rPr>
                <w:b/>
                <w:sz w:val="24"/>
              </w:rPr>
            </w:pPr>
            <w:r>
              <w:rPr>
                <w:b/>
                <w:spacing w:val="-2"/>
                <w:sz w:val="24"/>
              </w:rPr>
              <w:t>Groups</w:t>
            </w:r>
          </w:p>
        </w:tc>
        <w:tc>
          <w:tcPr>
            <w:tcW w:w="2600" w:type="dxa"/>
            <w:shd w:val="clear" w:color="auto" w:fill="BF4F4D"/>
          </w:tcPr>
          <w:p w:rsidR="00FF2954" w:rsidRDefault="00C341DF">
            <w:pPr>
              <w:pStyle w:val="TableParagraph"/>
              <w:spacing w:line="360" w:lineRule="auto"/>
              <w:ind w:left="62" w:right="40"/>
              <w:jc w:val="center"/>
              <w:rPr>
                <w:b/>
                <w:sz w:val="24"/>
              </w:rPr>
            </w:pPr>
            <w:r>
              <w:rPr>
                <w:b/>
                <w:sz w:val="24"/>
              </w:rPr>
              <w:t>Overall per cent mean lesion</w:t>
            </w:r>
            <w:r>
              <w:rPr>
                <w:b/>
                <w:spacing w:val="-15"/>
                <w:sz w:val="24"/>
              </w:rPr>
              <w:t xml:space="preserve"> </w:t>
            </w:r>
            <w:r>
              <w:rPr>
                <w:b/>
                <w:sz w:val="24"/>
              </w:rPr>
              <w:t>scores</w:t>
            </w:r>
            <w:r>
              <w:rPr>
                <w:b/>
                <w:spacing w:val="-15"/>
                <w:sz w:val="24"/>
              </w:rPr>
              <w:t xml:space="preserve"> </w:t>
            </w:r>
            <w:r>
              <w:rPr>
                <w:b/>
                <w:sz w:val="24"/>
              </w:rPr>
              <w:t xml:space="preserve">respective </w:t>
            </w:r>
            <w:r>
              <w:rPr>
                <w:b/>
                <w:spacing w:val="-6"/>
                <w:sz w:val="24"/>
              </w:rPr>
              <w:t>of</w:t>
            </w:r>
          </w:p>
          <w:p w:rsidR="00FF2954" w:rsidRDefault="00C341DF">
            <w:pPr>
              <w:pStyle w:val="TableParagraph"/>
              <w:ind w:left="62" w:right="42"/>
              <w:jc w:val="center"/>
              <w:rPr>
                <w:b/>
                <w:sz w:val="24"/>
              </w:rPr>
            </w:pPr>
            <w:r>
              <w:rPr>
                <w:b/>
                <w:sz w:val="24"/>
              </w:rPr>
              <w:t xml:space="preserve">post infection </w:t>
            </w:r>
            <w:r>
              <w:rPr>
                <w:b/>
                <w:spacing w:val="-2"/>
                <w:sz w:val="24"/>
              </w:rPr>
              <w:t>periods</w:t>
            </w:r>
          </w:p>
          <w:p w:rsidR="00FF2954" w:rsidRDefault="00C341DF">
            <w:pPr>
              <w:pStyle w:val="TableParagraph"/>
              <w:spacing w:before="133"/>
              <w:ind w:left="62" w:right="42"/>
              <w:jc w:val="center"/>
              <w:rPr>
                <w:b/>
                <w:sz w:val="24"/>
              </w:rPr>
            </w:pPr>
            <w:r>
              <w:rPr>
                <w:b/>
                <w:sz w:val="24"/>
              </w:rPr>
              <w:t xml:space="preserve">and </w:t>
            </w:r>
            <w:r>
              <w:rPr>
                <w:b/>
                <w:spacing w:val="-2"/>
                <w:sz w:val="24"/>
              </w:rPr>
              <w:t>organs</w:t>
            </w:r>
          </w:p>
        </w:tc>
        <w:tc>
          <w:tcPr>
            <w:tcW w:w="2320" w:type="dxa"/>
            <w:shd w:val="clear" w:color="auto" w:fill="BF4F4D"/>
          </w:tcPr>
          <w:p w:rsidR="00FF2954" w:rsidRDefault="00C341DF">
            <w:pPr>
              <w:pStyle w:val="TableParagraph"/>
              <w:spacing w:before="202" w:line="360" w:lineRule="auto"/>
              <w:ind w:left="69" w:right="47"/>
              <w:jc w:val="center"/>
              <w:rPr>
                <w:b/>
                <w:sz w:val="24"/>
              </w:rPr>
            </w:pPr>
            <w:r>
              <w:rPr>
                <w:b/>
                <w:sz w:val="24"/>
              </w:rPr>
              <w:t>Per</w:t>
            </w:r>
            <w:r>
              <w:rPr>
                <w:b/>
                <w:spacing w:val="-15"/>
                <w:sz w:val="24"/>
              </w:rPr>
              <w:t xml:space="preserve"> </w:t>
            </w:r>
            <w:r>
              <w:rPr>
                <w:b/>
                <w:sz w:val="24"/>
              </w:rPr>
              <w:t>cent</w:t>
            </w:r>
            <w:r>
              <w:rPr>
                <w:b/>
                <w:spacing w:val="-15"/>
                <w:sz w:val="24"/>
              </w:rPr>
              <w:t xml:space="preserve"> </w:t>
            </w:r>
            <w:r>
              <w:rPr>
                <w:b/>
                <w:sz w:val="24"/>
              </w:rPr>
              <w:t xml:space="preserve">severity </w:t>
            </w:r>
            <w:r>
              <w:rPr>
                <w:b/>
                <w:spacing w:val="-2"/>
                <w:sz w:val="24"/>
              </w:rPr>
              <w:t>effect</w:t>
            </w:r>
          </w:p>
          <w:p w:rsidR="00FF2954" w:rsidRDefault="00C341DF">
            <w:pPr>
              <w:pStyle w:val="TableParagraph"/>
              <w:spacing w:line="360" w:lineRule="auto"/>
              <w:ind w:left="69" w:right="47"/>
              <w:jc w:val="center"/>
              <w:rPr>
                <w:b/>
                <w:sz w:val="24"/>
              </w:rPr>
            </w:pPr>
            <w:r>
              <w:rPr>
                <w:b/>
                <w:sz w:val="24"/>
              </w:rPr>
              <w:t>due</w:t>
            </w:r>
            <w:r>
              <w:rPr>
                <w:b/>
                <w:spacing w:val="-13"/>
                <w:sz w:val="24"/>
              </w:rPr>
              <w:t xml:space="preserve"> </w:t>
            </w:r>
            <w:r>
              <w:rPr>
                <w:b/>
                <w:sz w:val="24"/>
              </w:rPr>
              <w:t>to</w:t>
            </w:r>
            <w:r>
              <w:rPr>
                <w:b/>
                <w:spacing w:val="-13"/>
                <w:sz w:val="24"/>
              </w:rPr>
              <w:t xml:space="preserve"> </w:t>
            </w:r>
            <w:r>
              <w:rPr>
                <w:b/>
                <w:sz w:val="24"/>
              </w:rPr>
              <w:t>1/5</w:t>
            </w:r>
            <w:r>
              <w:rPr>
                <w:b/>
                <w:sz w:val="24"/>
                <w:vertAlign w:val="superscript"/>
              </w:rPr>
              <w:t>th</w:t>
            </w:r>
            <w:r>
              <w:rPr>
                <w:b/>
                <w:spacing w:val="-4"/>
                <w:sz w:val="24"/>
              </w:rPr>
              <w:t xml:space="preserve"> </w:t>
            </w:r>
            <w:r>
              <w:rPr>
                <w:b/>
                <w:sz w:val="24"/>
              </w:rPr>
              <w:t>MTD</w:t>
            </w:r>
            <w:r>
              <w:rPr>
                <w:b/>
                <w:spacing w:val="-13"/>
                <w:sz w:val="24"/>
              </w:rPr>
              <w:t xml:space="preserve"> </w:t>
            </w:r>
            <w:r>
              <w:rPr>
                <w:b/>
                <w:sz w:val="24"/>
              </w:rPr>
              <w:t xml:space="preserve">of </w:t>
            </w:r>
            <w:r>
              <w:rPr>
                <w:b/>
                <w:spacing w:val="-2"/>
                <w:sz w:val="24"/>
              </w:rPr>
              <w:t>deltamethrin</w:t>
            </w:r>
          </w:p>
        </w:tc>
        <w:tc>
          <w:tcPr>
            <w:tcW w:w="2200" w:type="dxa"/>
            <w:shd w:val="clear" w:color="auto" w:fill="BF4F4D"/>
          </w:tcPr>
          <w:p w:rsidR="00FF2954" w:rsidRDefault="00C341DF">
            <w:pPr>
              <w:pStyle w:val="TableParagraph"/>
              <w:spacing w:line="360" w:lineRule="auto"/>
              <w:ind w:left="103" w:right="86"/>
              <w:jc w:val="center"/>
              <w:rPr>
                <w:b/>
                <w:sz w:val="24"/>
              </w:rPr>
            </w:pPr>
            <w:r>
              <w:rPr>
                <w:b/>
                <w:sz w:val="24"/>
              </w:rPr>
              <w:t>Per</w:t>
            </w:r>
            <w:r>
              <w:rPr>
                <w:b/>
                <w:spacing w:val="-15"/>
                <w:sz w:val="24"/>
              </w:rPr>
              <w:t xml:space="preserve"> </w:t>
            </w:r>
            <w:r>
              <w:rPr>
                <w:b/>
                <w:sz w:val="24"/>
              </w:rPr>
              <w:t>cent</w:t>
            </w:r>
            <w:r>
              <w:rPr>
                <w:b/>
                <w:spacing w:val="-15"/>
                <w:sz w:val="24"/>
              </w:rPr>
              <w:t xml:space="preserve"> </w:t>
            </w:r>
            <w:r>
              <w:rPr>
                <w:b/>
                <w:sz w:val="24"/>
              </w:rPr>
              <w:t xml:space="preserve">severity </w:t>
            </w:r>
            <w:r>
              <w:rPr>
                <w:b/>
                <w:spacing w:val="-2"/>
                <w:sz w:val="24"/>
              </w:rPr>
              <w:t>effect</w:t>
            </w:r>
          </w:p>
          <w:p w:rsidR="00FF2954" w:rsidRDefault="00C341DF">
            <w:pPr>
              <w:pStyle w:val="TableParagraph"/>
              <w:spacing w:line="360" w:lineRule="auto"/>
              <w:ind w:left="103" w:right="86"/>
              <w:jc w:val="center"/>
              <w:rPr>
                <w:b/>
                <w:sz w:val="24"/>
              </w:rPr>
            </w:pPr>
            <w:r>
              <w:rPr>
                <w:b/>
                <w:sz w:val="24"/>
              </w:rPr>
              <w:t>due</w:t>
            </w:r>
            <w:r>
              <w:rPr>
                <w:b/>
                <w:spacing w:val="-15"/>
                <w:sz w:val="24"/>
              </w:rPr>
              <w:t xml:space="preserve"> </w:t>
            </w:r>
            <w:r>
              <w:rPr>
                <w:b/>
                <w:sz w:val="24"/>
              </w:rPr>
              <w:t>to</w:t>
            </w:r>
            <w:r>
              <w:rPr>
                <w:b/>
                <w:spacing w:val="-15"/>
                <w:sz w:val="24"/>
              </w:rPr>
              <w:t xml:space="preserve"> </w:t>
            </w:r>
            <w:r>
              <w:rPr>
                <w:b/>
                <w:sz w:val="24"/>
              </w:rPr>
              <w:t>1/10</w:t>
            </w:r>
            <w:r>
              <w:rPr>
                <w:b/>
                <w:sz w:val="24"/>
                <w:vertAlign w:val="superscript"/>
              </w:rPr>
              <w:t>th</w:t>
            </w:r>
            <w:r>
              <w:rPr>
                <w:b/>
                <w:spacing w:val="-10"/>
                <w:sz w:val="24"/>
              </w:rPr>
              <w:t xml:space="preserve"> </w:t>
            </w:r>
            <w:r>
              <w:rPr>
                <w:b/>
                <w:sz w:val="24"/>
              </w:rPr>
              <w:t xml:space="preserve">MTD </w:t>
            </w:r>
            <w:r>
              <w:rPr>
                <w:b/>
                <w:spacing w:val="-6"/>
                <w:sz w:val="24"/>
              </w:rPr>
              <w:t>of</w:t>
            </w:r>
          </w:p>
          <w:p w:rsidR="00FF2954" w:rsidRDefault="00C341DF">
            <w:pPr>
              <w:pStyle w:val="TableParagraph"/>
              <w:ind w:left="103" w:right="88"/>
              <w:jc w:val="center"/>
              <w:rPr>
                <w:b/>
                <w:sz w:val="24"/>
              </w:rPr>
            </w:pPr>
            <w:r>
              <w:rPr>
                <w:b/>
                <w:spacing w:val="-2"/>
                <w:sz w:val="24"/>
              </w:rPr>
              <w:t>deltamethrin</w:t>
            </w:r>
          </w:p>
        </w:tc>
      </w:tr>
      <w:tr w:rsidR="00FF2954">
        <w:trPr>
          <w:trHeight w:val="820"/>
        </w:trPr>
        <w:tc>
          <w:tcPr>
            <w:tcW w:w="1000" w:type="dxa"/>
            <w:vMerge w:val="restart"/>
            <w:shd w:val="clear" w:color="auto" w:fill="BF4F4D"/>
          </w:tcPr>
          <w:p w:rsidR="00FF2954" w:rsidRDefault="00FF2954">
            <w:pPr>
              <w:pStyle w:val="TableParagraph"/>
              <w:rPr>
                <w:b/>
                <w:sz w:val="24"/>
              </w:rPr>
            </w:pPr>
          </w:p>
          <w:p w:rsidR="00FF2954" w:rsidRDefault="00FF2954">
            <w:pPr>
              <w:pStyle w:val="TableParagraph"/>
              <w:rPr>
                <w:b/>
                <w:sz w:val="24"/>
              </w:rPr>
            </w:pPr>
          </w:p>
          <w:p w:rsidR="00FF2954" w:rsidRDefault="00FF2954">
            <w:pPr>
              <w:pStyle w:val="TableParagraph"/>
              <w:spacing w:before="222"/>
              <w:rPr>
                <w:b/>
                <w:sz w:val="24"/>
              </w:rPr>
            </w:pPr>
          </w:p>
          <w:p w:rsidR="00FF2954" w:rsidRDefault="00C341DF">
            <w:pPr>
              <w:pStyle w:val="TableParagraph"/>
              <w:ind w:left="259"/>
              <w:rPr>
                <w:b/>
                <w:sz w:val="24"/>
              </w:rPr>
            </w:pPr>
            <w:r>
              <w:rPr>
                <w:b/>
                <w:spacing w:val="-5"/>
                <w:sz w:val="24"/>
              </w:rPr>
              <w:t>GLS</w:t>
            </w:r>
          </w:p>
        </w:tc>
        <w:tc>
          <w:tcPr>
            <w:tcW w:w="1140" w:type="dxa"/>
            <w:shd w:val="clear" w:color="auto" w:fill="F1F1F1"/>
          </w:tcPr>
          <w:p w:rsidR="00FF2954" w:rsidRDefault="00C341DF">
            <w:pPr>
              <w:pStyle w:val="TableParagraph"/>
              <w:ind w:left="10"/>
              <w:jc w:val="center"/>
              <w:rPr>
                <w:b/>
                <w:sz w:val="24"/>
              </w:rPr>
            </w:pPr>
            <w:r>
              <w:rPr>
                <w:b/>
                <w:spacing w:val="-2"/>
                <w:sz w:val="24"/>
              </w:rPr>
              <w:t>Group</w:t>
            </w:r>
          </w:p>
          <w:p w:rsidR="00FF2954" w:rsidRDefault="00C341DF">
            <w:pPr>
              <w:pStyle w:val="TableParagraph"/>
              <w:spacing w:before="138"/>
              <w:ind w:left="10"/>
              <w:jc w:val="center"/>
              <w:rPr>
                <w:b/>
                <w:sz w:val="24"/>
              </w:rPr>
            </w:pPr>
            <w:r>
              <w:rPr>
                <w:b/>
                <w:spacing w:val="-5"/>
                <w:sz w:val="24"/>
              </w:rPr>
              <w:t>A</w:t>
            </w:r>
            <w:r>
              <w:rPr>
                <w:b/>
                <w:spacing w:val="-5"/>
                <w:sz w:val="24"/>
                <w:vertAlign w:val="subscript"/>
              </w:rPr>
              <w:t>2</w:t>
            </w:r>
          </w:p>
        </w:tc>
        <w:tc>
          <w:tcPr>
            <w:tcW w:w="2600" w:type="dxa"/>
            <w:shd w:val="clear" w:color="auto" w:fill="F1F1F1"/>
          </w:tcPr>
          <w:p w:rsidR="00FF2954" w:rsidRDefault="00C341DF">
            <w:pPr>
              <w:pStyle w:val="TableParagraph"/>
              <w:spacing w:before="207"/>
              <w:ind w:left="980"/>
              <w:rPr>
                <w:sz w:val="24"/>
              </w:rPr>
            </w:pPr>
            <w:r>
              <w:rPr>
                <w:sz w:val="24"/>
              </w:rPr>
              <w:t>28.91</w:t>
            </w:r>
            <w:r>
              <w:rPr>
                <w:spacing w:val="-25"/>
                <w:sz w:val="24"/>
              </w:rPr>
              <w:t xml:space="preserve"> </w:t>
            </w:r>
            <w:r>
              <w:rPr>
                <w:spacing w:val="-10"/>
                <w:sz w:val="24"/>
                <w:vertAlign w:val="superscript"/>
              </w:rPr>
              <w:t>a</w:t>
            </w:r>
          </w:p>
        </w:tc>
        <w:tc>
          <w:tcPr>
            <w:tcW w:w="2320" w:type="dxa"/>
            <w:vMerge w:val="restart"/>
            <w:shd w:val="clear" w:color="auto" w:fill="F1F1F1"/>
          </w:tcPr>
          <w:p w:rsidR="00FF2954" w:rsidRDefault="00FF2954">
            <w:pPr>
              <w:pStyle w:val="TableParagraph"/>
              <w:rPr>
                <w:b/>
                <w:sz w:val="24"/>
              </w:rPr>
            </w:pPr>
          </w:p>
          <w:p w:rsidR="00FF2954" w:rsidRDefault="00FF2954">
            <w:pPr>
              <w:pStyle w:val="TableParagraph"/>
              <w:rPr>
                <w:b/>
                <w:sz w:val="24"/>
              </w:rPr>
            </w:pPr>
          </w:p>
          <w:p w:rsidR="00FF2954" w:rsidRDefault="00FF2954">
            <w:pPr>
              <w:pStyle w:val="TableParagraph"/>
              <w:spacing w:before="222"/>
              <w:rPr>
                <w:b/>
                <w:sz w:val="24"/>
              </w:rPr>
            </w:pPr>
          </w:p>
          <w:p w:rsidR="00FF2954" w:rsidRDefault="00C341DF">
            <w:pPr>
              <w:pStyle w:val="TableParagraph"/>
              <w:ind w:left="69" w:right="49"/>
              <w:jc w:val="center"/>
              <w:rPr>
                <w:b/>
                <w:sz w:val="24"/>
              </w:rPr>
            </w:pPr>
            <w:r>
              <w:rPr>
                <w:b/>
                <w:spacing w:val="-2"/>
                <w:sz w:val="24"/>
              </w:rPr>
              <w:t>28.88</w:t>
            </w:r>
          </w:p>
        </w:tc>
        <w:tc>
          <w:tcPr>
            <w:tcW w:w="2200" w:type="dxa"/>
            <w:vMerge w:val="restart"/>
            <w:shd w:val="clear" w:color="auto" w:fill="F1F1F1"/>
          </w:tcPr>
          <w:p w:rsidR="00FF2954" w:rsidRDefault="00FF2954">
            <w:pPr>
              <w:pStyle w:val="TableParagraph"/>
              <w:rPr>
                <w:b/>
                <w:sz w:val="24"/>
              </w:rPr>
            </w:pPr>
          </w:p>
          <w:p w:rsidR="00FF2954" w:rsidRDefault="00FF2954">
            <w:pPr>
              <w:pStyle w:val="TableParagraph"/>
              <w:rPr>
                <w:b/>
                <w:sz w:val="24"/>
              </w:rPr>
            </w:pPr>
          </w:p>
          <w:p w:rsidR="00FF2954" w:rsidRDefault="00FF2954">
            <w:pPr>
              <w:pStyle w:val="TableParagraph"/>
              <w:spacing w:before="222"/>
              <w:rPr>
                <w:b/>
                <w:sz w:val="24"/>
              </w:rPr>
            </w:pPr>
          </w:p>
          <w:p w:rsidR="00FF2954" w:rsidRDefault="00C341DF">
            <w:pPr>
              <w:pStyle w:val="TableParagraph"/>
              <w:ind w:left="103" w:right="88"/>
              <w:jc w:val="center"/>
              <w:rPr>
                <w:b/>
                <w:sz w:val="24"/>
              </w:rPr>
            </w:pPr>
            <w:r>
              <w:rPr>
                <w:b/>
                <w:spacing w:val="-2"/>
                <w:sz w:val="24"/>
              </w:rPr>
              <w:t>12.58</w:t>
            </w:r>
          </w:p>
        </w:tc>
      </w:tr>
      <w:tr w:rsidR="00FF2954">
        <w:trPr>
          <w:trHeight w:val="820"/>
        </w:trPr>
        <w:tc>
          <w:tcPr>
            <w:tcW w:w="1000" w:type="dxa"/>
            <w:vMerge/>
            <w:tcBorders>
              <w:top w:val="nil"/>
            </w:tcBorders>
            <w:shd w:val="clear" w:color="auto" w:fill="BF4F4D"/>
          </w:tcPr>
          <w:p w:rsidR="00FF2954" w:rsidRDefault="00FF2954">
            <w:pPr>
              <w:rPr>
                <w:sz w:val="2"/>
                <w:szCs w:val="2"/>
              </w:rPr>
            </w:pPr>
          </w:p>
        </w:tc>
        <w:tc>
          <w:tcPr>
            <w:tcW w:w="1140" w:type="dxa"/>
            <w:shd w:val="clear" w:color="auto" w:fill="BEBEBE"/>
          </w:tcPr>
          <w:p w:rsidR="00FF2954" w:rsidRDefault="00C341DF">
            <w:pPr>
              <w:pStyle w:val="TableParagraph"/>
              <w:spacing w:before="3"/>
              <w:ind w:left="10"/>
              <w:jc w:val="center"/>
              <w:rPr>
                <w:b/>
                <w:sz w:val="24"/>
              </w:rPr>
            </w:pPr>
            <w:r>
              <w:rPr>
                <w:b/>
                <w:spacing w:val="-2"/>
                <w:sz w:val="24"/>
              </w:rPr>
              <w:t>Group</w:t>
            </w:r>
          </w:p>
          <w:p w:rsidR="00FF2954" w:rsidRDefault="00C341DF">
            <w:pPr>
              <w:pStyle w:val="TableParagraph"/>
              <w:spacing w:before="138"/>
              <w:ind w:left="10"/>
              <w:jc w:val="center"/>
              <w:rPr>
                <w:b/>
                <w:sz w:val="24"/>
              </w:rPr>
            </w:pPr>
            <w:r>
              <w:rPr>
                <w:b/>
                <w:spacing w:val="-5"/>
                <w:sz w:val="24"/>
              </w:rPr>
              <w:t>B</w:t>
            </w:r>
            <w:r>
              <w:rPr>
                <w:b/>
                <w:spacing w:val="-5"/>
                <w:sz w:val="24"/>
                <w:vertAlign w:val="subscript"/>
              </w:rPr>
              <w:t>2</w:t>
            </w:r>
          </w:p>
        </w:tc>
        <w:tc>
          <w:tcPr>
            <w:tcW w:w="2600" w:type="dxa"/>
            <w:shd w:val="clear" w:color="auto" w:fill="BEBEBE"/>
          </w:tcPr>
          <w:p w:rsidR="00FF2954" w:rsidRDefault="00C341DF">
            <w:pPr>
              <w:pStyle w:val="TableParagraph"/>
              <w:spacing w:before="210"/>
              <w:ind w:left="976"/>
              <w:rPr>
                <w:sz w:val="24"/>
              </w:rPr>
            </w:pPr>
            <w:r>
              <w:rPr>
                <w:sz w:val="24"/>
              </w:rPr>
              <w:t>40.65</w:t>
            </w:r>
            <w:r>
              <w:rPr>
                <w:spacing w:val="-25"/>
                <w:sz w:val="24"/>
              </w:rPr>
              <w:t xml:space="preserve"> </w:t>
            </w:r>
            <w:r>
              <w:rPr>
                <w:spacing w:val="-10"/>
                <w:sz w:val="24"/>
                <w:vertAlign w:val="superscript"/>
              </w:rPr>
              <w:t>b</w:t>
            </w:r>
          </w:p>
        </w:tc>
        <w:tc>
          <w:tcPr>
            <w:tcW w:w="2320" w:type="dxa"/>
            <w:vMerge/>
            <w:tcBorders>
              <w:top w:val="nil"/>
            </w:tcBorders>
            <w:shd w:val="clear" w:color="auto" w:fill="F1F1F1"/>
          </w:tcPr>
          <w:p w:rsidR="00FF2954" w:rsidRDefault="00FF2954">
            <w:pPr>
              <w:rPr>
                <w:sz w:val="2"/>
                <w:szCs w:val="2"/>
              </w:rPr>
            </w:pPr>
          </w:p>
        </w:tc>
        <w:tc>
          <w:tcPr>
            <w:tcW w:w="2200" w:type="dxa"/>
            <w:vMerge/>
            <w:tcBorders>
              <w:top w:val="nil"/>
            </w:tcBorders>
            <w:shd w:val="clear" w:color="auto" w:fill="F1F1F1"/>
          </w:tcPr>
          <w:p w:rsidR="00FF2954" w:rsidRDefault="00FF2954">
            <w:pPr>
              <w:rPr>
                <w:sz w:val="2"/>
                <w:szCs w:val="2"/>
              </w:rPr>
            </w:pPr>
          </w:p>
        </w:tc>
      </w:tr>
      <w:tr w:rsidR="00FF2954">
        <w:trPr>
          <w:trHeight w:val="839"/>
        </w:trPr>
        <w:tc>
          <w:tcPr>
            <w:tcW w:w="1000" w:type="dxa"/>
            <w:vMerge/>
            <w:tcBorders>
              <w:top w:val="nil"/>
            </w:tcBorders>
            <w:shd w:val="clear" w:color="auto" w:fill="BF4F4D"/>
          </w:tcPr>
          <w:p w:rsidR="00FF2954" w:rsidRDefault="00FF2954">
            <w:pPr>
              <w:rPr>
                <w:sz w:val="2"/>
                <w:szCs w:val="2"/>
              </w:rPr>
            </w:pPr>
          </w:p>
        </w:tc>
        <w:tc>
          <w:tcPr>
            <w:tcW w:w="1140" w:type="dxa"/>
            <w:shd w:val="clear" w:color="auto" w:fill="F1F1F1"/>
          </w:tcPr>
          <w:p w:rsidR="00FF2954" w:rsidRDefault="00C341DF">
            <w:pPr>
              <w:pStyle w:val="TableParagraph"/>
              <w:spacing w:before="6"/>
              <w:ind w:left="10"/>
              <w:jc w:val="center"/>
              <w:rPr>
                <w:b/>
                <w:sz w:val="24"/>
              </w:rPr>
            </w:pPr>
            <w:r>
              <w:rPr>
                <w:b/>
                <w:spacing w:val="-2"/>
                <w:sz w:val="24"/>
              </w:rPr>
              <w:t>Group</w:t>
            </w:r>
          </w:p>
          <w:p w:rsidR="00FF2954" w:rsidRDefault="00C341DF">
            <w:pPr>
              <w:pStyle w:val="TableParagraph"/>
              <w:spacing w:before="138"/>
              <w:ind w:left="10"/>
              <w:jc w:val="center"/>
              <w:rPr>
                <w:b/>
                <w:sz w:val="24"/>
              </w:rPr>
            </w:pPr>
            <w:r>
              <w:rPr>
                <w:b/>
                <w:spacing w:val="-5"/>
                <w:sz w:val="24"/>
              </w:rPr>
              <w:t>C</w:t>
            </w:r>
            <w:r>
              <w:rPr>
                <w:b/>
                <w:spacing w:val="-5"/>
                <w:sz w:val="24"/>
                <w:vertAlign w:val="subscript"/>
              </w:rPr>
              <w:t>2</w:t>
            </w:r>
          </w:p>
        </w:tc>
        <w:tc>
          <w:tcPr>
            <w:tcW w:w="2600" w:type="dxa"/>
            <w:shd w:val="clear" w:color="auto" w:fill="F1F1F1"/>
          </w:tcPr>
          <w:p w:rsidR="00FF2954" w:rsidRDefault="00C341DF">
            <w:pPr>
              <w:pStyle w:val="TableParagraph"/>
              <w:spacing w:before="213"/>
              <w:ind w:left="980"/>
              <w:rPr>
                <w:sz w:val="24"/>
              </w:rPr>
            </w:pPr>
            <w:r>
              <w:rPr>
                <w:sz w:val="24"/>
              </w:rPr>
              <w:t>33.07</w:t>
            </w:r>
            <w:r>
              <w:rPr>
                <w:spacing w:val="-25"/>
                <w:sz w:val="24"/>
              </w:rPr>
              <w:t xml:space="preserve"> </w:t>
            </w:r>
            <w:r>
              <w:rPr>
                <w:spacing w:val="-10"/>
                <w:sz w:val="24"/>
                <w:vertAlign w:val="superscript"/>
              </w:rPr>
              <w:t>c</w:t>
            </w:r>
          </w:p>
        </w:tc>
        <w:tc>
          <w:tcPr>
            <w:tcW w:w="2320" w:type="dxa"/>
            <w:vMerge/>
            <w:tcBorders>
              <w:top w:val="nil"/>
            </w:tcBorders>
            <w:shd w:val="clear" w:color="auto" w:fill="F1F1F1"/>
          </w:tcPr>
          <w:p w:rsidR="00FF2954" w:rsidRDefault="00FF2954">
            <w:pPr>
              <w:rPr>
                <w:sz w:val="2"/>
                <w:szCs w:val="2"/>
              </w:rPr>
            </w:pPr>
          </w:p>
        </w:tc>
        <w:tc>
          <w:tcPr>
            <w:tcW w:w="2200" w:type="dxa"/>
            <w:vMerge/>
            <w:tcBorders>
              <w:top w:val="nil"/>
            </w:tcBorders>
            <w:shd w:val="clear" w:color="auto" w:fill="F1F1F1"/>
          </w:tcPr>
          <w:p w:rsidR="00FF2954" w:rsidRDefault="00FF2954">
            <w:pPr>
              <w:rPr>
                <w:sz w:val="2"/>
                <w:szCs w:val="2"/>
              </w:rPr>
            </w:pPr>
          </w:p>
        </w:tc>
      </w:tr>
      <w:tr w:rsidR="00FF2954">
        <w:trPr>
          <w:trHeight w:val="820"/>
        </w:trPr>
        <w:tc>
          <w:tcPr>
            <w:tcW w:w="1000" w:type="dxa"/>
            <w:vMerge w:val="restart"/>
            <w:shd w:val="clear" w:color="auto" w:fill="BF4F4D"/>
          </w:tcPr>
          <w:p w:rsidR="00FF2954" w:rsidRDefault="00FF2954">
            <w:pPr>
              <w:pStyle w:val="TableParagraph"/>
              <w:rPr>
                <w:b/>
                <w:sz w:val="24"/>
              </w:rPr>
            </w:pPr>
          </w:p>
          <w:p w:rsidR="00FF2954" w:rsidRDefault="00FF2954">
            <w:pPr>
              <w:pStyle w:val="TableParagraph"/>
              <w:spacing w:before="65"/>
              <w:rPr>
                <w:b/>
                <w:sz w:val="24"/>
              </w:rPr>
            </w:pPr>
          </w:p>
          <w:p w:rsidR="00FF2954" w:rsidRDefault="00C341DF">
            <w:pPr>
              <w:pStyle w:val="TableParagraph"/>
              <w:spacing w:before="1"/>
              <w:ind w:left="259"/>
              <w:rPr>
                <w:b/>
                <w:sz w:val="24"/>
              </w:rPr>
            </w:pPr>
            <w:r>
              <w:rPr>
                <w:b/>
                <w:spacing w:val="-5"/>
                <w:sz w:val="24"/>
              </w:rPr>
              <w:t>HLS</w:t>
            </w:r>
          </w:p>
        </w:tc>
        <w:tc>
          <w:tcPr>
            <w:tcW w:w="1140" w:type="dxa"/>
            <w:shd w:val="clear" w:color="auto" w:fill="BEBEBE"/>
          </w:tcPr>
          <w:p w:rsidR="00FF2954" w:rsidRDefault="00C341DF">
            <w:pPr>
              <w:pStyle w:val="TableParagraph"/>
              <w:spacing w:line="265" w:lineRule="exact"/>
              <w:ind w:left="10"/>
              <w:jc w:val="center"/>
              <w:rPr>
                <w:b/>
                <w:sz w:val="24"/>
              </w:rPr>
            </w:pPr>
            <w:r>
              <w:rPr>
                <w:b/>
                <w:spacing w:val="-2"/>
                <w:sz w:val="24"/>
              </w:rPr>
              <w:t>Group</w:t>
            </w:r>
          </w:p>
          <w:p w:rsidR="00FF2954" w:rsidRDefault="00C341DF">
            <w:pPr>
              <w:pStyle w:val="TableParagraph"/>
              <w:spacing w:before="138"/>
              <w:ind w:left="10"/>
              <w:jc w:val="center"/>
              <w:rPr>
                <w:b/>
                <w:sz w:val="24"/>
              </w:rPr>
            </w:pPr>
            <w:r>
              <w:rPr>
                <w:b/>
                <w:spacing w:val="-5"/>
                <w:sz w:val="24"/>
              </w:rPr>
              <w:t>A</w:t>
            </w:r>
            <w:r>
              <w:rPr>
                <w:b/>
                <w:spacing w:val="-5"/>
                <w:sz w:val="24"/>
                <w:vertAlign w:val="subscript"/>
              </w:rPr>
              <w:t>2</w:t>
            </w:r>
          </w:p>
        </w:tc>
        <w:tc>
          <w:tcPr>
            <w:tcW w:w="2600" w:type="dxa"/>
            <w:shd w:val="clear" w:color="auto" w:fill="BEBEBE"/>
          </w:tcPr>
          <w:p w:rsidR="00FF2954" w:rsidRDefault="00C341DF">
            <w:pPr>
              <w:pStyle w:val="TableParagraph"/>
              <w:spacing w:before="196"/>
              <w:ind w:left="980"/>
              <w:rPr>
                <w:sz w:val="24"/>
              </w:rPr>
            </w:pPr>
            <w:r>
              <w:rPr>
                <w:sz w:val="24"/>
              </w:rPr>
              <w:t>32.87</w:t>
            </w:r>
            <w:r>
              <w:rPr>
                <w:spacing w:val="-25"/>
                <w:sz w:val="24"/>
              </w:rPr>
              <w:t xml:space="preserve"> </w:t>
            </w:r>
            <w:r>
              <w:rPr>
                <w:spacing w:val="-10"/>
                <w:sz w:val="24"/>
                <w:vertAlign w:val="superscript"/>
              </w:rPr>
              <w:t>a</w:t>
            </w:r>
          </w:p>
        </w:tc>
        <w:tc>
          <w:tcPr>
            <w:tcW w:w="2320" w:type="dxa"/>
            <w:vMerge w:val="restart"/>
            <w:shd w:val="clear" w:color="auto" w:fill="BEBEBE"/>
          </w:tcPr>
          <w:p w:rsidR="00FF2954" w:rsidRDefault="00FF2954">
            <w:pPr>
              <w:pStyle w:val="TableParagraph"/>
              <w:rPr>
                <w:b/>
                <w:sz w:val="24"/>
              </w:rPr>
            </w:pPr>
          </w:p>
          <w:p w:rsidR="00FF2954" w:rsidRDefault="00FF2954">
            <w:pPr>
              <w:pStyle w:val="TableParagraph"/>
              <w:spacing w:before="65"/>
              <w:rPr>
                <w:b/>
                <w:sz w:val="24"/>
              </w:rPr>
            </w:pPr>
          </w:p>
          <w:p w:rsidR="00FF2954" w:rsidRDefault="00C341DF">
            <w:pPr>
              <w:pStyle w:val="TableParagraph"/>
              <w:spacing w:before="1"/>
              <w:ind w:left="69" w:right="49"/>
              <w:jc w:val="center"/>
              <w:rPr>
                <w:b/>
                <w:sz w:val="24"/>
              </w:rPr>
            </w:pPr>
            <w:r>
              <w:rPr>
                <w:b/>
                <w:spacing w:val="-2"/>
                <w:sz w:val="24"/>
              </w:rPr>
              <w:t>29.02</w:t>
            </w:r>
          </w:p>
        </w:tc>
        <w:tc>
          <w:tcPr>
            <w:tcW w:w="2200" w:type="dxa"/>
            <w:vMerge w:val="restart"/>
            <w:shd w:val="clear" w:color="auto" w:fill="BEBEBE"/>
          </w:tcPr>
          <w:p w:rsidR="00FF2954" w:rsidRDefault="00FF2954">
            <w:pPr>
              <w:pStyle w:val="TableParagraph"/>
              <w:rPr>
                <w:b/>
                <w:sz w:val="24"/>
              </w:rPr>
            </w:pPr>
          </w:p>
          <w:p w:rsidR="00FF2954" w:rsidRDefault="00FF2954">
            <w:pPr>
              <w:pStyle w:val="TableParagraph"/>
              <w:spacing w:before="65"/>
              <w:rPr>
                <w:b/>
                <w:sz w:val="24"/>
              </w:rPr>
            </w:pPr>
          </w:p>
          <w:p w:rsidR="00FF2954" w:rsidRDefault="00C341DF">
            <w:pPr>
              <w:pStyle w:val="TableParagraph"/>
              <w:spacing w:before="1"/>
              <w:ind w:left="103" w:right="88"/>
              <w:jc w:val="center"/>
              <w:rPr>
                <w:b/>
                <w:sz w:val="24"/>
              </w:rPr>
            </w:pPr>
            <w:r>
              <w:rPr>
                <w:b/>
                <w:spacing w:val="-2"/>
                <w:sz w:val="24"/>
              </w:rPr>
              <w:t>14.62</w:t>
            </w:r>
          </w:p>
        </w:tc>
      </w:tr>
      <w:tr w:rsidR="00FF2954">
        <w:trPr>
          <w:trHeight w:val="820"/>
        </w:trPr>
        <w:tc>
          <w:tcPr>
            <w:tcW w:w="1000" w:type="dxa"/>
            <w:vMerge/>
            <w:tcBorders>
              <w:top w:val="nil"/>
            </w:tcBorders>
            <w:shd w:val="clear" w:color="auto" w:fill="BF4F4D"/>
          </w:tcPr>
          <w:p w:rsidR="00FF2954" w:rsidRDefault="00FF2954">
            <w:pPr>
              <w:rPr>
                <w:sz w:val="2"/>
                <w:szCs w:val="2"/>
              </w:rPr>
            </w:pPr>
          </w:p>
        </w:tc>
        <w:tc>
          <w:tcPr>
            <w:tcW w:w="1140" w:type="dxa"/>
            <w:shd w:val="clear" w:color="auto" w:fill="F1F1F1"/>
          </w:tcPr>
          <w:p w:rsidR="00FF2954" w:rsidRDefault="00C341DF">
            <w:pPr>
              <w:pStyle w:val="TableParagraph"/>
              <w:spacing w:line="268" w:lineRule="exact"/>
              <w:ind w:left="10"/>
              <w:jc w:val="center"/>
              <w:rPr>
                <w:b/>
                <w:sz w:val="24"/>
              </w:rPr>
            </w:pPr>
            <w:r>
              <w:rPr>
                <w:b/>
                <w:spacing w:val="-2"/>
                <w:sz w:val="24"/>
              </w:rPr>
              <w:t>Group</w:t>
            </w:r>
          </w:p>
          <w:p w:rsidR="00FF2954" w:rsidRDefault="00C341DF">
            <w:pPr>
              <w:pStyle w:val="TableParagraph"/>
              <w:spacing w:before="138"/>
              <w:ind w:left="10"/>
              <w:jc w:val="center"/>
              <w:rPr>
                <w:b/>
                <w:sz w:val="24"/>
              </w:rPr>
            </w:pPr>
            <w:r>
              <w:rPr>
                <w:b/>
                <w:spacing w:val="-5"/>
                <w:sz w:val="24"/>
              </w:rPr>
              <w:t>B</w:t>
            </w:r>
            <w:r>
              <w:rPr>
                <w:b/>
                <w:spacing w:val="-5"/>
                <w:sz w:val="24"/>
                <w:vertAlign w:val="subscript"/>
              </w:rPr>
              <w:t>2</w:t>
            </w:r>
          </w:p>
        </w:tc>
        <w:tc>
          <w:tcPr>
            <w:tcW w:w="2600" w:type="dxa"/>
            <w:shd w:val="clear" w:color="auto" w:fill="F1F1F1"/>
          </w:tcPr>
          <w:p w:rsidR="00FF2954" w:rsidRDefault="00C341DF">
            <w:pPr>
              <w:pStyle w:val="TableParagraph"/>
              <w:spacing w:before="199"/>
              <w:ind w:left="976"/>
              <w:rPr>
                <w:sz w:val="24"/>
              </w:rPr>
            </w:pPr>
            <w:r>
              <w:rPr>
                <w:sz w:val="24"/>
              </w:rPr>
              <w:t>46.31</w:t>
            </w:r>
            <w:r>
              <w:rPr>
                <w:spacing w:val="-25"/>
                <w:sz w:val="24"/>
              </w:rPr>
              <w:t xml:space="preserve"> </w:t>
            </w:r>
            <w:r>
              <w:rPr>
                <w:spacing w:val="-10"/>
                <w:sz w:val="24"/>
                <w:vertAlign w:val="superscript"/>
              </w:rPr>
              <w:t>b</w:t>
            </w:r>
          </w:p>
        </w:tc>
        <w:tc>
          <w:tcPr>
            <w:tcW w:w="2320" w:type="dxa"/>
            <w:vMerge/>
            <w:tcBorders>
              <w:top w:val="nil"/>
            </w:tcBorders>
            <w:shd w:val="clear" w:color="auto" w:fill="BEBEBE"/>
          </w:tcPr>
          <w:p w:rsidR="00FF2954" w:rsidRDefault="00FF2954">
            <w:pPr>
              <w:rPr>
                <w:sz w:val="2"/>
                <w:szCs w:val="2"/>
              </w:rPr>
            </w:pPr>
          </w:p>
        </w:tc>
        <w:tc>
          <w:tcPr>
            <w:tcW w:w="2200" w:type="dxa"/>
            <w:vMerge/>
            <w:tcBorders>
              <w:top w:val="nil"/>
            </w:tcBorders>
            <w:shd w:val="clear" w:color="auto" w:fill="BEBEBE"/>
          </w:tcPr>
          <w:p w:rsidR="00FF2954" w:rsidRDefault="00FF2954">
            <w:pPr>
              <w:rPr>
                <w:sz w:val="2"/>
                <w:szCs w:val="2"/>
              </w:rPr>
            </w:pPr>
          </w:p>
        </w:tc>
      </w:tr>
    </w:tbl>
    <w:p w:rsidR="00FF2954" w:rsidRDefault="00FF2954">
      <w:pPr>
        <w:rPr>
          <w:sz w:val="2"/>
          <w:szCs w:val="2"/>
        </w:rPr>
        <w:sectPr w:rsidR="00FF2954">
          <w:type w:val="continuous"/>
          <w:pgSz w:w="11920" w:h="16840"/>
          <w:pgMar w:top="1420" w:right="1275" w:bottom="1224" w:left="1275" w:header="720" w:footer="720" w:gutter="0"/>
          <w:cols w:space="720"/>
        </w:sectPr>
      </w:pPr>
    </w:p>
    <w:tbl>
      <w:tblPr>
        <w:tblW w:w="0" w:type="auto"/>
        <w:tblInd w:w="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00"/>
        <w:gridCol w:w="1140"/>
        <w:gridCol w:w="2600"/>
        <w:gridCol w:w="2320"/>
        <w:gridCol w:w="2200"/>
      </w:tblGrid>
      <w:tr w:rsidR="00FF2954">
        <w:trPr>
          <w:trHeight w:val="820"/>
        </w:trPr>
        <w:tc>
          <w:tcPr>
            <w:tcW w:w="1000" w:type="dxa"/>
            <w:shd w:val="clear" w:color="auto" w:fill="BF4F4D"/>
          </w:tcPr>
          <w:p w:rsidR="00FF2954" w:rsidRDefault="00FF2954">
            <w:pPr>
              <w:pStyle w:val="TableParagraph"/>
              <w:rPr>
                <w:sz w:val="24"/>
              </w:rPr>
            </w:pPr>
          </w:p>
        </w:tc>
        <w:tc>
          <w:tcPr>
            <w:tcW w:w="1140" w:type="dxa"/>
            <w:shd w:val="clear" w:color="auto" w:fill="BEBEBE"/>
          </w:tcPr>
          <w:p w:rsidR="00FF2954" w:rsidRDefault="00C341DF">
            <w:pPr>
              <w:pStyle w:val="TableParagraph"/>
              <w:spacing w:line="271" w:lineRule="exact"/>
              <w:ind w:left="10"/>
              <w:jc w:val="center"/>
              <w:rPr>
                <w:b/>
                <w:sz w:val="24"/>
              </w:rPr>
            </w:pPr>
            <w:r>
              <w:rPr>
                <w:b/>
                <w:spacing w:val="-2"/>
                <w:sz w:val="24"/>
              </w:rPr>
              <w:t>Group</w:t>
            </w:r>
          </w:p>
          <w:p w:rsidR="00FF2954" w:rsidRDefault="00C341DF">
            <w:pPr>
              <w:pStyle w:val="TableParagraph"/>
              <w:spacing w:before="138"/>
              <w:ind w:left="10"/>
              <w:jc w:val="center"/>
              <w:rPr>
                <w:b/>
                <w:sz w:val="24"/>
              </w:rPr>
            </w:pPr>
            <w:r>
              <w:rPr>
                <w:b/>
                <w:spacing w:val="-5"/>
                <w:sz w:val="24"/>
              </w:rPr>
              <w:t>C</w:t>
            </w:r>
            <w:r>
              <w:rPr>
                <w:b/>
                <w:spacing w:val="-5"/>
                <w:sz w:val="24"/>
                <w:vertAlign w:val="subscript"/>
              </w:rPr>
              <w:t>2</w:t>
            </w:r>
          </w:p>
        </w:tc>
        <w:tc>
          <w:tcPr>
            <w:tcW w:w="2600" w:type="dxa"/>
            <w:shd w:val="clear" w:color="auto" w:fill="BEBEBE"/>
          </w:tcPr>
          <w:p w:rsidR="00FF2954" w:rsidRDefault="00C341DF">
            <w:pPr>
              <w:pStyle w:val="TableParagraph"/>
              <w:spacing w:before="202"/>
              <w:ind w:left="980"/>
              <w:rPr>
                <w:sz w:val="24"/>
              </w:rPr>
            </w:pPr>
            <w:r>
              <w:rPr>
                <w:sz w:val="24"/>
              </w:rPr>
              <w:t>38.50</w:t>
            </w:r>
            <w:r>
              <w:rPr>
                <w:spacing w:val="-25"/>
                <w:sz w:val="24"/>
              </w:rPr>
              <w:t xml:space="preserve"> </w:t>
            </w:r>
            <w:r>
              <w:rPr>
                <w:spacing w:val="-10"/>
                <w:sz w:val="24"/>
                <w:vertAlign w:val="superscript"/>
              </w:rPr>
              <w:t>c</w:t>
            </w:r>
          </w:p>
        </w:tc>
        <w:tc>
          <w:tcPr>
            <w:tcW w:w="2320" w:type="dxa"/>
            <w:shd w:val="clear" w:color="auto" w:fill="BEBEBE"/>
          </w:tcPr>
          <w:p w:rsidR="00FF2954" w:rsidRDefault="00FF2954">
            <w:pPr>
              <w:pStyle w:val="TableParagraph"/>
              <w:rPr>
                <w:sz w:val="24"/>
              </w:rPr>
            </w:pPr>
          </w:p>
        </w:tc>
        <w:tc>
          <w:tcPr>
            <w:tcW w:w="2200" w:type="dxa"/>
            <w:shd w:val="clear" w:color="auto" w:fill="BEBEBE"/>
          </w:tcPr>
          <w:p w:rsidR="00FF2954" w:rsidRDefault="00FF2954">
            <w:pPr>
              <w:pStyle w:val="TableParagraph"/>
              <w:rPr>
                <w:sz w:val="24"/>
              </w:rPr>
            </w:pPr>
          </w:p>
        </w:tc>
      </w:tr>
    </w:tbl>
    <w:p w:rsidR="00FF2954" w:rsidRDefault="00C341DF">
      <w:pPr>
        <w:pStyle w:val="BodyText"/>
        <w:spacing w:before="18"/>
      </w:pPr>
      <w:r>
        <w:rPr>
          <w:noProof/>
        </w:rPr>
        <mc:AlternateContent>
          <mc:Choice Requires="wps">
            <w:drawing>
              <wp:anchor distT="0" distB="0" distL="0" distR="0" simplePos="0" relativeHeight="487304192" behindDoc="1" locked="0" layoutInCell="1" allowOverlap="1">
                <wp:simplePos x="0" y="0"/>
                <wp:positionH relativeFrom="page">
                  <wp:posOffset>-343000</wp:posOffset>
                </wp:positionH>
                <wp:positionV relativeFrom="page">
                  <wp:posOffset>101035</wp:posOffset>
                </wp:positionV>
                <wp:extent cx="1598930" cy="103822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25" o:spid="_x0000_s1043" type="#_x0000_t202" style="position:absolute;left:0;text-align:left;margin-left:-27pt;margin-top:7.95pt;width:125.9pt;height:81.75pt;rotation:-45;z-index:-1601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" filled="f" stroked="f">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r>
        <w:t>Superscripts</w:t>
      </w:r>
      <w:r>
        <w:rPr>
          <w:spacing w:val="-4"/>
        </w:rPr>
        <w:t xml:space="preserve"> </w:t>
      </w:r>
      <w:r>
        <w:t>bearing</w:t>
      </w:r>
      <w:r>
        <w:rPr>
          <w:spacing w:val="-2"/>
        </w:rPr>
        <w:t xml:space="preserve"> </w:t>
      </w:r>
      <w:r>
        <w:t>different</w:t>
      </w:r>
      <w:r>
        <w:rPr>
          <w:spacing w:val="-2"/>
        </w:rPr>
        <w:t xml:space="preserve"> </w:t>
      </w:r>
      <w:r>
        <w:t>alphabets</w:t>
      </w:r>
      <w:r>
        <w:rPr>
          <w:spacing w:val="-2"/>
        </w:rPr>
        <w:t xml:space="preserve"> </w:t>
      </w:r>
      <w:r>
        <w:t>differ</w:t>
      </w:r>
      <w:r>
        <w:rPr>
          <w:spacing w:val="-2"/>
        </w:rPr>
        <w:t xml:space="preserve"> significantl</w:t>
      </w:r>
      <w:r>
        <w:rPr>
          <w:spacing w:val="-2"/>
        </w:rPr>
        <w:t>y</w:t>
      </w:r>
    </w:p>
    <w:p w:rsidR="00FF2954" w:rsidRDefault="00C341DF">
      <w:pPr>
        <w:pStyle w:val="Heading1"/>
        <w:numPr>
          <w:ilvl w:val="0"/>
          <w:numId w:val="1"/>
        </w:numPr>
        <w:tabs>
          <w:tab w:val="left" w:pos="405"/>
        </w:tabs>
        <w:spacing w:before="138"/>
        <w:ind w:left="405" w:hanging="240"/>
        <w:jc w:val="both"/>
      </w:pPr>
      <w:r>
        <w:rPr>
          <w:spacing w:val="-2"/>
        </w:rPr>
        <w:t>Discussion</w:t>
      </w:r>
    </w:p>
    <w:p w:rsidR="00FF2954" w:rsidRDefault="00C341DF">
      <w:pPr>
        <w:pStyle w:val="BodyText"/>
        <w:spacing w:before="138" w:line="360" w:lineRule="auto"/>
        <w:ind w:right="185" w:firstLine="720"/>
        <w:jc w:val="both"/>
      </w:pPr>
      <w:r>
        <w:t>Present study revealed significant gross changes inclusive of fibrinous perihepatitis, cloudy air sac, and congestion in visceral organs along with peritonitis. Increase in the severity of gross</w:t>
      </w:r>
      <w:r>
        <w:rPr>
          <w:spacing w:val="-4"/>
        </w:rPr>
        <w:t xml:space="preserve"> </w:t>
      </w:r>
      <w:r>
        <w:t>lesions</w:t>
      </w:r>
      <w:r>
        <w:rPr>
          <w:spacing w:val="-4"/>
        </w:rPr>
        <w:t xml:space="preserve"> </w:t>
      </w:r>
      <w:r>
        <w:t>in</w:t>
      </w:r>
      <w:r>
        <w:rPr>
          <w:spacing w:val="-4"/>
        </w:rPr>
        <w:t xml:space="preserve"> </w:t>
      </w:r>
      <w:r>
        <w:t>groups</w:t>
      </w:r>
      <w:r>
        <w:rPr>
          <w:spacing w:val="-4"/>
        </w:rPr>
        <w:t xml:space="preserve"> </w:t>
      </w:r>
      <w:r>
        <w:t>B2and</w:t>
      </w:r>
      <w:r>
        <w:rPr>
          <w:spacing w:val="-4"/>
        </w:rPr>
        <w:t xml:space="preserve"> </w:t>
      </w:r>
      <w:r>
        <w:t>C2</w:t>
      </w:r>
      <w:r>
        <w:rPr>
          <w:spacing w:val="-4"/>
        </w:rPr>
        <w:t xml:space="preserve"> </w:t>
      </w:r>
      <w:r>
        <w:t>could</w:t>
      </w:r>
      <w:r>
        <w:rPr>
          <w:spacing w:val="-4"/>
        </w:rPr>
        <w:t xml:space="preserve"> </w:t>
      </w:r>
      <w:r>
        <w:t>be</w:t>
      </w:r>
      <w:r>
        <w:rPr>
          <w:spacing w:val="-4"/>
        </w:rPr>
        <w:t xml:space="preserve"> </w:t>
      </w:r>
      <w:r>
        <w:t>attributed</w:t>
      </w:r>
      <w:r>
        <w:rPr>
          <w:spacing w:val="-4"/>
        </w:rPr>
        <w:t xml:space="preserve"> </w:t>
      </w:r>
      <w:r>
        <w:t>to</w:t>
      </w:r>
      <w:r>
        <w:rPr>
          <w:spacing w:val="-4"/>
        </w:rPr>
        <w:t xml:space="preserve"> </w:t>
      </w:r>
      <w:r>
        <w:t>immunosuppressive</w:t>
      </w:r>
      <w:r>
        <w:rPr>
          <w:spacing w:val="-4"/>
        </w:rPr>
        <w:t xml:space="preserve"> </w:t>
      </w:r>
      <w:r>
        <w:t>effect of deltamethrin treatment. Deltamethrin alone treated groups showed mottled enlarged liver, congestion in</w:t>
      </w:r>
      <w:r>
        <w:rPr>
          <w:spacing w:val="-4"/>
        </w:rPr>
        <w:t xml:space="preserve"> </w:t>
      </w:r>
      <w:r>
        <w:t>various</w:t>
      </w:r>
      <w:r>
        <w:rPr>
          <w:spacing w:val="-4"/>
        </w:rPr>
        <w:t xml:space="preserve"> </w:t>
      </w:r>
      <w:r>
        <w:t>organs</w:t>
      </w:r>
      <w:r>
        <w:rPr>
          <w:spacing w:val="-4"/>
        </w:rPr>
        <w:t xml:space="preserve"> </w:t>
      </w:r>
      <w:r>
        <w:t>such</w:t>
      </w:r>
      <w:r>
        <w:rPr>
          <w:spacing w:val="-4"/>
        </w:rPr>
        <w:t xml:space="preserve"> </w:t>
      </w:r>
      <w:r>
        <w:t>as</w:t>
      </w:r>
      <w:r>
        <w:rPr>
          <w:spacing w:val="-4"/>
        </w:rPr>
        <w:t xml:space="preserve"> </w:t>
      </w:r>
      <w:r>
        <w:t>liver</w:t>
      </w:r>
      <w:r>
        <w:rPr>
          <w:spacing w:val="-4"/>
        </w:rPr>
        <w:t xml:space="preserve"> </w:t>
      </w:r>
      <w:r>
        <w:t>and</w:t>
      </w:r>
      <w:r>
        <w:rPr>
          <w:spacing w:val="-4"/>
        </w:rPr>
        <w:t xml:space="preserve"> </w:t>
      </w:r>
      <w:r>
        <w:t>kidney.</w:t>
      </w:r>
      <w:r>
        <w:rPr>
          <w:spacing w:val="-4"/>
        </w:rPr>
        <w:t xml:space="preserve"> </w:t>
      </w:r>
      <w:r>
        <w:t>These</w:t>
      </w:r>
      <w:r>
        <w:rPr>
          <w:spacing w:val="-4"/>
        </w:rPr>
        <w:t xml:space="preserve"> </w:t>
      </w:r>
      <w:r>
        <w:t>changes</w:t>
      </w:r>
      <w:r>
        <w:rPr>
          <w:spacing w:val="-4"/>
        </w:rPr>
        <w:t xml:space="preserve"> </w:t>
      </w:r>
      <w:r>
        <w:t>in</w:t>
      </w:r>
      <w:r>
        <w:rPr>
          <w:spacing w:val="-4"/>
        </w:rPr>
        <w:t xml:space="preserve"> </w:t>
      </w:r>
      <w:r>
        <w:t>the</w:t>
      </w:r>
      <w:r>
        <w:rPr>
          <w:spacing w:val="-4"/>
        </w:rPr>
        <w:t xml:space="preserve"> </w:t>
      </w:r>
      <w:r>
        <w:t>birds</w:t>
      </w:r>
      <w:r>
        <w:rPr>
          <w:spacing w:val="-4"/>
        </w:rPr>
        <w:t xml:space="preserve"> </w:t>
      </w:r>
      <w:r>
        <w:t>of</w:t>
      </w:r>
      <w:r>
        <w:rPr>
          <w:spacing w:val="-4"/>
        </w:rPr>
        <w:t xml:space="preserve"> </w:t>
      </w:r>
      <w:r>
        <w:t>group</w:t>
      </w:r>
      <w:r>
        <w:rPr>
          <w:spacing w:val="-4"/>
        </w:rPr>
        <w:t xml:space="preserve"> </w:t>
      </w:r>
      <w:r>
        <w:t>C1 were of lesser severity as compared to the birds of group B1 chicks. Similar findings were also noticed by the study of Tewari et al. (2018).</w:t>
      </w:r>
    </w:p>
    <w:p w:rsidR="00FF2954" w:rsidRDefault="00C341DF">
      <w:pPr>
        <w:pStyle w:val="BodyText"/>
        <w:spacing w:line="360" w:lineRule="auto"/>
        <w:ind w:right="177" w:firstLine="720"/>
        <w:jc w:val="both"/>
        <w:rPr>
          <w:i/>
        </w:rPr>
      </w:pPr>
      <w:r>
        <w:t>Histopathological examination revealed fibrinous perihepatitis characterized</w:t>
      </w:r>
      <w:r>
        <w:rPr>
          <w:spacing w:val="-5"/>
        </w:rPr>
        <w:t xml:space="preserve"> </w:t>
      </w:r>
      <w:r>
        <w:t>by</w:t>
      </w:r>
      <w:r>
        <w:rPr>
          <w:spacing w:val="-5"/>
        </w:rPr>
        <w:t xml:space="preserve"> </w:t>
      </w:r>
      <w:r>
        <w:t>fibrin deposition and infiltrat</w:t>
      </w:r>
      <w:r>
        <w:t>ion of heterophils during the early stages, followed by macrophages and lymphocytes in the later stages in colibacillosis-infected groups. The liver of affected birds also exhibited fibrinous perihepatitis and hepatitis, along with degenerative alterations</w:t>
      </w:r>
      <w:r>
        <w:t xml:space="preserve"> such</w:t>
      </w:r>
      <w:r>
        <w:rPr>
          <w:spacing w:val="40"/>
        </w:rPr>
        <w:t xml:space="preserve"> </w:t>
      </w:r>
      <w:r>
        <w:t>as</w:t>
      </w:r>
      <w:r>
        <w:rPr>
          <w:spacing w:val="40"/>
        </w:rPr>
        <w:t xml:space="preserve"> </w:t>
      </w:r>
      <w:r>
        <w:t>hydropic</w:t>
      </w:r>
      <w:r>
        <w:rPr>
          <w:spacing w:val="40"/>
        </w:rPr>
        <w:t xml:space="preserve"> </w:t>
      </w:r>
      <w:r>
        <w:t>and</w:t>
      </w:r>
      <w:r>
        <w:rPr>
          <w:spacing w:val="40"/>
        </w:rPr>
        <w:t xml:space="preserve"> </w:t>
      </w:r>
      <w:r>
        <w:t>fatty</w:t>
      </w:r>
      <w:r>
        <w:rPr>
          <w:spacing w:val="40"/>
        </w:rPr>
        <w:t xml:space="preserve"> </w:t>
      </w:r>
      <w:r>
        <w:t>changes</w:t>
      </w:r>
      <w:r>
        <w:rPr>
          <w:spacing w:val="40"/>
        </w:rPr>
        <w:t xml:space="preserve"> </w:t>
      </w:r>
      <w:r>
        <w:t>in</w:t>
      </w:r>
      <w:r>
        <w:rPr>
          <w:spacing w:val="40"/>
        </w:rPr>
        <w:t xml:space="preserve"> </w:t>
      </w:r>
      <w:r>
        <w:t>hepatocytes</w:t>
      </w:r>
      <w:r>
        <w:rPr>
          <w:spacing w:val="40"/>
        </w:rPr>
        <w:t xml:space="preserve"> </w:t>
      </w:r>
      <w:r>
        <w:t>and</w:t>
      </w:r>
      <w:r>
        <w:rPr>
          <w:spacing w:val="40"/>
        </w:rPr>
        <w:t xml:space="preserve"> </w:t>
      </w:r>
      <w:r>
        <w:t>sinusoidal</w:t>
      </w:r>
      <w:r>
        <w:rPr>
          <w:spacing w:val="40"/>
        </w:rPr>
        <w:t xml:space="preserve"> </w:t>
      </w:r>
      <w:r>
        <w:t>dilatation</w:t>
      </w:r>
      <w:r>
        <w:rPr>
          <w:spacing w:val="40"/>
        </w:rPr>
        <w:t xml:space="preserve"> </w:t>
      </w:r>
      <w:r>
        <w:t>at</w:t>
      </w:r>
      <w:r>
        <w:rPr>
          <w:spacing w:val="40"/>
        </w:rPr>
        <w:t xml:space="preserve"> </w:t>
      </w:r>
      <w:r>
        <w:t>various post-infection intervals. The results were in</w:t>
      </w:r>
      <w:r>
        <w:rPr>
          <w:spacing w:val="-3"/>
        </w:rPr>
        <w:t xml:space="preserve"> </w:t>
      </w:r>
      <w:r>
        <w:t>accordance</w:t>
      </w:r>
      <w:r>
        <w:rPr>
          <w:spacing w:val="-3"/>
        </w:rPr>
        <w:t xml:space="preserve"> </w:t>
      </w:r>
      <w:r>
        <w:t>with</w:t>
      </w:r>
      <w:r>
        <w:rPr>
          <w:spacing w:val="-3"/>
        </w:rPr>
        <w:t xml:space="preserve"> </w:t>
      </w:r>
      <w:r>
        <w:t>the</w:t>
      </w:r>
      <w:r>
        <w:rPr>
          <w:spacing w:val="-3"/>
        </w:rPr>
        <w:t xml:space="preserve"> </w:t>
      </w:r>
      <w:r>
        <w:t>findings</w:t>
      </w:r>
      <w:r>
        <w:rPr>
          <w:spacing w:val="-3"/>
        </w:rPr>
        <w:t xml:space="preserve"> </w:t>
      </w:r>
      <w:r>
        <w:t>of</w:t>
      </w:r>
      <w:r>
        <w:rPr>
          <w:spacing w:val="-3"/>
        </w:rPr>
        <w:t xml:space="preserve"> </w:t>
      </w:r>
      <w:r>
        <w:t>other</w:t>
      </w:r>
      <w:r>
        <w:rPr>
          <w:spacing w:val="-3"/>
        </w:rPr>
        <w:t xml:space="preserve"> </w:t>
      </w:r>
      <w:r>
        <w:t>researchers (</w:t>
      </w:r>
      <w:proofErr w:type="spellStart"/>
      <w:r>
        <w:t>Peighambari</w:t>
      </w:r>
      <w:proofErr w:type="spellEnd"/>
      <w:r>
        <w:t xml:space="preserve"> et al., 2000; Mishra et al., 2002; </w:t>
      </w:r>
      <w:proofErr w:type="spellStart"/>
      <w:r>
        <w:t>Manimaran</w:t>
      </w:r>
      <w:proofErr w:type="spellEnd"/>
      <w:r>
        <w:t xml:space="preserve"> et al., 2003; </w:t>
      </w:r>
      <w:r>
        <w:t>Srinivasan et al.,</w:t>
      </w:r>
      <w:r>
        <w:rPr>
          <w:spacing w:val="40"/>
        </w:rPr>
        <w:t xml:space="preserve"> </w:t>
      </w:r>
      <w:r>
        <w:t>2003, Jindal et al., 2003; Saini, 2004). Mansour et al. (2017) and Tewari et al. (2018) also documented marked cellular infiltration and focal necrosis in hepatocytes following deltamethrin intoxication in rats. Similarly,</w:t>
      </w:r>
      <w:r>
        <w:rPr>
          <w:spacing w:val="-5"/>
        </w:rPr>
        <w:t xml:space="preserve"> </w:t>
      </w:r>
      <w:r>
        <w:t>Grewal</w:t>
      </w:r>
      <w:r>
        <w:rPr>
          <w:spacing w:val="-5"/>
        </w:rPr>
        <w:t xml:space="preserve"> </w:t>
      </w:r>
      <w:r>
        <w:t>et</w:t>
      </w:r>
      <w:r>
        <w:rPr>
          <w:spacing w:val="-5"/>
        </w:rPr>
        <w:t xml:space="preserve"> </w:t>
      </w:r>
      <w:r>
        <w:t>al.</w:t>
      </w:r>
      <w:r>
        <w:rPr>
          <w:spacing w:val="-5"/>
        </w:rPr>
        <w:t xml:space="preserve"> </w:t>
      </w:r>
      <w:r>
        <w:t>(2010)</w:t>
      </w:r>
      <w:r>
        <w:rPr>
          <w:spacing w:val="-5"/>
        </w:rPr>
        <w:t xml:space="preserve"> </w:t>
      </w:r>
      <w:r>
        <w:t>also</w:t>
      </w:r>
      <w:r>
        <w:rPr>
          <w:spacing w:val="-5"/>
        </w:rPr>
        <w:t xml:space="preserve"> </w:t>
      </w:r>
      <w:r>
        <w:t>reported</w:t>
      </w:r>
      <w:r>
        <w:rPr>
          <w:spacing w:val="-5"/>
        </w:rPr>
        <w:t xml:space="preserve"> </w:t>
      </w:r>
      <w:r>
        <w:t>disorganization in histoarchitecture of hepatic tissue with increased sinusoidal gaps and necrosis in liver following exposure to synthetic pyrethroids.</w:t>
      </w:r>
      <w:r>
        <w:rPr>
          <w:color w:val="000000"/>
          <w:highlight w:val="yellow"/>
        </w:rPr>
        <w:t xml:space="preserve"> Liu et al. (2022) also advocated</w:t>
      </w:r>
      <w:r>
        <w:rPr>
          <w:color w:val="000000"/>
          <w:spacing w:val="-3"/>
          <w:highlight w:val="yellow"/>
        </w:rPr>
        <w:t xml:space="preserve"> </w:t>
      </w:r>
      <w:r>
        <w:rPr>
          <w:color w:val="000000"/>
          <w:highlight w:val="yellow"/>
        </w:rPr>
        <w:t>the</w:t>
      </w:r>
      <w:r>
        <w:rPr>
          <w:color w:val="000000"/>
          <w:spacing w:val="-3"/>
          <w:highlight w:val="yellow"/>
        </w:rPr>
        <w:t xml:space="preserve"> </w:t>
      </w:r>
      <w:r>
        <w:rPr>
          <w:color w:val="000000"/>
          <w:highlight w:val="yellow"/>
        </w:rPr>
        <w:t>sub</w:t>
      </w:r>
      <w:r>
        <w:rPr>
          <w:color w:val="000000"/>
          <w:spacing w:val="-3"/>
          <w:highlight w:val="yellow"/>
        </w:rPr>
        <w:t xml:space="preserve"> </w:t>
      </w:r>
      <w:r>
        <w:rPr>
          <w:color w:val="000000"/>
          <w:highlight w:val="yellow"/>
        </w:rPr>
        <w:t>chronic</w:t>
      </w:r>
      <w:r>
        <w:rPr>
          <w:color w:val="000000"/>
        </w:rPr>
        <w:t xml:space="preserve"> </w:t>
      </w:r>
      <w:r>
        <w:rPr>
          <w:color w:val="000000"/>
          <w:highlight w:val="yellow"/>
        </w:rPr>
        <w:t>exposure of oral deltamethrin produced deleterious effect in poultry birds. Recent</w:t>
      </w:r>
      <w:r>
        <w:rPr>
          <w:color w:val="000000"/>
        </w:rPr>
        <w:t xml:space="preserve"> </w:t>
      </w:r>
      <w:r>
        <w:rPr>
          <w:color w:val="000000"/>
          <w:highlight w:val="yellow"/>
        </w:rPr>
        <w:t>investigations have reported a significant increment in the multidrug-resistant avian</w:t>
      </w:r>
      <w:r>
        <w:rPr>
          <w:color w:val="000000"/>
        </w:rPr>
        <w:t xml:space="preserve"> </w:t>
      </w:r>
      <w:r>
        <w:rPr>
          <w:color w:val="000000"/>
          <w:highlight w:val="yellow"/>
        </w:rPr>
        <w:t>pathogenic</w:t>
      </w:r>
      <w:r>
        <w:rPr>
          <w:color w:val="000000"/>
          <w:spacing w:val="-3"/>
          <w:highlight w:val="yellow"/>
        </w:rPr>
        <w:t xml:space="preserve"> </w:t>
      </w:r>
      <w:r>
        <w:rPr>
          <w:i/>
          <w:color w:val="000000"/>
          <w:highlight w:val="yellow"/>
        </w:rPr>
        <w:t>Escherichia</w:t>
      </w:r>
      <w:r>
        <w:rPr>
          <w:i/>
          <w:color w:val="000000"/>
          <w:spacing w:val="-3"/>
          <w:highlight w:val="yellow"/>
        </w:rPr>
        <w:t xml:space="preserve"> </w:t>
      </w:r>
      <w:r>
        <w:rPr>
          <w:i/>
          <w:color w:val="000000"/>
          <w:highlight w:val="yellow"/>
        </w:rPr>
        <w:t>coli</w:t>
      </w:r>
      <w:r>
        <w:rPr>
          <w:i/>
          <w:color w:val="000000"/>
          <w:spacing w:val="-3"/>
          <w:highlight w:val="yellow"/>
        </w:rPr>
        <w:t xml:space="preserve"> </w:t>
      </w:r>
      <w:r>
        <w:rPr>
          <w:color w:val="000000"/>
          <w:highlight w:val="yellow"/>
        </w:rPr>
        <w:t>strains</w:t>
      </w:r>
      <w:r>
        <w:rPr>
          <w:color w:val="000000"/>
          <w:spacing w:val="-3"/>
          <w:highlight w:val="yellow"/>
        </w:rPr>
        <w:t xml:space="preserve"> </w:t>
      </w:r>
      <w:r>
        <w:rPr>
          <w:color w:val="000000"/>
          <w:highlight w:val="yellow"/>
        </w:rPr>
        <w:t>in</w:t>
      </w:r>
      <w:r>
        <w:rPr>
          <w:color w:val="000000"/>
          <w:spacing w:val="-3"/>
          <w:highlight w:val="yellow"/>
        </w:rPr>
        <w:t xml:space="preserve"> </w:t>
      </w:r>
      <w:r>
        <w:rPr>
          <w:color w:val="000000"/>
          <w:highlight w:val="yellow"/>
        </w:rPr>
        <w:t>poultry</w:t>
      </w:r>
      <w:r>
        <w:rPr>
          <w:color w:val="000000"/>
          <w:spacing w:val="-3"/>
          <w:highlight w:val="yellow"/>
        </w:rPr>
        <w:t xml:space="preserve"> </w:t>
      </w:r>
      <w:r>
        <w:rPr>
          <w:color w:val="000000"/>
          <w:highlight w:val="yellow"/>
        </w:rPr>
        <w:t>challenging</w:t>
      </w:r>
      <w:r>
        <w:rPr>
          <w:color w:val="000000"/>
          <w:spacing w:val="-3"/>
          <w:highlight w:val="yellow"/>
        </w:rPr>
        <w:t xml:space="preserve"> </w:t>
      </w:r>
      <w:r>
        <w:rPr>
          <w:color w:val="000000"/>
          <w:highlight w:val="yellow"/>
        </w:rPr>
        <w:t>the</w:t>
      </w:r>
      <w:r>
        <w:rPr>
          <w:color w:val="000000"/>
          <w:spacing w:val="-3"/>
          <w:highlight w:val="yellow"/>
        </w:rPr>
        <w:t xml:space="preserve"> </w:t>
      </w:r>
      <w:r>
        <w:rPr>
          <w:color w:val="000000"/>
          <w:highlight w:val="yellow"/>
        </w:rPr>
        <w:t>health</w:t>
      </w:r>
      <w:r>
        <w:rPr>
          <w:color w:val="000000"/>
          <w:spacing w:val="-3"/>
          <w:highlight w:val="yellow"/>
        </w:rPr>
        <w:t xml:space="preserve"> </w:t>
      </w:r>
      <w:r>
        <w:rPr>
          <w:color w:val="000000"/>
          <w:highlight w:val="yellow"/>
        </w:rPr>
        <w:t>and</w:t>
      </w:r>
      <w:r>
        <w:rPr>
          <w:color w:val="000000"/>
          <w:spacing w:val="-3"/>
          <w:highlight w:val="yellow"/>
        </w:rPr>
        <w:t xml:space="preserve"> </w:t>
      </w:r>
      <w:r>
        <w:rPr>
          <w:color w:val="000000"/>
          <w:highlight w:val="yellow"/>
        </w:rPr>
        <w:t>production.</w:t>
      </w:r>
      <w:r>
        <w:rPr>
          <w:color w:val="000000"/>
          <w:spacing w:val="-3"/>
          <w:highlight w:val="yellow"/>
        </w:rPr>
        <w:t xml:space="preserve"> </w:t>
      </w:r>
      <w:r>
        <w:rPr>
          <w:color w:val="000000"/>
          <w:highlight w:val="yellow"/>
        </w:rPr>
        <w:t>p</w:t>
      </w:r>
      <w:r>
        <w:rPr>
          <w:color w:val="000000"/>
          <w:highlight w:val="yellow"/>
        </w:rPr>
        <w:t>otential</w:t>
      </w:r>
      <w:r>
        <w:rPr>
          <w:color w:val="000000"/>
        </w:rPr>
        <w:t xml:space="preserve"> </w:t>
      </w:r>
      <w:r>
        <w:rPr>
          <w:color w:val="000000"/>
          <w:highlight w:val="yellow"/>
        </w:rPr>
        <w:t>zoonotic risks (</w:t>
      </w:r>
      <w:proofErr w:type="spellStart"/>
      <w:r>
        <w:rPr>
          <w:color w:val="000000"/>
          <w:highlight w:val="yellow"/>
        </w:rPr>
        <w:t>Rosyunita</w:t>
      </w:r>
      <w:proofErr w:type="spellEnd"/>
      <w:r>
        <w:rPr>
          <w:color w:val="000000"/>
          <w:highlight w:val="yellow"/>
        </w:rPr>
        <w:t xml:space="preserve"> et al., 2026). Exposure to pyrethroids is manifested to cause the</w:t>
      </w:r>
      <w:r>
        <w:rPr>
          <w:color w:val="000000"/>
        </w:rPr>
        <w:t xml:space="preserve"> </w:t>
      </w:r>
      <w:r>
        <w:rPr>
          <w:color w:val="000000"/>
          <w:highlight w:val="yellow"/>
        </w:rPr>
        <w:t>organ damage viz. liver, kidney etc. as reported in our study, further increase the</w:t>
      </w:r>
      <w:r>
        <w:rPr>
          <w:color w:val="000000"/>
        </w:rPr>
        <w:t xml:space="preserve"> </w:t>
      </w:r>
      <w:r>
        <w:rPr>
          <w:color w:val="000000"/>
          <w:highlight w:val="yellow"/>
        </w:rPr>
        <w:t xml:space="preserve">susceptibility to opportunistic bacterial infections such as </w:t>
      </w:r>
      <w:proofErr w:type="gramStart"/>
      <w:r>
        <w:rPr>
          <w:i/>
          <w:color w:val="000000"/>
          <w:highlight w:val="yellow"/>
        </w:rPr>
        <w:t>E.coli</w:t>
      </w:r>
      <w:proofErr w:type="gramEnd"/>
      <w:r>
        <w:rPr>
          <w:i/>
          <w:color w:val="000000"/>
          <w:highlight w:val="yellow"/>
        </w:rPr>
        <w:t>.</w:t>
      </w:r>
    </w:p>
    <w:p w:rsidR="00FF2954" w:rsidRDefault="00FF2954">
      <w:pPr>
        <w:pStyle w:val="BodyText"/>
        <w:spacing w:before="137"/>
        <w:ind w:left="0"/>
        <w:rPr>
          <w:i/>
        </w:rPr>
      </w:pPr>
    </w:p>
    <w:p w:rsidR="00FF2954" w:rsidRDefault="00C341DF">
      <w:pPr>
        <w:pStyle w:val="BodyText"/>
        <w:spacing w:before="1" w:line="360" w:lineRule="auto"/>
        <w:ind w:right="179" w:firstLine="720"/>
        <w:jc w:val="both"/>
      </w:pPr>
      <w:r>
        <w:t>C</w:t>
      </w:r>
      <w:r>
        <w:t xml:space="preserve">ongestion and </w:t>
      </w:r>
      <w:proofErr w:type="spellStart"/>
      <w:r>
        <w:t>haemorrhages</w:t>
      </w:r>
      <w:proofErr w:type="spellEnd"/>
      <w:r>
        <w:t xml:space="preserve"> was observed in the </w:t>
      </w:r>
      <w:proofErr w:type="spellStart"/>
      <w:r>
        <w:t>intertubular</w:t>
      </w:r>
      <w:proofErr w:type="spellEnd"/>
      <w:r>
        <w:t xml:space="preserve"> site of kidney with mild leucocytes infiltration. Focal interstitial nephritis and degenerative changes in the renal tubules</w:t>
      </w:r>
      <w:r>
        <w:rPr>
          <w:spacing w:val="15"/>
        </w:rPr>
        <w:t xml:space="preserve"> </w:t>
      </w:r>
      <w:r>
        <w:t>was</w:t>
      </w:r>
      <w:r>
        <w:rPr>
          <w:spacing w:val="15"/>
        </w:rPr>
        <w:t xml:space="preserve"> </w:t>
      </w:r>
      <w:r>
        <w:t>evident</w:t>
      </w:r>
      <w:r>
        <w:rPr>
          <w:spacing w:val="15"/>
        </w:rPr>
        <w:t xml:space="preserve"> </w:t>
      </w:r>
      <w:r>
        <w:t>in</w:t>
      </w:r>
      <w:r>
        <w:rPr>
          <w:spacing w:val="15"/>
        </w:rPr>
        <w:t xml:space="preserve"> </w:t>
      </w:r>
      <w:r>
        <w:t>infected</w:t>
      </w:r>
      <w:r>
        <w:rPr>
          <w:spacing w:val="15"/>
        </w:rPr>
        <w:t xml:space="preserve"> </w:t>
      </w:r>
      <w:r>
        <w:t>and</w:t>
      </w:r>
      <w:r>
        <w:rPr>
          <w:spacing w:val="15"/>
        </w:rPr>
        <w:t xml:space="preserve"> </w:t>
      </w:r>
      <w:r>
        <w:t>infected</w:t>
      </w:r>
      <w:r>
        <w:rPr>
          <w:spacing w:val="15"/>
        </w:rPr>
        <w:t xml:space="preserve"> </w:t>
      </w:r>
      <w:r>
        <w:t>plus</w:t>
      </w:r>
      <w:r>
        <w:rPr>
          <w:spacing w:val="15"/>
        </w:rPr>
        <w:t xml:space="preserve"> </w:t>
      </w:r>
      <w:r>
        <w:t>intoxicated</w:t>
      </w:r>
      <w:r>
        <w:rPr>
          <w:spacing w:val="15"/>
        </w:rPr>
        <w:t xml:space="preserve"> </w:t>
      </w:r>
      <w:r>
        <w:t>groups.</w:t>
      </w:r>
      <w:r>
        <w:rPr>
          <w:spacing w:val="15"/>
        </w:rPr>
        <w:t xml:space="preserve"> </w:t>
      </w:r>
      <w:r>
        <w:t>Severity</w:t>
      </w:r>
      <w:r>
        <w:rPr>
          <w:spacing w:val="15"/>
        </w:rPr>
        <w:t xml:space="preserve"> </w:t>
      </w:r>
      <w:r>
        <w:t xml:space="preserve">of lesions </w:t>
      </w:r>
      <w:r>
        <w:rPr>
          <w:spacing w:val="-5"/>
        </w:rPr>
        <w:t>was</w:t>
      </w:r>
    </w:p>
    <w:p w:rsidR="00FF2954" w:rsidRDefault="00FF2954">
      <w:pPr>
        <w:pStyle w:val="BodyText"/>
        <w:spacing w:line="360" w:lineRule="auto"/>
        <w:jc w:val="both"/>
        <w:sectPr w:rsidR="00FF2954">
          <w:type w:val="continuous"/>
          <w:pgSz w:w="11920" w:h="16840"/>
          <w:pgMar w:top="1420" w:right="1275" w:bottom="280" w:left="1275" w:header="720" w:footer="720" w:gutter="0"/>
          <w:cols w:space="720"/>
        </w:sectPr>
      </w:pPr>
    </w:p>
    <w:p w:rsidR="00FF2954" w:rsidRDefault="00C341DF">
      <w:pPr>
        <w:pStyle w:val="BodyText"/>
        <w:spacing w:before="60" w:line="360" w:lineRule="auto"/>
        <w:ind w:right="180"/>
        <w:jc w:val="both"/>
      </w:pPr>
      <w:r>
        <w:rPr>
          <w:noProof/>
        </w:rPr>
        <w:lastRenderedPageBreak/>
        <mc:AlternateContent>
          <mc:Choice Requires="wps">
            <w:drawing>
              <wp:anchor distT="0" distB="0" distL="0" distR="0" simplePos="0" relativeHeight="487304704" behindDoc="1" locked="0" layoutInCell="1" allowOverlap="1">
                <wp:simplePos x="0" y="0"/>
                <wp:positionH relativeFrom="page">
                  <wp:posOffset>-343000</wp:posOffset>
                </wp:positionH>
                <wp:positionV relativeFrom="page">
                  <wp:posOffset>101035</wp:posOffset>
                </wp:positionV>
                <wp:extent cx="1598930" cy="103822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26" o:spid="_x0000_s1044" type="#_x0000_t202" style="position:absolute;left:0;text-align:left;margin-left:-27pt;margin-top:7.95pt;width:125.9pt;height:81.75pt;rotation:-45;z-index:-1601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" filled="f" stroked="f">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r>
        <w:t xml:space="preserve">comparatively mild in groups </w:t>
      </w:r>
      <w:r>
        <w:t>B1 and C1 than in B2, C2, and A2. These observations are consistent with the findings of Ayaz (2017)</w:t>
      </w:r>
      <w:r>
        <w:rPr>
          <w:spacing w:val="-4"/>
        </w:rPr>
        <w:t xml:space="preserve"> </w:t>
      </w:r>
      <w:r>
        <w:t>who</w:t>
      </w:r>
      <w:r>
        <w:rPr>
          <w:spacing w:val="-4"/>
        </w:rPr>
        <w:t xml:space="preserve"> </w:t>
      </w:r>
      <w:r>
        <w:t>reported</w:t>
      </w:r>
      <w:r>
        <w:rPr>
          <w:spacing w:val="-4"/>
        </w:rPr>
        <w:t xml:space="preserve"> </w:t>
      </w:r>
      <w:r>
        <w:t>similar</w:t>
      </w:r>
      <w:r>
        <w:rPr>
          <w:spacing w:val="-4"/>
        </w:rPr>
        <w:t xml:space="preserve"> </w:t>
      </w:r>
      <w:r>
        <w:t>degenerative</w:t>
      </w:r>
      <w:r>
        <w:rPr>
          <w:spacing w:val="-4"/>
        </w:rPr>
        <w:t xml:space="preserve"> </w:t>
      </w:r>
      <w:r>
        <w:t>changes</w:t>
      </w:r>
      <w:r>
        <w:rPr>
          <w:spacing w:val="-4"/>
        </w:rPr>
        <w:t xml:space="preserve"> </w:t>
      </w:r>
      <w:r>
        <w:t>in</w:t>
      </w:r>
      <w:r>
        <w:rPr>
          <w:spacing w:val="-4"/>
        </w:rPr>
        <w:t xml:space="preserve"> </w:t>
      </w:r>
      <w:r>
        <w:t>the renal tissue following deltamethrin toxicity in rats.</w:t>
      </w:r>
      <w:r>
        <w:rPr>
          <w:spacing w:val="80"/>
        </w:rPr>
        <w:t xml:space="preserve"> </w:t>
      </w:r>
      <w:r>
        <w:t xml:space="preserve">Alden and </w:t>
      </w:r>
      <w:proofErr w:type="spellStart"/>
      <w:r>
        <w:t>Frith</w:t>
      </w:r>
      <w:proofErr w:type="spellEnd"/>
      <w:r>
        <w:t xml:space="preserve"> (1991) also advocated that leakage of lysosomal enzyme triggers the nephrotoxic potential of </w:t>
      </w:r>
      <w:proofErr w:type="spellStart"/>
      <w:r>
        <w:t>renotoxic</w:t>
      </w:r>
      <w:proofErr w:type="spellEnd"/>
      <w:r>
        <w:t xml:space="preserve"> substances with loss of structural integrity of glomeruli and renal tubules.</w:t>
      </w:r>
    </w:p>
    <w:p w:rsidR="00FF2954" w:rsidRDefault="00C341DF">
      <w:pPr>
        <w:pStyle w:val="BodyText"/>
        <w:spacing w:line="360" w:lineRule="auto"/>
        <w:ind w:right="178" w:firstLine="720"/>
        <w:jc w:val="both"/>
      </w:pPr>
      <w:r>
        <w:t>Brain exhibited encephalitis in group</w:t>
      </w:r>
      <w:r>
        <w:rPr>
          <w:spacing w:val="-4"/>
        </w:rPr>
        <w:t xml:space="preserve"> </w:t>
      </w:r>
      <w:r>
        <w:t>B2</w:t>
      </w:r>
      <w:r>
        <w:rPr>
          <w:spacing w:val="-4"/>
        </w:rPr>
        <w:t xml:space="preserve"> </w:t>
      </w:r>
      <w:r>
        <w:t>characterized</w:t>
      </w:r>
      <w:r>
        <w:rPr>
          <w:spacing w:val="-4"/>
        </w:rPr>
        <w:t xml:space="preserve"> </w:t>
      </w:r>
      <w:r>
        <w:t>by</w:t>
      </w:r>
      <w:r>
        <w:rPr>
          <w:spacing w:val="-4"/>
        </w:rPr>
        <w:t xml:space="preserve"> </w:t>
      </w:r>
      <w:r>
        <w:t>co</w:t>
      </w:r>
      <w:r>
        <w:t>ngestion</w:t>
      </w:r>
      <w:r>
        <w:rPr>
          <w:spacing w:val="-4"/>
        </w:rPr>
        <w:t xml:space="preserve"> </w:t>
      </w:r>
      <w:r>
        <w:t>of</w:t>
      </w:r>
      <w:r>
        <w:rPr>
          <w:spacing w:val="-4"/>
        </w:rPr>
        <w:t xml:space="preserve"> </w:t>
      </w:r>
      <w:r>
        <w:t>blood</w:t>
      </w:r>
      <w:r>
        <w:rPr>
          <w:spacing w:val="-4"/>
        </w:rPr>
        <w:t xml:space="preserve"> </w:t>
      </w:r>
      <w:r>
        <w:t>vessels and focal area of necrosis along with infiltration of mononuclear cell in cerebrum and focal area of</w:t>
      </w:r>
      <w:r>
        <w:rPr>
          <w:spacing w:val="-3"/>
        </w:rPr>
        <w:t xml:space="preserve"> </w:t>
      </w:r>
      <w:r>
        <w:t>gliosis.</w:t>
      </w:r>
      <w:r>
        <w:rPr>
          <w:spacing w:val="-3"/>
        </w:rPr>
        <w:t xml:space="preserve"> </w:t>
      </w:r>
      <w:r>
        <w:t>Grewal</w:t>
      </w:r>
      <w:r>
        <w:rPr>
          <w:spacing w:val="-3"/>
        </w:rPr>
        <w:t xml:space="preserve"> </w:t>
      </w:r>
      <w:r>
        <w:t>et</w:t>
      </w:r>
      <w:r>
        <w:rPr>
          <w:spacing w:val="-3"/>
        </w:rPr>
        <w:t xml:space="preserve"> </w:t>
      </w:r>
      <w:r>
        <w:t>al.</w:t>
      </w:r>
      <w:r>
        <w:rPr>
          <w:spacing w:val="-3"/>
        </w:rPr>
        <w:t xml:space="preserve"> </w:t>
      </w:r>
      <w:r>
        <w:t>(2010)</w:t>
      </w:r>
      <w:r>
        <w:rPr>
          <w:spacing w:val="-3"/>
        </w:rPr>
        <w:t xml:space="preserve"> </w:t>
      </w:r>
      <w:r>
        <w:t>also</w:t>
      </w:r>
      <w:r>
        <w:rPr>
          <w:spacing w:val="-3"/>
        </w:rPr>
        <w:t xml:space="preserve"> </w:t>
      </w:r>
      <w:r>
        <w:t>reported</w:t>
      </w:r>
      <w:r>
        <w:rPr>
          <w:spacing w:val="-3"/>
        </w:rPr>
        <w:t xml:space="preserve"> </w:t>
      </w:r>
      <w:r>
        <w:t>the</w:t>
      </w:r>
      <w:r>
        <w:rPr>
          <w:spacing w:val="-3"/>
        </w:rPr>
        <w:t xml:space="preserve"> </w:t>
      </w:r>
      <w:r>
        <w:t>degenerative</w:t>
      </w:r>
      <w:r>
        <w:rPr>
          <w:spacing w:val="-3"/>
        </w:rPr>
        <w:t xml:space="preserve"> </w:t>
      </w:r>
      <w:r>
        <w:t>changes</w:t>
      </w:r>
      <w:r>
        <w:rPr>
          <w:spacing w:val="-3"/>
        </w:rPr>
        <w:t xml:space="preserve"> </w:t>
      </w:r>
      <w:r>
        <w:t>in</w:t>
      </w:r>
      <w:r>
        <w:rPr>
          <w:spacing w:val="-3"/>
        </w:rPr>
        <w:t xml:space="preserve"> </w:t>
      </w:r>
      <w:r>
        <w:t>the</w:t>
      </w:r>
      <w:r>
        <w:rPr>
          <w:spacing w:val="-3"/>
        </w:rPr>
        <w:t xml:space="preserve"> </w:t>
      </w:r>
      <w:r>
        <w:t>neurons</w:t>
      </w:r>
      <w:r>
        <w:rPr>
          <w:spacing w:val="-3"/>
        </w:rPr>
        <w:t xml:space="preserve"> </w:t>
      </w:r>
      <w:r>
        <w:t>and vacuolization with marked increment in gl</w:t>
      </w:r>
      <w:r>
        <w:t xml:space="preserve">ial cell following toxicity of pyrethroids. Gupta (1988) also reported the proliferation of glial cell and neuronal changes following cypermethrin toxicity, similar synthetic pyrethroids. Moreover, many pesticides are reported to produce hypoxia, </w:t>
      </w:r>
      <w:proofErr w:type="spellStart"/>
      <w:r>
        <w:t>hypoglyca</w:t>
      </w:r>
      <w:r>
        <w:t>emia</w:t>
      </w:r>
      <w:proofErr w:type="spellEnd"/>
      <w:r>
        <w:t xml:space="preserve"> and disturbed cellular ion homeostasis mediated neurological changes on repeated exposure (Anthony et al., 1996).</w:t>
      </w:r>
    </w:p>
    <w:p w:rsidR="00FF2954" w:rsidRDefault="00C341DF">
      <w:pPr>
        <w:pStyle w:val="BodyText"/>
        <w:spacing w:line="360" w:lineRule="auto"/>
        <w:ind w:right="185" w:firstLine="720"/>
        <w:jc w:val="both"/>
      </w:pPr>
      <w:r>
        <w:t>Severity of lesions were mild in other groups i.e. B1 and C1 suggested the conjunctional role of deltamethrin and</w:t>
      </w:r>
      <w:r>
        <w:rPr>
          <w:spacing w:val="-3"/>
        </w:rPr>
        <w:t xml:space="preserve"> </w:t>
      </w:r>
      <w:r>
        <w:t>colibacillosis</w:t>
      </w:r>
      <w:r>
        <w:rPr>
          <w:spacing w:val="-3"/>
        </w:rPr>
        <w:t xml:space="preserve"> </w:t>
      </w:r>
      <w:r>
        <w:t>in</w:t>
      </w:r>
      <w:r>
        <w:rPr>
          <w:spacing w:val="-3"/>
        </w:rPr>
        <w:t xml:space="preserve"> </w:t>
      </w:r>
      <w:r>
        <w:t>young</w:t>
      </w:r>
      <w:r>
        <w:rPr>
          <w:spacing w:val="-3"/>
        </w:rPr>
        <w:t xml:space="preserve"> </w:t>
      </w:r>
      <w:r>
        <w:t>poultry</w:t>
      </w:r>
      <w:r>
        <w:rPr>
          <w:spacing w:val="-3"/>
        </w:rPr>
        <w:t xml:space="preserve"> </w:t>
      </w:r>
      <w:r>
        <w:t>birds</w:t>
      </w:r>
      <w:r>
        <w:rPr>
          <w:spacing w:val="-3"/>
        </w:rPr>
        <w:t xml:space="preserve"> </w:t>
      </w:r>
      <w:r>
        <w:t>to</w:t>
      </w:r>
      <w:r>
        <w:rPr>
          <w:spacing w:val="-3"/>
        </w:rPr>
        <w:t xml:space="preserve"> </w:t>
      </w:r>
      <w:r>
        <w:t>produce</w:t>
      </w:r>
      <w:r>
        <w:rPr>
          <w:spacing w:val="-3"/>
        </w:rPr>
        <w:t xml:space="preserve"> </w:t>
      </w:r>
      <w:r>
        <w:t xml:space="preserve">severe </w:t>
      </w:r>
      <w:r>
        <w:rPr>
          <w:spacing w:val="-2"/>
        </w:rPr>
        <w:t>lesions.</w:t>
      </w:r>
    </w:p>
    <w:p w:rsidR="00FF2954" w:rsidRDefault="00C341DF">
      <w:pPr>
        <w:pStyle w:val="Heading1"/>
        <w:numPr>
          <w:ilvl w:val="0"/>
          <w:numId w:val="1"/>
        </w:numPr>
        <w:tabs>
          <w:tab w:val="left" w:pos="405"/>
        </w:tabs>
        <w:ind w:left="405" w:hanging="240"/>
        <w:jc w:val="both"/>
      </w:pPr>
      <w:r>
        <w:t xml:space="preserve">Summary and </w:t>
      </w:r>
      <w:r>
        <w:rPr>
          <w:spacing w:val="-2"/>
        </w:rPr>
        <w:t>Conclusion</w:t>
      </w:r>
    </w:p>
    <w:p w:rsidR="00FF2954" w:rsidRDefault="00C341DF">
      <w:pPr>
        <w:pStyle w:val="BodyText"/>
        <w:spacing w:before="138" w:line="360" w:lineRule="auto"/>
        <w:ind w:right="183"/>
        <w:jc w:val="both"/>
      </w:pPr>
      <w:r>
        <w:t>Thus, it is concluded from the present study that the severe pathomorphological alterations were</w:t>
      </w:r>
      <w:r>
        <w:rPr>
          <w:spacing w:val="-3"/>
        </w:rPr>
        <w:t xml:space="preserve"> </w:t>
      </w:r>
      <w:r>
        <w:t>induced</w:t>
      </w:r>
      <w:r>
        <w:rPr>
          <w:spacing w:val="-3"/>
        </w:rPr>
        <w:t xml:space="preserve"> </w:t>
      </w:r>
      <w:r>
        <w:t>following</w:t>
      </w:r>
      <w:r>
        <w:rPr>
          <w:spacing w:val="-3"/>
        </w:rPr>
        <w:t xml:space="preserve"> </w:t>
      </w:r>
      <w:r>
        <w:t>concomitant</w:t>
      </w:r>
      <w:r>
        <w:rPr>
          <w:spacing w:val="-3"/>
        </w:rPr>
        <w:t xml:space="preserve"> </w:t>
      </w:r>
      <w:r>
        <w:t>exposure</w:t>
      </w:r>
      <w:r>
        <w:rPr>
          <w:spacing w:val="-3"/>
        </w:rPr>
        <w:t xml:space="preserve"> </w:t>
      </w:r>
      <w:r>
        <w:t>of</w:t>
      </w:r>
      <w:r>
        <w:rPr>
          <w:spacing w:val="-3"/>
        </w:rPr>
        <w:t xml:space="preserve"> </w:t>
      </w:r>
      <w:r>
        <w:t>deltamethrin</w:t>
      </w:r>
      <w:r>
        <w:rPr>
          <w:spacing w:val="-3"/>
        </w:rPr>
        <w:t xml:space="preserve"> </w:t>
      </w:r>
      <w:r>
        <w:t>with</w:t>
      </w:r>
      <w:r>
        <w:rPr>
          <w:spacing w:val="-3"/>
        </w:rPr>
        <w:t xml:space="preserve"> </w:t>
      </w:r>
      <w:proofErr w:type="gramStart"/>
      <w:r>
        <w:rPr>
          <w:i/>
          <w:color w:val="000000"/>
          <w:highlight w:val="yellow"/>
        </w:rPr>
        <w:t>E.coli</w:t>
      </w:r>
      <w:proofErr w:type="gramEnd"/>
      <w:r>
        <w:rPr>
          <w:i/>
          <w:color w:val="000000"/>
          <w:spacing w:val="-3"/>
        </w:rPr>
        <w:t xml:space="preserve"> </w:t>
      </w:r>
      <w:r>
        <w:rPr>
          <w:color w:val="000000"/>
        </w:rPr>
        <w:t>infection</w:t>
      </w:r>
      <w:r>
        <w:rPr>
          <w:color w:val="000000"/>
          <w:spacing w:val="-3"/>
        </w:rPr>
        <w:t xml:space="preserve"> </w:t>
      </w:r>
      <w:r>
        <w:rPr>
          <w:color w:val="000000"/>
        </w:rPr>
        <w:t>in</w:t>
      </w:r>
      <w:r>
        <w:rPr>
          <w:color w:val="000000"/>
          <w:spacing w:val="-3"/>
        </w:rPr>
        <w:t xml:space="preserve"> </w:t>
      </w:r>
      <w:r>
        <w:rPr>
          <w:color w:val="000000"/>
        </w:rPr>
        <w:t>poultry birds at the dose i.e. 1/5</w:t>
      </w:r>
      <w:r>
        <w:rPr>
          <w:color w:val="000000"/>
          <w:vertAlign w:val="superscript"/>
        </w:rPr>
        <w:t>th</w:t>
      </w:r>
      <w:r>
        <w:rPr>
          <w:color w:val="000000"/>
        </w:rPr>
        <w:t xml:space="preserve"> of MTD</w:t>
      </w:r>
      <w:r>
        <w:rPr>
          <w:color w:val="000000"/>
          <w:spacing w:val="-3"/>
        </w:rPr>
        <w:t xml:space="preserve"> </w:t>
      </w:r>
      <w:r>
        <w:rPr>
          <w:color w:val="000000"/>
        </w:rPr>
        <w:t>as</w:t>
      </w:r>
      <w:r>
        <w:rPr>
          <w:color w:val="000000"/>
          <w:spacing w:val="-3"/>
        </w:rPr>
        <w:t xml:space="preserve"> </w:t>
      </w:r>
      <w:r>
        <w:rPr>
          <w:color w:val="000000"/>
        </w:rPr>
        <w:t>compared</w:t>
      </w:r>
      <w:r>
        <w:rPr>
          <w:color w:val="000000"/>
          <w:spacing w:val="-3"/>
        </w:rPr>
        <w:t xml:space="preserve"> </w:t>
      </w:r>
      <w:r>
        <w:rPr>
          <w:color w:val="000000"/>
        </w:rPr>
        <w:t>to</w:t>
      </w:r>
      <w:r>
        <w:rPr>
          <w:color w:val="000000"/>
          <w:spacing w:val="-3"/>
        </w:rPr>
        <w:t xml:space="preserve"> </w:t>
      </w:r>
      <w:r>
        <w:rPr>
          <w:color w:val="000000"/>
        </w:rPr>
        <w:t>1/10</w:t>
      </w:r>
      <w:r>
        <w:rPr>
          <w:color w:val="000000"/>
          <w:vertAlign w:val="superscript"/>
        </w:rPr>
        <w:t>th</w:t>
      </w:r>
      <w:r>
        <w:rPr>
          <w:color w:val="000000"/>
          <w:spacing w:val="-4"/>
        </w:rPr>
        <w:t xml:space="preserve"> </w:t>
      </w:r>
      <w:r>
        <w:rPr>
          <w:color w:val="000000"/>
        </w:rPr>
        <w:t>of</w:t>
      </w:r>
      <w:r>
        <w:rPr>
          <w:color w:val="000000"/>
          <w:spacing w:val="-3"/>
        </w:rPr>
        <w:t xml:space="preserve"> </w:t>
      </w:r>
      <w:r>
        <w:rPr>
          <w:color w:val="000000"/>
        </w:rPr>
        <w:t>MTD</w:t>
      </w:r>
      <w:r>
        <w:rPr>
          <w:color w:val="000000"/>
          <w:spacing w:val="-3"/>
        </w:rPr>
        <w:t xml:space="preserve"> </w:t>
      </w:r>
      <w:r>
        <w:rPr>
          <w:color w:val="000000"/>
        </w:rPr>
        <w:t>and</w:t>
      </w:r>
      <w:r>
        <w:rPr>
          <w:color w:val="000000"/>
          <w:spacing w:val="-3"/>
        </w:rPr>
        <w:t xml:space="preserve"> </w:t>
      </w:r>
      <w:r>
        <w:rPr>
          <w:color w:val="000000"/>
        </w:rPr>
        <w:t>stringent</w:t>
      </w:r>
      <w:r>
        <w:rPr>
          <w:color w:val="000000"/>
          <w:spacing w:val="-3"/>
        </w:rPr>
        <w:t xml:space="preserve"> </w:t>
      </w:r>
      <w:r>
        <w:rPr>
          <w:color w:val="000000"/>
        </w:rPr>
        <w:t>monitoring</w:t>
      </w:r>
      <w:r>
        <w:rPr>
          <w:color w:val="000000"/>
          <w:spacing w:val="-3"/>
        </w:rPr>
        <w:t xml:space="preserve"> </w:t>
      </w:r>
      <w:r>
        <w:rPr>
          <w:color w:val="000000"/>
        </w:rPr>
        <w:t>of pyrethroids residues in poultry farms is essential to mitigate severe economic losses during bacterial outbreaks. Furthermore, the GLS and</w:t>
      </w:r>
      <w:r>
        <w:rPr>
          <w:color w:val="000000"/>
          <w:spacing w:val="-3"/>
        </w:rPr>
        <w:t xml:space="preserve"> </w:t>
      </w:r>
      <w:r>
        <w:rPr>
          <w:color w:val="000000"/>
        </w:rPr>
        <w:t>HLS</w:t>
      </w:r>
      <w:r>
        <w:rPr>
          <w:color w:val="000000"/>
          <w:spacing w:val="-3"/>
        </w:rPr>
        <w:t xml:space="preserve"> </w:t>
      </w:r>
      <w:r>
        <w:rPr>
          <w:color w:val="000000"/>
        </w:rPr>
        <w:t>indicated</w:t>
      </w:r>
      <w:r>
        <w:rPr>
          <w:color w:val="000000"/>
          <w:spacing w:val="-3"/>
        </w:rPr>
        <w:t xml:space="preserve"> </w:t>
      </w:r>
      <w:r>
        <w:rPr>
          <w:color w:val="000000"/>
        </w:rPr>
        <w:t>th</w:t>
      </w:r>
      <w:r>
        <w:rPr>
          <w:color w:val="000000"/>
        </w:rPr>
        <w:t>at</w:t>
      </w:r>
      <w:r>
        <w:rPr>
          <w:color w:val="000000"/>
          <w:spacing w:val="-3"/>
        </w:rPr>
        <w:t xml:space="preserve"> </w:t>
      </w:r>
      <w:r>
        <w:rPr>
          <w:color w:val="000000"/>
        </w:rPr>
        <w:t>dose</w:t>
      </w:r>
      <w:r>
        <w:rPr>
          <w:color w:val="000000"/>
          <w:spacing w:val="-3"/>
        </w:rPr>
        <w:t xml:space="preserve"> </w:t>
      </w:r>
      <w:r>
        <w:rPr>
          <w:color w:val="000000"/>
        </w:rPr>
        <w:t>dependent</w:t>
      </w:r>
      <w:r>
        <w:rPr>
          <w:color w:val="000000"/>
          <w:spacing w:val="-3"/>
        </w:rPr>
        <w:t xml:space="preserve"> </w:t>
      </w:r>
      <w:r>
        <w:rPr>
          <w:color w:val="000000"/>
        </w:rPr>
        <w:t>toxicity</w:t>
      </w:r>
      <w:r>
        <w:rPr>
          <w:color w:val="000000"/>
          <w:spacing w:val="-3"/>
        </w:rPr>
        <w:t xml:space="preserve"> </w:t>
      </w:r>
      <w:r>
        <w:rPr>
          <w:color w:val="000000"/>
        </w:rPr>
        <w:t xml:space="preserve">of </w:t>
      </w:r>
      <w:r>
        <w:rPr>
          <w:color w:val="000000"/>
          <w:spacing w:val="-2"/>
        </w:rPr>
        <w:t>deltamethrin.</w:t>
      </w:r>
    </w:p>
    <w:p w:rsidR="00FF2954" w:rsidRDefault="00C341DF">
      <w:pPr>
        <w:pStyle w:val="Heading1"/>
      </w:pPr>
      <w:r>
        <w:rPr>
          <w:color w:val="000000"/>
          <w:spacing w:val="-2"/>
          <w:highlight w:val="yellow"/>
        </w:rPr>
        <w:t>Limitations</w:t>
      </w:r>
    </w:p>
    <w:p w:rsidR="00FF2954" w:rsidRDefault="00C341DF">
      <w:pPr>
        <w:pStyle w:val="BodyText"/>
        <w:spacing w:before="138" w:line="360" w:lineRule="auto"/>
        <w:ind w:right="189"/>
        <w:jc w:val="both"/>
      </w:pPr>
      <w:r>
        <w:rPr>
          <w:color w:val="000000"/>
          <w:highlight w:val="yellow"/>
        </w:rPr>
        <w:t>The study is limited to only one route of exposure, albeit poultry birds may attain the</w:t>
      </w:r>
      <w:r>
        <w:rPr>
          <w:color w:val="000000"/>
        </w:rPr>
        <w:t xml:space="preserve"> </w:t>
      </w:r>
      <w:r>
        <w:rPr>
          <w:color w:val="000000"/>
          <w:highlight w:val="yellow"/>
        </w:rPr>
        <w:t>infection from several other routes i.e. inhalational, dermal etc. Hence, further studies are</w:t>
      </w:r>
      <w:r>
        <w:rPr>
          <w:color w:val="000000"/>
        </w:rPr>
        <w:t xml:space="preserve"> </w:t>
      </w:r>
      <w:r>
        <w:rPr>
          <w:color w:val="000000"/>
          <w:highlight w:val="yellow"/>
        </w:rPr>
        <w:t>warranted to mitig</w:t>
      </w:r>
      <w:r>
        <w:rPr>
          <w:color w:val="000000"/>
          <w:highlight w:val="yellow"/>
        </w:rPr>
        <w:t>ate the challenges in terms of different exposure routes.</w:t>
      </w:r>
    </w:p>
    <w:p w:rsidR="00FF2954" w:rsidRDefault="00FF2954">
      <w:pPr>
        <w:pStyle w:val="BodyText"/>
        <w:spacing w:before="137"/>
        <w:ind w:left="0"/>
      </w:pPr>
    </w:p>
    <w:p w:rsidR="00FF2954" w:rsidRDefault="00C341DF">
      <w:pPr>
        <w:pStyle w:val="Heading1"/>
        <w:spacing w:before="1"/>
        <w:jc w:val="both"/>
      </w:pPr>
      <w:r>
        <w:t xml:space="preserve">Ethical </w:t>
      </w:r>
      <w:r>
        <w:rPr>
          <w:spacing w:val="-2"/>
        </w:rPr>
        <w:t>Approval</w:t>
      </w:r>
    </w:p>
    <w:p w:rsidR="00FF2954" w:rsidRDefault="00C341DF">
      <w:pPr>
        <w:pStyle w:val="BodyText"/>
        <w:spacing w:before="138" w:line="360" w:lineRule="auto"/>
        <w:ind w:right="178"/>
        <w:jc w:val="both"/>
      </w:pPr>
      <w:r>
        <w:t>Experimental study was undertaken following ethical approval from the</w:t>
      </w:r>
      <w:r>
        <w:rPr>
          <w:spacing w:val="-2"/>
        </w:rPr>
        <w:t xml:space="preserve"> </w:t>
      </w:r>
      <w:r>
        <w:t>competent</w:t>
      </w:r>
      <w:r>
        <w:rPr>
          <w:spacing w:val="-2"/>
        </w:rPr>
        <w:t xml:space="preserve"> </w:t>
      </w:r>
      <w:r>
        <w:t>authority and all the trials were conducted as per the regulations and norms of Institutional Animal</w:t>
      </w:r>
      <w:r>
        <w:t xml:space="preserve"> Ethics committee (IAEC) of LUVAS, Hisar with permission order </w:t>
      </w:r>
      <w:proofErr w:type="gramStart"/>
      <w:r>
        <w:t>number(</w:t>
      </w:r>
      <w:proofErr w:type="gramEnd"/>
      <w:r>
        <w:t>TVCC/IAEC/2017/223151 dated 27/01/2017).</w:t>
      </w:r>
    </w:p>
    <w:p w:rsidR="00FF2954" w:rsidRDefault="00FF2954">
      <w:pPr>
        <w:pStyle w:val="BodyText"/>
        <w:spacing w:line="360" w:lineRule="auto"/>
        <w:jc w:val="both"/>
      </w:pPr>
    </w:p>
    <w:p w:rsidR="00C341DF" w:rsidRDefault="00C341DF" w:rsidP="00C341DF">
      <w:pPr>
        <w:pStyle w:val="Heading1"/>
        <w:spacing w:before="1"/>
      </w:pPr>
      <w:r>
        <w:t xml:space="preserve">Conflict of </w:t>
      </w:r>
      <w:r>
        <w:rPr>
          <w:spacing w:val="-2"/>
        </w:rPr>
        <w:t>Interest</w:t>
      </w:r>
    </w:p>
    <w:p w:rsidR="00C341DF" w:rsidRDefault="00C341DF" w:rsidP="00C341DF">
      <w:pPr>
        <w:pStyle w:val="BodyText"/>
        <w:spacing w:before="138"/>
      </w:pPr>
      <w:r>
        <w:t xml:space="preserve">Authors do not have any conflict of </w:t>
      </w:r>
      <w:r>
        <w:rPr>
          <w:spacing w:val="-2"/>
        </w:rPr>
        <w:t>interest.</w:t>
      </w:r>
    </w:p>
    <w:p w:rsidR="00C341DF" w:rsidRDefault="00C341DF" w:rsidP="00C341DF">
      <w:pPr>
        <w:pStyle w:val="Heading1"/>
        <w:spacing w:before="138"/>
      </w:pPr>
      <w:r>
        <w:rPr>
          <w:spacing w:val="-2"/>
        </w:rPr>
        <w:lastRenderedPageBreak/>
        <w:t>Acknowledgement</w:t>
      </w:r>
    </w:p>
    <w:p w:rsidR="00C341DF" w:rsidRDefault="00C341DF" w:rsidP="00C341DF">
      <w:pPr>
        <w:pStyle w:val="BodyText"/>
        <w:spacing w:before="138" w:line="360" w:lineRule="auto"/>
        <w:ind w:right="80"/>
      </w:pPr>
      <w:r>
        <w:t>We</w:t>
      </w:r>
      <w:r>
        <w:rPr>
          <w:spacing w:val="80"/>
        </w:rPr>
        <w:t xml:space="preserve"> </w:t>
      </w:r>
      <w:r>
        <w:t>acknowledge</w:t>
      </w:r>
      <w:r>
        <w:rPr>
          <w:spacing w:val="80"/>
        </w:rPr>
        <w:t xml:space="preserve"> </w:t>
      </w:r>
      <w:r>
        <w:t>LUVAS,</w:t>
      </w:r>
      <w:r>
        <w:rPr>
          <w:spacing w:val="80"/>
        </w:rPr>
        <w:t xml:space="preserve"> </w:t>
      </w:r>
      <w:r>
        <w:t>Hisar</w:t>
      </w:r>
      <w:r>
        <w:rPr>
          <w:spacing w:val="80"/>
        </w:rPr>
        <w:t xml:space="preserve"> </w:t>
      </w:r>
      <w:r>
        <w:t>and</w:t>
      </w:r>
      <w:r>
        <w:rPr>
          <w:spacing w:val="80"/>
        </w:rPr>
        <w:t xml:space="preserve"> </w:t>
      </w:r>
      <w:r>
        <w:t>DUVASU,</w:t>
      </w:r>
      <w:r>
        <w:rPr>
          <w:spacing w:val="80"/>
        </w:rPr>
        <w:t xml:space="preserve"> </w:t>
      </w:r>
      <w:r>
        <w:t>Mathura</w:t>
      </w:r>
      <w:r>
        <w:rPr>
          <w:spacing w:val="78"/>
        </w:rPr>
        <w:t xml:space="preserve"> </w:t>
      </w:r>
      <w:r>
        <w:t>for</w:t>
      </w:r>
      <w:r>
        <w:rPr>
          <w:spacing w:val="78"/>
        </w:rPr>
        <w:t xml:space="preserve"> </w:t>
      </w:r>
      <w:r>
        <w:t>providing</w:t>
      </w:r>
      <w:r>
        <w:rPr>
          <w:spacing w:val="78"/>
        </w:rPr>
        <w:t xml:space="preserve"> </w:t>
      </w:r>
      <w:r>
        <w:t>the</w:t>
      </w:r>
      <w:r>
        <w:rPr>
          <w:spacing w:val="78"/>
        </w:rPr>
        <w:t xml:space="preserve"> </w:t>
      </w:r>
      <w:r>
        <w:t>research assistance for the study.</w:t>
      </w:r>
    </w:p>
    <w:p w:rsidR="00C341DF" w:rsidRDefault="00C341DF">
      <w:pPr>
        <w:pStyle w:val="BodyText"/>
        <w:spacing w:line="360" w:lineRule="auto"/>
        <w:jc w:val="both"/>
        <w:sectPr w:rsidR="00C341DF">
          <w:pgSz w:w="11920" w:h="16840"/>
          <w:pgMar w:top="1380" w:right="1275" w:bottom="280" w:left="1275" w:header="720" w:footer="720" w:gutter="0"/>
          <w:cols w:space="720"/>
        </w:sectPr>
      </w:pPr>
      <w:bookmarkStart w:id="0" w:name="_GoBack"/>
      <w:bookmarkEnd w:id="0"/>
    </w:p>
    <w:p w:rsidR="00FF2954" w:rsidRDefault="00C341DF">
      <w:pPr>
        <w:pStyle w:val="Heading1"/>
        <w:spacing w:before="60"/>
        <w:jc w:val="both"/>
      </w:pPr>
      <w:r>
        <w:rPr>
          <w:noProof/>
        </w:rPr>
        <w:lastRenderedPageBreak/>
        <mc:AlternateContent>
          <mc:Choice Requires="wps">
            <w:drawing>
              <wp:anchor distT="0" distB="0" distL="0" distR="0" simplePos="0" relativeHeight="487305216" behindDoc="1" locked="0" layoutInCell="1" allowOverlap="1">
                <wp:simplePos x="0" y="0"/>
                <wp:positionH relativeFrom="page">
                  <wp:posOffset>-343000</wp:posOffset>
                </wp:positionH>
                <wp:positionV relativeFrom="page">
                  <wp:posOffset>101035</wp:posOffset>
                </wp:positionV>
                <wp:extent cx="1598930" cy="103822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27" o:spid="_x0000_s1045" type="#_x0000_t202" style="position:absolute;left:0;text-align:left;margin-left:-27pt;margin-top:7.95pt;width:125.9pt;height:81.75pt;rotation:-45;z-index:-1601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" filled="f" stroked="f">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r>
        <w:t xml:space="preserve">COMPETING INTERESTS </w:t>
      </w:r>
      <w:r>
        <w:rPr>
          <w:spacing w:val="-2"/>
        </w:rPr>
        <w:t>DISCLAIMER:</w:t>
      </w:r>
    </w:p>
    <w:p w:rsidR="00FF2954" w:rsidRDefault="00C341DF">
      <w:pPr>
        <w:pStyle w:val="BodyText"/>
        <w:spacing w:before="138" w:line="360" w:lineRule="auto"/>
        <w:ind w:right="183"/>
        <w:jc w:val="both"/>
      </w:pPr>
      <w:r>
        <w:t>Authors</w:t>
      </w:r>
      <w:r>
        <w:rPr>
          <w:spacing w:val="80"/>
        </w:rPr>
        <w:t xml:space="preserve"> </w:t>
      </w:r>
      <w:r>
        <w:t>have</w:t>
      </w:r>
      <w:r>
        <w:rPr>
          <w:spacing w:val="80"/>
        </w:rPr>
        <w:t xml:space="preserve"> </w:t>
      </w:r>
      <w:r>
        <w:t>declared</w:t>
      </w:r>
      <w:r>
        <w:rPr>
          <w:spacing w:val="80"/>
        </w:rPr>
        <w:t xml:space="preserve"> </w:t>
      </w:r>
      <w:r>
        <w:t>that</w:t>
      </w:r>
      <w:r>
        <w:rPr>
          <w:spacing w:val="80"/>
        </w:rPr>
        <w:t xml:space="preserve"> </w:t>
      </w:r>
      <w:r>
        <w:t>they</w:t>
      </w:r>
      <w:r>
        <w:rPr>
          <w:spacing w:val="80"/>
        </w:rPr>
        <w:t xml:space="preserve"> </w:t>
      </w:r>
      <w:r>
        <w:t>have</w:t>
      </w:r>
      <w:r>
        <w:rPr>
          <w:spacing w:val="80"/>
        </w:rPr>
        <w:t xml:space="preserve"> </w:t>
      </w:r>
      <w:r>
        <w:t>no</w:t>
      </w:r>
      <w:r>
        <w:rPr>
          <w:spacing w:val="80"/>
        </w:rPr>
        <w:t xml:space="preserve"> </w:t>
      </w:r>
      <w:r>
        <w:t>known</w:t>
      </w:r>
      <w:r>
        <w:rPr>
          <w:spacing w:val="80"/>
        </w:rPr>
        <w:t xml:space="preserve"> </w:t>
      </w:r>
      <w:r>
        <w:t>competing</w:t>
      </w:r>
      <w:r>
        <w:rPr>
          <w:spacing w:val="80"/>
        </w:rPr>
        <w:t xml:space="preserve"> </w:t>
      </w:r>
      <w:r>
        <w:t>financial</w:t>
      </w:r>
      <w:r>
        <w:rPr>
          <w:spacing w:val="80"/>
        </w:rPr>
        <w:t xml:space="preserve"> </w:t>
      </w:r>
      <w:r>
        <w:t>interests</w:t>
      </w:r>
      <w:r>
        <w:rPr>
          <w:spacing w:val="80"/>
        </w:rPr>
        <w:t xml:space="preserve"> </w:t>
      </w:r>
      <w:r>
        <w:t>OR non-financial interests OR personal relationships that could have appeared to influence the work reported in this paper.</w:t>
      </w:r>
    </w:p>
    <w:p w:rsidR="00FF2954" w:rsidRDefault="00C341DF">
      <w:pPr>
        <w:pStyle w:val="Heading1"/>
        <w:jc w:val="both"/>
      </w:pPr>
      <w:r>
        <w:t xml:space="preserve">Disclaimer (Artificial </w:t>
      </w:r>
      <w:r>
        <w:rPr>
          <w:spacing w:val="-2"/>
        </w:rPr>
        <w:t>intelligence)</w:t>
      </w:r>
    </w:p>
    <w:p w:rsidR="00FF2954" w:rsidRDefault="00FF2954">
      <w:pPr>
        <w:pStyle w:val="BodyText"/>
        <w:spacing w:before="275"/>
        <w:ind w:left="0"/>
        <w:rPr>
          <w:b/>
        </w:rPr>
      </w:pPr>
    </w:p>
    <w:p w:rsidR="00FF2954" w:rsidRDefault="00C341DF">
      <w:pPr>
        <w:pStyle w:val="BodyText"/>
        <w:spacing w:before="1" w:line="360" w:lineRule="auto"/>
        <w:ind w:right="185"/>
        <w:jc w:val="both"/>
      </w:pPr>
      <w:r>
        <w:t>Author(s) hereby declare that NO generative AI technologies such as Large Language</w:t>
      </w:r>
      <w:r>
        <w:rPr>
          <w:spacing w:val="40"/>
        </w:rPr>
        <w:t xml:space="preserve"> </w:t>
      </w:r>
      <w:r>
        <w:t>Models (</w:t>
      </w:r>
      <w:proofErr w:type="spellStart"/>
      <w:r>
        <w:t>ChatGPT</w:t>
      </w:r>
      <w:proofErr w:type="spellEnd"/>
      <w:r>
        <w:t>, COPILOT, etc.) and text-to-image generators have been used during the writing or editing of this manuscript.</w:t>
      </w:r>
    </w:p>
    <w:p w:rsidR="00FF2954" w:rsidRDefault="00FF2954">
      <w:pPr>
        <w:pStyle w:val="BodyText"/>
        <w:spacing w:before="137"/>
        <w:ind w:left="0"/>
      </w:pPr>
    </w:p>
    <w:p w:rsidR="00FF2954" w:rsidRDefault="00C341DF">
      <w:pPr>
        <w:pStyle w:val="Heading1"/>
        <w:spacing w:before="1"/>
      </w:pPr>
      <w:r>
        <w:rPr>
          <w:spacing w:val="-2"/>
        </w:rPr>
        <w:t>References</w:t>
      </w:r>
    </w:p>
    <w:p w:rsidR="00FF2954" w:rsidRDefault="00C341DF">
      <w:pPr>
        <w:pStyle w:val="BodyText"/>
        <w:spacing w:before="138" w:line="360" w:lineRule="auto"/>
        <w:ind w:right="181"/>
        <w:jc w:val="both"/>
      </w:pPr>
      <w:r>
        <w:t>Abbas, O. S. (2016). Detection of d</w:t>
      </w:r>
      <w:r>
        <w:t xml:space="preserve">eltamethrin residues in poultry egg and meat in </w:t>
      </w:r>
      <w:proofErr w:type="spellStart"/>
      <w:r>
        <w:t>Dyala</w:t>
      </w:r>
      <w:proofErr w:type="spellEnd"/>
      <w:r>
        <w:t xml:space="preserve"> province. Al-Anbar Journal of Veterinary Sciences, 9(2), 41–46.</w:t>
      </w:r>
    </w:p>
    <w:p w:rsidR="00FF2954" w:rsidRDefault="00C341DF">
      <w:pPr>
        <w:pStyle w:val="BodyText"/>
        <w:spacing w:before="160" w:line="360" w:lineRule="auto"/>
        <w:ind w:right="183"/>
        <w:jc w:val="both"/>
      </w:pPr>
      <w:r>
        <w:t xml:space="preserve">Alden, C.L. &amp; </w:t>
      </w:r>
      <w:proofErr w:type="spellStart"/>
      <w:r>
        <w:t>Frith</w:t>
      </w:r>
      <w:proofErr w:type="spellEnd"/>
      <w:r>
        <w:t xml:space="preserve">, C.H. Urinary system. In: </w:t>
      </w:r>
      <w:proofErr w:type="spellStart"/>
      <w:r>
        <w:t>Haschetk</w:t>
      </w:r>
      <w:proofErr w:type="spellEnd"/>
      <w:r>
        <w:t xml:space="preserve"> WM, Rousseaux CG, editors. Handbook of Toxicologic</w:t>
      </w:r>
      <w:r>
        <w:rPr>
          <w:spacing w:val="40"/>
        </w:rPr>
        <w:t xml:space="preserve"> </w:t>
      </w:r>
      <w:r>
        <w:t xml:space="preserve">Pathology, San </w:t>
      </w:r>
      <w:proofErr w:type="spellStart"/>
      <w:r>
        <w:t>Diaego</w:t>
      </w:r>
      <w:proofErr w:type="spellEnd"/>
      <w:r>
        <w:t xml:space="preserve">, Academic </w:t>
      </w:r>
      <w:r>
        <w:t>Press Inc. 1991. 316-379.</w:t>
      </w:r>
    </w:p>
    <w:p w:rsidR="00FF2954" w:rsidRDefault="00C341DF">
      <w:pPr>
        <w:pStyle w:val="BodyText"/>
        <w:spacing w:before="160" w:line="360" w:lineRule="auto"/>
        <w:ind w:right="190"/>
        <w:jc w:val="both"/>
      </w:pPr>
      <w:r>
        <w:t xml:space="preserve">Anthony DC, </w:t>
      </w:r>
      <w:proofErr w:type="spellStart"/>
      <w:r>
        <w:t>Montine</w:t>
      </w:r>
      <w:proofErr w:type="spellEnd"/>
      <w:r>
        <w:t xml:space="preserve"> TJ, Graham DG. Toxic response of the nervous system. In: </w:t>
      </w:r>
      <w:proofErr w:type="spellStart"/>
      <w:r>
        <w:t>Klaassen</w:t>
      </w:r>
      <w:proofErr w:type="spellEnd"/>
      <w:r>
        <w:t xml:space="preserve"> CD, editor. </w:t>
      </w:r>
      <w:proofErr w:type="spellStart"/>
      <w:r>
        <w:t>Casarett</w:t>
      </w:r>
      <w:proofErr w:type="spellEnd"/>
      <w:r>
        <w:t xml:space="preserve"> and </w:t>
      </w:r>
      <w:proofErr w:type="spellStart"/>
      <w:r>
        <w:t>Doull’s</w:t>
      </w:r>
      <w:proofErr w:type="spellEnd"/>
      <w:r>
        <w:t xml:space="preserve"> Toxicology: The Basic Science of Poisons. Vol. 5. New York: McGraw-Hill; 1996. p. 463-86.</w:t>
      </w:r>
    </w:p>
    <w:p w:rsidR="00FF2954" w:rsidRDefault="00C341DF">
      <w:pPr>
        <w:pStyle w:val="BodyText"/>
        <w:spacing w:before="160" w:line="360" w:lineRule="auto"/>
        <w:ind w:right="182"/>
        <w:jc w:val="both"/>
      </w:pPr>
      <w:r>
        <w:t xml:space="preserve">Brouwer, A., </w:t>
      </w:r>
      <w:proofErr w:type="spellStart"/>
      <w:r>
        <w:t>Longneck</w:t>
      </w:r>
      <w:r>
        <w:t>er</w:t>
      </w:r>
      <w:proofErr w:type="spellEnd"/>
      <w:r>
        <w:t xml:space="preserve">, M. P., Birnbaum, L. S., </w:t>
      </w:r>
      <w:proofErr w:type="spellStart"/>
      <w:r>
        <w:t>Cogliano</w:t>
      </w:r>
      <w:proofErr w:type="spellEnd"/>
      <w:r>
        <w:t xml:space="preserve">, J., </w:t>
      </w:r>
      <w:proofErr w:type="spellStart"/>
      <w:r>
        <w:t>Kostyniak</w:t>
      </w:r>
      <w:proofErr w:type="spellEnd"/>
      <w:r>
        <w:t>, P., Moore, J., Schantz, S., &amp;</w:t>
      </w:r>
      <w:proofErr w:type="spellStart"/>
      <w:r>
        <w:t>Winneke</w:t>
      </w:r>
      <w:proofErr w:type="spellEnd"/>
      <w:r>
        <w:t xml:space="preserve">, G. (1999). Characterization of potential endocrine-related health effects at low dose levels of exposure to PCBs. Environmental Health Perspectives, 107(Suppl 639). </w:t>
      </w:r>
      <w:hyperlink r:id="rId9">
        <w:r>
          <w:t>https://doi.org/10.1289/ehp.99107s1639</w:t>
        </w:r>
      </w:hyperlink>
      <w:r>
        <w:t>.</w:t>
      </w:r>
    </w:p>
    <w:p w:rsidR="00FF2954" w:rsidRDefault="00C341DF">
      <w:pPr>
        <w:pStyle w:val="BodyText"/>
        <w:spacing w:before="160" w:line="360" w:lineRule="auto"/>
        <w:ind w:right="183"/>
        <w:jc w:val="both"/>
      </w:pPr>
      <w:r>
        <w:t xml:space="preserve">Cruickshank, R., Duguid, J. P., </w:t>
      </w:r>
      <w:proofErr w:type="spellStart"/>
      <w:r>
        <w:t>Marsion</w:t>
      </w:r>
      <w:proofErr w:type="spellEnd"/>
      <w:r>
        <w:t>, B. P., &amp; Swain, R. H. A. (1975). Medical microbiology (Vol. II, 12th ed.). Churchill Livingstone.</w:t>
      </w:r>
    </w:p>
    <w:p w:rsidR="00FF2954" w:rsidRDefault="00C341DF">
      <w:pPr>
        <w:pStyle w:val="BodyText"/>
        <w:spacing w:before="160" w:line="360" w:lineRule="auto"/>
        <w:ind w:right="188"/>
        <w:jc w:val="both"/>
      </w:pPr>
      <w:r>
        <w:t xml:space="preserve">Ewers, C., </w:t>
      </w:r>
      <w:proofErr w:type="spellStart"/>
      <w:r>
        <w:t>Janseen</w:t>
      </w:r>
      <w:proofErr w:type="spellEnd"/>
      <w:r>
        <w:t>,</w:t>
      </w:r>
      <w:r>
        <w:t xml:space="preserve"> T., &amp;</w:t>
      </w:r>
      <w:proofErr w:type="spellStart"/>
      <w:r>
        <w:t>Wieler</w:t>
      </w:r>
      <w:proofErr w:type="spellEnd"/>
      <w:r>
        <w:t xml:space="preserve">, L. H. (2003). Avian pathogenic Escherichia coli (APEC). Berliner und </w:t>
      </w:r>
      <w:proofErr w:type="spellStart"/>
      <w:r>
        <w:t>MünchenerTierärztlicheWochenschrift</w:t>
      </w:r>
      <w:proofErr w:type="spellEnd"/>
      <w:r>
        <w:t>, 116(9–10), 381–395.</w:t>
      </w:r>
    </w:p>
    <w:p w:rsidR="00FF2954" w:rsidRDefault="00C341DF">
      <w:pPr>
        <w:pStyle w:val="BodyText"/>
        <w:spacing w:before="160" w:line="360" w:lineRule="auto"/>
        <w:ind w:right="181"/>
        <w:jc w:val="both"/>
      </w:pPr>
      <w:r>
        <w:t>Grewal, K.K., Sandhu, G.S., Kaur, R., Brar R.S. &amp; Sandhu, H.S. (2010). Toxic Impacts of Cypermethrin on Behavior and</w:t>
      </w:r>
      <w:r>
        <w:t xml:space="preserve"> Histology of Certain Tissues of Albino Rats. Toxicology International, 17 (2), 94-98.</w:t>
      </w:r>
    </w:p>
    <w:p w:rsidR="00FF2954" w:rsidRDefault="00C341DF">
      <w:pPr>
        <w:pStyle w:val="BodyText"/>
        <w:spacing w:before="160"/>
        <w:jc w:val="both"/>
      </w:pPr>
      <w:r>
        <w:t>Guerrero,</w:t>
      </w:r>
      <w:r>
        <w:rPr>
          <w:spacing w:val="12"/>
        </w:rPr>
        <w:t xml:space="preserve"> </w:t>
      </w:r>
      <w:r>
        <w:t>I.,</w:t>
      </w:r>
      <w:r>
        <w:rPr>
          <w:spacing w:val="12"/>
        </w:rPr>
        <w:t xml:space="preserve"> </w:t>
      </w:r>
      <w:r>
        <w:t>Morales,</w:t>
      </w:r>
      <w:r>
        <w:rPr>
          <w:spacing w:val="12"/>
        </w:rPr>
        <w:t xml:space="preserve"> </w:t>
      </w:r>
      <w:r>
        <w:t>M.</w:t>
      </w:r>
      <w:r>
        <w:rPr>
          <w:spacing w:val="12"/>
        </w:rPr>
        <w:t xml:space="preserve"> </w:t>
      </w:r>
      <w:r>
        <w:t>B.,</w:t>
      </w:r>
      <w:r>
        <w:rPr>
          <w:spacing w:val="12"/>
        </w:rPr>
        <w:t xml:space="preserve"> </w:t>
      </w:r>
      <w:proofErr w:type="spellStart"/>
      <w:r>
        <w:t>Oñate</w:t>
      </w:r>
      <w:proofErr w:type="spellEnd"/>
      <w:r>
        <w:t>,</w:t>
      </w:r>
      <w:r>
        <w:rPr>
          <w:spacing w:val="13"/>
        </w:rPr>
        <w:t xml:space="preserve"> </w:t>
      </w:r>
      <w:r>
        <w:t>J.</w:t>
      </w:r>
      <w:r>
        <w:rPr>
          <w:spacing w:val="12"/>
        </w:rPr>
        <w:t xml:space="preserve"> </w:t>
      </w:r>
      <w:r>
        <w:t>J.,</w:t>
      </w:r>
      <w:r>
        <w:rPr>
          <w:spacing w:val="12"/>
        </w:rPr>
        <w:t xml:space="preserve"> </w:t>
      </w:r>
      <w:proofErr w:type="spellStart"/>
      <w:r>
        <w:t>Geige</w:t>
      </w:r>
      <w:proofErr w:type="spellEnd"/>
      <w:r>
        <w:t>,</w:t>
      </w:r>
      <w:r>
        <w:rPr>
          <w:spacing w:val="12"/>
        </w:rPr>
        <w:t xml:space="preserve"> </w:t>
      </w:r>
      <w:r>
        <w:t>F.,</w:t>
      </w:r>
      <w:r>
        <w:rPr>
          <w:spacing w:val="12"/>
        </w:rPr>
        <w:t xml:space="preserve"> </w:t>
      </w:r>
      <w:proofErr w:type="spellStart"/>
      <w:r>
        <w:t>Berendse</w:t>
      </w:r>
      <w:proofErr w:type="spellEnd"/>
      <w:r>
        <w:t>,</w:t>
      </w:r>
      <w:r>
        <w:rPr>
          <w:spacing w:val="13"/>
        </w:rPr>
        <w:t xml:space="preserve"> </w:t>
      </w:r>
      <w:r>
        <w:t>F.,</w:t>
      </w:r>
      <w:r>
        <w:rPr>
          <w:spacing w:val="-3"/>
        </w:rPr>
        <w:t xml:space="preserve"> </w:t>
      </w:r>
      <w:proofErr w:type="spellStart"/>
      <w:r>
        <w:t>Snoo</w:t>
      </w:r>
      <w:proofErr w:type="spellEnd"/>
      <w:r>
        <w:t>,</w:t>
      </w:r>
      <w:r>
        <w:rPr>
          <w:spacing w:val="-2"/>
        </w:rPr>
        <w:t xml:space="preserve"> </w:t>
      </w:r>
      <w:r>
        <w:t>G.</w:t>
      </w:r>
      <w:r>
        <w:rPr>
          <w:spacing w:val="-2"/>
        </w:rPr>
        <w:t xml:space="preserve"> </w:t>
      </w:r>
      <w:r>
        <w:t>D.,</w:t>
      </w:r>
      <w:r>
        <w:rPr>
          <w:spacing w:val="-2"/>
        </w:rPr>
        <w:t xml:space="preserve"> &amp;</w:t>
      </w:r>
      <w:proofErr w:type="spellStart"/>
      <w:r>
        <w:rPr>
          <w:spacing w:val="-2"/>
        </w:rPr>
        <w:t>Tscharntke</w:t>
      </w:r>
      <w:proofErr w:type="spellEnd"/>
      <w:r>
        <w:rPr>
          <w:spacing w:val="-2"/>
        </w:rPr>
        <w:t>,</w:t>
      </w:r>
    </w:p>
    <w:p w:rsidR="00FF2954" w:rsidRDefault="00C341DF">
      <w:pPr>
        <w:pStyle w:val="BodyText"/>
        <w:spacing w:before="138"/>
      </w:pPr>
      <w:r>
        <w:t>T.</w:t>
      </w:r>
      <w:r>
        <w:rPr>
          <w:spacing w:val="43"/>
        </w:rPr>
        <w:t xml:space="preserve"> </w:t>
      </w:r>
      <w:r>
        <w:t>(2012).</w:t>
      </w:r>
      <w:r>
        <w:rPr>
          <w:spacing w:val="43"/>
        </w:rPr>
        <w:t xml:space="preserve"> </w:t>
      </w:r>
      <w:r>
        <w:t>Response</w:t>
      </w:r>
      <w:r>
        <w:rPr>
          <w:spacing w:val="43"/>
        </w:rPr>
        <w:t xml:space="preserve"> </w:t>
      </w:r>
      <w:r>
        <w:t>of</w:t>
      </w:r>
      <w:r>
        <w:rPr>
          <w:spacing w:val="28"/>
        </w:rPr>
        <w:t xml:space="preserve"> </w:t>
      </w:r>
      <w:r>
        <w:t>ground-nesting</w:t>
      </w:r>
      <w:r>
        <w:rPr>
          <w:spacing w:val="28"/>
        </w:rPr>
        <w:t xml:space="preserve"> </w:t>
      </w:r>
      <w:r>
        <w:t>farmland</w:t>
      </w:r>
      <w:r>
        <w:rPr>
          <w:spacing w:val="28"/>
        </w:rPr>
        <w:t xml:space="preserve"> </w:t>
      </w:r>
      <w:r>
        <w:t>birds</w:t>
      </w:r>
      <w:r>
        <w:rPr>
          <w:spacing w:val="29"/>
        </w:rPr>
        <w:t xml:space="preserve"> </w:t>
      </w:r>
      <w:r>
        <w:t>to</w:t>
      </w:r>
      <w:r>
        <w:rPr>
          <w:spacing w:val="28"/>
        </w:rPr>
        <w:t xml:space="preserve"> </w:t>
      </w:r>
      <w:r>
        <w:t>agricultural</w:t>
      </w:r>
      <w:r>
        <w:rPr>
          <w:spacing w:val="28"/>
        </w:rPr>
        <w:t xml:space="preserve"> </w:t>
      </w:r>
      <w:r>
        <w:t>intensification</w:t>
      </w:r>
      <w:r>
        <w:rPr>
          <w:spacing w:val="29"/>
        </w:rPr>
        <w:t xml:space="preserve"> </w:t>
      </w:r>
      <w:r>
        <w:rPr>
          <w:spacing w:val="-2"/>
        </w:rPr>
        <w:t>across</w:t>
      </w:r>
    </w:p>
    <w:p w:rsidR="00FF2954" w:rsidRDefault="00FF2954">
      <w:pPr>
        <w:pStyle w:val="BodyText"/>
        <w:sectPr w:rsidR="00FF2954">
          <w:pgSz w:w="11920" w:h="16840"/>
          <w:pgMar w:top="1380" w:right="1275" w:bottom="280" w:left="1275" w:header="720" w:footer="720" w:gutter="0"/>
          <w:cols w:space="720"/>
        </w:sectPr>
      </w:pPr>
    </w:p>
    <w:p w:rsidR="00FF2954" w:rsidRDefault="00C341DF">
      <w:pPr>
        <w:pStyle w:val="BodyText"/>
        <w:spacing w:before="60" w:line="360" w:lineRule="auto"/>
        <w:ind w:right="190"/>
        <w:jc w:val="both"/>
      </w:pPr>
      <w:r>
        <w:rPr>
          <w:noProof/>
        </w:rPr>
        <w:lastRenderedPageBreak/>
        <mc:AlternateContent>
          <mc:Choice Requires="wps">
            <w:drawing>
              <wp:anchor distT="0" distB="0" distL="0" distR="0" simplePos="0" relativeHeight="487305728" behindDoc="1" locked="0" layoutInCell="1" allowOverlap="1">
                <wp:simplePos x="0" y="0"/>
                <wp:positionH relativeFrom="page">
                  <wp:posOffset>-343000</wp:posOffset>
                </wp:positionH>
                <wp:positionV relativeFrom="page">
                  <wp:posOffset>101035</wp:posOffset>
                </wp:positionV>
                <wp:extent cx="1598930" cy="103822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28" o:spid="_x0000_s1046" type="#_x0000_t202" style="position:absolute;left:0;text-align:left;margin-left:-27pt;margin-top:7.95pt;width:125.9pt;height:81.75pt;rotation:-45;z-index:-1601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" filled="f" stroked="f">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r>
        <w:t>Europe: Landscape</w:t>
      </w:r>
      <w:r>
        <w:rPr>
          <w:spacing w:val="-4"/>
        </w:rPr>
        <w:t xml:space="preserve"> </w:t>
      </w:r>
      <w:r>
        <w:t>and</w:t>
      </w:r>
      <w:r>
        <w:rPr>
          <w:spacing w:val="-4"/>
        </w:rPr>
        <w:t xml:space="preserve"> </w:t>
      </w:r>
      <w:r>
        <w:t>field</w:t>
      </w:r>
      <w:r>
        <w:rPr>
          <w:spacing w:val="-4"/>
        </w:rPr>
        <w:t xml:space="preserve"> </w:t>
      </w:r>
      <w:r>
        <w:t>level</w:t>
      </w:r>
      <w:r>
        <w:rPr>
          <w:spacing w:val="-4"/>
        </w:rPr>
        <w:t xml:space="preserve"> </w:t>
      </w:r>
      <w:r>
        <w:t>management</w:t>
      </w:r>
      <w:r>
        <w:rPr>
          <w:spacing w:val="-4"/>
        </w:rPr>
        <w:t xml:space="preserve"> </w:t>
      </w:r>
      <w:r>
        <w:t>factors.</w:t>
      </w:r>
      <w:r>
        <w:rPr>
          <w:spacing w:val="-4"/>
        </w:rPr>
        <w:t xml:space="preserve"> </w:t>
      </w:r>
      <w:r>
        <w:t>Biologica</w:t>
      </w:r>
      <w:r>
        <w:t>l</w:t>
      </w:r>
      <w:r>
        <w:rPr>
          <w:spacing w:val="-4"/>
        </w:rPr>
        <w:t xml:space="preserve"> </w:t>
      </w:r>
      <w:r>
        <w:t>Conservation,</w:t>
      </w:r>
      <w:r>
        <w:rPr>
          <w:spacing w:val="-4"/>
        </w:rPr>
        <w:t xml:space="preserve"> </w:t>
      </w:r>
      <w:r>
        <w:t>152,</w:t>
      </w:r>
      <w:r>
        <w:rPr>
          <w:spacing w:val="-4"/>
        </w:rPr>
        <w:t xml:space="preserve"> </w:t>
      </w:r>
      <w:r>
        <w:t xml:space="preserve">74–80. </w:t>
      </w:r>
      <w:hyperlink r:id="rId10">
        <w:r>
          <w:rPr>
            <w:spacing w:val="-2"/>
          </w:rPr>
          <w:t>https://doi.org/10.1016/j.biocon.2012.04.001</w:t>
        </w:r>
      </w:hyperlink>
      <w:r>
        <w:rPr>
          <w:spacing w:val="-2"/>
        </w:rPr>
        <w:t>.</w:t>
      </w:r>
    </w:p>
    <w:p w:rsidR="00FF2954" w:rsidRDefault="00C341DF">
      <w:pPr>
        <w:pStyle w:val="BodyText"/>
        <w:spacing w:before="160" w:line="360" w:lineRule="auto"/>
        <w:ind w:right="187"/>
        <w:jc w:val="both"/>
      </w:pPr>
      <w:r>
        <w:t xml:space="preserve">Gupta P.K. (1988). Cypermethrin- A pyrethroid insecticide. In: Gupta PK, </w:t>
      </w:r>
      <w:proofErr w:type="spellStart"/>
      <w:r>
        <w:t>Raviprakash</w:t>
      </w:r>
      <w:proofErr w:type="spellEnd"/>
      <w:r>
        <w:t xml:space="preserve"> V, editors. Advances in Toxicolog</w:t>
      </w:r>
      <w:r>
        <w:t xml:space="preserve">y and Environmental Health. New Delhi: </w:t>
      </w:r>
      <w:proofErr w:type="spellStart"/>
      <w:r>
        <w:t>Jadmander</w:t>
      </w:r>
      <w:proofErr w:type="spellEnd"/>
      <w:r>
        <w:t xml:space="preserve"> Book Agency; 81-130.</w:t>
      </w:r>
    </w:p>
    <w:p w:rsidR="00FF2954" w:rsidRDefault="00C341DF">
      <w:pPr>
        <w:pStyle w:val="BodyText"/>
        <w:spacing w:before="160" w:line="360" w:lineRule="auto"/>
        <w:ind w:right="186"/>
        <w:jc w:val="both"/>
      </w:pPr>
      <w:r>
        <w:t>Jindal, N., Kumar, A., Shukla, C. L., Pal, Y., Ledoux, D. R., &amp;</w:t>
      </w:r>
      <w:proofErr w:type="spellStart"/>
      <w:r>
        <w:t>Rottinghaus</w:t>
      </w:r>
      <w:proofErr w:type="spellEnd"/>
      <w:r>
        <w:t>, G. E. (2003). Effect of ochratoxin A on Escherichia coli challenged broiler chicks. Avian Diseases, 47(2), 415</w:t>
      </w:r>
      <w:r>
        <w:t xml:space="preserve">–424. </w:t>
      </w:r>
      <w:hyperlink r:id="rId11">
        <w:r>
          <w:t>https://doi.org/10.1637/0005-2086(2003)047</w:t>
        </w:r>
      </w:hyperlink>
      <w:r>
        <w:t>[</w:t>
      </w:r>
      <w:proofErr w:type="gramStart"/>
      <w:r>
        <w:t>0415:EOAOEC</w:t>
      </w:r>
      <w:proofErr w:type="gramEnd"/>
      <w:r>
        <w:t>]2.0.CO;2.</w:t>
      </w:r>
    </w:p>
    <w:p w:rsidR="00FF2954" w:rsidRDefault="00C341DF">
      <w:pPr>
        <w:pStyle w:val="BodyText"/>
        <w:spacing w:before="160" w:line="360" w:lineRule="auto"/>
        <w:ind w:right="181"/>
        <w:jc w:val="both"/>
      </w:pPr>
      <w:r>
        <w:t xml:space="preserve">Johnson, M., </w:t>
      </w:r>
      <w:proofErr w:type="spellStart"/>
      <w:r>
        <w:t>Luukinen</w:t>
      </w:r>
      <w:proofErr w:type="spellEnd"/>
      <w:r>
        <w:t xml:space="preserve">, B., Buhl, K., &amp; Stone, D. (2010). Deltamethrin technical fact sheet. National Pesticide Information </w:t>
      </w:r>
      <w:r>
        <w:t xml:space="preserve">Center, Oregon State University Extension Services. </w:t>
      </w:r>
      <w:hyperlink r:id="rId12">
        <w:r>
          <w:rPr>
            <w:spacing w:val="-2"/>
          </w:rPr>
          <w:t>http://npic.orst.edu/factsheets/archive/Deltatech.html</w:t>
        </w:r>
      </w:hyperlink>
      <w:r>
        <w:rPr>
          <w:spacing w:val="-2"/>
        </w:rPr>
        <w:t>.</w:t>
      </w:r>
    </w:p>
    <w:p w:rsidR="00FF2954" w:rsidRDefault="00C341DF">
      <w:pPr>
        <w:pStyle w:val="BodyText"/>
        <w:tabs>
          <w:tab w:val="left" w:pos="1604"/>
          <w:tab w:val="left" w:pos="2944"/>
          <w:tab w:val="left" w:pos="4984"/>
          <w:tab w:val="left" w:pos="6764"/>
          <w:tab w:val="left" w:pos="8280"/>
        </w:tabs>
        <w:spacing w:before="160" w:line="360" w:lineRule="auto"/>
        <w:ind w:right="181"/>
        <w:jc w:val="both"/>
      </w:pPr>
      <w:proofErr w:type="spellStart"/>
      <w:r>
        <w:t>Khater</w:t>
      </w:r>
      <w:proofErr w:type="spellEnd"/>
      <w:r>
        <w:t xml:space="preserve">, H. F., </w:t>
      </w:r>
      <w:proofErr w:type="spellStart"/>
      <w:r>
        <w:t>Seddiek</w:t>
      </w:r>
      <w:proofErr w:type="spellEnd"/>
      <w:r>
        <w:t>, S. A., El-</w:t>
      </w:r>
      <w:proofErr w:type="spellStart"/>
      <w:r>
        <w:t>Shorbagy</w:t>
      </w:r>
      <w:proofErr w:type="spellEnd"/>
      <w:r>
        <w:t>, M. M., &amp; Ali, A. M. (2013). Th</w:t>
      </w:r>
      <w:r>
        <w:t xml:space="preserve">e acaricidal efficacy of peracetic acid and deltamethrin against the fowl tick, </w:t>
      </w:r>
      <w:proofErr w:type="spellStart"/>
      <w:r>
        <w:t>Argaspersicus</w:t>
      </w:r>
      <w:proofErr w:type="spellEnd"/>
      <w:r>
        <w:t xml:space="preserve">, infesting </w:t>
      </w:r>
      <w:r>
        <w:rPr>
          <w:spacing w:val="-2"/>
        </w:rPr>
        <w:t>laying</w:t>
      </w:r>
      <w:r>
        <w:tab/>
      </w:r>
      <w:r>
        <w:rPr>
          <w:spacing w:val="-2"/>
        </w:rPr>
        <w:t>hens.</w:t>
      </w:r>
      <w:r>
        <w:tab/>
      </w:r>
      <w:r>
        <w:rPr>
          <w:spacing w:val="-2"/>
        </w:rPr>
        <w:t>Parasitology</w:t>
      </w:r>
      <w:r>
        <w:tab/>
      </w:r>
      <w:r>
        <w:rPr>
          <w:spacing w:val="-2"/>
        </w:rPr>
        <w:t>Research,</w:t>
      </w:r>
      <w:r>
        <w:tab/>
      </w:r>
      <w:r>
        <w:rPr>
          <w:spacing w:val="-2"/>
        </w:rPr>
        <w:t>112(1),</w:t>
      </w:r>
      <w:r>
        <w:tab/>
      </w:r>
      <w:r>
        <w:rPr>
          <w:spacing w:val="-2"/>
        </w:rPr>
        <w:t xml:space="preserve">259–269. </w:t>
      </w:r>
      <w:hyperlink r:id="rId13">
        <w:r>
          <w:rPr>
            <w:spacing w:val="-2"/>
          </w:rPr>
          <w:t>https://doi.org/10.1007/s00436-012-3133-1</w:t>
        </w:r>
      </w:hyperlink>
      <w:r>
        <w:rPr>
          <w:spacing w:val="-2"/>
        </w:rPr>
        <w:t>.</w:t>
      </w:r>
    </w:p>
    <w:p w:rsidR="00FF2954" w:rsidRDefault="00C341DF">
      <w:pPr>
        <w:pStyle w:val="BodyText"/>
        <w:spacing w:before="160" w:line="360" w:lineRule="auto"/>
        <w:ind w:right="188"/>
        <w:jc w:val="both"/>
      </w:pPr>
      <w:r>
        <w:rPr>
          <w:color w:val="000000"/>
          <w:highlight w:val="yellow"/>
        </w:rPr>
        <w:t xml:space="preserve">Liu, Y., Han, </w:t>
      </w:r>
      <w:proofErr w:type="gramStart"/>
      <w:r>
        <w:rPr>
          <w:color w:val="000000"/>
          <w:highlight w:val="yellow"/>
        </w:rPr>
        <w:t>M.,&amp;</w:t>
      </w:r>
      <w:proofErr w:type="gramEnd"/>
      <w:r>
        <w:rPr>
          <w:color w:val="000000"/>
          <w:highlight w:val="yellow"/>
        </w:rPr>
        <w:t xml:space="preserve"> Liu, C., et al. (2022). </w:t>
      </w:r>
      <w:proofErr w:type="spellStart"/>
      <w:r>
        <w:rPr>
          <w:color w:val="000000"/>
          <w:highlight w:val="yellow"/>
        </w:rPr>
        <w:t>Subchronic</w:t>
      </w:r>
      <w:proofErr w:type="spellEnd"/>
      <w:r>
        <w:rPr>
          <w:color w:val="000000"/>
          <w:highlight w:val="yellow"/>
        </w:rPr>
        <w:t xml:space="preserve"> toxicity of oral deltamethrin in laying</w:t>
      </w:r>
      <w:r>
        <w:rPr>
          <w:color w:val="000000"/>
        </w:rPr>
        <w:t xml:space="preserve"> </w:t>
      </w:r>
      <w:r>
        <w:rPr>
          <w:color w:val="000000"/>
          <w:highlight w:val="yellow"/>
        </w:rPr>
        <w:t xml:space="preserve">chickens. </w:t>
      </w:r>
      <w:r>
        <w:rPr>
          <w:i/>
          <w:color w:val="000000"/>
          <w:highlight w:val="yellow"/>
        </w:rPr>
        <w:t xml:space="preserve">Frontiers in Veterinary Science. </w:t>
      </w:r>
      <w:r>
        <w:rPr>
          <w:color w:val="000000"/>
          <w:highlight w:val="yellow"/>
        </w:rPr>
        <w:t xml:space="preserve">9:1079580. </w:t>
      </w:r>
      <w:proofErr w:type="spellStart"/>
      <w:r>
        <w:rPr>
          <w:color w:val="000000"/>
          <w:highlight w:val="yellow"/>
        </w:rPr>
        <w:t>doi</w:t>
      </w:r>
      <w:proofErr w:type="spellEnd"/>
      <w:r>
        <w:rPr>
          <w:color w:val="000000"/>
          <w:highlight w:val="yellow"/>
        </w:rPr>
        <w:t>: 10.3389/fvets.2022.1079580.</w:t>
      </w:r>
    </w:p>
    <w:p w:rsidR="00FF2954" w:rsidRDefault="00C341DF">
      <w:pPr>
        <w:pStyle w:val="BodyText"/>
        <w:spacing w:before="160" w:line="360" w:lineRule="auto"/>
        <w:ind w:right="186"/>
        <w:jc w:val="both"/>
      </w:pPr>
      <w:r>
        <w:t>Luna, L. G. (1968). Manual of hi</w:t>
      </w:r>
      <w:r>
        <w:t>stologic staining method of armed forces institute of pathology (3rd ed.). McGraw Hill Book Company.</w:t>
      </w:r>
    </w:p>
    <w:p w:rsidR="00FF2954" w:rsidRDefault="00C341DF">
      <w:pPr>
        <w:pStyle w:val="BodyText"/>
        <w:spacing w:before="160" w:line="360" w:lineRule="auto"/>
        <w:ind w:right="189"/>
        <w:jc w:val="both"/>
      </w:pPr>
      <w:proofErr w:type="spellStart"/>
      <w:r>
        <w:t>Manimaran</w:t>
      </w:r>
      <w:proofErr w:type="spellEnd"/>
      <w:r>
        <w:t>, K., Singh, S. D., &amp;</w:t>
      </w:r>
      <w:proofErr w:type="spellStart"/>
      <w:r>
        <w:t>Shivachandra</w:t>
      </w:r>
      <w:proofErr w:type="spellEnd"/>
      <w:r>
        <w:t xml:space="preserve">, S. B. (2003). </w:t>
      </w:r>
      <w:proofErr w:type="spellStart"/>
      <w:r>
        <w:t>Haematobiochemical</w:t>
      </w:r>
      <w:proofErr w:type="spellEnd"/>
      <w:r>
        <w:t xml:space="preserve"> and pathological changes in experimental Escherichia coli infection in broiler</w:t>
      </w:r>
      <w:r>
        <w:t xml:space="preserve"> chicks. Indian Journal of Animal Sciences, 73(9), 960–962.</w:t>
      </w:r>
    </w:p>
    <w:p w:rsidR="00FF2954" w:rsidRDefault="00C341DF">
      <w:pPr>
        <w:pStyle w:val="BodyText"/>
        <w:spacing w:before="160" w:line="360" w:lineRule="auto"/>
        <w:ind w:right="180"/>
        <w:jc w:val="both"/>
      </w:pPr>
      <w:r>
        <w:t>Mansour,</w:t>
      </w:r>
      <w:r>
        <w:rPr>
          <w:spacing w:val="-4"/>
        </w:rPr>
        <w:t xml:space="preserve"> </w:t>
      </w:r>
      <w:r>
        <w:t>S.</w:t>
      </w:r>
      <w:r>
        <w:rPr>
          <w:spacing w:val="-4"/>
        </w:rPr>
        <w:t xml:space="preserve"> </w:t>
      </w:r>
      <w:r>
        <w:t>A.,</w:t>
      </w:r>
      <w:r>
        <w:rPr>
          <w:spacing w:val="-4"/>
        </w:rPr>
        <w:t xml:space="preserve"> </w:t>
      </w:r>
      <w:r>
        <w:t>Mohamed,</w:t>
      </w:r>
      <w:r>
        <w:rPr>
          <w:spacing w:val="-4"/>
        </w:rPr>
        <w:t xml:space="preserve"> </w:t>
      </w:r>
      <w:r>
        <w:t>R.</w:t>
      </w:r>
      <w:r>
        <w:rPr>
          <w:spacing w:val="-4"/>
        </w:rPr>
        <w:t xml:space="preserve"> </w:t>
      </w:r>
      <w:r>
        <w:t>I.,</w:t>
      </w:r>
      <w:r>
        <w:rPr>
          <w:spacing w:val="-4"/>
        </w:rPr>
        <w:t xml:space="preserve"> </w:t>
      </w:r>
      <w:r>
        <w:t>&amp;</w:t>
      </w:r>
      <w:r>
        <w:rPr>
          <w:spacing w:val="-4"/>
        </w:rPr>
        <w:t xml:space="preserve"> </w:t>
      </w:r>
      <w:r>
        <w:t>Ali,</w:t>
      </w:r>
      <w:r>
        <w:rPr>
          <w:spacing w:val="-4"/>
        </w:rPr>
        <w:t xml:space="preserve"> </w:t>
      </w:r>
      <w:r>
        <w:t>A.</w:t>
      </w:r>
      <w:r>
        <w:rPr>
          <w:spacing w:val="-4"/>
        </w:rPr>
        <w:t xml:space="preserve"> </w:t>
      </w:r>
      <w:r>
        <w:t>R.</w:t>
      </w:r>
      <w:r>
        <w:rPr>
          <w:spacing w:val="-4"/>
        </w:rPr>
        <w:t xml:space="preserve"> </w:t>
      </w:r>
      <w:r>
        <w:t>(2017).</w:t>
      </w:r>
      <w:r>
        <w:rPr>
          <w:spacing w:val="-4"/>
        </w:rPr>
        <w:t xml:space="preserve"> </w:t>
      </w:r>
      <w:r>
        <w:t>Ameliorating</w:t>
      </w:r>
      <w:r>
        <w:rPr>
          <w:spacing w:val="-4"/>
        </w:rPr>
        <w:t xml:space="preserve"> </w:t>
      </w:r>
      <w:r>
        <w:t>effect</w:t>
      </w:r>
      <w:r>
        <w:rPr>
          <w:spacing w:val="-4"/>
        </w:rPr>
        <w:t xml:space="preserve"> </w:t>
      </w:r>
      <w:r>
        <w:t>of</w:t>
      </w:r>
      <w:r>
        <w:rPr>
          <w:spacing w:val="-4"/>
        </w:rPr>
        <w:t xml:space="preserve"> </w:t>
      </w:r>
      <w:r>
        <w:t>selenium</w:t>
      </w:r>
      <w:r>
        <w:rPr>
          <w:spacing w:val="-4"/>
        </w:rPr>
        <w:t xml:space="preserve"> </w:t>
      </w:r>
      <w:r>
        <w:t>against deltamethrin-induced hepato-renal dysfunction and oxidative stress to pregnant</w:t>
      </w:r>
      <w:r>
        <w:rPr>
          <w:spacing w:val="-4"/>
        </w:rPr>
        <w:t xml:space="preserve"> </w:t>
      </w:r>
      <w:r>
        <w:t>rats</w:t>
      </w:r>
      <w:r>
        <w:rPr>
          <w:spacing w:val="-4"/>
        </w:rPr>
        <w:t xml:space="preserve"> </w:t>
      </w:r>
      <w:r>
        <w:t>and</w:t>
      </w:r>
      <w:r>
        <w:rPr>
          <w:spacing w:val="-4"/>
        </w:rPr>
        <w:t xml:space="preserve"> </w:t>
      </w:r>
      <w:r>
        <w:t>their offspring</w:t>
      </w:r>
      <w:r>
        <w:t>. Journal of Toxicology and Pharmacology, 1(2), 1–7.</w:t>
      </w:r>
    </w:p>
    <w:p w:rsidR="00FF2954" w:rsidRDefault="00C341DF">
      <w:pPr>
        <w:pStyle w:val="BodyText"/>
        <w:spacing w:before="160" w:line="360" w:lineRule="auto"/>
        <w:ind w:right="189"/>
        <w:jc w:val="both"/>
      </w:pPr>
      <w:r>
        <w:t>Mishra, A., Sharda, R., Chhabra, D., &amp;</w:t>
      </w:r>
      <w:proofErr w:type="spellStart"/>
      <w:r>
        <w:t>Tanwani</w:t>
      </w:r>
      <w:proofErr w:type="spellEnd"/>
      <w:r>
        <w:t>, S. K. (2002). Antibiogram of Escherichia coli isolates from domestic poultry. Indian Veterinary Journal, 79(8), 863–864.</w:t>
      </w:r>
    </w:p>
    <w:p w:rsidR="00FF2954" w:rsidRDefault="00C341DF">
      <w:pPr>
        <w:pStyle w:val="BodyText"/>
        <w:spacing w:before="160" w:line="360" w:lineRule="auto"/>
        <w:ind w:right="187"/>
        <w:jc w:val="both"/>
      </w:pPr>
      <w:proofErr w:type="spellStart"/>
      <w:r>
        <w:t>Peighambari</w:t>
      </w:r>
      <w:proofErr w:type="spellEnd"/>
      <w:r>
        <w:t xml:space="preserve">, S. M., Julian, R. J., </w:t>
      </w:r>
      <w:r>
        <w:t>&amp;</w:t>
      </w:r>
      <w:proofErr w:type="spellStart"/>
      <w:r>
        <w:t>Gyles</w:t>
      </w:r>
      <w:proofErr w:type="spellEnd"/>
      <w:r>
        <w:t xml:space="preserve">, C. L. (2000). Experimental Escherichia coli respiratory infection in broilers. Avian Diseases, 44(4), 759–769. </w:t>
      </w:r>
      <w:hyperlink r:id="rId14">
        <w:r>
          <w:rPr>
            <w:spacing w:val="-2"/>
          </w:rPr>
          <w:t>https://doi.org/10.2307/1593103</w:t>
        </w:r>
      </w:hyperlink>
    </w:p>
    <w:p w:rsidR="00FF2954" w:rsidRDefault="00FF2954">
      <w:pPr>
        <w:pStyle w:val="BodyText"/>
        <w:spacing w:line="360" w:lineRule="auto"/>
        <w:jc w:val="both"/>
        <w:sectPr w:rsidR="00FF2954">
          <w:pgSz w:w="11920" w:h="16840"/>
          <w:pgMar w:top="1380" w:right="1275" w:bottom="280" w:left="1275" w:header="720" w:footer="720" w:gutter="0"/>
          <w:cols w:space="720"/>
        </w:sectPr>
      </w:pPr>
    </w:p>
    <w:p w:rsidR="00FF2954" w:rsidRDefault="00C341DF">
      <w:pPr>
        <w:pStyle w:val="BodyText"/>
        <w:spacing w:before="60" w:line="360" w:lineRule="auto"/>
        <w:ind w:right="186"/>
        <w:jc w:val="both"/>
      </w:pPr>
      <w:r>
        <w:rPr>
          <w:noProof/>
        </w:rPr>
        <w:lastRenderedPageBreak/>
        <mc:AlternateContent>
          <mc:Choice Requires="wps">
            <w:drawing>
              <wp:anchor distT="0" distB="0" distL="0" distR="0" simplePos="0" relativeHeight="487306240" behindDoc="1" locked="0" layoutInCell="1" allowOverlap="1">
                <wp:simplePos x="0" y="0"/>
                <wp:positionH relativeFrom="page">
                  <wp:posOffset>-343000</wp:posOffset>
                </wp:positionH>
                <wp:positionV relativeFrom="page">
                  <wp:posOffset>101035</wp:posOffset>
                </wp:positionV>
                <wp:extent cx="1598930" cy="103822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29" o:spid="_x0000_s1047" type="#_x0000_t202" style="position:absolute;left:0;text-align:left;margin-left:-27pt;margin-top:7.95pt;width:125.9pt;height:81.75pt;rotation:-45;z-index:-1601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" filled="f" stroked="f">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proofErr w:type="spellStart"/>
      <w:r>
        <w:rPr>
          <w:color w:val="000000"/>
          <w:highlight w:val="yellow"/>
        </w:rPr>
        <w:t>Rosyunita</w:t>
      </w:r>
      <w:proofErr w:type="spellEnd"/>
      <w:r>
        <w:rPr>
          <w:color w:val="000000"/>
          <w:highlight w:val="yellow"/>
        </w:rPr>
        <w:t xml:space="preserve">, R., </w:t>
      </w:r>
      <w:proofErr w:type="spellStart"/>
      <w:r>
        <w:rPr>
          <w:color w:val="000000"/>
          <w:highlight w:val="yellow"/>
        </w:rPr>
        <w:t>Wardoyo</w:t>
      </w:r>
      <w:proofErr w:type="spellEnd"/>
      <w:r>
        <w:rPr>
          <w:color w:val="000000"/>
          <w:highlight w:val="yellow"/>
        </w:rPr>
        <w:t xml:space="preserve">, E.H., </w:t>
      </w:r>
      <w:proofErr w:type="spellStart"/>
      <w:r>
        <w:rPr>
          <w:color w:val="000000"/>
          <w:highlight w:val="yellow"/>
        </w:rPr>
        <w:t>Hasbi</w:t>
      </w:r>
      <w:proofErr w:type="spellEnd"/>
      <w:r>
        <w:rPr>
          <w:color w:val="000000"/>
          <w:highlight w:val="yellow"/>
        </w:rPr>
        <w:t>,</w:t>
      </w:r>
      <w:r>
        <w:rPr>
          <w:color w:val="000000"/>
          <w:spacing w:val="-5"/>
          <w:highlight w:val="yellow"/>
        </w:rPr>
        <w:t xml:space="preserve"> </w:t>
      </w:r>
      <w:r>
        <w:rPr>
          <w:color w:val="000000"/>
          <w:highlight w:val="yellow"/>
        </w:rPr>
        <w:t>N.,</w:t>
      </w:r>
      <w:r>
        <w:rPr>
          <w:color w:val="000000"/>
          <w:spacing w:val="-5"/>
          <w:highlight w:val="yellow"/>
        </w:rPr>
        <w:t xml:space="preserve"> </w:t>
      </w:r>
      <w:r>
        <w:rPr>
          <w:color w:val="000000"/>
          <w:highlight w:val="yellow"/>
        </w:rPr>
        <w:t>&amp;</w:t>
      </w:r>
      <w:r>
        <w:rPr>
          <w:color w:val="000000"/>
          <w:spacing w:val="-5"/>
          <w:highlight w:val="yellow"/>
        </w:rPr>
        <w:t xml:space="preserve"> </w:t>
      </w:r>
      <w:r>
        <w:rPr>
          <w:color w:val="000000"/>
          <w:highlight w:val="yellow"/>
        </w:rPr>
        <w:t>Rahim,</w:t>
      </w:r>
      <w:r>
        <w:rPr>
          <w:color w:val="000000"/>
          <w:spacing w:val="-5"/>
          <w:highlight w:val="yellow"/>
        </w:rPr>
        <w:t xml:space="preserve"> </w:t>
      </w:r>
      <w:r>
        <w:rPr>
          <w:color w:val="000000"/>
          <w:highlight w:val="yellow"/>
        </w:rPr>
        <w:t>A.R.</w:t>
      </w:r>
      <w:r>
        <w:rPr>
          <w:color w:val="000000"/>
          <w:spacing w:val="-5"/>
          <w:highlight w:val="yellow"/>
        </w:rPr>
        <w:t xml:space="preserve"> </w:t>
      </w:r>
      <w:r>
        <w:rPr>
          <w:color w:val="000000"/>
          <w:highlight w:val="yellow"/>
        </w:rPr>
        <w:t>(2026).</w:t>
      </w:r>
      <w:r>
        <w:rPr>
          <w:color w:val="000000"/>
          <w:spacing w:val="-5"/>
          <w:highlight w:val="yellow"/>
        </w:rPr>
        <w:t xml:space="preserve"> </w:t>
      </w:r>
      <w:r>
        <w:rPr>
          <w:color w:val="000000"/>
          <w:highlight w:val="yellow"/>
        </w:rPr>
        <w:t>Pathogenic</w:t>
      </w:r>
      <w:r>
        <w:rPr>
          <w:color w:val="000000"/>
          <w:spacing w:val="-5"/>
          <w:highlight w:val="yellow"/>
        </w:rPr>
        <w:t xml:space="preserve"> </w:t>
      </w:r>
      <w:r>
        <w:rPr>
          <w:color w:val="000000"/>
          <w:highlight w:val="yellow"/>
        </w:rPr>
        <w:t>Bacterial</w:t>
      </w:r>
      <w:r>
        <w:rPr>
          <w:color w:val="000000"/>
          <w:spacing w:val="-5"/>
          <w:highlight w:val="yellow"/>
        </w:rPr>
        <w:t xml:space="preserve"> </w:t>
      </w:r>
      <w:r>
        <w:rPr>
          <w:color w:val="000000"/>
          <w:highlight w:val="yellow"/>
        </w:rPr>
        <w:t>Genes</w:t>
      </w:r>
      <w:r>
        <w:rPr>
          <w:color w:val="000000"/>
        </w:rPr>
        <w:t xml:space="preserve"> </w:t>
      </w:r>
      <w:r>
        <w:rPr>
          <w:color w:val="000000"/>
          <w:highlight w:val="yellow"/>
        </w:rPr>
        <w:t xml:space="preserve">Resistant to Antibiotics in Chickens: Systematic Literature Review. </w:t>
      </w:r>
      <w:proofErr w:type="spellStart"/>
      <w:r>
        <w:rPr>
          <w:color w:val="000000"/>
          <w:highlight w:val="yellow"/>
        </w:rPr>
        <w:t>Jurnal</w:t>
      </w:r>
      <w:proofErr w:type="spellEnd"/>
      <w:r>
        <w:rPr>
          <w:color w:val="000000"/>
          <w:highlight w:val="yellow"/>
        </w:rPr>
        <w:t xml:space="preserve"> </w:t>
      </w:r>
      <w:proofErr w:type="spellStart"/>
      <w:r>
        <w:rPr>
          <w:color w:val="000000"/>
          <w:highlight w:val="yellow"/>
        </w:rPr>
        <w:t>Biologi</w:t>
      </w:r>
      <w:proofErr w:type="spellEnd"/>
      <w:r>
        <w:rPr>
          <w:color w:val="000000"/>
          <w:highlight w:val="yellow"/>
        </w:rPr>
        <w:t xml:space="preserve"> </w:t>
      </w:r>
      <w:proofErr w:type="spellStart"/>
      <w:r>
        <w:rPr>
          <w:color w:val="000000"/>
          <w:highlight w:val="yellow"/>
        </w:rPr>
        <w:t>Tropis</w:t>
      </w:r>
      <w:proofErr w:type="spellEnd"/>
      <w:r>
        <w:rPr>
          <w:color w:val="000000"/>
          <w:highlight w:val="yellow"/>
        </w:rPr>
        <w:t>,</w:t>
      </w:r>
      <w:r>
        <w:rPr>
          <w:color w:val="000000"/>
        </w:rPr>
        <w:t xml:space="preserve"> </w:t>
      </w:r>
      <w:r>
        <w:rPr>
          <w:color w:val="000000"/>
          <w:highlight w:val="yellow"/>
        </w:rPr>
        <w:t>26(2), 187–203. DOI:10.29303/</w:t>
      </w:r>
      <w:proofErr w:type="gramStart"/>
      <w:r>
        <w:rPr>
          <w:color w:val="000000"/>
          <w:highlight w:val="yellow"/>
        </w:rPr>
        <w:t>jbt.v</w:t>
      </w:r>
      <w:proofErr w:type="gramEnd"/>
      <w:r>
        <w:rPr>
          <w:color w:val="000000"/>
          <w:highlight w:val="yellow"/>
        </w:rPr>
        <w:t>26i2.11732.</w:t>
      </w:r>
    </w:p>
    <w:p w:rsidR="00FF2954" w:rsidRDefault="00C341DF">
      <w:pPr>
        <w:pStyle w:val="BodyText"/>
        <w:spacing w:before="160" w:line="360" w:lineRule="auto"/>
        <w:ind w:right="182"/>
        <w:jc w:val="both"/>
      </w:pPr>
      <w:r>
        <w:t>Saini, V. (2004). Studies on the effect of neem (</w:t>
      </w:r>
      <w:proofErr w:type="spellStart"/>
      <w:r>
        <w:t>Azadirachtaindica</w:t>
      </w:r>
      <w:proofErr w:type="spellEnd"/>
      <w:r>
        <w:t>) leaf extract on the path</w:t>
      </w:r>
      <w:r>
        <w:t>ology and pathogenesis of Escherichia coli infection in broiler chicks (</w:t>
      </w:r>
      <w:proofErr w:type="spellStart"/>
      <w:r>
        <w:t>M.V.Sc</w:t>
      </w:r>
      <w:proofErr w:type="spellEnd"/>
      <w:r>
        <w:t xml:space="preserve">. thesis). Chaudhary </w:t>
      </w:r>
      <w:proofErr w:type="spellStart"/>
      <w:r>
        <w:t>Charan</w:t>
      </w:r>
      <w:proofErr w:type="spellEnd"/>
      <w:r>
        <w:t xml:space="preserve"> Singh Haryana Agricultural University, Hisar, India.</w:t>
      </w:r>
    </w:p>
    <w:p w:rsidR="00FF2954" w:rsidRDefault="00C341DF">
      <w:pPr>
        <w:pStyle w:val="BodyText"/>
        <w:spacing w:before="160" w:line="360" w:lineRule="auto"/>
        <w:ind w:right="187"/>
        <w:jc w:val="both"/>
      </w:pPr>
      <w:proofErr w:type="spellStart"/>
      <w:r>
        <w:t>Snedecor</w:t>
      </w:r>
      <w:proofErr w:type="spellEnd"/>
      <w:r>
        <w:t>, G.W. &amp; Cochran, W.G. (1989). Arc sine</w:t>
      </w:r>
      <w:r>
        <w:rPr>
          <w:spacing w:val="-8"/>
        </w:rPr>
        <w:t xml:space="preserve"> </w:t>
      </w:r>
      <w:r>
        <w:t>transformation</w:t>
      </w:r>
      <w:r>
        <w:rPr>
          <w:spacing w:val="-8"/>
        </w:rPr>
        <w:t xml:space="preserve"> </w:t>
      </w:r>
      <w:r>
        <w:t>for</w:t>
      </w:r>
      <w:r>
        <w:rPr>
          <w:spacing w:val="-8"/>
        </w:rPr>
        <w:t xml:space="preserve"> </w:t>
      </w:r>
      <w:r>
        <w:t>proportions.</w:t>
      </w:r>
      <w:r>
        <w:rPr>
          <w:spacing w:val="-8"/>
        </w:rPr>
        <w:t xml:space="preserve"> </w:t>
      </w:r>
      <w:r>
        <w:t>Statistical Metho</w:t>
      </w:r>
      <w:r>
        <w:t>ds.8</w:t>
      </w:r>
      <w:r>
        <w:rPr>
          <w:vertAlign w:val="superscript"/>
        </w:rPr>
        <w:t>th</w:t>
      </w:r>
      <w:r>
        <w:t xml:space="preserve"> ed. Iowa State University Press, Ames, 289-290.</w:t>
      </w:r>
    </w:p>
    <w:p w:rsidR="00FF2954" w:rsidRDefault="00C341DF">
      <w:pPr>
        <w:pStyle w:val="BodyText"/>
        <w:spacing w:before="120" w:line="360" w:lineRule="auto"/>
        <w:ind w:right="186"/>
        <w:jc w:val="both"/>
      </w:pPr>
      <w:proofErr w:type="spellStart"/>
      <w:r>
        <w:t>Soderlund</w:t>
      </w:r>
      <w:proofErr w:type="spellEnd"/>
      <w:r>
        <w:t>, D. M., Clark, J. M., Sheets, L.</w:t>
      </w:r>
      <w:r>
        <w:rPr>
          <w:spacing w:val="-6"/>
        </w:rPr>
        <w:t xml:space="preserve"> </w:t>
      </w:r>
      <w:r>
        <w:t>P.,</w:t>
      </w:r>
      <w:r>
        <w:rPr>
          <w:spacing w:val="-6"/>
        </w:rPr>
        <w:t xml:space="preserve"> </w:t>
      </w:r>
      <w:r>
        <w:t>Mullin,</w:t>
      </w:r>
      <w:r>
        <w:rPr>
          <w:spacing w:val="-6"/>
        </w:rPr>
        <w:t xml:space="preserve"> </w:t>
      </w:r>
      <w:r>
        <w:t>L.</w:t>
      </w:r>
      <w:r>
        <w:rPr>
          <w:spacing w:val="-6"/>
        </w:rPr>
        <w:t xml:space="preserve"> </w:t>
      </w:r>
      <w:r>
        <w:t>S.,</w:t>
      </w:r>
      <w:r>
        <w:rPr>
          <w:spacing w:val="-6"/>
        </w:rPr>
        <w:t xml:space="preserve"> </w:t>
      </w:r>
      <w:proofErr w:type="spellStart"/>
      <w:r>
        <w:t>Piccirillo</w:t>
      </w:r>
      <w:proofErr w:type="spellEnd"/>
      <w:r>
        <w:t>,</w:t>
      </w:r>
      <w:r>
        <w:rPr>
          <w:spacing w:val="-6"/>
        </w:rPr>
        <w:t xml:space="preserve"> </w:t>
      </w:r>
      <w:r>
        <w:t>V.</w:t>
      </w:r>
      <w:r>
        <w:rPr>
          <w:spacing w:val="-6"/>
        </w:rPr>
        <w:t xml:space="preserve"> </w:t>
      </w:r>
      <w:r>
        <w:t>J.,</w:t>
      </w:r>
      <w:r>
        <w:rPr>
          <w:spacing w:val="-6"/>
        </w:rPr>
        <w:t xml:space="preserve"> </w:t>
      </w:r>
      <w:r>
        <w:t>Sargent,</w:t>
      </w:r>
      <w:r>
        <w:rPr>
          <w:spacing w:val="-6"/>
        </w:rPr>
        <w:t xml:space="preserve"> </w:t>
      </w:r>
      <w:r>
        <w:t>D.,</w:t>
      </w:r>
      <w:r>
        <w:rPr>
          <w:spacing w:val="-6"/>
        </w:rPr>
        <w:t xml:space="preserve"> </w:t>
      </w:r>
      <w:r>
        <w:t>et</w:t>
      </w:r>
      <w:r>
        <w:rPr>
          <w:spacing w:val="-6"/>
        </w:rPr>
        <w:t xml:space="preserve"> </w:t>
      </w:r>
      <w:r>
        <w:t>al. (2002). Mechanisms of pyrethroid neurotoxicity: Implications for cumulative risk</w:t>
      </w:r>
      <w:r>
        <w:rPr>
          <w:spacing w:val="40"/>
        </w:rPr>
        <w:t xml:space="preserve"> </w:t>
      </w:r>
      <w:r>
        <w:t>assessment. Toxicol</w:t>
      </w:r>
      <w:r>
        <w:t xml:space="preserve">ogy, 171(1), 3–59. </w:t>
      </w:r>
      <w:hyperlink r:id="rId15">
        <w:r>
          <w:t>https://doi.org/10.1016/S0300-483X(01)00569-8</w:t>
        </w:r>
      </w:hyperlink>
      <w:r>
        <w:t>.</w:t>
      </w:r>
    </w:p>
    <w:p w:rsidR="00FF2954" w:rsidRDefault="00C341DF">
      <w:pPr>
        <w:pStyle w:val="BodyText"/>
        <w:spacing w:before="160" w:line="360" w:lineRule="auto"/>
        <w:ind w:right="184"/>
        <w:jc w:val="both"/>
      </w:pPr>
      <w:r>
        <w:t>Srinivasan, P., Rao, G. V. S., &amp; George, V. T. (2003). Survey of spontaneous cases of colibacillosis in chicken. Indian Veter</w:t>
      </w:r>
      <w:r>
        <w:t>inary Journal, 80(1), 93–94.</w:t>
      </w:r>
    </w:p>
    <w:p w:rsidR="00FF2954" w:rsidRDefault="00C341DF">
      <w:pPr>
        <w:pStyle w:val="BodyText"/>
        <w:spacing w:before="160" w:line="360" w:lineRule="auto"/>
        <w:ind w:right="177"/>
        <w:jc w:val="both"/>
      </w:pPr>
      <w:r>
        <w:t xml:space="preserve">Tewari, A., </w:t>
      </w:r>
      <w:proofErr w:type="spellStart"/>
      <w:r>
        <w:t>Banga</w:t>
      </w:r>
      <w:proofErr w:type="spellEnd"/>
      <w:r>
        <w:t>, H. S., &amp; Gill, J. P. S. (2018). Sublethal chronic effects of oral dietary exposure</w:t>
      </w:r>
      <w:r>
        <w:rPr>
          <w:spacing w:val="40"/>
        </w:rPr>
        <w:t xml:space="preserve"> </w:t>
      </w:r>
      <w:r>
        <w:t>to</w:t>
      </w:r>
      <w:r>
        <w:rPr>
          <w:spacing w:val="40"/>
        </w:rPr>
        <w:t xml:space="preserve"> </w:t>
      </w:r>
      <w:r>
        <w:t>deltamethrin</w:t>
      </w:r>
      <w:r>
        <w:rPr>
          <w:spacing w:val="40"/>
        </w:rPr>
        <w:t xml:space="preserve"> </w:t>
      </w:r>
      <w:r>
        <w:t>in</w:t>
      </w:r>
      <w:r>
        <w:rPr>
          <w:spacing w:val="40"/>
        </w:rPr>
        <w:t xml:space="preserve"> </w:t>
      </w:r>
      <w:r>
        <w:t>Swiss</w:t>
      </w:r>
      <w:r>
        <w:rPr>
          <w:spacing w:val="40"/>
        </w:rPr>
        <w:t xml:space="preserve"> </w:t>
      </w:r>
      <w:r>
        <w:t>albino</w:t>
      </w:r>
      <w:r>
        <w:rPr>
          <w:spacing w:val="40"/>
        </w:rPr>
        <w:t xml:space="preserve"> </w:t>
      </w:r>
      <w:r>
        <w:t xml:space="preserve">mice. Toxicology and Industrial Health, 34(6), 423–432. </w:t>
      </w:r>
      <w:hyperlink r:id="rId16">
        <w:r>
          <w:t>https://doi.org/10.1177/0748233718766152</w:t>
        </w:r>
      </w:hyperlink>
      <w:r>
        <w:t>.</w:t>
      </w:r>
    </w:p>
    <w:p w:rsidR="00FF2954" w:rsidRDefault="00C341DF">
      <w:pPr>
        <w:pStyle w:val="BodyText"/>
        <w:spacing w:before="160" w:line="360" w:lineRule="auto"/>
        <w:ind w:right="182"/>
        <w:jc w:val="both"/>
      </w:pPr>
      <w:r>
        <w:t>Tomlin,</w:t>
      </w:r>
      <w:r>
        <w:rPr>
          <w:spacing w:val="40"/>
        </w:rPr>
        <w:t xml:space="preserve"> </w:t>
      </w:r>
      <w:r>
        <w:t>C.</w:t>
      </w:r>
      <w:r>
        <w:rPr>
          <w:spacing w:val="40"/>
        </w:rPr>
        <w:t xml:space="preserve"> </w:t>
      </w:r>
      <w:r>
        <w:t>D.</w:t>
      </w:r>
      <w:r>
        <w:rPr>
          <w:spacing w:val="40"/>
        </w:rPr>
        <w:t xml:space="preserve"> </w:t>
      </w:r>
      <w:r>
        <w:t>S.</w:t>
      </w:r>
      <w:r>
        <w:rPr>
          <w:spacing w:val="40"/>
        </w:rPr>
        <w:t xml:space="preserve"> </w:t>
      </w:r>
      <w:r>
        <w:t>(2006).</w:t>
      </w:r>
      <w:r>
        <w:rPr>
          <w:spacing w:val="40"/>
        </w:rPr>
        <w:t xml:space="preserve"> </w:t>
      </w:r>
      <w:r>
        <w:t>The</w:t>
      </w:r>
      <w:r>
        <w:rPr>
          <w:spacing w:val="40"/>
        </w:rPr>
        <w:t xml:space="preserve"> </w:t>
      </w:r>
      <w:r>
        <w:t>pesticide</w:t>
      </w:r>
      <w:r>
        <w:rPr>
          <w:spacing w:val="40"/>
        </w:rPr>
        <w:t xml:space="preserve"> </w:t>
      </w:r>
      <w:r>
        <w:t>manual:</w:t>
      </w:r>
      <w:r>
        <w:rPr>
          <w:spacing w:val="40"/>
        </w:rPr>
        <w:t xml:space="preserve"> </w:t>
      </w:r>
      <w:r>
        <w:t>A</w:t>
      </w:r>
      <w:r>
        <w:rPr>
          <w:spacing w:val="40"/>
        </w:rPr>
        <w:t xml:space="preserve"> </w:t>
      </w:r>
      <w:r>
        <w:t>world</w:t>
      </w:r>
      <w:r>
        <w:rPr>
          <w:spacing w:val="40"/>
        </w:rPr>
        <w:t xml:space="preserve"> </w:t>
      </w:r>
      <w:r>
        <w:t>compendium</w:t>
      </w:r>
      <w:r>
        <w:rPr>
          <w:spacing w:val="40"/>
        </w:rPr>
        <w:t xml:space="preserve"> </w:t>
      </w:r>
      <w:r>
        <w:t>(14th</w:t>
      </w:r>
      <w:r>
        <w:rPr>
          <w:spacing w:val="40"/>
        </w:rPr>
        <w:t xml:space="preserve"> </w:t>
      </w:r>
      <w:r>
        <w:t>ed.,</w:t>
      </w:r>
      <w:r>
        <w:rPr>
          <w:spacing w:val="40"/>
        </w:rPr>
        <w:t xml:space="preserve"> </w:t>
      </w:r>
      <w:r>
        <w:t>pp. 286–287). British Crop Protection Council.</w:t>
      </w:r>
    </w:p>
    <w:p w:rsidR="00FF2954" w:rsidRDefault="00C341DF">
      <w:pPr>
        <w:pStyle w:val="BodyText"/>
        <w:spacing w:before="160"/>
        <w:jc w:val="both"/>
      </w:pPr>
      <w:r>
        <w:t>Turner,</w:t>
      </w:r>
      <w:r>
        <w:rPr>
          <w:spacing w:val="-3"/>
        </w:rPr>
        <w:t xml:space="preserve"> </w:t>
      </w:r>
      <w:r>
        <w:t>R.</w:t>
      </w:r>
      <w:r>
        <w:rPr>
          <w:spacing w:val="-3"/>
        </w:rPr>
        <w:t xml:space="preserve"> </w:t>
      </w:r>
      <w:r>
        <w:t>A.</w:t>
      </w:r>
      <w:r>
        <w:rPr>
          <w:spacing w:val="-2"/>
        </w:rPr>
        <w:t xml:space="preserve"> </w:t>
      </w:r>
      <w:r>
        <w:t>(1965).</w:t>
      </w:r>
      <w:r>
        <w:rPr>
          <w:spacing w:val="-3"/>
        </w:rPr>
        <w:t xml:space="preserve"> </w:t>
      </w:r>
      <w:r>
        <w:t>Screening</w:t>
      </w:r>
      <w:r>
        <w:rPr>
          <w:spacing w:val="-2"/>
        </w:rPr>
        <w:t xml:space="preserve"> </w:t>
      </w:r>
      <w:r>
        <w:t>methods</w:t>
      </w:r>
      <w:r>
        <w:rPr>
          <w:spacing w:val="-3"/>
        </w:rPr>
        <w:t xml:space="preserve"> </w:t>
      </w:r>
      <w:r>
        <w:t>in</w:t>
      </w:r>
      <w:r>
        <w:rPr>
          <w:spacing w:val="-2"/>
        </w:rPr>
        <w:t xml:space="preserve"> </w:t>
      </w:r>
      <w:r>
        <w:t>pharmacology</w:t>
      </w:r>
      <w:r>
        <w:rPr>
          <w:spacing w:val="-3"/>
        </w:rPr>
        <w:t xml:space="preserve"> </w:t>
      </w:r>
      <w:r>
        <w:t>(pp.</w:t>
      </w:r>
      <w:r>
        <w:rPr>
          <w:spacing w:val="-2"/>
        </w:rPr>
        <w:t xml:space="preserve"> </w:t>
      </w:r>
      <w:r>
        <w:t>101–118).</w:t>
      </w:r>
      <w:r>
        <w:rPr>
          <w:spacing w:val="-3"/>
        </w:rPr>
        <w:t xml:space="preserve"> </w:t>
      </w:r>
      <w:r>
        <w:t>Academic</w:t>
      </w:r>
      <w:r>
        <w:rPr>
          <w:spacing w:val="-2"/>
        </w:rPr>
        <w:t xml:space="preserve"> Press.</w:t>
      </w:r>
    </w:p>
    <w:p w:rsidR="00FF2954" w:rsidRDefault="00FF2954">
      <w:pPr>
        <w:pStyle w:val="BodyText"/>
        <w:spacing w:before="22"/>
        <w:ind w:left="0"/>
      </w:pPr>
    </w:p>
    <w:p w:rsidR="00FF2954" w:rsidRDefault="00C341DF">
      <w:pPr>
        <w:pStyle w:val="BodyText"/>
        <w:spacing w:line="360" w:lineRule="auto"/>
        <w:ind w:right="186"/>
        <w:jc w:val="both"/>
      </w:pPr>
      <w:r>
        <w:t>Weston, D. P., &amp;</w:t>
      </w:r>
      <w:proofErr w:type="spellStart"/>
      <w:r>
        <w:t>Lydy</w:t>
      </w:r>
      <w:proofErr w:type="spellEnd"/>
      <w:r>
        <w:t xml:space="preserve">, M. J. (2010). Focused toxicity identification evaluations to rapidly identify the cause of toxicity in environmental samples. Chemosphere, 78(3), 368–374. </w:t>
      </w:r>
      <w:hyperlink r:id="rId17">
        <w:r>
          <w:rPr>
            <w:spacing w:val="-2"/>
          </w:rPr>
          <w:t>https://doi.org/10.1016/j.chemosphere.2009.11.017</w:t>
        </w:r>
      </w:hyperlink>
      <w:r>
        <w:rPr>
          <w:spacing w:val="-2"/>
        </w:rPr>
        <w:t>.</w:t>
      </w:r>
    </w:p>
    <w:p w:rsidR="00FF2954" w:rsidRDefault="00FF2954">
      <w:pPr>
        <w:pStyle w:val="BodyText"/>
        <w:spacing w:line="360" w:lineRule="auto"/>
        <w:jc w:val="both"/>
        <w:sectPr w:rsidR="00FF2954">
          <w:pgSz w:w="11920" w:h="16840"/>
          <w:pgMar w:top="1380" w:right="1275" w:bottom="280" w:left="1275" w:header="720" w:footer="720" w:gutter="0"/>
          <w:cols w:space="720"/>
        </w:sectPr>
      </w:pPr>
    </w:p>
    <w:p w:rsidR="00FF2954" w:rsidRDefault="00C341DF">
      <w:pPr>
        <w:pStyle w:val="Heading1"/>
        <w:spacing w:before="60"/>
      </w:pPr>
      <w:r>
        <w:rPr>
          <w:noProof/>
        </w:rPr>
        <w:lastRenderedPageBreak/>
        <mc:AlternateContent>
          <mc:Choice Requires="wps">
            <w:drawing>
              <wp:anchor distT="0" distB="0" distL="0" distR="0" simplePos="0" relativeHeight="487306752" behindDoc="1" locked="0" layoutInCell="1" allowOverlap="1">
                <wp:simplePos x="0" y="0"/>
                <wp:positionH relativeFrom="page">
                  <wp:posOffset>-343000</wp:posOffset>
                </wp:positionH>
                <wp:positionV relativeFrom="page">
                  <wp:posOffset>101047</wp:posOffset>
                </wp:positionV>
                <wp:extent cx="1598930" cy="103822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30" o:spid="_x0000_s1048" type="#_x0000_t202" style="position:absolute;left:0;text-align:left;margin-left:-27pt;margin-top:7.95pt;width:125.9pt;height:81.75pt;rotation:-45;z-index:-1600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" filled="f" stroked="f">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r>
        <w:t>Figure</w:t>
      </w:r>
      <w:r>
        <w:rPr>
          <w:spacing w:val="-5"/>
        </w:rPr>
        <w:t xml:space="preserve"> </w:t>
      </w:r>
      <w:r>
        <w:rPr>
          <w:spacing w:val="-2"/>
        </w:rPr>
        <w:t>Legends:</w:t>
      </w:r>
    </w:p>
    <w:p w:rsidR="00FF2954" w:rsidRDefault="00C341DF">
      <w:pPr>
        <w:pStyle w:val="BodyText"/>
        <w:spacing w:before="276" w:line="259" w:lineRule="auto"/>
      </w:pPr>
      <w:r>
        <w:t>Figure</w:t>
      </w:r>
      <w:r>
        <w:rPr>
          <w:spacing w:val="-3"/>
        </w:rPr>
        <w:t xml:space="preserve"> </w:t>
      </w:r>
      <w:r>
        <w:t>1:</w:t>
      </w:r>
      <w:r>
        <w:rPr>
          <w:spacing w:val="-3"/>
        </w:rPr>
        <w:t xml:space="preserve"> </w:t>
      </w:r>
      <w:r>
        <w:t>Gross</w:t>
      </w:r>
      <w:r>
        <w:rPr>
          <w:spacing w:val="-4"/>
        </w:rPr>
        <w:t xml:space="preserve"> </w:t>
      </w:r>
      <w:r>
        <w:t>images</w:t>
      </w:r>
      <w:r>
        <w:rPr>
          <w:spacing w:val="-3"/>
        </w:rPr>
        <w:t xml:space="preserve"> </w:t>
      </w:r>
      <w:r>
        <w:t>representing</w:t>
      </w:r>
      <w:r>
        <w:rPr>
          <w:spacing w:val="-3"/>
        </w:rPr>
        <w:t xml:space="preserve"> </w:t>
      </w:r>
      <w:r>
        <w:t>enlarged</w:t>
      </w:r>
      <w:r>
        <w:rPr>
          <w:spacing w:val="-4"/>
        </w:rPr>
        <w:t xml:space="preserve"> </w:t>
      </w:r>
      <w:r>
        <w:t>li</w:t>
      </w:r>
      <w:r>
        <w:t>ver</w:t>
      </w:r>
      <w:r>
        <w:rPr>
          <w:spacing w:val="-3"/>
        </w:rPr>
        <w:t xml:space="preserve"> </w:t>
      </w:r>
      <w:r>
        <w:t>in</w:t>
      </w:r>
      <w:r>
        <w:rPr>
          <w:spacing w:val="-3"/>
        </w:rPr>
        <w:t xml:space="preserve"> </w:t>
      </w:r>
      <w:r>
        <w:t>Group</w:t>
      </w:r>
      <w:r>
        <w:rPr>
          <w:spacing w:val="-4"/>
        </w:rPr>
        <w:t xml:space="preserve"> </w:t>
      </w:r>
      <w:r>
        <w:t>B2</w:t>
      </w:r>
      <w:r>
        <w:rPr>
          <w:spacing w:val="-3"/>
        </w:rPr>
        <w:t xml:space="preserve"> </w:t>
      </w:r>
      <w:r>
        <w:t>and</w:t>
      </w:r>
      <w:r>
        <w:rPr>
          <w:spacing w:val="-3"/>
        </w:rPr>
        <w:t xml:space="preserve"> </w:t>
      </w:r>
      <w:r>
        <w:t>C2</w:t>
      </w:r>
      <w:r>
        <w:rPr>
          <w:spacing w:val="-4"/>
        </w:rPr>
        <w:t xml:space="preserve"> </w:t>
      </w:r>
      <w:r>
        <w:t>compared</w:t>
      </w:r>
      <w:r>
        <w:rPr>
          <w:spacing w:val="-3"/>
        </w:rPr>
        <w:t xml:space="preserve"> </w:t>
      </w:r>
      <w:r>
        <w:t>to</w:t>
      </w:r>
      <w:r>
        <w:rPr>
          <w:spacing w:val="-3"/>
        </w:rPr>
        <w:t xml:space="preserve"> </w:t>
      </w:r>
      <w:r>
        <w:t>other groups with fibrinous Layer deposition (Marked as Star).</w:t>
      </w:r>
    </w:p>
    <w:p w:rsidR="00FF2954" w:rsidRDefault="00C341DF">
      <w:pPr>
        <w:pStyle w:val="BodyText"/>
        <w:spacing w:before="159" w:line="259" w:lineRule="auto"/>
        <w:ind w:right="80"/>
      </w:pPr>
      <w:r>
        <w:t xml:space="preserve">Figure 2: Liver histopathological microphotographs showed severe fibrinous perihepatitis along with infiltration of mononuclear cells in Group A2 11 </w:t>
      </w:r>
      <w:proofErr w:type="gramStart"/>
      <w:r>
        <w:t>DPI ,</w:t>
      </w:r>
      <w:proofErr w:type="gramEnd"/>
      <w:r>
        <w:t xml:space="preserve"> group B2 showed Severe fibrinous</w:t>
      </w:r>
      <w:r>
        <w:rPr>
          <w:spacing w:val="-4"/>
        </w:rPr>
        <w:t xml:space="preserve"> </w:t>
      </w:r>
      <w:r>
        <w:t>perihepatitis</w:t>
      </w:r>
      <w:r>
        <w:rPr>
          <w:spacing w:val="-4"/>
        </w:rPr>
        <w:t xml:space="preserve"> </w:t>
      </w:r>
      <w:r>
        <w:t>along</w:t>
      </w:r>
      <w:r>
        <w:rPr>
          <w:spacing w:val="-4"/>
        </w:rPr>
        <w:t xml:space="preserve"> </w:t>
      </w:r>
      <w:r>
        <w:t>with</w:t>
      </w:r>
      <w:r>
        <w:rPr>
          <w:spacing w:val="-4"/>
        </w:rPr>
        <w:t xml:space="preserve"> </w:t>
      </w:r>
      <w:r>
        <w:t>congestion</w:t>
      </w:r>
      <w:r>
        <w:rPr>
          <w:spacing w:val="-4"/>
        </w:rPr>
        <w:t xml:space="preserve"> </w:t>
      </w:r>
      <w:r>
        <w:t>of</w:t>
      </w:r>
      <w:r>
        <w:rPr>
          <w:spacing w:val="-4"/>
        </w:rPr>
        <w:t xml:space="preserve"> </w:t>
      </w:r>
      <w:r>
        <w:t>blood</w:t>
      </w:r>
      <w:r>
        <w:rPr>
          <w:spacing w:val="-4"/>
        </w:rPr>
        <w:t xml:space="preserve"> </w:t>
      </w:r>
      <w:r>
        <w:t>vessels,</w:t>
      </w:r>
      <w:r>
        <w:rPr>
          <w:spacing w:val="-4"/>
        </w:rPr>
        <w:t xml:space="preserve"> </w:t>
      </w:r>
      <w:r>
        <w:t>sinusoids</w:t>
      </w:r>
      <w:r>
        <w:rPr>
          <w:spacing w:val="-4"/>
        </w:rPr>
        <w:t xml:space="preserve"> </w:t>
      </w:r>
      <w:r>
        <w:t>and</w:t>
      </w:r>
      <w:r>
        <w:rPr>
          <w:spacing w:val="-4"/>
        </w:rPr>
        <w:t xml:space="preserve"> </w:t>
      </w:r>
      <w:r>
        <w:t>infiltration</w:t>
      </w:r>
      <w:r>
        <w:rPr>
          <w:spacing w:val="-4"/>
        </w:rPr>
        <w:t xml:space="preserve"> </w:t>
      </w:r>
      <w:r>
        <w:t>of</w:t>
      </w:r>
      <w:r>
        <w:rPr>
          <w:spacing w:val="-4"/>
        </w:rPr>
        <w:t xml:space="preserve"> </w:t>
      </w:r>
      <w:r>
        <w:t xml:space="preserve">the mononuclear cells in parenchyma and group C2 showed marked sinusoidal congestion H&amp;E </w:t>
      </w:r>
      <w:r>
        <w:rPr>
          <w:spacing w:val="-2"/>
        </w:rPr>
        <w:t>x100).</w:t>
      </w:r>
    </w:p>
    <w:p w:rsidR="00FF2954" w:rsidRDefault="00C341DF">
      <w:pPr>
        <w:pStyle w:val="BodyText"/>
        <w:spacing w:before="159" w:line="259" w:lineRule="auto"/>
        <w:ind w:right="177"/>
        <w:jc w:val="both"/>
      </w:pPr>
      <w:r>
        <w:t>Figure 3: Kidney histopathological microphotographs showed Congestion and</w:t>
      </w:r>
      <w:r>
        <w:rPr>
          <w:spacing w:val="-4"/>
        </w:rPr>
        <w:t xml:space="preserve"> </w:t>
      </w:r>
      <w:proofErr w:type="spellStart"/>
      <w:r>
        <w:t>haemorrhages</w:t>
      </w:r>
      <w:proofErr w:type="spellEnd"/>
      <w:r>
        <w:t xml:space="preserve"> in the </w:t>
      </w:r>
      <w:proofErr w:type="spellStart"/>
      <w:r>
        <w:t>intertubular</w:t>
      </w:r>
      <w:proofErr w:type="spellEnd"/>
      <w:r>
        <w:t xml:space="preserve"> area along with mild leukocytic infil</w:t>
      </w:r>
      <w:r>
        <w:t>tration in Group</w:t>
      </w:r>
      <w:r>
        <w:rPr>
          <w:spacing w:val="-2"/>
        </w:rPr>
        <w:t xml:space="preserve"> </w:t>
      </w:r>
      <w:r>
        <w:t>A2,</w:t>
      </w:r>
      <w:r>
        <w:rPr>
          <w:spacing w:val="-2"/>
        </w:rPr>
        <w:t xml:space="preserve"> </w:t>
      </w:r>
      <w:r>
        <w:t>Focal</w:t>
      </w:r>
      <w:r>
        <w:rPr>
          <w:spacing w:val="-2"/>
        </w:rPr>
        <w:t xml:space="preserve"> </w:t>
      </w:r>
      <w:r>
        <w:t xml:space="preserve">interstitial nephritis characterized by the severe leukocytic infiltration and degenerative changes in the tubules in group B2 with </w:t>
      </w:r>
      <w:proofErr w:type="spellStart"/>
      <w:r>
        <w:t>intertubular</w:t>
      </w:r>
      <w:proofErr w:type="spellEnd"/>
      <w:r>
        <w:t xml:space="preserve"> hemorrhage and Focal interstitial nephritis</w:t>
      </w:r>
      <w:r>
        <w:rPr>
          <w:spacing w:val="40"/>
        </w:rPr>
        <w:t xml:space="preserve"> </w:t>
      </w:r>
      <w:r>
        <w:t>characterized by the mild leukocytic inf</w:t>
      </w:r>
      <w:r>
        <w:t>iltration and degenerative changes in the tubules in group C2 (H&amp;E x200).</w:t>
      </w:r>
    </w:p>
    <w:p w:rsidR="00FF2954" w:rsidRDefault="00C341DF">
      <w:pPr>
        <w:pStyle w:val="BodyText"/>
        <w:spacing w:before="159" w:line="259" w:lineRule="auto"/>
        <w:ind w:right="183"/>
        <w:jc w:val="both"/>
      </w:pPr>
      <w:r>
        <w:t>Figure 4: Brain histopathological microphotographs showed Mild congestion in group A2, Congestion and</w:t>
      </w:r>
      <w:r>
        <w:rPr>
          <w:spacing w:val="-4"/>
        </w:rPr>
        <w:t xml:space="preserve"> </w:t>
      </w:r>
      <w:r>
        <w:t>meningitis</w:t>
      </w:r>
      <w:r>
        <w:rPr>
          <w:spacing w:val="-4"/>
        </w:rPr>
        <w:t xml:space="preserve"> </w:t>
      </w:r>
      <w:r>
        <w:t>characterized</w:t>
      </w:r>
      <w:r>
        <w:rPr>
          <w:spacing w:val="-4"/>
        </w:rPr>
        <w:t xml:space="preserve"> </w:t>
      </w:r>
      <w:r>
        <w:t>by</w:t>
      </w:r>
      <w:r>
        <w:rPr>
          <w:spacing w:val="-4"/>
        </w:rPr>
        <w:t xml:space="preserve"> </w:t>
      </w:r>
      <w:r>
        <w:t>marked</w:t>
      </w:r>
      <w:r>
        <w:rPr>
          <w:spacing w:val="-4"/>
        </w:rPr>
        <w:t xml:space="preserve"> </w:t>
      </w:r>
      <w:r>
        <w:t>mononuclear</w:t>
      </w:r>
      <w:r>
        <w:rPr>
          <w:spacing w:val="-4"/>
        </w:rPr>
        <w:t xml:space="preserve"> </w:t>
      </w:r>
      <w:r>
        <w:t>cell</w:t>
      </w:r>
      <w:r>
        <w:rPr>
          <w:spacing w:val="-4"/>
        </w:rPr>
        <w:t xml:space="preserve"> </w:t>
      </w:r>
      <w:r>
        <w:t>infiltration</w:t>
      </w:r>
      <w:r>
        <w:rPr>
          <w:spacing w:val="-4"/>
        </w:rPr>
        <w:t xml:space="preserve"> </w:t>
      </w:r>
      <w:r>
        <w:t>in</w:t>
      </w:r>
      <w:r>
        <w:rPr>
          <w:spacing w:val="-4"/>
        </w:rPr>
        <w:t xml:space="preserve"> </w:t>
      </w:r>
      <w:r>
        <w:t>group</w:t>
      </w:r>
      <w:r>
        <w:rPr>
          <w:spacing w:val="-4"/>
        </w:rPr>
        <w:t xml:space="preserve"> </w:t>
      </w:r>
      <w:r>
        <w:t>B2 and</w:t>
      </w:r>
      <w:r>
        <w:t xml:space="preserve"> focal area of gliosis in group C2 (H&amp;E x100).</w:t>
      </w:r>
    </w:p>
    <w:p w:rsidR="00FF2954" w:rsidRDefault="00FF2954">
      <w:pPr>
        <w:pStyle w:val="BodyText"/>
        <w:spacing w:line="259" w:lineRule="auto"/>
        <w:jc w:val="both"/>
        <w:sectPr w:rsidR="00FF2954">
          <w:pgSz w:w="11920" w:h="16840"/>
          <w:pgMar w:top="1380" w:right="1275" w:bottom="280" w:left="1275" w:header="720" w:footer="720" w:gutter="0"/>
          <w:cols w:space="720"/>
        </w:sectPr>
      </w:pPr>
    </w:p>
    <w:p w:rsidR="00FF2954" w:rsidRDefault="00C341DF">
      <w:pPr>
        <w:pStyle w:val="BodyText"/>
        <w:spacing w:before="4"/>
        <w:ind w:left="0"/>
        <w:rPr>
          <w:sz w:val="17"/>
        </w:rPr>
      </w:pPr>
      <w:r>
        <w:rPr>
          <w:noProof/>
          <w:sz w:val="17"/>
        </w:rPr>
        <w:lastRenderedPageBreak/>
        <mc:AlternateContent>
          <mc:Choice Requires="wps">
            <w:drawing>
              <wp:anchor distT="0" distB="0" distL="0" distR="0" simplePos="0" relativeHeight="15742464" behindDoc="0" locked="0" layoutInCell="1" allowOverlap="1">
                <wp:simplePos x="0" y="0"/>
                <wp:positionH relativeFrom="page">
                  <wp:posOffset>-343000</wp:posOffset>
                </wp:positionH>
                <wp:positionV relativeFrom="page">
                  <wp:posOffset>101047</wp:posOffset>
                </wp:positionV>
                <wp:extent cx="1598930" cy="103822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31" o:spid="_x0000_s1049" type="#_x0000_t202" style="position:absolute;margin-left:-27pt;margin-top:7.95pt;width:125.9pt;height:81.75pt;rotation:-45;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" filled="f" stroked="f">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p>
    <w:sectPr w:rsidR="00FF2954">
      <w:pgSz w:w="11920" w:h="16840"/>
      <w:pgMar w:top="194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FA47BB"/>
    <w:multiLevelType w:val="hybridMultilevel"/>
    <w:tmpl w:val="1DC2E8AC"/>
    <w:lvl w:ilvl="0" w:tplc="9CF85F3C">
      <w:start w:val="1"/>
      <w:numFmt w:val="decimal"/>
      <w:lvlText w:val="%1."/>
      <w:lvlJc w:val="left"/>
      <w:pPr>
        <w:ind w:left="690" w:hanging="360"/>
        <w:jc w:val="right"/>
      </w:pPr>
      <w:rPr>
        <w:rFonts w:hint="default"/>
        <w:spacing w:val="0"/>
        <w:w w:val="100"/>
        <w:lang w:val="en-US" w:eastAsia="en-US" w:bidi="ar-SA"/>
      </w:rPr>
    </w:lvl>
    <w:lvl w:ilvl="1" w:tplc="EB781CC6">
      <w:numFmt w:val="bullet"/>
      <w:lvlText w:val="•"/>
      <w:lvlJc w:val="left"/>
      <w:pPr>
        <w:ind w:left="1567" w:hanging="360"/>
      </w:pPr>
      <w:rPr>
        <w:rFonts w:hint="default"/>
        <w:lang w:val="en-US" w:eastAsia="en-US" w:bidi="ar-SA"/>
      </w:rPr>
    </w:lvl>
    <w:lvl w:ilvl="2" w:tplc="50541820">
      <w:numFmt w:val="bullet"/>
      <w:lvlText w:val="•"/>
      <w:lvlJc w:val="left"/>
      <w:pPr>
        <w:ind w:left="2434" w:hanging="360"/>
      </w:pPr>
      <w:rPr>
        <w:rFonts w:hint="default"/>
        <w:lang w:val="en-US" w:eastAsia="en-US" w:bidi="ar-SA"/>
      </w:rPr>
    </w:lvl>
    <w:lvl w:ilvl="3" w:tplc="F190BD16">
      <w:numFmt w:val="bullet"/>
      <w:lvlText w:val="•"/>
      <w:lvlJc w:val="left"/>
      <w:pPr>
        <w:ind w:left="3301" w:hanging="360"/>
      </w:pPr>
      <w:rPr>
        <w:rFonts w:hint="default"/>
        <w:lang w:val="en-US" w:eastAsia="en-US" w:bidi="ar-SA"/>
      </w:rPr>
    </w:lvl>
    <w:lvl w:ilvl="4" w:tplc="A8AEB5D2">
      <w:numFmt w:val="bullet"/>
      <w:lvlText w:val="•"/>
      <w:lvlJc w:val="left"/>
      <w:pPr>
        <w:ind w:left="4168" w:hanging="360"/>
      </w:pPr>
      <w:rPr>
        <w:rFonts w:hint="default"/>
        <w:lang w:val="en-US" w:eastAsia="en-US" w:bidi="ar-SA"/>
      </w:rPr>
    </w:lvl>
    <w:lvl w:ilvl="5" w:tplc="E0B4F012">
      <w:numFmt w:val="bullet"/>
      <w:lvlText w:val="•"/>
      <w:lvlJc w:val="left"/>
      <w:pPr>
        <w:ind w:left="5035" w:hanging="360"/>
      </w:pPr>
      <w:rPr>
        <w:rFonts w:hint="default"/>
        <w:lang w:val="en-US" w:eastAsia="en-US" w:bidi="ar-SA"/>
      </w:rPr>
    </w:lvl>
    <w:lvl w:ilvl="6" w:tplc="A6E08B28">
      <w:numFmt w:val="bullet"/>
      <w:lvlText w:val="•"/>
      <w:lvlJc w:val="left"/>
      <w:pPr>
        <w:ind w:left="5902" w:hanging="360"/>
      </w:pPr>
      <w:rPr>
        <w:rFonts w:hint="default"/>
        <w:lang w:val="en-US" w:eastAsia="en-US" w:bidi="ar-SA"/>
      </w:rPr>
    </w:lvl>
    <w:lvl w:ilvl="7" w:tplc="2654DCFE">
      <w:numFmt w:val="bullet"/>
      <w:lvlText w:val="•"/>
      <w:lvlJc w:val="left"/>
      <w:pPr>
        <w:ind w:left="6769" w:hanging="360"/>
      </w:pPr>
      <w:rPr>
        <w:rFonts w:hint="default"/>
        <w:lang w:val="en-US" w:eastAsia="en-US" w:bidi="ar-SA"/>
      </w:rPr>
    </w:lvl>
    <w:lvl w:ilvl="8" w:tplc="77FC93D4">
      <w:numFmt w:val="bullet"/>
      <w:lvlText w:val="•"/>
      <w:lvlJc w:val="left"/>
      <w:pPr>
        <w:ind w:left="763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F2954"/>
    <w:rsid w:val="00235886"/>
    <w:rsid w:val="003159DC"/>
    <w:rsid w:val="00710F51"/>
    <w:rsid w:val="00C341DF"/>
    <w:rsid w:val="00FA3EFF"/>
    <w:rsid w:val="00FF2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751A2"/>
  <w15:docId w15:val="{40944E0C-991C-4A33-BB87-9772168E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pPr>
    <w:rPr>
      <w:sz w:val="24"/>
      <w:szCs w:val="24"/>
    </w:rPr>
  </w:style>
  <w:style w:type="paragraph" w:styleId="ListParagraph">
    <w:name w:val="List Paragraph"/>
    <w:basedOn w:val="Normal"/>
    <w:uiPriority w:val="1"/>
    <w:qFormat/>
    <w:pPr>
      <w:ind w:left="405" w:hanging="2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1007/s00436-012-3133-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npic.orst.edu/factsheets/archive/Deltatech.html" TargetMode="External"/><Relationship Id="rId17" Type="http://schemas.openxmlformats.org/officeDocument/2006/relationships/hyperlink" Target="https://doi.org/10.1016/j.chemosphere.2009.11.017" TargetMode="External"/><Relationship Id="rId2" Type="http://schemas.openxmlformats.org/officeDocument/2006/relationships/styles" Target="styles.xml"/><Relationship Id="rId16" Type="http://schemas.openxmlformats.org/officeDocument/2006/relationships/hyperlink" Target="https://doi.org/10.1177/0748233718766152"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637/0005-2086(2003)047" TargetMode="External"/><Relationship Id="rId5" Type="http://schemas.openxmlformats.org/officeDocument/2006/relationships/image" Target="media/image1.png"/><Relationship Id="rId15" Type="http://schemas.openxmlformats.org/officeDocument/2006/relationships/hyperlink" Target="https://doi.org/10.1016/S0300-483X(01)00569-8" TargetMode="External"/><Relationship Id="rId10" Type="http://schemas.openxmlformats.org/officeDocument/2006/relationships/hyperlink" Target="https://doi.org/10.1016/j.biocon.2012.04.00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289/ehp.99107s1639" TargetMode="External"/><Relationship Id="rId14" Type="http://schemas.openxmlformats.org/officeDocument/2006/relationships/hyperlink" Target="https://doi.org/10.2307/1593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4422</Words>
  <Characters>25212</Characters>
  <Application>Microsoft Office Word</Application>
  <DocSecurity>0</DocSecurity>
  <Lines>210</Lines>
  <Paragraphs>59</Paragraphs>
  <ScaleCrop>false</ScaleCrop>
  <Company/>
  <LinksUpToDate>false</LinksUpToDate>
  <CharactersWithSpaces>29575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Rev_UPJOZ_6025 Revised MS.doc</dc:title>
  <cp:lastModifiedBy>SDI 1022</cp:lastModifiedBy>
  <cp:revision>9</cp:revision>
  <dcterms:created xsi:type="dcterms:W3CDTF">2026-05-09T11:38:00Z</dcterms:created>
  <dcterms:modified xsi:type="dcterms:W3CDTF">2026-05-09T11:42:00Z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2026-05-09T00:00:00Z</vt:filetime>
  </property>
  <property fmtid="{D5CDD505-2E9C-101B-9397-08002B2CF9AE}" pid="4" name="Producer">
    <vt:lpwstr>Skia/PDF m149 Google Docs Renderer</vt:lpwstr>
  </property>
  <property fmtid="{D5CDD505-2E9C-101B-9397-08002B2CF9AE}" pid="5" name="LastSaved">
    <vt:filetime>2026-05-09T00:00:00Z</vt:filetime>
  </property>
</Properties>
</file>