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DDDB" w14:textId="0617D186" w:rsidR="00DD0169" w:rsidRPr="00DD0169" w:rsidRDefault="00DD0169" w:rsidP="00567D15">
      <w:pPr>
        <w:spacing w:before="100" w:beforeAutospacing="1" w:after="100" w:afterAutospacing="1" w:line="240" w:lineRule="auto"/>
        <w:jc w:val="both"/>
        <w:outlineLvl w:val="1"/>
        <w:rPr>
          <w:rFonts w:ascii="Times New Roman" w:eastAsia="Times New Roman" w:hAnsi="Times New Roman" w:cs="Times New Roman"/>
          <w:b/>
          <w:bCs/>
          <w:sz w:val="36"/>
          <w:szCs w:val="36"/>
          <w:u w:val="single"/>
        </w:rPr>
      </w:pPr>
      <w:r w:rsidRPr="00DD0169">
        <w:rPr>
          <w:rFonts w:ascii="Times New Roman" w:eastAsia="Times New Roman" w:hAnsi="Times New Roman" w:cs="Times New Roman"/>
          <w:b/>
          <w:bCs/>
          <w:sz w:val="36"/>
          <w:szCs w:val="36"/>
          <w:u w:val="single"/>
        </w:rPr>
        <w:t>Review Article</w:t>
      </w:r>
    </w:p>
    <w:p w14:paraId="5F3F6AFC" w14:textId="064A8494" w:rsidR="00572551" w:rsidRPr="00567D15" w:rsidRDefault="00572551" w:rsidP="00567D15">
      <w:pPr>
        <w:spacing w:before="100" w:beforeAutospacing="1" w:after="100" w:afterAutospacing="1" w:line="240" w:lineRule="auto"/>
        <w:jc w:val="both"/>
        <w:outlineLvl w:val="1"/>
        <w:rPr>
          <w:rFonts w:ascii="Times New Roman" w:eastAsia="Times New Roman" w:hAnsi="Times New Roman" w:cs="Times New Roman"/>
          <w:b/>
          <w:bCs/>
          <w:sz w:val="28"/>
          <w:szCs w:val="36"/>
        </w:rPr>
      </w:pPr>
      <w:r w:rsidRPr="00567D15">
        <w:rPr>
          <w:rFonts w:ascii="Times New Roman" w:eastAsia="Times New Roman" w:hAnsi="Times New Roman" w:cs="Times New Roman"/>
          <w:b/>
          <w:bCs/>
          <w:sz w:val="28"/>
          <w:szCs w:val="36"/>
        </w:rPr>
        <w:t>Toward Precision Antimicrobial Medicine: Converging Phage Therapy, CRISPR, Nanotechnology, and Artificial Intelligence Against Antimicrobial Resistance</w:t>
      </w:r>
    </w:p>
    <w:p w14:paraId="1EF82263"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304BE577"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Abstract</w:t>
      </w:r>
      <w:bookmarkStart w:id="0" w:name="_GoBack"/>
      <w:bookmarkEnd w:id="0"/>
    </w:p>
    <w:p w14:paraId="6AAED43B"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Antimicrobial resistance (AMR) represents one of the most profound threats to global public health, with drug-resistant bacterial infections estimated to have caused 1.27 million direct deaths globally in 2019 and contributed to nearly five million further fatalities. The progressive failure of conventional antibiotics, driven by decades of overuse and a near-stagnant discovery pipeline, has catalysed the search for radically different therapeutic paradigms. This narrative review synthesises evidence across four transformative domains — bacteriophage therapy, CRISPR-Cas-based antimicrobials, nanotechnology-mediated drug delivery, and artificial intelligence — and examines how their convergence may define the frontier of precision antimicrobial medicine. Bacteriophages offer exquisite host specificity and can be engineered to circumvent bacterial resistance mechanisms; CRISPR-Cas systems enable sequence-specific targeting of resistance genes and virulence determinants within living bacterial cells; engineered nanoparticles provide sophisticated delivery vehicles capable of penetrating biofilms and concentrating antimicrobial payloads at infection sites; and artificial intelligence accelerates the discovery of novel antimicrobial compounds, the prediction of resistance emergence, and the computational design of therapeutic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Collectively, these technologies address the fundamental limitations of conventional antibiotics — broad-spectrum collateral damage, inability to clear biofilms, and susceptibility to resistance — whilst offering new degrees of therapeutic precision. This review maps the current evidence base for each technology, explores their synergistic integration, and discusses the regulatory, ethical, and equity challenges that must be resolved before precision antimicrobial medicine can be delivered equitably at scale.</w:t>
      </w:r>
    </w:p>
    <w:p w14:paraId="5010B8A5" w14:textId="6F64E4D2"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b/>
          <w:bCs/>
          <w:sz w:val="24"/>
          <w:szCs w:val="24"/>
        </w:rPr>
        <w:t>Keywords:</w:t>
      </w:r>
      <w:r w:rsidRPr="002A4DCF">
        <w:rPr>
          <w:rFonts w:ascii="Times New Roman" w:eastAsia="Times New Roman" w:hAnsi="Times New Roman" w:cs="Times New Roman"/>
          <w:sz w:val="24"/>
          <w:szCs w:val="24"/>
        </w:rPr>
        <w:t xml:space="preserve"> </w:t>
      </w:r>
      <w:r w:rsidR="00567D15" w:rsidRPr="00567D15">
        <w:rPr>
          <w:rFonts w:ascii="Times New Roman" w:eastAsia="Times New Roman" w:hAnsi="Times New Roman" w:cs="Times New Roman"/>
          <w:sz w:val="24"/>
          <w:szCs w:val="24"/>
          <w:highlight w:val="yellow"/>
        </w:rPr>
        <w:t>A</w:t>
      </w:r>
      <w:r w:rsidRPr="00567D15">
        <w:rPr>
          <w:rFonts w:ascii="Times New Roman" w:eastAsia="Times New Roman" w:hAnsi="Times New Roman" w:cs="Times New Roman"/>
          <w:sz w:val="24"/>
          <w:szCs w:val="24"/>
          <w:highlight w:val="yellow"/>
        </w:rPr>
        <w:t>ntimicrobial resistance; bacteriophage therapy; CRISPR-Cas; nanotechnology; artificial intelligence; precision medicine; drug-resistant infection</w:t>
      </w:r>
    </w:p>
    <w:p w14:paraId="2C886A49"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08622BEB" w14:textId="28F4841D" w:rsidR="00572551" w:rsidRPr="008A52D1" w:rsidRDefault="00572551" w:rsidP="008A52D1">
      <w:pPr>
        <w:pStyle w:val="ListParagraph"/>
        <w:numPr>
          <w:ilvl w:val="0"/>
          <w:numId w:val="2"/>
        </w:num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A52D1">
        <w:rPr>
          <w:rFonts w:ascii="Times New Roman" w:eastAsia="Times New Roman" w:hAnsi="Times New Roman" w:cs="Times New Roman"/>
          <w:b/>
          <w:bCs/>
          <w:sz w:val="27"/>
          <w:szCs w:val="27"/>
        </w:rPr>
        <w:t>Introduction</w:t>
      </w:r>
    </w:p>
    <w:p w14:paraId="40813874" w14:textId="687A1736" w:rsidR="008A52D1" w:rsidRDefault="008A52D1" w:rsidP="008A52D1">
      <w:pPr>
        <w:spacing w:before="100" w:beforeAutospacing="1" w:after="100" w:afterAutospacing="1" w:line="240" w:lineRule="auto"/>
        <w:jc w:val="both"/>
        <w:outlineLvl w:val="2"/>
        <w:rPr>
          <w:rFonts w:ascii="Georgia" w:hAnsi="Georgia"/>
          <w:color w:val="1F1F1F"/>
          <w:highlight w:val="yellow"/>
        </w:rPr>
      </w:pPr>
      <w:r w:rsidRPr="008B33ED">
        <w:rPr>
          <w:rFonts w:ascii="Georgia" w:hAnsi="Georgia"/>
          <w:color w:val="1F1F1F"/>
          <w:highlight w:val="yellow"/>
        </w:rPr>
        <w:t xml:space="preserve">Antimicrobial resistance is a serious threat to the human population and might be responsible for the emergence as well as re-emergence of various infectious diseases. The </w:t>
      </w:r>
      <w:proofErr w:type="spellStart"/>
      <w:r w:rsidRPr="008B33ED">
        <w:rPr>
          <w:rFonts w:ascii="Georgia" w:hAnsi="Georgia"/>
          <w:color w:val="1F1F1F"/>
          <w:highlight w:val="yellow"/>
        </w:rPr>
        <w:t>staggard</w:t>
      </w:r>
      <w:proofErr w:type="spellEnd"/>
      <w:r w:rsidRPr="008B33ED">
        <w:rPr>
          <w:rFonts w:ascii="Georgia" w:hAnsi="Georgia"/>
          <w:color w:val="1F1F1F"/>
          <w:highlight w:val="yellow"/>
        </w:rPr>
        <w:t xml:space="preserve"> development of new antibiotics and the resistance acquired by the pathogens against the existing antibiotics is indeed a menace and has aggravated due to the ongoing pandemic</w:t>
      </w:r>
      <w:r w:rsidR="0011721C" w:rsidRPr="00EF26D5">
        <w:rPr>
          <w:rFonts w:ascii="Georgia" w:hAnsi="Georgia"/>
          <w:color w:val="1F1F1F"/>
          <w:highlight w:val="yellow"/>
        </w:rPr>
        <w:t xml:space="preserve"> (</w:t>
      </w:r>
      <w:proofErr w:type="spellStart"/>
      <w:r w:rsidR="0011721C" w:rsidRPr="008B33ED">
        <w:rPr>
          <w:rFonts w:ascii="inherit" w:hAnsi="inherit" w:cs="Helvetica"/>
          <w:color w:val="222222"/>
          <w:sz w:val="18"/>
          <w:szCs w:val="18"/>
          <w:highlight w:val="yellow"/>
        </w:rPr>
        <w:t>Jacobowski</w:t>
      </w:r>
      <w:proofErr w:type="spellEnd"/>
      <w:r w:rsidR="0011721C" w:rsidRPr="008B33ED">
        <w:rPr>
          <w:rFonts w:ascii="inherit" w:hAnsi="inherit" w:cs="Helvetica"/>
          <w:color w:val="222222"/>
          <w:sz w:val="18"/>
          <w:szCs w:val="18"/>
          <w:highlight w:val="yellow"/>
        </w:rPr>
        <w:t xml:space="preserve"> et al., 2025</w:t>
      </w:r>
      <w:r w:rsidR="0011721C" w:rsidRPr="00EF26D5">
        <w:rPr>
          <w:rFonts w:ascii="Georgia" w:hAnsi="Georgia"/>
          <w:color w:val="1F1F1F"/>
          <w:highlight w:val="yellow"/>
        </w:rPr>
        <w:t>)</w:t>
      </w:r>
      <w:r w:rsidRPr="008B33ED">
        <w:rPr>
          <w:rFonts w:ascii="Georgia" w:hAnsi="Georgia"/>
          <w:color w:val="1F1F1F"/>
          <w:highlight w:val="yellow"/>
        </w:rPr>
        <w:t xml:space="preserve">. </w:t>
      </w:r>
      <w:r w:rsidRPr="008B33ED">
        <w:rPr>
          <w:rFonts w:ascii="Arial" w:hAnsi="Arial" w:cs="Arial"/>
          <w:color w:val="000000"/>
          <w:highlight w:val="yellow"/>
          <w:shd w:val="clear" w:color="auto" w:fill="FFFFFF"/>
        </w:rPr>
        <w:t xml:space="preserve">Clustered Regularly Interspaced Short Palindromic Repeats (CRISPR)-associated systems (Cas), a genome-editing tool derived from prokaryotic </w:t>
      </w:r>
      <w:proofErr w:type="spellStart"/>
      <w:r w:rsidRPr="008B33ED">
        <w:rPr>
          <w:rFonts w:ascii="Arial" w:hAnsi="Arial" w:cs="Arial"/>
          <w:color w:val="000000"/>
          <w:highlight w:val="yellow"/>
          <w:shd w:val="clear" w:color="auto" w:fill="FFFFFF"/>
        </w:rPr>
        <w:t>defense</w:t>
      </w:r>
      <w:proofErr w:type="spellEnd"/>
      <w:r w:rsidRPr="008B33ED">
        <w:rPr>
          <w:rFonts w:ascii="Arial" w:hAnsi="Arial" w:cs="Arial"/>
          <w:color w:val="000000"/>
          <w:highlight w:val="yellow"/>
          <w:shd w:val="clear" w:color="auto" w:fill="FFFFFF"/>
        </w:rPr>
        <w:t xml:space="preserve"> mechanisms, offers precise targeting of antibiotic-resistant genes. By reprogramming CRISPR-Cas, bacteria can be killed or </w:t>
      </w:r>
      <w:proofErr w:type="spellStart"/>
      <w:r w:rsidRPr="008B33ED">
        <w:rPr>
          <w:rFonts w:ascii="Arial" w:hAnsi="Arial" w:cs="Arial"/>
          <w:color w:val="000000"/>
          <w:highlight w:val="yellow"/>
          <w:shd w:val="clear" w:color="auto" w:fill="FFFFFF"/>
        </w:rPr>
        <w:t>resensitized</w:t>
      </w:r>
      <w:proofErr w:type="spellEnd"/>
      <w:r w:rsidRPr="008B33ED">
        <w:rPr>
          <w:rFonts w:ascii="Arial" w:hAnsi="Arial" w:cs="Arial"/>
          <w:color w:val="000000"/>
          <w:highlight w:val="yellow"/>
          <w:shd w:val="clear" w:color="auto" w:fill="FFFFFF"/>
        </w:rPr>
        <w:t xml:space="preserve"> to antibiotics through plasmid curing. However, clinical applications face challenges, particularly in delivering CRISPR-Cas components effectively. Nanotechnology has emerged as a promising approach for targeted delivery to tissues and cells</w:t>
      </w:r>
      <w:r>
        <w:rPr>
          <w:rFonts w:ascii="Arial" w:hAnsi="Arial" w:cs="Arial"/>
          <w:color w:val="000000"/>
          <w:highlight w:val="yellow"/>
          <w:shd w:val="clear" w:color="auto" w:fill="FFFFFF"/>
        </w:rPr>
        <w:t xml:space="preserve"> (</w:t>
      </w:r>
      <w:proofErr w:type="spellStart"/>
      <w:r w:rsidRPr="00B779E4">
        <w:rPr>
          <w:rFonts w:ascii="Arial" w:hAnsi="Arial" w:cs="Arial"/>
          <w:color w:val="222222"/>
          <w:sz w:val="20"/>
          <w:szCs w:val="20"/>
          <w:highlight w:val="yellow"/>
          <w:shd w:val="clear" w:color="auto" w:fill="FFFFFF"/>
        </w:rPr>
        <w:t>Gholamian</w:t>
      </w:r>
      <w:proofErr w:type="spellEnd"/>
      <w:r>
        <w:rPr>
          <w:rFonts w:ascii="Arial" w:hAnsi="Arial" w:cs="Arial"/>
          <w:color w:val="222222"/>
          <w:sz w:val="20"/>
          <w:szCs w:val="20"/>
          <w:highlight w:val="yellow"/>
          <w:shd w:val="clear" w:color="auto" w:fill="FFFFFF"/>
        </w:rPr>
        <w:t xml:space="preserve"> et al., 2025</w:t>
      </w:r>
      <w:r>
        <w:rPr>
          <w:rFonts w:ascii="Arial" w:hAnsi="Arial" w:cs="Arial"/>
          <w:color w:val="000000"/>
          <w:highlight w:val="yellow"/>
          <w:shd w:val="clear" w:color="auto" w:fill="FFFFFF"/>
        </w:rPr>
        <w:t>)</w:t>
      </w:r>
      <w:r w:rsidRPr="008B33ED">
        <w:rPr>
          <w:rFonts w:ascii="Arial" w:hAnsi="Arial" w:cs="Arial"/>
          <w:color w:val="000000"/>
          <w:highlight w:val="yellow"/>
          <w:shd w:val="clear" w:color="auto" w:fill="FFFFFF"/>
        </w:rPr>
        <w:t>.</w:t>
      </w:r>
    </w:p>
    <w:p w14:paraId="44BD015E" w14:textId="77777777" w:rsidR="008A52D1" w:rsidRDefault="008A52D1" w:rsidP="008A52D1">
      <w:pPr>
        <w:spacing w:before="100" w:beforeAutospacing="1" w:after="100" w:afterAutospacing="1" w:line="240" w:lineRule="auto"/>
        <w:jc w:val="both"/>
        <w:outlineLvl w:val="2"/>
        <w:rPr>
          <w:rFonts w:ascii="Georgia" w:hAnsi="Georgia"/>
          <w:color w:val="1F1F1F"/>
          <w:highlight w:val="yellow"/>
        </w:rPr>
      </w:pPr>
    </w:p>
    <w:p w14:paraId="32005575" w14:textId="77777777" w:rsidR="008A52D1" w:rsidRDefault="008A52D1" w:rsidP="008A52D1">
      <w:pPr>
        <w:spacing w:before="100" w:beforeAutospacing="1" w:after="100" w:afterAutospacing="1" w:line="240" w:lineRule="auto"/>
        <w:jc w:val="both"/>
        <w:outlineLvl w:val="2"/>
        <w:rPr>
          <w:rFonts w:ascii="Georgia" w:hAnsi="Georgia"/>
          <w:color w:val="1F1F1F"/>
          <w:highlight w:val="yellow"/>
        </w:rPr>
      </w:pPr>
    </w:p>
    <w:p w14:paraId="629105B3" w14:textId="77777777" w:rsidR="008A52D1" w:rsidRDefault="008A52D1" w:rsidP="008A52D1">
      <w:pPr>
        <w:spacing w:before="100" w:beforeAutospacing="1" w:after="100" w:afterAutospacing="1" w:line="240" w:lineRule="auto"/>
        <w:jc w:val="both"/>
        <w:outlineLvl w:val="2"/>
        <w:rPr>
          <w:rFonts w:ascii="Georgia" w:hAnsi="Georgia"/>
          <w:color w:val="1F1F1F"/>
          <w:highlight w:val="yellow"/>
        </w:rPr>
      </w:pPr>
    </w:p>
    <w:p w14:paraId="2AC02913" w14:textId="51DB3BC6" w:rsidR="008A52D1" w:rsidRPr="008A52D1" w:rsidRDefault="008A52D1" w:rsidP="008A52D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B33ED">
        <w:rPr>
          <w:rFonts w:ascii="Georgia" w:hAnsi="Georgia"/>
          <w:color w:val="1F1F1F"/>
          <w:highlight w:val="yellow"/>
        </w:rPr>
        <w:t>CRISPR-Cas systems, an inherent immune mechanism present in prokaryotes is one of the most popular tools that was first harnessed in 2014 for selective removal of genes responsible for antimicrobial resistance. Gradually gaining considerable momentum in the field of genetics, medicine, and biotechnology, CRISPR-Cas technologies have been rapidly utilized in gene editing in human cells, designing animal models for disease progression studies to develop insect-resistant crop varieties and repurpose inherent bacterial CRISPR-Cas systems for target specific elimination of pathogens</w:t>
      </w:r>
      <w:r w:rsidRPr="008A52D1">
        <w:rPr>
          <w:rFonts w:ascii="Georgia" w:hAnsi="Georgia"/>
          <w:color w:val="1F1F1F"/>
          <w:highlight w:val="yellow"/>
        </w:rPr>
        <w:t xml:space="preserve"> (</w:t>
      </w:r>
      <w:r w:rsidRPr="008B33ED">
        <w:rPr>
          <w:rFonts w:ascii="Arial" w:hAnsi="Arial" w:cs="Arial"/>
          <w:color w:val="222222"/>
          <w:sz w:val="20"/>
          <w:szCs w:val="20"/>
          <w:highlight w:val="yellow"/>
          <w:shd w:val="clear" w:color="auto" w:fill="FFFFFF"/>
        </w:rPr>
        <w:t>Sen &amp; Mukhopadhyay, 2024</w:t>
      </w:r>
      <w:r>
        <w:rPr>
          <w:rFonts w:ascii="Georgia" w:hAnsi="Georgia"/>
          <w:color w:val="1F1F1F"/>
          <w:highlight w:val="yellow"/>
        </w:rPr>
        <w:t>)</w:t>
      </w:r>
      <w:r w:rsidRPr="008B33ED">
        <w:rPr>
          <w:rFonts w:ascii="Georgia" w:hAnsi="Georgia"/>
          <w:color w:val="1F1F1F"/>
          <w:highlight w:val="yellow"/>
        </w:rPr>
        <w:t>.</w:t>
      </w:r>
      <w:r>
        <w:rPr>
          <w:rFonts w:ascii="Georgia" w:hAnsi="Georgia"/>
          <w:color w:val="1F1F1F"/>
        </w:rPr>
        <w:t> </w:t>
      </w:r>
    </w:p>
    <w:p w14:paraId="393B8F18"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1.1 The Convergence of a Perfect Storm</w:t>
      </w:r>
    </w:p>
    <w:p w14:paraId="3CED5274"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discovery of penicillin in 1928 ushered in the antibiotic era and transformed the prognosis of bacterial infections that had previously carried near-certain mortality. Yet within decades of each antibiotic's introduction, resistant strains emerged, exposing the fundamental evolutionary pressure that makes monotherapy with any single class of chemical compounds inherently unstable over time. The problem has intensified dramatically in recent years: the global spread of multidrug-resistant (MDR), extensively drug-resistant (XDR), and </w:t>
      </w:r>
      <w:proofErr w:type="spellStart"/>
      <w:r w:rsidRPr="002A4DCF">
        <w:rPr>
          <w:rFonts w:ascii="Times New Roman" w:eastAsia="Times New Roman" w:hAnsi="Times New Roman" w:cs="Times New Roman"/>
          <w:sz w:val="24"/>
          <w:szCs w:val="24"/>
        </w:rPr>
        <w:t>pandrug</w:t>
      </w:r>
      <w:proofErr w:type="spellEnd"/>
      <w:r w:rsidRPr="002A4DCF">
        <w:rPr>
          <w:rFonts w:ascii="Times New Roman" w:eastAsia="Times New Roman" w:hAnsi="Times New Roman" w:cs="Times New Roman"/>
          <w:sz w:val="24"/>
          <w:szCs w:val="24"/>
        </w:rPr>
        <w:t>-resistant (PDR) bacteria now threatens to render routine surgical procedures, cancer chemotherapy, organ transplantation, and neonatal intensive care extraordinarily dangerous. Laxminarayan et al. (2013) described antimicrobial resistance as a 'slow-moving tsunami', noting that the resistance crisis is simultaneously ecological, clinical, economic, and political in character. That characterisation has proven prescient.</w:t>
      </w:r>
    </w:p>
    <w:p w14:paraId="7780F199"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epidemiology of AMR underscores the severity of the challenge. Murray et al. (2022) estimated that bacterial AMR was directly responsible for 1.27 million deaths globally in 2019 and was associated with a further 4.95 million deaths — figures that exceed the mortality burden attributable to HIV/AIDS or malaria in the same year. The same analysis identified lower respiratory tract infections caused by resistant organisms and bloodstream infections as the leading contributors to this toll, with sub-Saharan Africa and South Asia bearing a disproportionate burden. Global antibiotic consumption has risen substantially over preceding decades, with Van Boeckel et al. (2014) documenting a 36% increase in total antibiotic use between 2000 and 2010, driven predominantly by middle-income countries. The parallel expansion of antibiotic use in livestock adds a further ecological dimension: Van Boeckel et al. (2019) demonstrated that resistance rates to commonly used veterinary antibiotics rose sharply in low- and middle-income countries between 2000 and 2018, reflecting the interconnected human-animal-environment triad of AMR transmission. The identification of the plasmid-mediated MCR-1 gene — conferring resistance to colistin, a last-resort antibiotic — in both animal and human isolates in China further illustrated that no class of antibiotic is exempt from resistance emergence (Liu et al., 2016).</w:t>
      </w:r>
    </w:p>
    <w:p w14:paraId="28C16309"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Despite this alarming trajectory, the antibiotic discovery pipeline has remained profoundly inadequate. Most newly approved antibiotics are derivatives of existing classes and therefore offer limited protection against organisms harbouring pre-existing resistance mechanisms (Czaplewski et al., 2016). The economic model of antibiotic development has historically been hostile to innovation, as short treatment courses and stewardship imperatives suppress commercial returns relative to those achieved by treatments for chronic diseases. This </w:t>
      </w:r>
      <w:r w:rsidRPr="002A4DCF">
        <w:rPr>
          <w:rFonts w:ascii="Times New Roman" w:eastAsia="Times New Roman" w:hAnsi="Times New Roman" w:cs="Times New Roman"/>
          <w:sz w:val="24"/>
          <w:szCs w:val="24"/>
        </w:rPr>
        <w:lastRenderedPageBreak/>
        <w:t>structural market failure has led to the withdrawal of large pharmaceutical companies from the antibiotic discovery space, leaving academic and public-sector research to carry an increasing proportion of the innovation burden.</w:t>
      </w:r>
    </w:p>
    <w:p w14:paraId="1E010BD7"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1.2 Emerging Therapeutic Paradigms</w:t>
      </w:r>
    </w:p>
    <w:p w14:paraId="292FFA18"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Into this landscape of unmet need have emerged several transformative technologies. Bacteriophage therapy — the use of viruses that specifically infect and lyse bacteria — enjoyed clinical application in the early twentieth century but was largely displaced by antibiotics in Western medicine. Its resurgence is now driven by the near-collapse of the antibiotic pipeline and by accumulating case-series evidence demonstrating efficacy in XDR infections where no pharmaceutical options remain. The CRISPR-Cas9 system, originally characterised as a bacterial adaptive immune mechanism, has been repurposed not only as a genome-editing platform but as a programmable antimicrobial capable of targeting resistance genes or essential chromosomal sequences with single-nucleotide specificity (</w:t>
      </w:r>
      <w:proofErr w:type="spellStart"/>
      <w:r w:rsidRPr="002A4DCF">
        <w:rPr>
          <w:rFonts w:ascii="Times New Roman" w:eastAsia="Times New Roman" w:hAnsi="Times New Roman" w:cs="Times New Roman"/>
          <w:sz w:val="24"/>
          <w:szCs w:val="24"/>
        </w:rPr>
        <w:t>Jinek</w:t>
      </w:r>
      <w:proofErr w:type="spellEnd"/>
      <w:r w:rsidRPr="002A4DCF">
        <w:rPr>
          <w:rFonts w:ascii="Times New Roman" w:eastAsia="Times New Roman" w:hAnsi="Times New Roman" w:cs="Times New Roman"/>
          <w:sz w:val="24"/>
          <w:szCs w:val="24"/>
        </w:rPr>
        <w:t xml:space="preserve"> et al., 2012; Doudna &amp; Charpentier, 2014). Advances in nanomedicine have yielded engineered nanoparticles capable of delivering antimicrobial payloads with unprecedented precision — penetrating biofilms, evading efflux pumps, and releasing drugs in response to local pH or enzymatic cues (Mitchell et al., 2021). Finally, machine learning and deep learning algorithms are being applied to large chemical and genomic datasets, enabling the discovery of structurally novel antibiotics and the prediction of resistance phenotypes from genomic sequences at a speed and scale unattainable by conventional laboratory methods (Stokes et al., 2020; Vamathevan et al., 2019).</w:t>
      </w:r>
    </w:p>
    <w:p w14:paraId="309A2D08"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None of these technologies, taken in isolation, is sufficient to resolve the AMR crisis. Their convergence, however — engineered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delivered in nanoparticle vehicles and selected by AI-optimised algorithms, for instance — raises the prospect of a qualitatively different era of precision antimicrobial medicine, in which therapy is tailored to the pathogen, the patient, and the infection context with a degree of specificity that broad-spectrum antibiotics cannot approach.</w:t>
      </w:r>
    </w:p>
    <w:p w14:paraId="25BE5C3B"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1.3 Scope and Objectives</w:t>
      </w:r>
    </w:p>
    <w:p w14:paraId="12E5127C"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This review aims to synthesise the current scientific evidence for phage therapy, CRISPR-based antimicrobials, nanotechnology-mediated antimicrobial delivery, and artificial intelligence approaches to AMR management, and to examine the mechanisms by which these technologies may be integrated into convergent therapeutic systems. The article further evaluates the regulatory, ethical, and equity dimensions that will govern their translation into clinical practice. The review is directed at researchers, clinicians, and policy-makers who seek a comprehensive, cross-domain perspective on this rapidly evolving field. It does not attempt to replicate or update specific systematic reviews within individual technology domains, but rather to illuminate the conceptual and practical synergies among phage biology, genome editing, materials science, and computational intelligence as they converge upon the problem of drug-resistant infection.</w:t>
      </w:r>
    </w:p>
    <w:p w14:paraId="7902EAB9"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7FF3A693"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2. Methods for Literature Selection</w:t>
      </w:r>
    </w:p>
    <w:p w14:paraId="414A60D8"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2.1 Databases and Search Strategy</w:t>
      </w:r>
    </w:p>
    <w:p w14:paraId="5D7219A8"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lastRenderedPageBreak/>
        <w:t xml:space="preserve">This article was conducted as a narrative review, reflecting the multidisciplinary and rapidly evolving nature of its central topic. A narrative approach was deliberately adopted because the convergence of phage therapy, CRISPR, nanotechnology, and artificial intelligence as an integrated theme resists the homogeneous comparator structure required by systematic or meta-analytic designs. As </w:t>
      </w:r>
      <w:proofErr w:type="spellStart"/>
      <w:r w:rsidRPr="002A4DCF">
        <w:rPr>
          <w:rFonts w:ascii="Times New Roman" w:eastAsia="Times New Roman" w:hAnsi="Times New Roman" w:cs="Times New Roman"/>
          <w:sz w:val="24"/>
          <w:szCs w:val="24"/>
        </w:rPr>
        <w:t>Baethge</w:t>
      </w:r>
      <w:proofErr w:type="spellEnd"/>
      <w:r w:rsidRPr="002A4DCF">
        <w:rPr>
          <w:rFonts w:ascii="Times New Roman" w:eastAsia="Times New Roman" w:hAnsi="Times New Roman" w:cs="Times New Roman"/>
          <w:sz w:val="24"/>
          <w:szCs w:val="24"/>
        </w:rPr>
        <w:t xml:space="preserve"> et al. (2019) noted, narrative reviews are well-suited to synthesising heterogeneous bodies of evidence across multiple disciplines and to identifying conceptual frameworks that purely quantitative summaries may obscure.</w:t>
      </w:r>
    </w:p>
    <w:p w14:paraId="7D4F1E0A"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Literature was searched across nine databases. The four primary databases were Web of Science, Scopus, PubMed, and Google Scholar. Five field-specific databases were additionally consulted: EMBASE, which was selected for its pharmacological and clinical trial coverage; Europe PMC, for open-access biomedical literature; The Lens, for cross-disciplinary scientific and technical literature; ClinicalTrials.gov, for registered trials of phage therapy and CRISPR-based interventions; and Semantic Scholar, for machine learning and artificial intelligence publications in biology. Search strings were constructed around the following core terms and Boolean combinations: ("antimicrobial resistance" OR "antibiotic resistance") AND ("bacteriophage" OR "phage therapy"); ("CRISPR" OR "CRISPR-Cas") AND ("antimicrobial" OR "antibiotic resistance" OR "bacteria"); ("nanoparticle" OR "nanotechnology" OR "nanomedicine") AND ("antimicrobial resistance" OR "bacterial infection"); ("machine learning" OR "deep learning" OR "artificial intelligence") AND ("antibiotic" OR "antimicrobial resistance"). Medical Subject Headings (</w:t>
      </w:r>
      <w:proofErr w:type="spellStart"/>
      <w:r w:rsidRPr="002A4DCF">
        <w:rPr>
          <w:rFonts w:ascii="Times New Roman" w:eastAsia="Times New Roman" w:hAnsi="Times New Roman" w:cs="Times New Roman"/>
          <w:sz w:val="24"/>
          <w:szCs w:val="24"/>
        </w:rPr>
        <w:t>MeSH</w:t>
      </w:r>
      <w:proofErr w:type="spellEnd"/>
      <w:r w:rsidRPr="002A4DCF">
        <w:rPr>
          <w:rFonts w:ascii="Times New Roman" w:eastAsia="Times New Roman" w:hAnsi="Times New Roman" w:cs="Times New Roman"/>
          <w:sz w:val="24"/>
          <w:szCs w:val="24"/>
        </w:rPr>
        <w:t xml:space="preserve">) terms were used in PubMed searches to enhance precision. Searches were conducted </w:t>
      </w:r>
      <w:r w:rsidR="002A4DCF" w:rsidRPr="002A4DCF">
        <w:rPr>
          <w:rFonts w:ascii="Times New Roman" w:eastAsia="Times New Roman" w:hAnsi="Times New Roman" w:cs="Times New Roman"/>
          <w:sz w:val="24"/>
          <w:szCs w:val="24"/>
        </w:rPr>
        <w:t>covering</w:t>
      </w:r>
      <w:r w:rsidRPr="002A4DCF">
        <w:rPr>
          <w:rFonts w:ascii="Times New Roman" w:eastAsia="Times New Roman" w:hAnsi="Times New Roman" w:cs="Times New Roman"/>
          <w:sz w:val="24"/>
          <w:szCs w:val="24"/>
        </w:rPr>
        <w:t xml:space="preserve"> the date range </w:t>
      </w:r>
      <w:r w:rsidR="002A4DCF" w:rsidRPr="002A4DCF">
        <w:rPr>
          <w:rFonts w:ascii="Times New Roman" w:eastAsia="Times New Roman" w:hAnsi="Times New Roman" w:cs="Times New Roman"/>
          <w:sz w:val="24"/>
          <w:szCs w:val="24"/>
        </w:rPr>
        <w:t xml:space="preserve">from </w:t>
      </w:r>
      <w:r w:rsidRPr="002A4DCF">
        <w:rPr>
          <w:rFonts w:ascii="Times New Roman" w:eastAsia="Times New Roman" w:hAnsi="Times New Roman" w:cs="Times New Roman"/>
          <w:sz w:val="24"/>
          <w:szCs w:val="24"/>
        </w:rPr>
        <w:t>2000 to 202</w:t>
      </w:r>
      <w:r w:rsidR="002A4DCF" w:rsidRPr="002A4DCF">
        <w:rPr>
          <w:rFonts w:ascii="Times New Roman" w:eastAsia="Times New Roman" w:hAnsi="Times New Roman" w:cs="Times New Roman"/>
          <w:sz w:val="24"/>
          <w:szCs w:val="24"/>
        </w:rPr>
        <w:t>6</w:t>
      </w:r>
      <w:r w:rsidRPr="002A4DCF">
        <w:rPr>
          <w:rFonts w:ascii="Times New Roman" w:eastAsia="Times New Roman" w:hAnsi="Times New Roman" w:cs="Times New Roman"/>
          <w:sz w:val="24"/>
          <w:szCs w:val="24"/>
        </w:rPr>
        <w:t>.</w:t>
      </w:r>
    </w:p>
    <w:p w14:paraId="5F4067EE"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2.2 Inclusion and Exclusion Criteria</w:t>
      </w:r>
    </w:p>
    <w:p w14:paraId="44E010DE"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Studies were included if they were published in peer-reviewed academic journals, written in English, and reported original findings or substantive critical reviews pertaining to one or more of the four technology domains or their intersection. As discussed by </w:t>
      </w:r>
      <w:proofErr w:type="spellStart"/>
      <w:r w:rsidRPr="002A4DCF">
        <w:rPr>
          <w:rFonts w:ascii="Times New Roman" w:eastAsia="Times New Roman" w:hAnsi="Times New Roman" w:cs="Times New Roman"/>
          <w:sz w:val="24"/>
          <w:szCs w:val="24"/>
        </w:rPr>
        <w:t>Baethge</w:t>
      </w:r>
      <w:proofErr w:type="spellEnd"/>
      <w:r w:rsidRPr="002A4DCF">
        <w:rPr>
          <w:rFonts w:ascii="Times New Roman" w:eastAsia="Times New Roman" w:hAnsi="Times New Roman" w:cs="Times New Roman"/>
          <w:sz w:val="24"/>
          <w:szCs w:val="24"/>
        </w:rPr>
        <w:t xml:space="preserve"> et al. (2019), the scope of inclusion in narrative reviews should reflect both methodological quality and conceptual relevance to the review's synthesising objectives. Authoritative institutional reports from bodies such as the World Health Organization were included where they provided epidemiological data unavailable in peer-reviewed literature. Studies were excluded if they appeared only in book chapters, grey literature, conference abstracts, trade publications, or as patents. Preprint reports not yet subjected to peer review were also excluded in order to preserve evidential quality. Where multiple publications from the same research programme were identified, the most methodologically comprehensive or most recently updated was preferentially selected to avoid duplication of evidence.</w:t>
      </w:r>
    </w:p>
    <w:p w14:paraId="62F3F4B4"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2.3 Screening Workflow and Duplicate Handling</w:t>
      </w:r>
    </w:p>
    <w:p w14:paraId="43FF9859"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Initial database searches returned in excess of </w:t>
      </w:r>
      <w:r w:rsidR="002A4DCF">
        <w:rPr>
          <w:rFonts w:ascii="Times New Roman" w:eastAsia="Times New Roman" w:hAnsi="Times New Roman" w:cs="Times New Roman"/>
          <w:sz w:val="24"/>
          <w:szCs w:val="24"/>
        </w:rPr>
        <w:t>16</w:t>
      </w:r>
      <w:r w:rsidRPr="002A4DCF">
        <w:rPr>
          <w:rFonts w:ascii="Times New Roman" w:eastAsia="Times New Roman" w:hAnsi="Times New Roman" w:cs="Times New Roman"/>
          <w:sz w:val="24"/>
          <w:szCs w:val="24"/>
        </w:rPr>
        <w:t xml:space="preserve">00 records. Title and abstract screening was applied to remove records clearly outside the review's scope. Duplicate records identified across databases were removed prior to full-text assessment using reference management software. Full-text review was then applied to the remaining records to determine whether inclusion criteria were satisfied. Studies were selected for inclusion on the basis of methodological rigour, citation influence, recency, and relevance to the review's central theme of technological convergence. The final corpus comprised 34 peer-reviewed journal articles and two institutional reports, totalling 36 references. Classic foundational articles published before 2000 were not excluded on the basis of date but were assessed individually </w:t>
      </w:r>
      <w:r w:rsidRPr="002A4DCF">
        <w:rPr>
          <w:rFonts w:ascii="Times New Roman" w:eastAsia="Times New Roman" w:hAnsi="Times New Roman" w:cs="Times New Roman"/>
          <w:sz w:val="24"/>
          <w:szCs w:val="24"/>
        </w:rPr>
        <w:lastRenderedPageBreak/>
        <w:t>for their continuing conceptual relevance; two articles predating 2010 were retained as methodological and scientific foundation references.</w:t>
      </w:r>
    </w:p>
    <w:p w14:paraId="3F846AF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narrative synthesis integrated findings thematically rather than quantitatively, identifying convergent patterns, unresolved tensions, and research gaps across the four technology domains. This approach, consistent with guidance for conducting and reporting narrative reviews (Green et al., 2006), allowed for the inclusion of heterogeneous study designs — including randomised mechanistic experiments, case reports of high translational significance, computational studies, and epidemiological analyses — within a coherent analytical framework.</w:t>
      </w:r>
    </w:p>
    <w:p w14:paraId="56078CDF"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7AB4215F"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3. The Global AMR Crisis: Epidemiological and Clinical Burden</w:t>
      </w:r>
    </w:p>
    <w:p w14:paraId="6B713BF6"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3.1 Mortality, Morbidity, and the Scale of Unmet Need</w:t>
      </w:r>
    </w:p>
    <w:p w14:paraId="72162F58"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quantitative dimensions of the AMR crisis were brought into sharp relief by Murray et al. (2022), whose landmark analysis drew on data from 204 countries to estimate the direct and associated mortality burden of bacterial AMR in 2019. The finding that 1.27 million deaths were directly attributable to drug-resistant infections — and that nearly five million further deaths involved AMR as a contributing factor — established resistance as one of the foremost causes of mortality globally. The pathogens of greatest concern included </w:t>
      </w:r>
      <w:r w:rsidRPr="002A4DCF">
        <w:rPr>
          <w:rFonts w:ascii="Times New Roman" w:eastAsia="Times New Roman" w:hAnsi="Times New Roman" w:cs="Times New Roman"/>
          <w:i/>
          <w:iCs/>
          <w:sz w:val="24"/>
          <w:szCs w:val="24"/>
        </w:rPr>
        <w:t>Staphylococcus aureus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Klebsiella pneumoniae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Acinetobacter baumannii</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and </w:t>
      </w:r>
      <w:r w:rsidRPr="002A4DCF">
        <w:rPr>
          <w:rFonts w:ascii="Times New Roman" w:eastAsia="Times New Roman" w:hAnsi="Times New Roman" w:cs="Times New Roman"/>
          <w:i/>
          <w:iCs/>
          <w:sz w:val="24"/>
          <w:szCs w:val="24"/>
        </w:rPr>
        <w:t>Escherichia coli</w:t>
      </w:r>
      <w:r w:rsidRPr="002A4DCF">
        <w:rPr>
          <w:rFonts w:ascii="Times New Roman" w:eastAsia="Times New Roman" w:hAnsi="Times New Roman" w:cs="Times New Roman"/>
          <w:sz w:val="24"/>
          <w:szCs w:val="24"/>
        </w:rPr>
        <w:t>, organisms that the World Health Organization (2021) has collectively designated as critical or high priority for new antibacterial development under its global surveillance framework. The burden falls most heavily on low- and middle-income countries, where infection control infrastructure, surveillance capacity, and access to second- and third-line antibiotics are most constrained, yet where antibiotic use in both humans and animals is expanding most rapidly (Van Boeckel et al., 2014; Van Boeckel et al., 2019).</w:t>
      </w:r>
    </w:p>
    <w:p w14:paraId="58234139" w14:textId="06E7558C"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clinical consequences of drug resistance extend well beyond mortality statistics. Patients with MDR infections typically require longer hospitalisation, more intensive care, and more expensive second-line treatments, imposing substantial costs on both healthcare systems and individuals. The proliferation of extended-spectrum beta-lactamase (ESBL)-producing organisms, carb</w:t>
      </w:r>
      <w:r w:rsidR="00DD0169" w:rsidRPr="00DD0169">
        <w:t xml:space="preserve"> </w:t>
      </w:r>
      <w:proofErr w:type="spellStart"/>
      <w:r w:rsidR="00DD0169" w:rsidRPr="00DD0169">
        <w:rPr>
          <w:rFonts w:ascii="Times New Roman" w:eastAsia="Times New Roman" w:hAnsi="Times New Roman" w:cs="Times New Roman"/>
          <w:sz w:val="24"/>
          <w:szCs w:val="24"/>
        </w:rPr>
        <w:t>Covid</w:t>
      </w:r>
      <w:r w:rsidRPr="002A4DCF">
        <w:rPr>
          <w:rFonts w:ascii="Times New Roman" w:eastAsia="Times New Roman" w:hAnsi="Times New Roman" w:cs="Times New Roman"/>
          <w:sz w:val="24"/>
          <w:szCs w:val="24"/>
        </w:rPr>
        <w:t>em</w:t>
      </w:r>
      <w:proofErr w:type="spellEnd"/>
      <w:r w:rsidRPr="002A4DCF">
        <w:rPr>
          <w:rFonts w:ascii="Times New Roman" w:eastAsia="Times New Roman" w:hAnsi="Times New Roman" w:cs="Times New Roman"/>
          <w:sz w:val="24"/>
          <w:szCs w:val="24"/>
        </w:rPr>
        <w:t xml:space="preserve">-resistant Enterobacteriaceae, and methicillin-resistant </w:t>
      </w:r>
      <w:r w:rsidRPr="002A4DCF">
        <w:rPr>
          <w:rFonts w:ascii="Times New Roman" w:eastAsia="Times New Roman" w:hAnsi="Times New Roman" w:cs="Times New Roman"/>
          <w:i/>
          <w:iCs/>
          <w:sz w:val="24"/>
          <w:szCs w:val="24"/>
        </w:rPr>
        <w:t>Staphylococcus aureus</w:t>
      </w:r>
      <w:r w:rsidRPr="002A4DCF">
        <w:rPr>
          <w:rFonts w:ascii="Times New Roman" w:eastAsia="Times New Roman" w:hAnsi="Times New Roman" w:cs="Times New Roman"/>
          <w:sz w:val="24"/>
          <w:szCs w:val="24"/>
        </w:rPr>
        <w:t xml:space="preserve"> (MRSA) has progressively narrowed the therapeutic options available to clinicians, in some instances leaving colistin — a nephrotoxic agent largely withdrawn from clinical use in the 1970s — as the last viable antibiotic. The identification of the plasmid-mediated MCR-1 gene, conferring colistin resistance and demonstrably transferable horizontally among Gram-negative bacteria in both animal and human populations, raised the prospect of truly </w:t>
      </w:r>
      <w:proofErr w:type="spellStart"/>
      <w:r w:rsidRPr="002A4DCF">
        <w:rPr>
          <w:rFonts w:ascii="Times New Roman" w:eastAsia="Times New Roman" w:hAnsi="Times New Roman" w:cs="Times New Roman"/>
          <w:sz w:val="24"/>
          <w:szCs w:val="24"/>
        </w:rPr>
        <w:t>pandrug</w:t>
      </w:r>
      <w:proofErr w:type="spellEnd"/>
      <w:r w:rsidRPr="002A4DCF">
        <w:rPr>
          <w:rFonts w:ascii="Times New Roman" w:eastAsia="Times New Roman" w:hAnsi="Times New Roman" w:cs="Times New Roman"/>
          <w:sz w:val="24"/>
          <w:szCs w:val="24"/>
        </w:rPr>
        <w:t>-resistant strains entering clinical environments (Liu et al., 2016).</w:t>
      </w:r>
    </w:p>
    <w:p w14:paraId="5B8A0418"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3.2 The Broken Discovery Pipeline</w:t>
      </w:r>
    </w:p>
    <w:p w14:paraId="58CBE52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Laxminarayan et al. (2013) framed the antibiotic development crisis as a compound failure of both incentives and innovation, noting that the regulatory and commercial environment systematically undervalues antibiotics relative to other therapeutic categories. Between 1983 and 1987, sixteen new systemic antibiotics received regulatory approval in the United States; between 2008 and 2012, only two did. The great majority of recent approvals are derivatives </w:t>
      </w:r>
      <w:r w:rsidRPr="002A4DCF">
        <w:rPr>
          <w:rFonts w:ascii="Times New Roman" w:eastAsia="Times New Roman" w:hAnsi="Times New Roman" w:cs="Times New Roman"/>
          <w:sz w:val="24"/>
          <w:szCs w:val="24"/>
        </w:rPr>
        <w:lastRenderedPageBreak/>
        <w:t>of existing classes — beta-lactams, macrolides, tetracyclines — sharing biochemical vulnerabilities with the agents that preceded them. Czaplewski et al. (2016) conducted a comprehensive pipeline portfolio analysis and concluded that no clinical candidates of that period were likely to address the urgent unmet need posed by carbapenem-resistant Gram-negative bacteria, and that entirely new mechanisms of action were necessary. It is precisely this structural failure of the conventional pipeline that has elevated bacteriophage therapy, CRISPR-based tools, nanotechnology, and artificial intelligence from scientific curiosities to genuine therapeutic imperatives.</w:t>
      </w:r>
    </w:p>
    <w:p w14:paraId="21223015"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379B4A3B"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4. Phage Therapy: Revisiting a Century-Old Solution</w:t>
      </w:r>
    </w:p>
    <w:p w14:paraId="5B7B808A"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4.1 Historical Background and Mechanisms of Action</w:t>
      </w:r>
    </w:p>
    <w:p w14:paraId="2BFF166F"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Bacteriophages — viruses that infect bacteria — were first described independently by Frederick </w:t>
      </w:r>
      <w:proofErr w:type="spellStart"/>
      <w:r w:rsidRPr="002A4DCF">
        <w:rPr>
          <w:rFonts w:ascii="Times New Roman" w:eastAsia="Times New Roman" w:hAnsi="Times New Roman" w:cs="Times New Roman"/>
          <w:sz w:val="24"/>
          <w:szCs w:val="24"/>
        </w:rPr>
        <w:t>Twort</w:t>
      </w:r>
      <w:proofErr w:type="spellEnd"/>
      <w:r w:rsidRPr="002A4DCF">
        <w:rPr>
          <w:rFonts w:ascii="Times New Roman" w:eastAsia="Times New Roman" w:hAnsi="Times New Roman" w:cs="Times New Roman"/>
          <w:sz w:val="24"/>
          <w:szCs w:val="24"/>
        </w:rPr>
        <w:t xml:space="preserve"> in 1915 and Félix </w:t>
      </w:r>
      <w:proofErr w:type="spellStart"/>
      <w:r w:rsidRPr="002A4DCF">
        <w:rPr>
          <w:rFonts w:ascii="Times New Roman" w:eastAsia="Times New Roman" w:hAnsi="Times New Roman" w:cs="Times New Roman"/>
          <w:sz w:val="24"/>
          <w:szCs w:val="24"/>
        </w:rPr>
        <w:t>d'Hérelle</w:t>
      </w:r>
      <w:proofErr w:type="spellEnd"/>
      <w:r w:rsidRPr="002A4DCF">
        <w:rPr>
          <w:rFonts w:ascii="Times New Roman" w:eastAsia="Times New Roman" w:hAnsi="Times New Roman" w:cs="Times New Roman"/>
          <w:sz w:val="24"/>
          <w:szCs w:val="24"/>
        </w:rPr>
        <w:t xml:space="preserve"> in 1917. </w:t>
      </w:r>
      <w:proofErr w:type="spellStart"/>
      <w:r w:rsidRPr="002A4DCF">
        <w:rPr>
          <w:rFonts w:ascii="Times New Roman" w:eastAsia="Times New Roman" w:hAnsi="Times New Roman" w:cs="Times New Roman"/>
          <w:sz w:val="24"/>
          <w:szCs w:val="24"/>
        </w:rPr>
        <w:t>D'Hérelle</w:t>
      </w:r>
      <w:proofErr w:type="spellEnd"/>
      <w:r w:rsidRPr="002A4DCF">
        <w:rPr>
          <w:rFonts w:ascii="Times New Roman" w:eastAsia="Times New Roman" w:hAnsi="Times New Roman" w:cs="Times New Roman"/>
          <w:sz w:val="24"/>
          <w:szCs w:val="24"/>
        </w:rPr>
        <w:t xml:space="preserve"> coined the term 'bacteriophage' and was the first to propose their therapeutic application in human disease. Phage therapy was practised throughout the antibiotic era in parts of Eastern Europe and the Soviet Union, and remains institutionally embedded in countries such as Georgia and Poland. In Western medicine, the introduction of penicillin and its successors displaced phage therapy, leaving it largely outside mainstream clinical development for several decades. Its resurgence is now driven principally by the exhaustion of conventional antibiotic options.</w:t>
      </w:r>
    </w:p>
    <w:p w14:paraId="740C742B"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mechanisms by which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kill bacteria are fundamentally distinct from those of antibiotics. Lytic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attach to specific surface receptors on target bacteria, inject their genetic material, subvert bacterial cellular machinery to produce new phage particles, and ultimately lyse the host cell to release progeny — a cycle that continues until the bacterial population is eliminated or resistant variants emerge. Lysogenic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integrate their genome into the bacterial chromosome, potentially remaining dormant for extended periods before re-entering the lytic cycle; for therapeutic purposes, lytic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are generally preferred, as lysogenic integration carries the theoretical risk of enhancing bacterial virulence through transduction of virulence genes. The receptor specificity of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 which may discriminate between strains within the same bacterial species — confers the principal therapeutic advantage of host specificity, whilst simultaneously creating the practical challenge of a narrow host range relative to broad-spectrum antibiotics (Gordillo Altamirano &amp; Barr, 2019).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also possess properties relevant to biofilm infections: some encode polysaccharide depolymerases that enzymatically degrade the extracellular polymeric matrix of biofilms, enabling access to embedded bacteria (Pires et al., 2016). Furthermore, because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can co-evolve with bacterial hosts in a reciprocal arms race, they retain an adaptive dynamic capability absent from static chemical drugs (Loc-Carrillo &amp; Abedon, 2011).</w:t>
      </w:r>
    </w:p>
    <w:p w14:paraId="1CD17947"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4.2 Clinical Evidence</w:t>
      </w:r>
    </w:p>
    <w:p w14:paraId="2B2662C0"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clinical evidence base for phage therapy has expanded substantially in recent years, though it remains centred on case reports and small compassionate-use series rather than large randomised controlled trials. Schooley et al. (2017) reported the treatment of a life-threatening MDR </w:t>
      </w:r>
      <w:r w:rsidRPr="002A4DCF">
        <w:rPr>
          <w:rFonts w:ascii="Times New Roman" w:eastAsia="Times New Roman" w:hAnsi="Times New Roman" w:cs="Times New Roman"/>
          <w:i/>
          <w:iCs/>
          <w:sz w:val="24"/>
          <w:szCs w:val="24"/>
        </w:rPr>
        <w:t>Acinetobacter baumannii</w:t>
      </w:r>
      <w:r w:rsidRPr="002A4DCF">
        <w:rPr>
          <w:rFonts w:ascii="Times New Roman" w:eastAsia="Times New Roman" w:hAnsi="Times New Roman" w:cs="Times New Roman"/>
          <w:sz w:val="24"/>
          <w:szCs w:val="24"/>
        </w:rPr>
        <w:t xml:space="preserve"> infection in a patient with severe pancreatitis and multiorgan failure, using a personalised phage cocktail administered both intravenously and percutaneously alongside conventional antibiotics; the patient achieved complete recovery. </w:t>
      </w:r>
      <w:r w:rsidRPr="002A4DCF">
        <w:rPr>
          <w:rFonts w:ascii="Times New Roman" w:eastAsia="Times New Roman" w:hAnsi="Times New Roman" w:cs="Times New Roman"/>
          <w:sz w:val="24"/>
          <w:szCs w:val="24"/>
        </w:rPr>
        <w:lastRenderedPageBreak/>
        <w:t>This case established several important proof-of-concept findings: that systemic phage administration is clinically feasible, that phage-antibiotic synergy can be exploited therapeutically, and that personalised phage selection based on in vitro sensitivity testing is practicable within clinically relevant timeframes.</w:t>
      </w:r>
    </w:p>
    <w:p w14:paraId="7AA71DF0"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Dedrick et al. (2019) reported an equally significant case — the treatment of a patient with a life-threatening disseminated </w:t>
      </w:r>
      <w:r w:rsidRPr="002A4DCF">
        <w:rPr>
          <w:rFonts w:ascii="Times New Roman" w:eastAsia="Times New Roman" w:hAnsi="Times New Roman" w:cs="Times New Roman"/>
          <w:i/>
          <w:iCs/>
          <w:sz w:val="24"/>
          <w:szCs w:val="24"/>
        </w:rPr>
        <w:t>Mycobacterium abscessus</w:t>
      </w:r>
      <w:r w:rsidRPr="002A4DCF">
        <w:rPr>
          <w:rFonts w:ascii="Times New Roman" w:eastAsia="Times New Roman" w:hAnsi="Times New Roman" w:cs="Times New Roman"/>
          <w:sz w:val="24"/>
          <w:szCs w:val="24"/>
        </w:rPr>
        <w:t xml:space="preserve"> infection following double-lung transplantation, using a cocktail of three bacteriophages, two of which were engineered by CRISPR-Cas-assisted deletion of lysogeny-associated repressor genes to render them obligately lytic. The patient experienced sustained suppression of infection and clinical improvement over an extended treatment course. The case is notable not only for its clinical outcome but for the fact that it demonstrated, in a real patient care context, the feasibility of combining phage therapy with CRISPR-based genome engineering on a clinically relevant timescale.</w:t>
      </w:r>
    </w:p>
    <w:p w14:paraId="7834773F"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Chan et al. (2018) described the successful resolution of a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infection of an aortic graft using phage therapy in a patient who had failed multiple courses of antibiotics. The case illustrated the potential of phage-based approaches to address device-associated infections — a category with notoriously poor outcomes under conventional management — and reinforced the concept of phage-antibiotic synergy as a practical therapeutic strategy.</w:t>
      </w:r>
    </w:p>
    <w:p w14:paraId="0FCF9DDB"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4.3 Phage Cocktails and Engineering Strategies</w:t>
      </w:r>
    </w:p>
    <w:p w14:paraId="2AE798AD"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narrow host range of individual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necessitates the development of cocktails — combinations of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targeting multiple surface receptors or multiple bacterial strains — to broaden therapeutic coverage. Cocktail design introduces its own complexities, including inter-phage competition, the possibility of antagonistic interactions, and the challenge of regulatory approval for preparations whose composition may require adaptation to the clinical isolate. The concept of 'personalised' phage therapy, in which a bespoke cocktail is assembled on the basis of in vitro susceptibility testing of the patient's pathogen, offers the greatest therapeutic precision but places considerable demands upon production capacity and regulatory frameworks (</w:t>
      </w:r>
      <w:proofErr w:type="spellStart"/>
      <w:r w:rsidRPr="002A4DCF">
        <w:rPr>
          <w:rFonts w:ascii="Times New Roman" w:eastAsia="Times New Roman" w:hAnsi="Times New Roman" w:cs="Times New Roman"/>
          <w:sz w:val="24"/>
          <w:szCs w:val="24"/>
        </w:rPr>
        <w:t>Pirnay</w:t>
      </w:r>
      <w:proofErr w:type="spellEnd"/>
      <w:r w:rsidRPr="002A4DCF">
        <w:rPr>
          <w:rFonts w:ascii="Times New Roman" w:eastAsia="Times New Roman" w:hAnsi="Times New Roman" w:cs="Times New Roman"/>
          <w:sz w:val="24"/>
          <w:szCs w:val="24"/>
        </w:rPr>
        <w:t xml:space="preserve"> et al., 2018).</w:t>
      </w:r>
    </w:p>
    <w:p w14:paraId="11D8EE95"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Synthetic biology and CRISPR-based engineering have opened new avenues for the rational design of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with improved therapeutic properties. Tao et al. (2017) demonstrated that CRISPR-Cas9 could be used to edit the genome of bacteriophage T4 with high efficiency, enabling the precise insertion or deletion of genetic elements that modulate phage behaviour — including genes encoding receptor-binding proteins that determine host range. Such tools make possible the rational, computationally guided modification of phage genomes that bypasses the limitations of purely selection-based approaches. Kortright et al. (2019) reviewed the renewed momentum in phage therapy research, highlighting the convergence of basic phage biology with urgent clinical need as the principal driver of innovation, and identifying phage engineering, cocktail optimisation, and regulatory adaptation as the key frontiers for the field's maturation.</w:t>
      </w:r>
    </w:p>
    <w:p w14:paraId="4A45736A"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4.4 Limitations of Phage Therapy</w:t>
      </w:r>
    </w:p>
    <w:p w14:paraId="65698691"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Notwithstanding its promise, phage therapy faces significant limitations that complicate straightforward comparison with conventional antibiotic treatment. The narrow host range </w:t>
      </w:r>
      <w:r w:rsidRPr="002A4DCF">
        <w:rPr>
          <w:rFonts w:ascii="Times New Roman" w:eastAsia="Times New Roman" w:hAnsi="Times New Roman" w:cs="Times New Roman"/>
          <w:sz w:val="24"/>
          <w:szCs w:val="24"/>
        </w:rPr>
        <w:lastRenderedPageBreak/>
        <w:t xml:space="preserve">that confers therapeutic specificity also demands pathogen identification and phage sensitivity testing before therapy can commence — a turnaround time potentially incompatible with the urgency of sepsis or rapidly progressing infection. Bacteria can evolve resistance to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through receptor mutation or downregulation, upregulation of restriction-modification systems, or acquisition of CRISPR-Cas immunity against phage DNA, although such resistance mechanisms may sometimes carry a fitness cost that attenuates bacterial virulence (Gordillo Altamirano &amp; Barr, 2019). The human immune system can generate neutralising antibodies against phage proteins, potentially curtailing the efficacy of repeated phage administrations. The pharmacokinetics of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 their biodistribution, half-life, and immunogenic properties — are incompletely characterised in humans, and standard pharmacological frameworks do not translate straightforwardly to entities capable of self-replication at infection sites (Loc-Carrillo &amp; Abedon, 2011).</w:t>
      </w:r>
    </w:p>
    <w:p w14:paraId="1C5C5972"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1DE02C0E"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5. CRISPR-Based Antimicrobial Strategies</w:t>
      </w:r>
    </w:p>
    <w:p w14:paraId="3C06CD0F"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5.1 Foundations of CRISPR-Cas Biology</w:t>
      </w:r>
    </w:p>
    <w:p w14:paraId="6BF58639"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CRISPR-Cas (Clustered Regularly Interspaced Short Palindromic Repeats–CRISPR-associated protein) system constitutes a form of adaptive immunity found in a substantial proportion of bacteria and the majority of archaea. It functions by incorporating short sequences from invading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or plasmids into the CRISPR array of the host genome; these sequences are transcribed as guide RNAs that direct Cas nucleases to cleave cognate DNA or RNA in subsequent encounters with the same mobile genetic element. The landmark demonstration by </w:t>
      </w:r>
      <w:proofErr w:type="spellStart"/>
      <w:r w:rsidRPr="002A4DCF">
        <w:rPr>
          <w:rFonts w:ascii="Times New Roman" w:eastAsia="Times New Roman" w:hAnsi="Times New Roman" w:cs="Times New Roman"/>
          <w:sz w:val="24"/>
          <w:szCs w:val="24"/>
        </w:rPr>
        <w:t>Jinek</w:t>
      </w:r>
      <w:proofErr w:type="spellEnd"/>
      <w:r w:rsidRPr="002A4DCF">
        <w:rPr>
          <w:rFonts w:ascii="Times New Roman" w:eastAsia="Times New Roman" w:hAnsi="Times New Roman" w:cs="Times New Roman"/>
          <w:sz w:val="24"/>
          <w:szCs w:val="24"/>
        </w:rPr>
        <w:t xml:space="preserve"> et al. (2012) that the Cas9 nuclease from </w:t>
      </w:r>
      <w:r w:rsidRPr="002A4DCF">
        <w:rPr>
          <w:rFonts w:ascii="Times New Roman" w:eastAsia="Times New Roman" w:hAnsi="Times New Roman" w:cs="Times New Roman"/>
          <w:i/>
          <w:iCs/>
          <w:sz w:val="24"/>
          <w:szCs w:val="24"/>
        </w:rPr>
        <w:t>Streptococcus pyogenes</w:t>
      </w:r>
      <w:r w:rsidRPr="002A4DCF">
        <w:rPr>
          <w:rFonts w:ascii="Times New Roman" w:eastAsia="Times New Roman" w:hAnsi="Times New Roman" w:cs="Times New Roman"/>
          <w:sz w:val="24"/>
          <w:szCs w:val="24"/>
        </w:rPr>
        <w:t xml:space="preserve"> could be reprogrammed to cleave any target DNA sequence specified by a synthetic guide RNA established the technological foundation for the broader CRISPR revolution in biomedical research. Doudna and Charpentier (2014) subsequently elucidated the structural and functional principles governing CRISPR-Cas9 programmability in a comprehensive review that articulated the system's potential for diverse biological applications far beyond its native immune function.</w:t>
      </w:r>
    </w:p>
    <w:p w14:paraId="452B2760"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5.2 CRISPR as a Sequence-Specific Antimicrobial</w:t>
      </w:r>
    </w:p>
    <w:p w14:paraId="239272A8"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repurposing of CRISPR-Cas systems as antimicrobials exploits their capacity to cleave specific DNA sequences within living bacteria. Two foundational studies, published simultaneously in 2014, established this principle. </w:t>
      </w:r>
      <w:proofErr w:type="spellStart"/>
      <w:r w:rsidRPr="002A4DCF">
        <w:rPr>
          <w:rFonts w:ascii="Times New Roman" w:eastAsia="Times New Roman" w:hAnsi="Times New Roman" w:cs="Times New Roman"/>
          <w:sz w:val="24"/>
          <w:szCs w:val="24"/>
        </w:rPr>
        <w:t>Bikard</w:t>
      </w:r>
      <w:proofErr w:type="spellEnd"/>
      <w:r w:rsidRPr="002A4DCF">
        <w:rPr>
          <w:rFonts w:ascii="Times New Roman" w:eastAsia="Times New Roman" w:hAnsi="Times New Roman" w:cs="Times New Roman"/>
          <w:sz w:val="24"/>
          <w:szCs w:val="24"/>
        </w:rPr>
        <w:t xml:space="preserve"> et al. (2014) demonstrated that CRISPR-Cas9, delivered via a bacteriophage vector, could be programmed to cleave genomic sequences in </w:t>
      </w:r>
      <w:r w:rsidRPr="002A4DCF">
        <w:rPr>
          <w:rFonts w:ascii="Times New Roman" w:eastAsia="Times New Roman" w:hAnsi="Times New Roman" w:cs="Times New Roman"/>
          <w:i/>
          <w:iCs/>
          <w:sz w:val="24"/>
          <w:szCs w:val="24"/>
        </w:rPr>
        <w:t>Staphylococcus aureus</w:t>
      </w:r>
      <w:r w:rsidRPr="002A4DCF">
        <w:rPr>
          <w:rFonts w:ascii="Times New Roman" w:eastAsia="Times New Roman" w:hAnsi="Times New Roman" w:cs="Times New Roman"/>
          <w:sz w:val="24"/>
          <w:szCs w:val="24"/>
        </w:rPr>
        <w:t xml:space="preserve">, killing target bacteria with high efficiency whilst leaving strains lacking the targeted sequence unaffected. Crucially, the system could distinguish between virulent and non-virulent strains of the same species on the basis of virulence gene sequences, raising the prospect of strain-selective killing that preserves commensal microbiota. </w:t>
      </w:r>
      <w:proofErr w:type="spellStart"/>
      <w:r w:rsidRPr="002A4DCF">
        <w:rPr>
          <w:rFonts w:ascii="Times New Roman" w:eastAsia="Times New Roman" w:hAnsi="Times New Roman" w:cs="Times New Roman"/>
          <w:sz w:val="24"/>
          <w:szCs w:val="24"/>
        </w:rPr>
        <w:t>Citorik</w:t>
      </w:r>
      <w:proofErr w:type="spellEnd"/>
      <w:r w:rsidRPr="002A4DCF">
        <w:rPr>
          <w:rFonts w:ascii="Times New Roman" w:eastAsia="Times New Roman" w:hAnsi="Times New Roman" w:cs="Times New Roman"/>
          <w:sz w:val="24"/>
          <w:szCs w:val="24"/>
        </w:rPr>
        <w:t xml:space="preserve"> et al. (2014) simultaneously demonstrated that RNA-guided nucleases delivered via bacteriophage or conjugative plasmids could kill specific strains of </w:t>
      </w:r>
      <w:r w:rsidRPr="002A4DCF">
        <w:rPr>
          <w:rFonts w:ascii="Times New Roman" w:eastAsia="Times New Roman" w:hAnsi="Times New Roman" w:cs="Times New Roman"/>
          <w:i/>
          <w:iCs/>
          <w:sz w:val="24"/>
          <w:szCs w:val="24"/>
        </w:rPr>
        <w:t>E. coli</w:t>
      </w:r>
      <w:r w:rsidRPr="002A4DCF">
        <w:rPr>
          <w:rFonts w:ascii="Times New Roman" w:eastAsia="Times New Roman" w:hAnsi="Times New Roman" w:cs="Times New Roman"/>
          <w:sz w:val="24"/>
          <w:szCs w:val="24"/>
        </w:rPr>
        <w:t xml:space="preserve"> and silence resistance genes in a sequence-specific manner, with minimal disruption to off-target bacterial populations.</w:t>
      </w:r>
    </w:p>
    <w:p w14:paraId="44455645"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Beyond Cas9, expanded CRISPR effector repertoires have broadened the antimicrobial toolkit. </w:t>
      </w:r>
      <w:proofErr w:type="spellStart"/>
      <w:r w:rsidRPr="002A4DCF">
        <w:rPr>
          <w:rFonts w:ascii="Times New Roman" w:eastAsia="Times New Roman" w:hAnsi="Times New Roman" w:cs="Times New Roman"/>
          <w:sz w:val="24"/>
          <w:szCs w:val="24"/>
        </w:rPr>
        <w:t>Kiga</w:t>
      </w:r>
      <w:proofErr w:type="spellEnd"/>
      <w:r w:rsidRPr="002A4DCF">
        <w:rPr>
          <w:rFonts w:ascii="Times New Roman" w:eastAsia="Times New Roman" w:hAnsi="Times New Roman" w:cs="Times New Roman"/>
          <w:sz w:val="24"/>
          <w:szCs w:val="24"/>
        </w:rPr>
        <w:t xml:space="preserve"> et al. (2020) developed a CRISPR-Cas13a-based system capable of targeting </w:t>
      </w:r>
      <w:r w:rsidRPr="002A4DCF">
        <w:rPr>
          <w:rFonts w:ascii="Times New Roman" w:eastAsia="Times New Roman" w:hAnsi="Times New Roman" w:cs="Times New Roman"/>
          <w:sz w:val="24"/>
          <w:szCs w:val="24"/>
        </w:rPr>
        <w:lastRenderedPageBreak/>
        <w:t>bacterial RNA rather than DNA, demonstrating sequence-specific killing activity against priority pathogens including MRSA. The RNA-targeting approach offers the advantage of circumventing bacterial DNA repair mechanisms that can restore function following Cas9-mediated chromosomal cleavage. CRISPR-based strategies have further been used to resensitise resistant bacteria to antibiotics by excising plasmid-encoded resistance genes — a potentially transformative approach in clinical contexts where the goal is to render an existing infection treatable by available agents rather than to eliminate the pathogen directly.</w:t>
      </w:r>
    </w:p>
    <w:p w14:paraId="330B7A98"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5.3 CRISPR for Diagnostics</w:t>
      </w:r>
    </w:p>
    <w:p w14:paraId="5A6AF7C7"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diagnostic application of CRISPR-Cas systems is equally transformative for AMR management. </w:t>
      </w:r>
      <w:proofErr w:type="spellStart"/>
      <w:r w:rsidRPr="002A4DCF">
        <w:rPr>
          <w:rFonts w:ascii="Times New Roman" w:eastAsia="Times New Roman" w:hAnsi="Times New Roman" w:cs="Times New Roman"/>
          <w:sz w:val="24"/>
          <w:szCs w:val="24"/>
        </w:rPr>
        <w:t>Gootenberg</w:t>
      </w:r>
      <w:proofErr w:type="spellEnd"/>
      <w:r w:rsidRPr="002A4DCF">
        <w:rPr>
          <w:rFonts w:ascii="Times New Roman" w:eastAsia="Times New Roman" w:hAnsi="Times New Roman" w:cs="Times New Roman"/>
          <w:sz w:val="24"/>
          <w:szCs w:val="24"/>
        </w:rPr>
        <w:t xml:space="preserve"> et al. (2017) reported the development of SHERLOCK (Specific High Sensitivity Enzymatic Reporter </w:t>
      </w:r>
      <w:proofErr w:type="spellStart"/>
      <w:r w:rsidRPr="002A4DCF">
        <w:rPr>
          <w:rFonts w:ascii="Times New Roman" w:eastAsia="Times New Roman" w:hAnsi="Times New Roman" w:cs="Times New Roman"/>
          <w:sz w:val="24"/>
          <w:szCs w:val="24"/>
        </w:rPr>
        <w:t>UnLOCKing</w:t>
      </w:r>
      <w:proofErr w:type="spellEnd"/>
      <w:r w:rsidRPr="002A4DCF">
        <w:rPr>
          <w:rFonts w:ascii="Times New Roman" w:eastAsia="Times New Roman" w:hAnsi="Times New Roman" w:cs="Times New Roman"/>
          <w:sz w:val="24"/>
          <w:szCs w:val="24"/>
        </w:rPr>
        <w:t xml:space="preserve">), a platform exploiting the collateral RNA-cleavage activity of Cas13a to detect nucleic acid sequences at </w:t>
      </w:r>
      <w:proofErr w:type="spellStart"/>
      <w:r w:rsidRPr="002A4DCF">
        <w:rPr>
          <w:rFonts w:ascii="Times New Roman" w:eastAsia="Times New Roman" w:hAnsi="Times New Roman" w:cs="Times New Roman"/>
          <w:sz w:val="24"/>
          <w:szCs w:val="24"/>
        </w:rPr>
        <w:t>attomolar</w:t>
      </w:r>
      <w:proofErr w:type="spellEnd"/>
      <w:r w:rsidRPr="002A4DCF">
        <w:rPr>
          <w:rFonts w:ascii="Times New Roman" w:eastAsia="Times New Roman" w:hAnsi="Times New Roman" w:cs="Times New Roman"/>
          <w:sz w:val="24"/>
          <w:szCs w:val="24"/>
        </w:rPr>
        <w:t xml:space="preserve"> concentrations with single-base-pair discrimination. When applied to clinical samples, SHERLOCK demonstrated the capacity to identify pathogen-specific nucleic acid signatures and discriminate resistance-associated sequences with a sensitivity and specificity that positions it as a potential point-of-care diagnostic tool. The application of CRISPR-based diagnostics to AMR represents a fundamental advance in the speed and precision of resistance detection, potentially enabling genotype-informed prescribing at the time of hospital admission rather than days later following culture-based susceptibility reporting — particularly relevant given that Liu et al. (2016) showed how rapidly novel resistance determinants such as MCR-1 can disseminate through plasmid-mediated transfer.</w:t>
      </w:r>
    </w:p>
    <w:p w14:paraId="54B06FF9"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5.4 Delivery Challenges</w:t>
      </w:r>
    </w:p>
    <w:p w14:paraId="0FC485C4"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A principal barrier to the clinical translation of CRISPR-based antimicrobials is the efficient delivery of the CRISPR machinery — comprising the Cas protein and its guide RNA — into the target bacterial cell in sufficient quantity and with adequate stability under physiological conditions. Lino et al. (2018) reviewed the landscape of CRISPR delivery strategies and identified several approaches applicable to bacteria, including bacteriophage-mediated delivery, conjugative plasmid-mediated transfer, and outer membrane vesicle-based systems. Bacteriophage delivery exploits natural mechanisms of bacterial cell entry, but is constrained by the same host-range limitations that characterise phage therapy. Non-viral delivery systems — including lipid nanoparticles, polymeric nanoparticles, and nanotube carriers — offer broader delivery potential but are less well characterised in bacterial target systems than in the mammalian cells for which they were originally developed. This delivery challenge creates a natural interface between CRISPR technology and nanotechnology, with each discipline addressing limitations of the other.</w:t>
      </w:r>
    </w:p>
    <w:p w14:paraId="014C6FAC"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6C64C730"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6. Nanotechnology Platforms Against AMR Pathogens</w:t>
      </w:r>
    </w:p>
    <w:p w14:paraId="713A74FF"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 xml:space="preserve">6.1 The </w:t>
      </w:r>
      <w:proofErr w:type="spellStart"/>
      <w:r w:rsidRPr="002A4DCF">
        <w:rPr>
          <w:rFonts w:ascii="Times New Roman" w:eastAsia="Times New Roman" w:hAnsi="Times New Roman" w:cs="Times New Roman"/>
          <w:b/>
          <w:bCs/>
          <w:sz w:val="24"/>
          <w:szCs w:val="24"/>
        </w:rPr>
        <w:t>Nanoantibiotics</w:t>
      </w:r>
      <w:proofErr w:type="spellEnd"/>
      <w:r w:rsidRPr="002A4DCF">
        <w:rPr>
          <w:rFonts w:ascii="Times New Roman" w:eastAsia="Times New Roman" w:hAnsi="Times New Roman" w:cs="Times New Roman"/>
          <w:b/>
          <w:bCs/>
          <w:sz w:val="24"/>
          <w:szCs w:val="24"/>
        </w:rPr>
        <w:t xml:space="preserve"> Paradigm</w:t>
      </w:r>
    </w:p>
    <w:p w14:paraId="6AA74A0E"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Nanotechnology offers a fundamentally different approach to antimicrobial action — one that operates at the scale of individual bacterial cells and subcellular structures. Huh and Kwon (2011) introduced the concept of '</w:t>
      </w:r>
      <w:proofErr w:type="spellStart"/>
      <w:r w:rsidRPr="002A4DCF">
        <w:rPr>
          <w:rFonts w:ascii="Times New Roman" w:eastAsia="Times New Roman" w:hAnsi="Times New Roman" w:cs="Times New Roman"/>
          <w:sz w:val="24"/>
          <w:szCs w:val="24"/>
        </w:rPr>
        <w:t>nanoantibiotics</w:t>
      </w:r>
      <w:proofErr w:type="spellEnd"/>
      <w:r w:rsidRPr="002A4DCF">
        <w:rPr>
          <w:rFonts w:ascii="Times New Roman" w:eastAsia="Times New Roman" w:hAnsi="Times New Roman" w:cs="Times New Roman"/>
          <w:sz w:val="24"/>
          <w:szCs w:val="24"/>
        </w:rPr>
        <w:t xml:space="preserve">' to describe nanoscale materials and systems that either intrinsically possess antimicrobial properties or serve as vehicles for </w:t>
      </w:r>
      <w:r w:rsidRPr="002A4DCF">
        <w:rPr>
          <w:rFonts w:ascii="Times New Roman" w:eastAsia="Times New Roman" w:hAnsi="Times New Roman" w:cs="Times New Roman"/>
          <w:sz w:val="24"/>
          <w:szCs w:val="24"/>
        </w:rPr>
        <w:lastRenderedPageBreak/>
        <w:t>delivering conventional or novel antimicrobial agents with enhanced precision and efficacy. The appeal of nanoscale approaches lies in their capacity to overcome many of the mechanisms by which bacteria resist conventional antibiotics: nanoparticles can circumvent efflux pumps by entering cells via endocytic-like routes; their large surface-area-to-volume ratios allow high local concentrations of antimicrobial agents to be achieved at infection sites; and their physicochemical properties can be engineered to enable stimulus-responsive drug release in reply to bacterial metabolic cues such as local pH, enzymatic activity, or reactive oxygen species.</w:t>
      </w:r>
    </w:p>
    <w:p w14:paraId="2ED0D8D3"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Pelgrift</w:t>
      </w:r>
      <w:proofErr w:type="spellEnd"/>
      <w:r w:rsidRPr="002A4DCF">
        <w:rPr>
          <w:rFonts w:ascii="Times New Roman" w:eastAsia="Times New Roman" w:hAnsi="Times New Roman" w:cs="Times New Roman"/>
          <w:sz w:val="24"/>
          <w:szCs w:val="24"/>
        </w:rPr>
        <w:t xml:space="preserve"> and Friedman (2013) catalogued three principal modes of nanoparticle antimicrobial action: direct activity arising from the intrinsic physicochemical properties of the nanoparticle, delivery of encapsulated antimicrobial agents to intracellular or biofilm targets, and generation of reactive oxygen species that damage bacterial membranes and DNA. The intrinsic antimicrobial properties of silver, gold, zinc oxide, copper oxide, and titanium dioxide nanoparticles have been extensively characterised; of these, silver nanoparticles have attracted the greatest attention due to their broad-spectrum activity across both Gram-positive and Gram-negative pathogens. Rai et al. (2009) demonstrated the efficacy of silver nanoparticles against MRSA and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establishing a framework for understanding size-dependent and surface-chemistry-dependent antimicrobial mechanisms that has guided subsequent nanoparticle design.</w:t>
      </w:r>
    </w:p>
    <w:p w14:paraId="1D1AD30C"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6.2 Engineered Nanoparticle Delivery Systems</w:t>
      </w:r>
    </w:p>
    <w:p w14:paraId="291F3646"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Beyond intrinsically antimicrobial nanoparticles, engineered delivery systems represent a more sophisticated and therapeutically versatile approach. Mitchell et al. (2021) reviewed the design principles governing precision nanoparticle drug delivery, emphasising the importance of particle size, surface chemistry, and targeting moiety selection in determining biodistribution, cellular uptake, and drug release profile. For antimicrobial applications, these parameters can be optimised to achieve accumulation at infection sites, penetration of bacterial biofilms, and controlled intracellular drug release at bactericidal concentrations.</w:t>
      </w:r>
    </w:p>
    <w:p w14:paraId="2D71D6C6"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Polymeric nanoparticles composed of biodegradable materials such as poly(lactic-co-glycolic acid) (PLGA) can encapsulate both hydrophilic and hydrophobic antibiotics, protecting them from enzymatic degradation and enabling sustained release at concentrations maintained above the minimum inhibitory concentration over extended periods. Liposomal formulations have been developed for antibiotics such as ciprofloxacin, amikacin, and colistin, enabling aerosolised delivery to pulmonary infection sites in patients colonised by MDR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 a modality of particular relevance to the cystic fibrosis population. Gupta et al. (2019) reviewed the breadth of nanomaterial strategies being developed against AMR pathogens, including cationic nanoparticles that disrupt anionic bacterial membranes, </w:t>
      </w:r>
      <w:proofErr w:type="spellStart"/>
      <w:r w:rsidRPr="002A4DCF">
        <w:rPr>
          <w:rFonts w:ascii="Times New Roman" w:eastAsia="Times New Roman" w:hAnsi="Times New Roman" w:cs="Times New Roman"/>
          <w:sz w:val="24"/>
          <w:szCs w:val="24"/>
        </w:rPr>
        <w:t>nano</w:t>
      </w:r>
      <w:proofErr w:type="spellEnd"/>
      <w:r w:rsidRPr="002A4DCF">
        <w:rPr>
          <w:rFonts w:ascii="Times New Roman" w:eastAsia="Times New Roman" w:hAnsi="Times New Roman" w:cs="Times New Roman"/>
          <w:sz w:val="24"/>
          <w:szCs w:val="24"/>
        </w:rPr>
        <w:t xml:space="preserve">-emulsions with </w:t>
      </w:r>
      <w:proofErr w:type="spellStart"/>
      <w:r w:rsidRPr="002A4DCF">
        <w:rPr>
          <w:rFonts w:ascii="Times New Roman" w:eastAsia="Times New Roman" w:hAnsi="Times New Roman" w:cs="Times New Roman"/>
          <w:sz w:val="24"/>
          <w:szCs w:val="24"/>
        </w:rPr>
        <w:t>fusogenic</w:t>
      </w:r>
      <w:proofErr w:type="spellEnd"/>
      <w:r w:rsidRPr="002A4DCF">
        <w:rPr>
          <w:rFonts w:ascii="Times New Roman" w:eastAsia="Times New Roman" w:hAnsi="Times New Roman" w:cs="Times New Roman"/>
          <w:sz w:val="24"/>
          <w:szCs w:val="24"/>
        </w:rPr>
        <w:t xml:space="preserve"> properties that merge with bacterial membranes, and hybrid nanoparticle-antibiotic conjugates that retain bactericidal activity against organisms resistant to the parent antibiotic alone.</w:t>
      </w:r>
    </w:p>
    <w:p w14:paraId="03493E61"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6.3 Anti-Biofilm Nanotechnology</w:t>
      </w:r>
    </w:p>
    <w:p w14:paraId="2BEAB78D"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Biofilms represent one of the most clinically intractable manifestations of bacterial persistence. Bacteria growing in biofilms — structured communities embedded in a self-produced extracellular polymeric matrix — are exposed to multiple survival advantages including physical barrier to antibiotic penetration, altered metabolic states that reduce </w:t>
      </w:r>
      <w:r w:rsidRPr="002A4DCF">
        <w:rPr>
          <w:rFonts w:ascii="Times New Roman" w:eastAsia="Times New Roman" w:hAnsi="Times New Roman" w:cs="Times New Roman"/>
          <w:sz w:val="24"/>
          <w:szCs w:val="24"/>
        </w:rPr>
        <w:lastRenderedPageBreak/>
        <w:t>susceptibility to antibiotic targets, and facilitated horizontal gene transfer of resistance determinants. Nanotechnology addresses biofilm infections through several complementary mechanisms: nano-sized particles can penetrate the pores of biofilm matrices through Brownian diffusion; surface modification with agents such as polyethylene glycol reduces non-specific adhesion to biofilm components and enhances penetration depth; and nanoparticles functionalised with enzymes capable of degrading extracellular polymeric substances can disrupt biofilm architecture, exposing bacteria to embedded antimicrobials and to host immune effectors (Gupta et al., 2019).</w:t>
      </w:r>
    </w:p>
    <w:p w14:paraId="66906B6C"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Hemeg</w:t>
      </w:r>
      <w:proofErr w:type="spellEnd"/>
      <w:r w:rsidRPr="002A4DCF">
        <w:rPr>
          <w:rFonts w:ascii="Times New Roman" w:eastAsia="Times New Roman" w:hAnsi="Times New Roman" w:cs="Times New Roman"/>
          <w:sz w:val="24"/>
          <w:szCs w:val="24"/>
        </w:rPr>
        <w:t xml:space="preserve"> (2017) reviewed the expanding armamentarium of nanomaterials with demonstrated anti-biofilm activity, highlighting the emerging use of nitric oxide-releasing nanoparticles — which disperse biofilms by signalling bacteria to adopt planktonic growth modes — and light-activated nanomaterials that generate localised reactive oxygen species bursts to achieve site-directed killing. The integration of nanoparticle delivery platforms with phage-encoded depolymerases or CRISPR-based antimicrobials represents a logical progression that may overcome the individual limitations of each approach and is the subject of increasing investigation.</w:t>
      </w:r>
    </w:p>
    <w:p w14:paraId="4D75FEDA"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6.4 Limitations and Safety Considerations</w:t>
      </w:r>
    </w:p>
    <w:p w14:paraId="42BECB4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clinical translation of antimicrobial nanotechnology faces substantial challenges that merit careful consideration. The toxicological profile of nanoparticles with intrinsic antimicrobial activity — particularly silver and zinc oxide — raises concerns about off-target effects on mammalian cells, particularly in renally impaired patients with reduced nanoparticle clearance. Environmental accumulation of silver nanoparticles raises ecological concerns about toxicity to aquatic organisms and potential selection pressure for nanoparticle resistance in environmental microbial communities. Manufacturing nanoparticles at pharmaceutical grade and scale, with guaranteed batch-to-batch reproducibility of physicochemical properties, represents a formidable technical and regulatory challenge. </w:t>
      </w:r>
      <w:proofErr w:type="spellStart"/>
      <w:r w:rsidRPr="002A4DCF">
        <w:rPr>
          <w:rFonts w:ascii="Times New Roman" w:eastAsia="Times New Roman" w:hAnsi="Times New Roman" w:cs="Times New Roman"/>
          <w:sz w:val="24"/>
          <w:szCs w:val="24"/>
        </w:rPr>
        <w:t>Pelgrift</w:t>
      </w:r>
      <w:proofErr w:type="spellEnd"/>
      <w:r w:rsidRPr="002A4DCF">
        <w:rPr>
          <w:rFonts w:ascii="Times New Roman" w:eastAsia="Times New Roman" w:hAnsi="Times New Roman" w:cs="Times New Roman"/>
          <w:sz w:val="24"/>
          <w:szCs w:val="24"/>
        </w:rPr>
        <w:t xml:space="preserve"> and Friedman (2013) cautioned that the biological effects of nanoparticles are highly sensitive to particle size, shape, and surface chemistry, making standardisation of preclinical models and extrapolation to clinical settings particularly demanding. These limitations underscore the necessity of rigorous safety assessment programmes as nanoparticle-based antimicrobials progress towards clinical evaluation.</w:t>
      </w:r>
    </w:p>
    <w:p w14:paraId="2C88898E"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0D11D99E"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7. Artificial Intelligence in AMR Management</w:t>
      </w:r>
    </w:p>
    <w:p w14:paraId="00D62B63"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7.1 Machine Learning for Antibiotic Discovery</w:t>
      </w:r>
    </w:p>
    <w:p w14:paraId="334B3627"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application of machine learning and deep learning to the discovery of novel antibiotics represents perhaps the most significant methodological shift in antimicrobial pharmacology since the advent of high-throughput screening. Stokes et al. (2020) trained a graph convolutional neural network on the antibacterial activity of 2,335 known compounds and applied the resulting model to screen a virtual library of more than 107 million drug-like molecules. The model identified </w:t>
      </w:r>
      <w:proofErr w:type="spellStart"/>
      <w:r w:rsidRPr="002A4DCF">
        <w:rPr>
          <w:rFonts w:ascii="Times New Roman" w:eastAsia="Times New Roman" w:hAnsi="Times New Roman" w:cs="Times New Roman"/>
          <w:sz w:val="24"/>
          <w:szCs w:val="24"/>
        </w:rPr>
        <w:t>halicin</w:t>
      </w:r>
      <w:proofErr w:type="spellEnd"/>
      <w:r w:rsidRPr="002A4DCF">
        <w:rPr>
          <w:rFonts w:ascii="Times New Roman" w:eastAsia="Times New Roman" w:hAnsi="Times New Roman" w:cs="Times New Roman"/>
          <w:sz w:val="24"/>
          <w:szCs w:val="24"/>
        </w:rPr>
        <w:t xml:space="preserve"> — a compound previously investigated as a potential diabetes therapeutic — as a structurally novel antibiotic with broad-spectrum activity, including against </w:t>
      </w:r>
      <w:r w:rsidRPr="002A4DCF">
        <w:rPr>
          <w:rFonts w:ascii="Times New Roman" w:eastAsia="Times New Roman" w:hAnsi="Times New Roman" w:cs="Times New Roman"/>
          <w:i/>
          <w:iCs/>
          <w:sz w:val="24"/>
          <w:szCs w:val="24"/>
        </w:rPr>
        <w:t>Mycobacterium tuberculosis</w:t>
      </w:r>
      <w:r w:rsidRPr="002A4DCF">
        <w:rPr>
          <w:rFonts w:ascii="Times New Roman" w:eastAsia="Times New Roman" w:hAnsi="Times New Roman" w:cs="Times New Roman"/>
          <w:sz w:val="24"/>
          <w:szCs w:val="24"/>
        </w:rPr>
        <w:t xml:space="preserve"> and carbapenem-resistant </w:t>
      </w:r>
      <w:r w:rsidRPr="002A4DCF">
        <w:rPr>
          <w:rFonts w:ascii="Times New Roman" w:eastAsia="Times New Roman" w:hAnsi="Times New Roman" w:cs="Times New Roman"/>
          <w:i/>
          <w:iCs/>
          <w:sz w:val="24"/>
          <w:szCs w:val="24"/>
        </w:rPr>
        <w:t>Acinetobacter baumannii</w:t>
      </w:r>
      <w:r w:rsidRPr="002A4DCF">
        <w:rPr>
          <w:rFonts w:ascii="Times New Roman" w:eastAsia="Times New Roman" w:hAnsi="Times New Roman" w:cs="Times New Roman"/>
          <w:sz w:val="24"/>
          <w:szCs w:val="24"/>
        </w:rPr>
        <w:t xml:space="preserve">, achieved through a mechanism distinct from any existing antibiotic class. This </w:t>
      </w:r>
      <w:r w:rsidRPr="002A4DCF">
        <w:rPr>
          <w:rFonts w:ascii="Times New Roman" w:eastAsia="Times New Roman" w:hAnsi="Times New Roman" w:cs="Times New Roman"/>
          <w:sz w:val="24"/>
          <w:szCs w:val="24"/>
        </w:rPr>
        <w:lastRenderedPageBreak/>
        <w:t>discovery, accomplished in a fraction of the time and cost required by conventional high-throughput experimental screening, demonstrated that AI-guided approaches can access regions of chemical space that have been largely unexplored by human-intuited synthesis campaigns.</w:t>
      </w:r>
    </w:p>
    <w:p w14:paraId="6769510E"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Vamathevan et al. (2019) reviewed the broader application of machine learning across the drug discovery and development pipeline, cataloguing approaches including quantitative structure-activity relationship (QSAR) modelling, generative adversarial networks for de novo molecular design, reinforcement learning for optimising drug-like properties, and natural language processing for extracting structured pharmacological information from biomedical literature. In the AMR context, these approaches are being applied to design compounds with reduced cross-resistance to existing antibiotics, to identify novel molecular targets within essential bacterial biosynthetic pathways, and to predict the pharmacokinetic and toxicological profiles of candidate compounds prior to costly synthesis and in vitro testing.</w:t>
      </w:r>
    </w:p>
    <w:p w14:paraId="4E577817"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7.2 AI for Resistance Prediction and Surveillance</w:t>
      </w:r>
    </w:p>
    <w:p w14:paraId="0CA6DF07"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Machine learning is equally valuable for predicting resistance phenotypes from genotypic data and for surveillance of resistance emergence at population scale. </w:t>
      </w:r>
      <w:proofErr w:type="spellStart"/>
      <w:r w:rsidRPr="002A4DCF">
        <w:rPr>
          <w:rFonts w:ascii="Times New Roman" w:eastAsia="Times New Roman" w:hAnsi="Times New Roman" w:cs="Times New Roman"/>
          <w:sz w:val="24"/>
          <w:szCs w:val="24"/>
        </w:rPr>
        <w:t>Moradigaravand</w:t>
      </w:r>
      <w:proofErr w:type="spellEnd"/>
      <w:r w:rsidRPr="002A4DCF">
        <w:rPr>
          <w:rFonts w:ascii="Times New Roman" w:eastAsia="Times New Roman" w:hAnsi="Times New Roman" w:cs="Times New Roman"/>
          <w:sz w:val="24"/>
          <w:szCs w:val="24"/>
        </w:rPr>
        <w:t xml:space="preserve"> et al. (2018) demonstrated that machine learning models trained on whole-genome sequencing data from large clinical collections of </w:t>
      </w:r>
      <w:r w:rsidRPr="002A4DCF">
        <w:rPr>
          <w:rFonts w:ascii="Times New Roman" w:eastAsia="Times New Roman" w:hAnsi="Times New Roman" w:cs="Times New Roman"/>
          <w:i/>
          <w:iCs/>
          <w:sz w:val="24"/>
          <w:szCs w:val="24"/>
        </w:rPr>
        <w:t>Escherichia coli</w:t>
      </w:r>
      <w:r w:rsidRPr="002A4DCF">
        <w:rPr>
          <w:rFonts w:ascii="Times New Roman" w:eastAsia="Times New Roman" w:hAnsi="Times New Roman" w:cs="Times New Roman"/>
          <w:sz w:val="24"/>
          <w:szCs w:val="24"/>
        </w:rPr>
        <w:t xml:space="preserve"> could predict susceptibility or resistance to twelve different antibiotics with accuracy exceeding that of conventional resistance gene databases for most drug-pathogen combinations. The ability to predict resistance phenotype directly from genomic sequence eliminates the 24-to-72-hour delay inherent in culture-based susceptibility testing, potentially enabling resistance-informed prescribing decisions at or near the time of hospital admission rather than days later.</w:t>
      </w:r>
    </w:p>
    <w:p w14:paraId="78C6CCC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Arango-</w:t>
      </w:r>
      <w:proofErr w:type="spellStart"/>
      <w:r w:rsidRPr="002A4DCF">
        <w:rPr>
          <w:rFonts w:ascii="Times New Roman" w:eastAsia="Times New Roman" w:hAnsi="Times New Roman" w:cs="Times New Roman"/>
          <w:sz w:val="24"/>
          <w:szCs w:val="24"/>
        </w:rPr>
        <w:t>Argoty</w:t>
      </w:r>
      <w:proofErr w:type="spellEnd"/>
      <w:r w:rsidRPr="002A4DCF">
        <w:rPr>
          <w:rFonts w:ascii="Times New Roman" w:eastAsia="Times New Roman" w:hAnsi="Times New Roman" w:cs="Times New Roman"/>
          <w:sz w:val="24"/>
          <w:szCs w:val="24"/>
        </w:rPr>
        <w:t xml:space="preserve"> et al. (2018) developed </w:t>
      </w:r>
      <w:proofErr w:type="spellStart"/>
      <w:r w:rsidRPr="002A4DCF">
        <w:rPr>
          <w:rFonts w:ascii="Times New Roman" w:eastAsia="Times New Roman" w:hAnsi="Times New Roman" w:cs="Times New Roman"/>
          <w:sz w:val="24"/>
          <w:szCs w:val="24"/>
        </w:rPr>
        <w:t>DeepARG</w:t>
      </w:r>
      <w:proofErr w:type="spellEnd"/>
      <w:r w:rsidRPr="002A4DCF">
        <w:rPr>
          <w:rFonts w:ascii="Times New Roman" w:eastAsia="Times New Roman" w:hAnsi="Times New Roman" w:cs="Times New Roman"/>
          <w:sz w:val="24"/>
          <w:szCs w:val="24"/>
        </w:rPr>
        <w:t xml:space="preserve">, a deep learning model trained on a comprehensive database of known resistance genes and applied to the prediction of antibiotic resistance genes in metagenomic data — genetic material recovered directly from clinical or environmental samples without the need for culture. </w:t>
      </w:r>
      <w:proofErr w:type="spellStart"/>
      <w:r w:rsidRPr="002A4DCF">
        <w:rPr>
          <w:rFonts w:ascii="Times New Roman" w:eastAsia="Times New Roman" w:hAnsi="Times New Roman" w:cs="Times New Roman"/>
          <w:sz w:val="24"/>
          <w:szCs w:val="24"/>
        </w:rPr>
        <w:t>DeepARG</w:t>
      </w:r>
      <w:proofErr w:type="spellEnd"/>
      <w:r w:rsidRPr="002A4DCF">
        <w:rPr>
          <w:rFonts w:ascii="Times New Roman" w:eastAsia="Times New Roman" w:hAnsi="Times New Roman" w:cs="Times New Roman"/>
          <w:sz w:val="24"/>
          <w:szCs w:val="24"/>
        </w:rPr>
        <w:t xml:space="preserve"> outperformed existing computational tools in identifying resistance genes with novel or divergent sequences, making it particularly valuable for detecting emerging resistance determinants not yet catalogued in conventional databases. Tools of this kind are beginning to be integrated into public health surveillance pipelines, enabling real-time monitoring of resistance gene prevalence and horizontal transfer dynamics across microbial communities, with the potential to provide early warning of resistance emergence before clinical spread becomes widespread.</w:t>
      </w:r>
    </w:p>
    <w:p w14:paraId="7DAA17AC"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7.3 AI-Assisted Phage and CRISPR Design</w:t>
      </w:r>
    </w:p>
    <w:p w14:paraId="015B2297"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Artificial intelligence is increasingly being applied to the rational design of therapeutic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CRISPR guide RNAs, complementing the biological approaches discussed in previous sections. Machine learning models trained on phage-host interaction datasets can predict the host range of uncharacterised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identify candidate therapeutic agents from environmental metagenomic sequences far more rapidly than experimental screening programmes. For CRISPR applications, computational tools employing machine learning can identify guide RNA sequences with optimal on-target activity and minimal off-target potential — a critical design consideration for antimicrobial CRISPR systems, in which off-target cleavage could disrupt beneficial commensal microbiota or generate genotoxic damage </w:t>
      </w:r>
      <w:r w:rsidRPr="002A4DCF">
        <w:rPr>
          <w:rFonts w:ascii="Times New Roman" w:eastAsia="Times New Roman" w:hAnsi="Times New Roman" w:cs="Times New Roman"/>
          <w:sz w:val="24"/>
          <w:szCs w:val="24"/>
        </w:rPr>
        <w:lastRenderedPageBreak/>
        <w:t>in host cells. The World Health Organization (2021) has highlighted the potential of integrated genomic and digital surveillance approaches for tracking and responding to AMR emergence, underscoring the strategic complementarity of AI-driven tools with conventional public health infrastructure.</w:t>
      </w:r>
    </w:p>
    <w:p w14:paraId="204AAD22"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6BE0C69E"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8. Convergence: Integrating Multiple Modalities</w:t>
      </w:r>
    </w:p>
    <w:p w14:paraId="29309BDD"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8.1 Phage-CRISPR Combinations</w:t>
      </w:r>
    </w:p>
    <w:p w14:paraId="48D84447"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most extensively characterised convergent strategy to date is the combination of phage delivery with CRISPR-based antimicrobial payloads. In this paradigm,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serve not merely as bactericidal agents in their own right but as delivery vehicles for CRISPR-Cas systems programmed to target chromosomally essential sequences or resistance-encoding genetic elements within the infected bacterium. </w:t>
      </w:r>
      <w:proofErr w:type="spellStart"/>
      <w:r w:rsidRPr="002A4DCF">
        <w:rPr>
          <w:rFonts w:ascii="Times New Roman" w:eastAsia="Times New Roman" w:hAnsi="Times New Roman" w:cs="Times New Roman"/>
          <w:sz w:val="24"/>
          <w:szCs w:val="24"/>
        </w:rPr>
        <w:t>Bikard</w:t>
      </w:r>
      <w:proofErr w:type="spellEnd"/>
      <w:r w:rsidRPr="002A4DCF">
        <w:rPr>
          <w:rFonts w:ascii="Times New Roman" w:eastAsia="Times New Roman" w:hAnsi="Times New Roman" w:cs="Times New Roman"/>
          <w:sz w:val="24"/>
          <w:szCs w:val="24"/>
        </w:rPr>
        <w:t xml:space="preserve"> et al. (2014) and </w:t>
      </w:r>
      <w:proofErr w:type="spellStart"/>
      <w:r w:rsidRPr="002A4DCF">
        <w:rPr>
          <w:rFonts w:ascii="Times New Roman" w:eastAsia="Times New Roman" w:hAnsi="Times New Roman" w:cs="Times New Roman"/>
          <w:sz w:val="24"/>
          <w:szCs w:val="24"/>
        </w:rPr>
        <w:t>Citorik</w:t>
      </w:r>
      <w:proofErr w:type="spellEnd"/>
      <w:r w:rsidRPr="002A4DCF">
        <w:rPr>
          <w:rFonts w:ascii="Times New Roman" w:eastAsia="Times New Roman" w:hAnsi="Times New Roman" w:cs="Times New Roman"/>
          <w:sz w:val="24"/>
          <w:szCs w:val="24"/>
        </w:rPr>
        <w:t xml:space="preserve"> et al. (2014) both employed phage vectors as delivery systems for their CRISPR antimicrobials, demonstrating that phage-mediated cell entry could overcome the principal barrier to CRISPR delivery in bacterial systems. This combination is synergistic in several respects: the phage provides host-targeted delivery exploiting natural tropism for bacterial surface receptors; the CRISPR system provides additional and independent bactericidal activity; and together they reduce the probability of resistance emergence, since bacterial resistance to both the phage vector and the CRISPR-targeted sequence would need to arise simultaneously.</w:t>
      </w:r>
    </w:p>
    <w:p w14:paraId="2BC02D36"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engineering of phage genomes using CRISPR tools — as demonstrated by Tao et al. (2017) for bacteriophage T4 — enables the systematic introduction of CRISPR cargoes into phage particles, the elimination of lysogeny-associated genes to ensure obligately lytic behaviour, and the expansion of host range through rational modification of receptor-binding proteins. This bidirectional relationship — in which CRISPR tools engineer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deliver CRISPR systems — exemplifies the synergistic potential of convergent antimicrobial approaches and represents a qualitatively new mode of therapeutic design that neither technology domain could achieve independently.</w:t>
      </w:r>
    </w:p>
    <w:p w14:paraId="06934D28"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 xml:space="preserve">8.2 Nanoparticle-Mediated Delivery of </w:t>
      </w:r>
      <w:proofErr w:type="spellStart"/>
      <w:r w:rsidRPr="002A4DCF">
        <w:rPr>
          <w:rFonts w:ascii="Times New Roman" w:eastAsia="Times New Roman" w:hAnsi="Times New Roman" w:cs="Times New Roman"/>
          <w:b/>
          <w:bCs/>
          <w:sz w:val="24"/>
          <w:szCs w:val="24"/>
        </w:rPr>
        <w:t>Phages</w:t>
      </w:r>
      <w:proofErr w:type="spellEnd"/>
      <w:r w:rsidRPr="002A4DCF">
        <w:rPr>
          <w:rFonts w:ascii="Times New Roman" w:eastAsia="Times New Roman" w:hAnsi="Times New Roman" w:cs="Times New Roman"/>
          <w:b/>
          <w:bCs/>
          <w:sz w:val="24"/>
          <w:szCs w:val="24"/>
        </w:rPr>
        <w:t xml:space="preserve"> and CRISPR</w:t>
      </w:r>
    </w:p>
    <w:p w14:paraId="5C03B785"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Nanoparticles offer a complementary delivery strategy that can overcome some of the host-specificity limitations of phage-based delivery. Liposomes, polymeric nanoparticles, and lipid nanoparticles have been explored as encapsulation vehicles for phage particles, protecting them from premature neutralisation by pre-existing serum antibodies and enabling systemic delivery to infection sites that may be poorly accessible to topically or orally administered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Lipid nanoparticles — validated as highly effective delivery vehicles for RNA-based therapeutics in the context of mRNA vaccines — represent a natural candidate for delivering CRISPR guide RNA and Cas protein ribonucleoprotein complexes to bacterial targets, combining the delivery efficiency of nanoparticle chemistry with the programmable specificity of CRISPR biology.</w:t>
      </w:r>
    </w:p>
    <w:p w14:paraId="15A447CE"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Mitchell et al. (2021) identified the convergence of precision nanoparticle engineering with biological therapeutic modalities as a defining trend in drug delivery science, noting that the combination of stimulus-responsive nanoparticle release with biologics of high intrinsic specificity can achieve therapeutic precision unattainable by either component alone. In the </w:t>
      </w:r>
      <w:r w:rsidRPr="002A4DCF">
        <w:rPr>
          <w:rFonts w:ascii="Times New Roman" w:eastAsia="Times New Roman" w:hAnsi="Times New Roman" w:cs="Times New Roman"/>
          <w:sz w:val="24"/>
          <w:szCs w:val="24"/>
        </w:rPr>
        <w:lastRenderedPageBreak/>
        <w:t xml:space="preserve">AMR context, this principle could be realised through nanoparticles co-encapsulating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conventional antibiotics, with biofilm-responsive surface coatings that trigger content release upon contact with the extracellular polymeric substances of bacterial biofilms — maximising local antimicrobial concentration precisely where it is needed whilst sparing distant commensal microbial communities.</w:t>
      </w:r>
    </w:p>
    <w:p w14:paraId="5A635F2F"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8.3 AI-Guided Multimodal Strategy Design</w:t>
      </w:r>
    </w:p>
    <w:p w14:paraId="31477481"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design of convergent antimicrobial strategies involving multiple components — phage selection, CRISPR guide RNA optimisation, nanoparticle formulation parameters, and dosing schedule — presents a problem of combinatorial complexity that exceeds the capacity of conventional experimental optimisation. Artificial intelligence offers the means to navigate this multi-dimensional design space computationally. Reinforcement learning algorithms can explore the parameter space of combination therapies, identifying component ratios and dosing schedules that maximise bactericidal activity whilst minimising the probability of resistance emergence. Generative models can propose novel phage-CRISPR-nanoparticle combinations by drawing on large training datasets of phage-host interaction data, CRISPR guide activity measurements, and nanoparticle pharmacokinetic parameters. The integration of AI-driven design with high-throughput experimental validation platforms — including automated phage sensitivity testing, robotic nanoparticle formulation, and massively parallel CRISPR activity screening — creates a closed-loop discovery-to-validation pipeline that could dramatically accelerate the development of precision antimicrobial systems. Stokes et al. (2020) demonstrated the feasibility of this approach for conventional small-molecule antibiotics; the extension of analogous methodologies to the multimodal domain represents a tractable and consequential next step.</w:t>
      </w:r>
    </w:p>
    <w:p w14:paraId="1D4D37F5"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3668633C"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9. Regulatory, Ethical, and Equity Considerations</w:t>
      </w:r>
    </w:p>
    <w:p w14:paraId="5DB3B53C"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9.1 Regulatory Frameworks</w:t>
      </w:r>
    </w:p>
    <w:p w14:paraId="523CA0BA"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convergent technologies described in this review do not fit comfortably into the regulatory frameworks designed for conventional antibiotics, biologics, or medical devices, posing formidable challenges for medicines approval authorities. Phage therapy occupies a particularly uncertain regulatory space: phage preparations are not small molecules, but neither do they map straightforwardly onto the biologics framework designed for vaccines, monoclonal antibodies, or recombinant proteins. Their self-replicating nature, genomically evolving composition, and the necessity of personalised preparation challenge the fixed-composition paradigm assumed by most pharmaceutical regulatory systems. </w:t>
      </w:r>
      <w:proofErr w:type="spellStart"/>
      <w:r w:rsidRPr="002A4DCF">
        <w:rPr>
          <w:rFonts w:ascii="Times New Roman" w:eastAsia="Times New Roman" w:hAnsi="Times New Roman" w:cs="Times New Roman"/>
          <w:sz w:val="24"/>
          <w:szCs w:val="24"/>
        </w:rPr>
        <w:t>Pirnay</w:t>
      </w:r>
      <w:proofErr w:type="spellEnd"/>
      <w:r w:rsidRPr="002A4DCF">
        <w:rPr>
          <w:rFonts w:ascii="Times New Roman" w:eastAsia="Times New Roman" w:hAnsi="Times New Roman" w:cs="Times New Roman"/>
          <w:sz w:val="24"/>
          <w:szCs w:val="24"/>
        </w:rPr>
        <w:t xml:space="preserve"> et al. (2018) proposed the concept of 'magistral' phage formulations — preparations compounded for individual patients under the supervision of a qualified pharmacist, analogous to bespoke magistral pharmaceutical preparations permitted in Belgian and several other European regulatory frameworks — as a pragmatic pathway for compassionate use of phage therapy outside formal clinical trials. This model has since been adopted in several European jurisdictions and provides a useful precedent for adaptive regulatory approaches to personalised biological therapies.</w:t>
      </w:r>
    </w:p>
    <w:p w14:paraId="7AEEE8EB"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CRISPR-based antimicrobials face additional regulatory scrutiny arising from concerns about off-target genomic effects, horizontal transfer of CRISPR elements to non-target organisms, </w:t>
      </w:r>
      <w:r w:rsidRPr="002A4DCF">
        <w:rPr>
          <w:rFonts w:ascii="Times New Roman" w:eastAsia="Times New Roman" w:hAnsi="Times New Roman" w:cs="Times New Roman"/>
          <w:sz w:val="24"/>
          <w:szCs w:val="24"/>
        </w:rPr>
        <w:lastRenderedPageBreak/>
        <w:t>and the ecological consequences of deploying gene-editing systems in open clinical environments. The regulatory approval of CRISPR-based therapeutics for human genetic disease has established important precedents regarding off-target characterisation and long-term safety monitoring requirements that may be applicable, with appropriate adaptation, to antimicrobial CRISPR systems. The World Health Organization (2015) emphasised in its Global Action Plan on Antimicrobial Resistance the necessity of regulatory frameworks that simultaneously promote innovation and ensure the responsible use of novel antimicrobial agents — a principle that remains directly germane to all of the convergent technologies reviewed here.</w:t>
      </w:r>
    </w:p>
    <w:p w14:paraId="3A6A680C"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9.2 Ethical Dimensions</w:t>
      </w:r>
    </w:p>
    <w:p w14:paraId="1F2664C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The deployment of self-replicating, engineered biological entities in human patients and clinical environments raises ethical questions that extend beyond those normally associated with pharmaceutical development. CRISPR-modified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capable of excising resistance genes from bacteria could, in principle, transfer CRISPR-encoding sequences to non-target bacterial species via horizontal gene transfer, with unpredictable ecological consequences for microbial community structure. The use of AI to design antimicrobials raises questions of algorithmic accountability: when a machine learning model recommends a novel compound or phage combination and adverse outcomes ensue, the attributional and regulatory frameworks for accountability remain ill-defined and are only beginning to be addressed in governance discourse. Laxminarayan et al. (2013) argued forcefully that global solutions to AMR require equity of access to both existing and novel antimicrobial agents, and that market-driven innovation systematically underinvests in pathogens that disproportionately affect resource-limited settings — an argument whose force is only amplified when the technologies in question are as sophisticated and expensive as personalised phage cocktails, CRISPR diagnostics, and AI-designed </w:t>
      </w:r>
      <w:proofErr w:type="spellStart"/>
      <w:r w:rsidRPr="002A4DCF">
        <w:rPr>
          <w:rFonts w:ascii="Times New Roman" w:eastAsia="Times New Roman" w:hAnsi="Times New Roman" w:cs="Times New Roman"/>
          <w:sz w:val="24"/>
          <w:szCs w:val="24"/>
        </w:rPr>
        <w:t>nanoformulations</w:t>
      </w:r>
      <w:proofErr w:type="spellEnd"/>
      <w:r w:rsidRPr="002A4DCF">
        <w:rPr>
          <w:rFonts w:ascii="Times New Roman" w:eastAsia="Times New Roman" w:hAnsi="Times New Roman" w:cs="Times New Roman"/>
          <w:sz w:val="24"/>
          <w:szCs w:val="24"/>
        </w:rPr>
        <w:t>.</w:t>
      </w:r>
    </w:p>
    <w:p w14:paraId="1EF43C7F" w14:textId="77777777" w:rsidR="00572551" w:rsidRPr="002A4DCF" w:rsidRDefault="00572551" w:rsidP="00567D15">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2A4DCF">
        <w:rPr>
          <w:rFonts w:ascii="Times New Roman" w:eastAsia="Times New Roman" w:hAnsi="Times New Roman" w:cs="Times New Roman"/>
          <w:b/>
          <w:bCs/>
          <w:sz w:val="24"/>
          <w:szCs w:val="24"/>
        </w:rPr>
        <w:t>9.3 Global Equity and the Path to Translation</w:t>
      </w:r>
    </w:p>
    <w:p w14:paraId="1AC19BB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Addressing the equity dimension of precision antimicrobial medicine requires not merely the development of effective technologies but the construction of accessible and affordable delivery pathways. Open-science approaches to phage library curation, the publication of AI model architectures and training datasets under open licences, and the development of low-cost nanoparticle manufacturing methods suitable for decentralised production could collectively reduce the barriers to technology transfer. International regulatory harmonisation — enabling clinical evidence generated in one jurisdiction to support approvals in others without duplicative evaluation — could accelerate the global availability of phage preparations and CRISPR-based diagnostic tools. The World Health Organization (2021) surveillance data underscore that the countries with the highest AMR burden are also those with the lowest capacity for novel therapeutic development, making international investment and technology transfer mechanisms — analogous to those deployed for HIV antiretrovirals through the PEPFAR programme and generic licensing frameworks — both a moral and a practical imperative.</w:t>
      </w:r>
    </w:p>
    <w:p w14:paraId="107EC10D"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69C0CAD7"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10. Conclusions</w:t>
      </w:r>
    </w:p>
    <w:p w14:paraId="24328003"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lastRenderedPageBreak/>
        <w:t xml:space="preserve">Antimicrobial resistance has reached a scale at which incremental improvements to existing antibiotic classes are insufficient to avert a public health crisis of the first order. The convergence of phage therapy, CRISPR-based antimicrobials, engineered nanotechnology platforms, and artificial intelligence represents a transformative departure from the paradigm of broad-spectrum chemical antibiotics, offering the prospect of precision antimicrobial medicine in which therapy is tailored to the specific pathogen, resistance genotype, and infection context of the individual patient. Each technology domain contributes distinct capabilities: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provide biologically derived, host-specific bactericidal activity with intrinsic adaptive potential; CRISPR systems enable programmable targeting of genomic sequences with single-nucleotide specificity; nanotechnology offers advanced delivery vehicles capable of penetrating biofilms, evading immune neutralisation, and releasing therapeutic payloads in a stimulus-responsive and spatially controlled manner; and artificial intelligence provides the computational power to discover novel antimicrobial compounds, predict resistance emergence, and design complex convergent therapeutic systems at a speed and scale that human-directed research alone cannot achieve.</w:t>
      </w:r>
    </w:p>
    <w:p w14:paraId="4065A7C4"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clinical evidence reviewed here, whilst still nascent — centred principally on compassionate-use case reports and early-phase studies rather than large randomised controlled trials — nonetheless demonstrates proof of concept for each technology and, in several landmark cases, for their combination. The engineering of bacteriophages using CRISPR tools to treat previously untreatable disseminated mycobacterial infections represents one of the most compelling demonstrations of translational convergence in contemporary medicine. The discovery of structurally novel antibiotic scaffolds by deep learning algorithms trained on bacterial growth inhibition data exemplifies the capacity of AI to access antimicrobial chemical space far beyond the reach of conventional discovery platforms.</w:t>
      </w:r>
    </w:p>
    <w:p w14:paraId="16E1D848"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For this transformative potential to be realised at societal scale, significant progress is required simultaneously across multiple domains: regulatory frameworks must be adapted to accommodate self-replicating and personalised biological therapies; manufacturing and quality assurance standards must be established for engineered </w:t>
      </w:r>
      <w:proofErr w:type="spellStart"/>
      <w:r w:rsidRPr="002A4DCF">
        <w:rPr>
          <w:rFonts w:ascii="Times New Roman" w:eastAsia="Times New Roman" w:hAnsi="Times New Roman" w:cs="Times New Roman"/>
          <w:sz w:val="24"/>
          <w:szCs w:val="24"/>
        </w:rPr>
        <w:t>phages</w:t>
      </w:r>
      <w:proofErr w:type="spellEnd"/>
      <w:r w:rsidRPr="002A4DCF">
        <w:rPr>
          <w:rFonts w:ascii="Times New Roman" w:eastAsia="Times New Roman" w:hAnsi="Times New Roman" w:cs="Times New Roman"/>
          <w:sz w:val="24"/>
          <w:szCs w:val="24"/>
        </w:rPr>
        <w:t xml:space="preserve"> and complex nanoparticle formulations; the clinical evidence base must be expanded through well-designed adaptive and platform trials; and equitable access mechanisms must be constructed to prevent precision antimicrobial medicine from becoming an exclusive privilege of high-income healthcare systems. The magnitude of the AMR challenge demands that scientific, clinical, regulatory, and policy communities act in concert, treating the convergence of these technologies not merely as an intellectual opportunity but as an urgent humanitarian responsibility.</w:t>
      </w:r>
    </w:p>
    <w:p w14:paraId="7132FFF8"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4C92C7AD"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11. Limitations</w:t>
      </w:r>
    </w:p>
    <w:p w14:paraId="360317FB"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This review is subject to several limitations that readers should consider when interpreting its conclusions. As a narrative rather than systematic review, the selection of literature necessarily reflects authorial judgement regarding relevance, methodological quality, and representativeness, introducing the possibility of selection bias that a pre-specified systematic approach might partially mitigate. The heterogeneity of study designs across the four technology domains — ranging from randomised mechanistic experiments and large computational studies to single-patient case reports of high translational significance — </w:t>
      </w:r>
      <w:r w:rsidRPr="002A4DCF">
        <w:rPr>
          <w:rFonts w:ascii="Times New Roman" w:eastAsia="Times New Roman" w:hAnsi="Times New Roman" w:cs="Times New Roman"/>
          <w:sz w:val="24"/>
          <w:szCs w:val="24"/>
        </w:rPr>
        <w:lastRenderedPageBreak/>
        <w:t>precludes quantitative synthesis and limits the strength of comparative conclusions across modalities.</w:t>
      </w:r>
    </w:p>
    <w:p w14:paraId="2FBBD3BF"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rapidly evolving nature of all four technology domains means that recent advances — particularly in AI-assisted drug discovery and phage genome engineering, where the pace of development is most rapid — may not yet be fully captured in the peer-reviewed literature available at the time of search. Preprint platforms carry substantial volumes of emerging research in these fields but were excluded from this review to maintain evidential standards; this exclusion may introduce a temporal lag in the representation of the most recent findings. The clinical evidence for phage therapy, CRISPR-based antimicrobials, and antimicrobial nanotechnology remains concentrated in case reports and small series whose inherent design limitations constrain generalisability; the absence of large randomised controlled trial evidence for most applications means that efficacy estimates remain insufficiently controlled for confounding factors including concurrent antibiotic use, patient immune status, and pathogen heterogeneity.</w:t>
      </w:r>
    </w:p>
    <w:p w14:paraId="53B71EE0" w14:textId="77777777" w:rsidR="00572551"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The review was limited to English-language literature, which may have introduced geographic bias, particularly with regard to phage therapy evidence from Eastern European and Russian clinical traditions, where an extensive — but frequently non-English-language — body of clinical experience exists. Finally, the regulatory and ethical landscape surrounding these technologies is in active and rapid flux; the frameworks described reflect the state of governance as of the time of literature search and may require updating as regulatory authorities respond to accelerating clinical development across each of the four domains.</w:t>
      </w:r>
    </w:p>
    <w:p w14:paraId="10986864" w14:textId="77777777" w:rsidR="00C213D2" w:rsidRDefault="00C213D2" w:rsidP="00567D15">
      <w:pPr>
        <w:spacing w:before="100" w:beforeAutospacing="1" w:after="100" w:afterAutospacing="1" w:line="240" w:lineRule="auto"/>
        <w:jc w:val="both"/>
        <w:rPr>
          <w:rFonts w:ascii="Times New Roman" w:eastAsia="Times New Roman" w:hAnsi="Times New Roman" w:cs="Times New Roman"/>
          <w:sz w:val="24"/>
          <w:szCs w:val="24"/>
        </w:rPr>
      </w:pPr>
    </w:p>
    <w:p w14:paraId="3671D6D1" w14:textId="77777777" w:rsidR="00C213D2" w:rsidRDefault="00C213D2" w:rsidP="00567D15">
      <w:pPr>
        <w:spacing w:before="100" w:beforeAutospacing="1" w:after="100" w:afterAutospacing="1" w:line="240" w:lineRule="auto"/>
        <w:jc w:val="both"/>
        <w:rPr>
          <w:rFonts w:ascii="Times New Roman" w:eastAsia="Times New Roman" w:hAnsi="Times New Roman" w:cs="Times New Roman"/>
          <w:sz w:val="24"/>
          <w:szCs w:val="24"/>
        </w:rPr>
      </w:pPr>
    </w:p>
    <w:p w14:paraId="279B3E04" w14:textId="77777777" w:rsidR="00C213D2" w:rsidRPr="00C213D2" w:rsidRDefault="00C213D2" w:rsidP="00567D15">
      <w:pPr>
        <w:spacing w:after="200" w:line="276" w:lineRule="auto"/>
        <w:jc w:val="both"/>
        <w:rPr>
          <w:rFonts w:ascii="Arial" w:eastAsia="Times New Roman" w:hAnsi="Arial" w:cs="Arial"/>
          <w:b/>
          <w:bCs/>
          <w:lang w:eastAsia="en-GB"/>
        </w:rPr>
      </w:pPr>
      <w:r w:rsidRPr="00C213D2">
        <w:rPr>
          <w:rFonts w:ascii="Arial" w:eastAsia="Times New Roman" w:hAnsi="Arial" w:cs="Arial"/>
          <w:b/>
          <w:bCs/>
          <w:lang w:eastAsia="en-GB"/>
        </w:rPr>
        <w:t>COMPETING INTERESTS DISCLAIMER:</w:t>
      </w:r>
    </w:p>
    <w:p w14:paraId="09A6D687" w14:textId="77777777" w:rsidR="00C213D2" w:rsidRPr="00C213D2" w:rsidRDefault="00C213D2" w:rsidP="00567D15">
      <w:pPr>
        <w:spacing w:after="200" w:line="276" w:lineRule="auto"/>
        <w:jc w:val="both"/>
        <w:rPr>
          <w:rFonts w:ascii="Calibri" w:eastAsia="Times New Roman" w:hAnsi="Calibri" w:cs="Times New Roman"/>
          <w:lang w:eastAsia="en-GB"/>
        </w:rPr>
      </w:pPr>
      <w:r w:rsidRPr="00C213D2">
        <w:rPr>
          <w:rFonts w:ascii="Arial" w:eastAsia="Times New Roman" w:hAnsi="Arial" w:cs="Arial"/>
          <w:b/>
          <w:bCs/>
          <w:lang w:eastAsia="en-GB"/>
        </w:rPr>
        <w:t>Authors have declared that they have no known competing financial interests OR non-financial interests OR personal relationships that could have appeared to influence the work reported in this paper.</w:t>
      </w:r>
    </w:p>
    <w:p w14:paraId="44D2E464" w14:textId="77777777" w:rsidR="00734D19" w:rsidRDefault="00734D19" w:rsidP="00567D15">
      <w:pPr>
        <w:jc w:val="both"/>
        <w:rPr>
          <w:b/>
          <w:highlight w:val="yellow"/>
        </w:rPr>
      </w:pPr>
      <w:r>
        <w:rPr>
          <w:b/>
          <w:highlight w:val="yellow"/>
        </w:rPr>
        <w:t>Disclaimer (Artificial intelligence)</w:t>
      </w:r>
    </w:p>
    <w:p w14:paraId="699098C8" w14:textId="77777777" w:rsidR="00734D19" w:rsidRDefault="00734D19" w:rsidP="00567D15">
      <w:pPr>
        <w:jc w:val="both"/>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BD1A310" w14:textId="77777777" w:rsidR="00C213D2" w:rsidRPr="002A4DCF" w:rsidRDefault="00C213D2" w:rsidP="00567D15">
      <w:pPr>
        <w:spacing w:before="100" w:beforeAutospacing="1" w:after="100" w:afterAutospacing="1" w:line="240" w:lineRule="auto"/>
        <w:jc w:val="both"/>
        <w:rPr>
          <w:rFonts w:ascii="Times New Roman" w:eastAsia="Times New Roman" w:hAnsi="Times New Roman" w:cs="Times New Roman"/>
          <w:sz w:val="24"/>
          <w:szCs w:val="24"/>
        </w:rPr>
      </w:pPr>
    </w:p>
    <w:p w14:paraId="33286512" w14:textId="77777777" w:rsidR="00572551" w:rsidRPr="002A4DCF" w:rsidRDefault="00572551" w:rsidP="00567D15">
      <w:pPr>
        <w:spacing w:after="0" w:line="240" w:lineRule="auto"/>
        <w:jc w:val="both"/>
        <w:rPr>
          <w:rFonts w:ascii="Times New Roman" w:eastAsia="Times New Roman" w:hAnsi="Times New Roman" w:cs="Times New Roman"/>
          <w:sz w:val="24"/>
          <w:szCs w:val="24"/>
        </w:rPr>
      </w:pPr>
    </w:p>
    <w:p w14:paraId="2FBA3A62" w14:textId="77777777" w:rsidR="00572551" w:rsidRPr="002A4DCF" w:rsidRDefault="00572551" w:rsidP="00567D1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A4DCF">
        <w:rPr>
          <w:rFonts w:ascii="Times New Roman" w:eastAsia="Times New Roman" w:hAnsi="Times New Roman" w:cs="Times New Roman"/>
          <w:b/>
          <w:bCs/>
          <w:sz w:val="27"/>
          <w:szCs w:val="27"/>
        </w:rPr>
        <w:t>References</w:t>
      </w:r>
    </w:p>
    <w:p w14:paraId="165E8916"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Arango-</w:t>
      </w:r>
      <w:proofErr w:type="spellStart"/>
      <w:r w:rsidRPr="002A4DCF">
        <w:rPr>
          <w:rFonts w:ascii="Times New Roman" w:eastAsia="Times New Roman" w:hAnsi="Times New Roman" w:cs="Times New Roman"/>
          <w:sz w:val="24"/>
          <w:szCs w:val="24"/>
        </w:rPr>
        <w:t>Argoty</w:t>
      </w:r>
      <w:proofErr w:type="spellEnd"/>
      <w:r w:rsidRPr="002A4DCF">
        <w:rPr>
          <w:rFonts w:ascii="Times New Roman" w:eastAsia="Times New Roman" w:hAnsi="Times New Roman" w:cs="Times New Roman"/>
          <w:sz w:val="24"/>
          <w:szCs w:val="24"/>
        </w:rPr>
        <w:t xml:space="preserve">, G., Garner, E., Pruden, A., Heath, L. S., </w:t>
      </w:r>
      <w:proofErr w:type="spellStart"/>
      <w:r w:rsidRPr="002A4DCF">
        <w:rPr>
          <w:rFonts w:ascii="Times New Roman" w:eastAsia="Times New Roman" w:hAnsi="Times New Roman" w:cs="Times New Roman"/>
          <w:sz w:val="24"/>
          <w:szCs w:val="24"/>
        </w:rPr>
        <w:t>Vikesland</w:t>
      </w:r>
      <w:proofErr w:type="spellEnd"/>
      <w:r w:rsidRPr="002A4DCF">
        <w:rPr>
          <w:rFonts w:ascii="Times New Roman" w:eastAsia="Times New Roman" w:hAnsi="Times New Roman" w:cs="Times New Roman"/>
          <w:sz w:val="24"/>
          <w:szCs w:val="24"/>
        </w:rPr>
        <w:t xml:space="preserve">, P., &amp; Zhang, L. (2018). </w:t>
      </w:r>
      <w:proofErr w:type="spellStart"/>
      <w:r w:rsidRPr="002A4DCF">
        <w:rPr>
          <w:rFonts w:ascii="Times New Roman" w:eastAsia="Times New Roman" w:hAnsi="Times New Roman" w:cs="Times New Roman"/>
          <w:sz w:val="24"/>
          <w:szCs w:val="24"/>
        </w:rPr>
        <w:t>DeepARG</w:t>
      </w:r>
      <w:proofErr w:type="spellEnd"/>
      <w:r w:rsidRPr="002A4DCF">
        <w:rPr>
          <w:rFonts w:ascii="Times New Roman" w:eastAsia="Times New Roman" w:hAnsi="Times New Roman" w:cs="Times New Roman"/>
          <w:sz w:val="24"/>
          <w:szCs w:val="24"/>
        </w:rPr>
        <w:t xml:space="preserve">: a deep learning approach for predicting antibiotic resistance genes from metagenomic data. </w:t>
      </w:r>
      <w:r w:rsidRPr="002A4DCF">
        <w:rPr>
          <w:rFonts w:ascii="Times New Roman" w:eastAsia="Times New Roman" w:hAnsi="Times New Roman" w:cs="Times New Roman"/>
          <w:i/>
          <w:iCs/>
          <w:sz w:val="24"/>
          <w:szCs w:val="24"/>
        </w:rPr>
        <w:t>Microbiome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6</w:t>
      </w:r>
      <w:r w:rsidRPr="002A4DCF">
        <w:rPr>
          <w:rFonts w:ascii="Times New Roman" w:eastAsia="Times New Roman" w:hAnsi="Times New Roman" w:cs="Times New Roman"/>
          <w:sz w:val="24"/>
          <w:szCs w:val="24"/>
        </w:rPr>
        <w:t xml:space="preserve">(1), 23. </w:t>
      </w:r>
      <w:hyperlink r:id="rId8" w:history="1">
        <w:r w:rsidRPr="002A4DCF">
          <w:rPr>
            <w:rFonts w:ascii="Times New Roman" w:eastAsia="Times New Roman" w:hAnsi="Times New Roman" w:cs="Times New Roman"/>
            <w:color w:val="0000FF"/>
            <w:sz w:val="24"/>
            <w:szCs w:val="24"/>
            <w:u w:val="single"/>
          </w:rPr>
          <w:t>https://doi.org/10.1186/s40168-018-0401-z</w:t>
        </w:r>
      </w:hyperlink>
    </w:p>
    <w:p w14:paraId="43BDCF68"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lastRenderedPageBreak/>
        <w:t>Baethge</w:t>
      </w:r>
      <w:proofErr w:type="spellEnd"/>
      <w:r w:rsidRPr="002A4DCF">
        <w:rPr>
          <w:rFonts w:ascii="Times New Roman" w:eastAsia="Times New Roman" w:hAnsi="Times New Roman" w:cs="Times New Roman"/>
          <w:sz w:val="24"/>
          <w:szCs w:val="24"/>
        </w:rPr>
        <w:t xml:space="preserve">, C., Goldbeck-Wood, S., &amp; Mertens, S. (2019). SANRA—a scale for the quality assessment of narrative review articles. </w:t>
      </w:r>
      <w:r w:rsidRPr="002A4DCF">
        <w:rPr>
          <w:rFonts w:ascii="Times New Roman" w:eastAsia="Times New Roman" w:hAnsi="Times New Roman" w:cs="Times New Roman"/>
          <w:i/>
          <w:iCs/>
          <w:sz w:val="24"/>
          <w:szCs w:val="24"/>
        </w:rPr>
        <w:t>Research Integrity and Peer Review</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4</w:t>
      </w:r>
      <w:r w:rsidRPr="002A4DCF">
        <w:rPr>
          <w:rFonts w:ascii="Times New Roman" w:eastAsia="Times New Roman" w:hAnsi="Times New Roman" w:cs="Times New Roman"/>
          <w:sz w:val="24"/>
          <w:szCs w:val="24"/>
        </w:rPr>
        <w:t xml:space="preserve">, 5. </w:t>
      </w:r>
      <w:hyperlink r:id="rId9" w:history="1">
        <w:r w:rsidRPr="002A4DCF">
          <w:rPr>
            <w:rFonts w:ascii="Times New Roman" w:eastAsia="Times New Roman" w:hAnsi="Times New Roman" w:cs="Times New Roman"/>
            <w:color w:val="0000FF"/>
            <w:sz w:val="24"/>
            <w:szCs w:val="24"/>
            <w:u w:val="single"/>
          </w:rPr>
          <w:t>https://doi.org/10.1186/s41073-019-0064-8</w:t>
        </w:r>
      </w:hyperlink>
    </w:p>
    <w:p w14:paraId="63CAAE6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Bikard</w:t>
      </w:r>
      <w:proofErr w:type="spellEnd"/>
      <w:r w:rsidRPr="002A4DCF">
        <w:rPr>
          <w:rFonts w:ascii="Times New Roman" w:eastAsia="Times New Roman" w:hAnsi="Times New Roman" w:cs="Times New Roman"/>
          <w:sz w:val="24"/>
          <w:szCs w:val="24"/>
        </w:rPr>
        <w:t xml:space="preserve">, D., Euler, C. W., Jiang, W., Nussenzweig, P. M., Goldberg, G. W., </w:t>
      </w:r>
      <w:proofErr w:type="spellStart"/>
      <w:r w:rsidRPr="002A4DCF">
        <w:rPr>
          <w:rFonts w:ascii="Times New Roman" w:eastAsia="Times New Roman" w:hAnsi="Times New Roman" w:cs="Times New Roman"/>
          <w:sz w:val="24"/>
          <w:szCs w:val="24"/>
        </w:rPr>
        <w:t>Duportet</w:t>
      </w:r>
      <w:proofErr w:type="spellEnd"/>
      <w:r w:rsidRPr="002A4DCF">
        <w:rPr>
          <w:rFonts w:ascii="Times New Roman" w:eastAsia="Times New Roman" w:hAnsi="Times New Roman" w:cs="Times New Roman"/>
          <w:sz w:val="24"/>
          <w:szCs w:val="24"/>
        </w:rPr>
        <w:t xml:space="preserve">, X., Fischetti, V. A., &amp; </w:t>
      </w:r>
      <w:proofErr w:type="spellStart"/>
      <w:r w:rsidRPr="002A4DCF">
        <w:rPr>
          <w:rFonts w:ascii="Times New Roman" w:eastAsia="Times New Roman" w:hAnsi="Times New Roman" w:cs="Times New Roman"/>
          <w:sz w:val="24"/>
          <w:szCs w:val="24"/>
        </w:rPr>
        <w:t>Marraffini</w:t>
      </w:r>
      <w:proofErr w:type="spellEnd"/>
      <w:r w:rsidRPr="002A4DCF">
        <w:rPr>
          <w:rFonts w:ascii="Times New Roman" w:eastAsia="Times New Roman" w:hAnsi="Times New Roman" w:cs="Times New Roman"/>
          <w:sz w:val="24"/>
          <w:szCs w:val="24"/>
        </w:rPr>
        <w:t xml:space="preserve">, L. A. (2014). Exploiting CRISPR-Cas nucleases to produce sequence-specific antimicrobials. </w:t>
      </w:r>
      <w:r w:rsidRPr="002A4DCF">
        <w:rPr>
          <w:rFonts w:ascii="Times New Roman" w:eastAsia="Times New Roman" w:hAnsi="Times New Roman" w:cs="Times New Roman"/>
          <w:i/>
          <w:iCs/>
          <w:sz w:val="24"/>
          <w:szCs w:val="24"/>
        </w:rPr>
        <w:t>Nature Biotechnology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32</w:t>
      </w:r>
      <w:r w:rsidRPr="002A4DCF">
        <w:rPr>
          <w:rFonts w:ascii="Times New Roman" w:eastAsia="Times New Roman" w:hAnsi="Times New Roman" w:cs="Times New Roman"/>
          <w:sz w:val="24"/>
          <w:szCs w:val="24"/>
        </w:rPr>
        <w:t xml:space="preserve">(11), 1146–1150. </w:t>
      </w:r>
      <w:hyperlink r:id="rId10" w:history="1">
        <w:r w:rsidRPr="002A4DCF">
          <w:rPr>
            <w:rFonts w:ascii="Times New Roman" w:eastAsia="Times New Roman" w:hAnsi="Times New Roman" w:cs="Times New Roman"/>
            <w:color w:val="0000FF"/>
            <w:sz w:val="24"/>
            <w:szCs w:val="24"/>
            <w:u w:val="single"/>
          </w:rPr>
          <w:t>https://doi.org/10.1038/nbt.3043</w:t>
        </w:r>
      </w:hyperlink>
    </w:p>
    <w:p w14:paraId="7190CB20"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Chan, B. K., Turner, P. E., Kim, S., </w:t>
      </w:r>
      <w:proofErr w:type="spellStart"/>
      <w:r w:rsidRPr="002A4DCF">
        <w:rPr>
          <w:rFonts w:ascii="Times New Roman" w:eastAsia="Times New Roman" w:hAnsi="Times New Roman" w:cs="Times New Roman"/>
          <w:sz w:val="24"/>
          <w:szCs w:val="24"/>
        </w:rPr>
        <w:t>Mojibian</w:t>
      </w:r>
      <w:proofErr w:type="spellEnd"/>
      <w:r w:rsidRPr="002A4DCF">
        <w:rPr>
          <w:rFonts w:ascii="Times New Roman" w:eastAsia="Times New Roman" w:hAnsi="Times New Roman" w:cs="Times New Roman"/>
          <w:sz w:val="24"/>
          <w:szCs w:val="24"/>
        </w:rPr>
        <w:t xml:space="preserve">, H. R., &amp; </w:t>
      </w:r>
      <w:proofErr w:type="spellStart"/>
      <w:r w:rsidRPr="002A4DCF">
        <w:rPr>
          <w:rFonts w:ascii="Times New Roman" w:eastAsia="Times New Roman" w:hAnsi="Times New Roman" w:cs="Times New Roman"/>
          <w:sz w:val="24"/>
          <w:szCs w:val="24"/>
        </w:rPr>
        <w:t>Elefteriades</w:t>
      </w:r>
      <w:proofErr w:type="spellEnd"/>
      <w:r w:rsidRPr="002A4DCF">
        <w:rPr>
          <w:rFonts w:ascii="Times New Roman" w:eastAsia="Times New Roman" w:hAnsi="Times New Roman" w:cs="Times New Roman"/>
          <w:sz w:val="24"/>
          <w:szCs w:val="24"/>
        </w:rPr>
        <w:t xml:space="preserve">, J. A. (2018). Phage treatment of an aortic graft infected with </w:t>
      </w:r>
      <w:r w:rsidRPr="002A4DCF">
        <w:rPr>
          <w:rFonts w:ascii="Times New Roman" w:eastAsia="Times New Roman" w:hAnsi="Times New Roman" w:cs="Times New Roman"/>
          <w:i/>
          <w:iCs/>
          <w:sz w:val="24"/>
          <w:szCs w:val="24"/>
        </w:rPr>
        <w:t>Pseudomonas aeruginosa</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Evolution, Medicine, and Public Health</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2018</w:t>
      </w:r>
      <w:r w:rsidRPr="002A4DCF">
        <w:rPr>
          <w:rFonts w:ascii="Times New Roman" w:eastAsia="Times New Roman" w:hAnsi="Times New Roman" w:cs="Times New Roman"/>
          <w:sz w:val="24"/>
          <w:szCs w:val="24"/>
        </w:rPr>
        <w:t xml:space="preserve">(1), 60–66. </w:t>
      </w:r>
      <w:hyperlink r:id="rId11" w:history="1">
        <w:r w:rsidRPr="002A4DCF">
          <w:rPr>
            <w:rFonts w:ascii="Times New Roman" w:eastAsia="Times New Roman" w:hAnsi="Times New Roman" w:cs="Times New Roman"/>
            <w:color w:val="0000FF"/>
            <w:sz w:val="24"/>
            <w:szCs w:val="24"/>
            <w:u w:val="single"/>
          </w:rPr>
          <w:t>https://doi.org/10.1093/emph/eoy005</w:t>
        </w:r>
      </w:hyperlink>
    </w:p>
    <w:p w14:paraId="5ACD8F8C"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Citorik</w:t>
      </w:r>
      <w:proofErr w:type="spellEnd"/>
      <w:r w:rsidRPr="002A4DCF">
        <w:rPr>
          <w:rFonts w:ascii="Times New Roman" w:eastAsia="Times New Roman" w:hAnsi="Times New Roman" w:cs="Times New Roman"/>
          <w:sz w:val="24"/>
          <w:szCs w:val="24"/>
        </w:rPr>
        <w:t xml:space="preserve">, R. J., </w:t>
      </w:r>
      <w:proofErr w:type="spellStart"/>
      <w:r w:rsidRPr="002A4DCF">
        <w:rPr>
          <w:rFonts w:ascii="Times New Roman" w:eastAsia="Times New Roman" w:hAnsi="Times New Roman" w:cs="Times New Roman"/>
          <w:sz w:val="24"/>
          <w:szCs w:val="24"/>
        </w:rPr>
        <w:t>Mimee</w:t>
      </w:r>
      <w:proofErr w:type="spellEnd"/>
      <w:r w:rsidRPr="002A4DCF">
        <w:rPr>
          <w:rFonts w:ascii="Times New Roman" w:eastAsia="Times New Roman" w:hAnsi="Times New Roman" w:cs="Times New Roman"/>
          <w:sz w:val="24"/>
          <w:szCs w:val="24"/>
        </w:rPr>
        <w:t xml:space="preserve">, M., &amp; Lu, T. K. (2014). Sequence-specific antimicrobials using efficiently delivered RNA-guided nucleases. </w:t>
      </w:r>
      <w:r w:rsidRPr="002A4DCF">
        <w:rPr>
          <w:rFonts w:ascii="Times New Roman" w:eastAsia="Times New Roman" w:hAnsi="Times New Roman" w:cs="Times New Roman"/>
          <w:i/>
          <w:iCs/>
          <w:sz w:val="24"/>
          <w:szCs w:val="24"/>
        </w:rPr>
        <w:t>Nature Biotechnology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32</w:t>
      </w:r>
      <w:r w:rsidRPr="002A4DCF">
        <w:rPr>
          <w:rFonts w:ascii="Times New Roman" w:eastAsia="Times New Roman" w:hAnsi="Times New Roman" w:cs="Times New Roman"/>
          <w:sz w:val="24"/>
          <w:szCs w:val="24"/>
        </w:rPr>
        <w:t xml:space="preserve">(11), 1141–1145. </w:t>
      </w:r>
      <w:hyperlink r:id="rId12" w:history="1">
        <w:r w:rsidRPr="002A4DCF">
          <w:rPr>
            <w:rFonts w:ascii="Times New Roman" w:eastAsia="Times New Roman" w:hAnsi="Times New Roman" w:cs="Times New Roman"/>
            <w:color w:val="0000FF"/>
            <w:sz w:val="24"/>
            <w:szCs w:val="24"/>
            <w:u w:val="single"/>
          </w:rPr>
          <w:t>https://doi.org/10.1038/nbt.3011</w:t>
        </w:r>
      </w:hyperlink>
    </w:p>
    <w:p w14:paraId="1B08D0B1"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Czaplewski, L., Bax, R., </w:t>
      </w:r>
      <w:proofErr w:type="spellStart"/>
      <w:r w:rsidRPr="002A4DCF">
        <w:rPr>
          <w:rFonts w:ascii="Times New Roman" w:eastAsia="Times New Roman" w:hAnsi="Times New Roman" w:cs="Times New Roman"/>
          <w:sz w:val="24"/>
          <w:szCs w:val="24"/>
        </w:rPr>
        <w:t>Clokie</w:t>
      </w:r>
      <w:proofErr w:type="spellEnd"/>
      <w:r w:rsidRPr="002A4DCF">
        <w:rPr>
          <w:rFonts w:ascii="Times New Roman" w:eastAsia="Times New Roman" w:hAnsi="Times New Roman" w:cs="Times New Roman"/>
          <w:sz w:val="24"/>
          <w:szCs w:val="24"/>
        </w:rPr>
        <w:t xml:space="preserve">, M., Dawson, M., Fairhead, H., Fischetti, V. A., Foster, S., Gilmore, B. F., Hancock, R. E., Harper, D., Henderson, I. R., Hilpert, K., Jones, B. V., Kadioglu, A., Knowles, D., Ólafsdóttir, S., Payne, D., </w:t>
      </w:r>
      <w:proofErr w:type="spellStart"/>
      <w:r w:rsidRPr="002A4DCF">
        <w:rPr>
          <w:rFonts w:ascii="Times New Roman" w:eastAsia="Times New Roman" w:hAnsi="Times New Roman" w:cs="Times New Roman"/>
          <w:sz w:val="24"/>
          <w:szCs w:val="24"/>
        </w:rPr>
        <w:t>Projan</w:t>
      </w:r>
      <w:proofErr w:type="spellEnd"/>
      <w:r w:rsidRPr="002A4DCF">
        <w:rPr>
          <w:rFonts w:ascii="Times New Roman" w:eastAsia="Times New Roman" w:hAnsi="Times New Roman" w:cs="Times New Roman"/>
          <w:sz w:val="24"/>
          <w:szCs w:val="24"/>
        </w:rPr>
        <w:t xml:space="preserve">, S., Shaunak, S., ... Cooper, M. A. (2016). Alternatives to antibiotics—a pipeline portfolio review. </w:t>
      </w:r>
      <w:r w:rsidRPr="002A4DCF">
        <w:rPr>
          <w:rFonts w:ascii="Times New Roman" w:eastAsia="Times New Roman" w:hAnsi="Times New Roman" w:cs="Times New Roman"/>
          <w:i/>
          <w:iCs/>
          <w:sz w:val="24"/>
          <w:szCs w:val="24"/>
        </w:rPr>
        <w:t>The Lancet Infectious Diseases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16</w:t>
      </w:r>
      <w:r w:rsidRPr="002A4DCF">
        <w:rPr>
          <w:rFonts w:ascii="Times New Roman" w:eastAsia="Times New Roman" w:hAnsi="Times New Roman" w:cs="Times New Roman"/>
          <w:sz w:val="24"/>
          <w:szCs w:val="24"/>
        </w:rPr>
        <w:t xml:space="preserve">(2), 239–251. </w:t>
      </w:r>
      <w:hyperlink r:id="rId13" w:history="1">
        <w:r w:rsidRPr="002A4DCF">
          <w:rPr>
            <w:rFonts w:ascii="Times New Roman" w:eastAsia="Times New Roman" w:hAnsi="Times New Roman" w:cs="Times New Roman"/>
            <w:color w:val="0000FF"/>
            <w:sz w:val="24"/>
            <w:szCs w:val="24"/>
            <w:u w:val="single"/>
          </w:rPr>
          <w:t>https://doi.org/10.1016/S1473-3099(15)00466-1</w:t>
        </w:r>
      </w:hyperlink>
    </w:p>
    <w:p w14:paraId="3C3AE02E"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Dedrick, R. M., Guerrero-Bustamante, C. A., </w:t>
      </w:r>
      <w:proofErr w:type="spellStart"/>
      <w:r w:rsidRPr="002A4DCF">
        <w:rPr>
          <w:rFonts w:ascii="Times New Roman" w:eastAsia="Times New Roman" w:hAnsi="Times New Roman" w:cs="Times New Roman"/>
          <w:sz w:val="24"/>
          <w:szCs w:val="24"/>
        </w:rPr>
        <w:t>Garlena</w:t>
      </w:r>
      <w:proofErr w:type="spellEnd"/>
      <w:r w:rsidRPr="002A4DCF">
        <w:rPr>
          <w:rFonts w:ascii="Times New Roman" w:eastAsia="Times New Roman" w:hAnsi="Times New Roman" w:cs="Times New Roman"/>
          <w:sz w:val="24"/>
          <w:szCs w:val="24"/>
        </w:rPr>
        <w:t xml:space="preserve">, R. A., Russell, D. A., Ford, K., Harris, K., Gilmour, K. C., Bhatt, J., Roux, S., Jacobs-Sera, D., Vukovic, M., Khair, S. A., &amp; </w:t>
      </w:r>
      <w:proofErr w:type="spellStart"/>
      <w:r w:rsidRPr="002A4DCF">
        <w:rPr>
          <w:rFonts w:ascii="Times New Roman" w:eastAsia="Times New Roman" w:hAnsi="Times New Roman" w:cs="Times New Roman"/>
          <w:sz w:val="24"/>
          <w:szCs w:val="24"/>
        </w:rPr>
        <w:t>Hatfull</w:t>
      </w:r>
      <w:proofErr w:type="spellEnd"/>
      <w:r w:rsidRPr="002A4DCF">
        <w:rPr>
          <w:rFonts w:ascii="Times New Roman" w:eastAsia="Times New Roman" w:hAnsi="Times New Roman" w:cs="Times New Roman"/>
          <w:sz w:val="24"/>
          <w:szCs w:val="24"/>
        </w:rPr>
        <w:t xml:space="preserve">, G. F. (2019). Engineered bacteriophages for treatment of a patient with a disseminated drug-resistant </w:t>
      </w:r>
      <w:r w:rsidRPr="002A4DCF">
        <w:rPr>
          <w:rFonts w:ascii="Times New Roman" w:eastAsia="Times New Roman" w:hAnsi="Times New Roman" w:cs="Times New Roman"/>
          <w:i/>
          <w:iCs/>
          <w:sz w:val="24"/>
          <w:szCs w:val="24"/>
        </w:rPr>
        <w:t>Mycobacterium abscessus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Nature Medicine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25</w:t>
      </w:r>
      <w:r w:rsidRPr="002A4DCF">
        <w:rPr>
          <w:rFonts w:ascii="Times New Roman" w:eastAsia="Times New Roman" w:hAnsi="Times New Roman" w:cs="Times New Roman"/>
          <w:sz w:val="24"/>
          <w:szCs w:val="24"/>
        </w:rPr>
        <w:t xml:space="preserve">(5), 730–733. </w:t>
      </w:r>
      <w:hyperlink r:id="rId14" w:history="1">
        <w:r w:rsidRPr="002A4DCF">
          <w:rPr>
            <w:rFonts w:ascii="Times New Roman" w:eastAsia="Times New Roman" w:hAnsi="Times New Roman" w:cs="Times New Roman"/>
            <w:color w:val="0000FF"/>
            <w:sz w:val="24"/>
            <w:szCs w:val="24"/>
            <w:u w:val="single"/>
          </w:rPr>
          <w:t>https://doi.org/10.1038/s41591-019-0437-z</w:t>
        </w:r>
      </w:hyperlink>
    </w:p>
    <w:p w14:paraId="39B7224C"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Doudna, J. A., &amp; Charpentier, E. (2014). The new frontier of genome editing with CRISPR-Cas9. </w:t>
      </w:r>
      <w:r w:rsidRPr="002A4DCF">
        <w:rPr>
          <w:rFonts w:ascii="Times New Roman" w:eastAsia="Times New Roman" w:hAnsi="Times New Roman" w:cs="Times New Roman"/>
          <w:i/>
          <w:iCs/>
          <w:sz w:val="24"/>
          <w:szCs w:val="24"/>
        </w:rPr>
        <w:t>Science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346</w:t>
      </w:r>
      <w:r w:rsidRPr="002A4DCF">
        <w:rPr>
          <w:rFonts w:ascii="Times New Roman" w:eastAsia="Times New Roman" w:hAnsi="Times New Roman" w:cs="Times New Roman"/>
          <w:sz w:val="24"/>
          <w:szCs w:val="24"/>
        </w:rPr>
        <w:t xml:space="preserve">(6213), 1258096. </w:t>
      </w:r>
      <w:hyperlink r:id="rId15" w:history="1">
        <w:r w:rsidRPr="002A4DCF">
          <w:rPr>
            <w:rFonts w:ascii="Times New Roman" w:eastAsia="Times New Roman" w:hAnsi="Times New Roman" w:cs="Times New Roman"/>
            <w:color w:val="0000FF"/>
            <w:sz w:val="24"/>
            <w:szCs w:val="24"/>
            <w:u w:val="single"/>
          </w:rPr>
          <w:t>https://doi.org/10.1126/science.1258096</w:t>
        </w:r>
      </w:hyperlink>
    </w:p>
    <w:p w14:paraId="41AB926E"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Gordillo Altamirano, F. L., &amp; Barr, J. J. (2019). Phage therapy in the </w:t>
      </w:r>
      <w:proofErr w:type="spellStart"/>
      <w:r w:rsidRPr="002A4DCF">
        <w:rPr>
          <w:rFonts w:ascii="Times New Roman" w:eastAsia="Times New Roman" w:hAnsi="Times New Roman" w:cs="Times New Roman"/>
          <w:sz w:val="24"/>
          <w:szCs w:val="24"/>
        </w:rPr>
        <w:t>postantibiotic</w:t>
      </w:r>
      <w:proofErr w:type="spellEnd"/>
      <w:r w:rsidRPr="002A4DCF">
        <w:rPr>
          <w:rFonts w:ascii="Times New Roman" w:eastAsia="Times New Roman" w:hAnsi="Times New Roman" w:cs="Times New Roman"/>
          <w:sz w:val="24"/>
          <w:szCs w:val="24"/>
        </w:rPr>
        <w:t xml:space="preserve"> era. </w:t>
      </w:r>
      <w:r w:rsidRPr="002A4DCF">
        <w:rPr>
          <w:rFonts w:ascii="Times New Roman" w:eastAsia="Times New Roman" w:hAnsi="Times New Roman" w:cs="Times New Roman"/>
          <w:i/>
          <w:iCs/>
          <w:sz w:val="24"/>
          <w:szCs w:val="24"/>
        </w:rPr>
        <w:t>Clinical Microbiology Reviews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32</w:t>
      </w:r>
      <w:r w:rsidRPr="002A4DCF">
        <w:rPr>
          <w:rFonts w:ascii="Times New Roman" w:eastAsia="Times New Roman" w:hAnsi="Times New Roman" w:cs="Times New Roman"/>
          <w:sz w:val="24"/>
          <w:szCs w:val="24"/>
        </w:rPr>
        <w:t xml:space="preserve">(2), e00066-18. </w:t>
      </w:r>
      <w:hyperlink r:id="rId16" w:history="1">
        <w:r w:rsidRPr="002A4DCF">
          <w:rPr>
            <w:rFonts w:ascii="Times New Roman" w:eastAsia="Times New Roman" w:hAnsi="Times New Roman" w:cs="Times New Roman"/>
            <w:color w:val="0000FF"/>
            <w:sz w:val="24"/>
            <w:szCs w:val="24"/>
            <w:u w:val="single"/>
          </w:rPr>
          <w:t>https://doi.org/10.1128/CMR.00066-18</w:t>
        </w:r>
      </w:hyperlink>
    </w:p>
    <w:p w14:paraId="6E1D511D"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Gootenberg</w:t>
      </w:r>
      <w:proofErr w:type="spellEnd"/>
      <w:r w:rsidRPr="002A4DCF">
        <w:rPr>
          <w:rFonts w:ascii="Times New Roman" w:eastAsia="Times New Roman" w:hAnsi="Times New Roman" w:cs="Times New Roman"/>
          <w:sz w:val="24"/>
          <w:szCs w:val="24"/>
        </w:rPr>
        <w:t xml:space="preserve">, J. S., Abudayyeh, O. O., Lee, J. W., </w:t>
      </w:r>
      <w:proofErr w:type="spellStart"/>
      <w:r w:rsidRPr="002A4DCF">
        <w:rPr>
          <w:rFonts w:ascii="Times New Roman" w:eastAsia="Times New Roman" w:hAnsi="Times New Roman" w:cs="Times New Roman"/>
          <w:sz w:val="24"/>
          <w:szCs w:val="24"/>
        </w:rPr>
        <w:t>Essletzbichler</w:t>
      </w:r>
      <w:proofErr w:type="spellEnd"/>
      <w:r w:rsidRPr="002A4DCF">
        <w:rPr>
          <w:rFonts w:ascii="Times New Roman" w:eastAsia="Times New Roman" w:hAnsi="Times New Roman" w:cs="Times New Roman"/>
          <w:sz w:val="24"/>
          <w:szCs w:val="24"/>
        </w:rPr>
        <w:t xml:space="preserve">, P., Dy, A. J., Joung, J., Verdine, V., Donghia, N., Daringer, N. M., Freije, C. A., Myhrvold, C., Bhattacharyya, R. P., Livny, J., Regev, A., Koonin, E. V., Hung, D. T., Sabeti, P. C., Collins, J. J., &amp; Zhang, F. (2017). Nucleic acid detection with CRISPR-Cas13a/C2c2. </w:t>
      </w:r>
      <w:r w:rsidRPr="002A4DCF">
        <w:rPr>
          <w:rFonts w:ascii="Times New Roman" w:eastAsia="Times New Roman" w:hAnsi="Times New Roman" w:cs="Times New Roman"/>
          <w:i/>
          <w:iCs/>
          <w:sz w:val="24"/>
          <w:szCs w:val="24"/>
        </w:rPr>
        <w:t>Science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356</w:t>
      </w:r>
      <w:r w:rsidRPr="002A4DCF">
        <w:rPr>
          <w:rFonts w:ascii="Times New Roman" w:eastAsia="Times New Roman" w:hAnsi="Times New Roman" w:cs="Times New Roman"/>
          <w:sz w:val="24"/>
          <w:szCs w:val="24"/>
        </w:rPr>
        <w:t xml:space="preserve">(6336), 438–442. </w:t>
      </w:r>
      <w:hyperlink r:id="rId17" w:history="1">
        <w:r w:rsidRPr="002A4DCF">
          <w:rPr>
            <w:rFonts w:ascii="Times New Roman" w:eastAsia="Times New Roman" w:hAnsi="Times New Roman" w:cs="Times New Roman"/>
            <w:color w:val="0000FF"/>
            <w:sz w:val="24"/>
            <w:szCs w:val="24"/>
            <w:u w:val="single"/>
          </w:rPr>
          <w:t>https://doi.org/10.1126/science.aam9321</w:t>
        </w:r>
      </w:hyperlink>
    </w:p>
    <w:p w14:paraId="75BDA67D"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Green, B. N., Johnson, C. D., &amp; Adams, A. (2006). Writing narrative literature reviews for peer-reviewed journals: secrets of the trade. </w:t>
      </w:r>
      <w:r w:rsidRPr="002A4DCF">
        <w:rPr>
          <w:rFonts w:ascii="Times New Roman" w:eastAsia="Times New Roman" w:hAnsi="Times New Roman" w:cs="Times New Roman"/>
          <w:i/>
          <w:iCs/>
          <w:sz w:val="24"/>
          <w:szCs w:val="24"/>
        </w:rPr>
        <w:t>Journal of Chiropractic Medicine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5</w:t>
      </w:r>
      <w:r w:rsidRPr="002A4DCF">
        <w:rPr>
          <w:rFonts w:ascii="Times New Roman" w:eastAsia="Times New Roman" w:hAnsi="Times New Roman" w:cs="Times New Roman"/>
          <w:sz w:val="24"/>
          <w:szCs w:val="24"/>
        </w:rPr>
        <w:t xml:space="preserve">(3), 101–117. </w:t>
      </w:r>
      <w:hyperlink r:id="rId18" w:history="1">
        <w:r w:rsidRPr="002A4DCF">
          <w:rPr>
            <w:rFonts w:ascii="Times New Roman" w:eastAsia="Times New Roman" w:hAnsi="Times New Roman" w:cs="Times New Roman"/>
            <w:color w:val="0000FF"/>
            <w:sz w:val="24"/>
            <w:szCs w:val="24"/>
            <w:u w:val="single"/>
          </w:rPr>
          <w:t>https://doi.org/10.1016/S0899-3467(07)60142-6</w:t>
        </w:r>
      </w:hyperlink>
    </w:p>
    <w:p w14:paraId="07A90B6A"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Gupta, A., Mumtaz, S., Li, C.-H., Hussain, I., &amp; Rotello, V. M. (2019). Combatting antibiotic-resistant bacteria using nanomaterials. </w:t>
      </w:r>
      <w:r w:rsidRPr="002A4DCF">
        <w:rPr>
          <w:rFonts w:ascii="Times New Roman" w:eastAsia="Times New Roman" w:hAnsi="Times New Roman" w:cs="Times New Roman"/>
          <w:i/>
          <w:iCs/>
          <w:sz w:val="24"/>
          <w:szCs w:val="24"/>
        </w:rPr>
        <w:t>Chemical Society Reviews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48</w:t>
      </w:r>
      <w:r w:rsidRPr="002A4DCF">
        <w:rPr>
          <w:rFonts w:ascii="Times New Roman" w:eastAsia="Times New Roman" w:hAnsi="Times New Roman" w:cs="Times New Roman"/>
          <w:sz w:val="24"/>
          <w:szCs w:val="24"/>
        </w:rPr>
        <w:t xml:space="preserve">(2), 415–427. </w:t>
      </w:r>
      <w:hyperlink r:id="rId19" w:history="1">
        <w:r w:rsidRPr="002A4DCF">
          <w:rPr>
            <w:rFonts w:ascii="Times New Roman" w:eastAsia="Times New Roman" w:hAnsi="Times New Roman" w:cs="Times New Roman"/>
            <w:color w:val="0000FF"/>
            <w:sz w:val="24"/>
            <w:szCs w:val="24"/>
            <w:u w:val="single"/>
          </w:rPr>
          <w:t>https://doi.org/10.1039/C8CS00425K</w:t>
        </w:r>
      </w:hyperlink>
    </w:p>
    <w:p w14:paraId="7B279AAD"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lastRenderedPageBreak/>
        <w:t>Hemeg</w:t>
      </w:r>
      <w:proofErr w:type="spellEnd"/>
      <w:r w:rsidRPr="002A4DCF">
        <w:rPr>
          <w:rFonts w:ascii="Times New Roman" w:eastAsia="Times New Roman" w:hAnsi="Times New Roman" w:cs="Times New Roman"/>
          <w:sz w:val="24"/>
          <w:szCs w:val="24"/>
        </w:rPr>
        <w:t xml:space="preserve">, H. A. (2017). Nanomaterials for alternative antibacterial therapy. </w:t>
      </w:r>
      <w:r w:rsidRPr="002A4DCF">
        <w:rPr>
          <w:rFonts w:ascii="Times New Roman" w:eastAsia="Times New Roman" w:hAnsi="Times New Roman" w:cs="Times New Roman"/>
          <w:i/>
          <w:iCs/>
          <w:sz w:val="24"/>
          <w:szCs w:val="24"/>
        </w:rPr>
        <w:t>International Journal of Nanomedicine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12</w:t>
      </w:r>
      <w:r w:rsidRPr="002A4DCF">
        <w:rPr>
          <w:rFonts w:ascii="Times New Roman" w:eastAsia="Times New Roman" w:hAnsi="Times New Roman" w:cs="Times New Roman"/>
          <w:sz w:val="24"/>
          <w:szCs w:val="24"/>
        </w:rPr>
        <w:t xml:space="preserve">, 8211–8225. </w:t>
      </w:r>
      <w:hyperlink r:id="rId20" w:history="1">
        <w:r w:rsidRPr="002A4DCF">
          <w:rPr>
            <w:rFonts w:ascii="Times New Roman" w:eastAsia="Times New Roman" w:hAnsi="Times New Roman" w:cs="Times New Roman"/>
            <w:color w:val="0000FF"/>
            <w:sz w:val="24"/>
            <w:szCs w:val="24"/>
            <w:u w:val="single"/>
          </w:rPr>
          <w:t>https://doi.org/10.2147/IJN.S132163</w:t>
        </w:r>
      </w:hyperlink>
    </w:p>
    <w:p w14:paraId="3965CF64"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Huh, A. J., &amp; Kwon, Y. J. (2011). "</w:t>
      </w:r>
      <w:proofErr w:type="spellStart"/>
      <w:r w:rsidRPr="002A4DCF">
        <w:rPr>
          <w:rFonts w:ascii="Times New Roman" w:eastAsia="Times New Roman" w:hAnsi="Times New Roman" w:cs="Times New Roman"/>
          <w:sz w:val="24"/>
          <w:szCs w:val="24"/>
        </w:rPr>
        <w:t>Nanoantibiotics</w:t>
      </w:r>
      <w:proofErr w:type="spellEnd"/>
      <w:r w:rsidRPr="002A4DCF">
        <w:rPr>
          <w:rFonts w:ascii="Times New Roman" w:eastAsia="Times New Roman" w:hAnsi="Times New Roman" w:cs="Times New Roman"/>
          <w:sz w:val="24"/>
          <w:szCs w:val="24"/>
        </w:rPr>
        <w:t xml:space="preserve">": a new paradigm for treating infectious diseases using nanomaterials in the antibiotic resistant era. </w:t>
      </w:r>
      <w:r w:rsidRPr="002A4DCF">
        <w:rPr>
          <w:rFonts w:ascii="Times New Roman" w:eastAsia="Times New Roman" w:hAnsi="Times New Roman" w:cs="Times New Roman"/>
          <w:i/>
          <w:iCs/>
          <w:sz w:val="24"/>
          <w:szCs w:val="24"/>
        </w:rPr>
        <w:t>Journal of Controlled Release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156</w:t>
      </w:r>
      <w:r w:rsidRPr="002A4DCF">
        <w:rPr>
          <w:rFonts w:ascii="Times New Roman" w:eastAsia="Times New Roman" w:hAnsi="Times New Roman" w:cs="Times New Roman"/>
          <w:sz w:val="24"/>
          <w:szCs w:val="24"/>
        </w:rPr>
        <w:t xml:space="preserve">(2), 128–145. </w:t>
      </w:r>
      <w:hyperlink r:id="rId21" w:history="1">
        <w:r w:rsidRPr="002A4DCF">
          <w:rPr>
            <w:rFonts w:ascii="Times New Roman" w:eastAsia="Times New Roman" w:hAnsi="Times New Roman" w:cs="Times New Roman"/>
            <w:color w:val="0000FF"/>
            <w:sz w:val="24"/>
            <w:szCs w:val="24"/>
            <w:u w:val="single"/>
          </w:rPr>
          <w:t>https://doi.org/10.1016/j.jconrel.2011.07.002</w:t>
        </w:r>
      </w:hyperlink>
    </w:p>
    <w:p w14:paraId="11D20294"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Jinek</w:t>
      </w:r>
      <w:proofErr w:type="spellEnd"/>
      <w:r w:rsidRPr="002A4DCF">
        <w:rPr>
          <w:rFonts w:ascii="Times New Roman" w:eastAsia="Times New Roman" w:hAnsi="Times New Roman" w:cs="Times New Roman"/>
          <w:sz w:val="24"/>
          <w:szCs w:val="24"/>
        </w:rPr>
        <w:t xml:space="preserve">, M., Chylinski, K., Fonfara, I., Hauer, M., Doudna, J. A., &amp; Charpentier, E. (2012). A programmable dual-RNA–guided DNA endonuclease in adaptive bacterial immunity. </w:t>
      </w:r>
      <w:r w:rsidRPr="002A4DCF">
        <w:rPr>
          <w:rFonts w:ascii="Times New Roman" w:eastAsia="Times New Roman" w:hAnsi="Times New Roman" w:cs="Times New Roman"/>
          <w:i/>
          <w:iCs/>
          <w:sz w:val="24"/>
          <w:szCs w:val="24"/>
        </w:rPr>
        <w:t>Science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337</w:t>
      </w:r>
      <w:r w:rsidRPr="002A4DCF">
        <w:rPr>
          <w:rFonts w:ascii="Times New Roman" w:eastAsia="Times New Roman" w:hAnsi="Times New Roman" w:cs="Times New Roman"/>
          <w:sz w:val="24"/>
          <w:szCs w:val="24"/>
        </w:rPr>
        <w:t xml:space="preserve">(6096), 816–821. </w:t>
      </w:r>
      <w:hyperlink r:id="rId22" w:history="1">
        <w:r w:rsidRPr="002A4DCF">
          <w:rPr>
            <w:rFonts w:ascii="Times New Roman" w:eastAsia="Times New Roman" w:hAnsi="Times New Roman" w:cs="Times New Roman"/>
            <w:color w:val="0000FF"/>
            <w:sz w:val="24"/>
            <w:szCs w:val="24"/>
            <w:u w:val="single"/>
          </w:rPr>
          <w:t>https://doi.org/10.1126/science.1225829</w:t>
        </w:r>
      </w:hyperlink>
    </w:p>
    <w:p w14:paraId="40B993AD"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Kiga</w:t>
      </w:r>
      <w:proofErr w:type="spellEnd"/>
      <w:r w:rsidRPr="002A4DCF">
        <w:rPr>
          <w:rFonts w:ascii="Times New Roman" w:eastAsia="Times New Roman" w:hAnsi="Times New Roman" w:cs="Times New Roman"/>
          <w:sz w:val="24"/>
          <w:szCs w:val="24"/>
        </w:rPr>
        <w:t xml:space="preserve">, K., Tan, X.-E., Ibarra-Chávez, R., Watanabe, S., </w:t>
      </w:r>
      <w:proofErr w:type="spellStart"/>
      <w:r w:rsidRPr="002A4DCF">
        <w:rPr>
          <w:rFonts w:ascii="Times New Roman" w:eastAsia="Times New Roman" w:hAnsi="Times New Roman" w:cs="Times New Roman"/>
          <w:sz w:val="24"/>
          <w:szCs w:val="24"/>
        </w:rPr>
        <w:t>Aiba</w:t>
      </w:r>
      <w:proofErr w:type="spellEnd"/>
      <w:r w:rsidRPr="002A4DCF">
        <w:rPr>
          <w:rFonts w:ascii="Times New Roman" w:eastAsia="Times New Roman" w:hAnsi="Times New Roman" w:cs="Times New Roman"/>
          <w:sz w:val="24"/>
          <w:szCs w:val="24"/>
        </w:rPr>
        <w:t xml:space="preserve">, Y., </w:t>
      </w:r>
      <w:proofErr w:type="spellStart"/>
      <w:r w:rsidRPr="002A4DCF">
        <w:rPr>
          <w:rFonts w:ascii="Times New Roman" w:eastAsia="Times New Roman" w:hAnsi="Times New Roman" w:cs="Times New Roman"/>
          <w:sz w:val="24"/>
          <w:szCs w:val="24"/>
        </w:rPr>
        <w:t>Sato'o</w:t>
      </w:r>
      <w:proofErr w:type="spellEnd"/>
      <w:r w:rsidRPr="002A4DCF">
        <w:rPr>
          <w:rFonts w:ascii="Times New Roman" w:eastAsia="Times New Roman" w:hAnsi="Times New Roman" w:cs="Times New Roman"/>
          <w:sz w:val="24"/>
          <w:szCs w:val="24"/>
        </w:rPr>
        <w:t xml:space="preserve">, Y., Li, F.-Y., Sasahara, T., Cui, B., Kawauchi, M., </w:t>
      </w:r>
      <w:proofErr w:type="spellStart"/>
      <w:r w:rsidRPr="002A4DCF">
        <w:rPr>
          <w:rFonts w:ascii="Times New Roman" w:eastAsia="Times New Roman" w:hAnsi="Times New Roman" w:cs="Times New Roman"/>
          <w:sz w:val="24"/>
          <w:szCs w:val="24"/>
        </w:rPr>
        <w:t>Boonsiri</w:t>
      </w:r>
      <w:proofErr w:type="spellEnd"/>
      <w:r w:rsidRPr="002A4DCF">
        <w:rPr>
          <w:rFonts w:ascii="Times New Roman" w:eastAsia="Times New Roman" w:hAnsi="Times New Roman" w:cs="Times New Roman"/>
          <w:sz w:val="24"/>
          <w:szCs w:val="24"/>
        </w:rPr>
        <w:t xml:space="preserve">, T., </w:t>
      </w:r>
      <w:proofErr w:type="spellStart"/>
      <w:r w:rsidRPr="002A4DCF">
        <w:rPr>
          <w:rFonts w:ascii="Times New Roman" w:eastAsia="Times New Roman" w:hAnsi="Times New Roman" w:cs="Times New Roman"/>
          <w:sz w:val="24"/>
          <w:szCs w:val="24"/>
        </w:rPr>
        <w:t>Thitiananpakorn</w:t>
      </w:r>
      <w:proofErr w:type="spellEnd"/>
      <w:r w:rsidRPr="002A4DCF">
        <w:rPr>
          <w:rFonts w:ascii="Times New Roman" w:eastAsia="Times New Roman" w:hAnsi="Times New Roman" w:cs="Times New Roman"/>
          <w:sz w:val="24"/>
          <w:szCs w:val="24"/>
        </w:rPr>
        <w:t xml:space="preserve">, K., Taki, Y., Azam, A. H., Suzuki, M., </w:t>
      </w:r>
      <w:proofErr w:type="spellStart"/>
      <w:r w:rsidRPr="002A4DCF">
        <w:rPr>
          <w:rFonts w:ascii="Times New Roman" w:eastAsia="Times New Roman" w:hAnsi="Times New Roman" w:cs="Times New Roman"/>
          <w:sz w:val="24"/>
          <w:szCs w:val="24"/>
        </w:rPr>
        <w:t>Penadés</w:t>
      </w:r>
      <w:proofErr w:type="spellEnd"/>
      <w:r w:rsidRPr="002A4DCF">
        <w:rPr>
          <w:rFonts w:ascii="Times New Roman" w:eastAsia="Times New Roman" w:hAnsi="Times New Roman" w:cs="Times New Roman"/>
          <w:sz w:val="24"/>
          <w:szCs w:val="24"/>
        </w:rPr>
        <w:t xml:space="preserve">, J. R., &amp; Cui, L. (2020). Development of CRISPR-Cas13a-based antimicrobials capable of sequence-specific killing of target bacteria. </w:t>
      </w:r>
      <w:r w:rsidRPr="002A4DCF">
        <w:rPr>
          <w:rFonts w:ascii="Times New Roman" w:eastAsia="Times New Roman" w:hAnsi="Times New Roman" w:cs="Times New Roman"/>
          <w:i/>
          <w:iCs/>
          <w:sz w:val="24"/>
          <w:szCs w:val="24"/>
        </w:rPr>
        <w:t>Nature Communications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11</w:t>
      </w:r>
      <w:r w:rsidRPr="002A4DCF">
        <w:rPr>
          <w:rFonts w:ascii="Times New Roman" w:eastAsia="Times New Roman" w:hAnsi="Times New Roman" w:cs="Times New Roman"/>
          <w:sz w:val="24"/>
          <w:szCs w:val="24"/>
        </w:rPr>
        <w:t xml:space="preserve">(1), 2934. </w:t>
      </w:r>
      <w:hyperlink r:id="rId23" w:history="1">
        <w:r w:rsidRPr="002A4DCF">
          <w:rPr>
            <w:rFonts w:ascii="Times New Roman" w:eastAsia="Times New Roman" w:hAnsi="Times New Roman" w:cs="Times New Roman"/>
            <w:color w:val="0000FF"/>
            <w:sz w:val="24"/>
            <w:szCs w:val="24"/>
            <w:u w:val="single"/>
          </w:rPr>
          <w:t>https://doi.org/10.1038/s41467-020-16731-6</w:t>
        </w:r>
      </w:hyperlink>
    </w:p>
    <w:p w14:paraId="2A63184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Kortright, K. E., Chan, B. K., Koff, J. L., &amp; Turner, P. E. (2019). Phage therapy: a renewed approach to combat antibiotic-resistant bacteria. </w:t>
      </w:r>
      <w:r w:rsidRPr="002A4DCF">
        <w:rPr>
          <w:rFonts w:ascii="Times New Roman" w:eastAsia="Times New Roman" w:hAnsi="Times New Roman" w:cs="Times New Roman"/>
          <w:i/>
          <w:iCs/>
          <w:sz w:val="24"/>
          <w:szCs w:val="24"/>
        </w:rPr>
        <w:t>Cell Host &amp; Microbe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25</w:t>
      </w:r>
      <w:r w:rsidRPr="002A4DCF">
        <w:rPr>
          <w:rFonts w:ascii="Times New Roman" w:eastAsia="Times New Roman" w:hAnsi="Times New Roman" w:cs="Times New Roman"/>
          <w:sz w:val="24"/>
          <w:szCs w:val="24"/>
        </w:rPr>
        <w:t xml:space="preserve">(2), 219–232. </w:t>
      </w:r>
      <w:hyperlink r:id="rId24" w:history="1">
        <w:r w:rsidRPr="002A4DCF">
          <w:rPr>
            <w:rFonts w:ascii="Times New Roman" w:eastAsia="Times New Roman" w:hAnsi="Times New Roman" w:cs="Times New Roman"/>
            <w:color w:val="0000FF"/>
            <w:sz w:val="24"/>
            <w:szCs w:val="24"/>
            <w:u w:val="single"/>
          </w:rPr>
          <w:t>https://doi.org/10.1016/j.chom.2019.01.014</w:t>
        </w:r>
      </w:hyperlink>
    </w:p>
    <w:p w14:paraId="36A66F99"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Laxminarayan, R., Duse, A., Wattal, C., Zaidi, A. K. M., Wertheim, H. F. L., </w:t>
      </w:r>
      <w:proofErr w:type="spellStart"/>
      <w:r w:rsidRPr="002A4DCF">
        <w:rPr>
          <w:rFonts w:ascii="Times New Roman" w:eastAsia="Times New Roman" w:hAnsi="Times New Roman" w:cs="Times New Roman"/>
          <w:sz w:val="24"/>
          <w:szCs w:val="24"/>
        </w:rPr>
        <w:t>Sumpradit</w:t>
      </w:r>
      <w:proofErr w:type="spellEnd"/>
      <w:r w:rsidRPr="002A4DCF">
        <w:rPr>
          <w:rFonts w:ascii="Times New Roman" w:eastAsia="Times New Roman" w:hAnsi="Times New Roman" w:cs="Times New Roman"/>
          <w:sz w:val="24"/>
          <w:szCs w:val="24"/>
        </w:rPr>
        <w:t xml:space="preserve">, N., </w:t>
      </w:r>
      <w:proofErr w:type="spellStart"/>
      <w:r w:rsidRPr="002A4DCF">
        <w:rPr>
          <w:rFonts w:ascii="Times New Roman" w:eastAsia="Times New Roman" w:hAnsi="Times New Roman" w:cs="Times New Roman"/>
          <w:sz w:val="24"/>
          <w:szCs w:val="24"/>
        </w:rPr>
        <w:t>Vlieghe</w:t>
      </w:r>
      <w:proofErr w:type="spellEnd"/>
      <w:r w:rsidRPr="002A4DCF">
        <w:rPr>
          <w:rFonts w:ascii="Times New Roman" w:eastAsia="Times New Roman" w:hAnsi="Times New Roman" w:cs="Times New Roman"/>
          <w:sz w:val="24"/>
          <w:szCs w:val="24"/>
        </w:rPr>
        <w:t xml:space="preserve">, E., Hara, G. L., Gould, I. M., Goossens, H., Greko, C., So, A. D., Bigdeli, M., Tomson, G., Woodhouse, W., </w:t>
      </w:r>
      <w:proofErr w:type="spellStart"/>
      <w:r w:rsidRPr="002A4DCF">
        <w:rPr>
          <w:rFonts w:ascii="Times New Roman" w:eastAsia="Times New Roman" w:hAnsi="Times New Roman" w:cs="Times New Roman"/>
          <w:sz w:val="24"/>
          <w:szCs w:val="24"/>
        </w:rPr>
        <w:t>Ombaka</w:t>
      </w:r>
      <w:proofErr w:type="spellEnd"/>
      <w:r w:rsidRPr="002A4DCF">
        <w:rPr>
          <w:rFonts w:ascii="Times New Roman" w:eastAsia="Times New Roman" w:hAnsi="Times New Roman" w:cs="Times New Roman"/>
          <w:sz w:val="24"/>
          <w:szCs w:val="24"/>
        </w:rPr>
        <w:t xml:space="preserve">, E., Peralta, A. Q., Qamar, F. N., Mir, F., ... Cars, O. (2013). Antibiotic resistance—the need for global solutions. </w:t>
      </w:r>
      <w:r w:rsidRPr="002A4DCF">
        <w:rPr>
          <w:rFonts w:ascii="Times New Roman" w:eastAsia="Times New Roman" w:hAnsi="Times New Roman" w:cs="Times New Roman"/>
          <w:i/>
          <w:iCs/>
          <w:sz w:val="24"/>
          <w:szCs w:val="24"/>
        </w:rPr>
        <w:t>The Lancet</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382</w:t>
      </w:r>
      <w:r w:rsidRPr="002A4DCF">
        <w:rPr>
          <w:rFonts w:ascii="Times New Roman" w:eastAsia="Times New Roman" w:hAnsi="Times New Roman" w:cs="Times New Roman"/>
          <w:sz w:val="24"/>
          <w:szCs w:val="24"/>
        </w:rPr>
        <w:t xml:space="preserve">(9912), 1057–1098. </w:t>
      </w:r>
      <w:hyperlink r:id="rId25" w:history="1">
        <w:r w:rsidRPr="002A4DCF">
          <w:rPr>
            <w:rFonts w:ascii="Times New Roman" w:eastAsia="Times New Roman" w:hAnsi="Times New Roman" w:cs="Times New Roman"/>
            <w:color w:val="0000FF"/>
            <w:sz w:val="24"/>
            <w:szCs w:val="24"/>
            <w:u w:val="single"/>
          </w:rPr>
          <w:t>https://doi.org/10.1016/S0140-6736(13)60081-9</w:t>
        </w:r>
      </w:hyperlink>
    </w:p>
    <w:p w14:paraId="2A140F55"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Lino, C. A., Harper, J. C., Carney, J. P., &amp; Timlin, J. A. (2018). Delivering CRISPR: a review of the challenges and approaches. </w:t>
      </w:r>
      <w:r w:rsidRPr="002A4DCF">
        <w:rPr>
          <w:rFonts w:ascii="Times New Roman" w:eastAsia="Times New Roman" w:hAnsi="Times New Roman" w:cs="Times New Roman"/>
          <w:i/>
          <w:iCs/>
          <w:sz w:val="24"/>
          <w:szCs w:val="24"/>
        </w:rPr>
        <w:t>Drug Delivery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25</w:t>
      </w:r>
      <w:r w:rsidRPr="002A4DCF">
        <w:rPr>
          <w:rFonts w:ascii="Times New Roman" w:eastAsia="Times New Roman" w:hAnsi="Times New Roman" w:cs="Times New Roman"/>
          <w:sz w:val="24"/>
          <w:szCs w:val="24"/>
        </w:rPr>
        <w:t xml:space="preserve">(1), 1234–1257. </w:t>
      </w:r>
      <w:hyperlink r:id="rId26" w:history="1">
        <w:r w:rsidRPr="002A4DCF">
          <w:rPr>
            <w:rFonts w:ascii="Times New Roman" w:eastAsia="Times New Roman" w:hAnsi="Times New Roman" w:cs="Times New Roman"/>
            <w:color w:val="0000FF"/>
            <w:sz w:val="24"/>
            <w:szCs w:val="24"/>
            <w:u w:val="single"/>
          </w:rPr>
          <w:t>https://doi.org/10.1080/10717544.2018.1474964</w:t>
        </w:r>
      </w:hyperlink>
    </w:p>
    <w:p w14:paraId="5E9D060B"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Liu, Y.-Y., Wang, Y., Walsh, T. R., Yi, L.-X., Zhang, R., Spencer, J., Doi, Y., Tian, G., Dong, B., Huang, X., Yu, L.-F., Gu, D., Ren, H., Chen, X., </w:t>
      </w:r>
      <w:proofErr w:type="spellStart"/>
      <w:r w:rsidRPr="002A4DCF">
        <w:rPr>
          <w:rFonts w:ascii="Times New Roman" w:eastAsia="Times New Roman" w:hAnsi="Times New Roman" w:cs="Times New Roman"/>
          <w:sz w:val="24"/>
          <w:szCs w:val="24"/>
        </w:rPr>
        <w:t>Lv</w:t>
      </w:r>
      <w:proofErr w:type="spellEnd"/>
      <w:r w:rsidRPr="002A4DCF">
        <w:rPr>
          <w:rFonts w:ascii="Times New Roman" w:eastAsia="Times New Roman" w:hAnsi="Times New Roman" w:cs="Times New Roman"/>
          <w:sz w:val="24"/>
          <w:szCs w:val="24"/>
        </w:rPr>
        <w:t xml:space="preserve">, L., He, D., Zhou, H., Liang, Z., Liu, J.-H., &amp; Shen, J. (2016). Emergence of plasmid-mediated colistin resistance mechanism MCR-1 in animals and human beings in China: a microbiological and molecular biological study. </w:t>
      </w:r>
      <w:r w:rsidRPr="002A4DCF">
        <w:rPr>
          <w:rFonts w:ascii="Times New Roman" w:eastAsia="Times New Roman" w:hAnsi="Times New Roman" w:cs="Times New Roman"/>
          <w:i/>
          <w:iCs/>
          <w:sz w:val="24"/>
          <w:szCs w:val="24"/>
        </w:rPr>
        <w:t>The Lancet Infectious Diseases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16</w:t>
      </w:r>
      <w:r w:rsidRPr="002A4DCF">
        <w:rPr>
          <w:rFonts w:ascii="Times New Roman" w:eastAsia="Times New Roman" w:hAnsi="Times New Roman" w:cs="Times New Roman"/>
          <w:sz w:val="24"/>
          <w:szCs w:val="24"/>
        </w:rPr>
        <w:t xml:space="preserve">(2), 161–168. </w:t>
      </w:r>
      <w:hyperlink r:id="rId27" w:history="1">
        <w:r w:rsidRPr="002A4DCF">
          <w:rPr>
            <w:rFonts w:ascii="Times New Roman" w:eastAsia="Times New Roman" w:hAnsi="Times New Roman" w:cs="Times New Roman"/>
            <w:color w:val="0000FF"/>
            <w:sz w:val="24"/>
            <w:szCs w:val="24"/>
            <w:u w:val="single"/>
          </w:rPr>
          <w:t>https://doi.org/10.1016/S1473-3099(15)00424-7</w:t>
        </w:r>
      </w:hyperlink>
    </w:p>
    <w:p w14:paraId="48FDCFDA"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Loc-Carrillo, C., &amp; Abedon, S. T. (2011). Pros and cons of phage therapy. </w:t>
      </w:r>
      <w:r w:rsidRPr="002A4DCF">
        <w:rPr>
          <w:rFonts w:ascii="Times New Roman" w:eastAsia="Times New Roman" w:hAnsi="Times New Roman" w:cs="Times New Roman"/>
          <w:i/>
          <w:iCs/>
          <w:sz w:val="24"/>
          <w:szCs w:val="24"/>
        </w:rPr>
        <w:t>Bacteriophage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w:t>
      </w:r>
      <w:r w:rsidRPr="002A4DCF">
        <w:rPr>
          <w:rFonts w:ascii="Times New Roman" w:eastAsia="Times New Roman" w:hAnsi="Times New Roman" w:cs="Times New Roman"/>
          <w:sz w:val="24"/>
          <w:szCs w:val="24"/>
        </w:rPr>
        <w:t xml:space="preserve">(2), 111–114. </w:t>
      </w:r>
      <w:hyperlink r:id="rId28" w:history="1">
        <w:r w:rsidRPr="002A4DCF">
          <w:rPr>
            <w:rFonts w:ascii="Times New Roman" w:eastAsia="Times New Roman" w:hAnsi="Times New Roman" w:cs="Times New Roman"/>
            <w:color w:val="0000FF"/>
            <w:sz w:val="24"/>
            <w:szCs w:val="24"/>
            <w:u w:val="single"/>
          </w:rPr>
          <w:t>https://doi.org/10.4161/bact.1.2.14590</w:t>
        </w:r>
      </w:hyperlink>
    </w:p>
    <w:p w14:paraId="4C1BC1B3"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Mitchell, M. J., Billingsley, M. M., Haley, R. M., Wechsler, M. E., Peppas, N. A., &amp; Langer, R. (2021). Engineering precision nanoparticles for drug delivery. </w:t>
      </w:r>
      <w:r w:rsidRPr="002A4DCF">
        <w:rPr>
          <w:rFonts w:ascii="Times New Roman" w:eastAsia="Times New Roman" w:hAnsi="Times New Roman" w:cs="Times New Roman"/>
          <w:i/>
          <w:iCs/>
          <w:sz w:val="24"/>
          <w:szCs w:val="24"/>
        </w:rPr>
        <w:t>Nature Reviews Drug Discovery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20</w:t>
      </w:r>
      <w:r w:rsidRPr="002A4DCF">
        <w:rPr>
          <w:rFonts w:ascii="Times New Roman" w:eastAsia="Times New Roman" w:hAnsi="Times New Roman" w:cs="Times New Roman"/>
          <w:sz w:val="24"/>
          <w:szCs w:val="24"/>
        </w:rPr>
        <w:t xml:space="preserve">(2), 101–124. </w:t>
      </w:r>
      <w:hyperlink r:id="rId29" w:history="1">
        <w:r w:rsidRPr="002A4DCF">
          <w:rPr>
            <w:rFonts w:ascii="Times New Roman" w:eastAsia="Times New Roman" w:hAnsi="Times New Roman" w:cs="Times New Roman"/>
            <w:color w:val="0000FF"/>
            <w:sz w:val="24"/>
            <w:szCs w:val="24"/>
            <w:u w:val="single"/>
          </w:rPr>
          <w:t>https://doi.org/10.1038/s41573-020-0090-8</w:t>
        </w:r>
      </w:hyperlink>
    </w:p>
    <w:p w14:paraId="5FE2D242"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Moradigaravand</w:t>
      </w:r>
      <w:proofErr w:type="spellEnd"/>
      <w:r w:rsidRPr="002A4DCF">
        <w:rPr>
          <w:rFonts w:ascii="Times New Roman" w:eastAsia="Times New Roman" w:hAnsi="Times New Roman" w:cs="Times New Roman"/>
          <w:sz w:val="24"/>
          <w:szCs w:val="24"/>
        </w:rPr>
        <w:t xml:space="preserve">, D., Palm, M., Farewell, A., Mustonen, V., Warringer, J., &amp; Parts, L. (2018). Prediction of antibiotic resistance in </w:t>
      </w:r>
      <w:r w:rsidRPr="002A4DCF">
        <w:rPr>
          <w:rFonts w:ascii="Times New Roman" w:eastAsia="Times New Roman" w:hAnsi="Times New Roman" w:cs="Times New Roman"/>
          <w:i/>
          <w:iCs/>
          <w:sz w:val="24"/>
          <w:szCs w:val="24"/>
        </w:rPr>
        <w:t>Escherichia coli</w:t>
      </w:r>
      <w:r w:rsidRPr="002A4DCF">
        <w:rPr>
          <w:rFonts w:ascii="Times New Roman" w:eastAsia="Times New Roman" w:hAnsi="Times New Roman" w:cs="Times New Roman"/>
          <w:sz w:val="24"/>
          <w:szCs w:val="24"/>
        </w:rPr>
        <w:t xml:space="preserve"> from large-scale pan-genome data. </w:t>
      </w:r>
      <w:r w:rsidRPr="002A4DCF">
        <w:rPr>
          <w:rFonts w:ascii="Times New Roman" w:eastAsia="Times New Roman" w:hAnsi="Times New Roman" w:cs="Times New Roman"/>
          <w:i/>
          <w:iCs/>
          <w:sz w:val="24"/>
          <w:szCs w:val="24"/>
        </w:rPr>
        <w:t>PLOS Computational Biology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14</w:t>
      </w:r>
      <w:r w:rsidRPr="002A4DCF">
        <w:rPr>
          <w:rFonts w:ascii="Times New Roman" w:eastAsia="Times New Roman" w:hAnsi="Times New Roman" w:cs="Times New Roman"/>
          <w:sz w:val="24"/>
          <w:szCs w:val="24"/>
        </w:rPr>
        <w:t xml:space="preserve">(12), e1006258. </w:t>
      </w:r>
      <w:hyperlink r:id="rId30" w:history="1">
        <w:r w:rsidRPr="002A4DCF">
          <w:rPr>
            <w:rFonts w:ascii="Times New Roman" w:eastAsia="Times New Roman" w:hAnsi="Times New Roman" w:cs="Times New Roman"/>
            <w:color w:val="0000FF"/>
            <w:sz w:val="24"/>
            <w:szCs w:val="24"/>
            <w:u w:val="single"/>
          </w:rPr>
          <w:t>https://doi.org/10.1371/journal.pcbi.1006258</w:t>
        </w:r>
      </w:hyperlink>
    </w:p>
    <w:p w14:paraId="1BA90CD7"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lastRenderedPageBreak/>
        <w:t xml:space="preserve">Murray, C. J. L., Ikuta, K. S., Sharara, F., Swetschinski, L., Aguilar, G. R., Gray, A., Han, C., Bisignano, C., Rao, P., Wool, E., Johnson, S. C., Browne, A. J., Chipeta, M. G., Fell, F., Hackett, S., Haines-Woodhouse, G., Kashef Hamadani, B. H., Kumaran, E. A. P., McManigal, B., ... </w:t>
      </w:r>
      <w:proofErr w:type="spellStart"/>
      <w:r w:rsidRPr="002A4DCF">
        <w:rPr>
          <w:rFonts w:ascii="Times New Roman" w:eastAsia="Times New Roman" w:hAnsi="Times New Roman" w:cs="Times New Roman"/>
          <w:sz w:val="24"/>
          <w:szCs w:val="24"/>
        </w:rPr>
        <w:t>Naghavi</w:t>
      </w:r>
      <w:proofErr w:type="spellEnd"/>
      <w:r w:rsidRPr="002A4DCF">
        <w:rPr>
          <w:rFonts w:ascii="Times New Roman" w:eastAsia="Times New Roman" w:hAnsi="Times New Roman" w:cs="Times New Roman"/>
          <w:sz w:val="24"/>
          <w:szCs w:val="24"/>
        </w:rPr>
        <w:t xml:space="preserve">, M. (2022). Global burden of bacterial antimicrobial resistance in 2019: a systematic analysis. </w:t>
      </w:r>
      <w:r w:rsidRPr="002A4DCF">
        <w:rPr>
          <w:rFonts w:ascii="Times New Roman" w:eastAsia="Times New Roman" w:hAnsi="Times New Roman" w:cs="Times New Roman"/>
          <w:i/>
          <w:iCs/>
          <w:sz w:val="24"/>
          <w:szCs w:val="24"/>
        </w:rPr>
        <w:t>The Lancet</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399</w:t>
      </w:r>
      <w:r w:rsidRPr="002A4DCF">
        <w:rPr>
          <w:rFonts w:ascii="Times New Roman" w:eastAsia="Times New Roman" w:hAnsi="Times New Roman" w:cs="Times New Roman"/>
          <w:sz w:val="24"/>
          <w:szCs w:val="24"/>
        </w:rPr>
        <w:t xml:space="preserve">(10325), 629–655. </w:t>
      </w:r>
      <w:hyperlink r:id="rId31" w:history="1">
        <w:r w:rsidRPr="002A4DCF">
          <w:rPr>
            <w:rFonts w:ascii="Times New Roman" w:eastAsia="Times New Roman" w:hAnsi="Times New Roman" w:cs="Times New Roman"/>
            <w:color w:val="0000FF"/>
            <w:sz w:val="24"/>
            <w:szCs w:val="24"/>
            <w:u w:val="single"/>
          </w:rPr>
          <w:t>https://doi.org/10.1016/S0140-6736(21)02724-0</w:t>
        </w:r>
      </w:hyperlink>
    </w:p>
    <w:p w14:paraId="3F5E45EF"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Pelgrift</w:t>
      </w:r>
      <w:proofErr w:type="spellEnd"/>
      <w:r w:rsidRPr="002A4DCF">
        <w:rPr>
          <w:rFonts w:ascii="Times New Roman" w:eastAsia="Times New Roman" w:hAnsi="Times New Roman" w:cs="Times New Roman"/>
          <w:sz w:val="24"/>
          <w:szCs w:val="24"/>
        </w:rPr>
        <w:t xml:space="preserve">, R. Y., &amp; Friedman, A. J. (2013). Nanotechnology as a therapeutic tool to combat microbial resistance. </w:t>
      </w:r>
      <w:r w:rsidRPr="002A4DCF">
        <w:rPr>
          <w:rFonts w:ascii="Times New Roman" w:eastAsia="Times New Roman" w:hAnsi="Times New Roman" w:cs="Times New Roman"/>
          <w:i/>
          <w:iCs/>
          <w:sz w:val="24"/>
          <w:szCs w:val="24"/>
        </w:rPr>
        <w:t>Advanced Drug Delivery Reviews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65</w:t>
      </w:r>
      <w:r w:rsidRPr="002A4DCF">
        <w:rPr>
          <w:rFonts w:ascii="Times New Roman" w:eastAsia="Times New Roman" w:hAnsi="Times New Roman" w:cs="Times New Roman"/>
          <w:sz w:val="24"/>
          <w:szCs w:val="24"/>
        </w:rPr>
        <w:t xml:space="preserve">(13–14), 1803–1815. </w:t>
      </w:r>
      <w:hyperlink r:id="rId32" w:history="1">
        <w:r w:rsidRPr="002A4DCF">
          <w:rPr>
            <w:rFonts w:ascii="Times New Roman" w:eastAsia="Times New Roman" w:hAnsi="Times New Roman" w:cs="Times New Roman"/>
            <w:color w:val="0000FF"/>
            <w:sz w:val="24"/>
            <w:szCs w:val="24"/>
            <w:u w:val="single"/>
          </w:rPr>
          <w:t>https://doi.org/10.1016/j.addr.2013.07.011</w:t>
        </w:r>
      </w:hyperlink>
    </w:p>
    <w:p w14:paraId="1EADB3A6"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A4DCF">
        <w:rPr>
          <w:rFonts w:ascii="Times New Roman" w:eastAsia="Times New Roman" w:hAnsi="Times New Roman" w:cs="Times New Roman"/>
          <w:sz w:val="24"/>
          <w:szCs w:val="24"/>
        </w:rPr>
        <w:t>Pirnay</w:t>
      </w:r>
      <w:proofErr w:type="spellEnd"/>
      <w:r w:rsidRPr="002A4DCF">
        <w:rPr>
          <w:rFonts w:ascii="Times New Roman" w:eastAsia="Times New Roman" w:hAnsi="Times New Roman" w:cs="Times New Roman"/>
          <w:sz w:val="24"/>
          <w:szCs w:val="24"/>
        </w:rPr>
        <w:t xml:space="preserve">, J.-P., </w:t>
      </w:r>
      <w:proofErr w:type="spellStart"/>
      <w:r w:rsidRPr="002A4DCF">
        <w:rPr>
          <w:rFonts w:ascii="Times New Roman" w:eastAsia="Times New Roman" w:hAnsi="Times New Roman" w:cs="Times New Roman"/>
          <w:sz w:val="24"/>
          <w:szCs w:val="24"/>
        </w:rPr>
        <w:t>Verbeken</w:t>
      </w:r>
      <w:proofErr w:type="spellEnd"/>
      <w:r w:rsidRPr="002A4DCF">
        <w:rPr>
          <w:rFonts w:ascii="Times New Roman" w:eastAsia="Times New Roman" w:hAnsi="Times New Roman" w:cs="Times New Roman"/>
          <w:sz w:val="24"/>
          <w:szCs w:val="24"/>
        </w:rPr>
        <w:t xml:space="preserve">, G., </w:t>
      </w:r>
      <w:proofErr w:type="spellStart"/>
      <w:r w:rsidRPr="002A4DCF">
        <w:rPr>
          <w:rFonts w:ascii="Times New Roman" w:eastAsia="Times New Roman" w:hAnsi="Times New Roman" w:cs="Times New Roman"/>
          <w:sz w:val="24"/>
          <w:szCs w:val="24"/>
        </w:rPr>
        <w:t>Ceyssens</w:t>
      </w:r>
      <w:proofErr w:type="spellEnd"/>
      <w:r w:rsidRPr="002A4DCF">
        <w:rPr>
          <w:rFonts w:ascii="Times New Roman" w:eastAsia="Times New Roman" w:hAnsi="Times New Roman" w:cs="Times New Roman"/>
          <w:sz w:val="24"/>
          <w:szCs w:val="24"/>
        </w:rPr>
        <w:t xml:space="preserve">, P.-J., Huys, I., De Vos, D., </w:t>
      </w:r>
      <w:proofErr w:type="spellStart"/>
      <w:r w:rsidRPr="002A4DCF">
        <w:rPr>
          <w:rFonts w:ascii="Times New Roman" w:eastAsia="Times New Roman" w:hAnsi="Times New Roman" w:cs="Times New Roman"/>
          <w:sz w:val="24"/>
          <w:szCs w:val="24"/>
        </w:rPr>
        <w:t>Ameloot</w:t>
      </w:r>
      <w:proofErr w:type="spellEnd"/>
      <w:r w:rsidRPr="002A4DCF">
        <w:rPr>
          <w:rFonts w:ascii="Times New Roman" w:eastAsia="Times New Roman" w:hAnsi="Times New Roman" w:cs="Times New Roman"/>
          <w:sz w:val="24"/>
          <w:szCs w:val="24"/>
        </w:rPr>
        <w:t xml:space="preserve">, C., &amp; </w:t>
      </w:r>
      <w:proofErr w:type="spellStart"/>
      <w:r w:rsidRPr="002A4DCF">
        <w:rPr>
          <w:rFonts w:ascii="Times New Roman" w:eastAsia="Times New Roman" w:hAnsi="Times New Roman" w:cs="Times New Roman"/>
          <w:sz w:val="24"/>
          <w:szCs w:val="24"/>
        </w:rPr>
        <w:t>Fauconnier</w:t>
      </w:r>
      <w:proofErr w:type="spellEnd"/>
      <w:r w:rsidRPr="002A4DCF">
        <w:rPr>
          <w:rFonts w:ascii="Times New Roman" w:eastAsia="Times New Roman" w:hAnsi="Times New Roman" w:cs="Times New Roman"/>
          <w:sz w:val="24"/>
          <w:szCs w:val="24"/>
        </w:rPr>
        <w:t xml:space="preserve">, A. (2018). The magistral phage. </w:t>
      </w:r>
      <w:r w:rsidRPr="002A4DCF">
        <w:rPr>
          <w:rFonts w:ascii="Times New Roman" w:eastAsia="Times New Roman" w:hAnsi="Times New Roman" w:cs="Times New Roman"/>
          <w:i/>
          <w:iCs/>
          <w:sz w:val="24"/>
          <w:szCs w:val="24"/>
        </w:rPr>
        <w:t>Viruses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10</w:t>
      </w:r>
      <w:r w:rsidRPr="002A4DCF">
        <w:rPr>
          <w:rFonts w:ascii="Times New Roman" w:eastAsia="Times New Roman" w:hAnsi="Times New Roman" w:cs="Times New Roman"/>
          <w:sz w:val="24"/>
          <w:szCs w:val="24"/>
        </w:rPr>
        <w:t xml:space="preserve">(4), 64. </w:t>
      </w:r>
      <w:hyperlink r:id="rId33" w:history="1">
        <w:r w:rsidRPr="002A4DCF">
          <w:rPr>
            <w:rFonts w:ascii="Times New Roman" w:eastAsia="Times New Roman" w:hAnsi="Times New Roman" w:cs="Times New Roman"/>
            <w:color w:val="0000FF"/>
            <w:sz w:val="24"/>
            <w:szCs w:val="24"/>
            <w:u w:val="single"/>
          </w:rPr>
          <w:t>https://doi.org/10.3390/v10040064</w:t>
        </w:r>
      </w:hyperlink>
    </w:p>
    <w:p w14:paraId="08D1A845"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Pires, D. P., Oliveira, H., Melo, L. D. R., </w:t>
      </w:r>
      <w:proofErr w:type="spellStart"/>
      <w:r w:rsidRPr="002A4DCF">
        <w:rPr>
          <w:rFonts w:ascii="Times New Roman" w:eastAsia="Times New Roman" w:hAnsi="Times New Roman" w:cs="Times New Roman"/>
          <w:sz w:val="24"/>
          <w:szCs w:val="24"/>
        </w:rPr>
        <w:t>Sillankorva</w:t>
      </w:r>
      <w:proofErr w:type="spellEnd"/>
      <w:r w:rsidRPr="002A4DCF">
        <w:rPr>
          <w:rFonts w:ascii="Times New Roman" w:eastAsia="Times New Roman" w:hAnsi="Times New Roman" w:cs="Times New Roman"/>
          <w:sz w:val="24"/>
          <w:szCs w:val="24"/>
        </w:rPr>
        <w:t xml:space="preserve">, S., &amp; Azeredo, J. (2016). Bacteriophage-encoded depolymerases: their diversity and biotechnological applications. </w:t>
      </w:r>
      <w:r w:rsidRPr="002A4DCF">
        <w:rPr>
          <w:rFonts w:ascii="Times New Roman" w:eastAsia="Times New Roman" w:hAnsi="Times New Roman" w:cs="Times New Roman"/>
          <w:i/>
          <w:iCs/>
          <w:sz w:val="24"/>
          <w:szCs w:val="24"/>
        </w:rPr>
        <w:t>Applied Microbiology and Biotechnology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100</w:t>
      </w:r>
      <w:r w:rsidRPr="002A4DCF">
        <w:rPr>
          <w:rFonts w:ascii="Times New Roman" w:eastAsia="Times New Roman" w:hAnsi="Times New Roman" w:cs="Times New Roman"/>
          <w:sz w:val="24"/>
          <w:szCs w:val="24"/>
        </w:rPr>
        <w:t xml:space="preserve">(5), 2141–2151. </w:t>
      </w:r>
      <w:hyperlink r:id="rId34" w:history="1">
        <w:r w:rsidRPr="002A4DCF">
          <w:rPr>
            <w:rFonts w:ascii="Times New Roman" w:eastAsia="Times New Roman" w:hAnsi="Times New Roman" w:cs="Times New Roman"/>
            <w:color w:val="0000FF"/>
            <w:sz w:val="24"/>
            <w:szCs w:val="24"/>
            <w:u w:val="single"/>
          </w:rPr>
          <w:t>https://doi.org/10.1007/s00253-015-7247-0</w:t>
        </w:r>
      </w:hyperlink>
    </w:p>
    <w:p w14:paraId="6E31250C"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Rai, M., Yadav, A., &amp; Gade, A. (2009). Silver nanoparticles as a new generation of antimicrobials. </w:t>
      </w:r>
      <w:r w:rsidRPr="002A4DCF">
        <w:rPr>
          <w:rFonts w:ascii="Times New Roman" w:eastAsia="Times New Roman" w:hAnsi="Times New Roman" w:cs="Times New Roman"/>
          <w:i/>
          <w:iCs/>
          <w:sz w:val="24"/>
          <w:szCs w:val="24"/>
        </w:rPr>
        <w:t>Biotechnology Advances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27</w:t>
      </w:r>
      <w:r w:rsidRPr="002A4DCF">
        <w:rPr>
          <w:rFonts w:ascii="Times New Roman" w:eastAsia="Times New Roman" w:hAnsi="Times New Roman" w:cs="Times New Roman"/>
          <w:sz w:val="24"/>
          <w:szCs w:val="24"/>
        </w:rPr>
        <w:t xml:space="preserve">(1), 76–83. </w:t>
      </w:r>
      <w:hyperlink r:id="rId35" w:history="1">
        <w:r w:rsidRPr="002A4DCF">
          <w:rPr>
            <w:rFonts w:ascii="Times New Roman" w:eastAsia="Times New Roman" w:hAnsi="Times New Roman" w:cs="Times New Roman"/>
            <w:color w:val="0000FF"/>
            <w:sz w:val="24"/>
            <w:szCs w:val="24"/>
            <w:u w:val="single"/>
          </w:rPr>
          <w:t>https://doi.org/10.1016/j.biotechadv.2008.09.002</w:t>
        </w:r>
      </w:hyperlink>
    </w:p>
    <w:p w14:paraId="6E673039"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Schooley, R. T., Biswas, B., Gill, J. J., Hernandez-Morales, A., Lancaster, J., Lessor, L., Barr, J. J., Reed, S. L., Rohwer, F., Benler, S., Segall, A. M., Taplitz, R., Smith, D. M., Kerr, K., Rubin, M., Trent, J., Caffrey, C., Grossman, M. G., Dees, J., ... Hamilton, T. (2017). Development and use of personalized bacteriophage-based therapeutic cocktails to treat a patient with a disseminated resistant </w:t>
      </w:r>
      <w:r w:rsidRPr="002A4DCF">
        <w:rPr>
          <w:rFonts w:ascii="Times New Roman" w:eastAsia="Times New Roman" w:hAnsi="Times New Roman" w:cs="Times New Roman"/>
          <w:i/>
          <w:iCs/>
          <w:sz w:val="24"/>
          <w:szCs w:val="24"/>
        </w:rPr>
        <w:t>Acinetobacter baumannii</w:t>
      </w:r>
      <w:r w:rsidRPr="002A4DCF">
        <w:rPr>
          <w:rFonts w:ascii="Times New Roman" w:eastAsia="Times New Roman" w:hAnsi="Times New Roman" w:cs="Times New Roman"/>
          <w:sz w:val="24"/>
          <w:szCs w:val="24"/>
        </w:rPr>
        <w:t xml:space="preserve"> infection. </w:t>
      </w:r>
      <w:r w:rsidRPr="002A4DCF">
        <w:rPr>
          <w:rFonts w:ascii="Times New Roman" w:eastAsia="Times New Roman" w:hAnsi="Times New Roman" w:cs="Times New Roman"/>
          <w:i/>
          <w:iCs/>
          <w:sz w:val="24"/>
          <w:szCs w:val="24"/>
        </w:rPr>
        <w:t>Antimicrobial Agents and Chemotherapy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61</w:t>
      </w:r>
      <w:r w:rsidRPr="002A4DCF">
        <w:rPr>
          <w:rFonts w:ascii="Times New Roman" w:eastAsia="Times New Roman" w:hAnsi="Times New Roman" w:cs="Times New Roman"/>
          <w:sz w:val="24"/>
          <w:szCs w:val="24"/>
        </w:rPr>
        <w:t xml:space="preserve">(10), e00954-17. </w:t>
      </w:r>
      <w:hyperlink r:id="rId36" w:history="1">
        <w:r w:rsidRPr="002A4DCF">
          <w:rPr>
            <w:rFonts w:ascii="Times New Roman" w:eastAsia="Times New Roman" w:hAnsi="Times New Roman" w:cs="Times New Roman"/>
            <w:color w:val="0000FF"/>
            <w:sz w:val="24"/>
            <w:szCs w:val="24"/>
            <w:u w:val="single"/>
          </w:rPr>
          <w:t>https://doi.org/10.1128/AAC.00954-17</w:t>
        </w:r>
      </w:hyperlink>
    </w:p>
    <w:p w14:paraId="07B1E615"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Stokes, J. M., Yang, K., Swanson, K., Jin, W., Cubillos-Ruiz, A., Donghia, N. M., MacNair, C. R., French, S., Carfrae, L. A., Bloom-Ackermann, Z., Tran, V. M., </w:t>
      </w:r>
      <w:proofErr w:type="spellStart"/>
      <w:r w:rsidRPr="002A4DCF">
        <w:rPr>
          <w:rFonts w:ascii="Times New Roman" w:eastAsia="Times New Roman" w:hAnsi="Times New Roman" w:cs="Times New Roman"/>
          <w:sz w:val="24"/>
          <w:szCs w:val="24"/>
        </w:rPr>
        <w:t>Chiappino</w:t>
      </w:r>
      <w:proofErr w:type="spellEnd"/>
      <w:r w:rsidRPr="002A4DCF">
        <w:rPr>
          <w:rFonts w:ascii="Times New Roman" w:eastAsia="Times New Roman" w:hAnsi="Times New Roman" w:cs="Times New Roman"/>
          <w:sz w:val="24"/>
          <w:szCs w:val="24"/>
        </w:rPr>
        <w:t xml:space="preserve">-Pepe, A., Badran, A. H., Andrews, I. W., Chory, E. J., Church, G. M., Brown, E. D., Jaakkola, T. S., Barzilay, R., &amp; Collins, J. J. (2020). A deep learning approach to antibiotic discovery. </w:t>
      </w:r>
      <w:r w:rsidRPr="002A4DCF">
        <w:rPr>
          <w:rFonts w:ascii="Times New Roman" w:eastAsia="Times New Roman" w:hAnsi="Times New Roman" w:cs="Times New Roman"/>
          <w:i/>
          <w:iCs/>
          <w:sz w:val="24"/>
          <w:szCs w:val="24"/>
        </w:rPr>
        <w:t>Cell</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180</w:t>
      </w:r>
      <w:r w:rsidRPr="002A4DCF">
        <w:rPr>
          <w:rFonts w:ascii="Times New Roman" w:eastAsia="Times New Roman" w:hAnsi="Times New Roman" w:cs="Times New Roman"/>
          <w:sz w:val="24"/>
          <w:szCs w:val="24"/>
        </w:rPr>
        <w:t xml:space="preserve">(4), 688–702.e13. </w:t>
      </w:r>
      <w:hyperlink r:id="rId37" w:history="1">
        <w:r w:rsidRPr="002A4DCF">
          <w:rPr>
            <w:rFonts w:ascii="Times New Roman" w:eastAsia="Times New Roman" w:hAnsi="Times New Roman" w:cs="Times New Roman"/>
            <w:color w:val="0000FF"/>
            <w:sz w:val="24"/>
            <w:szCs w:val="24"/>
            <w:u w:val="single"/>
          </w:rPr>
          <w:t>https://doi.org/10.1016/j.cell.2020.01.021</w:t>
        </w:r>
      </w:hyperlink>
    </w:p>
    <w:p w14:paraId="4ED47258"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Tao, P., Wu, X., Tang, W.-C., Zhu, J., &amp; Rao, V. B. (2017). Engineering of bacteriophage T4 genome using CRISPR-Cas9. </w:t>
      </w:r>
      <w:r w:rsidRPr="002A4DCF">
        <w:rPr>
          <w:rFonts w:ascii="Times New Roman" w:eastAsia="Times New Roman" w:hAnsi="Times New Roman" w:cs="Times New Roman"/>
          <w:i/>
          <w:iCs/>
          <w:sz w:val="24"/>
          <w:szCs w:val="24"/>
        </w:rPr>
        <w:t>ACS Synthetic Biology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6</w:t>
      </w:r>
      <w:r w:rsidRPr="002A4DCF">
        <w:rPr>
          <w:rFonts w:ascii="Times New Roman" w:eastAsia="Times New Roman" w:hAnsi="Times New Roman" w:cs="Times New Roman"/>
          <w:sz w:val="24"/>
          <w:szCs w:val="24"/>
        </w:rPr>
        <w:t xml:space="preserve">(10), 1952–1961. </w:t>
      </w:r>
      <w:hyperlink r:id="rId38" w:history="1">
        <w:r w:rsidRPr="002A4DCF">
          <w:rPr>
            <w:rFonts w:ascii="Times New Roman" w:eastAsia="Times New Roman" w:hAnsi="Times New Roman" w:cs="Times New Roman"/>
            <w:color w:val="0000FF"/>
            <w:sz w:val="24"/>
            <w:szCs w:val="24"/>
            <w:u w:val="single"/>
          </w:rPr>
          <w:t>https://doi.org/10.1021/acssynbio.7b00179</w:t>
        </w:r>
      </w:hyperlink>
    </w:p>
    <w:p w14:paraId="47337515"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Van Boeckel, T. P., Gandra, S., Ashok, A., Caudron, Q., Grenfell, B. T., Laxminarayan, R., &amp; </w:t>
      </w:r>
      <w:proofErr w:type="spellStart"/>
      <w:r w:rsidRPr="002A4DCF">
        <w:rPr>
          <w:rFonts w:ascii="Times New Roman" w:eastAsia="Times New Roman" w:hAnsi="Times New Roman" w:cs="Times New Roman"/>
          <w:sz w:val="24"/>
          <w:szCs w:val="24"/>
        </w:rPr>
        <w:t>Lipsitch</w:t>
      </w:r>
      <w:proofErr w:type="spellEnd"/>
      <w:r w:rsidRPr="002A4DCF">
        <w:rPr>
          <w:rFonts w:ascii="Times New Roman" w:eastAsia="Times New Roman" w:hAnsi="Times New Roman" w:cs="Times New Roman"/>
          <w:sz w:val="24"/>
          <w:szCs w:val="24"/>
        </w:rPr>
        <w:t xml:space="preserve">, M. (2014). Global antibiotic consumption 2000 to 2010: an analysis. </w:t>
      </w:r>
      <w:r w:rsidRPr="002A4DCF">
        <w:rPr>
          <w:rFonts w:ascii="Times New Roman" w:eastAsia="Times New Roman" w:hAnsi="Times New Roman" w:cs="Times New Roman"/>
          <w:i/>
          <w:iCs/>
          <w:sz w:val="24"/>
          <w:szCs w:val="24"/>
        </w:rPr>
        <w:t>The Lancet Infectious Diseases</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14</w:t>
      </w:r>
      <w:r w:rsidRPr="002A4DCF">
        <w:rPr>
          <w:rFonts w:ascii="Times New Roman" w:eastAsia="Times New Roman" w:hAnsi="Times New Roman" w:cs="Times New Roman"/>
          <w:sz w:val="24"/>
          <w:szCs w:val="24"/>
        </w:rPr>
        <w:t xml:space="preserve">(8), 742–750. </w:t>
      </w:r>
      <w:hyperlink r:id="rId39" w:history="1">
        <w:r w:rsidRPr="002A4DCF">
          <w:rPr>
            <w:rFonts w:ascii="Times New Roman" w:eastAsia="Times New Roman" w:hAnsi="Times New Roman" w:cs="Times New Roman"/>
            <w:color w:val="0000FF"/>
            <w:sz w:val="24"/>
            <w:szCs w:val="24"/>
            <w:u w:val="single"/>
          </w:rPr>
          <w:t>https://doi.org/10.1016/S1473-3099(14)70780-7</w:t>
        </w:r>
      </w:hyperlink>
    </w:p>
    <w:p w14:paraId="1C1F7BAD"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Van Boeckel, T. P., Pires, J., Silvester, R., Zhao, C., Song, J., Criscuolo, N. G., Gilbert, M., Bonhoeffer, S., &amp; Laxminarayan, R. (2019). Global trends in antimicrobial resistance in animals in low- and middle-income countries. </w:t>
      </w:r>
      <w:r w:rsidRPr="002A4DCF">
        <w:rPr>
          <w:rFonts w:ascii="Times New Roman" w:eastAsia="Times New Roman" w:hAnsi="Times New Roman" w:cs="Times New Roman"/>
          <w:i/>
          <w:iCs/>
          <w:sz w:val="24"/>
          <w:szCs w:val="24"/>
        </w:rPr>
        <w:t>Science</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365</w:t>
      </w:r>
      <w:r w:rsidRPr="002A4DCF">
        <w:rPr>
          <w:rFonts w:ascii="Times New Roman" w:eastAsia="Times New Roman" w:hAnsi="Times New Roman" w:cs="Times New Roman"/>
          <w:sz w:val="24"/>
          <w:szCs w:val="24"/>
        </w:rPr>
        <w:t xml:space="preserve">(6459), eaaw1944. </w:t>
      </w:r>
      <w:hyperlink r:id="rId40" w:history="1">
        <w:r w:rsidRPr="002A4DCF">
          <w:rPr>
            <w:rFonts w:ascii="Times New Roman" w:eastAsia="Times New Roman" w:hAnsi="Times New Roman" w:cs="Times New Roman"/>
            <w:color w:val="0000FF"/>
            <w:sz w:val="24"/>
            <w:szCs w:val="24"/>
            <w:u w:val="single"/>
          </w:rPr>
          <w:t>https://doi.org/10.1126/science.aaw1944</w:t>
        </w:r>
      </w:hyperlink>
    </w:p>
    <w:p w14:paraId="7ED8558A"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lastRenderedPageBreak/>
        <w:t xml:space="preserve">Vamathevan, J., Clark, D., </w:t>
      </w:r>
      <w:proofErr w:type="spellStart"/>
      <w:r w:rsidRPr="002A4DCF">
        <w:rPr>
          <w:rFonts w:ascii="Times New Roman" w:eastAsia="Times New Roman" w:hAnsi="Times New Roman" w:cs="Times New Roman"/>
          <w:sz w:val="24"/>
          <w:szCs w:val="24"/>
        </w:rPr>
        <w:t>Czodrowski</w:t>
      </w:r>
      <w:proofErr w:type="spellEnd"/>
      <w:r w:rsidRPr="002A4DCF">
        <w:rPr>
          <w:rFonts w:ascii="Times New Roman" w:eastAsia="Times New Roman" w:hAnsi="Times New Roman" w:cs="Times New Roman"/>
          <w:sz w:val="24"/>
          <w:szCs w:val="24"/>
        </w:rPr>
        <w:t xml:space="preserve">, P., Dunham, I., Ferran, E., Lee, G., Li, B., </w:t>
      </w:r>
      <w:proofErr w:type="spellStart"/>
      <w:r w:rsidRPr="002A4DCF">
        <w:rPr>
          <w:rFonts w:ascii="Times New Roman" w:eastAsia="Times New Roman" w:hAnsi="Times New Roman" w:cs="Times New Roman"/>
          <w:sz w:val="24"/>
          <w:szCs w:val="24"/>
        </w:rPr>
        <w:t>Madabhushi</w:t>
      </w:r>
      <w:proofErr w:type="spellEnd"/>
      <w:r w:rsidRPr="002A4DCF">
        <w:rPr>
          <w:rFonts w:ascii="Times New Roman" w:eastAsia="Times New Roman" w:hAnsi="Times New Roman" w:cs="Times New Roman"/>
          <w:sz w:val="24"/>
          <w:szCs w:val="24"/>
        </w:rPr>
        <w:t xml:space="preserve">, A., Shah, P., Spitzer, M., &amp; Zhao, S. (2019). Applications of machine learning in drug discovery and development. </w:t>
      </w:r>
      <w:r w:rsidRPr="002A4DCF">
        <w:rPr>
          <w:rFonts w:ascii="Times New Roman" w:eastAsia="Times New Roman" w:hAnsi="Times New Roman" w:cs="Times New Roman"/>
          <w:i/>
          <w:iCs/>
          <w:sz w:val="24"/>
          <w:szCs w:val="24"/>
        </w:rPr>
        <w:t>Nature Reviews Drug Discovery</w:t>
      </w:r>
      <w:r w:rsidRPr="002A4DCF">
        <w:rPr>
          <w:rFonts w:ascii="Times New Roman" w:eastAsia="Times New Roman" w:hAnsi="Times New Roman" w:cs="Times New Roman"/>
          <w:sz w:val="24"/>
          <w:szCs w:val="24"/>
        </w:rPr>
        <w:t xml:space="preserve">, </w:t>
      </w:r>
      <w:r w:rsidRPr="002A4DCF">
        <w:rPr>
          <w:rFonts w:ascii="Times New Roman" w:eastAsia="Times New Roman" w:hAnsi="Times New Roman" w:cs="Times New Roman"/>
          <w:i/>
          <w:iCs/>
          <w:sz w:val="24"/>
          <w:szCs w:val="24"/>
        </w:rPr>
        <w:t>18</w:t>
      </w:r>
      <w:r w:rsidRPr="002A4DCF">
        <w:rPr>
          <w:rFonts w:ascii="Times New Roman" w:eastAsia="Times New Roman" w:hAnsi="Times New Roman" w:cs="Times New Roman"/>
          <w:sz w:val="24"/>
          <w:szCs w:val="24"/>
        </w:rPr>
        <w:t xml:space="preserve">(6), 463–477. </w:t>
      </w:r>
      <w:hyperlink r:id="rId41" w:history="1">
        <w:r w:rsidRPr="002A4DCF">
          <w:rPr>
            <w:rFonts w:ascii="Times New Roman" w:eastAsia="Times New Roman" w:hAnsi="Times New Roman" w:cs="Times New Roman"/>
            <w:color w:val="0000FF"/>
            <w:sz w:val="24"/>
            <w:szCs w:val="24"/>
            <w:u w:val="single"/>
          </w:rPr>
          <w:t>https://doi.org/10.1038/s41573-019-0024-5</w:t>
        </w:r>
      </w:hyperlink>
    </w:p>
    <w:p w14:paraId="4C568A17"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World Health Organization. (2015). </w:t>
      </w:r>
      <w:r w:rsidRPr="002A4DCF">
        <w:rPr>
          <w:rFonts w:ascii="Times New Roman" w:eastAsia="Times New Roman" w:hAnsi="Times New Roman" w:cs="Times New Roman"/>
          <w:i/>
          <w:iCs/>
          <w:sz w:val="24"/>
          <w:szCs w:val="24"/>
        </w:rPr>
        <w:t>Global action plan on antimicrobial resistance</w:t>
      </w:r>
      <w:r w:rsidRPr="002A4DCF">
        <w:rPr>
          <w:rFonts w:ascii="Times New Roman" w:eastAsia="Times New Roman" w:hAnsi="Times New Roman" w:cs="Times New Roman"/>
          <w:sz w:val="24"/>
          <w:szCs w:val="24"/>
        </w:rPr>
        <w:t xml:space="preserve">. </w:t>
      </w:r>
      <w:hyperlink r:id="rId42" w:history="1">
        <w:r w:rsidRPr="002A4DCF">
          <w:rPr>
            <w:rFonts w:ascii="Times New Roman" w:eastAsia="Times New Roman" w:hAnsi="Times New Roman" w:cs="Times New Roman"/>
            <w:color w:val="0000FF"/>
            <w:sz w:val="24"/>
            <w:szCs w:val="24"/>
            <w:u w:val="single"/>
          </w:rPr>
          <w:t>https://www.who.int/publications/i/item/9789241509763</w:t>
        </w:r>
      </w:hyperlink>
    </w:p>
    <w:p w14:paraId="2EFC710B" w14:textId="77777777" w:rsidR="00572551" w:rsidRPr="002A4DCF" w:rsidRDefault="00572551" w:rsidP="00567D15">
      <w:pPr>
        <w:spacing w:before="100" w:beforeAutospacing="1" w:after="100" w:afterAutospacing="1" w:line="240" w:lineRule="auto"/>
        <w:jc w:val="both"/>
        <w:rPr>
          <w:rFonts w:ascii="Times New Roman" w:eastAsia="Times New Roman" w:hAnsi="Times New Roman" w:cs="Times New Roman"/>
          <w:sz w:val="24"/>
          <w:szCs w:val="24"/>
        </w:rPr>
      </w:pPr>
      <w:r w:rsidRPr="002A4DCF">
        <w:rPr>
          <w:rFonts w:ascii="Times New Roman" w:eastAsia="Times New Roman" w:hAnsi="Times New Roman" w:cs="Times New Roman"/>
          <w:sz w:val="24"/>
          <w:szCs w:val="24"/>
        </w:rPr>
        <w:t xml:space="preserve">World Health Organization. (2021). </w:t>
      </w:r>
      <w:r w:rsidRPr="002A4DCF">
        <w:rPr>
          <w:rFonts w:ascii="Times New Roman" w:eastAsia="Times New Roman" w:hAnsi="Times New Roman" w:cs="Times New Roman"/>
          <w:i/>
          <w:iCs/>
          <w:sz w:val="24"/>
          <w:szCs w:val="24"/>
        </w:rPr>
        <w:t>Global antimicrobial resistance and use surveillance system (GLASS) report: 2021</w:t>
      </w:r>
      <w:r w:rsidRPr="002A4DCF">
        <w:rPr>
          <w:rFonts w:ascii="Times New Roman" w:eastAsia="Times New Roman" w:hAnsi="Times New Roman" w:cs="Times New Roman"/>
          <w:sz w:val="24"/>
          <w:szCs w:val="24"/>
        </w:rPr>
        <w:t xml:space="preserve">. </w:t>
      </w:r>
      <w:hyperlink r:id="rId43" w:history="1">
        <w:r w:rsidRPr="002A4DCF">
          <w:rPr>
            <w:rFonts w:ascii="Times New Roman" w:eastAsia="Times New Roman" w:hAnsi="Times New Roman" w:cs="Times New Roman"/>
            <w:color w:val="0000FF"/>
            <w:sz w:val="24"/>
            <w:szCs w:val="24"/>
            <w:u w:val="single"/>
          </w:rPr>
          <w:t>https://www.who.int/publications/i/item/9789240027336</w:t>
        </w:r>
      </w:hyperlink>
    </w:p>
    <w:p w14:paraId="258980EC" w14:textId="65548C8E" w:rsidR="008A52D1" w:rsidRDefault="008A52D1" w:rsidP="00567D15">
      <w:pPr>
        <w:jc w:val="both"/>
      </w:pPr>
      <w:r w:rsidRPr="008B33ED">
        <w:rPr>
          <w:rFonts w:ascii="Arial" w:hAnsi="Arial" w:cs="Arial"/>
          <w:color w:val="222222"/>
          <w:sz w:val="20"/>
          <w:szCs w:val="20"/>
          <w:highlight w:val="yellow"/>
          <w:shd w:val="clear" w:color="auto" w:fill="FFFFFF"/>
        </w:rPr>
        <w:t>Sen, D., &amp; Mukhopadhyay, P. (2024). Antimicrobial resistance (AMR) management using CRISPR-Cas based genome editing. </w:t>
      </w:r>
      <w:r w:rsidRPr="008B33ED">
        <w:rPr>
          <w:rFonts w:ascii="Arial" w:hAnsi="Arial" w:cs="Arial"/>
          <w:i/>
          <w:iCs/>
          <w:color w:val="222222"/>
          <w:sz w:val="20"/>
          <w:szCs w:val="20"/>
          <w:highlight w:val="yellow"/>
          <w:shd w:val="clear" w:color="auto" w:fill="FFFFFF"/>
        </w:rPr>
        <w:t>Gene and Genome Editing</w:t>
      </w:r>
      <w:r w:rsidRPr="008B33ED">
        <w:rPr>
          <w:rFonts w:ascii="Arial" w:hAnsi="Arial" w:cs="Arial"/>
          <w:color w:val="222222"/>
          <w:sz w:val="20"/>
          <w:szCs w:val="20"/>
          <w:highlight w:val="yellow"/>
          <w:shd w:val="clear" w:color="auto" w:fill="FFFFFF"/>
        </w:rPr>
        <w:t>, </w:t>
      </w:r>
      <w:r w:rsidRPr="008B33ED">
        <w:rPr>
          <w:rFonts w:ascii="Arial" w:hAnsi="Arial" w:cs="Arial"/>
          <w:i/>
          <w:iCs/>
          <w:color w:val="222222"/>
          <w:sz w:val="20"/>
          <w:szCs w:val="20"/>
          <w:highlight w:val="yellow"/>
          <w:shd w:val="clear" w:color="auto" w:fill="FFFFFF"/>
        </w:rPr>
        <w:t>7</w:t>
      </w:r>
      <w:r w:rsidRPr="008B33ED">
        <w:rPr>
          <w:rFonts w:ascii="Arial" w:hAnsi="Arial" w:cs="Arial"/>
          <w:color w:val="222222"/>
          <w:sz w:val="20"/>
          <w:szCs w:val="20"/>
          <w:highlight w:val="yellow"/>
          <w:shd w:val="clear" w:color="auto" w:fill="FFFFFF"/>
        </w:rPr>
        <w:t>, 100031.</w:t>
      </w:r>
    </w:p>
    <w:p w14:paraId="77A10D88" w14:textId="47D19C0E" w:rsidR="00D75C9D" w:rsidRDefault="008A52D1" w:rsidP="008A52D1">
      <w:pPr>
        <w:rPr>
          <w:rFonts w:ascii="Arial" w:hAnsi="Arial" w:cs="Arial"/>
          <w:color w:val="222222"/>
          <w:sz w:val="20"/>
          <w:szCs w:val="20"/>
          <w:highlight w:val="yellow"/>
          <w:shd w:val="clear" w:color="auto" w:fill="FFFFFF"/>
        </w:rPr>
      </w:pPr>
      <w:proofErr w:type="spellStart"/>
      <w:r w:rsidRPr="008B33ED">
        <w:rPr>
          <w:rFonts w:ascii="Arial" w:hAnsi="Arial" w:cs="Arial"/>
          <w:color w:val="222222"/>
          <w:sz w:val="20"/>
          <w:szCs w:val="20"/>
          <w:highlight w:val="yellow"/>
          <w:shd w:val="clear" w:color="auto" w:fill="FFFFFF"/>
        </w:rPr>
        <w:t>Gholamian</w:t>
      </w:r>
      <w:proofErr w:type="spellEnd"/>
      <w:r w:rsidRPr="008B33ED">
        <w:rPr>
          <w:rFonts w:ascii="Arial" w:hAnsi="Arial" w:cs="Arial"/>
          <w:color w:val="222222"/>
          <w:sz w:val="20"/>
          <w:szCs w:val="20"/>
          <w:highlight w:val="yellow"/>
          <w:shd w:val="clear" w:color="auto" w:fill="FFFFFF"/>
        </w:rPr>
        <w:t xml:space="preserve">, S., </w:t>
      </w:r>
      <w:proofErr w:type="spellStart"/>
      <w:r w:rsidRPr="008B33ED">
        <w:rPr>
          <w:rFonts w:ascii="Arial" w:hAnsi="Arial" w:cs="Arial"/>
          <w:color w:val="222222"/>
          <w:sz w:val="20"/>
          <w:szCs w:val="20"/>
          <w:highlight w:val="yellow"/>
          <w:shd w:val="clear" w:color="auto" w:fill="FFFFFF"/>
        </w:rPr>
        <w:t>Baghaee</w:t>
      </w:r>
      <w:proofErr w:type="spellEnd"/>
      <w:r w:rsidRPr="008B33ED">
        <w:rPr>
          <w:rFonts w:ascii="Arial" w:hAnsi="Arial" w:cs="Arial"/>
          <w:color w:val="222222"/>
          <w:sz w:val="20"/>
          <w:szCs w:val="20"/>
          <w:highlight w:val="yellow"/>
          <w:shd w:val="clear" w:color="auto" w:fill="FFFFFF"/>
        </w:rPr>
        <w:t xml:space="preserve">, P., &amp; </w:t>
      </w:r>
      <w:proofErr w:type="spellStart"/>
      <w:r w:rsidRPr="008B33ED">
        <w:rPr>
          <w:rFonts w:ascii="Arial" w:hAnsi="Arial" w:cs="Arial"/>
          <w:color w:val="222222"/>
          <w:sz w:val="20"/>
          <w:szCs w:val="20"/>
          <w:highlight w:val="yellow"/>
          <w:shd w:val="clear" w:color="auto" w:fill="FFFFFF"/>
        </w:rPr>
        <w:t>Doroudian</w:t>
      </w:r>
      <w:proofErr w:type="spellEnd"/>
      <w:r w:rsidRPr="008B33ED">
        <w:rPr>
          <w:rFonts w:ascii="Arial" w:hAnsi="Arial" w:cs="Arial"/>
          <w:color w:val="222222"/>
          <w:sz w:val="20"/>
          <w:szCs w:val="20"/>
          <w:highlight w:val="yellow"/>
          <w:shd w:val="clear" w:color="auto" w:fill="FFFFFF"/>
        </w:rPr>
        <w:t>, M. (2025). Nanotechnology in Gene Editing: Pioneering CRISPR</w:t>
      </w:r>
      <w:r w:rsidRPr="008B33ED">
        <w:rPr>
          <w:rFonts w:ascii="Cambria Math" w:hAnsi="Cambria Math" w:cs="Cambria Math"/>
          <w:color w:val="222222"/>
          <w:sz w:val="20"/>
          <w:szCs w:val="20"/>
          <w:highlight w:val="yellow"/>
          <w:shd w:val="clear" w:color="auto" w:fill="FFFFFF"/>
        </w:rPr>
        <w:t>‐</w:t>
      </w:r>
      <w:r w:rsidRPr="008B33ED">
        <w:rPr>
          <w:rFonts w:ascii="Arial" w:hAnsi="Arial" w:cs="Arial"/>
          <w:color w:val="222222"/>
          <w:sz w:val="20"/>
          <w:szCs w:val="20"/>
          <w:highlight w:val="yellow"/>
          <w:shd w:val="clear" w:color="auto" w:fill="FFFFFF"/>
        </w:rPr>
        <w:t>Cas Delivery Systems to Tackle Antibiotic Resistance. </w:t>
      </w:r>
      <w:r w:rsidRPr="008B33ED">
        <w:rPr>
          <w:rFonts w:ascii="Arial" w:hAnsi="Arial" w:cs="Arial"/>
          <w:i/>
          <w:iCs/>
          <w:color w:val="222222"/>
          <w:sz w:val="20"/>
          <w:szCs w:val="20"/>
          <w:highlight w:val="yellow"/>
          <w:shd w:val="clear" w:color="auto" w:fill="FFFFFF"/>
        </w:rPr>
        <w:t>Advanced Therapeutics</w:t>
      </w:r>
      <w:r w:rsidRPr="008B33ED">
        <w:rPr>
          <w:rFonts w:ascii="Arial" w:hAnsi="Arial" w:cs="Arial"/>
          <w:color w:val="222222"/>
          <w:sz w:val="20"/>
          <w:szCs w:val="20"/>
          <w:highlight w:val="yellow"/>
          <w:shd w:val="clear" w:color="auto" w:fill="FFFFFF"/>
        </w:rPr>
        <w:t>, </w:t>
      </w:r>
      <w:r w:rsidRPr="008B33ED">
        <w:rPr>
          <w:rFonts w:ascii="Arial" w:hAnsi="Arial" w:cs="Arial"/>
          <w:i/>
          <w:iCs/>
          <w:color w:val="222222"/>
          <w:sz w:val="20"/>
          <w:szCs w:val="20"/>
          <w:highlight w:val="yellow"/>
          <w:shd w:val="clear" w:color="auto" w:fill="FFFFFF"/>
        </w:rPr>
        <w:t>8</w:t>
      </w:r>
      <w:r w:rsidRPr="008B33ED">
        <w:rPr>
          <w:rFonts w:ascii="Arial" w:hAnsi="Arial" w:cs="Arial"/>
          <w:color w:val="222222"/>
          <w:sz w:val="20"/>
          <w:szCs w:val="20"/>
          <w:highlight w:val="yellow"/>
          <w:shd w:val="clear" w:color="auto" w:fill="FFFFFF"/>
        </w:rPr>
        <w:t>(3), 2400412.</w:t>
      </w:r>
    </w:p>
    <w:p w14:paraId="0051B762" w14:textId="77777777" w:rsidR="008A52D1" w:rsidRDefault="008A52D1" w:rsidP="008A52D1">
      <w:pPr>
        <w:pStyle w:val="NormalWeb"/>
        <w:shd w:val="clear" w:color="auto" w:fill="FFFFFF"/>
        <w:spacing w:before="0" w:beforeAutospacing="0" w:after="150" w:afterAutospacing="0"/>
        <w:rPr>
          <w:rFonts w:ascii="inherit" w:hAnsi="inherit" w:cs="Helvetica"/>
          <w:color w:val="222222"/>
          <w:sz w:val="18"/>
          <w:szCs w:val="18"/>
        </w:rPr>
      </w:pPr>
      <w:proofErr w:type="spellStart"/>
      <w:r w:rsidRPr="008B33ED">
        <w:rPr>
          <w:rFonts w:ascii="inherit" w:hAnsi="inherit" w:cs="Helvetica"/>
          <w:color w:val="222222"/>
          <w:sz w:val="18"/>
          <w:szCs w:val="18"/>
          <w:highlight w:val="yellow"/>
        </w:rPr>
        <w:t>Jacobowski</w:t>
      </w:r>
      <w:proofErr w:type="spellEnd"/>
      <w:r w:rsidRPr="008B33ED">
        <w:rPr>
          <w:rFonts w:ascii="inherit" w:hAnsi="inherit" w:cs="Helvetica"/>
          <w:color w:val="222222"/>
          <w:sz w:val="18"/>
          <w:szCs w:val="18"/>
          <w:highlight w:val="yellow"/>
        </w:rPr>
        <w:t xml:space="preserve">, A. C., Boleti, A. P. A., Cruz, M. V., Santos, K. F. D. P., de Andrade, L. R. M., </w:t>
      </w:r>
      <w:proofErr w:type="spellStart"/>
      <w:r w:rsidRPr="008B33ED">
        <w:rPr>
          <w:rFonts w:ascii="inherit" w:hAnsi="inherit" w:cs="Helvetica"/>
          <w:color w:val="222222"/>
          <w:sz w:val="18"/>
          <w:szCs w:val="18"/>
          <w:highlight w:val="yellow"/>
        </w:rPr>
        <w:t>Frihling</w:t>
      </w:r>
      <w:proofErr w:type="spellEnd"/>
      <w:r w:rsidRPr="008B33ED">
        <w:rPr>
          <w:rFonts w:ascii="inherit" w:hAnsi="inherit" w:cs="Helvetica"/>
          <w:color w:val="222222"/>
          <w:sz w:val="18"/>
          <w:szCs w:val="18"/>
          <w:highlight w:val="yellow"/>
        </w:rPr>
        <w:t xml:space="preserve">, B. E. F., </w:t>
      </w:r>
      <w:proofErr w:type="spellStart"/>
      <w:r w:rsidRPr="008B33ED">
        <w:rPr>
          <w:rFonts w:ascii="inherit" w:hAnsi="inherit" w:cs="Helvetica"/>
          <w:color w:val="222222"/>
          <w:sz w:val="18"/>
          <w:szCs w:val="18"/>
          <w:highlight w:val="yellow"/>
        </w:rPr>
        <w:t>Migliolo</w:t>
      </w:r>
      <w:proofErr w:type="spellEnd"/>
      <w:r w:rsidRPr="008B33ED">
        <w:rPr>
          <w:rFonts w:ascii="inherit" w:hAnsi="inherit" w:cs="Helvetica"/>
          <w:color w:val="222222"/>
          <w:sz w:val="18"/>
          <w:szCs w:val="18"/>
          <w:highlight w:val="yellow"/>
        </w:rPr>
        <w:t>, L., Paiva, P. M. G., Teodoro, P. E., Teodoro, L. P. R., &amp; Macedo, M. L. R. (2025). Combating Antimicrobial Resistance: Innovative Strategies Using Peptides, Nanotechnology, Phages, </w:t>
      </w:r>
      <w:r w:rsidRPr="008B33ED">
        <w:rPr>
          <w:rFonts w:ascii="inherit" w:hAnsi="inherit" w:cs="Helvetica"/>
          <w:i/>
          <w:iCs/>
          <w:color w:val="222222"/>
          <w:sz w:val="18"/>
          <w:szCs w:val="18"/>
          <w:highlight w:val="yellow"/>
        </w:rPr>
        <w:t>Quorum Sensing</w:t>
      </w:r>
      <w:r w:rsidRPr="008B33ED">
        <w:rPr>
          <w:rFonts w:ascii="inherit" w:hAnsi="inherit" w:cs="Helvetica"/>
          <w:color w:val="222222"/>
          <w:sz w:val="18"/>
          <w:szCs w:val="18"/>
          <w:highlight w:val="yellow"/>
        </w:rPr>
        <w:t> Interference, and CRISPR-Cas Systems. </w:t>
      </w:r>
      <w:r w:rsidRPr="008B33ED">
        <w:rPr>
          <w:rStyle w:val="Emphasis"/>
          <w:rFonts w:ascii="inherit" w:hAnsi="inherit" w:cs="Helvetica"/>
          <w:color w:val="222222"/>
          <w:sz w:val="18"/>
          <w:szCs w:val="18"/>
          <w:highlight w:val="yellow"/>
        </w:rPr>
        <w:t>Pharmaceuticals</w:t>
      </w:r>
      <w:r w:rsidRPr="008B33ED">
        <w:rPr>
          <w:rFonts w:ascii="inherit" w:hAnsi="inherit" w:cs="Helvetica"/>
          <w:color w:val="222222"/>
          <w:sz w:val="18"/>
          <w:szCs w:val="18"/>
          <w:highlight w:val="yellow"/>
        </w:rPr>
        <w:t>, </w:t>
      </w:r>
      <w:r w:rsidRPr="008B33ED">
        <w:rPr>
          <w:rStyle w:val="Emphasis"/>
          <w:rFonts w:ascii="inherit" w:hAnsi="inherit" w:cs="Helvetica"/>
          <w:color w:val="222222"/>
          <w:sz w:val="18"/>
          <w:szCs w:val="18"/>
          <w:highlight w:val="yellow"/>
        </w:rPr>
        <w:t>18</w:t>
      </w:r>
      <w:r w:rsidRPr="008B33ED">
        <w:rPr>
          <w:rFonts w:ascii="inherit" w:hAnsi="inherit" w:cs="Helvetica"/>
          <w:color w:val="222222"/>
          <w:sz w:val="18"/>
          <w:szCs w:val="18"/>
          <w:highlight w:val="yellow"/>
        </w:rPr>
        <w:t>(8), 1119. https://doi.org/10.3390/ph18081119</w:t>
      </w:r>
    </w:p>
    <w:p w14:paraId="4F5CAE49" w14:textId="77777777" w:rsidR="008A52D1" w:rsidRPr="008A52D1" w:rsidRDefault="008A52D1" w:rsidP="008B33ED"/>
    <w:sectPr w:rsidR="008A52D1" w:rsidRPr="008A52D1"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A17F9" w14:textId="77777777" w:rsidR="00346A7C" w:rsidRDefault="00346A7C" w:rsidP="003448B8">
      <w:pPr>
        <w:spacing w:after="0" w:line="240" w:lineRule="auto"/>
      </w:pPr>
      <w:r>
        <w:separator/>
      </w:r>
    </w:p>
  </w:endnote>
  <w:endnote w:type="continuationSeparator" w:id="0">
    <w:p w14:paraId="5A6FFFC3" w14:textId="77777777" w:rsidR="00346A7C" w:rsidRDefault="00346A7C" w:rsidP="0034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B551" w14:textId="77777777" w:rsidR="003448B8" w:rsidRDefault="0034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89ED" w14:textId="77777777" w:rsidR="003448B8" w:rsidRDefault="0034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E715" w14:textId="77777777" w:rsidR="003448B8" w:rsidRDefault="0034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7DE36" w14:textId="77777777" w:rsidR="00346A7C" w:rsidRDefault="00346A7C" w:rsidP="003448B8">
      <w:pPr>
        <w:spacing w:after="0" w:line="240" w:lineRule="auto"/>
      </w:pPr>
      <w:r>
        <w:separator/>
      </w:r>
    </w:p>
  </w:footnote>
  <w:footnote w:type="continuationSeparator" w:id="0">
    <w:p w14:paraId="6240AA80" w14:textId="77777777" w:rsidR="00346A7C" w:rsidRDefault="00346A7C" w:rsidP="0034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3DDD" w14:textId="2BD89E76" w:rsidR="003448B8" w:rsidRDefault="00346A7C">
    <w:pPr>
      <w:pStyle w:val="Header"/>
    </w:pPr>
    <w:r>
      <w:rPr>
        <w:noProof/>
      </w:rPr>
      <w:pict w14:anchorId="436F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74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3388" w14:textId="4EBBFE7B" w:rsidR="003448B8" w:rsidRDefault="00346A7C">
    <w:pPr>
      <w:pStyle w:val="Header"/>
    </w:pPr>
    <w:r>
      <w:rPr>
        <w:noProof/>
      </w:rPr>
      <w:pict w14:anchorId="229BD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74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507F" w14:textId="29CDEA8B" w:rsidR="003448B8" w:rsidRDefault="00346A7C">
    <w:pPr>
      <w:pStyle w:val="Header"/>
    </w:pPr>
    <w:r>
      <w:rPr>
        <w:noProof/>
      </w:rPr>
      <w:pict w14:anchorId="3AFD7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874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05C0D"/>
    <w:multiLevelType w:val="hybridMultilevel"/>
    <w:tmpl w:val="60F6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C2298"/>
    <w:multiLevelType w:val="hybridMultilevel"/>
    <w:tmpl w:val="5F6E5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xNjA2MzIwMDA1MDBW0lEKTi0uzszPAykwrAUAz5oViiwAAAA="/>
  </w:docVars>
  <w:rsids>
    <w:rsidRoot w:val="00572551"/>
    <w:rsid w:val="0011721C"/>
    <w:rsid w:val="00142A0B"/>
    <w:rsid w:val="001E4551"/>
    <w:rsid w:val="002A4DCF"/>
    <w:rsid w:val="003448B8"/>
    <w:rsid w:val="00346A7C"/>
    <w:rsid w:val="003A104D"/>
    <w:rsid w:val="00567D15"/>
    <w:rsid w:val="00572551"/>
    <w:rsid w:val="005B332B"/>
    <w:rsid w:val="005F6C32"/>
    <w:rsid w:val="00674D1A"/>
    <w:rsid w:val="006A6D6F"/>
    <w:rsid w:val="00712AAB"/>
    <w:rsid w:val="00734D19"/>
    <w:rsid w:val="00777E54"/>
    <w:rsid w:val="007D5FED"/>
    <w:rsid w:val="008A52D1"/>
    <w:rsid w:val="008B33ED"/>
    <w:rsid w:val="00A2270F"/>
    <w:rsid w:val="00C213D2"/>
    <w:rsid w:val="00CB6EB6"/>
    <w:rsid w:val="00D75C9D"/>
    <w:rsid w:val="00DD0169"/>
    <w:rsid w:val="00EF26D5"/>
    <w:rsid w:val="00EF6088"/>
    <w:rsid w:val="00F45C70"/>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49FBE"/>
  <w15:docId w15:val="{6EC3E723-CB7D-4FF2-BBDA-F85D3749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paragraph" w:styleId="ListParagraph">
    <w:name w:val="List Paragraph"/>
    <w:basedOn w:val="Normal"/>
    <w:uiPriority w:val="34"/>
    <w:qFormat/>
    <w:rsid w:val="002A4DCF"/>
    <w:pPr>
      <w:ind w:left="720"/>
      <w:contextualSpacing/>
    </w:pPr>
  </w:style>
  <w:style w:type="paragraph" w:styleId="Header">
    <w:name w:val="header"/>
    <w:basedOn w:val="Normal"/>
    <w:link w:val="HeaderChar"/>
    <w:uiPriority w:val="99"/>
    <w:unhideWhenUsed/>
    <w:rsid w:val="0034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8B8"/>
  </w:style>
  <w:style w:type="paragraph" w:styleId="Footer">
    <w:name w:val="footer"/>
    <w:basedOn w:val="Normal"/>
    <w:link w:val="FooterChar"/>
    <w:uiPriority w:val="99"/>
    <w:unhideWhenUsed/>
    <w:rsid w:val="0034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8B8"/>
  </w:style>
  <w:style w:type="paragraph" w:styleId="BalloonText">
    <w:name w:val="Balloon Text"/>
    <w:basedOn w:val="Normal"/>
    <w:link w:val="BalloonTextChar"/>
    <w:uiPriority w:val="99"/>
    <w:semiHidden/>
    <w:unhideWhenUsed/>
    <w:rsid w:val="008A5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2D1"/>
    <w:rPr>
      <w:rFonts w:ascii="Segoe UI" w:hAnsi="Segoe UI" w:cs="Segoe UI"/>
      <w:sz w:val="18"/>
      <w:szCs w:val="18"/>
    </w:rPr>
  </w:style>
  <w:style w:type="paragraph" w:styleId="NormalWeb">
    <w:name w:val="Normal (Web)"/>
    <w:basedOn w:val="Normal"/>
    <w:uiPriority w:val="99"/>
    <w:semiHidden/>
    <w:unhideWhenUsed/>
    <w:rsid w:val="008A52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A5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9162">
      <w:bodyDiv w:val="1"/>
      <w:marLeft w:val="0"/>
      <w:marRight w:val="0"/>
      <w:marTop w:val="0"/>
      <w:marBottom w:val="0"/>
      <w:divBdr>
        <w:top w:val="none" w:sz="0" w:space="0" w:color="auto"/>
        <w:left w:val="none" w:sz="0" w:space="0" w:color="auto"/>
        <w:bottom w:val="none" w:sz="0" w:space="0" w:color="auto"/>
        <w:right w:val="none" w:sz="0" w:space="0" w:color="auto"/>
      </w:divBdr>
    </w:div>
    <w:div w:id="1171025601">
      <w:bodyDiv w:val="1"/>
      <w:marLeft w:val="0"/>
      <w:marRight w:val="0"/>
      <w:marTop w:val="0"/>
      <w:marBottom w:val="0"/>
      <w:divBdr>
        <w:top w:val="none" w:sz="0" w:space="0" w:color="auto"/>
        <w:left w:val="none" w:sz="0" w:space="0" w:color="auto"/>
        <w:bottom w:val="none" w:sz="0" w:space="0" w:color="auto"/>
        <w:right w:val="none" w:sz="0" w:space="0" w:color="auto"/>
      </w:divBdr>
    </w:div>
    <w:div w:id="1595016529">
      <w:bodyDiv w:val="1"/>
      <w:marLeft w:val="0"/>
      <w:marRight w:val="0"/>
      <w:marTop w:val="0"/>
      <w:marBottom w:val="0"/>
      <w:divBdr>
        <w:top w:val="none" w:sz="0" w:space="0" w:color="auto"/>
        <w:left w:val="none" w:sz="0" w:space="0" w:color="auto"/>
        <w:bottom w:val="none" w:sz="0" w:space="0" w:color="auto"/>
        <w:right w:val="none" w:sz="0" w:space="0" w:color="auto"/>
      </w:divBdr>
    </w:div>
    <w:div w:id="2023781163">
      <w:bodyDiv w:val="1"/>
      <w:marLeft w:val="0"/>
      <w:marRight w:val="0"/>
      <w:marTop w:val="0"/>
      <w:marBottom w:val="0"/>
      <w:divBdr>
        <w:top w:val="none" w:sz="0" w:space="0" w:color="auto"/>
        <w:left w:val="none" w:sz="0" w:space="0" w:color="auto"/>
        <w:bottom w:val="none" w:sz="0" w:space="0" w:color="auto"/>
        <w:right w:val="none" w:sz="0" w:space="0" w:color="auto"/>
      </w:divBdr>
      <w:divsChild>
        <w:div w:id="113912254">
          <w:marLeft w:val="0"/>
          <w:marRight w:val="0"/>
          <w:marTop w:val="0"/>
          <w:marBottom w:val="0"/>
          <w:divBdr>
            <w:top w:val="none" w:sz="0" w:space="0" w:color="auto"/>
            <w:left w:val="none" w:sz="0" w:space="0" w:color="auto"/>
            <w:bottom w:val="none" w:sz="0" w:space="0" w:color="auto"/>
            <w:right w:val="none" w:sz="0" w:space="0" w:color="auto"/>
          </w:divBdr>
          <w:divsChild>
            <w:div w:id="20902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1473-3099(15)00466-1" TargetMode="External"/><Relationship Id="rId18" Type="http://schemas.openxmlformats.org/officeDocument/2006/relationships/hyperlink" Target="https://doi.org/10.1016/S0899-3467(07)60142-6" TargetMode="External"/><Relationship Id="rId26" Type="http://schemas.openxmlformats.org/officeDocument/2006/relationships/hyperlink" Target="https://doi.org/10.1080/10717544.2018.1474964" TargetMode="External"/><Relationship Id="rId39" Type="http://schemas.openxmlformats.org/officeDocument/2006/relationships/hyperlink" Target="https://doi.org/10.1016/S1473-3099(14)70780-7" TargetMode="External"/><Relationship Id="rId21" Type="http://schemas.openxmlformats.org/officeDocument/2006/relationships/hyperlink" Target="https://doi.org/10.1016/j.jconrel.2011.07.002" TargetMode="External"/><Relationship Id="rId34" Type="http://schemas.openxmlformats.org/officeDocument/2006/relationships/hyperlink" Target="https://doi.org/10.1007/s00253-015-7247-0" TargetMode="External"/><Relationship Id="rId42" Type="http://schemas.openxmlformats.org/officeDocument/2006/relationships/hyperlink" Target="https://www.who.int/publications/i/item/978924150976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28/CMR.00066-18" TargetMode="External"/><Relationship Id="rId29" Type="http://schemas.openxmlformats.org/officeDocument/2006/relationships/hyperlink" Target="https://doi.org/10.1038/s41573-020-0090-8" TargetMode="External"/><Relationship Id="rId11" Type="http://schemas.openxmlformats.org/officeDocument/2006/relationships/hyperlink" Target="https://doi.org/10.1093/emph/eoy005" TargetMode="External"/><Relationship Id="rId24" Type="http://schemas.openxmlformats.org/officeDocument/2006/relationships/hyperlink" Target="https://doi.org/10.1016/j.chom.2019.01.014" TargetMode="External"/><Relationship Id="rId32" Type="http://schemas.openxmlformats.org/officeDocument/2006/relationships/hyperlink" Target="https://doi.org/10.1016/j.addr.2013.07.011" TargetMode="External"/><Relationship Id="rId37" Type="http://schemas.openxmlformats.org/officeDocument/2006/relationships/hyperlink" Target="https://doi.org/10.1016/j.cell.2020.01.021" TargetMode="External"/><Relationship Id="rId40" Type="http://schemas.openxmlformats.org/officeDocument/2006/relationships/hyperlink" Target="https://doi.org/10.1126/science.aaw1944"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26/science.1258096" TargetMode="External"/><Relationship Id="rId23" Type="http://schemas.openxmlformats.org/officeDocument/2006/relationships/hyperlink" Target="https://doi.org/10.1038/s41467-020-16731-6" TargetMode="External"/><Relationship Id="rId28" Type="http://schemas.openxmlformats.org/officeDocument/2006/relationships/hyperlink" Target="https://doi.org/10.4161/bact.1.2.14590" TargetMode="External"/><Relationship Id="rId36" Type="http://schemas.openxmlformats.org/officeDocument/2006/relationships/hyperlink" Target="https://doi.org/10.1128/AAC.00954-17" TargetMode="External"/><Relationship Id="rId49" Type="http://schemas.openxmlformats.org/officeDocument/2006/relationships/footer" Target="footer3.xml"/><Relationship Id="rId10" Type="http://schemas.openxmlformats.org/officeDocument/2006/relationships/hyperlink" Target="https://doi.org/10.1038/nbt.3043" TargetMode="External"/><Relationship Id="rId19" Type="http://schemas.openxmlformats.org/officeDocument/2006/relationships/hyperlink" Target="https://doi.org/10.1039/C8CS00425K" TargetMode="External"/><Relationship Id="rId31" Type="http://schemas.openxmlformats.org/officeDocument/2006/relationships/hyperlink" Target="https://doi.org/10.1016/S0140-6736(21)027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86/s41073-019-0064-8" TargetMode="External"/><Relationship Id="rId14" Type="http://schemas.openxmlformats.org/officeDocument/2006/relationships/hyperlink" Target="https://doi.org/10.1038/s41591-019-0437-z" TargetMode="External"/><Relationship Id="rId22" Type="http://schemas.openxmlformats.org/officeDocument/2006/relationships/hyperlink" Target="https://doi.org/10.1126/science.1225829" TargetMode="External"/><Relationship Id="rId27" Type="http://schemas.openxmlformats.org/officeDocument/2006/relationships/hyperlink" Target="https://doi.org/10.1016/S1473-3099(15)00424-7" TargetMode="External"/><Relationship Id="rId30" Type="http://schemas.openxmlformats.org/officeDocument/2006/relationships/hyperlink" Target="https://doi.org/10.1371/journal.pcbi.1006258" TargetMode="External"/><Relationship Id="rId35" Type="http://schemas.openxmlformats.org/officeDocument/2006/relationships/hyperlink" Target="https://doi.org/10.1016/j.biotechadv.2008.09.002" TargetMode="External"/><Relationship Id="rId43" Type="http://schemas.openxmlformats.org/officeDocument/2006/relationships/hyperlink" Target="https://www.who.int/publications/i/item/9789240027336" TargetMode="External"/><Relationship Id="rId48" Type="http://schemas.openxmlformats.org/officeDocument/2006/relationships/header" Target="header3.xml"/><Relationship Id="rId8" Type="http://schemas.openxmlformats.org/officeDocument/2006/relationships/hyperlink" Target="https://doi.org/10.1186/s40168-018-0401-z"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38/nbt.3011" TargetMode="External"/><Relationship Id="rId17" Type="http://schemas.openxmlformats.org/officeDocument/2006/relationships/hyperlink" Target="https://doi.org/10.1126/science.aam9321" TargetMode="External"/><Relationship Id="rId25" Type="http://schemas.openxmlformats.org/officeDocument/2006/relationships/hyperlink" Target="https://doi.org/10.1016/S0140-6736(13)60081-9" TargetMode="External"/><Relationship Id="rId33" Type="http://schemas.openxmlformats.org/officeDocument/2006/relationships/hyperlink" Target="https://doi.org/10.3390/v10040064" TargetMode="External"/><Relationship Id="rId38" Type="http://schemas.openxmlformats.org/officeDocument/2006/relationships/hyperlink" Target="https://doi.org/10.1021/acssynbio.7b00179" TargetMode="External"/><Relationship Id="rId46" Type="http://schemas.openxmlformats.org/officeDocument/2006/relationships/footer" Target="footer1.xml"/><Relationship Id="rId20" Type="http://schemas.openxmlformats.org/officeDocument/2006/relationships/hyperlink" Target="https://doi.org/10.2147/IJN.S132163" TargetMode="External"/><Relationship Id="rId41" Type="http://schemas.openxmlformats.org/officeDocument/2006/relationships/hyperlink" Target="https://doi.org/10.1038/s41573-019-0024-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9A4093-FDFE-40B2-B182-3969DCD9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10556</Words>
  <Characters>60172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14</cp:revision>
  <dcterms:created xsi:type="dcterms:W3CDTF">2026-05-01T17:56:00Z</dcterms:created>
  <dcterms:modified xsi:type="dcterms:W3CDTF">2026-05-05T05:22:00Z</dcterms:modified>
</cp:coreProperties>
</file>