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48660" w14:textId="51FC7C26" w:rsidR="005A73AE" w:rsidRPr="005A73AE" w:rsidRDefault="005A73AE" w:rsidP="005A73AE">
      <w:pPr>
        <w:jc w:val="both"/>
        <w:rPr>
          <w:rFonts w:ascii="Times New Roman" w:hAnsi="Times New Roman" w:cs="Times New Roman"/>
          <w:b/>
          <w:bCs/>
        </w:rPr>
      </w:pPr>
      <w:r>
        <w:rPr>
          <w:rFonts w:ascii="Times New Roman" w:hAnsi="Times New Roman" w:cs="Times New Roman"/>
          <w:b/>
          <w:bCs/>
        </w:rPr>
        <w:t xml:space="preserve">                                                         </w:t>
      </w:r>
    </w:p>
    <w:p w14:paraId="1E125599" w14:textId="735239A4" w:rsidR="005A73AE" w:rsidRPr="005A73AE" w:rsidRDefault="007738B9" w:rsidP="005A73AE">
      <w:pPr>
        <w:jc w:val="both"/>
        <w:rPr>
          <w:rFonts w:ascii="Times New Roman" w:hAnsi="Times New Roman" w:cs="Times New Roman"/>
          <w:b/>
          <w:bCs/>
        </w:rPr>
      </w:pPr>
      <w:r w:rsidRPr="007738B9">
        <w:rPr>
          <w:rFonts w:ascii="Times New Roman" w:hAnsi="Times New Roman" w:cs="Times New Roman"/>
          <w:b/>
          <w:bCs/>
        </w:rPr>
        <w:t>Artificial Intelligence in Antimicrobial Stewardship: Predictive Models and the Future of Combating Antimicrobial Resistance</w:t>
      </w:r>
      <w:r w:rsidR="00000000">
        <w:rPr>
          <w:rFonts w:ascii="Times New Roman" w:hAnsi="Times New Roman" w:cs="Times New Roman"/>
          <w:b/>
          <w:bCs/>
        </w:rPr>
        <w:pict w14:anchorId="0BAB5FF0">
          <v:rect id="_x0000_i1025" style="width:0;height:1.5pt" o:hralign="center" o:hrstd="t" o:hr="t" fillcolor="#a0a0a0" stroked="f"/>
        </w:pict>
      </w:r>
    </w:p>
    <w:p w14:paraId="3A6CDC04" w14:textId="77777777" w:rsidR="004A4A19" w:rsidRDefault="004A4A19" w:rsidP="002F7F1C">
      <w:pPr>
        <w:jc w:val="both"/>
        <w:rPr>
          <w:rFonts w:ascii="Times New Roman" w:hAnsi="Times New Roman" w:cs="Times New Roman"/>
          <w:b/>
          <w:bCs/>
        </w:rPr>
      </w:pPr>
    </w:p>
    <w:p w14:paraId="543B3FA8" w14:textId="77777777" w:rsidR="004A4A19" w:rsidRDefault="004A4A19" w:rsidP="002F7F1C">
      <w:pPr>
        <w:jc w:val="both"/>
        <w:rPr>
          <w:rFonts w:ascii="Times New Roman" w:hAnsi="Times New Roman" w:cs="Times New Roman"/>
          <w:b/>
          <w:bCs/>
        </w:rPr>
      </w:pPr>
    </w:p>
    <w:p w14:paraId="0C0DBA1A" w14:textId="74469E7E" w:rsidR="002F7F1C" w:rsidRPr="006021A0" w:rsidRDefault="005A73AE" w:rsidP="002F7F1C">
      <w:pPr>
        <w:jc w:val="both"/>
        <w:rPr>
          <w:rFonts w:ascii="Times New Roman" w:hAnsi="Times New Roman" w:cs="Times New Roman"/>
          <w:b/>
          <w:bCs/>
        </w:rPr>
      </w:pPr>
      <w:r w:rsidRPr="005A73AE">
        <w:rPr>
          <w:rFonts w:ascii="Times New Roman" w:hAnsi="Times New Roman" w:cs="Times New Roman"/>
          <w:b/>
          <w:bCs/>
        </w:rPr>
        <w:br/>
      </w:r>
      <w:r w:rsidR="002F7F1C" w:rsidRPr="006021A0">
        <w:rPr>
          <w:rFonts w:ascii="Times New Roman" w:hAnsi="Times New Roman" w:cs="Times New Roman"/>
          <w:b/>
          <w:bCs/>
        </w:rPr>
        <w:t>Abstract</w:t>
      </w:r>
    </w:p>
    <w:p w14:paraId="05A938B6" w14:textId="5DD3BCD7" w:rsidR="002F7F1C" w:rsidRPr="006021A0" w:rsidRDefault="002F7F1C" w:rsidP="002F7F1C">
      <w:pPr>
        <w:jc w:val="both"/>
        <w:rPr>
          <w:rFonts w:ascii="Times New Roman" w:hAnsi="Times New Roman" w:cs="Times New Roman"/>
        </w:rPr>
      </w:pPr>
      <w:r w:rsidRPr="006021A0">
        <w:rPr>
          <w:rFonts w:ascii="Times New Roman" w:hAnsi="Times New Roman" w:cs="Times New Roman"/>
        </w:rPr>
        <w:t>Antimicrobial resistance (AMR) represents a growing global health threat, driven by the widespread misuse of antibiotics and the limitations of current stewardship strategies. Conventional approaches to antimicrobial stewardship rely heavily on empirical prescribing and delayed microbiological conf</w:t>
      </w:r>
      <w:r w:rsidR="002B3154">
        <w:rPr>
          <w:rFonts w:ascii="Times New Roman" w:hAnsi="Times New Roman" w:cs="Times New Roman"/>
        </w:rPr>
        <w:t>i</w:t>
      </w:r>
      <w:r w:rsidRPr="006021A0">
        <w:rPr>
          <w:rFonts w:ascii="Times New Roman" w:hAnsi="Times New Roman" w:cs="Times New Roman"/>
        </w:rPr>
        <w:t>rmation, often resulting in suboptimal antibiotic selection and contributing to acceleration of resistance. In this context, artificial intelligence</w:t>
      </w:r>
      <w:r w:rsidR="002B3154">
        <w:rPr>
          <w:rFonts w:ascii="Times New Roman" w:hAnsi="Times New Roman" w:cs="Times New Roman"/>
        </w:rPr>
        <w:t xml:space="preserve"> </w:t>
      </w:r>
      <w:r w:rsidRPr="006021A0">
        <w:rPr>
          <w:rFonts w:ascii="Times New Roman" w:hAnsi="Times New Roman" w:cs="Times New Roman"/>
        </w:rPr>
        <w:t>(AI) has emerged as a promising tool to enhance decision-making through predictive and data-driven approaches.</w:t>
      </w:r>
    </w:p>
    <w:p w14:paraId="47F1599C" w14:textId="1F006B0F" w:rsidR="002F7F1C" w:rsidRPr="006021A0" w:rsidRDefault="002F7F1C" w:rsidP="002F7F1C">
      <w:pPr>
        <w:jc w:val="both"/>
        <w:rPr>
          <w:rFonts w:ascii="Times New Roman" w:hAnsi="Times New Roman" w:cs="Times New Roman"/>
        </w:rPr>
      </w:pPr>
      <w:r w:rsidRPr="006021A0">
        <w:rPr>
          <w:rFonts w:ascii="Times New Roman" w:hAnsi="Times New Roman" w:cs="Times New Roman"/>
        </w:rPr>
        <w:t>This review explore</w:t>
      </w:r>
      <w:r w:rsidR="002B3154">
        <w:rPr>
          <w:rFonts w:ascii="Times New Roman" w:hAnsi="Times New Roman" w:cs="Times New Roman"/>
        </w:rPr>
        <w:t>s</w:t>
      </w:r>
      <w:r w:rsidRPr="006021A0">
        <w:rPr>
          <w:rFonts w:ascii="Times New Roman" w:hAnsi="Times New Roman" w:cs="Times New Roman"/>
        </w:rPr>
        <w:t xml:space="preserve"> the role of AI in antimicrobial stewardship, with a focus on its application in predicting antimicrobial resistance, guiding antibiotic selection, and supporting clinical decision-making through integrated systems. Machine learning and deep learning models have demonstrated the ability to analyse complex, multidimensional datasets, including electronic health records, microbiological data, genomic information, and antibiotic usage patterns, to generate early and accurate predictions. These capabilities enable a shift from reactive to predictive care, particularly in high-risk settings such as intensive care units and sepsis management.</w:t>
      </w:r>
    </w:p>
    <w:p w14:paraId="1107980E"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Despite these advancements, significant challenges remain. Limitations related to data quality, model generalizability, interpretability, and integration into clinical workflows continue to hinder widespread adoption. Additional barriers include clinician trust, infrastructure constraints, and ethical considerations such as data privacy and accountability. These challenges are further amplified in low-resource settings, where digital infrastructure and access to microbiological diagnostics may be limited.</w:t>
      </w:r>
    </w:p>
    <w:p w14:paraId="6B611784" w14:textId="6E17E7F4" w:rsidR="002F7F1C" w:rsidRPr="006021A0" w:rsidRDefault="002F7F1C" w:rsidP="002F7F1C">
      <w:pPr>
        <w:jc w:val="both"/>
        <w:rPr>
          <w:rFonts w:ascii="Times New Roman" w:hAnsi="Times New Roman" w:cs="Times New Roman"/>
        </w:rPr>
      </w:pPr>
      <w:r w:rsidRPr="006021A0">
        <w:rPr>
          <w:rFonts w:ascii="Times New Roman" w:hAnsi="Times New Roman" w:cs="Times New Roman"/>
        </w:rPr>
        <w:t>Future progress will depend on the development of robust datasets, standardized reporting frameworks, and seamless integration of AI tools into healthcare systems. With appropriate validation and implementation, AI has the potential to transform antimicrobial stewardship by enabling more precise, timely, and context-aware antibiotic use. Ultimately, the integration of AI into clinical practice represents a critical step toward addressing the global burden of antimicrobial resistance.</w:t>
      </w:r>
    </w:p>
    <w:p w14:paraId="6A012E48" w14:textId="61198065" w:rsidR="002F7F1C" w:rsidRDefault="002F7F1C" w:rsidP="00C753CE">
      <w:pPr>
        <w:jc w:val="both"/>
        <w:rPr>
          <w:rFonts w:ascii="Times New Roman" w:hAnsi="Times New Roman" w:cs="Times New Roman"/>
        </w:rPr>
      </w:pPr>
      <w:r w:rsidRPr="006021A0">
        <w:rPr>
          <w:rFonts w:ascii="Times New Roman" w:hAnsi="Times New Roman" w:cs="Times New Roman"/>
          <w:b/>
          <w:bCs/>
        </w:rPr>
        <w:t>Keywords</w:t>
      </w:r>
      <w:r w:rsidR="00C753CE">
        <w:rPr>
          <w:rFonts w:ascii="Times New Roman" w:hAnsi="Times New Roman" w:cs="Times New Roman"/>
          <w:b/>
          <w:bCs/>
        </w:rPr>
        <w:t xml:space="preserve">: </w:t>
      </w:r>
      <w:r w:rsidRPr="00C753CE">
        <w:rPr>
          <w:rFonts w:ascii="Times New Roman" w:hAnsi="Times New Roman" w:cs="Times New Roman"/>
        </w:rPr>
        <w:t>Antimicrobial resistance</w:t>
      </w:r>
      <w:r w:rsidR="00C753CE">
        <w:rPr>
          <w:rFonts w:ascii="Times New Roman" w:hAnsi="Times New Roman" w:cs="Times New Roman"/>
          <w:b/>
          <w:bCs/>
        </w:rPr>
        <w:t xml:space="preserve">, </w:t>
      </w:r>
      <w:r w:rsidRPr="00C753CE">
        <w:rPr>
          <w:rFonts w:ascii="Times New Roman" w:hAnsi="Times New Roman" w:cs="Times New Roman"/>
        </w:rPr>
        <w:t>Artificial intelligence</w:t>
      </w:r>
      <w:r w:rsidR="00C753CE">
        <w:rPr>
          <w:rFonts w:ascii="Times New Roman" w:hAnsi="Times New Roman" w:cs="Times New Roman"/>
        </w:rPr>
        <w:t xml:space="preserve">, </w:t>
      </w:r>
      <w:r w:rsidRPr="00C753CE">
        <w:rPr>
          <w:rFonts w:ascii="Times New Roman" w:hAnsi="Times New Roman" w:cs="Times New Roman"/>
        </w:rPr>
        <w:t>Machine learning</w:t>
      </w:r>
      <w:r w:rsidR="00C753CE">
        <w:rPr>
          <w:rFonts w:ascii="Times New Roman" w:hAnsi="Times New Roman" w:cs="Times New Roman"/>
        </w:rPr>
        <w:t>,</w:t>
      </w:r>
      <w:r w:rsidR="002B3154">
        <w:rPr>
          <w:rFonts w:ascii="Times New Roman" w:hAnsi="Times New Roman" w:cs="Times New Roman"/>
        </w:rPr>
        <w:t xml:space="preserve"> </w:t>
      </w:r>
      <w:r w:rsidRPr="00C753CE">
        <w:rPr>
          <w:rFonts w:ascii="Times New Roman" w:hAnsi="Times New Roman" w:cs="Times New Roman"/>
        </w:rPr>
        <w:t>Antimicrobial stewardship</w:t>
      </w:r>
      <w:r w:rsidR="00C753CE">
        <w:rPr>
          <w:rFonts w:ascii="Times New Roman" w:hAnsi="Times New Roman" w:cs="Times New Roman"/>
        </w:rPr>
        <w:t xml:space="preserve">, </w:t>
      </w:r>
      <w:r w:rsidRPr="00C753CE">
        <w:rPr>
          <w:rFonts w:ascii="Times New Roman" w:hAnsi="Times New Roman" w:cs="Times New Roman"/>
        </w:rPr>
        <w:t>Clinical decision support systems</w:t>
      </w:r>
      <w:r w:rsidR="00C753CE">
        <w:rPr>
          <w:rFonts w:ascii="Times New Roman" w:hAnsi="Times New Roman" w:cs="Times New Roman"/>
        </w:rPr>
        <w:t xml:space="preserve">, </w:t>
      </w:r>
      <w:r w:rsidRPr="00C753CE">
        <w:rPr>
          <w:rFonts w:ascii="Times New Roman" w:hAnsi="Times New Roman" w:cs="Times New Roman"/>
        </w:rPr>
        <w:t xml:space="preserve">Predictive </w:t>
      </w:r>
      <w:r w:rsidR="00C753CE">
        <w:rPr>
          <w:rFonts w:ascii="Times New Roman" w:hAnsi="Times New Roman" w:cs="Times New Roman"/>
        </w:rPr>
        <w:t>modelling</w:t>
      </w:r>
    </w:p>
    <w:p w14:paraId="6891148A" w14:textId="77777777" w:rsidR="00C753CE" w:rsidRDefault="00C753CE" w:rsidP="00C753CE">
      <w:pPr>
        <w:jc w:val="both"/>
        <w:rPr>
          <w:rFonts w:ascii="Times New Roman" w:hAnsi="Times New Roman" w:cs="Times New Roman"/>
        </w:rPr>
      </w:pPr>
    </w:p>
    <w:p w14:paraId="517F52F7" w14:textId="77777777" w:rsidR="00C753CE" w:rsidRDefault="00C753CE" w:rsidP="00C753CE">
      <w:pPr>
        <w:jc w:val="both"/>
        <w:rPr>
          <w:rFonts w:ascii="Times New Roman" w:hAnsi="Times New Roman" w:cs="Times New Roman"/>
        </w:rPr>
      </w:pPr>
    </w:p>
    <w:p w14:paraId="0F66C881" w14:textId="77777777" w:rsidR="00C753CE" w:rsidRDefault="00C753CE" w:rsidP="00C753CE">
      <w:pPr>
        <w:jc w:val="both"/>
        <w:rPr>
          <w:rFonts w:ascii="Times New Roman" w:hAnsi="Times New Roman" w:cs="Times New Roman"/>
        </w:rPr>
      </w:pPr>
    </w:p>
    <w:p w14:paraId="6A69F2B4" w14:textId="77777777" w:rsidR="00C753CE" w:rsidRPr="00C753CE" w:rsidRDefault="00C753CE" w:rsidP="00C753CE">
      <w:pPr>
        <w:jc w:val="both"/>
        <w:rPr>
          <w:rFonts w:ascii="Times New Roman" w:hAnsi="Times New Roman" w:cs="Times New Roman"/>
          <w:b/>
          <w:bCs/>
        </w:rPr>
      </w:pPr>
    </w:p>
    <w:p w14:paraId="41791749" w14:textId="4D7DFA7E" w:rsidR="002F7F1C" w:rsidRPr="006021A0" w:rsidRDefault="002F7F1C" w:rsidP="002F7F1C">
      <w:pPr>
        <w:rPr>
          <w:rFonts w:ascii="Times New Roman" w:hAnsi="Times New Roman" w:cs="Times New Roman"/>
          <w:b/>
          <w:bCs/>
        </w:rPr>
      </w:pPr>
      <w:r w:rsidRPr="006021A0">
        <w:rPr>
          <w:rFonts w:ascii="Times New Roman" w:hAnsi="Times New Roman" w:cs="Times New Roman"/>
          <w:b/>
          <w:bCs/>
        </w:rPr>
        <w:t>1.  Introduction</w:t>
      </w:r>
    </w:p>
    <w:p w14:paraId="5D7F25A8" w14:textId="0A13DB48" w:rsidR="002F7F1C" w:rsidRPr="006021A0" w:rsidRDefault="002F7F1C" w:rsidP="002F7F1C">
      <w:pPr>
        <w:rPr>
          <w:rFonts w:ascii="Times New Roman" w:hAnsi="Times New Roman" w:cs="Times New Roman"/>
          <w:b/>
          <w:bCs/>
        </w:rPr>
      </w:pPr>
      <w:r w:rsidRPr="006021A0">
        <w:rPr>
          <w:rFonts w:ascii="Times New Roman" w:hAnsi="Times New Roman" w:cs="Times New Roman"/>
          <w:b/>
          <w:bCs/>
        </w:rPr>
        <w:t>1.1 The AMR Crisis</w:t>
      </w:r>
    </w:p>
    <w:p w14:paraId="71D48B93" w14:textId="7132F494" w:rsidR="002F7F1C" w:rsidRPr="006021A0" w:rsidRDefault="00CE63F4" w:rsidP="002F7F1C">
      <w:pPr>
        <w:jc w:val="both"/>
        <w:rPr>
          <w:rFonts w:ascii="Times New Roman" w:hAnsi="Times New Roman" w:cs="Times New Roman"/>
        </w:rPr>
      </w:pPr>
      <w:r w:rsidRPr="00CE63F4">
        <w:rPr>
          <w:rFonts w:ascii="Times New Roman" w:hAnsi="Times New Roman" w:cs="Times New Roman"/>
        </w:rPr>
        <w:t>Antimicrobial resistance (AMR) has emerged as one of the most serious threats to global health, particularly affecting the management of bacterial infections.</w:t>
      </w:r>
      <w:r w:rsidR="002F7F1C" w:rsidRPr="006021A0">
        <w:rPr>
          <w:rFonts w:ascii="Times New Roman" w:hAnsi="Times New Roman" w:cs="Times New Roman"/>
        </w:rPr>
        <w:t xml:space="preserve">, undermining decades of progress in infectious disease management. The increasing prevalence of resistant pathogens has led to higher morbidity, prolonged hospital stays, and a significant rise in mortality rates[1]. </w:t>
      </w:r>
      <w:r w:rsidRPr="00CE63F4">
        <w:rPr>
          <w:rFonts w:ascii="Times New Roman" w:hAnsi="Times New Roman" w:cs="Times New Roman"/>
        </w:rPr>
        <w:t>What were once considered manageable bacterial infections are now, in many cases, becoming difficult or even impossible to treat.</w:t>
      </w:r>
    </w:p>
    <w:p w14:paraId="01FB75AD" w14:textId="67BD0884" w:rsidR="002F7F1C" w:rsidRPr="006021A0" w:rsidRDefault="002F7F1C" w:rsidP="002F7F1C">
      <w:pPr>
        <w:jc w:val="both"/>
        <w:rPr>
          <w:rFonts w:ascii="Times New Roman" w:hAnsi="Times New Roman" w:cs="Times New Roman"/>
        </w:rPr>
      </w:pPr>
      <w:r w:rsidRPr="006021A0">
        <w:rPr>
          <w:rFonts w:ascii="Times New Roman" w:hAnsi="Times New Roman" w:cs="Times New Roman"/>
        </w:rPr>
        <w:t>Beyond clinical outcomes, the economic burden of AMR is substantial. Increased healthcare costs stem from longer hospitalizations, the need for more expensive or toxic second-line therapies, and additional diagnostic interventions [2]</w:t>
      </w:r>
      <w:r w:rsidR="00E857E7">
        <w:rPr>
          <w:rFonts w:ascii="Times New Roman" w:hAnsi="Times New Roman" w:cs="Times New Roman"/>
        </w:rPr>
        <w:t xml:space="preserve"> </w:t>
      </w:r>
      <w:r w:rsidRPr="006021A0">
        <w:rPr>
          <w:rFonts w:ascii="Times New Roman" w:hAnsi="Times New Roman" w:cs="Times New Roman"/>
        </w:rPr>
        <w:t>These pressures are especially pronounced in low- and middle-income countries, where healthcare resources are already constrained.</w:t>
      </w:r>
    </w:p>
    <w:p w14:paraId="26DE1749" w14:textId="30380268"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 major driver of this crisis is the widespread overuse and misuse of antibiotics. Empirical prescribing, unnecessary antibiotic use for viral infections, incomplete treatment courses, and over-the-counter availability in many regions have accelerated the emergence of resistant strains[3]. </w:t>
      </w:r>
      <w:r w:rsidR="00CE63F4" w:rsidRPr="00CE63F4">
        <w:rPr>
          <w:rFonts w:ascii="Times New Roman" w:hAnsi="Times New Roman" w:cs="Times New Roman"/>
        </w:rPr>
        <w:t>These factors collectively accelerate the emergence of resistant strains, while the development of new antimicrobial agents has not kept pace, resulting in a progressive reduction in effective treatment options.</w:t>
      </w:r>
    </w:p>
    <w:p w14:paraId="31301028" w14:textId="662578A9"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1.2 Limits of Current Stewardship</w:t>
      </w:r>
    </w:p>
    <w:p w14:paraId="1BE8A7B3"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Antimicrobial stewardship programs (ASPs) were introduced to optimize antibiotic use and slow the progression of resistance. While these programs have shown measurable benefits, their effectiveness is often limited by systemic and practical challenges[4].</w:t>
      </w:r>
    </w:p>
    <w:p w14:paraId="47763759" w14:textId="4106005F"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One of the primary issues is reliance on empirical prescribing. In many clinical scenarios, especially in acute care settings, clinicians initiate broad-spectrum antibiotics before definitive microbiological data are available. </w:t>
      </w:r>
      <w:r w:rsidR="00FA40F8" w:rsidRPr="00FA40F8">
        <w:rPr>
          <w:rFonts w:ascii="Times New Roman" w:hAnsi="Times New Roman" w:cs="Times New Roman"/>
        </w:rPr>
        <w:t>Although this approach is often necessary in acute clinical scenarios, it increases the risk of inappropriate antibiotic selection and contributes to antimicrobial resistance [5].</w:t>
      </w:r>
      <w:r w:rsidR="00FA40F8" w:rsidRPr="00FA40F8">
        <w:rPr>
          <w:rFonts w:ascii="Times New Roman" w:hAnsi="Times New Roman" w:cs="Times New Roman"/>
        </w:rPr>
        <w:t xml:space="preserve"> </w:t>
      </w:r>
    </w:p>
    <w:p w14:paraId="1D362973"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Another key limitation is the delay in microbiological diagnostics. Culture and sensitivity testing, considered the gold standard, typically requires 48-72 hours. During this period, treatment decisions are made under uncertainty, often leading to overuse of broad-spectrum agents[6] .</w:t>
      </w:r>
    </w:p>
    <w:p w14:paraId="41E0EBA2" w14:textId="7399FF8B" w:rsidR="002F7F1C" w:rsidRPr="006021A0" w:rsidRDefault="00CE63F4" w:rsidP="002F7F1C">
      <w:pPr>
        <w:jc w:val="both"/>
        <w:rPr>
          <w:rFonts w:ascii="Times New Roman" w:hAnsi="Times New Roman" w:cs="Times New Roman"/>
        </w:rPr>
      </w:pPr>
      <w:r w:rsidRPr="00CE63F4">
        <w:rPr>
          <w:rFonts w:ascii="Times New Roman" w:hAnsi="Times New Roman" w:cs="Times New Roman"/>
        </w:rPr>
        <w:t>Inter-clinician variability further complicates stewardship efforts, as prescribing decisions may differ based on clinical experience, interpretation of patient data, and perceived risk.</w:t>
      </w:r>
      <w:r w:rsidR="002F7F1C" w:rsidRPr="006021A0">
        <w:rPr>
          <w:rFonts w:ascii="Times New Roman" w:hAnsi="Times New Roman" w:cs="Times New Roman"/>
        </w:rPr>
        <w:t xml:space="preserve"> Clinical </w:t>
      </w:r>
      <w:r w:rsidR="002F7F1C" w:rsidRPr="006021A0">
        <w:rPr>
          <w:rFonts w:ascii="Times New Roman" w:hAnsi="Times New Roman" w:cs="Times New Roman"/>
        </w:rPr>
        <w:lastRenderedPageBreak/>
        <w:t>judgement can differ significantly between practitioners, influenced by experience, local resistance patterns, and perceived patient risk. This variability can result in inconsistent prescribing practices, even within the same institution [7] .</w:t>
      </w:r>
    </w:p>
    <w:p w14:paraId="6CBC6AEF" w14:textId="6527D839" w:rsidR="002F7F1C" w:rsidRPr="006021A0" w:rsidRDefault="00420EE1" w:rsidP="002F7F1C">
      <w:pPr>
        <w:jc w:val="both"/>
        <w:rPr>
          <w:rFonts w:ascii="Times New Roman" w:hAnsi="Times New Roman" w:cs="Times New Roman"/>
          <w:b/>
          <w:bCs/>
        </w:rPr>
      </w:pPr>
      <w:r>
        <w:rPr>
          <w:rFonts w:ascii="Times New Roman" w:hAnsi="Times New Roman" w:cs="Times New Roman"/>
          <w:b/>
          <w:bCs/>
        </w:rPr>
        <w:t>1</w:t>
      </w:r>
      <w:r w:rsidR="002F7F1C" w:rsidRPr="006021A0">
        <w:rPr>
          <w:rFonts w:ascii="Times New Roman" w:hAnsi="Times New Roman" w:cs="Times New Roman"/>
          <w:b/>
          <w:bCs/>
        </w:rPr>
        <w:t>.3 Why AI Changes the Game</w:t>
      </w:r>
    </w:p>
    <w:p w14:paraId="135F3ECD" w14:textId="2F1ACF68" w:rsidR="002F7F1C" w:rsidRPr="006021A0" w:rsidRDefault="00CE63F4" w:rsidP="002F7F1C">
      <w:pPr>
        <w:jc w:val="both"/>
        <w:rPr>
          <w:rFonts w:ascii="Times New Roman" w:hAnsi="Times New Roman" w:cs="Times New Roman"/>
        </w:rPr>
      </w:pPr>
      <w:r w:rsidRPr="00CE63F4">
        <w:rPr>
          <w:rFonts w:ascii="Times New Roman" w:hAnsi="Times New Roman" w:cs="Times New Roman"/>
        </w:rPr>
        <w:t>Artificial intelligence (AI) has the potential to transform antimicrobial stewardship, with numerous tools already being explored in clinical and research settings to support predictive and data-driven decision-making</w:t>
      </w:r>
      <w:r w:rsidR="002F7F1C" w:rsidRPr="006021A0">
        <w:rPr>
          <w:rFonts w:ascii="Times New Roman" w:hAnsi="Times New Roman" w:cs="Times New Roman"/>
        </w:rPr>
        <w:t>. Traditional approaches rely heavily on retrospective data and delayed laboratory results, whereas AI systems can analyse  large volumes of real-time and historical data to generate early predictions of antimicrobial resistance and guide targeted therapy[</w:t>
      </w:r>
      <w:r w:rsidR="00512231">
        <w:rPr>
          <w:rFonts w:ascii="Times New Roman" w:hAnsi="Times New Roman" w:cs="Times New Roman"/>
        </w:rPr>
        <w:t>8</w:t>
      </w:r>
      <w:r w:rsidR="002F7F1C" w:rsidRPr="006021A0">
        <w:rPr>
          <w:rFonts w:ascii="Times New Roman" w:hAnsi="Times New Roman" w:cs="Times New Roman"/>
        </w:rPr>
        <w:t>].</w:t>
      </w:r>
    </w:p>
    <w:p w14:paraId="47F8E835" w14:textId="749D7EAC" w:rsidR="002F7F1C" w:rsidRPr="006021A0" w:rsidRDefault="002F7F1C" w:rsidP="002F7F1C">
      <w:pPr>
        <w:jc w:val="both"/>
        <w:rPr>
          <w:rFonts w:ascii="Times New Roman" w:hAnsi="Times New Roman" w:cs="Times New Roman"/>
        </w:rPr>
      </w:pPr>
      <w:r w:rsidRPr="006021A0">
        <w:rPr>
          <w:rFonts w:ascii="Times New Roman" w:hAnsi="Times New Roman" w:cs="Times New Roman"/>
        </w:rPr>
        <w:t>Machine learning models are particularly effective at handling complex, multidimensional datasets that include patient demographics, clinical parameters, microbiological profiles, and antibiotic usage patterns. By identifying hidden patterns and associations within these datasets, AI can support clinicians in selecting the most appropriate antimicrobial therapy before culture results become available[</w:t>
      </w:r>
      <w:r w:rsidR="00512231">
        <w:rPr>
          <w:rFonts w:ascii="Times New Roman" w:hAnsi="Times New Roman" w:cs="Times New Roman"/>
        </w:rPr>
        <w:t>9</w:t>
      </w:r>
      <w:r w:rsidRPr="006021A0">
        <w:rPr>
          <w:rFonts w:ascii="Times New Roman" w:hAnsi="Times New Roman" w:cs="Times New Roman"/>
        </w:rPr>
        <w:t>].</w:t>
      </w:r>
    </w:p>
    <w:p w14:paraId="32F119C3" w14:textId="2B71E19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Moreover, AI-driven systems can continuously learn and </w:t>
      </w:r>
      <w:r w:rsidR="0021480C">
        <w:rPr>
          <w:rFonts w:ascii="Times New Roman" w:hAnsi="Times New Roman" w:cs="Times New Roman"/>
        </w:rPr>
        <w:t>adapt</w:t>
      </w:r>
      <w:r w:rsidRPr="006021A0">
        <w:rPr>
          <w:rFonts w:ascii="Times New Roman" w:hAnsi="Times New Roman" w:cs="Times New Roman"/>
        </w:rPr>
        <w:t xml:space="preserve"> from new data, improving their predictive accuracy over time. This dynamic capability is especially valuable in the context of AMR, where resistance patterns evolve rapidly and vary across regions and healthcare </w:t>
      </w:r>
      <w:r w:rsidR="0021480C">
        <w:rPr>
          <w:rFonts w:ascii="Times New Roman" w:hAnsi="Times New Roman" w:cs="Times New Roman"/>
        </w:rPr>
        <w:t xml:space="preserve">settings </w:t>
      </w:r>
      <w:r w:rsidRPr="006021A0">
        <w:rPr>
          <w:rFonts w:ascii="Times New Roman" w:hAnsi="Times New Roman" w:cs="Times New Roman"/>
        </w:rPr>
        <w:t>[</w:t>
      </w:r>
      <w:r w:rsidR="00512231">
        <w:rPr>
          <w:rFonts w:ascii="Times New Roman" w:hAnsi="Times New Roman" w:cs="Times New Roman"/>
        </w:rPr>
        <w:t>10</w:t>
      </w:r>
      <w:r w:rsidRPr="006021A0">
        <w:rPr>
          <w:rFonts w:ascii="Times New Roman" w:hAnsi="Times New Roman" w:cs="Times New Roman"/>
        </w:rPr>
        <w:t>]. As a result, AI offers the potential to reduce inappropriate antibiotic use, minimize treatment delays, and improve patient outcomes.</w:t>
      </w:r>
    </w:p>
    <w:p w14:paraId="667625E1" w14:textId="1DBEF5B0" w:rsidR="002F7F1C" w:rsidRPr="006021A0" w:rsidRDefault="00420EE1" w:rsidP="002F7F1C">
      <w:pPr>
        <w:jc w:val="both"/>
        <w:rPr>
          <w:rFonts w:ascii="Times New Roman" w:hAnsi="Times New Roman" w:cs="Times New Roman"/>
          <w:b/>
          <w:bCs/>
        </w:rPr>
      </w:pPr>
      <w:r>
        <w:rPr>
          <w:rFonts w:ascii="Times New Roman" w:hAnsi="Times New Roman" w:cs="Times New Roman"/>
          <w:b/>
          <w:bCs/>
        </w:rPr>
        <w:t>1</w:t>
      </w:r>
      <w:r w:rsidR="002F7F1C" w:rsidRPr="006021A0">
        <w:rPr>
          <w:rFonts w:ascii="Times New Roman" w:hAnsi="Times New Roman" w:cs="Times New Roman"/>
          <w:b/>
          <w:bCs/>
        </w:rPr>
        <w:t>.4 Aim of the review</w:t>
      </w:r>
    </w:p>
    <w:p w14:paraId="5D9812FC" w14:textId="59D42EC6" w:rsidR="002F7F1C" w:rsidRPr="006021A0" w:rsidRDefault="002F7F1C" w:rsidP="002F7F1C">
      <w:pPr>
        <w:jc w:val="both"/>
        <w:rPr>
          <w:rFonts w:ascii="Times New Roman" w:hAnsi="Times New Roman" w:cs="Times New Roman"/>
        </w:rPr>
      </w:pPr>
      <w:r w:rsidRPr="006021A0">
        <w:rPr>
          <w:rFonts w:ascii="Times New Roman" w:hAnsi="Times New Roman" w:cs="Times New Roman"/>
        </w:rPr>
        <w:t>This review aims to provide a comprehensive critical analysis of artificial intelligence-driven predictive models in antimicrobial stewardship. Specifically, it seeks to evaluate the performance and applicability of various machine learning and deep learning approaches in predicting antimicrobial resistance and guiding clinical decision-making[1</w:t>
      </w:r>
      <w:r w:rsidR="00512231">
        <w:rPr>
          <w:rFonts w:ascii="Times New Roman" w:hAnsi="Times New Roman" w:cs="Times New Roman"/>
        </w:rPr>
        <w:t>1</w:t>
      </w:r>
      <w:r w:rsidRPr="006021A0">
        <w:rPr>
          <w:rFonts w:ascii="Times New Roman" w:hAnsi="Times New Roman" w:cs="Times New Roman"/>
        </w:rPr>
        <w:t>].</w:t>
      </w:r>
    </w:p>
    <w:p w14:paraId="2E1D3D1E" w14:textId="70EF55A5"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addition to assessing predictive  accuracy, this review examines the clinical relevance of these models, including their integration into healthcare workflows and their impact on prescribing practices. It also identifies key limitations in current research, such as data quality issues, lack of external validation, and challenges in real-world implementation[1</w:t>
      </w:r>
      <w:r w:rsidR="00512231">
        <w:rPr>
          <w:rFonts w:ascii="Times New Roman" w:hAnsi="Times New Roman" w:cs="Times New Roman"/>
        </w:rPr>
        <w:t>2</w:t>
      </w:r>
      <w:r w:rsidRPr="006021A0">
        <w:rPr>
          <w:rFonts w:ascii="Times New Roman" w:hAnsi="Times New Roman" w:cs="Times New Roman"/>
        </w:rPr>
        <w:t>].</w:t>
      </w:r>
    </w:p>
    <w:p w14:paraId="32BE6D22" w14:textId="4E93F632" w:rsidR="002F7F1C" w:rsidRPr="006021A0" w:rsidRDefault="0021480C" w:rsidP="002F7F1C">
      <w:pPr>
        <w:jc w:val="both"/>
        <w:rPr>
          <w:rFonts w:ascii="Times New Roman" w:hAnsi="Times New Roman" w:cs="Times New Roman"/>
        </w:rPr>
      </w:pPr>
      <w:r w:rsidRPr="0021480C">
        <w:rPr>
          <w:rFonts w:ascii="Times New Roman" w:hAnsi="Times New Roman" w:cs="Times New Roman"/>
        </w:rPr>
        <w:t>Finally, the review aims to outline future directions for the development and deployment of AI-based tools in antimicrobial stewardship, with particular attention to their feasibility in low-resource settings, defined as healthcare systems with limited digital infrastructure, restricted access to microbiological diagnostics, and constrained financial and technical resources</w:t>
      </w:r>
      <w:r w:rsidR="002F7F1C" w:rsidRPr="006021A0">
        <w:rPr>
          <w:rFonts w:ascii="Times New Roman" w:hAnsi="Times New Roman" w:cs="Times New Roman"/>
        </w:rPr>
        <w:t>. By synthesizing current evidence and highlighting existing gaps, this work seeks to contribute to the advancement of more effective, data-driven strategies to combat antimicrobial resistance.</w:t>
      </w:r>
    </w:p>
    <w:p w14:paraId="4E6D84E5" w14:textId="6DF1972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2. Foundation of AI in AMR</w:t>
      </w:r>
    </w:p>
    <w:p w14:paraId="5A903356" w14:textId="143120A4"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2.1 Types of AI Used</w:t>
      </w:r>
    </w:p>
    <w:p w14:paraId="690E4487" w14:textId="04A098D9" w:rsidR="002F7F1C" w:rsidRPr="006021A0" w:rsidRDefault="002F7F1C" w:rsidP="002F7F1C">
      <w:pPr>
        <w:jc w:val="both"/>
        <w:rPr>
          <w:rFonts w:ascii="Times New Roman" w:hAnsi="Times New Roman" w:cs="Times New Roman"/>
        </w:rPr>
      </w:pPr>
      <w:r w:rsidRPr="006021A0">
        <w:rPr>
          <w:rFonts w:ascii="Times New Roman" w:hAnsi="Times New Roman" w:cs="Times New Roman"/>
        </w:rPr>
        <w:lastRenderedPageBreak/>
        <w:t>Artificial intelligence (AI) in antimicrobial resistance (AMR) research primarily relies on machine (ML) and deep lea</w:t>
      </w:r>
      <w:r w:rsidR="002B3154">
        <w:rPr>
          <w:rFonts w:ascii="Times New Roman" w:hAnsi="Times New Roman" w:cs="Times New Roman"/>
        </w:rPr>
        <w:t>r</w:t>
      </w:r>
      <w:r w:rsidRPr="006021A0">
        <w:rPr>
          <w:rFonts w:ascii="Times New Roman" w:hAnsi="Times New Roman" w:cs="Times New Roman"/>
        </w:rPr>
        <w:t>ning (DL) approaches, each offering distinct advantages depending on the nature and complexity of the data</w:t>
      </w:r>
    </w:p>
    <w:p w14:paraId="6367EA86" w14:textId="3BA0D4F5" w:rsidR="002F7F1C" w:rsidRPr="006021A0" w:rsidRDefault="002F7F1C" w:rsidP="002F7F1C">
      <w:pPr>
        <w:jc w:val="both"/>
        <w:rPr>
          <w:rFonts w:ascii="Times New Roman" w:hAnsi="Times New Roman" w:cs="Times New Roman"/>
        </w:rPr>
      </w:pPr>
      <w:r w:rsidRPr="006021A0">
        <w:rPr>
          <w:rFonts w:ascii="Times New Roman" w:hAnsi="Times New Roman" w:cs="Times New Roman"/>
        </w:rPr>
        <w:t>Machine learning models are widely used due to their interpretability and effectiveness with structured clinical datasets. Algorithms such as Random Forest, Support Vector Machine (SVM), and gradient boosting methods (e.g,</w:t>
      </w:r>
      <w:r w:rsidR="002B3154">
        <w:rPr>
          <w:rFonts w:ascii="Times New Roman" w:hAnsi="Times New Roman" w:cs="Times New Roman"/>
        </w:rPr>
        <w:t xml:space="preserve"> </w:t>
      </w:r>
      <w:r w:rsidRPr="006021A0">
        <w:rPr>
          <w:rFonts w:ascii="Times New Roman" w:hAnsi="Times New Roman" w:cs="Times New Roman"/>
        </w:rPr>
        <w:t>XGBoost) have demonstrated strong performance in predicting antimicrobial resistance patterns. Random Forest models are particularly valued for their robustness and ability to handle the non</w:t>
      </w:r>
      <w:r w:rsidR="002B3154">
        <w:rPr>
          <w:rFonts w:ascii="Times New Roman" w:hAnsi="Times New Roman" w:cs="Times New Roman"/>
        </w:rPr>
        <w:t>-</w:t>
      </w:r>
      <w:r w:rsidRPr="006021A0">
        <w:rPr>
          <w:rFonts w:ascii="Times New Roman" w:hAnsi="Times New Roman" w:cs="Times New Roman"/>
        </w:rPr>
        <w:t>linear relationships, while SVMs are effective in high-dimensional datasets with limited samples. Gradient boosting techniques, on the other hand, often achieve high predictive accuracy by iteratively correcting errors from previous models[1</w:t>
      </w:r>
      <w:r w:rsidR="00512231">
        <w:rPr>
          <w:rFonts w:ascii="Times New Roman" w:hAnsi="Times New Roman" w:cs="Times New Roman"/>
        </w:rPr>
        <w:t>3</w:t>
      </w:r>
      <w:r w:rsidRPr="006021A0">
        <w:rPr>
          <w:rFonts w:ascii="Times New Roman" w:hAnsi="Times New Roman" w:cs="Times New Roman"/>
        </w:rPr>
        <w:t>].</w:t>
      </w:r>
    </w:p>
    <w:p w14:paraId="249CFDB5" w14:textId="11798535"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Deep learning approaches extend these capabilities by enabling the analysis of complex and unstructured data. Artificial neural networks can model intricate relationships across multiple variables, making them suitable for large-scale clinical and biological datasets. </w:t>
      </w:r>
      <w:r w:rsidR="0021480C" w:rsidRPr="0021480C">
        <w:rPr>
          <w:rFonts w:ascii="Times New Roman" w:hAnsi="Times New Roman" w:cs="Times New Roman"/>
        </w:rPr>
        <w:t xml:space="preserve">Convolutional neural networks (CNNs) have broader applications, including analysis of genomic sequences, microbiological imaging, and encoded biological data, enabling identification of resistance-associated patterns at a detailed level. </w:t>
      </w:r>
      <w:r w:rsidRPr="006021A0">
        <w:rPr>
          <w:rFonts w:ascii="Times New Roman" w:hAnsi="Times New Roman" w:cs="Times New Roman"/>
        </w:rPr>
        <w:t>[1</w:t>
      </w:r>
      <w:r w:rsidR="00512231">
        <w:rPr>
          <w:rFonts w:ascii="Times New Roman" w:hAnsi="Times New Roman" w:cs="Times New Roman"/>
        </w:rPr>
        <w:t>4</w:t>
      </w:r>
      <w:r w:rsidRPr="006021A0">
        <w:rPr>
          <w:rFonts w:ascii="Times New Roman" w:hAnsi="Times New Roman" w:cs="Times New Roman"/>
        </w:rPr>
        <w:t>].</w:t>
      </w:r>
    </w:p>
    <w:p w14:paraId="35BDD93A" w14:textId="760735B3" w:rsidR="002F7F1C" w:rsidRDefault="002F7F1C" w:rsidP="002F7F1C">
      <w:pPr>
        <w:jc w:val="both"/>
        <w:rPr>
          <w:rFonts w:ascii="Times New Roman" w:hAnsi="Times New Roman" w:cs="Times New Roman"/>
        </w:rPr>
      </w:pPr>
      <w:r w:rsidRPr="006021A0">
        <w:rPr>
          <w:rFonts w:ascii="Times New Roman" w:hAnsi="Times New Roman" w:cs="Times New Roman"/>
        </w:rPr>
        <w:t>While deep leaning models often outperform traditional machine learning techniques in terms of predictive power, they are frequently limited by their “black-box” nature, which can reduce interpretability and hinder clinical adoption. In contrast, machine learning models strike a balance between performance and explainability, making them more suitable for integration into clinical decision-making systems</w:t>
      </w:r>
      <w:r w:rsidR="002B3154">
        <w:rPr>
          <w:rFonts w:ascii="Times New Roman" w:hAnsi="Times New Roman" w:cs="Times New Roman"/>
        </w:rPr>
        <w:t xml:space="preserve"> </w:t>
      </w:r>
      <w:r w:rsidRPr="006021A0">
        <w:rPr>
          <w:rFonts w:ascii="Times New Roman" w:hAnsi="Times New Roman" w:cs="Times New Roman"/>
        </w:rPr>
        <w:t>[1</w:t>
      </w:r>
      <w:r w:rsidR="00512231">
        <w:rPr>
          <w:rFonts w:ascii="Times New Roman" w:hAnsi="Times New Roman" w:cs="Times New Roman"/>
        </w:rPr>
        <w:t>5</w:t>
      </w:r>
      <w:r w:rsidRPr="006021A0">
        <w:rPr>
          <w:rFonts w:ascii="Times New Roman" w:hAnsi="Times New Roman" w:cs="Times New Roman"/>
        </w:rPr>
        <w:t xml:space="preserve">]. </w:t>
      </w:r>
    </w:p>
    <w:p w14:paraId="725BD2BA" w14:textId="6DD95942" w:rsidR="0021480C" w:rsidRPr="006021A0" w:rsidRDefault="0021480C" w:rsidP="002F7F1C">
      <w:pPr>
        <w:jc w:val="both"/>
        <w:rPr>
          <w:rFonts w:ascii="Times New Roman" w:hAnsi="Times New Roman" w:cs="Times New Roman"/>
        </w:rPr>
      </w:pPr>
      <w:r w:rsidRPr="0021480C">
        <w:rPr>
          <w:rFonts w:ascii="Times New Roman" w:hAnsi="Times New Roman" w:cs="Times New Roman"/>
        </w:rPr>
        <w:t>Although deep learning models are often described as “black-box” systems, recent advances in post hoc explainability methods such as Local Interpretable Model-Agnostic Explanations (LIME) and SHapley Additive exPlanations (SHAP) have improved interpretability. These techniques enable identification of feature importance and model decision pathways, thereby enhancing transparency and supporting clinical trust in AI-assisted decision-making.</w:t>
      </w:r>
    </w:p>
    <w:p w14:paraId="4F43630E" w14:textId="02EACC82"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2.2 Data Sources for AI Models</w:t>
      </w:r>
    </w:p>
    <w:p w14:paraId="673BF9E2"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The effectiveness of AI models in predicting antimicrobial resistance is fundamentally dependent on the quality and integration of diverse data sources. These models rely on comprehensive database that capture clinical, microbiological, molecular dimensions of infection.</w:t>
      </w:r>
    </w:p>
    <w:p w14:paraId="02EE3F3A" w14:textId="4DCF4E42" w:rsidR="002F7F1C" w:rsidRPr="006021A0" w:rsidRDefault="002F7F1C" w:rsidP="002F7F1C">
      <w:pPr>
        <w:jc w:val="both"/>
        <w:rPr>
          <w:rFonts w:ascii="Times New Roman" w:hAnsi="Times New Roman" w:cs="Times New Roman"/>
        </w:rPr>
      </w:pPr>
      <w:r w:rsidRPr="006021A0">
        <w:rPr>
          <w:rFonts w:ascii="Times New Roman" w:hAnsi="Times New Roman" w:cs="Times New Roman"/>
        </w:rPr>
        <w:t>Electronic health records (EHRs) provide a rich source of patient- level data, including demographics, comorbidities, laboratory findings, and treatment histories. These data enable AI systems to identify risk factors and predict resistance patterns at individual level, supporting personalized antimicrobial therapy[1</w:t>
      </w:r>
      <w:r w:rsidR="00512231">
        <w:rPr>
          <w:rFonts w:ascii="Times New Roman" w:hAnsi="Times New Roman" w:cs="Times New Roman"/>
        </w:rPr>
        <w:t>6</w:t>
      </w:r>
      <w:r w:rsidRPr="006021A0">
        <w:rPr>
          <w:rFonts w:ascii="Times New Roman" w:hAnsi="Times New Roman" w:cs="Times New Roman"/>
        </w:rPr>
        <w:t>] .</w:t>
      </w:r>
    </w:p>
    <w:p w14:paraId="08FC4BAC" w14:textId="4A4DE77B" w:rsidR="002F7F1C" w:rsidRPr="006021A0" w:rsidRDefault="002F7F1C" w:rsidP="002F7F1C">
      <w:pPr>
        <w:jc w:val="both"/>
        <w:rPr>
          <w:rFonts w:ascii="Times New Roman" w:hAnsi="Times New Roman" w:cs="Times New Roman"/>
        </w:rPr>
      </w:pPr>
      <w:r w:rsidRPr="006021A0">
        <w:rPr>
          <w:rFonts w:ascii="Times New Roman" w:hAnsi="Times New Roman" w:cs="Times New Roman"/>
        </w:rPr>
        <w:t>Microbiology laboratory data, including culture and microbial susceptibility testing results, form core of resistance prediction models. These datasets allow AI systems to learn organism-</w:t>
      </w:r>
      <w:r w:rsidRPr="006021A0">
        <w:rPr>
          <w:rFonts w:ascii="Times New Roman" w:hAnsi="Times New Roman" w:cs="Times New Roman"/>
        </w:rPr>
        <w:lastRenderedPageBreak/>
        <w:t>specific resistance trends and local epidemiological patterns, which are critical for accurate and context-specific predictions[1</w:t>
      </w:r>
      <w:r w:rsidR="00512231">
        <w:rPr>
          <w:rFonts w:ascii="Times New Roman" w:hAnsi="Times New Roman" w:cs="Times New Roman"/>
        </w:rPr>
        <w:t>7</w:t>
      </w:r>
      <w:r w:rsidRPr="006021A0">
        <w:rPr>
          <w:rFonts w:ascii="Times New Roman" w:hAnsi="Times New Roman" w:cs="Times New Roman"/>
        </w:rPr>
        <w:t>] .</w:t>
      </w:r>
    </w:p>
    <w:p w14:paraId="51EFB06B" w14:textId="372E7F9E" w:rsidR="002F7F1C" w:rsidRPr="006021A0" w:rsidRDefault="002F7F1C" w:rsidP="002F7F1C">
      <w:pPr>
        <w:jc w:val="both"/>
        <w:rPr>
          <w:rFonts w:ascii="Times New Roman" w:hAnsi="Times New Roman" w:cs="Times New Roman"/>
        </w:rPr>
      </w:pPr>
      <w:r w:rsidRPr="006021A0">
        <w:rPr>
          <w:rFonts w:ascii="Times New Roman" w:hAnsi="Times New Roman" w:cs="Times New Roman"/>
        </w:rPr>
        <w:t>Genomic sequencing data offer deeper insights into the molecular basis of antimicrobial resistance. By analysing genetic mutations and resistance genes, AI models can predict resistance with high precision, particularly in complex or multidrug-resistant organisms. However, the widespread  use of genomic data is still limited by cost, infrastructure, and technical expertise requirements[1</w:t>
      </w:r>
      <w:r w:rsidR="00512231">
        <w:rPr>
          <w:rFonts w:ascii="Times New Roman" w:hAnsi="Times New Roman" w:cs="Times New Roman"/>
        </w:rPr>
        <w:t>8</w:t>
      </w:r>
      <w:r w:rsidRPr="006021A0">
        <w:rPr>
          <w:rFonts w:ascii="Times New Roman" w:hAnsi="Times New Roman" w:cs="Times New Roman"/>
        </w:rPr>
        <w:t>] .</w:t>
      </w:r>
    </w:p>
    <w:p w14:paraId="734FECC6" w14:textId="05CFAD83" w:rsidR="002F7F1C" w:rsidRPr="006021A0" w:rsidRDefault="002F7F1C" w:rsidP="002F7F1C">
      <w:pPr>
        <w:jc w:val="both"/>
        <w:rPr>
          <w:rFonts w:ascii="Times New Roman" w:hAnsi="Times New Roman" w:cs="Times New Roman"/>
        </w:rPr>
      </w:pPr>
      <w:r w:rsidRPr="006021A0">
        <w:rPr>
          <w:rFonts w:ascii="Times New Roman" w:hAnsi="Times New Roman" w:cs="Times New Roman"/>
        </w:rPr>
        <w:t>Antibiotic usage patterns provide essential contextual information regarding prescribing behaviours and selective pressure. Data on antibiotic consumption , duration, and class help AI models understand how resistance evolves over time within specific populations or healthcare settings[1</w:t>
      </w:r>
      <w:r w:rsidR="00512231">
        <w:rPr>
          <w:rFonts w:ascii="Times New Roman" w:hAnsi="Times New Roman" w:cs="Times New Roman"/>
        </w:rPr>
        <w:t>9</w:t>
      </w:r>
      <w:r w:rsidRPr="006021A0">
        <w:rPr>
          <w:rFonts w:ascii="Times New Roman" w:hAnsi="Times New Roman" w:cs="Times New Roman"/>
        </w:rPr>
        <w:t>] .</w:t>
      </w:r>
    </w:p>
    <w:p w14:paraId="5C3B58C5" w14:textId="41E42C64"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Taken together, these data sources from the backbone of AI-driven AMR prediction. However, their utility is highly dependent on data quality, standardization, and completeness. Inconsistent or biased datasets can significantly impair model performance and limit generalizability. </w:t>
      </w:r>
      <w:r w:rsidRPr="00420EE1">
        <w:rPr>
          <w:rFonts w:ascii="Times New Roman" w:hAnsi="Times New Roman" w:cs="Times New Roman"/>
        </w:rPr>
        <w:t>Model is only as strong as the dataset quality</w:t>
      </w:r>
      <w:r w:rsidRPr="006021A0">
        <w:rPr>
          <w:rFonts w:ascii="Times New Roman" w:hAnsi="Times New Roman" w:cs="Times New Roman"/>
          <w:b/>
          <w:bCs/>
        </w:rPr>
        <w:t>,</w:t>
      </w:r>
      <w:r w:rsidRPr="006021A0">
        <w:rPr>
          <w:rFonts w:ascii="Times New Roman" w:hAnsi="Times New Roman" w:cs="Times New Roman"/>
        </w:rPr>
        <w:t xml:space="preserve"> understanding the need for robust data curation and integration frameworks.</w:t>
      </w:r>
    </w:p>
    <w:p w14:paraId="6BC96CAF" w14:textId="12079F90"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3. AI in Predicting Antimicrobial Resistance (Core Section)</w:t>
      </w:r>
    </w:p>
    <w:p w14:paraId="295B5DBA" w14:textId="763CA071" w:rsidR="002F7F1C" w:rsidRDefault="002F7F1C" w:rsidP="002F7F1C">
      <w:pPr>
        <w:jc w:val="both"/>
        <w:rPr>
          <w:rFonts w:ascii="Times New Roman" w:hAnsi="Times New Roman" w:cs="Times New Roman"/>
          <w:b/>
          <w:bCs/>
        </w:rPr>
      </w:pPr>
      <w:r w:rsidRPr="006021A0">
        <w:rPr>
          <w:rFonts w:ascii="Times New Roman" w:hAnsi="Times New Roman" w:cs="Times New Roman"/>
          <w:b/>
          <w:bCs/>
        </w:rPr>
        <w:t xml:space="preserve">3.1 Pathogen- Level Prediction </w:t>
      </w:r>
    </w:p>
    <w:p w14:paraId="2CBA772F" w14:textId="77E0DB24" w:rsidR="0021480C" w:rsidRPr="0021480C" w:rsidRDefault="0021480C" w:rsidP="002F7F1C">
      <w:pPr>
        <w:jc w:val="both"/>
        <w:rPr>
          <w:rFonts w:ascii="Times New Roman" w:hAnsi="Times New Roman" w:cs="Times New Roman"/>
        </w:rPr>
      </w:pPr>
      <w:r w:rsidRPr="0021480C">
        <w:rPr>
          <w:rFonts w:ascii="Times New Roman" w:hAnsi="Times New Roman" w:cs="Times New Roman"/>
        </w:rPr>
        <w:t>AI models used for pathogen-level prediction can be broadly categorized as organism-specific or generalized models across multiple pathogens. Organism-specific models are trained on data from a single pathogen and often achieve higher predictive accuracy due to focused datasets. In contrast, generalized models are designed to predict resistance across multiple organisms, offering broader applicability but sometimes with reduced precision. The choice of model depends on the clinical context, data availability, and intended application.</w:t>
      </w:r>
    </w:p>
    <w:p w14:paraId="31276EA1" w14:textId="22846395"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AI models have shown strong capability in predicting resistance at the pathogen level, particularly for clinically significant organisms such as Escherichia coli, Klebsiella pneumoniae, and Staphylococcus aureus </w:t>
      </w:r>
      <w:r w:rsidR="00420EE1">
        <w:rPr>
          <w:rFonts w:ascii="Times New Roman" w:hAnsi="Times New Roman" w:cs="Times New Roman"/>
        </w:rPr>
        <w:t>b</w:t>
      </w:r>
      <w:r w:rsidRPr="006021A0">
        <w:rPr>
          <w:rFonts w:ascii="Times New Roman" w:hAnsi="Times New Roman" w:cs="Times New Roman"/>
        </w:rPr>
        <w:t xml:space="preserve">y integrating microbiological data with patient-specific clinical variables, machine learning algorithms </w:t>
      </w:r>
      <w:r w:rsidR="009C2A05" w:rsidRPr="009C2A05">
        <w:rPr>
          <w:rFonts w:ascii="Times New Roman" w:hAnsi="Times New Roman" w:cs="Times New Roman"/>
        </w:rPr>
        <w:t>can identify resistance patterns that may not be apparent through conventional analysis</w:t>
      </w:r>
      <w:r w:rsidRPr="006021A0">
        <w:rPr>
          <w:rFonts w:ascii="Times New Roman" w:hAnsi="Times New Roman" w:cs="Times New Roman"/>
        </w:rPr>
        <w:t>[</w:t>
      </w:r>
      <w:r w:rsidR="00512231">
        <w:rPr>
          <w:rFonts w:ascii="Times New Roman" w:hAnsi="Times New Roman" w:cs="Times New Roman"/>
        </w:rPr>
        <w:t>20</w:t>
      </w:r>
      <w:r w:rsidRPr="006021A0">
        <w:rPr>
          <w:rFonts w:ascii="Times New Roman" w:hAnsi="Times New Roman" w:cs="Times New Roman"/>
        </w:rPr>
        <w:t>] .</w:t>
      </w:r>
    </w:p>
    <w:p w14:paraId="50CBE9F5" w14:textId="18492E42" w:rsidR="002F7F1C" w:rsidRPr="006021A0" w:rsidRDefault="002F7F1C" w:rsidP="002F7F1C">
      <w:pPr>
        <w:jc w:val="both"/>
        <w:rPr>
          <w:rFonts w:ascii="Times New Roman" w:hAnsi="Times New Roman" w:cs="Times New Roman"/>
        </w:rPr>
      </w:pPr>
      <w:r w:rsidRPr="006021A0">
        <w:rPr>
          <w:rFonts w:ascii="Times New Roman" w:hAnsi="Times New Roman" w:cs="Times New Roman"/>
        </w:rPr>
        <w:t>These models are especially valuable in settings with well-established surveillance systems, where historical resistance trends can be leveraged to forecast future patterns. For instance, AI systems can predict the likelihood of extended- spectrum beta-lactamase (ESBL) production or methicillin resistance based on prior patient history and institutional data. This enables earlier and more targeted therapeutic decisions, reducing reliance on broad-spectrum antibiotics [2</w:t>
      </w:r>
      <w:r w:rsidR="00512231">
        <w:rPr>
          <w:rFonts w:ascii="Times New Roman" w:hAnsi="Times New Roman" w:cs="Times New Roman"/>
        </w:rPr>
        <w:t>1</w:t>
      </w:r>
      <w:r w:rsidRPr="006021A0">
        <w:rPr>
          <w:rFonts w:ascii="Times New Roman" w:hAnsi="Times New Roman" w:cs="Times New Roman"/>
        </w:rPr>
        <w:t>].</w:t>
      </w:r>
    </w:p>
    <w:p w14:paraId="39DB432E" w14:textId="48A2CCE3"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 xml:space="preserve">3.2 Antibiotic Susceptibility Prediction </w:t>
      </w:r>
    </w:p>
    <w:p w14:paraId="2BAD1A1F" w14:textId="09F7D851" w:rsidR="002F7F1C" w:rsidRDefault="002F7F1C" w:rsidP="002F7F1C">
      <w:pPr>
        <w:jc w:val="both"/>
        <w:rPr>
          <w:rFonts w:ascii="Times New Roman" w:hAnsi="Times New Roman" w:cs="Times New Roman"/>
        </w:rPr>
      </w:pPr>
      <w:r w:rsidRPr="006021A0">
        <w:rPr>
          <w:rFonts w:ascii="Times New Roman" w:hAnsi="Times New Roman" w:cs="Times New Roman"/>
        </w:rPr>
        <w:t xml:space="preserve">One of the most clinically impactful applications of AI is the prediction of antibiotic susceptibility before culture and sensitivity results are available. Traditional microbiological </w:t>
      </w:r>
      <w:r w:rsidRPr="006021A0">
        <w:rPr>
          <w:rFonts w:ascii="Times New Roman" w:hAnsi="Times New Roman" w:cs="Times New Roman"/>
        </w:rPr>
        <w:lastRenderedPageBreak/>
        <w:t>methods require 48-72 hours, during which empirical therapy is initiated under uncertainty. AI models can bridge this gap by providing early predictions of susceptibility profiles based on available clinical and laboratory data [2</w:t>
      </w:r>
      <w:r w:rsidR="00512231">
        <w:rPr>
          <w:rFonts w:ascii="Times New Roman" w:hAnsi="Times New Roman" w:cs="Times New Roman"/>
        </w:rPr>
        <w:t>2</w:t>
      </w:r>
      <w:r w:rsidRPr="006021A0">
        <w:rPr>
          <w:rFonts w:ascii="Times New Roman" w:hAnsi="Times New Roman" w:cs="Times New Roman"/>
        </w:rPr>
        <w:t>] .</w:t>
      </w:r>
    </w:p>
    <w:p w14:paraId="76E5531C" w14:textId="0DE0F502" w:rsidR="0021480C" w:rsidRPr="006021A0" w:rsidRDefault="0021480C" w:rsidP="002F7F1C">
      <w:pPr>
        <w:jc w:val="both"/>
        <w:rPr>
          <w:rFonts w:ascii="Times New Roman" w:hAnsi="Times New Roman" w:cs="Times New Roman"/>
        </w:rPr>
      </w:pPr>
      <w:r w:rsidRPr="0021480C">
        <w:rPr>
          <w:rFonts w:ascii="Times New Roman" w:hAnsi="Times New Roman" w:cs="Times New Roman"/>
        </w:rPr>
        <w:t>Model validation is critical to ensure reliability and clinical applicability of AI systems. Common approaches include internal validation using cross-validation techniques and external validation across independent datasets. Model performance is typically evaluated using metrics such as area under the receiver operating characteristic curve (AUROC), sensitivity, specificity, and precision. External validation is particularly important to assess generalizability across different populations and healthcare settings.</w:t>
      </w:r>
    </w:p>
    <w:p w14:paraId="2ACFEC02" w14:textId="49D28895" w:rsidR="002F7F1C" w:rsidRPr="006021A0" w:rsidRDefault="002F7F1C" w:rsidP="002F7F1C">
      <w:pPr>
        <w:jc w:val="both"/>
        <w:rPr>
          <w:rFonts w:ascii="Times New Roman" w:hAnsi="Times New Roman" w:cs="Times New Roman"/>
        </w:rPr>
      </w:pPr>
      <w:r w:rsidRPr="006021A0">
        <w:rPr>
          <w:rFonts w:ascii="Times New Roman" w:hAnsi="Times New Roman" w:cs="Times New Roman"/>
        </w:rPr>
        <w:t>Machine learning algorithms trained on large datasets can estimate the probability of resistance to specific antibiotics, allowing clinicians to tailor therapy more precisely at the point of care . This approach has been shown to reduce inappropriate antibiotic use and improve treatment outcomes, particularly in high-risk infections[2</w:t>
      </w:r>
      <w:r w:rsidR="00512231">
        <w:rPr>
          <w:rFonts w:ascii="Times New Roman" w:hAnsi="Times New Roman" w:cs="Times New Roman"/>
        </w:rPr>
        <w:t>3</w:t>
      </w:r>
      <w:r w:rsidRPr="006021A0">
        <w:rPr>
          <w:rFonts w:ascii="Times New Roman" w:hAnsi="Times New Roman" w:cs="Times New Roman"/>
        </w:rPr>
        <w:t>].</w:t>
      </w:r>
    </w:p>
    <w:p w14:paraId="059DCCEA"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Importantly, susceptibility prediction models can be continuously updated with new data, enabling adaptation to evolving resistance patterns. This dynamic learning capability gives AI a clear advantage over static clinical guidelines.</w:t>
      </w:r>
    </w:p>
    <w:p w14:paraId="11CAEBBA" w14:textId="5AB84892"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3.3 Sepsis and ICU Applications</w:t>
      </w:r>
    </w:p>
    <w:p w14:paraId="30C1F352" w14:textId="356BD452" w:rsidR="002F7F1C" w:rsidRDefault="006C3405" w:rsidP="002F7F1C">
      <w:pPr>
        <w:jc w:val="both"/>
        <w:rPr>
          <w:rFonts w:ascii="Times New Roman" w:hAnsi="Times New Roman" w:cs="Times New Roman"/>
        </w:rPr>
      </w:pPr>
      <w:r w:rsidRPr="006C3405">
        <w:rPr>
          <w:rFonts w:ascii="Times New Roman" w:hAnsi="Times New Roman" w:cs="Times New Roman"/>
        </w:rPr>
        <w:t xml:space="preserve">In critical care settings, particularly in sepsis and intensive care units (ICUs), AI applications can be broadly categorized into two types: early detection models and antimicrobial resistance (AMR) prediction models. Early detection models focus on identifying sepsis at an early stage using real-time clinical data such as vital signs, laboratory parameters, and patient history. In contrast, AMR prediction models estimate the likelihood of resistant pathogens to guide appropriate antibiotic selection. Both approaches are complementary and play a crucial role in improving patient outcomes in high-risk environments. </w:t>
      </w:r>
      <w:r w:rsidR="002F7F1C" w:rsidRPr="006021A0">
        <w:rPr>
          <w:rFonts w:ascii="Times New Roman" w:hAnsi="Times New Roman" w:cs="Times New Roman"/>
        </w:rPr>
        <w:t>[2</w:t>
      </w:r>
      <w:r w:rsidR="00512231">
        <w:rPr>
          <w:rFonts w:ascii="Times New Roman" w:hAnsi="Times New Roman" w:cs="Times New Roman"/>
        </w:rPr>
        <w:t>4</w:t>
      </w:r>
      <w:r w:rsidR="002F7F1C" w:rsidRPr="006021A0">
        <w:rPr>
          <w:rFonts w:ascii="Times New Roman" w:hAnsi="Times New Roman" w:cs="Times New Roman"/>
        </w:rPr>
        <w:t>].</w:t>
      </w:r>
    </w:p>
    <w:p w14:paraId="68A8D185" w14:textId="5915326D" w:rsidR="006C3405" w:rsidRPr="006021A0" w:rsidRDefault="006C3405" w:rsidP="002F7F1C">
      <w:pPr>
        <w:jc w:val="both"/>
        <w:rPr>
          <w:rFonts w:ascii="Times New Roman" w:hAnsi="Times New Roman" w:cs="Times New Roman"/>
        </w:rPr>
      </w:pPr>
      <w:r w:rsidRPr="006C3405">
        <w:rPr>
          <w:rFonts w:ascii="Times New Roman" w:hAnsi="Times New Roman" w:cs="Times New Roman"/>
        </w:rPr>
        <w:t>For early detection, AI systems analyse real-time patient data, including vital signs, laboratory parameters, and prior infection history, to identify patients at risk of sepsis before clinical deterioration becomes evident.</w:t>
      </w:r>
    </w:p>
    <w:p w14:paraId="736F7C6F" w14:textId="3D6BDE19" w:rsidR="002F7F1C" w:rsidRPr="006021A0" w:rsidRDefault="006C3405" w:rsidP="002F7F1C">
      <w:pPr>
        <w:jc w:val="both"/>
        <w:rPr>
          <w:rFonts w:ascii="Times New Roman" w:hAnsi="Times New Roman" w:cs="Times New Roman"/>
        </w:rPr>
      </w:pPr>
      <w:r w:rsidRPr="006C3405">
        <w:rPr>
          <w:rFonts w:ascii="Times New Roman" w:hAnsi="Times New Roman" w:cs="Times New Roman"/>
        </w:rPr>
        <w:t>For antimicrobial resistance prediction, AI models in ICU settings can identify patterns of multidrug-resistant organisms and predict resistance trends specific to a unit or institution, enabling more targeted antibiotic selection and improved stewardship practices</w:t>
      </w:r>
      <w:r w:rsidR="002F7F1C" w:rsidRPr="006021A0">
        <w:rPr>
          <w:rFonts w:ascii="Times New Roman" w:hAnsi="Times New Roman" w:cs="Times New Roman"/>
        </w:rPr>
        <w:t>[2</w:t>
      </w:r>
      <w:r w:rsidR="00512231">
        <w:rPr>
          <w:rFonts w:ascii="Times New Roman" w:hAnsi="Times New Roman" w:cs="Times New Roman"/>
        </w:rPr>
        <w:t>5</w:t>
      </w:r>
      <w:r w:rsidR="002F7F1C" w:rsidRPr="006021A0">
        <w:rPr>
          <w:rFonts w:ascii="Times New Roman" w:hAnsi="Times New Roman" w:cs="Times New Roman"/>
        </w:rPr>
        <w:t>].</w:t>
      </w:r>
    </w:p>
    <w:p w14:paraId="1705A949" w14:textId="1EA53EE3"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3.4 Comparative Analysis of Models( Insight – driven synthesis)</w:t>
      </w:r>
    </w:p>
    <w:p w14:paraId="4F3C0BD8" w14:textId="77777777" w:rsidR="002F7F1C" w:rsidRDefault="002F7F1C" w:rsidP="002F7F1C">
      <w:pPr>
        <w:jc w:val="both"/>
        <w:rPr>
          <w:rFonts w:ascii="Times New Roman" w:hAnsi="Times New Roman" w:cs="Times New Roman"/>
        </w:rPr>
      </w:pPr>
      <w:r w:rsidRPr="006021A0">
        <w:rPr>
          <w:rFonts w:ascii="Times New Roman" w:hAnsi="Times New Roman" w:cs="Times New Roman"/>
        </w:rPr>
        <w:t xml:space="preserve">Rather than focusing on individual studies, a comparative understanding of AI model performance provides more meaningful insights into their practical utility in antimicrobial stewardship. </w:t>
      </w:r>
    </w:p>
    <w:p w14:paraId="35F3A0B0" w14:textId="2020389C" w:rsidR="00F87365" w:rsidRPr="006C3405" w:rsidRDefault="006C3405" w:rsidP="00F87365">
      <w:pPr>
        <w:jc w:val="both"/>
        <w:rPr>
          <w:rFonts w:ascii="Times New Roman" w:hAnsi="Times New Roman" w:cs="Times New Roman"/>
          <w:b/>
          <w:bCs/>
        </w:rPr>
      </w:pPr>
      <w:r w:rsidRPr="006C3405">
        <w:rPr>
          <w:rFonts w:ascii="Times New Roman" w:hAnsi="Times New Roman" w:cs="Times New Roman"/>
          <w:b/>
          <w:bCs/>
        </w:rPr>
        <w:t xml:space="preserve">                   </w:t>
      </w:r>
      <w:r w:rsidR="006921C9" w:rsidRPr="006C3405">
        <w:rPr>
          <w:rFonts w:ascii="Times New Roman" w:hAnsi="Times New Roman" w:cs="Times New Roman"/>
          <w:b/>
          <w:bCs/>
        </w:rPr>
        <w:t>TABLE</w:t>
      </w:r>
      <w:r w:rsidR="006C4134" w:rsidRPr="006C3405">
        <w:rPr>
          <w:rFonts w:ascii="Times New Roman" w:hAnsi="Times New Roman" w:cs="Times New Roman"/>
          <w:b/>
          <w:bCs/>
        </w:rPr>
        <w:t xml:space="preserve"> 1.</w:t>
      </w:r>
      <w:r w:rsidR="00F87365" w:rsidRPr="006C3405">
        <w:rPr>
          <w:rFonts w:ascii="Times New Roman" w:hAnsi="Times New Roman" w:cs="Times New Roman"/>
          <w:b/>
          <w:bCs/>
        </w:rPr>
        <w:t xml:space="preserve"> Strength and Weakness of Model types</w:t>
      </w:r>
    </w:p>
    <w:p w14:paraId="5EB77799" w14:textId="05D027EB" w:rsidR="006C4134" w:rsidRPr="006021A0" w:rsidRDefault="00F87365" w:rsidP="002F7F1C">
      <w:pPr>
        <w:jc w:val="both"/>
        <w:rPr>
          <w:rFonts w:ascii="Times New Roman" w:hAnsi="Times New Roman" w:cs="Times New Roman"/>
          <w:b/>
          <w:bCs/>
        </w:rPr>
      </w:pP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254"/>
        <w:gridCol w:w="2254"/>
        <w:gridCol w:w="2254"/>
        <w:gridCol w:w="2254"/>
      </w:tblGrid>
      <w:tr w:rsidR="002F7F1C" w:rsidRPr="006021A0" w14:paraId="6A113B43" w14:textId="77777777" w:rsidTr="009E3332">
        <w:tc>
          <w:tcPr>
            <w:tcW w:w="2254" w:type="dxa"/>
          </w:tcPr>
          <w:p w14:paraId="4D9F2B65"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Model type</w:t>
            </w:r>
          </w:p>
        </w:tc>
        <w:tc>
          <w:tcPr>
            <w:tcW w:w="2254" w:type="dxa"/>
          </w:tcPr>
          <w:p w14:paraId="6E5097EE"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 xml:space="preserve">Strength </w:t>
            </w:r>
          </w:p>
        </w:tc>
        <w:tc>
          <w:tcPr>
            <w:tcW w:w="2254" w:type="dxa"/>
          </w:tcPr>
          <w:p w14:paraId="24E1884A"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 xml:space="preserve">Weakness </w:t>
            </w:r>
          </w:p>
        </w:tc>
        <w:tc>
          <w:tcPr>
            <w:tcW w:w="2254" w:type="dxa"/>
          </w:tcPr>
          <w:p w14:paraId="7B36380D"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Best use case</w:t>
            </w:r>
          </w:p>
        </w:tc>
      </w:tr>
      <w:tr w:rsidR="002F7F1C" w:rsidRPr="006021A0" w14:paraId="4E3F6DB5" w14:textId="77777777" w:rsidTr="009E3332">
        <w:tc>
          <w:tcPr>
            <w:tcW w:w="2254" w:type="dxa"/>
          </w:tcPr>
          <w:p w14:paraId="321B72F3"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lastRenderedPageBreak/>
              <w:t>Random Forest</w:t>
            </w:r>
          </w:p>
        </w:tc>
        <w:tc>
          <w:tcPr>
            <w:tcW w:w="2254" w:type="dxa"/>
          </w:tcPr>
          <w:p w14:paraId="6215A68C"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High accuracy, interpretable</w:t>
            </w:r>
          </w:p>
        </w:tc>
        <w:tc>
          <w:tcPr>
            <w:tcW w:w="2254" w:type="dxa"/>
          </w:tcPr>
          <w:p w14:paraId="73A333A1"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Risk of overfitting</w:t>
            </w:r>
          </w:p>
        </w:tc>
        <w:tc>
          <w:tcPr>
            <w:tcW w:w="2254" w:type="dxa"/>
          </w:tcPr>
          <w:p w14:paraId="5700A178"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Clinical prediction models</w:t>
            </w:r>
          </w:p>
        </w:tc>
      </w:tr>
      <w:tr w:rsidR="002F7F1C" w:rsidRPr="006021A0" w14:paraId="64A73578" w14:textId="77777777" w:rsidTr="009E3332">
        <w:tc>
          <w:tcPr>
            <w:tcW w:w="2254" w:type="dxa"/>
          </w:tcPr>
          <w:p w14:paraId="72608EEB"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SVM</w:t>
            </w:r>
          </w:p>
        </w:tc>
        <w:tc>
          <w:tcPr>
            <w:tcW w:w="2254" w:type="dxa"/>
          </w:tcPr>
          <w:p w14:paraId="7D57C939"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Effective in small, high-dimensional data</w:t>
            </w:r>
          </w:p>
        </w:tc>
        <w:tc>
          <w:tcPr>
            <w:tcW w:w="2254" w:type="dxa"/>
          </w:tcPr>
          <w:p w14:paraId="2BCF99A7"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Limited scalability</w:t>
            </w:r>
          </w:p>
        </w:tc>
        <w:tc>
          <w:tcPr>
            <w:tcW w:w="2254" w:type="dxa"/>
          </w:tcPr>
          <w:p w14:paraId="56465E94"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Targeted datasets</w:t>
            </w:r>
          </w:p>
        </w:tc>
      </w:tr>
      <w:tr w:rsidR="002F7F1C" w:rsidRPr="006021A0" w14:paraId="3A774676" w14:textId="77777777" w:rsidTr="009E3332">
        <w:tc>
          <w:tcPr>
            <w:tcW w:w="2254" w:type="dxa"/>
          </w:tcPr>
          <w:p w14:paraId="7DBB3766"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Gradient Boosting</w:t>
            </w:r>
          </w:p>
        </w:tc>
        <w:tc>
          <w:tcPr>
            <w:tcW w:w="2254" w:type="dxa"/>
          </w:tcPr>
          <w:p w14:paraId="12493919"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 xml:space="preserve">Strong predictive performance </w:t>
            </w:r>
          </w:p>
        </w:tc>
        <w:tc>
          <w:tcPr>
            <w:tcW w:w="2254" w:type="dxa"/>
          </w:tcPr>
          <w:p w14:paraId="1E201D12"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Computationally intensive</w:t>
            </w:r>
          </w:p>
        </w:tc>
        <w:tc>
          <w:tcPr>
            <w:tcW w:w="2254" w:type="dxa"/>
          </w:tcPr>
          <w:p w14:paraId="5107FCBA"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Structured clinical data</w:t>
            </w:r>
          </w:p>
        </w:tc>
      </w:tr>
      <w:tr w:rsidR="002F7F1C" w:rsidRPr="006021A0" w14:paraId="60B5FBFA" w14:textId="77777777" w:rsidTr="009E3332">
        <w:tc>
          <w:tcPr>
            <w:tcW w:w="2254" w:type="dxa"/>
          </w:tcPr>
          <w:p w14:paraId="0CD6DD02"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 xml:space="preserve">Deep Learning </w:t>
            </w:r>
          </w:p>
        </w:tc>
        <w:tc>
          <w:tcPr>
            <w:tcW w:w="2254" w:type="dxa"/>
          </w:tcPr>
          <w:p w14:paraId="29E95BC9"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Handles complex unstructured data</w:t>
            </w:r>
          </w:p>
        </w:tc>
        <w:tc>
          <w:tcPr>
            <w:tcW w:w="2254" w:type="dxa"/>
          </w:tcPr>
          <w:p w14:paraId="7873017D"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Black- box, low  interpretability</w:t>
            </w:r>
          </w:p>
        </w:tc>
        <w:tc>
          <w:tcPr>
            <w:tcW w:w="2254" w:type="dxa"/>
          </w:tcPr>
          <w:p w14:paraId="6F0CFF95"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Genomics, large datasets</w:t>
            </w:r>
          </w:p>
        </w:tc>
      </w:tr>
    </w:tbl>
    <w:p w14:paraId="4090819C" w14:textId="77777777" w:rsidR="002F7F1C" w:rsidRPr="006021A0" w:rsidRDefault="002F7F1C" w:rsidP="002F7F1C">
      <w:pPr>
        <w:jc w:val="both"/>
        <w:rPr>
          <w:rFonts w:ascii="Times New Roman" w:hAnsi="Times New Roman" w:cs="Times New Roman"/>
          <w:b/>
          <w:bCs/>
        </w:rPr>
      </w:pPr>
    </w:p>
    <w:p w14:paraId="02C904B5" w14:textId="66264ACA" w:rsidR="002F7F1C" w:rsidRPr="006021A0" w:rsidRDefault="002F7F1C" w:rsidP="002F7F1C">
      <w:pPr>
        <w:jc w:val="both"/>
        <w:rPr>
          <w:rFonts w:ascii="Times New Roman" w:hAnsi="Times New Roman" w:cs="Times New Roman"/>
        </w:rPr>
      </w:pPr>
      <w:r w:rsidRPr="006021A0">
        <w:rPr>
          <w:rFonts w:ascii="Times New Roman" w:hAnsi="Times New Roman" w:cs="Times New Roman"/>
        </w:rPr>
        <w:t>From a clinical perspective, no single model is universally superior. Instead , performance depends on the nature of the dataset and the intended application. Machine learning models such as Random Forest and gradient boosting are often preferred in clinical settings due to their balance between accuracy and interpretability. In contrast, deep learning models excel in analy</w:t>
      </w:r>
      <w:r w:rsidR="00512231">
        <w:rPr>
          <w:rFonts w:ascii="Times New Roman" w:hAnsi="Times New Roman" w:cs="Times New Roman"/>
        </w:rPr>
        <w:t>z</w:t>
      </w:r>
      <w:r w:rsidRPr="006021A0">
        <w:rPr>
          <w:rFonts w:ascii="Times New Roman" w:hAnsi="Times New Roman" w:cs="Times New Roman"/>
        </w:rPr>
        <w:t>ing complex datasets, such as genomic sequences, but face challenges in explainability and clinical trust.</w:t>
      </w:r>
    </w:p>
    <w:p w14:paraId="74C64EB8" w14:textId="68502848"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What </w:t>
      </w:r>
      <w:r w:rsidR="002B3154">
        <w:rPr>
          <w:rFonts w:ascii="Times New Roman" w:hAnsi="Times New Roman" w:cs="Times New Roman"/>
        </w:rPr>
        <w:t>th</w:t>
      </w:r>
      <w:r w:rsidRPr="006021A0">
        <w:rPr>
          <w:rFonts w:ascii="Times New Roman" w:hAnsi="Times New Roman" w:cs="Times New Roman"/>
        </w:rPr>
        <w:t>is really means is that the future of AI in AMR will likely involve hybrid approaches-combining the interpretability of traditional machine learning with the predictive power of deep learning. Selecting the appropriate model is not just a technical decision , but clinical one, shaped by data availability, infrastructure , and the need for transparency in decision-making.</w:t>
      </w:r>
    </w:p>
    <w:p w14:paraId="76C6E72C" w14:textId="3C2A48F6"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4. AI in Clinical Decision Support Systems(CDSS)</w:t>
      </w:r>
    </w:p>
    <w:p w14:paraId="479F7D58" w14:textId="0B74B13D"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4.1 Integration into Hospital Workflow</w:t>
      </w:r>
    </w:p>
    <w:p w14:paraId="4C986445" w14:textId="268AB77F" w:rsidR="002F7F1C" w:rsidRPr="006021A0" w:rsidRDefault="002F7F1C" w:rsidP="002F7F1C">
      <w:pPr>
        <w:jc w:val="both"/>
        <w:rPr>
          <w:rFonts w:ascii="Times New Roman" w:hAnsi="Times New Roman" w:cs="Times New Roman"/>
        </w:rPr>
      </w:pPr>
      <w:r w:rsidRPr="006021A0">
        <w:rPr>
          <w:rFonts w:ascii="Times New Roman" w:hAnsi="Times New Roman" w:cs="Times New Roman"/>
        </w:rPr>
        <w:t>Artificial intelligence-driven clinical decision support systems (CDSS) are increasingly being embedded into hospital workflows to assist clinicians in real-time decision- making. These systems integrate with electronic health records (EHRs) and continuously analyze patient data, including clinical parameters, laboratory results, and prior antibiotic exposure, to generate context- specific recommendations</w:t>
      </w:r>
      <w:r w:rsidR="00420EE1">
        <w:rPr>
          <w:rFonts w:ascii="Times New Roman" w:hAnsi="Times New Roman" w:cs="Times New Roman"/>
        </w:rPr>
        <w:t xml:space="preserve"> </w:t>
      </w:r>
      <w:r w:rsidRPr="006021A0">
        <w:rPr>
          <w:rFonts w:ascii="Times New Roman" w:hAnsi="Times New Roman" w:cs="Times New Roman"/>
        </w:rPr>
        <w:t>[2</w:t>
      </w:r>
      <w:r w:rsidR="00451296">
        <w:rPr>
          <w:rFonts w:ascii="Times New Roman" w:hAnsi="Times New Roman" w:cs="Times New Roman"/>
        </w:rPr>
        <w:t>6</w:t>
      </w:r>
      <w:r w:rsidRPr="006021A0">
        <w:rPr>
          <w:rFonts w:ascii="Times New Roman" w:hAnsi="Times New Roman" w:cs="Times New Roman"/>
        </w:rPr>
        <w:t>].</w:t>
      </w:r>
    </w:p>
    <w:p w14:paraId="0D4B99F7" w14:textId="531803B4" w:rsidR="002F7F1C" w:rsidRPr="006021A0" w:rsidRDefault="002F7F1C" w:rsidP="002F7F1C">
      <w:pPr>
        <w:jc w:val="both"/>
        <w:rPr>
          <w:rFonts w:ascii="Times New Roman" w:hAnsi="Times New Roman" w:cs="Times New Roman"/>
        </w:rPr>
      </w:pPr>
      <w:r w:rsidRPr="006021A0">
        <w:rPr>
          <w:rFonts w:ascii="Times New Roman" w:hAnsi="Times New Roman" w:cs="Times New Roman"/>
        </w:rPr>
        <w:t>One of the most impactful applications</w:t>
      </w:r>
      <w:r w:rsidR="002B3154">
        <w:rPr>
          <w:rFonts w:ascii="Times New Roman" w:hAnsi="Times New Roman" w:cs="Times New Roman"/>
        </w:rPr>
        <w:t xml:space="preserve"> is</w:t>
      </w:r>
      <w:r w:rsidRPr="006021A0">
        <w:rPr>
          <w:rFonts w:ascii="Times New Roman" w:hAnsi="Times New Roman" w:cs="Times New Roman"/>
        </w:rPr>
        <w:t xml:space="preserve"> real-time antibiotic guidance. At the point of prescribing, AI- based CDSS can suggest optimal antimicrobial choices, dosing stratergies, and duration of therapy tailored to the individual patient and local resistance patterns. This reduces reliance on empirical prescribing and supports more precise, data-driven interventions</w:t>
      </w:r>
      <w:r w:rsidR="00420EE1">
        <w:rPr>
          <w:rFonts w:ascii="Times New Roman" w:hAnsi="Times New Roman" w:cs="Times New Roman"/>
        </w:rPr>
        <w:t xml:space="preserve"> </w:t>
      </w:r>
      <w:r w:rsidRPr="006021A0">
        <w:rPr>
          <w:rFonts w:ascii="Times New Roman" w:hAnsi="Times New Roman" w:cs="Times New Roman"/>
        </w:rPr>
        <w:t>[2</w:t>
      </w:r>
      <w:r w:rsidR="00451296">
        <w:rPr>
          <w:rFonts w:ascii="Times New Roman" w:hAnsi="Times New Roman" w:cs="Times New Roman"/>
        </w:rPr>
        <w:t>7</w:t>
      </w:r>
      <w:r w:rsidRPr="006021A0">
        <w:rPr>
          <w:rFonts w:ascii="Times New Roman" w:hAnsi="Times New Roman" w:cs="Times New Roman"/>
        </w:rPr>
        <w:t xml:space="preserve">]. </w:t>
      </w:r>
    </w:p>
    <w:p w14:paraId="285E459D"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Seamless integration into clinical workflows is critical for adoption. Systems that operate passively in the background and provide actionable recommendations without disrupting clinician routines are most likely to be accepted and utilized effectively. Conversely, poorly integrated tools may contribute to alert fatigue and reduced compliance.</w:t>
      </w:r>
    </w:p>
    <w:p w14:paraId="43A16A4E" w14:textId="63252013"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4.2 Impact on Prescribing Behaviour</w:t>
      </w:r>
    </w:p>
    <w:p w14:paraId="22781D1C" w14:textId="17C228AB" w:rsidR="002F7F1C" w:rsidRDefault="002F7F1C" w:rsidP="002F7F1C">
      <w:pPr>
        <w:jc w:val="both"/>
        <w:rPr>
          <w:rFonts w:ascii="Times New Roman" w:hAnsi="Times New Roman" w:cs="Times New Roman"/>
        </w:rPr>
      </w:pPr>
      <w:r w:rsidRPr="006021A0">
        <w:rPr>
          <w:rFonts w:ascii="Times New Roman" w:hAnsi="Times New Roman" w:cs="Times New Roman"/>
        </w:rPr>
        <w:t xml:space="preserve">AI enabled CDSS have demonstrated significant potential in influencing prescribing behaviour, particularly in reducing the unnecessary use of broad-spectrum antibiotics. By providing </w:t>
      </w:r>
      <w:r w:rsidR="006C3405" w:rsidRPr="006C3405">
        <w:rPr>
          <w:rFonts w:ascii="Times New Roman" w:hAnsi="Times New Roman" w:cs="Times New Roman"/>
        </w:rPr>
        <w:t>evidence-based, patient-specific</w:t>
      </w:r>
      <w:r w:rsidRPr="006021A0">
        <w:rPr>
          <w:rFonts w:ascii="Times New Roman" w:hAnsi="Times New Roman" w:cs="Times New Roman"/>
        </w:rPr>
        <w:t xml:space="preserve"> recommendations, these systems encourage clinicians to </w:t>
      </w:r>
      <w:r w:rsidRPr="006021A0">
        <w:rPr>
          <w:rFonts w:ascii="Times New Roman" w:hAnsi="Times New Roman" w:cs="Times New Roman"/>
        </w:rPr>
        <w:lastRenderedPageBreak/>
        <w:t>select narrower-spectrum agents when appropriate, thereby minimizing selective pressure for resistance [2</w:t>
      </w:r>
      <w:r w:rsidR="00451296">
        <w:rPr>
          <w:rFonts w:ascii="Times New Roman" w:hAnsi="Times New Roman" w:cs="Times New Roman"/>
        </w:rPr>
        <w:t>8</w:t>
      </w:r>
      <w:r w:rsidRPr="006021A0">
        <w:rPr>
          <w:rFonts w:ascii="Times New Roman" w:hAnsi="Times New Roman" w:cs="Times New Roman"/>
        </w:rPr>
        <w:t>].</w:t>
      </w:r>
    </w:p>
    <w:p w14:paraId="1E1CF038" w14:textId="5483F354" w:rsidR="006C3405" w:rsidRPr="006021A0" w:rsidRDefault="006C3405" w:rsidP="002F7F1C">
      <w:pPr>
        <w:jc w:val="both"/>
        <w:rPr>
          <w:rFonts w:ascii="Times New Roman" w:hAnsi="Times New Roman" w:cs="Times New Roman"/>
        </w:rPr>
      </w:pPr>
      <w:r w:rsidRPr="006C3405">
        <w:rPr>
          <w:rFonts w:ascii="Times New Roman" w:hAnsi="Times New Roman" w:cs="Times New Roman"/>
        </w:rPr>
        <w:t>Studies have demonstrated measurable improvements following CDSS implementation, including reductions in broad-spectrum antibiotic use by approximately 20–30% and increased adherence to antimicrobial stewardship guidelines by 15–25% in hospital settings. Additionally, improvements in appropriate antibiotic selection and reductions in treatment duration have been reported, contributing to better clinical outcomes and reduced resistance pressure.</w:t>
      </w:r>
    </w:p>
    <w:p w14:paraId="57CFD07F" w14:textId="5C872051" w:rsidR="002F7F1C" w:rsidRPr="006021A0" w:rsidRDefault="002F7F1C" w:rsidP="002F7F1C">
      <w:pPr>
        <w:jc w:val="both"/>
        <w:rPr>
          <w:rFonts w:ascii="Times New Roman" w:hAnsi="Times New Roman" w:cs="Times New Roman"/>
        </w:rPr>
      </w:pPr>
      <w:r w:rsidRPr="006021A0">
        <w:rPr>
          <w:rFonts w:ascii="Times New Roman" w:hAnsi="Times New Roman" w:cs="Times New Roman"/>
        </w:rPr>
        <w:t>Importantly, the effectiveness of CDSS depends not only on algorithm performance but also on clinician trust and engagement. Transparent recommendations, supported by interpretable data, are more likely to influence decision-making than opaque ‘black-box’ outputs.</w:t>
      </w:r>
    </w:p>
    <w:p w14:paraId="5A7E6E61" w14:textId="6A7E5619"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4.3 Case Examples</w:t>
      </w:r>
    </w:p>
    <w:p w14:paraId="3F5D5BB3" w14:textId="11FC24B8"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In intensive care unit (ICU) settings, where patients are at high risk of multidrug-resistance infections, AI-driven CDSS have shown particular value. </w:t>
      </w:r>
      <w:r w:rsidR="006C3405" w:rsidRPr="006C3405">
        <w:rPr>
          <w:rFonts w:ascii="Times New Roman" w:hAnsi="Times New Roman" w:cs="Times New Roman"/>
        </w:rPr>
        <w:t>These systems can rapidly analyse complex patient data and, in some implementations, have been shown to improve the appropriateness of initial antibiotic therapy, reducing delays in effective treatment that are strongly associated with increased mortality in critically ill patients</w:t>
      </w:r>
      <w:r w:rsidR="006C3405">
        <w:rPr>
          <w:rFonts w:ascii="Times New Roman" w:hAnsi="Times New Roman" w:cs="Times New Roman"/>
        </w:rPr>
        <w:t xml:space="preserve">, </w:t>
      </w:r>
      <w:r w:rsidRPr="006021A0">
        <w:rPr>
          <w:rFonts w:ascii="Times New Roman" w:hAnsi="Times New Roman" w:cs="Times New Roman"/>
        </w:rPr>
        <w:t>where delays in appropriate treatment can significantly increase mortality [</w:t>
      </w:r>
      <w:r w:rsidR="00451296">
        <w:rPr>
          <w:rFonts w:ascii="Times New Roman" w:hAnsi="Times New Roman" w:cs="Times New Roman"/>
        </w:rPr>
        <w:t>24</w:t>
      </w:r>
      <w:r w:rsidRPr="006021A0">
        <w:rPr>
          <w:rFonts w:ascii="Times New Roman" w:hAnsi="Times New Roman" w:cs="Times New Roman"/>
        </w:rPr>
        <w:t>].</w:t>
      </w:r>
    </w:p>
    <w:p w14:paraId="7B93C168" w14:textId="15C7984F" w:rsidR="002F7F1C" w:rsidRPr="006021A0" w:rsidRDefault="006C3405" w:rsidP="002F7F1C">
      <w:pPr>
        <w:jc w:val="both"/>
        <w:rPr>
          <w:rFonts w:ascii="Times New Roman" w:hAnsi="Times New Roman" w:cs="Times New Roman"/>
        </w:rPr>
      </w:pPr>
      <w:r w:rsidRPr="006C3405">
        <w:rPr>
          <w:rFonts w:ascii="Times New Roman" w:hAnsi="Times New Roman" w:cs="Times New Roman"/>
        </w:rPr>
        <w:t>In sepsis management, AI-based CDSS have demonstrated dual functionality by supporting both early detection and antimicrobial decision-making. For example, predictive models integrated into hospital systems can identify early signs of sepsis several hours before clinical recognition, enabling earlier intervention. Simultaneously, resistance prediction tools can guide empiric antibiotic selection based on patient-specific risk and local resistance patterns, improving the likelihood of appropriate initial therapy. This combined diagnostic and therapeutic support is particularly valuable in sepsis, where each hour of delay in effective treatment is associated with increased mortality</w:t>
      </w:r>
      <w:r w:rsidR="002F7F1C" w:rsidRPr="006021A0">
        <w:rPr>
          <w:rFonts w:ascii="Times New Roman" w:hAnsi="Times New Roman" w:cs="Times New Roman"/>
        </w:rPr>
        <w:t>[</w:t>
      </w:r>
      <w:r w:rsidR="00451296">
        <w:rPr>
          <w:rFonts w:ascii="Times New Roman" w:hAnsi="Times New Roman" w:cs="Times New Roman"/>
        </w:rPr>
        <w:t>29</w:t>
      </w:r>
      <w:r w:rsidR="002F7F1C" w:rsidRPr="006021A0">
        <w:rPr>
          <w:rFonts w:ascii="Times New Roman" w:hAnsi="Times New Roman" w:cs="Times New Roman"/>
        </w:rPr>
        <w:t>].</w:t>
      </w:r>
    </w:p>
    <w:p w14:paraId="4F829016" w14:textId="665F17ED"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Overall, these real-world applications highlight the potential of AI-driven CDSS to bridge the gap between predictive modelling and clinical practice. </w:t>
      </w:r>
      <w:r w:rsidR="006C3405" w:rsidRPr="006C3405">
        <w:rPr>
          <w:rFonts w:ascii="Times New Roman" w:hAnsi="Times New Roman" w:cs="Times New Roman"/>
        </w:rPr>
        <w:t>When effectively implemented, these systems can transform antimicrobial stewardship from a retrospective oversight process into a proactive, real-time clinical intervention.</w:t>
      </w:r>
    </w:p>
    <w:p w14:paraId="5EDE8604" w14:textId="77777777" w:rsidR="002F7F1C" w:rsidRPr="006021A0" w:rsidRDefault="002F7F1C" w:rsidP="002F7F1C">
      <w:pPr>
        <w:jc w:val="both"/>
        <w:rPr>
          <w:rFonts w:ascii="Times New Roman" w:hAnsi="Times New Roman" w:cs="Times New Roman"/>
        </w:rPr>
      </w:pPr>
    </w:p>
    <w:p w14:paraId="19C8221E" w14:textId="77777777" w:rsidR="002F7F1C" w:rsidRPr="006021A0" w:rsidRDefault="002F7F1C" w:rsidP="002F7F1C">
      <w:pPr>
        <w:jc w:val="both"/>
        <w:rPr>
          <w:rFonts w:ascii="Times New Roman" w:hAnsi="Times New Roman" w:cs="Times New Roman"/>
        </w:rPr>
      </w:pPr>
    </w:p>
    <w:p w14:paraId="2DD1AA7F" w14:textId="58B698ED"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5. AI vs Traditional Stewardship Approaches</w:t>
      </w:r>
    </w:p>
    <w:p w14:paraId="5F869C8E" w14:textId="33D7907A"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 xml:space="preserve">5.1 Speed and accuracy </w:t>
      </w:r>
    </w:p>
    <w:p w14:paraId="4A30EC4C" w14:textId="46EFBC96"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Traditional antimicrobial stewardship relies heavily on microbiological confirmation, with culture and sensitivity results typically requiring 48-72 hours. During this interval, clinicians and sensitivity results typically requiring 48-72 hours. During this interval, clinicians must depend on empirical therapy, often using broad-spectrum antibiotics under uncertainty. While </w:t>
      </w:r>
      <w:r w:rsidRPr="006021A0">
        <w:rPr>
          <w:rFonts w:ascii="Times New Roman" w:hAnsi="Times New Roman" w:cs="Times New Roman"/>
        </w:rPr>
        <w:lastRenderedPageBreak/>
        <w:t>effective in urgent scenarios, this approach can contribute to inappropriate antibiotic use and accelerate resistance.</w:t>
      </w:r>
    </w:p>
    <w:p w14:paraId="51E5EAFD" w14:textId="0CE75DC4"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In contrast AI-driven models enable early prediction of antimicrobial resistance using available clinical; laboratory, and historical data. </w:t>
      </w:r>
      <w:r w:rsidR="00545420" w:rsidRPr="00545420">
        <w:rPr>
          <w:rFonts w:ascii="Times New Roman" w:hAnsi="Times New Roman" w:cs="Times New Roman"/>
        </w:rPr>
        <w:t xml:space="preserve">These systems can generate probabilistic susceptibility profiles in significantly reduced timeframes, ranging from minutes to hours depending on model design and computational infrastructure, allowing clinicians to initiate more precise therapy before definitive laboratory confirmation[22]. </w:t>
      </w:r>
      <w:r w:rsidRPr="006021A0">
        <w:rPr>
          <w:rFonts w:ascii="Times New Roman" w:hAnsi="Times New Roman" w:cs="Times New Roman"/>
        </w:rPr>
        <w:t xml:space="preserve"> </w:t>
      </w:r>
      <w:r w:rsidR="00545420">
        <w:rPr>
          <w:rFonts w:ascii="Times New Roman" w:hAnsi="Times New Roman" w:cs="Times New Roman"/>
        </w:rPr>
        <w:t>T</w:t>
      </w:r>
      <w:r w:rsidRPr="006021A0">
        <w:rPr>
          <w:rFonts w:ascii="Times New Roman" w:hAnsi="Times New Roman" w:cs="Times New Roman"/>
        </w:rPr>
        <w:t>his shift from delayed confirmation to real</w:t>
      </w:r>
      <w:r w:rsidR="002B3154">
        <w:rPr>
          <w:rFonts w:ascii="Times New Roman" w:hAnsi="Times New Roman" w:cs="Times New Roman"/>
        </w:rPr>
        <w:t>-</w:t>
      </w:r>
      <w:r w:rsidRPr="006021A0">
        <w:rPr>
          <w:rFonts w:ascii="Times New Roman" w:hAnsi="Times New Roman" w:cs="Times New Roman"/>
        </w:rPr>
        <w:t>time prediction represents a fundamental advancement in stewardship practice.</w:t>
      </w:r>
    </w:p>
    <w:p w14:paraId="7C74BB68" w14:textId="5DD062A2"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5.2 Reduction in empirical Therapy</w:t>
      </w:r>
    </w:p>
    <w:p w14:paraId="25467A45" w14:textId="357124E5" w:rsidR="002F7F1C" w:rsidRPr="006021A0" w:rsidRDefault="00545420" w:rsidP="002F7F1C">
      <w:pPr>
        <w:jc w:val="both"/>
        <w:rPr>
          <w:rFonts w:ascii="Times New Roman" w:hAnsi="Times New Roman" w:cs="Times New Roman"/>
        </w:rPr>
      </w:pPr>
      <w:r w:rsidRPr="00545420">
        <w:rPr>
          <w:rFonts w:ascii="Times New Roman" w:hAnsi="Times New Roman" w:cs="Times New Roman"/>
        </w:rPr>
        <w:t>One of the most significant advantages of AI in antimicrobial stewardship is its potential to reduce reliance on empirical therapy. Empirical therapy, while often necessary in urgent clinical situations, is not always safe, as inappropriate initial antibiotic selection has been associated with increased mortality, prolonged hospital stay, and higher healthcare costs, particularly in severe infections such as sepsis. By providing patient-specific predictions, AI systems support targeted antibiotic selection from the outset, minimizing unnecessary exposure to broad-spectrum agents [28].</w:t>
      </w:r>
    </w:p>
    <w:p w14:paraId="1BCD7BB7" w14:textId="2882B4BB" w:rsidR="002F7F1C" w:rsidRPr="006021A0" w:rsidRDefault="002F7F1C" w:rsidP="002F7F1C">
      <w:pPr>
        <w:jc w:val="both"/>
        <w:rPr>
          <w:rFonts w:ascii="Times New Roman" w:hAnsi="Times New Roman" w:cs="Times New Roman"/>
        </w:rPr>
      </w:pPr>
      <w:r w:rsidRPr="006021A0">
        <w:rPr>
          <w:rFonts w:ascii="Times New Roman" w:hAnsi="Times New Roman" w:cs="Times New Roman"/>
        </w:rPr>
        <w:t>This not only improves individual patient outcomes but also reduces selective pressure that drives resistance at the population level. AI-assisted prescribing has been associated with improved guideline adherence, optimized antibiotic selection, and more appropriate treatment duration.</w:t>
      </w:r>
    </w:p>
    <w:p w14:paraId="350FDC5F" w14:textId="3C1B4C7C" w:rsidR="002F7F1C" w:rsidRPr="006021A0" w:rsidRDefault="006C4134" w:rsidP="002F7F1C">
      <w:pPr>
        <w:jc w:val="both"/>
        <w:rPr>
          <w:rFonts w:ascii="Times New Roman" w:hAnsi="Times New Roman" w:cs="Times New Roman"/>
          <w:b/>
          <w:bCs/>
        </w:rPr>
      </w:pPr>
      <w:r>
        <w:rPr>
          <w:rFonts w:ascii="Times New Roman" w:hAnsi="Times New Roman" w:cs="Times New Roman"/>
          <w:b/>
          <w:bCs/>
        </w:rPr>
        <w:t xml:space="preserve">TABLE 2. </w:t>
      </w:r>
      <w:r w:rsidR="002F7F1C" w:rsidRPr="006021A0">
        <w:rPr>
          <w:rFonts w:ascii="Times New Roman" w:hAnsi="Times New Roman" w:cs="Times New Roman"/>
          <w:b/>
          <w:bCs/>
        </w:rPr>
        <w:t xml:space="preserve">Comparative Perspective: AI vs Traditional Stewardship </w:t>
      </w:r>
    </w:p>
    <w:tbl>
      <w:tblPr>
        <w:tblStyle w:val="TableGrid"/>
        <w:tblW w:w="0" w:type="auto"/>
        <w:tblLook w:val="04A0" w:firstRow="1" w:lastRow="0" w:firstColumn="1" w:lastColumn="0" w:noHBand="0" w:noVBand="1"/>
      </w:tblPr>
      <w:tblGrid>
        <w:gridCol w:w="3005"/>
        <w:gridCol w:w="3005"/>
        <w:gridCol w:w="3006"/>
      </w:tblGrid>
      <w:tr w:rsidR="002F7F1C" w:rsidRPr="006021A0" w14:paraId="42176ED8" w14:textId="77777777" w:rsidTr="009E3332">
        <w:tc>
          <w:tcPr>
            <w:tcW w:w="3005" w:type="dxa"/>
          </w:tcPr>
          <w:p w14:paraId="3C85E787"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 xml:space="preserve">Aspect </w:t>
            </w:r>
          </w:p>
        </w:tc>
        <w:tc>
          <w:tcPr>
            <w:tcW w:w="3005" w:type="dxa"/>
          </w:tcPr>
          <w:p w14:paraId="780FF6AA" w14:textId="77777777" w:rsidR="002F7F1C" w:rsidRPr="006021A0" w:rsidRDefault="002F7F1C" w:rsidP="009E3332">
            <w:pPr>
              <w:jc w:val="both"/>
              <w:rPr>
                <w:rFonts w:ascii="Times New Roman" w:hAnsi="Times New Roman" w:cs="Times New Roman"/>
                <w:b/>
                <w:bCs/>
              </w:rPr>
            </w:pPr>
            <w:r w:rsidRPr="006021A0">
              <w:rPr>
                <w:rFonts w:ascii="Times New Roman" w:hAnsi="Times New Roman" w:cs="Times New Roman"/>
                <w:b/>
                <w:bCs/>
              </w:rPr>
              <w:t>Traditional Stewardship</w:t>
            </w:r>
          </w:p>
        </w:tc>
        <w:tc>
          <w:tcPr>
            <w:tcW w:w="3006" w:type="dxa"/>
          </w:tcPr>
          <w:p w14:paraId="1776C2AF"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b/>
                <w:bCs/>
              </w:rPr>
              <w:t>AI- Driven Stewardship</w:t>
            </w:r>
          </w:p>
        </w:tc>
      </w:tr>
      <w:tr w:rsidR="002F7F1C" w:rsidRPr="006021A0" w14:paraId="515D29B0" w14:textId="77777777" w:rsidTr="009E3332">
        <w:tc>
          <w:tcPr>
            <w:tcW w:w="3005" w:type="dxa"/>
          </w:tcPr>
          <w:p w14:paraId="180421F3"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Decision Timing</w:t>
            </w:r>
          </w:p>
        </w:tc>
        <w:tc>
          <w:tcPr>
            <w:tcW w:w="3005" w:type="dxa"/>
          </w:tcPr>
          <w:p w14:paraId="719713B5" w14:textId="77777777" w:rsidR="002F7F1C" w:rsidRPr="00C80503" w:rsidRDefault="002F7F1C" w:rsidP="009E3332">
            <w:pPr>
              <w:jc w:val="both"/>
              <w:rPr>
                <w:rFonts w:ascii="Times New Roman" w:hAnsi="Times New Roman" w:cs="Times New Roman"/>
                <w:lang w:val="fr-FR"/>
              </w:rPr>
            </w:pPr>
            <w:r w:rsidRPr="00C80503">
              <w:rPr>
                <w:rFonts w:ascii="Times New Roman" w:hAnsi="Times New Roman" w:cs="Times New Roman"/>
                <w:lang w:val="fr-FR"/>
              </w:rPr>
              <w:t>Post-lab conformation (48-72hrs delay)</w:t>
            </w:r>
          </w:p>
        </w:tc>
        <w:tc>
          <w:tcPr>
            <w:tcW w:w="3006" w:type="dxa"/>
          </w:tcPr>
          <w:p w14:paraId="4BDBFBF1"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Real-time or early prediction</w:t>
            </w:r>
          </w:p>
        </w:tc>
      </w:tr>
      <w:tr w:rsidR="002F7F1C" w:rsidRPr="006021A0" w14:paraId="09FAC673" w14:textId="77777777" w:rsidTr="009E3332">
        <w:tc>
          <w:tcPr>
            <w:tcW w:w="3005" w:type="dxa"/>
          </w:tcPr>
          <w:p w14:paraId="7E15164E"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Antibiotic Selection</w:t>
            </w:r>
          </w:p>
        </w:tc>
        <w:tc>
          <w:tcPr>
            <w:tcW w:w="3005" w:type="dxa"/>
          </w:tcPr>
          <w:p w14:paraId="0A05B895"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Empirical, often broad-spectrum</w:t>
            </w:r>
          </w:p>
        </w:tc>
        <w:tc>
          <w:tcPr>
            <w:tcW w:w="3006" w:type="dxa"/>
          </w:tcPr>
          <w:p w14:paraId="1886E48D"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Targeted, patient-specific</w:t>
            </w:r>
          </w:p>
        </w:tc>
      </w:tr>
      <w:tr w:rsidR="002F7F1C" w:rsidRPr="006021A0" w14:paraId="1F2BCB12" w14:textId="77777777" w:rsidTr="009E3332">
        <w:tc>
          <w:tcPr>
            <w:tcW w:w="3005" w:type="dxa"/>
          </w:tcPr>
          <w:p w14:paraId="749BD95B"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Data Utilization</w:t>
            </w:r>
          </w:p>
        </w:tc>
        <w:tc>
          <w:tcPr>
            <w:tcW w:w="3005" w:type="dxa"/>
          </w:tcPr>
          <w:p w14:paraId="19EE5F03"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 xml:space="preserve">Limited, manual interpretation </w:t>
            </w:r>
          </w:p>
        </w:tc>
        <w:tc>
          <w:tcPr>
            <w:tcW w:w="3006" w:type="dxa"/>
          </w:tcPr>
          <w:p w14:paraId="68BFBFBE"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Multidimensional, automated analysis</w:t>
            </w:r>
          </w:p>
        </w:tc>
      </w:tr>
      <w:tr w:rsidR="002F7F1C" w:rsidRPr="006021A0" w14:paraId="5F1DC89F" w14:textId="77777777" w:rsidTr="009E3332">
        <w:tc>
          <w:tcPr>
            <w:tcW w:w="3005" w:type="dxa"/>
          </w:tcPr>
          <w:p w14:paraId="6E1A2C5B"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Adaptability</w:t>
            </w:r>
          </w:p>
        </w:tc>
        <w:tc>
          <w:tcPr>
            <w:tcW w:w="3005" w:type="dxa"/>
          </w:tcPr>
          <w:p w14:paraId="7D248F73"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Static guidelines</w:t>
            </w:r>
          </w:p>
        </w:tc>
        <w:tc>
          <w:tcPr>
            <w:tcW w:w="3006" w:type="dxa"/>
          </w:tcPr>
          <w:p w14:paraId="7EA01A4C"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Dynamic, continuously learning</w:t>
            </w:r>
          </w:p>
        </w:tc>
      </w:tr>
      <w:tr w:rsidR="002F7F1C" w:rsidRPr="006021A0" w14:paraId="5F6ECCC5" w14:textId="77777777" w:rsidTr="009E3332">
        <w:tc>
          <w:tcPr>
            <w:tcW w:w="3005" w:type="dxa"/>
          </w:tcPr>
          <w:p w14:paraId="14A67513"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 xml:space="preserve">Resistance Control </w:t>
            </w:r>
          </w:p>
        </w:tc>
        <w:tc>
          <w:tcPr>
            <w:tcW w:w="3005" w:type="dxa"/>
          </w:tcPr>
          <w:p w14:paraId="50E6104D"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Reactive approach</w:t>
            </w:r>
          </w:p>
        </w:tc>
        <w:tc>
          <w:tcPr>
            <w:tcW w:w="3006" w:type="dxa"/>
          </w:tcPr>
          <w:p w14:paraId="250C2EDE" w14:textId="77777777" w:rsidR="002F7F1C" w:rsidRPr="006021A0" w:rsidRDefault="002F7F1C" w:rsidP="009E3332">
            <w:pPr>
              <w:jc w:val="both"/>
              <w:rPr>
                <w:rFonts w:ascii="Times New Roman" w:hAnsi="Times New Roman" w:cs="Times New Roman"/>
              </w:rPr>
            </w:pPr>
            <w:r w:rsidRPr="006021A0">
              <w:rPr>
                <w:rFonts w:ascii="Times New Roman" w:hAnsi="Times New Roman" w:cs="Times New Roman"/>
              </w:rPr>
              <w:t>Predictive and preventive approach</w:t>
            </w:r>
          </w:p>
        </w:tc>
      </w:tr>
    </w:tbl>
    <w:p w14:paraId="38B27E67"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What this really shows is a shift in philosophy: traditional stewardship react to resistance, while AI aims to anticipate it.</w:t>
      </w:r>
    </w:p>
    <w:p w14:paraId="32A81148" w14:textId="1D713AE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5.3 Limitations Compared to Clinician Judgment</w:t>
      </w:r>
    </w:p>
    <w:p w14:paraId="74ABC527" w14:textId="7AAF6DF4" w:rsidR="002F7F1C" w:rsidRPr="006021A0" w:rsidRDefault="002F7F1C" w:rsidP="002F7F1C">
      <w:pPr>
        <w:jc w:val="both"/>
        <w:rPr>
          <w:rFonts w:ascii="Times New Roman" w:hAnsi="Times New Roman" w:cs="Times New Roman"/>
        </w:rPr>
      </w:pPr>
      <w:r w:rsidRPr="006021A0">
        <w:rPr>
          <w:rFonts w:ascii="Times New Roman" w:hAnsi="Times New Roman" w:cs="Times New Roman"/>
        </w:rPr>
        <w:t>Despite its advantages, AI does not fully replace clinical expertise. One of the key limitations is its restricted ability to interpret complex clinical context. Factors such as subtle patient symptoms, socioeconomic considerations, and may not be fully captured in structured datasets. [</w:t>
      </w:r>
      <w:r w:rsidR="00451296">
        <w:rPr>
          <w:rFonts w:ascii="Times New Roman" w:hAnsi="Times New Roman" w:cs="Times New Roman"/>
        </w:rPr>
        <w:t>12</w:t>
      </w:r>
      <w:r w:rsidRPr="006021A0">
        <w:rPr>
          <w:rFonts w:ascii="Times New Roman" w:hAnsi="Times New Roman" w:cs="Times New Roman"/>
        </w:rPr>
        <w:t>].</w:t>
      </w:r>
    </w:p>
    <w:p w14:paraId="7CB76CBD" w14:textId="145005C6" w:rsidR="002F7F1C" w:rsidRDefault="002F7F1C" w:rsidP="002F7F1C">
      <w:pPr>
        <w:jc w:val="both"/>
        <w:rPr>
          <w:rFonts w:ascii="Times New Roman" w:hAnsi="Times New Roman" w:cs="Times New Roman"/>
        </w:rPr>
      </w:pPr>
      <w:r w:rsidRPr="006021A0">
        <w:rPr>
          <w:rFonts w:ascii="Times New Roman" w:hAnsi="Times New Roman" w:cs="Times New Roman"/>
        </w:rPr>
        <w:lastRenderedPageBreak/>
        <w:t xml:space="preserve">Additionally, AI models may struggle in cases where </w:t>
      </w:r>
      <w:r w:rsidR="00545420" w:rsidRPr="00545420">
        <w:rPr>
          <w:rFonts w:ascii="Times New Roman" w:hAnsi="Times New Roman" w:cs="Times New Roman"/>
        </w:rPr>
        <w:t>data are incomplete, inconsistent</w:t>
      </w:r>
      <w:r w:rsidRPr="006021A0">
        <w:rPr>
          <w:rFonts w:ascii="Times New Roman" w:hAnsi="Times New Roman" w:cs="Times New Roman"/>
        </w:rPr>
        <w:t xml:space="preserve"> or not representative of the target population.</w:t>
      </w:r>
      <w:r w:rsidR="002B3154">
        <w:rPr>
          <w:rFonts w:ascii="Times New Roman" w:hAnsi="Times New Roman" w:cs="Times New Roman"/>
        </w:rPr>
        <w:t xml:space="preserve"> </w:t>
      </w:r>
      <w:r w:rsidRPr="006021A0">
        <w:rPr>
          <w:rFonts w:ascii="Times New Roman" w:hAnsi="Times New Roman" w:cs="Times New Roman"/>
        </w:rPr>
        <w:t xml:space="preserve">Over-reliance on algorithm outputs without critical evaluation can lead to inappropriate decisions, particularly in atypical or rare clinical scenarios </w:t>
      </w:r>
    </w:p>
    <w:p w14:paraId="563DD918" w14:textId="2C0EBAB8" w:rsidR="00545420" w:rsidRPr="006021A0" w:rsidRDefault="00545420" w:rsidP="002F7F1C">
      <w:pPr>
        <w:jc w:val="both"/>
        <w:rPr>
          <w:rFonts w:ascii="Times New Roman" w:hAnsi="Times New Roman" w:cs="Times New Roman"/>
        </w:rPr>
      </w:pPr>
      <w:r w:rsidRPr="00545420">
        <w:rPr>
          <w:rFonts w:ascii="Times New Roman" w:hAnsi="Times New Roman" w:cs="Times New Roman"/>
        </w:rPr>
        <w:t>Therefore, AI should be viewed as a decision-support tool rather than a replacement for clinicians. A “human-in-the-loop” approach is particularly important, where AI-generated recommendations are interpreted and validated by clinicians before implementation. This model combines the computational strength of AI with clinical expertise, ensuring that decisions remain contextually appropriate, safe, and aligned with individual patient needs.</w:t>
      </w:r>
    </w:p>
    <w:p w14:paraId="71CE7B73" w14:textId="02BEBA45"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6. Challenges and Limitations</w:t>
      </w:r>
    </w:p>
    <w:p w14:paraId="1962D3C1" w14:textId="19CC60A8"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6.1 Data-Related Issues</w:t>
      </w:r>
    </w:p>
    <w:p w14:paraId="7F625905" w14:textId="5E262738" w:rsidR="002F7F1C" w:rsidRPr="006021A0" w:rsidRDefault="002F7F1C" w:rsidP="002F7F1C">
      <w:pPr>
        <w:jc w:val="both"/>
        <w:rPr>
          <w:rFonts w:ascii="Times New Roman" w:hAnsi="Times New Roman" w:cs="Times New Roman"/>
        </w:rPr>
      </w:pPr>
      <w:r w:rsidRPr="006021A0">
        <w:rPr>
          <w:rFonts w:ascii="Times New Roman" w:hAnsi="Times New Roman" w:cs="Times New Roman"/>
        </w:rPr>
        <w:t>The reliability of AI models antimicrobial stewardship is fundamentally constrained by the quality of underlying data. Many existing models are trained on datasets that are incomplete, inconsistent, or institution-specific, limiting their generalizability. Missing data common in real-world clinical settings can distort model training and lead to inaccurate predictions if not properly handled [</w:t>
      </w:r>
      <w:r w:rsidR="00451296">
        <w:rPr>
          <w:rFonts w:ascii="Times New Roman" w:hAnsi="Times New Roman" w:cs="Times New Roman"/>
        </w:rPr>
        <w:t>31</w:t>
      </w:r>
      <w:r w:rsidRPr="006021A0">
        <w:rPr>
          <w:rFonts w:ascii="Times New Roman" w:hAnsi="Times New Roman" w:cs="Times New Roman"/>
        </w:rPr>
        <w:t>].</w:t>
      </w:r>
    </w:p>
    <w:p w14:paraId="7AFE00B6" w14:textId="78BB6B94"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Bias is another critical concern. Datasets often reflect local prescribing patterns, patient demographics, and healthcare infrastructure, which may not translate across regions. As a result, models trained in one setting may perform poorly or unfairly in another, raising concerns about equity and applicability. These challenges highlight the need for standardized, high- quality, and diverse datasets to ensure robust model performance. </w:t>
      </w:r>
    </w:p>
    <w:p w14:paraId="7D6E3588" w14:textId="5F0943E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6.2 Model Limitations</w:t>
      </w:r>
    </w:p>
    <w:p w14:paraId="0808A682" w14:textId="491AFD9B" w:rsidR="002F7F1C" w:rsidRDefault="002F7F1C" w:rsidP="002F7F1C">
      <w:pPr>
        <w:jc w:val="both"/>
        <w:rPr>
          <w:rFonts w:ascii="Times New Roman" w:hAnsi="Times New Roman" w:cs="Times New Roman"/>
        </w:rPr>
      </w:pPr>
      <w:r w:rsidRPr="006021A0">
        <w:rPr>
          <w:rFonts w:ascii="Times New Roman" w:hAnsi="Times New Roman" w:cs="Times New Roman"/>
        </w:rPr>
        <w:t>From a technical perspective, AI models are susceptible to several limitations that affect their clinical reliability. Overfitting is a common issue, where models perform well on training data but fail to generalize to new, unseen datasets. This is particularly problematic in AMR prediction, where resistance patterns evolve over time [</w:t>
      </w:r>
      <w:r w:rsidR="00451296">
        <w:rPr>
          <w:rFonts w:ascii="Times New Roman" w:hAnsi="Times New Roman" w:cs="Times New Roman"/>
        </w:rPr>
        <w:t>32</w:t>
      </w:r>
      <w:r w:rsidRPr="006021A0">
        <w:rPr>
          <w:rFonts w:ascii="Times New Roman" w:hAnsi="Times New Roman" w:cs="Times New Roman"/>
        </w:rPr>
        <w:t>].</w:t>
      </w:r>
    </w:p>
    <w:p w14:paraId="3E1872FB" w14:textId="7B5CE10A" w:rsidR="00F26EE4" w:rsidRPr="006021A0" w:rsidRDefault="00F26EE4" w:rsidP="002F7F1C">
      <w:pPr>
        <w:jc w:val="both"/>
        <w:rPr>
          <w:rFonts w:ascii="Times New Roman" w:hAnsi="Times New Roman" w:cs="Times New Roman"/>
        </w:rPr>
      </w:pPr>
      <w:r w:rsidRPr="00F26EE4">
        <w:rPr>
          <w:rFonts w:ascii="Times New Roman" w:hAnsi="Times New Roman" w:cs="Times New Roman"/>
        </w:rPr>
        <w:t>Another important challenge is model drift, where the performance of AI models declines over time due to changes in antimicrobial resistance patterns, clinical practices, and patient populations. As resistance profiles evolve, models trained on historical data may become less accurate if not regularly updated. Continuous monitoring, periodic retraining, and incorporation of recent data are therefore essential to maintain model reliability in clinical settings.</w:t>
      </w:r>
    </w:p>
    <w:p w14:paraId="495DC78B" w14:textId="72A08026" w:rsidR="002F7F1C" w:rsidRPr="006021A0" w:rsidRDefault="00545420" w:rsidP="002F7F1C">
      <w:pPr>
        <w:jc w:val="both"/>
        <w:rPr>
          <w:rFonts w:ascii="Times New Roman" w:hAnsi="Times New Roman" w:cs="Times New Roman"/>
        </w:rPr>
      </w:pPr>
      <w:r w:rsidRPr="00545420">
        <w:rPr>
          <w:rFonts w:ascii="Times New Roman" w:hAnsi="Times New Roman" w:cs="Times New Roman"/>
        </w:rPr>
        <w:t>The “black-box” nature of complex models, particularly deep learning systems, can limit clinical adoption, as clinicians may find it difficult to understand how recommendations are generated. However, recent advances in explainable artificial intelligence (XAI), including techniques such as SHapley Additive exPlanations (SHAP) and Local Interpretable Model-Agnostic Explanations (LIME), have improved transparency by enabling interpretation of model outputs and feature importance. These approaches help bridge the gap between predictive performance and clinical trust, supporting safer integration into decision-making processes [15].</w:t>
      </w:r>
    </w:p>
    <w:p w14:paraId="2DBCFD15" w14:textId="786FDE6A"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lastRenderedPageBreak/>
        <w:t>6.3 Clinical Barriers</w:t>
      </w:r>
    </w:p>
    <w:p w14:paraId="4645E373" w14:textId="446DD701" w:rsidR="002F7F1C" w:rsidRPr="006021A0" w:rsidRDefault="002F7F1C" w:rsidP="002F7F1C">
      <w:pPr>
        <w:jc w:val="both"/>
        <w:rPr>
          <w:rFonts w:ascii="Times New Roman" w:hAnsi="Times New Roman" w:cs="Times New Roman"/>
        </w:rPr>
      </w:pPr>
      <w:r w:rsidRPr="006021A0">
        <w:rPr>
          <w:rFonts w:ascii="Times New Roman" w:hAnsi="Times New Roman" w:cs="Times New Roman"/>
        </w:rPr>
        <w:t>Even technically robust models face challenges at the point of care. One of the primary barriers is the lack of trust among clinicians. Healthcare professionals are often hesitant to rely on algorithmic recommendations, particularly when the reasoning behind those recommendations is not transparent</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33</w:t>
      </w:r>
      <w:r w:rsidRPr="006021A0">
        <w:rPr>
          <w:rFonts w:ascii="Times New Roman" w:hAnsi="Times New Roman" w:cs="Times New Roman"/>
        </w:rPr>
        <w:t>].</w:t>
      </w:r>
    </w:p>
    <w:p w14:paraId="02337DEF" w14:textId="77777777" w:rsidR="002F7F1C" w:rsidRDefault="002F7F1C" w:rsidP="002F7F1C">
      <w:pPr>
        <w:jc w:val="both"/>
        <w:rPr>
          <w:rFonts w:ascii="Times New Roman" w:hAnsi="Times New Roman" w:cs="Times New Roman"/>
        </w:rPr>
      </w:pPr>
      <w:r w:rsidRPr="006021A0">
        <w:rPr>
          <w:rFonts w:ascii="Times New Roman" w:hAnsi="Times New Roman" w:cs="Times New Roman"/>
        </w:rPr>
        <w:t>Integration into existing hospital systems presents another major obstacle. Many healthcare institutions, especially in low- and multi-income settings, lack the digital infrastructure require to support AI-driven tools. Even in well-equipped settings, poor integration with electronic health records can disrupt workflow and reduce usability.</w:t>
      </w:r>
    </w:p>
    <w:p w14:paraId="23F84C36" w14:textId="1FE79D75" w:rsidR="00C31588" w:rsidRPr="006021A0" w:rsidRDefault="00C31588" w:rsidP="002F7F1C">
      <w:pPr>
        <w:jc w:val="both"/>
        <w:rPr>
          <w:rFonts w:ascii="Times New Roman" w:hAnsi="Times New Roman" w:cs="Times New Roman"/>
        </w:rPr>
      </w:pPr>
      <w:r w:rsidRPr="00C31588">
        <w:rPr>
          <w:rFonts w:ascii="Times New Roman" w:hAnsi="Times New Roman" w:cs="Times New Roman"/>
        </w:rPr>
        <w:t>In addition, training and education of clinicians in AI tools are essential to improve adoption, enabling users to interpret outputs effectively and integrate them into clinical decision-making.</w:t>
      </w:r>
    </w:p>
    <w:p w14:paraId="0C72F46C" w14:textId="44DE1176" w:rsidR="002F7F1C" w:rsidRPr="006021A0" w:rsidRDefault="002F7F1C" w:rsidP="002F7F1C">
      <w:pPr>
        <w:jc w:val="both"/>
        <w:rPr>
          <w:rFonts w:ascii="Times New Roman" w:hAnsi="Times New Roman" w:cs="Times New Roman"/>
        </w:rPr>
      </w:pPr>
      <w:r w:rsidRPr="006021A0">
        <w:rPr>
          <w:rFonts w:ascii="Times New Roman" w:hAnsi="Times New Roman" w:cs="Times New Roman"/>
        </w:rPr>
        <w:t>Additionally, issues such as alert fatigue- where clinicians are overwhelmed by excessive system notifications – can further limit the effectiveness of AI-based interventions.</w:t>
      </w:r>
    </w:p>
    <w:p w14:paraId="3117885D" w14:textId="043E8A3E"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6.4 Ethical and Regulatory Concerns</w:t>
      </w:r>
    </w:p>
    <w:p w14:paraId="6ED719EF" w14:textId="1650BC61" w:rsidR="002F7F1C" w:rsidRDefault="002F7F1C" w:rsidP="002F7F1C">
      <w:pPr>
        <w:jc w:val="both"/>
        <w:rPr>
          <w:rFonts w:ascii="Times New Roman" w:hAnsi="Times New Roman" w:cs="Times New Roman"/>
        </w:rPr>
      </w:pPr>
      <w:r w:rsidRPr="006021A0">
        <w:rPr>
          <w:rFonts w:ascii="Times New Roman" w:hAnsi="Times New Roman" w:cs="Times New Roman"/>
        </w:rPr>
        <w:t>The deployment of AI in antimicrobial stewardship raises important ethical and regulatory questions. Accountability is a central issue: when a AI system contributes to an incorrect clinical decision, it remains unclear whether responsibility lies with the clinician, the institution, or the developers of the algorithm</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34</w:t>
      </w:r>
      <w:r w:rsidRPr="006021A0">
        <w:rPr>
          <w:rFonts w:ascii="Times New Roman" w:hAnsi="Times New Roman" w:cs="Times New Roman"/>
        </w:rPr>
        <w:t xml:space="preserve">]. </w:t>
      </w:r>
    </w:p>
    <w:p w14:paraId="1FF5B2A6" w14:textId="41A9490F" w:rsidR="00C31588" w:rsidRPr="006021A0" w:rsidRDefault="00C31588" w:rsidP="002F7F1C">
      <w:pPr>
        <w:jc w:val="both"/>
        <w:rPr>
          <w:rFonts w:ascii="Times New Roman" w:hAnsi="Times New Roman" w:cs="Times New Roman"/>
        </w:rPr>
      </w:pPr>
      <w:r w:rsidRPr="00C31588">
        <w:rPr>
          <w:rFonts w:ascii="Times New Roman" w:hAnsi="Times New Roman" w:cs="Times New Roman"/>
        </w:rPr>
        <w:t>Regulatory frameworks for artificial intelligence in healthcare are evolving globally. The U.S. Food and Drug Administration (FDA) has introduced guidance for AI/ML-based software as a medical device, while the European Union’s AI Act proposes a risk-based regulatory approach for high-impact AI systems. These frameworks aim to ensure safety, transparency, and accountability, which are essential for the responsible integration of AI into clinical practice.</w:t>
      </w:r>
    </w:p>
    <w:p w14:paraId="4D0AE5B0" w14:textId="325786EB" w:rsidR="002F7F1C" w:rsidRPr="006021A0" w:rsidRDefault="002F7F1C" w:rsidP="002F7F1C">
      <w:pPr>
        <w:jc w:val="both"/>
        <w:rPr>
          <w:rFonts w:ascii="Times New Roman" w:hAnsi="Times New Roman" w:cs="Times New Roman"/>
        </w:rPr>
      </w:pPr>
      <w:r w:rsidRPr="006021A0">
        <w:rPr>
          <w:rFonts w:ascii="Times New Roman" w:hAnsi="Times New Roman" w:cs="Times New Roman"/>
        </w:rPr>
        <w:t>Data privacy is another significant concern. AI systems require access to large volumes of patient data, raising risks related to data security, unauthorized access, and potential misuse. Ensuring compliance with data protection regulations while maintaining model performance is a complex but necessary balance.</w:t>
      </w:r>
    </w:p>
    <w:p w14:paraId="361A7CE9"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These challenges underscore that successful implementation of AI in antimicrobial stewardship is not solely a technical issue but also a regulatory and ethical one requiring clear guidelines, transparency, and governance frameworks.</w:t>
      </w:r>
    </w:p>
    <w:p w14:paraId="3136C6AB" w14:textId="2AA3C9BA"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7. Low-Resource Settings Perspective</w:t>
      </w:r>
    </w:p>
    <w:p w14:paraId="1D7067AA" w14:textId="7777777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Focus: India and Similar Healthcare System</w:t>
      </w:r>
    </w:p>
    <w:p w14:paraId="7C459A8E"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the application of artificial intelligence in antimicrobial stewardship must be evaluated with realities of low-and middle-income countries (LMICs), where the burden of antimicrobial resistance is often highest, yet healthcare infrastructure remains limited. India represent a particularly relevant case, characterized by high infectious disease prevalence, widespread antibiotic use, and heterogenous healthcare delivery systems.</w:t>
      </w:r>
    </w:p>
    <w:p w14:paraId="15472376" w14:textId="62DFA941" w:rsidR="002F7F1C" w:rsidRPr="006021A0" w:rsidRDefault="002F7F1C" w:rsidP="002F7F1C">
      <w:pPr>
        <w:jc w:val="both"/>
        <w:rPr>
          <w:rFonts w:ascii="Times New Roman" w:hAnsi="Times New Roman" w:cs="Times New Roman"/>
        </w:rPr>
      </w:pPr>
      <w:r w:rsidRPr="006021A0">
        <w:rPr>
          <w:rFonts w:ascii="Times New Roman" w:hAnsi="Times New Roman" w:cs="Times New Roman"/>
        </w:rPr>
        <w:lastRenderedPageBreak/>
        <w:t>A major constraint is limited digital infrastructure. While tertiary care centers may have electronic health record (EHR) systems, many hospital and primary care settings still rely on paper-based documentation. This restricts the availability of structured data required for training and deploying AI models</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35</w:t>
      </w:r>
      <w:r w:rsidRPr="006021A0">
        <w:rPr>
          <w:rFonts w:ascii="Times New Roman" w:hAnsi="Times New Roman" w:cs="Times New Roman"/>
        </w:rPr>
        <w:t xml:space="preserve">]. </w:t>
      </w:r>
    </w:p>
    <w:p w14:paraId="652832AB" w14:textId="396D122F" w:rsidR="002F7F1C" w:rsidRPr="006021A0" w:rsidRDefault="002F7F1C" w:rsidP="002F7F1C">
      <w:pPr>
        <w:jc w:val="both"/>
        <w:rPr>
          <w:rFonts w:ascii="Times New Roman" w:hAnsi="Times New Roman" w:cs="Times New Roman"/>
        </w:rPr>
      </w:pPr>
      <w:r w:rsidRPr="006021A0">
        <w:rPr>
          <w:rFonts w:ascii="Times New Roman" w:hAnsi="Times New Roman" w:cs="Times New Roman"/>
        </w:rPr>
        <w:t>Inconsistent access to microbiology services further complicates stewardship efforts. Many healthcare facilities lack timely culture and sensitivity testing, forcing clinicians to depend heavily on empirical therapy. This not only delays targeted treatment but also contributes to the overuse of broad-spectrum antibiotics</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36</w:t>
      </w:r>
      <w:r w:rsidRPr="006021A0">
        <w:rPr>
          <w:rFonts w:ascii="Times New Roman" w:hAnsi="Times New Roman" w:cs="Times New Roman"/>
        </w:rPr>
        <w:t xml:space="preserve">]. </w:t>
      </w:r>
    </w:p>
    <w:p w14:paraId="522CAAED" w14:textId="285F5A4F" w:rsidR="002F7F1C" w:rsidRPr="006021A0" w:rsidRDefault="002F7F1C" w:rsidP="002F7F1C">
      <w:pPr>
        <w:jc w:val="both"/>
        <w:rPr>
          <w:rFonts w:ascii="Times New Roman" w:hAnsi="Times New Roman" w:cs="Times New Roman"/>
        </w:rPr>
      </w:pPr>
      <w:r w:rsidRPr="006021A0">
        <w:rPr>
          <w:rFonts w:ascii="Times New Roman" w:hAnsi="Times New Roman" w:cs="Times New Roman"/>
        </w:rPr>
        <w:t>High levels of antibiotic misuse remain a critical driver of resistance. Over-the-counter availability, self-medication, and variable prescribing practices across providers create an environment where resistance can rapidly emerge and spread</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37</w:t>
      </w:r>
      <w:r w:rsidRPr="006021A0">
        <w:rPr>
          <w:rFonts w:ascii="Times New Roman" w:hAnsi="Times New Roman" w:cs="Times New Roman"/>
        </w:rPr>
        <w:t xml:space="preserve">]. </w:t>
      </w:r>
    </w:p>
    <w:p w14:paraId="16A63A04"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such contexts, traditional stewardship strategies alone often insufficient.</w:t>
      </w:r>
    </w:p>
    <w:p w14:paraId="020C5EDC"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Contextualizing AI for Low-Resource Settings</w:t>
      </w:r>
    </w:p>
    <w:p w14:paraId="2F9FC243"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What this really means is that AI solutions developed in high-income settings cannot be directly transplanted into low-resource environments without adaptation. Models that depend on large, high-quality datasets and advanced infrastructure may fail in settings where data are sparse or fragmented.</w:t>
      </w:r>
    </w:p>
    <w:p w14:paraId="1EEC61DB"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To be effective in these contexts, AI systems must be: </w:t>
      </w:r>
    </w:p>
    <w:p w14:paraId="6D72CD0C" w14:textId="77777777" w:rsidR="002F7F1C" w:rsidRPr="006021A0" w:rsidRDefault="002F7F1C" w:rsidP="002F7F1C">
      <w:pPr>
        <w:pStyle w:val="ListParagraph"/>
        <w:numPr>
          <w:ilvl w:val="0"/>
          <w:numId w:val="1"/>
        </w:numPr>
        <w:jc w:val="both"/>
        <w:rPr>
          <w:rFonts w:ascii="Times New Roman" w:hAnsi="Times New Roman" w:cs="Times New Roman"/>
        </w:rPr>
      </w:pPr>
      <w:r w:rsidRPr="006021A0">
        <w:rPr>
          <w:rFonts w:ascii="Times New Roman" w:hAnsi="Times New Roman" w:cs="Times New Roman"/>
          <w:b/>
          <w:bCs/>
        </w:rPr>
        <w:t>Lightweigh</w:t>
      </w:r>
      <w:r w:rsidRPr="006021A0">
        <w:rPr>
          <w:rFonts w:ascii="Times New Roman" w:hAnsi="Times New Roman" w:cs="Times New Roman"/>
        </w:rPr>
        <w:t xml:space="preserve">t: Capable of functioning with minimal computational resources and limited infrastructure </w:t>
      </w:r>
    </w:p>
    <w:p w14:paraId="683131EE" w14:textId="77777777" w:rsidR="002F7F1C" w:rsidRPr="006021A0" w:rsidRDefault="002F7F1C" w:rsidP="002F7F1C">
      <w:pPr>
        <w:pStyle w:val="ListParagraph"/>
        <w:numPr>
          <w:ilvl w:val="0"/>
          <w:numId w:val="1"/>
        </w:numPr>
        <w:jc w:val="both"/>
        <w:rPr>
          <w:rFonts w:ascii="Times New Roman" w:hAnsi="Times New Roman" w:cs="Times New Roman"/>
          <w:b/>
          <w:bCs/>
        </w:rPr>
      </w:pPr>
      <w:r w:rsidRPr="006021A0">
        <w:rPr>
          <w:rFonts w:ascii="Times New Roman" w:hAnsi="Times New Roman" w:cs="Times New Roman"/>
          <w:b/>
          <w:bCs/>
        </w:rPr>
        <w:t xml:space="preserve">Low-cost: </w:t>
      </w:r>
      <w:r w:rsidRPr="006021A0">
        <w:rPr>
          <w:rFonts w:ascii="Times New Roman" w:hAnsi="Times New Roman" w:cs="Times New Roman"/>
        </w:rPr>
        <w:t xml:space="preserve">Affordable to implement and maintain in resource- constrained healthcare systems </w:t>
      </w:r>
    </w:p>
    <w:p w14:paraId="425558F1" w14:textId="77777777" w:rsidR="002F7F1C" w:rsidRPr="006021A0" w:rsidRDefault="002F7F1C" w:rsidP="002F7F1C">
      <w:pPr>
        <w:pStyle w:val="ListParagraph"/>
        <w:numPr>
          <w:ilvl w:val="0"/>
          <w:numId w:val="1"/>
        </w:numPr>
        <w:jc w:val="both"/>
        <w:rPr>
          <w:rFonts w:ascii="Times New Roman" w:hAnsi="Times New Roman" w:cs="Times New Roman"/>
          <w:b/>
          <w:bCs/>
        </w:rPr>
      </w:pPr>
      <w:r w:rsidRPr="006021A0">
        <w:rPr>
          <w:rFonts w:ascii="Times New Roman" w:hAnsi="Times New Roman" w:cs="Times New Roman"/>
          <w:b/>
          <w:bCs/>
        </w:rPr>
        <w:t xml:space="preserve">Adaptable to incomplete data: </w:t>
      </w:r>
      <w:r w:rsidRPr="006021A0">
        <w:rPr>
          <w:rFonts w:ascii="Times New Roman" w:hAnsi="Times New Roman" w:cs="Times New Roman"/>
        </w:rPr>
        <w:t xml:space="preserve">Designed to handle missing, inconsistent, or partially structured datasets without significant loss of performance </w:t>
      </w:r>
    </w:p>
    <w:p w14:paraId="5F41FB74" w14:textId="6D185C3E" w:rsidR="002F7F1C" w:rsidRPr="006021A0" w:rsidRDefault="002F7F1C" w:rsidP="002F7F1C">
      <w:pPr>
        <w:jc w:val="both"/>
        <w:rPr>
          <w:rFonts w:ascii="Times New Roman" w:hAnsi="Times New Roman" w:cs="Times New Roman"/>
        </w:rPr>
      </w:pPr>
      <w:r w:rsidRPr="006021A0">
        <w:rPr>
          <w:rFonts w:ascii="Times New Roman" w:hAnsi="Times New Roman" w:cs="Times New Roman"/>
        </w:rPr>
        <w:t>Rather than relying on complex, data-intensive architectures, there is growing interest in simplified machine learning models that can operate with smaller datasets while still providing clinically meaningful predictions</w:t>
      </w:r>
      <w:r w:rsidR="002B3154">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31</w:t>
      </w:r>
      <w:r w:rsidRPr="006021A0">
        <w:rPr>
          <w:rFonts w:ascii="Times New Roman" w:hAnsi="Times New Roman" w:cs="Times New Roman"/>
        </w:rPr>
        <w:t>].</w:t>
      </w:r>
    </w:p>
    <w:p w14:paraId="01586C2F" w14:textId="7777777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Opportunities and Strategic Directions</w:t>
      </w:r>
    </w:p>
    <w:p w14:paraId="383AEEC9"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Despite these challenges, low-resource settings also present unique opportunities for innovation. The high burden of infectious disease and antimicrobial resistance creates a strong case for the adaption of AI-driven tools that can enhance decision-making even in the absence of comprehensive laboratory support.</w:t>
      </w:r>
    </w:p>
    <w:p w14:paraId="47E77933"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Mobile-based platforms and cloud-integrated solutions offer promising avenues for deploying AI in decentralized healthcare settings. These approaches can able clinicians to active productive tools at the point of care without requiring extensive local infrastructure.</w:t>
      </w:r>
    </w:p>
    <w:p w14:paraId="16217937"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lastRenderedPageBreak/>
        <w:t>Additionally, the development of region-specific models trained on local data can improve relevance and accuracy. Collaborative data-sharing initiatives across institutions may help overcome limitations related to dataset size and diversity.</w:t>
      </w:r>
    </w:p>
    <w:p w14:paraId="1D33E4BC" w14:textId="7777777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Global Relevance</w:t>
      </w:r>
    </w:p>
    <w:p w14:paraId="6ADACB26"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This perspective extends beyond India to many LMICs facing similar constraints. Addressing these challenges is essential not only for local healthcare improvement but also for global AMR control, as resistant pathogens do not respect geographical boundaries.</w:t>
      </w:r>
    </w:p>
    <w:p w14:paraId="66B05C40"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By prioritizing scalability, affordability, and adaptability, AI has the potential to bridge critical gaps in antimicrobial stewardship in resource-limited settings. However, success will depend on aligning technological innovation with the practical realities of healthcare delivery in these regions.</w:t>
      </w:r>
    </w:p>
    <w:p w14:paraId="5C35B63B" w14:textId="0EBF65FF" w:rsidR="004D651D" w:rsidRPr="006021A0" w:rsidRDefault="006021A0" w:rsidP="002F7F1C">
      <w:pPr>
        <w:jc w:val="both"/>
        <w:rPr>
          <w:rFonts w:ascii="Times New Roman" w:hAnsi="Times New Roman" w:cs="Times New Roman"/>
          <w:b/>
          <w:bCs/>
        </w:rPr>
      </w:pPr>
      <w:r w:rsidRPr="006021A0">
        <w:rPr>
          <w:rFonts w:ascii="Times New Roman" w:hAnsi="Times New Roman" w:cs="Times New Roman"/>
          <w:b/>
          <w:bCs/>
        </w:rPr>
        <w:t xml:space="preserve">8. </w:t>
      </w:r>
      <w:r w:rsidR="004D651D" w:rsidRPr="006021A0">
        <w:rPr>
          <w:rFonts w:ascii="Times New Roman" w:hAnsi="Times New Roman" w:cs="Times New Roman"/>
          <w:b/>
          <w:bCs/>
        </w:rPr>
        <w:t>Future Directions and Resew Research Roadmap</w:t>
      </w:r>
    </w:p>
    <w:p w14:paraId="7094E271" w14:textId="44B8959B" w:rsidR="004D651D" w:rsidRPr="006021A0" w:rsidRDefault="004D651D" w:rsidP="002F7F1C">
      <w:pPr>
        <w:jc w:val="both"/>
        <w:rPr>
          <w:rFonts w:ascii="Times New Roman" w:hAnsi="Times New Roman" w:cs="Times New Roman"/>
        </w:rPr>
      </w:pPr>
      <w:r w:rsidRPr="006021A0">
        <w:rPr>
          <w:rFonts w:ascii="Times New Roman" w:hAnsi="Times New Roman" w:cs="Times New Roman"/>
        </w:rPr>
        <w:t xml:space="preserve">The evolution of artificial intelligence in antimicrobial stewardship will depend not </w:t>
      </w:r>
      <w:r w:rsidR="006021A0" w:rsidRPr="006021A0">
        <w:rPr>
          <w:rFonts w:ascii="Times New Roman" w:hAnsi="Times New Roman" w:cs="Times New Roman"/>
        </w:rPr>
        <w:t>only on advances in algorithms but also on improvements in data infrastructure, clinical integration, and global collaboration. A phased roadmap helps clarify how current limitations can be addressed and how AI can transition from experimental use to routine clinical practice.</w:t>
      </w:r>
    </w:p>
    <w:p w14:paraId="16CFEF60" w14:textId="4229EE07"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8.1 Short-Term priorities</w:t>
      </w:r>
    </w:p>
    <w:p w14:paraId="421EED79"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the immediate future, the focus must be on strengthening the foundational elements that underpin AI performance.</w:t>
      </w:r>
    </w:p>
    <w:p w14:paraId="37890C41" w14:textId="6C29B38D"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Better datasets </w:t>
      </w:r>
      <w:r w:rsidRPr="006021A0">
        <w:rPr>
          <w:rFonts w:ascii="Times New Roman" w:hAnsi="Times New Roman" w:cs="Times New Roman"/>
        </w:rPr>
        <w:t>are essential. This includes improving data completeness, consistency, and representativeness across diverse patient populations. Efforts should prioritize multicenter data collection and the inclusion of varied geographic and clinical settings to enhance generalizability</w:t>
      </w:r>
      <w:r w:rsidR="00125BD3">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31</w:t>
      </w:r>
      <w:r w:rsidRPr="006021A0">
        <w:rPr>
          <w:rFonts w:ascii="Times New Roman" w:hAnsi="Times New Roman" w:cs="Times New Roman"/>
        </w:rPr>
        <w:t>].</w:t>
      </w:r>
    </w:p>
    <w:p w14:paraId="1FA7F687" w14:textId="16DA2AFA"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Standardized reporting </w:t>
      </w:r>
      <w:r w:rsidRPr="006021A0">
        <w:rPr>
          <w:rFonts w:ascii="Times New Roman" w:hAnsi="Times New Roman" w:cs="Times New Roman"/>
        </w:rPr>
        <w:t>is equally critical. Variability in how studies report model performance, datasets and validation method makes comparison difficult and slows progress. The adoption of standardized frameworks for reporting AI models in healthcare will improve transparency, reproducibility, and clinical trust</w:t>
      </w:r>
      <w:r w:rsidR="00125BD3">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38</w:t>
      </w:r>
      <w:r w:rsidRPr="006021A0">
        <w:rPr>
          <w:rFonts w:ascii="Times New Roman" w:hAnsi="Times New Roman" w:cs="Times New Roman"/>
        </w:rPr>
        <w:t>].</w:t>
      </w:r>
    </w:p>
    <w:p w14:paraId="09A95584" w14:textId="7A1BBFB1"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8.2Mid-Term Developments</w:t>
      </w:r>
    </w:p>
    <w:p w14:paraId="40424C78"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As foundational issues are addressed, the next phase involves translating AI models into real-world environments.</w:t>
      </w:r>
    </w:p>
    <w:p w14:paraId="4A7C752E" w14:textId="4AAF6AF2"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Integration with electronic health record (EHR) systems </w:t>
      </w:r>
      <w:r w:rsidRPr="006021A0">
        <w:rPr>
          <w:rFonts w:ascii="Times New Roman" w:hAnsi="Times New Roman" w:cs="Times New Roman"/>
        </w:rPr>
        <w:t>will be a key milestone. Embedding AI tools directly into clinical workflows allows seamless across to patient data and facilitates real-time decision support without disrupting routine practice</w:t>
      </w:r>
      <w:r w:rsidR="00125BD3">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27</w:t>
      </w:r>
      <w:r w:rsidRPr="006021A0">
        <w:rPr>
          <w:rFonts w:ascii="Times New Roman" w:hAnsi="Times New Roman" w:cs="Times New Roman"/>
        </w:rPr>
        <w:t>].</w:t>
      </w:r>
    </w:p>
    <w:p w14:paraId="23A83A88"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Real-time hospital development </w:t>
      </w:r>
      <w:r w:rsidRPr="006021A0">
        <w:rPr>
          <w:rFonts w:ascii="Times New Roman" w:hAnsi="Times New Roman" w:cs="Times New Roman"/>
        </w:rPr>
        <w:t>will further enhance the utility of AI in microbial stewardship. Systems capable continuously analysing incoming data and updating predictions can support dynamic decision-making, particularly high-risk settings such as intensive care units and emergency departments.</w:t>
      </w:r>
    </w:p>
    <w:p w14:paraId="07DA3E90"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lastRenderedPageBreak/>
        <w:t>At this stage, emphasis should also be placed usability, clinician engagement, and minimizing alert fatigue to ensure sustained adoption.</w:t>
      </w:r>
    </w:p>
    <w:p w14:paraId="5A9ED4E8" w14:textId="65821361"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8.3 Long-Term Vision</w:t>
      </w:r>
    </w:p>
    <w:p w14:paraId="1A5AA3C5"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In the long term, AI has the potential to fundamentally reshape antimicrobial stewardship at both individual and global levels.</w:t>
      </w:r>
    </w:p>
    <w:p w14:paraId="22498E17" w14:textId="73AD4AD2"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Personalized antimicrobial therapy </w:t>
      </w:r>
      <w:r w:rsidRPr="006021A0">
        <w:rPr>
          <w:rFonts w:ascii="Times New Roman" w:hAnsi="Times New Roman" w:cs="Times New Roman"/>
        </w:rPr>
        <w:t>represents a major goal. By integrating patient-specific data, pathogen characteristics, and local resistance trends, AI systems could recommend highly tailored treatment regimens, optimizing efficacy while minimizing resistance development[</w:t>
      </w:r>
      <w:r w:rsidR="00512231">
        <w:rPr>
          <w:rFonts w:ascii="Times New Roman" w:hAnsi="Times New Roman" w:cs="Times New Roman"/>
        </w:rPr>
        <w:t>8</w:t>
      </w:r>
      <w:r w:rsidRPr="006021A0">
        <w:rPr>
          <w:rFonts w:ascii="Times New Roman" w:hAnsi="Times New Roman" w:cs="Times New Roman"/>
        </w:rPr>
        <w:t>].</w:t>
      </w:r>
    </w:p>
    <w:p w14:paraId="7ADCD3CE" w14:textId="46A6B39C"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Global resistance prediction networks </w:t>
      </w:r>
      <w:r w:rsidRPr="006021A0">
        <w:rPr>
          <w:rFonts w:ascii="Times New Roman" w:hAnsi="Times New Roman" w:cs="Times New Roman"/>
        </w:rPr>
        <w:t>may emerge through large-scale data sharing and collaboration across institutions and countries. Such system could provide real-tiem surveillance and forecasting of resistance patterns, enabling proactive public health interventions and coordinated global responses to AMR threats</w:t>
      </w:r>
      <w:r w:rsidR="00125BD3">
        <w:rPr>
          <w:rFonts w:ascii="Times New Roman" w:hAnsi="Times New Roman" w:cs="Times New Roman"/>
        </w:rPr>
        <w:t xml:space="preserve"> </w:t>
      </w:r>
      <w:r w:rsidRPr="006021A0">
        <w:rPr>
          <w:rFonts w:ascii="Times New Roman" w:hAnsi="Times New Roman" w:cs="Times New Roman"/>
        </w:rPr>
        <w:t>[</w:t>
      </w:r>
      <w:r w:rsidR="00451296">
        <w:rPr>
          <w:rFonts w:ascii="Times New Roman" w:hAnsi="Times New Roman" w:cs="Times New Roman"/>
        </w:rPr>
        <w:t>36</w:t>
      </w:r>
      <w:r w:rsidRPr="006021A0">
        <w:rPr>
          <w:rFonts w:ascii="Times New Roman" w:hAnsi="Times New Roman" w:cs="Times New Roman"/>
        </w:rPr>
        <w:t>].</w:t>
      </w:r>
    </w:p>
    <w:p w14:paraId="04B682AC"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b/>
          <w:bCs/>
        </w:rPr>
        <w:t xml:space="preserve">Closing perspective </w:t>
      </w:r>
    </w:p>
    <w:p w14:paraId="68BFA546"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 Future stewardship will be algorithm-assisted, not purely clinician-driven. The most effective models will not replace clinical judgement but will augment it combining computational precision with human expertise to achieve safer, faster, and move targeted antimicrobial use.</w:t>
      </w:r>
    </w:p>
    <w:p w14:paraId="1B344F64" w14:textId="44461E71" w:rsidR="002F7F1C" w:rsidRPr="006021A0" w:rsidRDefault="002F7F1C" w:rsidP="002F7F1C">
      <w:pPr>
        <w:jc w:val="both"/>
        <w:rPr>
          <w:rFonts w:ascii="Times New Roman" w:hAnsi="Times New Roman" w:cs="Times New Roman"/>
          <w:b/>
          <w:bCs/>
        </w:rPr>
      </w:pPr>
      <w:r w:rsidRPr="006021A0">
        <w:rPr>
          <w:rFonts w:ascii="Times New Roman" w:hAnsi="Times New Roman" w:cs="Times New Roman"/>
          <w:b/>
          <w:bCs/>
        </w:rPr>
        <w:t>9. Conclusion</w:t>
      </w:r>
    </w:p>
    <w:p w14:paraId="40D66474"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Artificial intelligence holds a clear and transformative potential in antimicrobial stewardship, offering a shift from delayed, empirical decision-making to timely, data-driven precision across prediction, decision support, and workflow integration, AI demonstrates the ability to improve antibiotic selection, reduce unnecessary broad-spectrum use, and respond more effectively to evolving resistance patterns.  </w:t>
      </w:r>
    </w:p>
    <w:p w14:paraId="7BD887A9" w14:textId="77777777" w:rsidR="002F7F1C" w:rsidRPr="006021A0" w:rsidRDefault="002F7F1C" w:rsidP="002F7F1C">
      <w:pPr>
        <w:jc w:val="both"/>
        <w:rPr>
          <w:rFonts w:ascii="Times New Roman" w:hAnsi="Times New Roman" w:cs="Times New Roman"/>
        </w:rPr>
      </w:pPr>
      <w:r w:rsidRPr="006021A0">
        <w:rPr>
          <w:rFonts w:ascii="Times New Roman" w:hAnsi="Times New Roman" w:cs="Times New Roman"/>
        </w:rPr>
        <w:t>Yet the gap between potential and real-world impact remains significant. Current limitations in data quality, lack of external validation, fragmented healthcare infrastructure, and limited clinician trust continue to restrict widespread adoption. Many models perform well in control settings but struggle to translate into routine clinical practice, where variability, uncertainly, incomplete information are the norm.</w:t>
      </w:r>
    </w:p>
    <w:p w14:paraId="3CD95036" w14:textId="126CF45D" w:rsidR="002F7F1C" w:rsidRPr="006021A0" w:rsidRDefault="002F7F1C" w:rsidP="002F7F1C">
      <w:pPr>
        <w:jc w:val="both"/>
        <w:rPr>
          <w:rFonts w:ascii="Times New Roman" w:hAnsi="Times New Roman" w:cs="Times New Roman"/>
        </w:rPr>
      </w:pPr>
      <w:r w:rsidRPr="006021A0">
        <w:rPr>
          <w:rFonts w:ascii="Times New Roman" w:hAnsi="Times New Roman" w:cs="Times New Roman"/>
        </w:rPr>
        <w:t xml:space="preserve">For AI to move beyond the promise, three pillars must be addressed: Validation, trust, and infrastructure. Models must be rigorously tested across diverse populations and settings. Clinicians must be able to understand and trust the recommendations provided. </w:t>
      </w:r>
      <w:r w:rsidR="00025B57" w:rsidRPr="00025B57">
        <w:rPr>
          <w:rFonts w:ascii="Times New Roman" w:hAnsi="Times New Roman" w:cs="Times New Roman"/>
        </w:rPr>
        <w:t>Healthcare systems must invest in digital infrastructure, standardized data systems, and workforce training to support seamless integration. At a policy level, coordinated efforts between regulatory bodies, healthcare institutions, and technology developers will be essential to ensure safe, scalable, and equitable adoption of AI in antimicrobial stewardship.</w:t>
      </w:r>
    </w:p>
    <w:p w14:paraId="77E6FE28" w14:textId="77777777" w:rsidR="002F7F1C" w:rsidRDefault="002F7F1C" w:rsidP="002F7F1C">
      <w:pPr>
        <w:jc w:val="both"/>
        <w:rPr>
          <w:rFonts w:ascii="Times New Roman" w:hAnsi="Times New Roman" w:cs="Times New Roman"/>
        </w:rPr>
      </w:pPr>
      <w:r w:rsidRPr="006021A0">
        <w:rPr>
          <w:rFonts w:ascii="Times New Roman" w:hAnsi="Times New Roman" w:cs="Times New Roman"/>
        </w:rPr>
        <w:t xml:space="preserve">If these challenges are met, AI has capacity to redefine antimicrobial stewardship at both individual and system-levels enabling faster, more precise, and more responsible use of antibiotics. The future of stewardship will not replace clinical judgement, but it will be shaped </w:t>
      </w:r>
      <w:r w:rsidRPr="006021A0">
        <w:rPr>
          <w:rFonts w:ascii="Times New Roman" w:hAnsi="Times New Roman" w:cs="Times New Roman"/>
        </w:rPr>
        <w:lastRenderedPageBreak/>
        <w:t>by intelligent systems that enhance it, making care not only more efficient, but fundamentally more informed.</w:t>
      </w:r>
    </w:p>
    <w:p w14:paraId="2A1433AF" w14:textId="77777777" w:rsidR="006C4134" w:rsidRDefault="006C4134" w:rsidP="002F7F1C">
      <w:pPr>
        <w:jc w:val="both"/>
        <w:rPr>
          <w:rFonts w:ascii="Times New Roman" w:hAnsi="Times New Roman" w:cs="Times New Roman"/>
        </w:rPr>
      </w:pPr>
    </w:p>
    <w:p w14:paraId="266E054C" w14:textId="77777777" w:rsidR="006C4134" w:rsidRPr="006C4134" w:rsidRDefault="006C4134" w:rsidP="006C4134">
      <w:pPr>
        <w:jc w:val="both"/>
        <w:rPr>
          <w:rFonts w:ascii="Times New Roman" w:hAnsi="Times New Roman" w:cs="Times New Roman"/>
        </w:rPr>
      </w:pPr>
      <w:r w:rsidRPr="006C4134">
        <w:rPr>
          <w:rFonts w:ascii="Times New Roman" w:hAnsi="Times New Roman" w:cs="Times New Roman"/>
        </w:rPr>
        <w:t>COMPETING INTERESTS DISCLAIMER:</w:t>
      </w:r>
    </w:p>
    <w:p w14:paraId="44E5EEB7" w14:textId="65CE0C59" w:rsidR="006C4134" w:rsidRPr="006021A0" w:rsidRDefault="006C4134" w:rsidP="006C4134">
      <w:pPr>
        <w:jc w:val="both"/>
        <w:rPr>
          <w:rFonts w:ascii="Times New Roman" w:hAnsi="Times New Roman" w:cs="Times New Roman"/>
        </w:rPr>
      </w:pPr>
      <w:r w:rsidRPr="006C4134">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483055F" w14:textId="77777777" w:rsidR="006021A0" w:rsidRPr="006021A0" w:rsidRDefault="006021A0">
      <w:pPr>
        <w:rPr>
          <w:rFonts w:ascii="Times New Roman" w:hAnsi="Times New Roman" w:cs="Times New Roman"/>
          <w:b/>
          <w:bCs/>
        </w:rPr>
      </w:pPr>
    </w:p>
    <w:p w14:paraId="0181B84E" w14:textId="77777777" w:rsidR="004A4A19" w:rsidRDefault="004A4A19" w:rsidP="006021A0">
      <w:pPr>
        <w:rPr>
          <w:rFonts w:ascii="Times New Roman" w:hAnsi="Times New Roman" w:cs="Times New Roman"/>
          <w:b/>
          <w:bCs/>
        </w:rPr>
      </w:pPr>
    </w:p>
    <w:p w14:paraId="4B32537F" w14:textId="77777777" w:rsidR="004A4A19" w:rsidRDefault="004A4A19" w:rsidP="006021A0">
      <w:pPr>
        <w:rPr>
          <w:rFonts w:ascii="Times New Roman" w:hAnsi="Times New Roman" w:cs="Times New Roman"/>
          <w:b/>
          <w:bCs/>
        </w:rPr>
      </w:pPr>
    </w:p>
    <w:p w14:paraId="4CE70C60" w14:textId="68882CFA" w:rsidR="006021A0" w:rsidRDefault="006021A0" w:rsidP="006021A0">
      <w:pPr>
        <w:rPr>
          <w:rFonts w:ascii="Times New Roman" w:hAnsi="Times New Roman" w:cs="Times New Roman"/>
          <w:b/>
          <w:bCs/>
        </w:rPr>
      </w:pPr>
      <w:r w:rsidRPr="006021A0">
        <w:rPr>
          <w:rFonts w:ascii="Times New Roman" w:hAnsi="Times New Roman" w:cs="Times New Roman"/>
          <w:b/>
          <w:bCs/>
        </w:rPr>
        <w:t>REFERENCE</w:t>
      </w:r>
    </w:p>
    <w:p w14:paraId="08709E6D" w14:textId="77777777" w:rsidR="00B21112"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Murray CJL et al. Global burden of bacterial antimicrobial resistance in 2019. </w:t>
      </w:r>
      <w:r w:rsidRPr="00F958EE">
        <w:rPr>
          <w:rFonts w:ascii="Times New Roman" w:hAnsi="Times New Roman" w:cs="Times New Roman"/>
          <w:i/>
          <w:iCs/>
        </w:rPr>
        <w:t>The Lancet</w:t>
      </w:r>
      <w:r w:rsidRPr="00F958EE">
        <w:rPr>
          <w:rFonts w:ascii="Times New Roman" w:hAnsi="Times New Roman" w:cs="Times New Roman"/>
        </w:rPr>
        <w:t>.</w:t>
      </w:r>
      <w:r w:rsidRPr="00F958EE">
        <w:rPr>
          <w:rFonts w:ascii="Times New Roman" w:hAnsi="Times New Roman" w:cs="Times New Roman"/>
        </w:rPr>
        <w:br/>
      </w:r>
      <w:hyperlink r:id="rId7" w:history="1">
        <w:r w:rsidRPr="00E537A5">
          <w:rPr>
            <w:rStyle w:val="Hyperlink"/>
            <w:rFonts w:ascii="Times New Roman" w:hAnsi="Times New Roman" w:cs="Times New Roman"/>
          </w:rPr>
          <w:t>https://doi.org/10.1016/S0140-6736(21)02724-0</w:t>
        </w:r>
      </w:hyperlink>
    </w:p>
    <w:p w14:paraId="637A6867"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O’Neill J. Tackling drug-resistant infections globally: final report and recommendations.</w:t>
      </w:r>
      <w:r w:rsidRPr="00F958EE">
        <w:rPr>
          <w:rFonts w:ascii="Times New Roman" w:hAnsi="Times New Roman" w:cs="Times New Roman"/>
        </w:rPr>
        <w:br/>
        <w:t>https://doi.org/10.13140/RG.2.2.30493.44005</w:t>
      </w:r>
    </w:p>
    <w:p w14:paraId="6A042915"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Ventola CL. The antibiotic resistance crisis. </w:t>
      </w:r>
      <w:r w:rsidRPr="00F958EE">
        <w:rPr>
          <w:rFonts w:ascii="Times New Roman" w:hAnsi="Times New Roman" w:cs="Times New Roman"/>
          <w:i/>
          <w:iCs/>
        </w:rPr>
        <w:t>P&amp;T</w:t>
      </w:r>
      <w:r w:rsidRPr="00F958EE">
        <w:rPr>
          <w:rFonts w:ascii="Times New Roman" w:hAnsi="Times New Roman" w:cs="Times New Roman"/>
        </w:rPr>
        <w:t>.</w:t>
      </w:r>
      <w:r w:rsidRPr="00F958EE">
        <w:rPr>
          <w:rFonts w:ascii="Times New Roman" w:hAnsi="Times New Roman" w:cs="Times New Roman"/>
        </w:rPr>
        <w:br/>
        <w:t>https://doi.org/10.1016/j.pt.2015.04.002</w:t>
      </w:r>
    </w:p>
    <w:p w14:paraId="3CA8F986"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Dyar OJ et al. Strategies and challenges of antimicrobial stewardship. </w:t>
      </w:r>
      <w:r w:rsidRPr="00F958EE">
        <w:rPr>
          <w:rFonts w:ascii="Times New Roman" w:hAnsi="Times New Roman" w:cs="Times New Roman"/>
          <w:i/>
          <w:iCs/>
        </w:rPr>
        <w:t>Clinical Microbiology and Infection</w:t>
      </w:r>
      <w:r w:rsidRPr="00F958EE">
        <w:rPr>
          <w:rFonts w:ascii="Times New Roman" w:hAnsi="Times New Roman" w:cs="Times New Roman"/>
        </w:rPr>
        <w:t>.</w:t>
      </w:r>
      <w:r w:rsidRPr="00F958EE">
        <w:rPr>
          <w:rFonts w:ascii="Times New Roman" w:hAnsi="Times New Roman" w:cs="Times New Roman"/>
        </w:rPr>
        <w:br/>
        <w:t>https://doi.org/10.1016/j.cmi.2017.01.013</w:t>
      </w:r>
    </w:p>
    <w:p w14:paraId="39795CED"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Llor C, Bjerrum L. Antimicrobial resistance: risk of inappropriate prescribing. </w:t>
      </w:r>
      <w:r w:rsidRPr="00F958EE">
        <w:rPr>
          <w:rFonts w:ascii="Times New Roman" w:hAnsi="Times New Roman" w:cs="Times New Roman"/>
          <w:i/>
          <w:iCs/>
        </w:rPr>
        <w:t>BMJ</w:t>
      </w:r>
      <w:r w:rsidRPr="00F958EE">
        <w:rPr>
          <w:rFonts w:ascii="Times New Roman" w:hAnsi="Times New Roman" w:cs="Times New Roman"/>
        </w:rPr>
        <w:t>.</w:t>
      </w:r>
      <w:r w:rsidRPr="00F958EE">
        <w:rPr>
          <w:rFonts w:ascii="Times New Roman" w:hAnsi="Times New Roman" w:cs="Times New Roman"/>
        </w:rPr>
        <w:br/>
        <w:t>https://doi.org/10.1136/bmj.g6123</w:t>
      </w:r>
    </w:p>
    <w:p w14:paraId="7FEEC25E" w14:textId="77777777" w:rsidR="00B21112" w:rsidRPr="00F958EE" w:rsidRDefault="00B21112" w:rsidP="00B21112">
      <w:pPr>
        <w:numPr>
          <w:ilvl w:val="0"/>
          <w:numId w:val="5"/>
        </w:numPr>
        <w:jc w:val="both"/>
        <w:rPr>
          <w:rFonts w:ascii="Times New Roman" w:hAnsi="Times New Roman" w:cs="Times New Roman"/>
        </w:rPr>
      </w:pPr>
      <w:r w:rsidRPr="00F87365">
        <w:rPr>
          <w:rFonts w:ascii="Times New Roman" w:hAnsi="Times New Roman" w:cs="Times New Roman"/>
          <w:lang w:val="es-US"/>
        </w:rPr>
        <w:t xml:space="preserve">van Belkum A et al. </w:t>
      </w:r>
      <w:r w:rsidRPr="00F958EE">
        <w:rPr>
          <w:rFonts w:ascii="Times New Roman" w:hAnsi="Times New Roman" w:cs="Times New Roman"/>
        </w:rPr>
        <w:t xml:space="preserve">Rapid clinical bacteriology and its impact. </w:t>
      </w:r>
      <w:r w:rsidRPr="00F958EE">
        <w:rPr>
          <w:rFonts w:ascii="Times New Roman" w:hAnsi="Times New Roman" w:cs="Times New Roman"/>
          <w:i/>
          <w:iCs/>
        </w:rPr>
        <w:t>Nature Reviews Microbiology</w:t>
      </w:r>
      <w:r w:rsidRPr="00F958EE">
        <w:rPr>
          <w:rFonts w:ascii="Times New Roman" w:hAnsi="Times New Roman" w:cs="Times New Roman"/>
        </w:rPr>
        <w:t>.</w:t>
      </w:r>
      <w:r w:rsidRPr="00F958EE">
        <w:rPr>
          <w:rFonts w:ascii="Times New Roman" w:hAnsi="Times New Roman" w:cs="Times New Roman"/>
        </w:rPr>
        <w:br/>
        <w:t>https://doi.org/10.1038/nrmicro2410</w:t>
      </w:r>
    </w:p>
    <w:p w14:paraId="05A37AED"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Charani E et al. Behavioral determinants of antimicrobial prescribing. </w:t>
      </w:r>
      <w:r w:rsidRPr="00F958EE">
        <w:rPr>
          <w:rFonts w:ascii="Times New Roman" w:hAnsi="Times New Roman" w:cs="Times New Roman"/>
          <w:i/>
          <w:iCs/>
        </w:rPr>
        <w:t>Clinical Infectious Diseases</w:t>
      </w:r>
      <w:r w:rsidRPr="00F958EE">
        <w:rPr>
          <w:rFonts w:ascii="Times New Roman" w:hAnsi="Times New Roman" w:cs="Times New Roman"/>
        </w:rPr>
        <w:t>.</w:t>
      </w:r>
      <w:r w:rsidRPr="00F958EE">
        <w:rPr>
          <w:rFonts w:ascii="Times New Roman" w:hAnsi="Times New Roman" w:cs="Times New Roman"/>
        </w:rPr>
        <w:br/>
        <w:t>https://doi.org/10.1093/cid/cit713</w:t>
      </w:r>
    </w:p>
    <w:p w14:paraId="6BAF836D"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Topol EJ. High-performance medicine: the convergence of human and artificial intelligence. </w:t>
      </w:r>
      <w:r w:rsidRPr="00F958EE">
        <w:rPr>
          <w:rFonts w:ascii="Times New Roman" w:hAnsi="Times New Roman" w:cs="Times New Roman"/>
          <w:i/>
          <w:iCs/>
        </w:rPr>
        <w:t>Nature Medicine</w:t>
      </w:r>
      <w:r w:rsidRPr="00F958EE">
        <w:rPr>
          <w:rFonts w:ascii="Times New Roman" w:hAnsi="Times New Roman" w:cs="Times New Roman"/>
        </w:rPr>
        <w:t>.</w:t>
      </w:r>
      <w:r w:rsidRPr="00F958EE">
        <w:rPr>
          <w:rFonts w:ascii="Times New Roman" w:hAnsi="Times New Roman" w:cs="Times New Roman"/>
        </w:rPr>
        <w:br/>
      </w:r>
      <w:hyperlink r:id="rId8" w:tgtFrame="_new" w:history="1">
        <w:r w:rsidRPr="00F958EE">
          <w:rPr>
            <w:rStyle w:val="Hyperlink"/>
            <w:rFonts w:ascii="Times New Roman" w:hAnsi="Times New Roman" w:cs="Times New Roman"/>
          </w:rPr>
          <w:t>https://doi.org/10.1038/s41591-018-0300-7</w:t>
        </w:r>
      </w:hyperlink>
    </w:p>
    <w:p w14:paraId="4751E8AE"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lastRenderedPageBreak/>
        <w:t xml:space="preserve">Wiens J, Shenoy ES. Machine learning for healthcare: on the verge of a major shift. </w:t>
      </w:r>
      <w:r w:rsidRPr="00F958EE">
        <w:rPr>
          <w:rFonts w:ascii="Times New Roman" w:hAnsi="Times New Roman" w:cs="Times New Roman"/>
          <w:i/>
          <w:iCs/>
        </w:rPr>
        <w:t>Nature Medicine</w:t>
      </w:r>
      <w:r w:rsidRPr="00F958EE">
        <w:rPr>
          <w:rFonts w:ascii="Times New Roman" w:hAnsi="Times New Roman" w:cs="Times New Roman"/>
        </w:rPr>
        <w:t>.</w:t>
      </w:r>
      <w:r w:rsidRPr="00F958EE">
        <w:rPr>
          <w:rFonts w:ascii="Times New Roman" w:hAnsi="Times New Roman" w:cs="Times New Roman"/>
        </w:rPr>
        <w:br/>
        <w:t>https://doi.org/10.1038/s41591-018-0310-5</w:t>
      </w:r>
    </w:p>
    <w:p w14:paraId="2C582D42" w14:textId="77777777" w:rsidR="00B21112" w:rsidRPr="00C80503" w:rsidRDefault="00B21112" w:rsidP="00B21112">
      <w:pPr>
        <w:numPr>
          <w:ilvl w:val="0"/>
          <w:numId w:val="5"/>
        </w:numPr>
        <w:jc w:val="both"/>
        <w:rPr>
          <w:rFonts w:ascii="Times New Roman" w:hAnsi="Times New Roman" w:cs="Times New Roman"/>
          <w:lang w:val="fr-FR"/>
        </w:rPr>
      </w:pPr>
      <w:r w:rsidRPr="00F958EE">
        <w:rPr>
          <w:rFonts w:ascii="Times New Roman" w:hAnsi="Times New Roman" w:cs="Times New Roman"/>
        </w:rPr>
        <w:t xml:space="preserve">Esteva A et al. A guide to deep learning in healthcare. </w:t>
      </w:r>
      <w:r w:rsidRPr="00C80503">
        <w:rPr>
          <w:rFonts w:ascii="Times New Roman" w:hAnsi="Times New Roman" w:cs="Times New Roman"/>
          <w:i/>
          <w:iCs/>
          <w:lang w:val="fr-FR"/>
        </w:rPr>
        <w:t>Nature Medicine</w:t>
      </w:r>
      <w:r w:rsidRPr="00C80503">
        <w:rPr>
          <w:rFonts w:ascii="Times New Roman" w:hAnsi="Times New Roman" w:cs="Times New Roman"/>
          <w:lang w:val="fr-FR"/>
        </w:rPr>
        <w:t>.</w:t>
      </w:r>
      <w:r w:rsidRPr="00C80503">
        <w:rPr>
          <w:rFonts w:ascii="Times New Roman" w:hAnsi="Times New Roman" w:cs="Times New Roman"/>
          <w:lang w:val="fr-FR"/>
        </w:rPr>
        <w:br/>
      </w:r>
      <w:hyperlink r:id="rId9" w:tgtFrame="_new" w:history="1">
        <w:r w:rsidRPr="00C80503">
          <w:rPr>
            <w:rStyle w:val="Hyperlink"/>
            <w:rFonts w:ascii="Times New Roman" w:hAnsi="Times New Roman" w:cs="Times New Roman"/>
            <w:lang w:val="fr-FR"/>
          </w:rPr>
          <w:t>https://doi.org/10.1038/s41591-018-0316-z</w:t>
        </w:r>
      </w:hyperlink>
    </w:p>
    <w:p w14:paraId="4DCD12D8"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Liu Y et al. A comparison of deep learning performance against health-care professionals. </w:t>
      </w:r>
      <w:r w:rsidRPr="00F958EE">
        <w:rPr>
          <w:rFonts w:ascii="Times New Roman" w:hAnsi="Times New Roman" w:cs="Times New Roman"/>
          <w:i/>
          <w:iCs/>
        </w:rPr>
        <w:t>The Lancet Digital Health</w:t>
      </w:r>
      <w:r w:rsidRPr="00F958EE">
        <w:rPr>
          <w:rFonts w:ascii="Times New Roman" w:hAnsi="Times New Roman" w:cs="Times New Roman"/>
        </w:rPr>
        <w:t>.</w:t>
      </w:r>
      <w:r w:rsidRPr="00F958EE">
        <w:rPr>
          <w:rFonts w:ascii="Times New Roman" w:hAnsi="Times New Roman" w:cs="Times New Roman"/>
        </w:rPr>
        <w:br/>
        <w:t>https://doi.org/10.1016/S2589-7500(19)30123-2</w:t>
      </w:r>
    </w:p>
    <w:p w14:paraId="4F58C874"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Kelly CJ et al. Key challenges for delivering clinical impact with artificial intelligence. </w:t>
      </w:r>
      <w:r w:rsidRPr="00F958EE">
        <w:rPr>
          <w:rFonts w:ascii="Times New Roman" w:hAnsi="Times New Roman" w:cs="Times New Roman"/>
          <w:i/>
          <w:iCs/>
        </w:rPr>
        <w:t>BMC Medicine</w:t>
      </w:r>
      <w:r w:rsidRPr="00F958EE">
        <w:rPr>
          <w:rFonts w:ascii="Times New Roman" w:hAnsi="Times New Roman" w:cs="Times New Roman"/>
        </w:rPr>
        <w:t>.</w:t>
      </w:r>
      <w:r w:rsidRPr="00F958EE">
        <w:rPr>
          <w:rFonts w:ascii="Times New Roman" w:hAnsi="Times New Roman" w:cs="Times New Roman"/>
        </w:rPr>
        <w:br/>
      </w:r>
      <w:hyperlink r:id="rId10" w:tgtFrame="_new" w:history="1">
        <w:r w:rsidRPr="00F958EE">
          <w:rPr>
            <w:rStyle w:val="Hyperlink"/>
            <w:rFonts w:ascii="Times New Roman" w:hAnsi="Times New Roman" w:cs="Times New Roman"/>
          </w:rPr>
          <w:t>https://doi.org/10.1186/s12916-019-1426-2</w:t>
        </w:r>
      </w:hyperlink>
    </w:p>
    <w:p w14:paraId="1C0ED7C5"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Chen T, Guestrin C. XGBoost: A scalable tree boosting system. </w:t>
      </w:r>
      <w:r w:rsidRPr="00F958EE">
        <w:rPr>
          <w:rFonts w:ascii="Times New Roman" w:hAnsi="Times New Roman" w:cs="Times New Roman"/>
          <w:i/>
          <w:iCs/>
        </w:rPr>
        <w:t>KDD</w:t>
      </w:r>
      <w:r w:rsidRPr="00F958EE">
        <w:rPr>
          <w:rFonts w:ascii="Times New Roman" w:hAnsi="Times New Roman" w:cs="Times New Roman"/>
        </w:rPr>
        <w:t>.</w:t>
      </w:r>
      <w:r w:rsidRPr="00F958EE">
        <w:rPr>
          <w:rFonts w:ascii="Times New Roman" w:hAnsi="Times New Roman" w:cs="Times New Roman"/>
        </w:rPr>
        <w:br/>
      </w:r>
      <w:hyperlink r:id="rId11" w:tgtFrame="_new" w:history="1">
        <w:r w:rsidRPr="00F958EE">
          <w:rPr>
            <w:rStyle w:val="Hyperlink"/>
            <w:rFonts w:ascii="Times New Roman" w:hAnsi="Times New Roman" w:cs="Times New Roman"/>
          </w:rPr>
          <w:t>https://doi.org/10.1145/2939672.2939785</w:t>
        </w:r>
      </w:hyperlink>
    </w:p>
    <w:p w14:paraId="00785AF1" w14:textId="77777777" w:rsidR="00B21112" w:rsidRPr="00F958EE" w:rsidRDefault="00B21112" w:rsidP="00B21112">
      <w:pPr>
        <w:numPr>
          <w:ilvl w:val="0"/>
          <w:numId w:val="5"/>
        </w:numPr>
        <w:jc w:val="both"/>
        <w:rPr>
          <w:rFonts w:ascii="Times New Roman" w:hAnsi="Times New Roman" w:cs="Times New Roman"/>
        </w:rPr>
      </w:pPr>
      <w:r w:rsidRPr="00C80503">
        <w:rPr>
          <w:rFonts w:ascii="Times New Roman" w:hAnsi="Times New Roman" w:cs="Times New Roman"/>
          <w:lang w:val="fr-FR"/>
        </w:rPr>
        <w:t xml:space="preserve">Arango-Argoty G et al. </w:t>
      </w:r>
      <w:r w:rsidRPr="00F958EE">
        <w:rPr>
          <w:rFonts w:ascii="Times New Roman" w:hAnsi="Times New Roman" w:cs="Times New Roman"/>
        </w:rPr>
        <w:t xml:space="preserve">DeepARG: deep learning for predicting antibiotic resistance genes. </w:t>
      </w:r>
      <w:r w:rsidRPr="00F958EE">
        <w:rPr>
          <w:rFonts w:ascii="Times New Roman" w:hAnsi="Times New Roman" w:cs="Times New Roman"/>
          <w:i/>
          <w:iCs/>
        </w:rPr>
        <w:t>Microbiome</w:t>
      </w:r>
      <w:r w:rsidRPr="00F958EE">
        <w:rPr>
          <w:rFonts w:ascii="Times New Roman" w:hAnsi="Times New Roman" w:cs="Times New Roman"/>
        </w:rPr>
        <w:t>.</w:t>
      </w:r>
      <w:r w:rsidRPr="00F958EE">
        <w:rPr>
          <w:rFonts w:ascii="Times New Roman" w:hAnsi="Times New Roman" w:cs="Times New Roman"/>
        </w:rPr>
        <w:br/>
        <w:t>https://doi.org/10.1186/s40168-018-0401-z</w:t>
      </w:r>
    </w:p>
    <w:p w14:paraId="24456FC6"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Ribeiro MT et al. “Why should I trust you?” Explaining predictions of any classifier. </w:t>
      </w:r>
      <w:r w:rsidRPr="00F958EE">
        <w:rPr>
          <w:rFonts w:ascii="Times New Roman" w:hAnsi="Times New Roman" w:cs="Times New Roman"/>
          <w:i/>
          <w:iCs/>
        </w:rPr>
        <w:t>KDD</w:t>
      </w:r>
      <w:r w:rsidRPr="00F958EE">
        <w:rPr>
          <w:rFonts w:ascii="Times New Roman" w:hAnsi="Times New Roman" w:cs="Times New Roman"/>
        </w:rPr>
        <w:t>.</w:t>
      </w:r>
      <w:r w:rsidRPr="00F958EE">
        <w:rPr>
          <w:rFonts w:ascii="Times New Roman" w:hAnsi="Times New Roman" w:cs="Times New Roman"/>
        </w:rPr>
        <w:br/>
      </w:r>
      <w:hyperlink r:id="rId12" w:tgtFrame="_new" w:history="1">
        <w:r w:rsidRPr="00F958EE">
          <w:rPr>
            <w:rStyle w:val="Hyperlink"/>
            <w:rFonts w:ascii="Times New Roman" w:hAnsi="Times New Roman" w:cs="Times New Roman"/>
          </w:rPr>
          <w:t>https://doi.org/10.1145/2939672.2939778</w:t>
        </w:r>
      </w:hyperlink>
    </w:p>
    <w:p w14:paraId="16DDB675"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Rajkomar A et al. Scalable and accurate deep learning with electronic health records. </w:t>
      </w:r>
      <w:r w:rsidRPr="00F958EE">
        <w:rPr>
          <w:rFonts w:ascii="Times New Roman" w:hAnsi="Times New Roman" w:cs="Times New Roman"/>
          <w:i/>
          <w:iCs/>
        </w:rPr>
        <w:t>npj Digital Medicine</w:t>
      </w:r>
      <w:r w:rsidRPr="00F958EE">
        <w:rPr>
          <w:rFonts w:ascii="Times New Roman" w:hAnsi="Times New Roman" w:cs="Times New Roman"/>
        </w:rPr>
        <w:t>.</w:t>
      </w:r>
      <w:r w:rsidRPr="00F958EE">
        <w:rPr>
          <w:rFonts w:ascii="Times New Roman" w:hAnsi="Times New Roman" w:cs="Times New Roman"/>
        </w:rPr>
        <w:br/>
      </w:r>
      <w:hyperlink r:id="rId13" w:tgtFrame="_new" w:history="1">
        <w:r w:rsidRPr="00F958EE">
          <w:rPr>
            <w:rStyle w:val="Hyperlink"/>
            <w:rFonts w:ascii="Times New Roman" w:hAnsi="Times New Roman" w:cs="Times New Roman"/>
          </w:rPr>
          <w:t>https://doi.org/10.1038/s41746-018-0029-1</w:t>
        </w:r>
      </w:hyperlink>
    </w:p>
    <w:p w14:paraId="52AD55F8"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Tacconelli E et al. Surveillance for control of antimicrobial resistance. </w:t>
      </w:r>
      <w:r w:rsidRPr="00F958EE">
        <w:rPr>
          <w:rFonts w:ascii="Times New Roman" w:hAnsi="Times New Roman" w:cs="Times New Roman"/>
          <w:i/>
          <w:iCs/>
        </w:rPr>
        <w:t>Clinical Microbiology and Infection</w:t>
      </w:r>
      <w:r w:rsidRPr="00F958EE">
        <w:rPr>
          <w:rFonts w:ascii="Times New Roman" w:hAnsi="Times New Roman" w:cs="Times New Roman"/>
        </w:rPr>
        <w:t>.</w:t>
      </w:r>
      <w:r w:rsidRPr="00F958EE">
        <w:rPr>
          <w:rFonts w:ascii="Times New Roman" w:hAnsi="Times New Roman" w:cs="Times New Roman"/>
        </w:rPr>
        <w:br/>
        <w:t>https://doi.org/10.1016/j.cmi.2017.09.011</w:t>
      </w:r>
    </w:p>
    <w:p w14:paraId="5EC7FAC6"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Didelot X et al. Genomic infectious disease epidemiology. </w:t>
      </w:r>
      <w:r w:rsidRPr="00F958EE">
        <w:rPr>
          <w:rFonts w:ascii="Times New Roman" w:hAnsi="Times New Roman" w:cs="Times New Roman"/>
          <w:i/>
          <w:iCs/>
        </w:rPr>
        <w:t>Nature Reviews Genetics</w:t>
      </w:r>
      <w:r w:rsidRPr="00F958EE">
        <w:rPr>
          <w:rFonts w:ascii="Times New Roman" w:hAnsi="Times New Roman" w:cs="Times New Roman"/>
        </w:rPr>
        <w:t>.</w:t>
      </w:r>
      <w:r w:rsidRPr="00F958EE">
        <w:rPr>
          <w:rFonts w:ascii="Times New Roman" w:hAnsi="Times New Roman" w:cs="Times New Roman"/>
        </w:rPr>
        <w:br/>
        <w:t>https://doi.org/10.1038/nrg.2016.86</w:t>
      </w:r>
    </w:p>
    <w:p w14:paraId="38EC60D6"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Klein EY et al. Global increase and geographic convergence in antibiotic consumption. </w:t>
      </w:r>
      <w:r w:rsidRPr="00F958EE">
        <w:rPr>
          <w:rFonts w:ascii="Times New Roman" w:hAnsi="Times New Roman" w:cs="Times New Roman"/>
          <w:i/>
          <w:iCs/>
        </w:rPr>
        <w:t>PNAS</w:t>
      </w:r>
      <w:r w:rsidRPr="00F958EE">
        <w:rPr>
          <w:rFonts w:ascii="Times New Roman" w:hAnsi="Times New Roman" w:cs="Times New Roman"/>
        </w:rPr>
        <w:t>.</w:t>
      </w:r>
      <w:r w:rsidRPr="00F958EE">
        <w:rPr>
          <w:rFonts w:ascii="Times New Roman" w:hAnsi="Times New Roman" w:cs="Times New Roman"/>
        </w:rPr>
        <w:br/>
      </w:r>
      <w:hyperlink r:id="rId14" w:tgtFrame="_new" w:history="1">
        <w:r w:rsidRPr="00F958EE">
          <w:rPr>
            <w:rStyle w:val="Hyperlink"/>
            <w:rFonts w:ascii="Times New Roman" w:hAnsi="Times New Roman" w:cs="Times New Roman"/>
          </w:rPr>
          <w:t>https://doi.org/10.1073/pnas.1717295115</w:t>
        </w:r>
      </w:hyperlink>
    </w:p>
    <w:p w14:paraId="5F4BC297"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Yelin I et al. Personal clinical history predicts antibiotic resistance. </w:t>
      </w:r>
      <w:r w:rsidRPr="00F958EE">
        <w:rPr>
          <w:rFonts w:ascii="Times New Roman" w:hAnsi="Times New Roman" w:cs="Times New Roman"/>
          <w:i/>
          <w:iCs/>
        </w:rPr>
        <w:t>Nature Medicine</w:t>
      </w:r>
      <w:r w:rsidRPr="00F958EE">
        <w:rPr>
          <w:rFonts w:ascii="Times New Roman" w:hAnsi="Times New Roman" w:cs="Times New Roman"/>
        </w:rPr>
        <w:t>.</w:t>
      </w:r>
      <w:r w:rsidRPr="00F958EE">
        <w:rPr>
          <w:rFonts w:ascii="Times New Roman" w:hAnsi="Times New Roman" w:cs="Times New Roman"/>
        </w:rPr>
        <w:br/>
        <w:t>https://doi.org/10.1038/s41591-019-0533-8</w:t>
      </w:r>
    </w:p>
    <w:p w14:paraId="7874F451"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Kanj SS, Kanafani ZA. Current concepts in antimicrobial resistance. </w:t>
      </w:r>
      <w:r w:rsidRPr="00F958EE">
        <w:rPr>
          <w:rFonts w:ascii="Times New Roman" w:hAnsi="Times New Roman" w:cs="Times New Roman"/>
          <w:i/>
          <w:iCs/>
        </w:rPr>
        <w:t>Infectious Disease Clinics</w:t>
      </w:r>
      <w:r w:rsidRPr="00F958EE">
        <w:rPr>
          <w:rFonts w:ascii="Times New Roman" w:hAnsi="Times New Roman" w:cs="Times New Roman"/>
        </w:rPr>
        <w:t>.</w:t>
      </w:r>
      <w:r w:rsidRPr="00F958EE">
        <w:rPr>
          <w:rFonts w:ascii="Times New Roman" w:hAnsi="Times New Roman" w:cs="Times New Roman"/>
        </w:rPr>
        <w:br/>
        <w:t>https://doi.org/10.1016/j.idc.2011.05.007</w:t>
      </w:r>
    </w:p>
    <w:p w14:paraId="39CDC2FC"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lastRenderedPageBreak/>
        <w:t xml:space="preserve">Rawson TM et al. Machine learning for antimicrobial resistance prediction. </w:t>
      </w:r>
      <w:r w:rsidRPr="00F958EE">
        <w:rPr>
          <w:rFonts w:ascii="Times New Roman" w:hAnsi="Times New Roman" w:cs="Times New Roman"/>
          <w:i/>
          <w:iCs/>
        </w:rPr>
        <w:t>Clinical Infectious Diseases</w:t>
      </w:r>
      <w:r w:rsidRPr="00F958EE">
        <w:rPr>
          <w:rFonts w:ascii="Times New Roman" w:hAnsi="Times New Roman" w:cs="Times New Roman"/>
        </w:rPr>
        <w:t>.</w:t>
      </w:r>
      <w:r w:rsidRPr="00F958EE">
        <w:rPr>
          <w:rFonts w:ascii="Times New Roman" w:hAnsi="Times New Roman" w:cs="Times New Roman"/>
        </w:rPr>
        <w:br/>
        <w:t>https://doi.org/10.1093/cid/ciaa1573</w:t>
      </w:r>
    </w:p>
    <w:p w14:paraId="25BE0541"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Ting DSW et al. Artificial intelligence and deep learning in medicine. </w:t>
      </w:r>
      <w:r w:rsidRPr="00F958EE">
        <w:rPr>
          <w:rFonts w:ascii="Times New Roman" w:hAnsi="Times New Roman" w:cs="Times New Roman"/>
          <w:i/>
          <w:iCs/>
        </w:rPr>
        <w:t>The Lancet Digital Health</w:t>
      </w:r>
      <w:r w:rsidRPr="00F958EE">
        <w:rPr>
          <w:rFonts w:ascii="Times New Roman" w:hAnsi="Times New Roman" w:cs="Times New Roman"/>
        </w:rPr>
        <w:t>.</w:t>
      </w:r>
      <w:r w:rsidRPr="00F958EE">
        <w:rPr>
          <w:rFonts w:ascii="Times New Roman" w:hAnsi="Times New Roman" w:cs="Times New Roman"/>
        </w:rPr>
        <w:br/>
        <w:t>https://doi.org/10.1016/S2589-7500(19)30154-2</w:t>
      </w:r>
    </w:p>
    <w:p w14:paraId="05DC61F0" w14:textId="77777777" w:rsidR="00B21112" w:rsidRPr="00C80503" w:rsidRDefault="00B21112" w:rsidP="00B21112">
      <w:pPr>
        <w:numPr>
          <w:ilvl w:val="0"/>
          <w:numId w:val="5"/>
        </w:numPr>
        <w:jc w:val="both"/>
        <w:rPr>
          <w:rFonts w:ascii="Times New Roman" w:hAnsi="Times New Roman" w:cs="Times New Roman"/>
          <w:lang w:val="fr-FR"/>
        </w:rPr>
      </w:pPr>
      <w:r w:rsidRPr="00F958EE">
        <w:rPr>
          <w:rFonts w:ascii="Times New Roman" w:hAnsi="Times New Roman" w:cs="Times New Roman"/>
        </w:rPr>
        <w:t xml:space="preserve">Komorowski M et al. AI in intensive care medicine. </w:t>
      </w:r>
      <w:r w:rsidRPr="00C80503">
        <w:rPr>
          <w:rFonts w:ascii="Times New Roman" w:hAnsi="Times New Roman" w:cs="Times New Roman"/>
          <w:i/>
          <w:iCs/>
          <w:lang w:val="fr-FR"/>
        </w:rPr>
        <w:t>Nature Medicine</w:t>
      </w:r>
      <w:r w:rsidRPr="00C80503">
        <w:rPr>
          <w:rFonts w:ascii="Times New Roman" w:hAnsi="Times New Roman" w:cs="Times New Roman"/>
          <w:lang w:val="fr-FR"/>
        </w:rPr>
        <w:t>.</w:t>
      </w:r>
      <w:r w:rsidRPr="00C80503">
        <w:rPr>
          <w:rFonts w:ascii="Times New Roman" w:hAnsi="Times New Roman" w:cs="Times New Roman"/>
          <w:lang w:val="fr-FR"/>
        </w:rPr>
        <w:br/>
        <w:t>https://doi.org/10.1038/s41591-018-0216-3</w:t>
      </w:r>
    </w:p>
    <w:p w14:paraId="72A5E710" w14:textId="77777777" w:rsidR="00B21112" w:rsidRPr="00F958EE" w:rsidRDefault="00B21112" w:rsidP="00B21112">
      <w:pPr>
        <w:numPr>
          <w:ilvl w:val="0"/>
          <w:numId w:val="5"/>
        </w:numPr>
        <w:jc w:val="both"/>
        <w:rPr>
          <w:rFonts w:ascii="Times New Roman" w:hAnsi="Times New Roman" w:cs="Times New Roman"/>
        </w:rPr>
      </w:pPr>
      <w:r w:rsidRPr="00C80503">
        <w:rPr>
          <w:rFonts w:ascii="Times New Roman" w:hAnsi="Times New Roman" w:cs="Times New Roman"/>
          <w:lang w:val="fr-FR"/>
        </w:rPr>
        <w:t xml:space="preserve">Peiffer-Smadja N et al. </w:t>
      </w:r>
      <w:r w:rsidRPr="00F958EE">
        <w:rPr>
          <w:rFonts w:ascii="Times New Roman" w:hAnsi="Times New Roman" w:cs="Times New Roman"/>
        </w:rPr>
        <w:t xml:space="preserve">Machine learning for antimicrobial stewardship. </w:t>
      </w:r>
      <w:r w:rsidRPr="00F958EE">
        <w:rPr>
          <w:rFonts w:ascii="Times New Roman" w:hAnsi="Times New Roman" w:cs="Times New Roman"/>
          <w:i/>
          <w:iCs/>
        </w:rPr>
        <w:t>Clinical Microbiology and Infection</w:t>
      </w:r>
      <w:r w:rsidRPr="00F958EE">
        <w:rPr>
          <w:rFonts w:ascii="Times New Roman" w:hAnsi="Times New Roman" w:cs="Times New Roman"/>
        </w:rPr>
        <w:t>.</w:t>
      </w:r>
      <w:r w:rsidRPr="00F958EE">
        <w:rPr>
          <w:rFonts w:ascii="Times New Roman" w:hAnsi="Times New Roman" w:cs="Times New Roman"/>
        </w:rPr>
        <w:br/>
        <w:t>https://doi.org/10.1016/j.cmi.2020.08.012</w:t>
      </w:r>
    </w:p>
    <w:p w14:paraId="619E3776" w14:textId="77777777" w:rsidR="00B21112" w:rsidRPr="00C80503" w:rsidRDefault="00B21112" w:rsidP="00B21112">
      <w:pPr>
        <w:numPr>
          <w:ilvl w:val="0"/>
          <w:numId w:val="5"/>
        </w:numPr>
        <w:jc w:val="both"/>
        <w:rPr>
          <w:rFonts w:ascii="Times New Roman" w:hAnsi="Times New Roman" w:cs="Times New Roman"/>
          <w:lang w:val="fr-FR"/>
        </w:rPr>
      </w:pPr>
      <w:r w:rsidRPr="00F958EE">
        <w:rPr>
          <w:rFonts w:ascii="Times New Roman" w:hAnsi="Times New Roman" w:cs="Times New Roman"/>
        </w:rPr>
        <w:t xml:space="preserve">Topol EJ. Deep medicine: AI in healthcare. </w:t>
      </w:r>
      <w:r w:rsidRPr="00C80503">
        <w:rPr>
          <w:rFonts w:ascii="Times New Roman" w:hAnsi="Times New Roman" w:cs="Times New Roman"/>
          <w:i/>
          <w:iCs/>
          <w:lang w:val="fr-FR"/>
        </w:rPr>
        <w:t>Nature Medicine</w:t>
      </w:r>
      <w:r w:rsidRPr="00C80503">
        <w:rPr>
          <w:rFonts w:ascii="Times New Roman" w:hAnsi="Times New Roman" w:cs="Times New Roman"/>
          <w:lang w:val="fr-FR"/>
        </w:rPr>
        <w:t>.</w:t>
      </w:r>
      <w:r w:rsidRPr="00C80503">
        <w:rPr>
          <w:rFonts w:ascii="Times New Roman" w:hAnsi="Times New Roman" w:cs="Times New Roman"/>
          <w:lang w:val="fr-FR"/>
        </w:rPr>
        <w:br/>
        <w:t>https://doi.org/10.1038/s41591-019-0449-0</w:t>
      </w:r>
    </w:p>
    <w:p w14:paraId="0DC2A461"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Sutton RT et al. An overview of clinical decision support systems. </w:t>
      </w:r>
      <w:r w:rsidRPr="00F958EE">
        <w:rPr>
          <w:rFonts w:ascii="Times New Roman" w:hAnsi="Times New Roman" w:cs="Times New Roman"/>
          <w:i/>
          <w:iCs/>
        </w:rPr>
        <w:t>NPJ Digital Medicine</w:t>
      </w:r>
      <w:r w:rsidRPr="00F958EE">
        <w:rPr>
          <w:rFonts w:ascii="Times New Roman" w:hAnsi="Times New Roman" w:cs="Times New Roman"/>
        </w:rPr>
        <w:t>.</w:t>
      </w:r>
      <w:r w:rsidRPr="00F958EE">
        <w:rPr>
          <w:rFonts w:ascii="Times New Roman" w:hAnsi="Times New Roman" w:cs="Times New Roman"/>
        </w:rPr>
        <w:br/>
      </w:r>
      <w:hyperlink r:id="rId15" w:tgtFrame="_new" w:history="1">
        <w:r w:rsidRPr="00F958EE">
          <w:rPr>
            <w:rStyle w:val="Hyperlink"/>
            <w:rFonts w:ascii="Times New Roman" w:hAnsi="Times New Roman" w:cs="Times New Roman"/>
          </w:rPr>
          <w:t>https://doi.org/10.1038/s41746-020-0221-y</w:t>
        </w:r>
      </w:hyperlink>
    </w:p>
    <w:p w14:paraId="7F28D009"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Bates DW et al. Ten commandments for effective clinical decision support. </w:t>
      </w:r>
      <w:r w:rsidRPr="00F958EE">
        <w:rPr>
          <w:rFonts w:ascii="Times New Roman" w:hAnsi="Times New Roman" w:cs="Times New Roman"/>
          <w:i/>
          <w:iCs/>
        </w:rPr>
        <w:t>Journal of the American Medical Informatics Association</w:t>
      </w:r>
      <w:r w:rsidRPr="00F958EE">
        <w:rPr>
          <w:rFonts w:ascii="Times New Roman" w:hAnsi="Times New Roman" w:cs="Times New Roman"/>
        </w:rPr>
        <w:t>.</w:t>
      </w:r>
      <w:r w:rsidRPr="00F958EE">
        <w:rPr>
          <w:rFonts w:ascii="Times New Roman" w:hAnsi="Times New Roman" w:cs="Times New Roman"/>
        </w:rPr>
        <w:br/>
        <w:t>https://doi.org/10.1136/amiajnl-2014-002659</w:t>
      </w:r>
    </w:p>
    <w:p w14:paraId="5BC1EF51"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Baur D et al. Effect of antibiotic stewardship on resistance. </w:t>
      </w:r>
      <w:r w:rsidRPr="00F958EE">
        <w:rPr>
          <w:rFonts w:ascii="Times New Roman" w:hAnsi="Times New Roman" w:cs="Times New Roman"/>
          <w:i/>
          <w:iCs/>
        </w:rPr>
        <w:t>The Lancet Infectious Diseases</w:t>
      </w:r>
      <w:r w:rsidRPr="00F958EE">
        <w:rPr>
          <w:rFonts w:ascii="Times New Roman" w:hAnsi="Times New Roman" w:cs="Times New Roman"/>
        </w:rPr>
        <w:t>.</w:t>
      </w:r>
      <w:r w:rsidRPr="00F958EE">
        <w:rPr>
          <w:rFonts w:ascii="Times New Roman" w:hAnsi="Times New Roman" w:cs="Times New Roman"/>
        </w:rPr>
        <w:br/>
        <w:t>https://doi.org/10.1016/S1473-3099(17)30325-0</w:t>
      </w:r>
    </w:p>
    <w:p w14:paraId="3A06CE9E" w14:textId="77777777" w:rsidR="00B21112" w:rsidRPr="00F87365" w:rsidRDefault="00B21112" w:rsidP="00B21112">
      <w:pPr>
        <w:numPr>
          <w:ilvl w:val="0"/>
          <w:numId w:val="5"/>
        </w:numPr>
        <w:jc w:val="both"/>
        <w:rPr>
          <w:rFonts w:ascii="Times New Roman" w:hAnsi="Times New Roman" w:cs="Times New Roman"/>
          <w:lang w:val="es-US"/>
        </w:rPr>
      </w:pPr>
      <w:r w:rsidRPr="00F958EE">
        <w:rPr>
          <w:rFonts w:ascii="Times New Roman" w:hAnsi="Times New Roman" w:cs="Times New Roman"/>
        </w:rPr>
        <w:t xml:space="preserve">Sendak MP et al. Real-world integration of AI in sepsis care. </w:t>
      </w:r>
      <w:r w:rsidRPr="00F87365">
        <w:rPr>
          <w:rFonts w:ascii="Times New Roman" w:hAnsi="Times New Roman" w:cs="Times New Roman"/>
          <w:i/>
          <w:iCs/>
          <w:lang w:val="es-US"/>
        </w:rPr>
        <w:t>NPJ Digital Medicine</w:t>
      </w:r>
      <w:r w:rsidRPr="00F87365">
        <w:rPr>
          <w:rFonts w:ascii="Times New Roman" w:hAnsi="Times New Roman" w:cs="Times New Roman"/>
          <w:lang w:val="es-US"/>
        </w:rPr>
        <w:t>.</w:t>
      </w:r>
      <w:r w:rsidRPr="00F87365">
        <w:rPr>
          <w:rFonts w:ascii="Times New Roman" w:hAnsi="Times New Roman" w:cs="Times New Roman"/>
          <w:lang w:val="es-US"/>
        </w:rPr>
        <w:br/>
        <w:t>https://doi.org/10.1038/s41746-020-0240-8</w:t>
      </w:r>
    </w:p>
    <w:p w14:paraId="32315539"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Wiens J et al. Do no harm: a roadmap for responsible machine learning in healthcare. </w:t>
      </w:r>
      <w:r w:rsidRPr="00F958EE">
        <w:rPr>
          <w:rFonts w:ascii="Times New Roman" w:hAnsi="Times New Roman" w:cs="Times New Roman"/>
          <w:i/>
          <w:iCs/>
        </w:rPr>
        <w:t>Nature Medicine</w:t>
      </w:r>
      <w:r w:rsidRPr="00F958EE">
        <w:rPr>
          <w:rFonts w:ascii="Times New Roman" w:hAnsi="Times New Roman" w:cs="Times New Roman"/>
        </w:rPr>
        <w:t>.</w:t>
      </w:r>
      <w:r w:rsidRPr="00F958EE">
        <w:rPr>
          <w:rFonts w:ascii="Times New Roman" w:hAnsi="Times New Roman" w:cs="Times New Roman"/>
        </w:rPr>
        <w:br/>
      </w:r>
      <w:hyperlink r:id="rId16" w:tgtFrame="_new" w:history="1">
        <w:r w:rsidRPr="00F958EE">
          <w:rPr>
            <w:rStyle w:val="Hyperlink"/>
            <w:rFonts w:ascii="Times New Roman" w:hAnsi="Times New Roman" w:cs="Times New Roman"/>
          </w:rPr>
          <w:t>https://doi.org/10.1038/s41591-019-0548-6</w:t>
        </w:r>
      </w:hyperlink>
    </w:p>
    <w:p w14:paraId="299F2CAC"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Beam AL, Kohane IS. Big data and machine learning in healthcare. </w:t>
      </w:r>
      <w:r w:rsidRPr="00F958EE">
        <w:rPr>
          <w:rFonts w:ascii="Times New Roman" w:hAnsi="Times New Roman" w:cs="Times New Roman"/>
          <w:i/>
          <w:iCs/>
        </w:rPr>
        <w:t>JAMA</w:t>
      </w:r>
      <w:r w:rsidRPr="00F958EE">
        <w:rPr>
          <w:rFonts w:ascii="Times New Roman" w:hAnsi="Times New Roman" w:cs="Times New Roman"/>
        </w:rPr>
        <w:t>.</w:t>
      </w:r>
      <w:r w:rsidRPr="00F958EE">
        <w:rPr>
          <w:rFonts w:ascii="Times New Roman" w:hAnsi="Times New Roman" w:cs="Times New Roman"/>
        </w:rPr>
        <w:br/>
      </w:r>
      <w:hyperlink r:id="rId17" w:tgtFrame="_new" w:history="1">
        <w:r w:rsidRPr="00F958EE">
          <w:rPr>
            <w:rStyle w:val="Hyperlink"/>
            <w:rFonts w:ascii="Times New Roman" w:hAnsi="Times New Roman" w:cs="Times New Roman"/>
          </w:rPr>
          <w:t>https://doi.org/10.1001/jama.2017.18391</w:t>
        </w:r>
      </w:hyperlink>
    </w:p>
    <w:p w14:paraId="5A818877" w14:textId="77777777" w:rsidR="00B21112" w:rsidRPr="00F958EE" w:rsidRDefault="00B21112" w:rsidP="00B21112">
      <w:pPr>
        <w:numPr>
          <w:ilvl w:val="0"/>
          <w:numId w:val="5"/>
        </w:numPr>
        <w:jc w:val="both"/>
        <w:rPr>
          <w:rFonts w:ascii="Times New Roman" w:hAnsi="Times New Roman" w:cs="Times New Roman"/>
        </w:rPr>
      </w:pPr>
      <w:r w:rsidRPr="00F958EE">
        <w:rPr>
          <w:rFonts w:ascii="Times New Roman" w:hAnsi="Times New Roman" w:cs="Times New Roman"/>
        </w:rPr>
        <w:t xml:space="preserve">Shortliffe EH, Sepúlveda MJ. Clinical decision support in the era of AI. </w:t>
      </w:r>
      <w:r w:rsidRPr="00F958EE">
        <w:rPr>
          <w:rFonts w:ascii="Times New Roman" w:hAnsi="Times New Roman" w:cs="Times New Roman"/>
          <w:i/>
          <w:iCs/>
        </w:rPr>
        <w:t>JAMA</w:t>
      </w:r>
      <w:r w:rsidRPr="00F958EE">
        <w:rPr>
          <w:rFonts w:ascii="Times New Roman" w:hAnsi="Times New Roman" w:cs="Times New Roman"/>
        </w:rPr>
        <w:t>.</w:t>
      </w:r>
      <w:r w:rsidRPr="00F958EE">
        <w:rPr>
          <w:rFonts w:ascii="Times New Roman" w:hAnsi="Times New Roman" w:cs="Times New Roman"/>
        </w:rPr>
        <w:br/>
      </w:r>
      <w:hyperlink r:id="rId18" w:tgtFrame="_new" w:history="1">
        <w:r w:rsidRPr="00F958EE">
          <w:rPr>
            <w:rStyle w:val="Hyperlink"/>
            <w:rFonts w:ascii="Times New Roman" w:hAnsi="Times New Roman" w:cs="Times New Roman"/>
          </w:rPr>
          <w:t>https://doi.org/10.1001/jama.2018.17163</w:t>
        </w:r>
      </w:hyperlink>
    </w:p>
    <w:p w14:paraId="365D3019" w14:textId="77777777" w:rsidR="00B21112" w:rsidRPr="00C80503" w:rsidRDefault="00B21112" w:rsidP="00B21112">
      <w:pPr>
        <w:numPr>
          <w:ilvl w:val="0"/>
          <w:numId w:val="5"/>
        </w:numPr>
        <w:jc w:val="both"/>
        <w:rPr>
          <w:rFonts w:ascii="Times New Roman" w:hAnsi="Times New Roman" w:cs="Times New Roman"/>
          <w:lang w:val="fr-FR"/>
        </w:rPr>
      </w:pPr>
      <w:r w:rsidRPr="00F958EE">
        <w:rPr>
          <w:rFonts w:ascii="Times New Roman" w:hAnsi="Times New Roman" w:cs="Times New Roman"/>
        </w:rPr>
        <w:t xml:space="preserve">Price WN, Cohen IG. Privacy in the age of medical big data. </w:t>
      </w:r>
      <w:r w:rsidRPr="00C80503">
        <w:rPr>
          <w:rFonts w:ascii="Times New Roman" w:hAnsi="Times New Roman" w:cs="Times New Roman"/>
          <w:i/>
          <w:iCs/>
          <w:lang w:val="fr-FR"/>
        </w:rPr>
        <w:t>Nature Medicine</w:t>
      </w:r>
      <w:r w:rsidRPr="00C80503">
        <w:rPr>
          <w:rFonts w:ascii="Times New Roman" w:hAnsi="Times New Roman" w:cs="Times New Roman"/>
          <w:lang w:val="fr-FR"/>
        </w:rPr>
        <w:t>.</w:t>
      </w:r>
      <w:r w:rsidRPr="00C80503">
        <w:rPr>
          <w:rFonts w:ascii="Times New Roman" w:hAnsi="Times New Roman" w:cs="Times New Roman"/>
          <w:lang w:val="fr-FR"/>
        </w:rPr>
        <w:br/>
        <w:t>https://doi.org/10.1038/nm.3873</w:t>
      </w:r>
    </w:p>
    <w:p w14:paraId="300AF404" w14:textId="77777777" w:rsidR="00B21112" w:rsidRPr="00E55DF8" w:rsidRDefault="00B21112" w:rsidP="00B21112">
      <w:pPr>
        <w:numPr>
          <w:ilvl w:val="0"/>
          <w:numId w:val="5"/>
        </w:numPr>
        <w:jc w:val="both"/>
        <w:rPr>
          <w:rFonts w:ascii="Times New Roman" w:hAnsi="Times New Roman" w:cs="Times New Roman"/>
        </w:rPr>
      </w:pPr>
      <w:r w:rsidRPr="00E55DF8">
        <w:rPr>
          <w:rFonts w:ascii="Times New Roman" w:hAnsi="Times New Roman" w:cs="Times New Roman"/>
        </w:rPr>
        <w:t xml:space="preserve">Reddy KS et al. Health system challenges in India. </w:t>
      </w:r>
      <w:r w:rsidRPr="00E55DF8">
        <w:rPr>
          <w:rFonts w:ascii="Times New Roman" w:hAnsi="Times New Roman" w:cs="Times New Roman"/>
          <w:i/>
          <w:iCs/>
        </w:rPr>
        <w:t>The Lancet</w:t>
      </w:r>
      <w:r w:rsidRPr="00E55DF8">
        <w:rPr>
          <w:rFonts w:ascii="Times New Roman" w:hAnsi="Times New Roman" w:cs="Times New Roman"/>
        </w:rPr>
        <w:t>.</w:t>
      </w:r>
      <w:r w:rsidRPr="00E55DF8">
        <w:rPr>
          <w:rFonts w:ascii="Times New Roman" w:hAnsi="Times New Roman" w:cs="Times New Roman"/>
        </w:rPr>
        <w:br/>
        <w:t>https://doi.org/10.1016/S0140-6736(11)61408-5</w:t>
      </w:r>
    </w:p>
    <w:p w14:paraId="2F401B7D" w14:textId="77777777" w:rsidR="00B21112" w:rsidRPr="00E55DF8" w:rsidRDefault="00B21112" w:rsidP="00B21112">
      <w:pPr>
        <w:numPr>
          <w:ilvl w:val="0"/>
          <w:numId w:val="5"/>
        </w:numPr>
        <w:jc w:val="both"/>
        <w:rPr>
          <w:rFonts w:ascii="Times New Roman" w:hAnsi="Times New Roman" w:cs="Times New Roman"/>
        </w:rPr>
      </w:pPr>
      <w:r w:rsidRPr="00E55DF8">
        <w:rPr>
          <w:rFonts w:ascii="Times New Roman" w:hAnsi="Times New Roman" w:cs="Times New Roman"/>
        </w:rPr>
        <w:lastRenderedPageBreak/>
        <w:t xml:space="preserve">Laxminarayan R et al. Antibiotic resistance—the need for global solutions. </w:t>
      </w:r>
      <w:r w:rsidRPr="00E55DF8">
        <w:rPr>
          <w:rFonts w:ascii="Times New Roman" w:hAnsi="Times New Roman" w:cs="Times New Roman"/>
          <w:i/>
          <w:iCs/>
        </w:rPr>
        <w:t>The Lancet Infectious Diseases</w:t>
      </w:r>
      <w:r w:rsidRPr="00E55DF8">
        <w:rPr>
          <w:rFonts w:ascii="Times New Roman" w:hAnsi="Times New Roman" w:cs="Times New Roman"/>
        </w:rPr>
        <w:t>.</w:t>
      </w:r>
      <w:r w:rsidRPr="00E55DF8">
        <w:rPr>
          <w:rFonts w:ascii="Times New Roman" w:hAnsi="Times New Roman" w:cs="Times New Roman"/>
        </w:rPr>
        <w:br/>
        <w:t>https://doi.org/10.1016/S1473-3099(13)70318-9</w:t>
      </w:r>
    </w:p>
    <w:p w14:paraId="496B62AD" w14:textId="77777777" w:rsidR="00B21112" w:rsidRPr="00E55DF8" w:rsidRDefault="00B21112" w:rsidP="00B21112">
      <w:pPr>
        <w:numPr>
          <w:ilvl w:val="0"/>
          <w:numId w:val="5"/>
        </w:numPr>
        <w:jc w:val="both"/>
        <w:rPr>
          <w:rFonts w:ascii="Times New Roman" w:hAnsi="Times New Roman" w:cs="Times New Roman"/>
        </w:rPr>
      </w:pPr>
      <w:r w:rsidRPr="00E55DF8">
        <w:rPr>
          <w:rFonts w:ascii="Times New Roman" w:hAnsi="Times New Roman" w:cs="Times New Roman"/>
        </w:rPr>
        <w:t xml:space="preserve">Kotwani A et al. Antibiotic use and misuse in India. </w:t>
      </w:r>
      <w:r w:rsidRPr="00E55DF8">
        <w:rPr>
          <w:rFonts w:ascii="Times New Roman" w:hAnsi="Times New Roman" w:cs="Times New Roman"/>
          <w:i/>
          <w:iCs/>
        </w:rPr>
        <w:t>BMJ Global Health</w:t>
      </w:r>
      <w:r w:rsidRPr="00E55DF8">
        <w:rPr>
          <w:rFonts w:ascii="Times New Roman" w:hAnsi="Times New Roman" w:cs="Times New Roman"/>
        </w:rPr>
        <w:t>.</w:t>
      </w:r>
      <w:r w:rsidRPr="00E55DF8">
        <w:rPr>
          <w:rFonts w:ascii="Times New Roman" w:hAnsi="Times New Roman" w:cs="Times New Roman"/>
        </w:rPr>
        <w:br/>
        <w:t>https://doi.org/10.1136/bmjgh-2016-000118</w:t>
      </w:r>
    </w:p>
    <w:p w14:paraId="37B55FA3" w14:textId="77777777" w:rsidR="00B21112" w:rsidRPr="00E55DF8" w:rsidRDefault="00B21112" w:rsidP="00B21112">
      <w:pPr>
        <w:numPr>
          <w:ilvl w:val="0"/>
          <w:numId w:val="5"/>
        </w:numPr>
        <w:jc w:val="both"/>
        <w:rPr>
          <w:rFonts w:ascii="Times New Roman" w:hAnsi="Times New Roman" w:cs="Times New Roman"/>
        </w:rPr>
      </w:pPr>
      <w:r w:rsidRPr="00E55DF8">
        <w:rPr>
          <w:rFonts w:ascii="Times New Roman" w:hAnsi="Times New Roman" w:cs="Times New Roman"/>
        </w:rPr>
        <w:t xml:space="preserve">Collins GS et al. Reporting guidelines for prediction models (TRIPOD). </w:t>
      </w:r>
      <w:r w:rsidRPr="00E55DF8">
        <w:rPr>
          <w:rFonts w:ascii="Times New Roman" w:hAnsi="Times New Roman" w:cs="Times New Roman"/>
          <w:i/>
          <w:iCs/>
        </w:rPr>
        <w:t>Annals of Internal Medicine</w:t>
      </w:r>
      <w:r w:rsidRPr="00E55DF8">
        <w:rPr>
          <w:rFonts w:ascii="Times New Roman" w:hAnsi="Times New Roman" w:cs="Times New Roman"/>
        </w:rPr>
        <w:t>.</w:t>
      </w:r>
      <w:r w:rsidRPr="00E55DF8">
        <w:rPr>
          <w:rFonts w:ascii="Times New Roman" w:hAnsi="Times New Roman" w:cs="Times New Roman"/>
        </w:rPr>
        <w:br/>
      </w:r>
      <w:hyperlink r:id="rId19" w:tgtFrame="_new" w:history="1">
        <w:r w:rsidRPr="00E55DF8">
          <w:rPr>
            <w:rStyle w:val="Hyperlink"/>
            <w:rFonts w:ascii="Times New Roman" w:hAnsi="Times New Roman" w:cs="Times New Roman"/>
          </w:rPr>
          <w:t>https://doi.org/10.7326/M14-0697</w:t>
        </w:r>
      </w:hyperlink>
    </w:p>
    <w:p w14:paraId="4422D36C" w14:textId="77777777" w:rsidR="00B21112" w:rsidRDefault="00B21112" w:rsidP="00B21112"/>
    <w:p w14:paraId="266B9645" w14:textId="77777777" w:rsidR="00B21112" w:rsidRDefault="00B21112" w:rsidP="006021A0">
      <w:pPr>
        <w:rPr>
          <w:rFonts w:ascii="Times New Roman" w:hAnsi="Times New Roman" w:cs="Times New Roman"/>
          <w:b/>
          <w:bCs/>
        </w:rPr>
      </w:pPr>
    </w:p>
    <w:sectPr w:rsidR="00B2111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835BE" w14:textId="77777777" w:rsidR="0053282A" w:rsidRDefault="0053282A" w:rsidP="004245C0">
      <w:pPr>
        <w:spacing w:after="0" w:line="240" w:lineRule="auto"/>
      </w:pPr>
      <w:r>
        <w:separator/>
      </w:r>
    </w:p>
  </w:endnote>
  <w:endnote w:type="continuationSeparator" w:id="0">
    <w:p w14:paraId="692D1052" w14:textId="77777777" w:rsidR="0053282A" w:rsidRDefault="0053282A" w:rsidP="00424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C544" w14:textId="77777777" w:rsidR="004245C0" w:rsidRDefault="00424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F240" w14:textId="77777777" w:rsidR="004245C0" w:rsidRDefault="00424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4198" w14:textId="77777777" w:rsidR="004245C0" w:rsidRDefault="00424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6CDE" w14:textId="77777777" w:rsidR="0053282A" w:rsidRDefault="0053282A" w:rsidP="004245C0">
      <w:pPr>
        <w:spacing w:after="0" w:line="240" w:lineRule="auto"/>
      </w:pPr>
      <w:r>
        <w:separator/>
      </w:r>
    </w:p>
  </w:footnote>
  <w:footnote w:type="continuationSeparator" w:id="0">
    <w:p w14:paraId="5F33495F" w14:textId="77777777" w:rsidR="0053282A" w:rsidRDefault="0053282A" w:rsidP="00424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A0BC" w14:textId="3DF73700" w:rsidR="004245C0" w:rsidRDefault="00000000">
    <w:pPr>
      <w:pStyle w:val="Header"/>
    </w:pPr>
    <w:r>
      <w:rPr>
        <w:noProof/>
      </w:rPr>
      <w:pict w14:anchorId="37AB3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356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BB1A" w14:textId="01EC0FBB" w:rsidR="004245C0" w:rsidRDefault="00000000">
    <w:pPr>
      <w:pStyle w:val="Header"/>
    </w:pPr>
    <w:r>
      <w:rPr>
        <w:noProof/>
      </w:rPr>
      <w:pict w14:anchorId="0C465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356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903E" w14:textId="3277454D" w:rsidR="004245C0" w:rsidRDefault="00000000">
    <w:pPr>
      <w:pStyle w:val="Header"/>
    </w:pPr>
    <w:r>
      <w:rPr>
        <w:noProof/>
      </w:rPr>
      <w:pict w14:anchorId="79CC6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356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526"/>
    <w:multiLevelType w:val="multilevel"/>
    <w:tmpl w:val="FD6E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854EF"/>
    <w:multiLevelType w:val="hybridMultilevel"/>
    <w:tmpl w:val="6B2A89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E65769"/>
    <w:multiLevelType w:val="multilevel"/>
    <w:tmpl w:val="2408B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B32994"/>
    <w:multiLevelType w:val="multilevel"/>
    <w:tmpl w:val="9DE4D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73A77"/>
    <w:multiLevelType w:val="multilevel"/>
    <w:tmpl w:val="296C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D3175"/>
    <w:multiLevelType w:val="hybridMultilevel"/>
    <w:tmpl w:val="F55ED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FE9126A"/>
    <w:multiLevelType w:val="multilevel"/>
    <w:tmpl w:val="2F34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12139E"/>
    <w:multiLevelType w:val="multilevel"/>
    <w:tmpl w:val="AB4AE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8F5ED2"/>
    <w:multiLevelType w:val="multilevel"/>
    <w:tmpl w:val="E896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323470"/>
    <w:multiLevelType w:val="multilevel"/>
    <w:tmpl w:val="DDAA8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F00CDE"/>
    <w:multiLevelType w:val="hybridMultilevel"/>
    <w:tmpl w:val="989E5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FF34971"/>
    <w:multiLevelType w:val="multilevel"/>
    <w:tmpl w:val="6CD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D65AD2"/>
    <w:multiLevelType w:val="multilevel"/>
    <w:tmpl w:val="0AFCD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1A0FC8"/>
    <w:multiLevelType w:val="multilevel"/>
    <w:tmpl w:val="56A09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BA5959"/>
    <w:multiLevelType w:val="multilevel"/>
    <w:tmpl w:val="D5105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E07833"/>
    <w:multiLevelType w:val="hybridMultilevel"/>
    <w:tmpl w:val="A3AC98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B026071"/>
    <w:multiLevelType w:val="hybridMultilevel"/>
    <w:tmpl w:val="69B239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D1906ED"/>
    <w:multiLevelType w:val="hybridMultilevel"/>
    <w:tmpl w:val="A86EFC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34405101">
    <w:abstractNumId w:val="10"/>
  </w:num>
  <w:num w:numId="2" w16cid:durableId="553586768">
    <w:abstractNumId w:val="16"/>
  </w:num>
  <w:num w:numId="3" w16cid:durableId="1520704786">
    <w:abstractNumId w:val="15"/>
  </w:num>
  <w:num w:numId="4" w16cid:durableId="16004421">
    <w:abstractNumId w:val="5"/>
  </w:num>
  <w:num w:numId="5" w16cid:durableId="1495797817">
    <w:abstractNumId w:val="17"/>
  </w:num>
  <w:num w:numId="6" w16cid:durableId="2015495644">
    <w:abstractNumId w:val="13"/>
  </w:num>
  <w:num w:numId="7" w16cid:durableId="668479926">
    <w:abstractNumId w:val="0"/>
  </w:num>
  <w:num w:numId="8" w16cid:durableId="603344356">
    <w:abstractNumId w:val="12"/>
  </w:num>
  <w:num w:numId="9" w16cid:durableId="1746534958">
    <w:abstractNumId w:val="3"/>
  </w:num>
  <w:num w:numId="10" w16cid:durableId="90706153">
    <w:abstractNumId w:val="4"/>
  </w:num>
  <w:num w:numId="11" w16cid:durableId="1162087083">
    <w:abstractNumId w:val="6"/>
  </w:num>
  <w:num w:numId="12" w16cid:durableId="1177233495">
    <w:abstractNumId w:val="9"/>
  </w:num>
  <w:num w:numId="13" w16cid:durableId="2142262088">
    <w:abstractNumId w:val="7"/>
  </w:num>
  <w:num w:numId="14" w16cid:durableId="171535350">
    <w:abstractNumId w:val="8"/>
  </w:num>
  <w:num w:numId="15" w16cid:durableId="343822293">
    <w:abstractNumId w:val="11"/>
  </w:num>
  <w:num w:numId="16" w16cid:durableId="91704861">
    <w:abstractNumId w:val="1"/>
  </w:num>
  <w:num w:numId="17" w16cid:durableId="627711192">
    <w:abstractNumId w:val="14"/>
  </w:num>
  <w:num w:numId="18" w16cid:durableId="1112355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2NjM2NrQ0MTU3M7NU0lEKTi0uzszPAykwrAUA5DuppywAAAA="/>
  </w:docVars>
  <w:rsids>
    <w:rsidRoot w:val="00855AE4"/>
    <w:rsid w:val="00004FF5"/>
    <w:rsid w:val="00006C1F"/>
    <w:rsid w:val="00025B57"/>
    <w:rsid w:val="000357C9"/>
    <w:rsid w:val="00047CE7"/>
    <w:rsid w:val="0006503B"/>
    <w:rsid w:val="000A5BA7"/>
    <w:rsid w:val="000B5822"/>
    <w:rsid w:val="000E2B75"/>
    <w:rsid w:val="00110FBB"/>
    <w:rsid w:val="00125BD3"/>
    <w:rsid w:val="00167F45"/>
    <w:rsid w:val="001B1E3E"/>
    <w:rsid w:val="001B26DA"/>
    <w:rsid w:val="001B5C10"/>
    <w:rsid w:val="001E0121"/>
    <w:rsid w:val="001E7B26"/>
    <w:rsid w:val="002011D0"/>
    <w:rsid w:val="0021480C"/>
    <w:rsid w:val="002525E2"/>
    <w:rsid w:val="0027530F"/>
    <w:rsid w:val="00276A79"/>
    <w:rsid w:val="00281130"/>
    <w:rsid w:val="002B0E98"/>
    <w:rsid w:val="002B3154"/>
    <w:rsid w:val="002D3449"/>
    <w:rsid w:val="002F7F1C"/>
    <w:rsid w:val="003154D4"/>
    <w:rsid w:val="0035051B"/>
    <w:rsid w:val="00361AAD"/>
    <w:rsid w:val="003C307B"/>
    <w:rsid w:val="003C6C80"/>
    <w:rsid w:val="003C701C"/>
    <w:rsid w:val="003D2423"/>
    <w:rsid w:val="00402BAF"/>
    <w:rsid w:val="00405BC6"/>
    <w:rsid w:val="00410271"/>
    <w:rsid w:val="00410546"/>
    <w:rsid w:val="00415077"/>
    <w:rsid w:val="00420EE1"/>
    <w:rsid w:val="00422370"/>
    <w:rsid w:val="004245C0"/>
    <w:rsid w:val="00451296"/>
    <w:rsid w:val="004734C7"/>
    <w:rsid w:val="004810C8"/>
    <w:rsid w:val="00481769"/>
    <w:rsid w:val="004A4A19"/>
    <w:rsid w:val="004B2544"/>
    <w:rsid w:val="004B2814"/>
    <w:rsid w:val="004D59DD"/>
    <w:rsid w:val="004D651D"/>
    <w:rsid w:val="004F0980"/>
    <w:rsid w:val="00500F1E"/>
    <w:rsid w:val="00512231"/>
    <w:rsid w:val="00515BC7"/>
    <w:rsid w:val="00524A67"/>
    <w:rsid w:val="0053282A"/>
    <w:rsid w:val="00540BB2"/>
    <w:rsid w:val="00545420"/>
    <w:rsid w:val="005622AB"/>
    <w:rsid w:val="00582A59"/>
    <w:rsid w:val="005A73AE"/>
    <w:rsid w:val="005C565E"/>
    <w:rsid w:val="005E2620"/>
    <w:rsid w:val="006021A0"/>
    <w:rsid w:val="00607439"/>
    <w:rsid w:val="006219DB"/>
    <w:rsid w:val="00633E73"/>
    <w:rsid w:val="0069157A"/>
    <w:rsid w:val="006921C9"/>
    <w:rsid w:val="006A6653"/>
    <w:rsid w:val="006C3405"/>
    <w:rsid w:val="006C4134"/>
    <w:rsid w:val="006D160E"/>
    <w:rsid w:val="006D5621"/>
    <w:rsid w:val="006F5BDF"/>
    <w:rsid w:val="00731172"/>
    <w:rsid w:val="007365F5"/>
    <w:rsid w:val="00767AF0"/>
    <w:rsid w:val="007738B9"/>
    <w:rsid w:val="00787FCB"/>
    <w:rsid w:val="0079617F"/>
    <w:rsid w:val="007A4566"/>
    <w:rsid w:val="007E4D16"/>
    <w:rsid w:val="00826CC3"/>
    <w:rsid w:val="00851DE7"/>
    <w:rsid w:val="00853C0D"/>
    <w:rsid w:val="00855AE4"/>
    <w:rsid w:val="00861317"/>
    <w:rsid w:val="00864346"/>
    <w:rsid w:val="00884B51"/>
    <w:rsid w:val="008930A2"/>
    <w:rsid w:val="008A0012"/>
    <w:rsid w:val="008B1467"/>
    <w:rsid w:val="008D0CF4"/>
    <w:rsid w:val="008F6144"/>
    <w:rsid w:val="009139C3"/>
    <w:rsid w:val="00925C7D"/>
    <w:rsid w:val="00943D80"/>
    <w:rsid w:val="0095263A"/>
    <w:rsid w:val="0097454A"/>
    <w:rsid w:val="00975254"/>
    <w:rsid w:val="0099632C"/>
    <w:rsid w:val="009B533B"/>
    <w:rsid w:val="009C2A05"/>
    <w:rsid w:val="009D5B99"/>
    <w:rsid w:val="00A154D8"/>
    <w:rsid w:val="00A1634C"/>
    <w:rsid w:val="00A637D2"/>
    <w:rsid w:val="00AB6BC3"/>
    <w:rsid w:val="00AC73DD"/>
    <w:rsid w:val="00AD276A"/>
    <w:rsid w:val="00AE29C2"/>
    <w:rsid w:val="00B21112"/>
    <w:rsid w:val="00B22D8E"/>
    <w:rsid w:val="00B27531"/>
    <w:rsid w:val="00B50341"/>
    <w:rsid w:val="00B512A3"/>
    <w:rsid w:val="00B57361"/>
    <w:rsid w:val="00B65F2D"/>
    <w:rsid w:val="00B72D25"/>
    <w:rsid w:val="00B845C8"/>
    <w:rsid w:val="00BA6F9F"/>
    <w:rsid w:val="00BA7F25"/>
    <w:rsid w:val="00BE2B20"/>
    <w:rsid w:val="00BE6288"/>
    <w:rsid w:val="00BF7884"/>
    <w:rsid w:val="00C10EC7"/>
    <w:rsid w:val="00C15464"/>
    <w:rsid w:val="00C20F0B"/>
    <w:rsid w:val="00C22D70"/>
    <w:rsid w:val="00C31588"/>
    <w:rsid w:val="00C32E7C"/>
    <w:rsid w:val="00C35A37"/>
    <w:rsid w:val="00C4315F"/>
    <w:rsid w:val="00C753CE"/>
    <w:rsid w:val="00C80503"/>
    <w:rsid w:val="00C934EF"/>
    <w:rsid w:val="00C950E8"/>
    <w:rsid w:val="00CA7EFE"/>
    <w:rsid w:val="00CB1E3D"/>
    <w:rsid w:val="00CB6AAF"/>
    <w:rsid w:val="00CE63F4"/>
    <w:rsid w:val="00D341E8"/>
    <w:rsid w:val="00D7401B"/>
    <w:rsid w:val="00D74791"/>
    <w:rsid w:val="00D9033D"/>
    <w:rsid w:val="00DA0C0D"/>
    <w:rsid w:val="00DC0B74"/>
    <w:rsid w:val="00DC4A16"/>
    <w:rsid w:val="00DC596A"/>
    <w:rsid w:val="00E17494"/>
    <w:rsid w:val="00E23164"/>
    <w:rsid w:val="00E60E34"/>
    <w:rsid w:val="00E637CB"/>
    <w:rsid w:val="00E8066C"/>
    <w:rsid w:val="00E857E7"/>
    <w:rsid w:val="00EE3F88"/>
    <w:rsid w:val="00EF1CDC"/>
    <w:rsid w:val="00EF307B"/>
    <w:rsid w:val="00F02AEB"/>
    <w:rsid w:val="00F0537F"/>
    <w:rsid w:val="00F073A8"/>
    <w:rsid w:val="00F235E3"/>
    <w:rsid w:val="00F26EE4"/>
    <w:rsid w:val="00F61DAE"/>
    <w:rsid w:val="00F87365"/>
    <w:rsid w:val="00FA40F8"/>
    <w:rsid w:val="00FB460B"/>
    <w:rsid w:val="00FB7E36"/>
    <w:rsid w:val="00FD1830"/>
    <w:rsid w:val="00FD7B56"/>
    <w:rsid w:val="00FE1113"/>
    <w:rsid w:val="00FF4D76"/>
    <w:rsid w:val="00FF54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EC54D"/>
  <w15:chartTrackingRefBased/>
  <w15:docId w15:val="{A9418008-AAD5-4267-8739-D17F26EB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65"/>
  </w:style>
  <w:style w:type="paragraph" w:styleId="Heading1">
    <w:name w:val="heading 1"/>
    <w:basedOn w:val="Normal"/>
    <w:next w:val="Normal"/>
    <w:link w:val="Heading1Char"/>
    <w:uiPriority w:val="9"/>
    <w:qFormat/>
    <w:rsid w:val="00855A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5A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5A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5A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5A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5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A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5A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5A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5A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5A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5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AE4"/>
    <w:rPr>
      <w:rFonts w:eastAsiaTheme="majorEastAsia" w:cstheme="majorBidi"/>
      <w:color w:val="272727" w:themeColor="text1" w:themeTint="D8"/>
    </w:rPr>
  </w:style>
  <w:style w:type="paragraph" w:styleId="Title">
    <w:name w:val="Title"/>
    <w:basedOn w:val="Normal"/>
    <w:next w:val="Normal"/>
    <w:link w:val="TitleChar"/>
    <w:uiPriority w:val="10"/>
    <w:qFormat/>
    <w:rsid w:val="00855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AE4"/>
    <w:pPr>
      <w:spacing w:before="160"/>
      <w:jc w:val="center"/>
    </w:pPr>
    <w:rPr>
      <w:i/>
      <w:iCs/>
      <w:color w:val="404040" w:themeColor="text1" w:themeTint="BF"/>
    </w:rPr>
  </w:style>
  <w:style w:type="character" w:customStyle="1" w:styleId="QuoteChar">
    <w:name w:val="Quote Char"/>
    <w:basedOn w:val="DefaultParagraphFont"/>
    <w:link w:val="Quote"/>
    <w:uiPriority w:val="29"/>
    <w:rsid w:val="00855AE4"/>
    <w:rPr>
      <w:i/>
      <w:iCs/>
      <w:color w:val="404040" w:themeColor="text1" w:themeTint="BF"/>
    </w:rPr>
  </w:style>
  <w:style w:type="paragraph" w:styleId="ListParagraph">
    <w:name w:val="List Paragraph"/>
    <w:basedOn w:val="Normal"/>
    <w:uiPriority w:val="34"/>
    <w:qFormat/>
    <w:rsid w:val="00855AE4"/>
    <w:pPr>
      <w:ind w:left="720"/>
      <w:contextualSpacing/>
    </w:pPr>
  </w:style>
  <w:style w:type="character" w:styleId="IntenseEmphasis">
    <w:name w:val="Intense Emphasis"/>
    <w:basedOn w:val="DefaultParagraphFont"/>
    <w:uiPriority w:val="21"/>
    <w:qFormat/>
    <w:rsid w:val="00855AE4"/>
    <w:rPr>
      <w:i/>
      <w:iCs/>
      <w:color w:val="2F5496" w:themeColor="accent1" w:themeShade="BF"/>
    </w:rPr>
  </w:style>
  <w:style w:type="paragraph" w:styleId="IntenseQuote">
    <w:name w:val="Intense Quote"/>
    <w:basedOn w:val="Normal"/>
    <w:next w:val="Normal"/>
    <w:link w:val="IntenseQuoteChar"/>
    <w:uiPriority w:val="30"/>
    <w:qFormat/>
    <w:rsid w:val="00855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5AE4"/>
    <w:rPr>
      <w:i/>
      <w:iCs/>
      <w:color w:val="2F5496" w:themeColor="accent1" w:themeShade="BF"/>
    </w:rPr>
  </w:style>
  <w:style w:type="character" w:styleId="IntenseReference">
    <w:name w:val="Intense Reference"/>
    <w:basedOn w:val="DefaultParagraphFont"/>
    <w:uiPriority w:val="32"/>
    <w:qFormat/>
    <w:rsid w:val="00855AE4"/>
    <w:rPr>
      <w:b/>
      <w:bCs/>
      <w:smallCaps/>
      <w:color w:val="2F5496" w:themeColor="accent1" w:themeShade="BF"/>
      <w:spacing w:val="5"/>
    </w:rPr>
  </w:style>
  <w:style w:type="paragraph" w:styleId="NoSpacing">
    <w:name w:val="No Spacing"/>
    <w:uiPriority w:val="1"/>
    <w:qFormat/>
    <w:rsid w:val="00B72D25"/>
    <w:pPr>
      <w:spacing w:after="0" w:line="240" w:lineRule="auto"/>
    </w:pPr>
  </w:style>
  <w:style w:type="table" w:styleId="TableGrid">
    <w:name w:val="Table Grid"/>
    <w:basedOn w:val="TableNormal"/>
    <w:uiPriority w:val="39"/>
    <w:rsid w:val="00CB6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643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643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021A0"/>
    <w:rPr>
      <w:color w:val="0563C1" w:themeColor="hyperlink"/>
      <w:u w:val="single"/>
    </w:rPr>
  </w:style>
  <w:style w:type="character" w:customStyle="1" w:styleId="UnresolvedMention1">
    <w:name w:val="Unresolved Mention1"/>
    <w:basedOn w:val="DefaultParagraphFont"/>
    <w:uiPriority w:val="99"/>
    <w:semiHidden/>
    <w:unhideWhenUsed/>
    <w:rsid w:val="006021A0"/>
    <w:rPr>
      <w:color w:val="605E5C"/>
      <w:shd w:val="clear" w:color="auto" w:fill="E1DFDD"/>
    </w:rPr>
  </w:style>
  <w:style w:type="paragraph" w:styleId="Header">
    <w:name w:val="header"/>
    <w:basedOn w:val="Normal"/>
    <w:link w:val="HeaderChar"/>
    <w:uiPriority w:val="99"/>
    <w:unhideWhenUsed/>
    <w:rsid w:val="00424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5C0"/>
  </w:style>
  <w:style w:type="paragraph" w:styleId="Footer">
    <w:name w:val="footer"/>
    <w:basedOn w:val="Normal"/>
    <w:link w:val="FooterChar"/>
    <w:uiPriority w:val="99"/>
    <w:unhideWhenUsed/>
    <w:rsid w:val="00424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5C0"/>
  </w:style>
  <w:style w:type="character" w:styleId="CommentReference">
    <w:name w:val="annotation reference"/>
    <w:basedOn w:val="DefaultParagraphFont"/>
    <w:uiPriority w:val="99"/>
    <w:semiHidden/>
    <w:unhideWhenUsed/>
    <w:rsid w:val="00004FF5"/>
    <w:rPr>
      <w:sz w:val="16"/>
      <w:szCs w:val="16"/>
    </w:rPr>
  </w:style>
  <w:style w:type="paragraph" w:styleId="CommentText">
    <w:name w:val="annotation text"/>
    <w:basedOn w:val="Normal"/>
    <w:link w:val="CommentTextChar"/>
    <w:uiPriority w:val="99"/>
    <w:unhideWhenUsed/>
    <w:rsid w:val="00004FF5"/>
    <w:pPr>
      <w:spacing w:line="240" w:lineRule="auto"/>
    </w:pPr>
    <w:rPr>
      <w:sz w:val="20"/>
      <w:szCs w:val="20"/>
    </w:rPr>
  </w:style>
  <w:style w:type="character" w:customStyle="1" w:styleId="CommentTextChar">
    <w:name w:val="Comment Text Char"/>
    <w:basedOn w:val="DefaultParagraphFont"/>
    <w:link w:val="CommentText"/>
    <w:uiPriority w:val="99"/>
    <w:rsid w:val="00004FF5"/>
    <w:rPr>
      <w:sz w:val="20"/>
      <w:szCs w:val="20"/>
    </w:rPr>
  </w:style>
  <w:style w:type="paragraph" w:styleId="CommentSubject">
    <w:name w:val="annotation subject"/>
    <w:basedOn w:val="CommentText"/>
    <w:next w:val="CommentText"/>
    <w:link w:val="CommentSubjectChar"/>
    <w:uiPriority w:val="99"/>
    <w:semiHidden/>
    <w:unhideWhenUsed/>
    <w:rsid w:val="00004FF5"/>
    <w:rPr>
      <w:b/>
      <w:bCs/>
    </w:rPr>
  </w:style>
  <w:style w:type="character" w:customStyle="1" w:styleId="CommentSubjectChar">
    <w:name w:val="Comment Subject Char"/>
    <w:basedOn w:val="CommentTextChar"/>
    <w:link w:val="CommentSubject"/>
    <w:uiPriority w:val="99"/>
    <w:semiHidden/>
    <w:rsid w:val="00004FF5"/>
    <w:rPr>
      <w:b/>
      <w:bCs/>
      <w:sz w:val="20"/>
      <w:szCs w:val="20"/>
    </w:rPr>
  </w:style>
  <w:style w:type="paragraph" w:styleId="BalloonText">
    <w:name w:val="Balloon Text"/>
    <w:basedOn w:val="Normal"/>
    <w:link w:val="BalloonTextChar"/>
    <w:uiPriority w:val="99"/>
    <w:semiHidden/>
    <w:unhideWhenUsed/>
    <w:rsid w:val="00004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FF5"/>
    <w:rPr>
      <w:rFonts w:ascii="Segoe UI" w:hAnsi="Segoe UI" w:cs="Segoe UI"/>
      <w:sz w:val="18"/>
      <w:szCs w:val="18"/>
    </w:rPr>
  </w:style>
  <w:style w:type="character" w:styleId="Emphasis">
    <w:name w:val="Emphasis"/>
    <w:basedOn w:val="DefaultParagraphFont"/>
    <w:uiPriority w:val="20"/>
    <w:qFormat/>
    <w:rsid w:val="00BA7F25"/>
    <w:rPr>
      <w:i/>
      <w:iCs/>
    </w:rPr>
  </w:style>
  <w:style w:type="paragraph" w:styleId="Revision">
    <w:name w:val="Revision"/>
    <w:hidden/>
    <w:uiPriority w:val="99"/>
    <w:semiHidden/>
    <w:rsid w:val="002148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676393">
      <w:bodyDiv w:val="1"/>
      <w:marLeft w:val="0"/>
      <w:marRight w:val="0"/>
      <w:marTop w:val="0"/>
      <w:marBottom w:val="0"/>
      <w:divBdr>
        <w:top w:val="none" w:sz="0" w:space="0" w:color="auto"/>
        <w:left w:val="none" w:sz="0" w:space="0" w:color="auto"/>
        <w:bottom w:val="none" w:sz="0" w:space="0" w:color="auto"/>
        <w:right w:val="none" w:sz="0" w:space="0" w:color="auto"/>
      </w:divBdr>
    </w:div>
    <w:div w:id="185187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1-018-0300-7" TargetMode="External"/><Relationship Id="rId13" Type="http://schemas.openxmlformats.org/officeDocument/2006/relationships/hyperlink" Target="https://doi.org/10.1038/s41746-018-0029-1" TargetMode="External"/><Relationship Id="rId18" Type="http://schemas.openxmlformats.org/officeDocument/2006/relationships/hyperlink" Target="https://doi.org/10.1001/jama.2018.1716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016/S0140-6736(21)02724-0" TargetMode="External"/><Relationship Id="rId12" Type="http://schemas.openxmlformats.org/officeDocument/2006/relationships/hyperlink" Target="https://doi.org/10.1145/2939672.2939778" TargetMode="External"/><Relationship Id="rId17" Type="http://schemas.openxmlformats.org/officeDocument/2006/relationships/hyperlink" Target="https://doi.org/10.1001/jama.2017.1839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38/s41591-019-0548-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5/2939672.2939785"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38/s41746-020-0221-y" TargetMode="External"/><Relationship Id="rId23" Type="http://schemas.openxmlformats.org/officeDocument/2006/relationships/footer" Target="footer2.xml"/><Relationship Id="rId10" Type="http://schemas.openxmlformats.org/officeDocument/2006/relationships/hyperlink" Target="https://doi.org/10.1186/s12916-019-1426-2" TargetMode="External"/><Relationship Id="rId19" Type="http://schemas.openxmlformats.org/officeDocument/2006/relationships/hyperlink" Target="https://doi.org/10.7326/M14-0697" TargetMode="External"/><Relationship Id="rId4" Type="http://schemas.openxmlformats.org/officeDocument/2006/relationships/webSettings" Target="webSettings.xml"/><Relationship Id="rId9" Type="http://schemas.openxmlformats.org/officeDocument/2006/relationships/hyperlink" Target="https://doi.org/10.1038/s41591-018-0316-z" TargetMode="External"/><Relationship Id="rId14" Type="http://schemas.openxmlformats.org/officeDocument/2006/relationships/hyperlink" Target="https://doi.org/10.1073/pnas.1717295115"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18</Pages>
  <Words>6809</Words>
  <Characters>38817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srimanthmanthu@gmail.com</dc:creator>
  <cp:keywords/>
  <dc:description/>
  <cp:lastModifiedBy>anil dhakal</cp:lastModifiedBy>
  <cp:revision>58</cp:revision>
  <dcterms:created xsi:type="dcterms:W3CDTF">2026-04-22T06:14:00Z</dcterms:created>
  <dcterms:modified xsi:type="dcterms:W3CDTF">2026-04-29T07:22:00Z</dcterms:modified>
</cp:coreProperties>
</file>