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3E7A2" w14:textId="050FFA7C" w:rsidR="00081415" w:rsidRDefault="00081415" w:rsidP="003C35DC">
      <w:pPr>
        <w:spacing w:after="0" w:line="240" w:lineRule="auto"/>
        <w:jc w:val="center"/>
        <w:rPr>
          <w:rFonts w:ascii="Times New Roman" w:hAnsi="Times New Roman" w:cs="Times New Roman"/>
        </w:rPr>
      </w:pPr>
      <w:r w:rsidRPr="00AE16C5">
        <w:rPr>
          <w:rFonts w:ascii="Times New Roman" w:hAnsi="Times New Roman" w:cs="Times New Roman"/>
        </w:rPr>
        <w:t>PCR-Based Detection of Mixed Plasmodium Infections in Asymptomatic Carriers</w:t>
      </w:r>
    </w:p>
    <w:p w14:paraId="517A26CC" w14:textId="77777777" w:rsidR="00F239DA" w:rsidRPr="00AE16C5" w:rsidRDefault="00F239DA" w:rsidP="003C35DC">
      <w:pPr>
        <w:spacing w:after="0" w:line="240" w:lineRule="auto"/>
        <w:jc w:val="center"/>
        <w:rPr>
          <w:rFonts w:ascii="Times New Roman" w:hAnsi="Times New Roman" w:cs="Times New Roman"/>
        </w:rPr>
      </w:pPr>
    </w:p>
    <w:p w14:paraId="61AF2151" w14:textId="32B20221" w:rsidR="00535FD1" w:rsidRDefault="00535FD1" w:rsidP="003C35DC">
      <w:pPr>
        <w:spacing w:after="0" w:line="240" w:lineRule="auto"/>
        <w:jc w:val="center"/>
        <w:rPr>
          <w:rFonts w:ascii="Times New Roman" w:hAnsi="Times New Roman" w:cs="Times New Roman"/>
        </w:rPr>
      </w:pPr>
    </w:p>
    <w:p w14:paraId="2CCFB4D6" w14:textId="77777777" w:rsidR="00F34642" w:rsidRDefault="00F34642" w:rsidP="003C35DC">
      <w:pPr>
        <w:spacing w:after="0" w:line="240" w:lineRule="auto"/>
        <w:jc w:val="center"/>
        <w:rPr>
          <w:rFonts w:ascii="Times New Roman" w:hAnsi="Times New Roman" w:cs="Times New Roman"/>
        </w:rPr>
      </w:pPr>
    </w:p>
    <w:p w14:paraId="72088945" w14:textId="77777777" w:rsidR="00F34642" w:rsidRDefault="00F34642" w:rsidP="003C35DC">
      <w:pPr>
        <w:spacing w:after="0" w:line="240" w:lineRule="auto"/>
        <w:jc w:val="center"/>
        <w:rPr>
          <w:rFonts w:ascii="Times New Roman" w:hAnsi="Times New Roman" w:cs="Times New Roman"/>
        </w:rPr>
      </w:pPr>
    </w:p>
    <w:p w14:paraId="401C0167" w14:textId="77777777" w:rsidR="007C2B44" w:rsidRDefault="007C2B44" w:rsidP="003C35DC">
      <w:pPr>
        <w:spacing w:after="0" w:line="240" w:lineRule="auto"/>
        <w:jc w:val="both"/>
        <w:rPr>
          <w:rFonts w:ascii="Times New Roman" w:hAnsi="Times New Roman" w:cs="Times New Roman"/>
        </w:rPr>
      </w:pPr>
      <w:bookmarkStart w:id="0" w:name="_GoBack"/>
      <w:bookmarkEnd w:id="0"/>
    </w:p>
    <w:p w14:paraId="0DAA14DF" w14:textId="7F24C163" w:rsidR="0008141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Abstract</w:t>
      </w:r>
    </w:p>
    <w:p w14:paraId="12EA79F5" w14:textId="55E4F56E" w:rsidR="00585727" w:rsidRPr="00585727" w:rsidRDefault="00585727" w:rsidP="00585727">
      <w:pPr>
        <w:spacing w:after="0" w:line="240" w:lineRule="auto"/>
        <w:jc w:val="both"/>
        <w:rPr>
          <w:rFonts w:ascii="Times New Roman" w:hAnsi="Times New Roman" w:cs="Times New Roman"/>
        </w:rPr>
      </w:pPr>
      <w:r w:rsidRPr="00585727">
        <w:rPr>
          <w:rFonts w:ascii="Times New Roman" w:hAnsi="Times New Roman" w:cs="Times New Roman"/>
          <w:b/>
          <w:bCs/>
        </w:rPr>
        <w:t>Background:</w:t>
      </w:r>
      <w:r w:rsidRPr="00585727">
        <w:rPr>
          <w:rFonts w:ascii="Times New Roman" w:hAnsi="Times New Roman" w:cs="Times New Roman"/>
        </w:rPr>
        <w:br/>
        <w:t xml:space="preserve">Asymptomatic and mixed </w:t>
      </w:r>
      <w:r w:rsidRPr="00585727">
        <w:rPr>
          <w:rFonts w:ascii="Times New Roman" w:hAnsi="Times New Roman" w:cs="Times New Roman"/>
          <w:i/>
          <w:iCs/>
        </w:rPr>
        <w:t>Plasmodium</w:t>
      </w:r>
      <w:r w:rsidRPr="00585727">
        <w:rPr>
          <w:rFonts w:ascii="Times New Roman" w:hAnsi="Times New Roman" w:cs="Times New Roman"/>
        </w:rPr>
        <w:t xml:space="preserve"> infections represent significant but often overlooked challenges to malaria control and elimination, particularly in endemic regions. Conventional diagnostic methods such as microscopy and rapid diagnostic tests (RDTs) have limited sensitivity for detecting low-density parasitemia and mixed-species infections, potentially leading to underestimation of true infection burden.</w:t>
      </w:r>
      <w:r>
        <w:rPr>
          <w:rFonts w:ascii="Times New Roman" w:hAnsi="Times New Roman" w:cs="Times New Roman"/>
        </w:rPr>
        <w:t xml:space="preserve"> </w:t>
      </w:r>
      <w:r w:rsidRPr="00585727">
        <w:rPr>
          <w:rFonts w:ascii="Times New Roman" w:hAnsi="Times New Roman" w:cs="Times New Roman"/>
        </w:rPr>
        <w:t xml:space="preserve">This study aimed to evaluate the effectiveness of polymerase chain reaction (PCR) in detecting asymptomatic and mixed </w:t>
      </w:r>
      <w:r w:rsidRPr="00585727">
        <w:rPr>
          <w:rFonts w:ascii="Times New Roman" w:hAnsi="Times New Roman" w:cs="Times New Roman"/>
          <w:i/>
          <w:iCs/>
        </w:rPr>
        <w:t>Plasmodium</w:t>
      </w:r>
      <w:r w:rsidRPr="00585727">
        <w:rPr>
          <w:rFonts w:ascii="Times New Roman" w:hAnsi="Times New Roman" w:cs="Times New Roman"/>
        </w:rPr>
        <w:t xml:space="preserve"> infections and to compare its performance with microscopy and RDTs.</w:t>
      </w:r>
    </w:p>
    <w:p w14:paraId="48555EBB" w14:textId="77777777" w:rsidR="00585727" w:rsidRPr="00585727" w:rsidRDefault="00585727" w:rsidP="00585727">
      <w:pPr>
        <w:spacing w:after="0" w:line="240" w:lineRule="auto"/>
        <w:jc w:val="both"/>
        <w:rPr>
          <w:rFonts w:ascii="Times New Roman" w:hAnsi="Times New Roman" w:cs="Times New Roman"/>
        </w:rPr>
      </w:pPr>
      <w:r w:rsidRPr="00585727">
        <w:rPr>
          <w:rFonts w:ascii="Times New Roman" w:hAnsi="Times New Roman" w:cs="Times New Roman"/>
          <w:b/>
          <w:bCs/>
        </w:rPr>
        <w:t>Methods:</w:t>
      </w:r>
      <w:r w:rsidRPr="00585727">
        <w:rPr>
          <w:rFonts w:ascii="Times New Roman" w:hAnsi="Times New Roman" w:cs="Times New Roman"/>
        </w:rPr>
        <w:br/>
        <w:t>A cross-sectional study was conducted among individuals in a malaria-endemic setting. Blood samples were collected and analyzed using microscopy, RDTs, and PCR. Diagnostic performance, including sensitivity and specificity, was assessed, and the prevalence of asymptomatic, submicroscopic, and mixed infections was determined.</w:t>
      </w:r>
    </w:p>
    <w:p w14:paraId="0E2004A7" w14:textId="77777777" w:rsidR="00585727" w:rsidRPr="00585727" w:rsidRDefault="00585727" w:rsidP="00585727">
      <w:pPr>
        <w:spacing w:after="0" w:line="240" w:lineRule="auto"/>
        <w:jc w:val="both"/>
        <w:rPr>
          <w:rFonts w:ascii="Times New Roman" w:hAnsi="Times New Roman" w:cs="Times New Roman"/>
        </w:rPr>
      </w:pPr>
      <w:r w:rsidRPr="00585727">
        <w:rPr>
          <w:rFonts w:ascii="Times New Roman" w:hAnsi="Times New Roman" w:cs="Times New Roman"/>
          <w:b/>
          <w:bCs/>
        </w:rPr>
        <w:t>Results:</w:t>
      </w:r>
      <w:r w:rsidRPr="00585727">
        <w:rPr>
          <w:rFonts w:ascii="Times New Roman" w:hAnsi="Times New Roman" w:cs="Times New Roman"/>
        </w:rPr>
        <w:br/>
        <w:t xml:space="preserve">PCR detected a higher prevalence of malaria infections (28.5%) compared to microscopy (17.3%) and RDTs (19.1%). A substantial proportion of infections (39.2%) were submicroscopic and undetectable by conventional methods. Mixed </w:t>
      </w:r>
      <w:r w:rsidRPr="00585727">
        <w:rPr>
          <w:rFonts w:ascii="Times New Roman" w:hAnsi="Times New Roman" w:cs="Times New Roman"/>
          <w:i/>
          <w:iCs/>
        </w:rPr>
        <w:t>Plasmodium</w:t>
      </w:r>
      <w:r w:rsidRPr="00585727">
        <w:rPr>
          <w:rFonts w:ascii="Times New Roman" w:hAnsi="Times New Roman" w:cs="Times New Roman"/>
        </w:rPr>
        <w:t xml:space="preserve"> infections accounted for 9.8% of PCR-positive cases but were largely missed by microscopy and RDTs. While microscopy and RDTs demonstrated high specificity, their sensitivity was significantly lower than that of PCR.</w:t>
      </w:r>
    </w:p>
    <w:p w14:paraId="7D5F308A" w14:textId="77777777" w:rsidR="00585727" w:rsidRPr="00585727" w:rsidRDefault="00585727" w:rsidP="00585727">
      <w:pPr>
        <w:spacing w:after="0" w:line="240" w:lineRule="auto"/>
        <w:jc w:val="both"/>
        <w:rPr>
          <w:rFonts w:ascii="Times New Roman" w:hAnsi="Times New Roman" w:cs="Times New Roman"/>
        </w:rPr>
      </w:pPr>
      <w:r w:rsidRPr="00585727">
        <w:rPr>
          <w:rFonts w:ascii="Times New Roman" w:hAnsi="Times New Roman" w:cs="Times New Roman"/>
          <w:b/>
          <w:bCs/>
        </w:rPr>
        <w:t>Conclusion:</w:t>
      </w:r>
      <w:r w:rsidRPr="00585727">
        <w:rPr>
          <w:rFonts w:ascii="Times New Roman" w:hAnsi="Times New Roman" w:cs="Times New Roman"/>
        </w:rPr>
        <w:br/>
        <w:t xml:space="preserve">PCR provides superior sensitivity for detecting asymptomatic and mixed </w:t>
      </w:r>
      <w:r w:rsidRPr="00585727">
        <w:rPr>
          <w:rFonts w:ascii="Times New Roman" w:hAnsi="Times New Roman" w:cs="Times New Roman"/>
          <w:i/>
          <w:iCs/>
        </w:rPr>
        <w:t>Plasmodium</w:t>
      </w:r>
      <w:r w:rsidRPr="00585727">
        <w:rPr>
          <w:rFonts w:ascii="Times New Roman" w:hAnsi="Times New Roman" w:cs="Times New Roman"/>
        </w:rPr>
        <w:t xml:space="preserve"> infections and reveals a considerable hidden reservoir of malaria transmission. Integrating molecular diagnostic tools into surveillance systems is essential for improving case detection, guiding treatment strategies, and supporting malaria elimination efforts.</w:t>
      </w:r>
    </w:p>
    <w:p w14:paraId="47D60EFA" w14:textId="77777777" w:rsidR="00585727" w:rsidRPr="00585727" w:rsidRDefault="00585727" w:rsidP="00585727">
      <w:pPr>
        <w:spacing w:after="0" w:line="240" w:lineRule="auto"/>
        <w:jc w:val="both"/>
        <w:rPr>
          <w:rFonts w:ascii="Times New Roman" w:hAnsi="Times New Roman" w:cs="Times New Roman"/>
        </w:rPr>
      </w:pPr>
      <w:r w:rsidRPr="00585727">
        <w:rPr>
          <w:rFonts w:ascii="Times New Roman" w:hAnsi="Times New Roman" w:cs="Times New Roman"/>
          <w:b/>
          <w:bCs/>
        </w:rPr>
        <w:t>Keywords:</w:t>
      </w:r>
      <w:r w:rsidRPr="00585727">
        <w:rPr>
          <w:rFonts w:ascii="Times New Roman" w:hAnsi="Times New Roman" w:cs="Times New Roman"/>
        </w:rPr>
        <w:br/>
        <w:t xml:space="preserve">Malaria; Asymptomatic infection; Mixed </w:t>
      </w:r>
      <w:r w:rsidRPr="00585727">
        <w:rPr>
          <w:rFonts w:ascii="Times New Roman" w:hAnsi="Times New Roman" w:cs="Times New Roman"/>
          <w:i/>
          <w:iCs/>
        </w:rPr>
        <w:t>Plasmodium</w:t>
      </w:r>
      <w:r w:rsidRPr="00585727">
        <w:rPr>
          <w:rFonts w:ascii="Times New Roman" w:hAnsi="Times New Roman" w:cs="Times New Roman"/>
        </w:rPr>
        <w:t xml:space="preserve"> infection; PCR; Microscopy; Rapid diagnostic test; Submicroscopic parasitemia; Malaria elimination</w:t>
      </w:r>
    </w:p>
    <w:p w14:paraId="79E7AB57" w14:textId="77777777" w:rsidR="00585727" w:rsidRDefault="00585727" w:rsidP="003C35DC">
      <w:pPr>
        <w:spacing w:after="0" w:line="240" w:lineRule="auto"/>
        <w:jc w:val="both"/>
        <w:rPr>
          <w:rFonts w:ascii="Times New Roman" w:hAnsi="Times New Roman" w:cs="Times New Roman"/>
        </w:rPr>
      </w:pPr>
    </w:p>
    <w:p w14:paraId="2297A781" w14:textId="77777777" w:rsidR="00585727" w:rsidRDefault="00585727" w:rsidP="003C35DC">
      <w:pPr>
        <w:spacing w:after="0" w:line="240" w:lineRule="auto"/>
        <w:jc w:val="both"/>
        <w:rPr>
          <w:rFonts w:ascii="Times New Roman" w:hAnsi="Times New Roman" w:cs="Times New Roman"/>
        </w:rPr>
      </w:pPr>
    </w:p>
    <w:p w14:paraId="6F2483F5" w14:textId="77777777" w:rsidR="00585727" w:rsidRDefault="00585727" w:rsidP="003C35DC">
      <w:pPr>
        <w:spacing w:after="0" w:line="240" w:lineRule="auto"/>
        <w:jc w:val="both"/>
        <w:rPr>
          <w:rFonts w:ascii="Times New Roman" w:hAnsi="Times New Roman" w:cs="Times New Roman"/>
        </w:rPr>
      </w:pPr>
    </w:p>
    <w:p w14:paraId="087857FC" w14:textId="77777777" w:rsidR="00081415" w:rsidRPr="001F20CA" w:rsidRDefault="00081415" w:rsidP="003C35DC">
      <w:pPr>
        <w:spacing w:after="0" w:line="240" w:lineRule="auto"/>
        <w:jc w:val="both"/>
        <w:rPr>
          <w:rFonts w:ascii="Times New Roman" w:hAnsi="Times New Roman" w:cs="Times New Roman"/>
          <w:b/>
          <w:bCs/>
        </w:rPr>
      </w:pPr>
      <w:r w:rsidRPr="001F20CA">
        <w:rPr>
          <w:rFonts w:ascii="Times New Roman" w:hAnsi="Times New Roman" w:cs="Times New Roman"/>
          <w:b/>
          <w:bCs/>
        </w:rPr>
        <w:t>1. Introduction</w:t>
      </w:r>
    </w:p>
    <w:p w14:paraId="3000CAE2" w14:textId="4001395A"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Malaria remains one of the most significant parasitic diseases globally, with ongoing transmission in many tropical and subtropical regions [1,2]. Despite substantial reductions in morbidity and mortality over the past two decades, elimination efforts face persistent challenges [1,3]. One of the most critical obstacles is the presence of asymptomatic carriers—individuals who harbor </w:t>
      </w:r>
      <w:r w:rsidRPr="006F2223">
        <w:rPr>
          <w:rFonts w:ascii="Times New Roman" w:hAnsi="Times New Roman" w:cs="Times New Roman"/>
          <w:i/>
          <w:iCs/>
        </w:rPr>
        <w:t>Plasmodium</w:t>
      </w:r>
      <w:r w:rsidRPr="006F2223">
        <w:rPr>
          <w:rFonts w:ascii="Times New Roman" w:hAnsi="Times New Roman" w:cs="Times New Roman"/>
        </w:rPr>
        <w:t xml:space="preserve"> parasites without exhibiting clinical symptoms [4,5]. These carriers often maintain low-density parasitemia that escapes routine diagnostic detection yet contributes silently to sustained transmission within communities [6,7].</w:t>
      </w:r>
      <w:r w:rsidR="003C35DC">
        <w:rPr>
          <w:rFonts w:ascii="Times New Roman" w:hAnsi="Times New Roman" w:cs="Times New Roman"/>
        </w:rPr>
        <w:t xml:space="preserve"> </w:t>
      </w:r>
      <w:r w:rsidRPr="006F2223">
        <w:rPr>
          <w:rFonts w:ascii="Times New Roman" w:hAnsi="Times New Roman" w:cs="Times New Roman"/>
        </w:rPr>
        <w:t xml:space="preserve">Malaria is caused by protozoan parasites of the genus </w:t>
      </w:r>
      <w:r w:rsidRPr="006F2223">
        <w:rPr>
          <w:rFonts w:ascii="Times New Roman" w:hAnsi="Times New Roman" w:cs="Times New Roman"/>
          <w:i/>
          <w:iCs/>
        </w:rPr>
        <w:t>Plasmodium</w:t>
      </w:r>
      <w:r w:rsidRPr="006F2223">
        <w:rPr>
          <w:rFonts w:ascii="Times New Roman" w:hAnsi="Times New Roman" w:cs="Times New Roman"/>
        </w:rPr>
        <w:t xml:space="preserve">, with the most common human-infecting species including </w:t>
      </w:r>
      <w:r w:rsidRPr="006F2223">
        <w:rPr>
          <w:rFonts w:ascii="Times New Roman" w:hAnsi="Times New Roman" w:cs="Times New Roman"/>
          <w:i/>
          <w:iCs/>
        </w:rPr>
        <w:t xml:space="preserve">Plasmodium </w:t>
      </w:r>
      <w:r w:rsidRPr="006F2223">
        <w:rPr>
          <w:rFonts w:ascii="Times New Roman" w:hAnsi="Times New Roman" w:cs="Times New Roman"/>
          <w:i/>
          <w:iCs/>
        </w:rPr>
        <w:lastRenderedPageBreak/>
        <w:t>falciparum</w:t>
      </w:r>
      <w:r w:rsidRPr="006F2223">
        <w:rPr>
          <w:rFonts w:ascii="Times New Roman" w:hAnsi="Times New Roman" w:cs="Times New Roman"/>
        </w:rPr>
        <w:t xml:space="preserve">, </w:t>
      </w:r>
      <w:r w:rsidRPr="006F2223">
        <w:rPr>
          <w:rFonts w:ascii="Times New Roman" w:hAnsi="Times New Roman" w:cs="Times New Roman"/>
          <w:i/>
          <w:iCs/>
        </w:rPr>
        <w:t>Plasmodium vivax</w:t>
      </w:r>
      <w:r w:rsidRPr="006F2223">
        <w:rPr>
          <w:rFonts w:ascii="Times New Roman" w:hAnsi="Times New Roman" w:cs="Times New Roman"/>
        </w:rPr>
        <w:t xml:space="preserve">,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malariae</w:t>
      </w:r>
      <w:proofErr w:type="spellEnd"/>
      <w:r w:rsidRPr="006F2223">
        <w:rPr>
          <w:rFonts w:ascii="Times New Roman" w:hAnsi="Times New Roman" w:cs="Times New Roman"/>
        </w:rPr>
        <w:t xml:space="preserve">, and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ovale</w:t>
      </w:r>
      <w:proofErr w:type="spellEnd"/>
      <w:r w:rsidRPr="006F2223">
        <w:rPr>
          <w:rFonts w:ascii="Times New Roman" w:hAnsi="Times New Roman" w:cs="Times New Roman"/>
        </w:rPr>
        <w:t xml:space="preserve"> [8,9]. While </w:t>
      </w:r>
      <w:r w:rsidRPr="006F2223">
        <w:rPr>
          <w:rFonts w:ascii="Times New Roman" w:hAnsi="Times New Roman" w:cs="Times New Roman"/>
          <w:i/>
          <w:iCs/>
        </w:rPr>
        <w:t>P. falciparum</w:t>
      </w:r>
      <w:r w:rsidRPr="006F2223">
        <w:rPr>
          <w:rFonts w:ascii="Times New Roman" w:hAnsi="Times New Roman" w:cs="Times New Roman"/>
        </w:rPr>
        <w:t xml:space="preserve"> is responsible for the majority of severe cases and deaths, non-falciparum species contribute significantly to chronic and recurrent infections [10</w:t>
      </w:r>
      <w:proofErr w:type="gramStart"/>
      <w:r w:rsidRPr="006F2223">
        <w:rPr>
          <w:rFonts w:ascii="Times New Roman" w:hAnsi="Times New Roman" w:cs="Times New Roman"/>
        </w:rPr>
        <w:t>,11</w:t>
      </w:r>
      <w:proofErr w:type="gramEnd"/>
      <w:r w:rsidRPr="006F2223">
        <w:rPr>
          <w:rFonts w:ascii="Times New Roman" w:hAnsi="Times New Roman" w:cs="Times New Roman"/>
        </w:rPr>
        <w:t xml:space="preserve">]. In endemic regions, simultaneous infection with more than one </w:t>
      </w:r>
      <w:r w:rsidRPr="006F2223">
        <w:rPr>
          <w:rFonts w:ascii="Times New Roman" w:hAnsi="Times New Roman" w:cs="Times New Roman"/>
          <w:i/>
          <w:iCs/>
        </w:rPr>
        <w:t>Plasmodium</w:t>
      </w:r>
      <w:r w:rsidRPr="006F2223">
        <w:rPr>
          <w:rFonts w:ascii="Times New Roman" w:hAnsi="Times New Roman" w:cs="Times New Roman"/>
        </w:rPr>
        <w:t xml:space="preserve"> species—referred to as mixed infection—is increasingly recognized as common rather than exceptional [12,13].</w:t>
      </w:r>
    </w:p>
    <w:p w14:paraId="0DB1EAB1" w14:textId="77777777" w:rsidR="003C35DC" w:rsidRDefault="003C35DC" w:rsidP="003C35DC">
      <w:pPr>
        <w:spacing w:after="0" w:line="240" w:lineRule="auto"/>
        <w:jc w:val="both"/>
        <w:rPr>
          <w:rFonts w:ascii="Times New Roman" w:hAnsi="Times New Roman" w:cs="Times New Roman"/>
        </w:rPr>
      </w:pPr>
    </w:p>
    <w:p w14:paraId="64145B3E" w14:textId="7A5BDE15"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Mixed </w:t>
      </w:r>
      <w:r w:rsidRPr="006F2223">
        <w:rPr>
          <w:rFonts w:ascii="Times New Roman" w:hAnsi="Times New Roman" w:cs="Times New Roman"/>
          <w:i/>
          <w:iCs/>
        </w:rPr>
        <w:t>Plasmodium</w:t>
      </w:r>
      <w:r w:rsidRPr="006F2223">
        <w:rPr>
          <w:rFonts w:ascii="Times New Roman" w:hAnsi="Times New Roman" w:cs="Times New Roman"/>
        </w:rPr>
        <w:t xml:space="preserve"> infections are epidemiologically important for several reasons. First, species interactions within the host may influence parasite density, immune responses, and disease severity [14,15]. Second, mixed infections complicate treatment decisions, particularly in areas where species-specific drug regimens are required [11,16]. Third, undetected non-falciparum species may persist following treatment targeted primarily at </w:t>
      </w:r>
      <w:r w:rsidRPr="006F2223">
        <w:rPr>
          <w:rFonts w:ascii="Times New Roman" w:hAnsi="Times New Roman" w:cs="Times New Roman"/>
          <w:i/>
          <w:iCs/>
        </w:rPr>
        <w:t>P. falciparum</w:t>
      </w:r>
      <w:r w:rsidRPr="006F2223">
        <w:rPr>
          <w:rFonts w:ascii="Times New Roman" w:hAnsi="Times New Roman" w:cs="Times New Roman"/>
        </w:rPr>
        <w:t>, thereby sustaining transmission cycles [13,17]. Despite their importance, mixed infections are frequently underreported due to diagnostic limitations [6,12].</w:t>
      </w:r>
      <w:r w:rsidR="003C35DC">
        <w:rPr>
          <w:rFonts w:ascii="Times New Roman" w:hAnsi="Times New Roman" w:cs="Times New Roman"/>
        </w:rPr>
        <w:t xml:space="preserve"> </w:t>
      </w:r>
      <w:r w:rsidRPr="006F2223">
        <w:rPr>
          <w:rFonts w:ascii="Times New Roman" w:hAnsi="Times New Roman" w:cs="Times New Roman"/>
        </w:rPr>
        <w:t>Conventional malaria diagnosis relies heavily on light microscopy and rapid diagnostic tests (RDTs) [9,18]. Microscopy remains the traditional gold standard; however, its sensitivity is dependent on parasite density and technician expertise [18,19]. Submicroscopic infections—those with parasite densities below the detection threshold—are easily missed [5,6]. Additionally, morphological similarities between certain species can lead to misidentification, especially in cases of low parasitemia or mixed infection [15,20].</w:t>
      </w:r>
    </w:p>
    <w:p w14:paraId="5DDCED1F" w14:textId="77777777" w:rsidR="003C35DC" w:rsidRPr="006F2223" w:rsidRDefault="003C35DC" w:rsidP="003C35DC">
      <w:pPr>
        <w:spacing w:after="0" w:line="240" w:lineRule="auto"/>
        <w:jc w:val="both"/>
        <w:rPr>
          <w:rFonts w:ascii="Times New Roman" w:hAnsi="Times New Roman" w:cs="Times New Roman"/>
        </w:rPr>
      </w:pPr>
    </w:p>
    <w:p w14:paraId="3C494137" w14:textId="2DC8602C"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RDTs, which detect parasite antigens such as histidine-rich protein 2 (HRP2), offer rapid and field-friendly diagnosis but have limitations [9,11]. Many RDTs are designed primarily to detect </w:t>
      </w:r>
      <w:r w:rsidRPr="006F2223">
        <w:rPr>
          <w:rFonts w:ascii="Times New Roman" w:hAnsi="Times New Roman" w:cs="Times New Roman"/>
          <w:i/>
          <w:iCs/>
        </w:rPr>
        <w:t>P. falciparum</w:t>
      </w:r>
      <w:r w:rsidRPr="006F2223">
        <w:rPr>
          <w:rFonts w:ascii="Times New Roman" w:hAnsi="Times New Roman" w:cs="Times New Roman"/>
        </w:rPr>
        <w:t xml:space="preserve"> and may not reliably identify non-falciparum species [10,11]. Furthermore, antigen persistence following treatment can lead to false-positive results, while gene deletions (e.g., HRP2 deletions) can result in false negatives [10,21].</w:t>
      </w:r>
      <w:r w:rsidR="003C35DC">
        <w:rPr>
          <w:rFonts w:ascii="Times New Roman" w:hAnsi="Times New Roman" w:cs="Times New Roman"/>
        </w:rPr>
        <w:t xml:space="preserve"> </w:t>
      </w:r>
      <w:r w:rsidRPr="006F2223">
        <w:rPr>
          <w:rFonts w:ascii="Times New Roman" w:hAnsi="Times New Roman" w:cs="Times New Roman"/>
        </w:rPr>
        <w:t>Polymerase chain reaction (PCR)–based molecular diagnostics provide enhanced sensitivity and specificity by amplifying parasite DNA [22,23]. PCR can detect parasitemia levels far below the threshold of microscopy and can differentiate species accurately using species-specific primers targeting conserved genetic regions such as the 18S rRNA gene [23,24]. Importantly, PCR enables detection of mixed infections that may be overlooked by conventional methods [6,12]. This is particularly relevant in elimination settings where residual transmission is often driven by asymptomatic individuals with low parasite densities [1,25].</w:t>
      </w:r>
    </w:p>
    <w:p w14:paraId="55301D95" w14:textId="77777777" w:rsidR="003C35DC" w:rsidRPr="006F2223" w:rsidRDefault="003C35DC" w:rsidP="003C35DC">
      <w:pPr>
        <w:spacing w:after="0" w:line="240" w:lineRule="auto"/>
        <w:jc w:val="both"/>
        <w:rPr>
          <w:rFonts w:ascii="Times New Roman" w:hAnsi="Times New Roman" w:cs="Times New Roman"/>
        </w:rPr>
      </w:pPr>
    </w:p>
    <w:p w14:paraId="6157B3EB"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The role of asymptomatic carriers in malaria epidemiology has gained increasing attention [4,6]. These individuals may represent a substantial proportion of the infectious reservoir in endemic areas [1,25]. Because they do not seek treatment due to lack of symptoms, they remain undiagnosed and untreated, facilitating ongoing transmission via mosquito vectors [12,13]. As countries move from control to elimination phases, identifying and treating asymptomatic and mixed infections becomes essential for interrupting transmission [1</w:t>
      </w:r>
      <w:proofErr w:type="gramStart"/>
      <w:r w:rsidRPr="006F2223">
        <w:rPr>
          <w:rFonts w:ascii="Times New Roman" w:hAnsi="Times New Roman" w:cs="Times New Roman"/>
        </w:rPr>
        <w:t>,25</w:t>
      </w:r>
      <w:proofErr w:type="gramEnd"/>
      <w:r w:rsidRPr="006F2223">
        <w:rPr>
          <w:rFonts w:ascii="Times New Roman" w:hAnsi="Times New Roman" w:cs="Times New Roman"/>
        </w:rPr>
        <w:t>].</w:t>
      </w:r>
    </w:p>
    <w:p w14:paraId="7C9E2F82"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Despite the advantages of PCR, its routine implementation in endemic regions remains limited due to cost, technical expertise requirements, and laboratory infrastructure constraints [22,23]. Nevertheless, PCR serves as a critical reference standard in epidemiological studies and surveillance programs [24,26]. Comparative evaluation of PCR against microscopy and RDT in detecting mixed infections among asymptomatic individuals is therefore essential to quantify the extent of underdiagnosis and inform policy decisions [1,25].</w:t>
      </w:r>
    </w:p>
    <w:p w14:paraId="3E6A3695" w14:textId="77777777" w:rsidR="00081415" w:rsidRPr="00AE16C5" w:rsidRDefault="00081415" w:rsidP="003C35DC">
      <w:pPr>
        <w:spacing w:after="0" w:line="240" w:lineRule="auto"/>
        <w:jc w:val="both"/>
        <w:rPr>
          <w:rFonts w:ascii="Times New Roman" w:hAnsi="Times New Roman" w:cs="Times New Roman"/>
        </w:rPr>
      </w:pPr>
    </w:p>
    <w:p w14:paraId="72069AC7" w14:textId="77777777" w:rsidR="00170C4F" w:rsidRPr="00AE16C5" w:rsidRDefault="00170C4F" w:rsidP="003C35DC">
      <w:pPr>
        <w:spacing w:after="0" w:line="240" w:lineRule="auto"/>
        <w:jc w:val="both"/>
        <w:rPr>
          <w:rFonts w:ascii="Times New Roman" w:hAnsi="Times New Roman" w:cs="Times New Roman"/>
        </w:rPr>
      </w:pPr>
      <w:r w:rsidRPr="00AE16C5">
        <w:rPr>
          <w:rFonts w:ascii="Times New Roman" w:hAnsi="Times New Roman" w:cs="Times New Roman"/>
        </w:rPr>
        <w:lastRenderedPageBreak/>
        <w:t xml:space="preserve">Understanding the epidemiological significance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requires examination of malaria transmission dynamics, diagnostic limitations, molecular detection advances, and elimination-phase challenges. This section reviews existing literature relevant to asymptomatic malaria, mixed-species infections, conventional and molecular diagnostic methods, and implications for malaria control programs.</w:t>
      </w:r>
    </w:p>
    <w:p w14:paraId="026CC4CD" w14:textId="77BCC4D5" w:rsidR="00170C4F" w:rsidRPr="00AE16C5" w:rsidRDefault="00170C4F" w:rsidP="003C35DC">
      <w:pPr>
        <w:spacing w:after="0" w:line="240" w:lineRule="auto"/>
        <w:jc w:val="both"/>
        <w:rPr>
          <w:rFonts w:ascii="Times New Roman" w:hAnsi="Times New Roman" w:cs="Times New Roman"/>
        </w:rPr>
      </w:pPr>
    </w:p>
    <w:p w14:paraId="16FB4184"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Asymptomatic malaria represents a significant hidden reservoir in endemic regions, where repeated exposure leads to partial immunity and low-density infections that remain transmissible but clinically silent (27–29). These infections often constitute a large proportion of malaria cases—sometimes exceeding 50%—and persist undetected because individuals do not seek treatment, thereby sustaining transmission even as symptomatic cases decline (27, 28).</w:t>
      </w:r>
    </w:p>
    <w:p w14:paraId="400D1A87"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 xml:space="preserve">Mixed </w:t>
      </w:r>
      <w:r w:rsidRPr="009C261E">
        <w:rPr>
          <w:rFonts w:ascii="Times New Roman" w:hAnsi="Times New Roman" w:cs="Times New Roman"/>
          <w:i/>
          <w:iCs/>
        </w:rPr>
        <w:t>Plasmodium</w:t>
      </w:r>
      <w:r w:rsidRPr="009C261E">
        <w:rPr>
          <w:rFonts w:ascii="Times New Roman" w:hAnsi="Times New Roman" w:cs="Times New Roman"/>
        </w:rPr>
        <w:t xml:space="preserve"> infections, involving two or more species, are also common in areas with co-circulating species (27, 29). These infections can influence disease severity, immune responses, and treatment outcomes, yet they are frequently underreported due to diagnostic limitations (14–16, 27).</w:t>
      </w:r>
    </w:p>
    <w:p w14:paraId="51BF8203"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Conventional diagnostic methods, including microscopy and rapid diagnostic tests (RDTs), remain widely used but have notable limitations. Microscopy, while useful for species identification, has reduced sensitivity at low parasite densities and depends heavily on technical expertise (28, 29). Similarly, RDTs provide rapid results but may fail to detect low-density infections, differentiate species accurately, or identify infections in cases of antigen persistence or genetic variations (27, 29, 30).</w:t>
      </w:r>
    </w:p>
    <w:p w14:paraId="3AEB862E"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Molecular techniques, particularly polymerase chain reaction (PCR), offer higher sensitivity and specificity, detecting infections at very low parasite densities and accurately identifying mixed-species infections (23, 24, 29). Studies consistently show that PCR uncovers more infections than conventional methods, especially among asymptomatic individuals, making it a valuable tool in elimination settings (27, 28). However, its application is limited by cost, infrastructure, and technical requirements (29).</w:t>
      </w:r>
    </w:p>
    <w:p w14:paraId="78876B6C"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As malaria incidence declines, submicroscopic and mixed infections become increasingly important in sustaining transmission (27, 28). These hidden infections complicate elimination efforts by evading detection and enabling continued parasite circulation (16, 29). Consequently, integrating molecular diagnostics into surveillance systems is essential for accurate detection, improved intervention strategies, and effective malaria control (28, 30).</w:t>
      </w:r>
    </w:p>
    <w:p w14:paraId="7E3110D5"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Despite advancements, key gaps remain, including limited community-based studies on asymptomatic carriers, insufficient comparative evaluations of diagnostic methods, and underreporting of mixed infections (28, 29). Addressing these gaps is critical for improving surveillance accuracy and informing malaria elimination strategies (30).</w:t>
      </w:r>
    </w:p>
    <w:p w14:paraId="3B5FAC4C" w14:textId="77777777" w:rsidR="009C261E" w:rsidRPr="009C261E" w:rsidRDefault="009C261E" w:rsidP="009C261E">
      <w:pPr>
        <w:spacing w:after="0" w:line="240" w:lineRule="auto"/>
        <w:jc w:val="both"/>
        <w:rPr>
          <w:rFonts w:ascii="Times New Roman" w:hAnsi="Times New Roman" w:cs="Times New Roman"/>
        </w:rPr>
      </w:pPr>
      <w:r w:rsidRPr="009C261E">
        <w:rPr>
          <w:rFonts w:ascii="Times New Roman" w:hAnsi="Times New Roman" w:cs="Times New Roman"/>
        </w:rPr>
        <w:t>This study therefore seeks to evaluate PCR-based detection of mixed infections among asymptomatic individuals and compare its performance with conventional methods, with the aim of improving diagnosis, guiding treatment, and supporting malaria elimination efforts (23, 27, 28).</w:t>
      </w:r>
    </w:p>
    <w:p w14:paraId="29444D3F" w14:textId="77777777" w:rsidR="001F20CA" w:rsidRDefault="001F20CA" w:rsidP="003C35DC">
      <w:pPr>
        <w:spacing w:after="0" w:line="240" w:lineRule="auto"/>
        <w:jc w:val="both"/>
        <w:rPr>
          <w:rFonts w:ascii="Times New Roman" w:hAnsi="Times New Roman" w:cs="Times New Roman"/>
        </w:rPr>
      </w:pPr>
    </w:p>
    <w:p w14:paraId="3D81AD7F" w14:textId="77777777" w:rsidR="009C261E" w:rsidRPr="00AE16C5" w:rsidRDefault="009C261E" w:rsidP="009C261E">
      <w:pPr>
        <w:spacing w:after="0" w:line="240" w:lineRule="auto"/>
        <w:jc w:val="both"/>
        <w:rPr>
          <w:rFonts w:ascii="Times New Roman" w:hAnsi="Times New Roman" w:cs="Times New Roman"/>
        </w:rPr>
      </w:pPr>
      <w:r w:rsidRPr="00AE16C5">
        <w:rPr>
          <w:rFonts w:ascii="Times New Roman" w:hAnsi="Times New Roman" w:cs="Times New Roman"/>
        </w:rPr>
        <w:t xml:space="preserve">The present study aims to evaluate PCR-based detection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within a malaria-endemic community. Specifically, the objectives are to:</w:t>
      </w:r>
    </w:p>
    <w:p w14:paraId="32E9C3AB" w14:textId="77777777" w:rsidR="009C261E" w:rsidRPr="00AE16C5" w:rsidRDefault="009C261E" w:rsidP="009C261E">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Determine the prevalence of asymptomatic malaria infections using PCR, microscopy, and RDT.</w:t>
      </w:r>
    </w:p>
    <w:p w14:paraId="4D044B7D" w14:textId="77777777" w:rsidR="009C261E" w:rsidRPr="00AE16C5" w:rsidRDefault="009C261E" w:rsidP="009C261E">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Assess the proportion of mixed-species infections detected by molecular methods.</w:t>
      </w:r>
    </w:p>
    <w:p w14:paraId="38D0E87B" w14:textId="77777777" w:rsidR="009C261E" w:rsidRPr="00AE16C5" w:rsidRDefault="009C261E" w:rsidP="009C261E">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Compare the diagnostic performance of PCR with conventional methods.</w:t>
      </w:r>
    </w:p>
    <w:p w14:paraId="41738A01" w14:textId="77777777" w:rsidR="009C261E" w:rsidRPr="00AE16C5" w:rsidRDefault="009C261E" w:rsidP="009C261E">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lastRenderedPageBreak/>
        <w:t>Evaluate the implications of submicroscopic and mixed infections for malaria elimination strategies.</w:t>
      </w:r>
    </w:p>
    <w:p w14:paraId="0882219B" w14:textId="77777777" w:rsidR="009C261E" w:rsidRPr="00AE16C5" w:rsidRDefault="009C261E" w:rsidP="009C261E">
      <w:pPr>
        <w:spacing w:after="0" w:line="240" w:lineRule="auto"/>
        <w:jc w:val="both"/>
        <w:rPr>
          <w:rFonts w:ascii="Times New Roman" w:hAnsi="Times New Roman" w:cs="Times New Roman"/>
        </w:rPr>
      </w:pPr>
      <w:r w:rsidRPr="00AE16C5">
        <w:rPr>
          <w:rFonts w:ascii="Times New Roman" w:hAnsi="Times New Roman" w:cs="Times New Roman"/>
        </w:rPr>
        <w:t>By providing a comprehensive assessment of molecular detection in asymptomatic individuals, this study contributes to understanding hidden reservoirs of infection and highlights the importance of integrating advanced diagnostic tools into malaria surveillance frameworks.</w:t>
      </w:r>
    </w:p>
    <w:p w14:paraId="74B777F3" w14:textId="77777777" w:rsidR="009C261E" w:rsidRDefault="009C261E" w:rsidP="003C35DC">
      <w:pPr>
        <w:spacing w:after="0" w:line="240" w:lineRule="auto"/>
        <w:jc w:val="both"/>
        <w:rPr>
          <w:rFonts w:ascii="Times New Roman" w:hAnsi="Times New Roman" w:cs="Times New Roman"/>
          <w:b/>
          <w:bCs/>
        </w:rPr>
      </w:pPr>
    </w:p>
    <w:p w14:paraId="06A51D38" w14:textId="3D032FD5" w:rsidR="00F2578B" w:rsidRPr="00AE16C5" w:rsidRDefault="009C261E"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 Materials and Methods</w:t>
      </w:r>
    </w:p>
    <w:p w14:paraId="61A755FB" w14:textId="5FD22D25"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.1 Study Design</w:t>
      </w:r>
    </w:p>
    <w:p w14:paraId="592AA0CF" w14:textId="1A325B5B"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community-based cross-sectional molecular epidemiological study was conducted in a malaria-endemic region over a six-month period. The study focused exclusively on asymptomatic individuals in order to assess the prevalence of subclinical and mixed-species infections.</w:t>
      </w:r>
      <w:r>
        <w:rPr>
          <w:rFonts w:ascii="Times New Roman" w:hAnsi="Times New Roman" w:cs="Times New Roman"/>
        </w:rPr>
        <w:t xml:space="preserve"> </w:t>
      </w:r>
      <w:r w:rsidRPr="00EC2FD5">
        <w:rPr>
          <w:rFonts w:ascii="Times New Roman" w:hAnsi="Times New Roman" w:cs="Times New Roman"/>
        </w:rPr>
        <w:t>The diagnostic workflow followed a structured sequence beginning with clinical screening of participants, followed by blood sample collection. The collected samples were then analyzed using light microscopy and rapid diagnostic testing (RDT). Subsequently, DNA was extracted from the samples and subjected to nested PCR amplification. Finally, gel electrophoresis was performed to visualize and confirm the amplified products for species identification.</w:t>
      </w:r>
    </w:p>
    <w:p w14:paraId="05F0F80E" w14:textId="60BC019F" w:rsidR="00F2578B" w:rsidRPr="00AE16C5" w:rsidRDefault="00F2578B" w:rsidP="003C35DC">
      <w:pPr>
        <w:spacing w:after="0" w:line="240" w:lineRule="auto"/>
        <w:jc w:val="both"/>
        <w:rPr>
          <w:rFonts w:ascii="Times New Roman" w:hAnsi="Times New Roman" w:cs="Times New Roman"/>
        </w:rPr>
      </w:pPr>
    </w:p>
    <w:p w14:paraId="0868EE02" w14:textId="2921BDE1"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.2 Study Population and Sampling</w:t>
      </w:r>
    </w:p>
    <w:p w14:paraId="351E690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total of 600 asymptomatic participants aged between 5 and 65 years were enrolled in the study. Participants were included if they had no fever (≥37.5°C) at the time of screening, had not experienced malaria-related symptoms within the previous 14 days, had resided in the study area for at least six months, and provided informed consent to participate.</w:t>
      </w:r>
    </w:p>
    <w:p w14:paraId="6AB0DD07"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Individuals were excluded if they had received antimalarial therapy within the past four weeks or if they presented with severe illness at the time of enrollment.</w:t>
      </w:r>
    </w:p>
    <w:p w14:paraId="5638EA93" w14:textId="77777777" w:rsidR="00171C08" w:rsidRPr="00AE16C5" w:rsidRDefault="00171C08" w:rsidP="003C35DC">
      <w:pPr>
        <w:spacing w:after="0" w:line="240" w:lineRule="auto"/>
        <w:ind w:left="360"/>
        <w:jc w:val="both"/>
        <w:rPr>
          <w:rFonts w:ascii="Times New Roman" w:hAnsi="Times New Roman" w:cs="Times New Roman"/>
        </w:rPr>
      </w:pPr>
    </w:p>
    <w:p w14:paraId="478D08FB" w14:textId="3C206B84" w:rsidR="00F2578B" w:rsidRPr="00996DBC" w:rsidRDefault="00F2578B" w:rsidP="003C35DC">
      <w:pPr>
        <w:spacing w:after="0" w:line="240" w:lineRule="auto"/>
        <w:jc w:val="both"/>
        <w:rPr>
          <w:rFonts w:ascii="Times New Roman" w:hAnsi="Times New Roman" w:cs="Times New Roman"/>
          <w:b/>
          <w:bCs/>
          <w:sz w:val="32"/>
          <w:szCs w:val="32"/>
        </w:rPr>
      </w:pPr>
    </w:p>
    <w:p w14:paraId="3EB363D1" w14:textId="016850DC" w:rsidR="00996DBC" w:rsidRPr="00996DBC" w:rsidRDefault="00996DBC" w:rsidP="003C35DC">
      <w:pPr>
        <w:pStyle w:val="Caption"/>
        <w:keepNext/>
        <w:spacing w:after="0"/>
        <w:jc w:val="both"/>
        <w:rPr>
          <w:rFonts w:ascii="Times New Roman" w:hAnsi="Times New Roman" w:cs="Times New Roman"/>
          <w:i w:val="0"/>
          <w:iCs w:val="0"/>
          <w:sz w:val="22"/>
          <w:szCs w:val="22"/>
        </w:rPr>
      </w:pPr>
      <w:r w:rsidRPr="00996DBC">
        <w:rPr>
          <w:rFonts w:ascii="Times New Roman" w:hAnsi="Times New Roman" w:cs="Times New Roman"/>
          <w:i w:val="0"/>
          <w:iCs w:val="0"/>
          <w:sz w:val="22"/>
          <w:szCs w:val="22"/>
        </w:rPr>
        <w:t xml:space="preserve">Table </w:t>
      </w:r>
      <w:r w:rsidRPr="00996DBC">
        <w:rPr>
          <w:rFonts w:ascii="Times New Roman" w:hAnsi="Times New Roman" w:cs="Times New Roman"/>
          <w:i w:val="0"/>
          <w:iCs w:val="0"/>
          <w:sz w:val="22"/>
          <w:szCs w:val="22"/>
        </w:rPr>
        <w:fldChar w:fldCharType="begin"/>
      </w:r>
      <w:r w:rsidRPr="00996DBC">
        <w:rPr>
          <w:rFonts w:ascii="Times New Roman" w:hAnsi="Times New Roman" w:cs="Times New Roman"/>
          <w:i w:val="0"/>
          <w:iCs w:val="0"/>
          <w:sz w:val="22"/>
          <w:szCs w:val="22"/>
        </w:rPr>
        <w:instrText xml:space="preserve"> SEQ Table \* ARABIC </w:instrText>
      </w:r>
      <w:r w:rsidRPr="00996DBC">
        <w:rPr>
          <w:rFonts w:ascii="Times New Roman" w:hAnsi="Times New Roman" w:cs="Times New Roman"/>
          <w:i w:val="0"/>
          <w:iCs w:val="0"/>
          <w:sz w:val="22"/>
          <w:szCs w:val="22"/>
        </w:rPr>
        <w:fldChar w:fldCharType="separate"/>
      </w:r>
      <w:r>
        <w:rPr>
          <w:rFonts w:ascii="Times New Roman" w:hAnsi="Times New Roman" w:cs="Times New Roman"/>
          <w:i w:val="0"/>
          <w:iCs w:val="0"/>
          <w:noProof/>
          <w:sz w:val="22"/>
          <w:szCs w:val="22"/>
        </w:rPr>
        <w:t>1</w:t>
      </w:r>
      <w:r w:rsidRPr="00996DBC">
        <w:rPr>
          <w:rFonts w:ascii="Times New Roman" w:hAnsi="Times New Roman" w:cs="Times New Roman"/>
          <w:i w:val="0"/>
          <w:iCs w:val="0"/>
          <w:sz w:val="22"/>
          <w:szCs w:val="22"/>
        </w:rPr>
        <w:fldChar w:fldCharType="end"/>
      </w:r>
      <w:r w:rsidRPr="00996DBC">
        <w:rPr>
          <w:rFonts w:ascii="Times New Roman" w:hAnsi="Times New Roman" w:cs="Times New Roman"/>
          <w:i w:val="0"/>
          <w:iCs w:val="0"/>
          <w:sz w:val="22"/>
          <w:szCs w:val="22"/>
        </w:rPr>
        <w:t>: Demographic Characteristics of Participants</w:t>
      </w:r>
    </w:p>
    <w:tbl>
      <w:tblPr>
        <w:tblStyle w:val="TableGrid"/>
        <w:tblW w:w="0" w:type="auto"/>
        <w:tblLook w:val="04A0" w:firstRow="1" w:lastRow="0" w:firstColumn="1" w:lastColumn="0" w:noHBand="0" w:noVBand="1"/>
      </w:tblPr>
      <w:tblGrid>
        <w:gridCol w:w="1799"/>
        <w:gridCol w:w="1005"/>
        <w:gridCol w:w="1418"/>
        <w:gridCol w:w="1540"/>
      </w:tblGrid>
      <w:tr w:rsidR="00F2578B" w:rsidRPr="00D3060E" w14:paraId="504CD76F" w14:textId="77777777" w:rsidTr="00AE16C5">
        <w:tc>
          <w:tcPr>
            <w:tcW w:w="0" w:type="auto"/>
            <w:hideMark/>
          </w:tcPr>
          <w:p w14:paraId="089E6BF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Variable</w:t>
            </w:r>
          </w:p>
        </w:tc>
        <w:tc>
          <w:tcPr>
            <w:tcW w:w="0" w:type="auto"/>
            <w:hideMark/>
          </w:tcPr>
          <w:p w14:paraId="40A1847A"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Category</w:t>
            </w:r>
          </w:p>
        </w:tc>
        <w:tc>
          <w:tcPr>
            <w:tcW w:w="0" w:type="auto"/>
            <w:hideMark/>
          </w:tcPr>
          <w:p w14:paraId="0F6425AC"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Frequency (n)</w:t>
            </w:r>
          </w:p>
        </w:tc>
        <w:tc>
          <w:tcPr>
            <w:tcW w:w="0" w:type="auto"/>
            <w:hideMark/>
          </w:tcPr>
          <w:p w14:paraId="1005F9C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Percentage (%)</w:t>
            </w:r>
          </w:p>
        </w:tc>
      </w:tr>
      <w:tr w:rsidR="00F2578B" w:rsidRPr="00D3060E" w14:paraId="572978DA" w14:textId="77777777" w:rsidTr="00AE16C5">
        <w:tc>
          <w:tcPr>
            <w:tcW w:w="0" w:type="auto"/>
            <w:hideMark/>
          </w:tcPr>
          <w:p w14:paraId="2EF18C6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Sex</w:t>
            </w:r>
          </w:p>
        </w:tc>
        <w:tc>
          <w:tcPr>
            <w:tcW w:w="0" w:type="auto"/>
            <w:hideMark/>
          </w:tcPr>
          <w:p w14:paraId="03A30A8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Male</w:t>
            </w:r>
          </w:p>
        </w:tc>
        <w:tc>
          <w:tcPr>
            <w:tcW w:w="0" w:type="auto"/>
            <w:hideMark/>
          </w:tcPr>
          <w:p w14:paraId="20D8AE9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298</w:t>
            </w:r>
          </w:p>
        </w:tc>
        <w:tc>
          <w:tcPr>
            <w:tcW w:w="0" w:type="auto"/>
            <w:hideMark/>
          </w:tcPr>
          <w:p w14:paraId="33AEE23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49.7</w:t>
            </w:r>
          </w:p>
        </w:tc>
      </w:tr>
      <w:tr w:rsidR="00F2578B" w:rsidRPr="00D3060E" w14:paraId="06C7799E" w14:textId="77777777" w:rsidTr="00AE16C5">
        <w:tc>
          <w:tcPr>
            <w:tcW w:w="0" w:type="auto"/>
            <w:hideMark/>
          </w:tcPr>
          <w:p w14:paraId="6D0E1C5C"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162D5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Female</w:t>
            </w:r>
          </w:p>
        </w:tc>
        <w:tc>
          <w:tcPr>
            <w:tcW w:w="0" w:type="auto"/>
            <w:hideMark/>
          </w:tcPr>
          <w:p w14:paraId="579645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302</w:t>
            </w:r>
          </w:p>
        </w:tc>
        <w:tc>
          <w:tcPr>
            <w:tcW w:w="0" w:type="auto"/>
            <w:hideMark/>
          </w:tcPr>
          <w:p w14:paraId="3AE1E2D3"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50.3</w:t>
            </w:r>
          </w:p>
        </w:tc>
      </w:tr>
      <w:tr w:rsidR="00F2578B" w:rsidRPr="00D3060E" w14:paraId="5EB856B7" w14:textId="77777777" w:rsidTr="00AE16C5">
        <w:tc>
          <w:tcPr>
            <w:tcW w:w="0" w:type="auto"/>
            <w:hideMark/>
          </w:tcPr>
          <w:p w14:paraId="2D91686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Age Group</w:t>
            </w:r>
          </w:p>
        </w:tc>
        <w:tc>
          <w:tcPr>
            <w:tcW w:w="0" w:type="auto"/>
            <w:hideMark/>
          </w:tcPr>
          <w:p w14:paraId="3E5E44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5–14</w:t>
            </w:r>
          </w:p>
        </w:tc>
        <w:tc>
          <w:tcPr>
            <w:tcW w:w="0" w:type="auto"/>
            <w:hideMark/>
          </w:tcPr>
          <w:p w14:paraId="416784B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210</w:t>
            </w:r>
          </w:p>
        </w:tc>
        <w:tc>
          <w:tcPr>
            <w:tcW w:w="0" w:type="auto"/>
            <w:hideMark/>
          </w:tcPr>
          <w:p w14:paraId="3B5C4B0F"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35.0</w:t>
            </w:r>
          </w:p>
        </w:tc>
      </w:tr>
      <w:tr w:rsidR="00F2578B" w:rsidRPr="00D3060E" w14:paraId="4AC48C7A" w14:textId="77777777" w:rsidTr="00AE16C5">
        <w:tc>
          <w:tcPr>
            <w:tcW w:w="0" w:type="auto"/>
            <w:hideMark/>
          </w:tcPr>
          <w:p w14:paraId="60E38345"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132FD14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15–30</w:t>
            </w:r>
          </w:p>
        </w:tc>
        <w:tc>
          <w:tcPr>
            <w:tcW w:w="0" w:type="auto"/>
            <w:hideMark/>
          </w:tcPr>
          <w:p w14:paraId="2C7C30C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185</w:t>
            </w:r>
          </w:p>
        </w:tc>
        <w:tc>
          <w:tcPr>
            <w:tcW w:w="0" w:type="auto"/>
            <w:hideMark/>
          </w:tcPr>
          <w:p w14:paraId="33687E5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30.8</w:t>
            </w:r>
          </w:p>
        </w:tc>
      </w:tr>
      <w:tr w:rsidR="00F2578B" w:rsidRPr="00D3060E" w14:paraId="3B0DDBF3" w14:textId="77777777" w:rsidTr="00AE16C5">
        <w:tc>
          <w:tcPr>
            <w:tcW w:w="0" w:type="auto"/>
            <w:hideMark/>
          </w:tcPr>
          <w:p w14:paraId="714E043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051217"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31–65</w:t>
            </w:r>
          </w:p>
        </w:tc>
        <w:tc>
          <w:tcPr>
            <w:tcW w:w="0" w:type="auto"/>
            <w:hideMark/>
          </w:tcPr>
          <w:p w14:paraId="3293E14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205</w:t>
            </w:r>
          </w:p>
        </w:tc>
        <w:tc>
          <w:tcPr>
            <w:tcW w:w="0" w:type="auto"/>
            <w:hideMark/>
          </w:tcPr>
          <w:p w14:paraId="6E367AB1"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34.2</w:t>
            </w:r>
          </w:p>
        </w:tc>
      </w:tr>
      <w:tr w:rsidR="00F2578B" w:rsidRPr="00D3060E" w14:paraId="25DAFD7F" w14:textId="77777777" w:rsidTr="00AE16C5">
        <w:tc>
          <w:tcPr>
            <w:tcW w:w="0" w:type="auto"/>
            <w:hideMark/>
          </w:tcPr>
          <w:p w14:paraId="1DBBD8A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Residence Duration</w:t>
            </w:r>
          </w:p>
        </w:tc>
        <w:tc>
          <w:tcPr>
            <w:tcW w:w="0" w:type="auto"/>
            <w:hideMark/>
          </w:tcPr>
          <w:p w14:paraId="4A73AE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 year</w:t>
            </w:r>
          </w:p>
        </w:tc>
        <w:tc>
          <w:tcPr>
            <w:tcW w:w="0" w:type="auto"/>
            <w:hideMark/>
          </w:tcPr>
          <w:p w14:paraId="52E7115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540</w:t>
            </w:r>
          </w:p>
        </w:tc>
        <w:tc>
          <w:tcPr>
            <w:tcW w:w="0" w:type="auto"/>
            <w:hideMark/>
          </w:tcPr>
          <w:p w14:paraId="0590FA3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90.0</w:t>
            </w:r>
          </w:p>
        </w:tc>
      </w:tr>
      <w:tr w:rsidR="00F2578B" w:rsidRPr="00D3060E" w14:paraId="2C815582" w14:textId="77777777" w:rsidTr="00AE16C5">
        <w:tc>
          <w:tcPr>
            <w:tcW w:w="0" w:type="auto"/>
            <w:hideMark/>
          </w:tcPr>
          <w:p w14:paraId="5D3BC6D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48919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&lt;1 year</w:t>
            </w:r>
          </w:p>
        </w:tc>
        <w:tc>
          <w:tcPr>
            <w:tcW w:w="0" w:type="auto"/>
            <w:hideMark/>
          </w:tcPr>
          <w:p w14:paraId="5006BD2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60</w:t>
            </w:r>
          </w:p>
        </w:tc>
        <w:tc>
          <w:tcPr>
            <w:tcW w:w="0" w:type="auto"/>
            <w:hideMark/>
          </w:tcPr>
          <w:p w14:paraId="2D944755"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10.0</w:t>
            </w:r>
          </w:p>
        </w:tc>
      </w:tr>
    </w:tbl>
    <w:p w14:paraId="78BA1698" w14:textId="77777777"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Sampling was performed using systematic household selection to ensure geographic representation.</w:t>
      </w:r>
    </w:p>
    <w:p w14:paraId="1601B22B" w14:textId="0CD54D46" w:rsidR="00F2578B" w:rsidRPr="00AE16C5" w:rsidRDefault="00F2578B" w:rsidP="003C35DC">
      <w:pPr>
        <w:spacing w:after="0" w:line="240" w:lineRule="auto"/>
        <w:jc w:val="both"/>
        <w:rPr>
          <w:rFonts w:ascii="Times New Roman" w:hAnsi="Times New Roman" w:cs="Times New Roman"/>
        </w:rPr>
      </w:pPr>
    </w:p>
    <w:p w14:paraId="5A1CD34B" w14:textId="16924B61"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.3 Sample Collection</w:t>
      </w:r>
    </w:p>
    <w:p w14:paraId="1B23B527" w14:textId="0176C4EF"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Approximately 3 mL of venous blood was collected under aseptic conditions into EDTA tubes to preserve sample integrity. Each sample was then divided into portions for multiple diagnostic procedures, including thick and thin blood smear microscopy, rapid diagnostic testing, and DNA extraction for PCR analysis. All samples were carefully labeled with unique identification codes to ensure proper tracking and avoid mix-ups during laboratory processing.</w:t>
      </w:r>
    </w:p>
    <w:p w14:paraId="43E95FD3" w14:textId="2ED7A5A7"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.4 Microscopy Protocol</w:t>
      </w:r>
    </w:p>
    <w:p w14:paraId="46AF2C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Thick and thin blood films were prepared and stained using 10% Giemsa solution for 10 minutes to allow clear visualization of malaria parasites. The stained slides were examined under oil </w:t>
      </w:r>
      <w:r w:rsidRPr="00EC2FD5">
        <w:rPr>
          <w:rFonts w:ascii="Times New Roman" w:hAnsi="Times New Roman" w:cs="Times New Roman"/>
        </w:rPr>
        <w:lastRenderedPageBreak/>
        <w:t>immersion at 1000× magnification for detailed observation. For each slide, up to 200 white blood cells were counted before a sample was declared negative. Parasite density was then calculated and expressed as parasites per microliter (parasites/µL) of blood.</w:t>
      </w:r>
    </w:p>
    <w:p w14:paraId="495E1CC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To ensure quality control and diagnostic accuracy, 10% of the slides were randomly selected and re-examined by a senior microscopist.</w:t>
      </w:r>
    </w:p>
    <w:p w14:paraId="41A70C2E" w14:textId="50A6D508" w:rsidR="00F2578B" w:rsidRPr="00AE16C5" w:rsidRDefault="00F2578B" w:rsidP="003C35DC">
      <w:pPr>
        <w:spacing w:after="0" w:line="240" w:lineRule="auto"/>
        <w:jc w:val="both"/>
        <w:rPr>
          <w:rFonts w:ascii="Times New Roman" w:hAnsi="Times New Roman" w:cs="Times New Roman"/>
        </w:rPr>
      </w:pPr>
    </w:p>
    <w:p w14:paraId="408B057F" w14:textId="2CDFC9F0"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.5 Rapid Diagnostic Test (RDT)</w:t>
      </w:r>
    </w:p>
    <w:p w14:paraId="3C86EE26"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HRP2-based rapid diagnostic test (RDT) kits were used in accordance with the manufacturer’s instructions. For each test, 5 µL of whole blood was applied to the test cassette, followed by the addition of the provided buffer solution. The results were then read after 15 minutes to determine the presence or absence of malaria infection.</w:t>
      </w:r>
    </w:p>
    <w:p w14:paraId="1F6AFC8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A key limitation of HRP2-based RDTs is that they primarily detect </w:t>
      </w:r>
      <w:r w:rsidRPr="00EC2FD5">
        <w:rPr>
          <w:rFonts w:ascii="Times New Roman" w:hAnsi="Times New Roman" w:cs="Times New Roman"/>
          <w:i/>
          <w:iCs/>
        </w:rPr>
        <w:t>Plasmodium falciparum</w:t>
      </w:r>
      <w:r w:rsidRPr="00EC2FD5">
        <w:rPr>
          <w:rFonts w:ascii="Times New Roman" w:hAnsi="Times New Roman" w:cs="Times New Roman"/>
        </w:rPr>
        <w:t>, which may result in reduced sensitivity for non-falciparum species and mixed infections.</w:t>
      </w:r>
    </w:p>
    <w:p w14:paraId="75B66827" w14:textId="77777777" w:rsidR="00EC2FD5" w:rsidRDefault="00EC2FD5" w:rsidP="003C35DC">
      <w:pPr>
        <w:spacing w:after="0" w:line="240" w:lineRule="auto"/>
        <w:jc w:val="both"/>
        <w:rPr>
          <w:rFonts w:ascii="Times New Roman" w:hAnsi="Times New Roman" w:cs="Times New Roman"/>
          <w:b/>
          <w:bCs/>
        </w:rPr>
      </w:pPr>
    </w:p>
    <w:p w14:paraId="09D60E95" w14:textId="20F00A00"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.6 DNA Extraction</w:t>
      </w:r>
    </w:p>
    <w:p w14:paraId="6B1B80ED" w14:textId="3B0B7504"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Genomic DNA was extracted using commercial silica-column kits following standard laboratory protocols. The procedure involved initial cell lysis to release nucleic acids, followed by binding of DNA to a silica membrane under appropriate conditions. The bound DNA was then washed to remove contaminants and impurities, after which it was eluted to obtain purified DNA. The extracted DNA samples were subsequently stored at −20°C until further amplification was performed.</w:t>
      </w:r>
    </w:p>
    <w:p w14:paraId="192E0234" w14:textId="5B3EF9F5"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.7 Nested PCR Amplification</w:t>
      </w:r>
    </w:p>
    <w:p w14:paraId="430271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Nested PCR targeted the 18S rRNA gene, a highly conserved region among </w:t>
      </w:r>
      <w:r w:rsidRPr="00EC2FD5">
        <w:rPr>
          <w:rFonts w:ascii="Times New Roman" w:hAnsi="Times New Roman" w:cs="Times New Roman"/>
          <w:i/>
          <w:iCs/>
        </w:rPr>
        <w:t>Plasmodium</w:t>
      </w:r>
      <w:r w:rsidRPr="00EC2FD5">
        <w:rPr>
          <w:rFonts w:ascii="Times New Roman" w:hAnsi="Times New Roman" w:cs="Times New Roman"/>
        </w:rPr>
        <w:t xml:space="preserve"> species, enabling sensitive and specific detection. The amplification process was carried out in two stages.</w:t>
      </w:r>
    </w:p>
    <w:p w14:paraId="4FDC09F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In the primary PCR, genus-specific primers were used to amplify a conserved fragment common to all </w:t>
      </w:r>
      <w:r w:rsidRPr="00EC2FD5">
        <w:rPr>
          <w:rFonts w:ascii="Times New Roman" w:hAnsi="Times New Roman" w:cs="Times New Roman"/>
          <w:i/>
          <w:iCs/>
        </w:rPr>
        <w:t>Plasmodium</w:t>
      </w:r>
      <w:r w:rsidRPr="00EC2FD5">
        <w:rPr>
          <w:rFonts w:ascii="Times New Roman" w:hAnsi="Times New Roman" w:cs="Times New Roman"/>
        </w:rPr>
        <w:t xml:space="preserve"> species. This step ensured the initial detection of the parasite at the genus level.</w:t>
      </w:r>
    </w:p>
    <w:p w14:paraId="4778449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The secondary (nested) PCR involved the use of species-specific primers to further amplify the DNA and differentiate between individual species. These primers targeted </w:t>
      </w:r>
      <w:r w:rsidRPr="00EC2FD5">
        <w:rPr>
          <w:rFonts w:ascii="Times New Roman" w:hAnsi="Times New Roman" w:cs="Times New Roman"/>
          <w:i/>
          <w:iCs/>
        </w:rPr>
        <w:t>Plasmodium falciparum</w:t>
      </w:r>
      <w:r w:rsidRPr="00EC2FD5">
        <w:rPr>
          <w:rFonts w:ascii="Times New Roman" w:hAnsi="Times New Roman" w:cs="Times New Roman"/>
        </w:rPr>
        <w:t xml:space="preserve">, </w:t>
      </w:r>
      <w:r w:rsidRPr="00EC2FD5">
        <w:rPr>
          <w:rFonts w:ascii="Times New Roman" w:hAnsi="Times New Roman" w:cs="Times New Roman"/>
          <w:i/>
          <w:iCs/>
        </w:rPr>
        <w:t>Plasmodium vivax</w:t>
      </w:r>
      <w:r w:rsidRPr="00EC2FD5">
        <w:rPr>
          <w:rFonts w:ascii="Times New Roman" w:hAnsi="Times New Roman" w:cs="Times New Roman"/>
        </w:rPr>
        <w:t xml:space="preserve">,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malariae</w:t>
      </w:r>
      <w:proofErr w:type="spellEnd"/>
      <w:r w:rsidRPr="00EC2FD5">
        <w:rPr>
          <w:rFonts w:ascii="Times New Roman" w:hAnsi="Times New Roman" w:cs="Times New Roman"/>
        </w:rPr>
        <w:t xml:space="preserve">, and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ovale</w:t>
      </w:r>
      <w:proofErr w:type="spellEnd"/>
      <w:r w:rsidRPr="00EC2FD5">
        <w:rPr>
          <w:rFonts w:ascii="Times New Roman" w:hAnsi="Times New Roman" w:cs="Times New Roman"/>
        </w:rPr>
        <w:t>, allowing precise identification of single and mixed infections.</w:t>
      </w:r>
    </w:p>
    <w:p w14:paraId="51145F6A" w14:textId="77777777" w:rsidR="00171C08" w:rsidRPr="00AE16C5" w:rsidRDefault="00171C08" w:rsidP="003C35DC">
      <w:pPr>
        <w:spacing w:after="0" w:line="240" w:lineRule="auto"/>
        <w:ind w:left="720"/>
        <w:jc w:val="both"/>
        <w:rPr>
          <w:rFonts w:ascii="Times New Roman" w:hAnsi="Times New Roman" w:cs="Times New Roman"/>
        </w:rPr>
      </w:pPr>
    </w:p>
    <w:p w14:paraId="236C2A83" w14:textId="55B84C5E" w:rsidR="00F2578B" w:rsidRPr="00AE16C5" w:rsidRDefault="00F2578B" w:rsidP="003C35DC">
      <w:pPr>
        <w:spacing w:after="0" w:line="240" w:lineRule="auto"/>
        <w:jc w:val="both"/>
        <w:rPr>
          <w:rFonts w:ascii="Times New Roman" w:hAnsi="Times New Roman" w:cs="Times New Roman"/>
          <w:b/>
          <w:bCs/>
        </w:rPr>
      </w:pPr>
    </w:p>
    <w:p w14:paraId="16BA53A8" w14:textId="33F0D8D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PCR Reaction Conditions</w:t>
      </w:r>
    </w:p>
    <w:tbl>
      <w:tblPr>
        <w:tblStyle w:val="TableGrid"/>
        <w:tblW w:w="0" w:type="auto"/>
        <w:tblLook w:val="04A0" w:firstRow="1" w:lastRow="0" w:firstColumn="1" w:lastColumn="0" w:noHBand="0" w:noVBand="1"/>
      </w:tblPr>
      <w:tblGrid>
        <w:gridCol w:w="2103"/>
        <w:gridCol w:w="1636"/>
        <w:gridCol w:w="1539"/>
      </w:tblGrid>
      <w:tr w:rsidR="00F2578B" w:rsidRPr="00AE16C5" w14:paraId="7E92D286" w14:textId="77777777" w:rsidTr="00AE16C5">
        <w:tc>
          <w:tcPr>
            <w:tcW w:w="0" w:type="auto"/>
            <w:hideMark/>
          </w:tcPr>
          <w:p w14:paraId="07A7A72E"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Parameter</w:t>
            </w:r>
          </w:p>
        </w:tc>
        <w:tc>
          <w:tcPr>
            <w:tcW w:w="0" w:type="auto"/>
            <w:hideMark/>
          </w:tcPr>
          <w:p w14:paraId="45C53D0B"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Primary PCR</w:t>
            </w:r>
          </w:p>
        </w:tc>
        <w:tc>
          <w:tcPr>
            <w:tcW w:w="0" w:type="auto"/>
            <w:hideMark/>
          </w:tcPr>
          <w:p w14:paraId="3AC3A4B7"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Nested PCR</w:t>
            </w:r>
          </w:p>
        </w:tc>
      </w:tr>
      <w:tr w:rsidR="00F2578B" w:rsidRPr="00AE16C5" w14:paraId="5A84DF0C" w14:textId="77777777" w:rsidTr="00AE16C5">
        <w:tc>
          <w:tcPr>
            <w:tcW w:w="0" w:type="auto"/>
            <w:hideMark/>
          </w:tcPr>
          <w:p w14:paraId="61A35AE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Initial Denaturation</w:t>
            </w:r>
          </w:p>
        </w:tc>
        <w:tc>
          <w:tcPr>
            <w:tcW w:w="0" w:type="auto"/>
            <w:hideMark/>
          </w:tcPr>
          <w:p w14:paraId="52E37CC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c>
          <w:tcPr>
            <w:tcW w:w="0" w:type="auto"/>
            <w:hideMark/>
          </w:tcPr>
          <w:p w14:paraId="7C36B9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r>
      <w:tr w:rsidR="00F2578B" w:rsidRPr="00AE16C5" w14:paraId="58D5B788" w14:textId="77777777" w:rsidTr="00AE16C5">
        <w:tc>
          <w:tcPr>
            <w:tcW w:w="0" w:type="auto"/>
            <w:hideMark/>
          </w:tcPr>
          <w:p w14:paraId="366DBD2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Denaturation</w:t>
            </w:r>
          </w:p>
        </w:tc>
        <w:tc>
          <w:tcPr>
            <w:tcW w:w="0" w:type="auto"/>
            <w:hideMark/>
          </w:tcPr>
          <w:p w14:paraId="2AFD78C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c>
          <w:tcPr>
            <w:tcW w:w="0" w:type="auto"/>
            <w:hideMark/>
          </w:tcPr>
          <w:p w14:paraId="591013D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r>
      <w:tr w:rsidR="00F2578B" w:rsidRPr="00AE16C5" w14:paraId="6AEF7935" w14:textId="77777777" w:rsidTr="00AE16C5">
        <w:tc>
          <w:tcPr>
            <w:tcW w:w="0" w:type="auto"/>
            <w:hideMark/>
          </w:tcPr>
          <w:p w14:paraId="19EEBE7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Annealing</w:t>
            </w:r>
          </w:p>
        </w:tc>
        <w:tc>
          <w:tcPr>
            <w:tcW w:w="0" w:type="auto"/>
            <w:hideMark/>
          </w:tcPr>
          <w:p w14:paraId="770E9254"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58°C (1 min)</w:t>
            </w:r>
          </w:p>
        </w:tc>
        <w:tc>
          <w:tcPr>
            <w:tcW w:w="0" w:type="auto"/>
            <w:hideMark/>
          </w:tcPr>
          <w:p w14:paraId="0510A75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60°C (1 min)</w:t>
            </w:r>
          </w:p>
        </w:tc>
      </w:tr>
      <w:tr w:rsidR="00F2578B" w:rsidRPr="00AE16C5" w14:paraId="7F2C97EB" w14:textId="77777777" w:rsidTr="00AE16C5">
        <w:tc>
          <w:tcPr>
            <w:tcW w:w="0" w:type="auto"/>
            <w:hideMark/>
          </w:tcPr>
          <w:p w14:paraId="0009DB9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Extension</w:t>
            </w:r>
          </w:p>
        </w:tc>
        <w:tc>
          <w:tcPr>
            <w:tcW w:w="0" w:type="auto"/>
            <w:hideMark/>
          </w:tcPr>
          <w:p w14:paraId="153A1B1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c>
          <w:tcPr>
            <w:tcW w:w="0" w:type="auto"/>
            <w:hideMark/>
          </w:tcPr>
          <w:p w14:paraId="712DA55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r>
      <w:tr w:rsidR="00F2578B" w:rsidRPr="00AE16C5" w14:paraId="1EB6E795" w14:textId="77777777" w:rsidTr="00AE16C5">
        <w:tc>
          <w:tcPr>
            <w:tcW w:w="0" w:type="auto"/>
            <w:hideMark/>
          </w:tcPr>
          <w:p w14:paraId="6CCD0BA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Final Extension</w:t>
            </w:r>
          </w:p>
        </w:tc>
        <w:tc>
          <w:tcPr>
            <w:tcW w:w="0" w:type="auto"/>
            <w:hideMark/>
          </w:tcPr>
          <w:p w14:paraId="1145EF0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c>
          <w:tcPr>
            <w:tcW w:w="0" w:type="auto"/>
            <w:hideMark/>
          </w:tcPr>
          <w:p w14:paraId="42F07B4C"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r>
      <w:tr w:rsidR="00F2578B" w:rsidRPr="00AE16C5" w14:paraId="2DD6EE9A" w14:textId="77777777" w:rsidTr="00AE16C5">
        <w:tc>
          <w:tcPr>
            <w:tcW w:w="0" w:type="auto"/>
            <w:hideMark/>
          </w:tcPr>
          <w:p w14:paraId="69DEF1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Cycles</w:t>
            </w:r>
          </w:p>
        </w:tc>
        <w:tc>
          <w:tcPr>
            <w:tcW w:w="0" w:type="auto"/>
            <w:hideMark/>
          </w:tcPr>
          <w:p w14:paraId="28F1374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35</w:t>
            </w:r>
          </w:p>
        </w:tc>
        <w:tc>
          <w:tcPr>
            <w:tcW w:w="0" w:type="auto"/>
            <w:hideMark/>
          </w:tcPr>
          <w:p w14:paraId="48E254AB"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30</w:t>
            </w:r>
          </w:p>
        </w:tc>
      </w:tr>
    </w:tbl>
    <w:p w14:paraId="298C528D" w14:textId="4CE2BB85" w:rsidR="00F2578B" w:rsidRPr="00AE16C5" w:rsidRDefault="00F2578B" w:rsidP="003C35DC">
      <w:pPr>
        <w:spacing w:after="0" w:line="240" w:lineRule="auto"/>
        <w:jc w:val="both"/>
        <w:rPr>
          <w:rFonts w:ascii="Times New Roman" w:hAnsi="Times New Roman" w:cs="Times New Roman"/>
        </w:rPr>
      </w:pPr>
    </w:p>
    <w:p w14:paraId="0747C571" w14:textId="4192B89B"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.8 Gel Electrophoresis</w:t>
      </w:r>
    </w:p>
    <w:p w14:paraId="3AAA0795" w14:textId="6932E83C" w:rsidR="00F2578B"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PCR products were separated using 2% agarose gel electrophoresis stained with ethidium bromide to allow visualization of amplified DNA fragments. The electrophoresis was conducted at a voltage of 100 V for approximately 45 minutes. Following separation, the DNA bands were visualized </w:t>
      </w:r>
      <w:r w:rsidRPr="00EC2FD5">
        <w:rPr>
          <w:rFonts w:ascii="Times New Roman" w:hAnsi="Times New Roman" w:cs="Times New Roman"/>
        </w:rPr>
        <w:lastRenderedPageBreak/>
        <w:t>under a UV transilluminator. Species identification was then determined by comparing the observed band sizes with a standard molecular weight marker.</w:t>
      </w:r>
    </w:p>
    <w:p w14:paraId="47F19EF2" w14:textId="77777777" w:rsidR="00EC2FD5" w:rsidRPr="00AE16C5" w:rsidRDefault="00EC2FD5" w:rsidP="003C35DC">
      <w:pPr>
        <w:spacing w:after="0" w:line="240" w:lineRule="auto"/>
        <w:jc w:val="both"/>
        <w:rPr>
          <w:rFonts w:ascii="Times New Roman" w:hAnsi="Times New Roman" w:cs="Times New Roman"/>
        </w:rPr>
      </w:pPr>
    </w:p>
    <w:p w14:paraId="27F1A856" w14:textId="679AC633"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.9 Detection of Mixed Infections</w:t>
      </w:r>
    </w:p>
    <w:p w14:paraId="78DD4660" w14:textId="2C2F206D"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Mixed infections were defined as the presence of more than one species-specific DNA band following nested PCR amplification. For example, a band at 205 base pairs (bp) corresponded to </w:t>
      </w:r>
      <w:r w:rsidRPr="00EC2FD5">
        <w:rPr>
          <w:rFonts w:ascii="Times New Roman" w:hAnsi="Times New Roman" w:cs="Times New Roman"/>
          <w:i/>
          <w:iCs/>
        </w:rPr>
        <w:t>Plasmodium falciparum</w:t>
      </w:r>
      <w:r w:rsidRPr="00EC2FD5">
        <w:rPr>
          <w:rFonts w:ascii="Times New Roman" w:hAnsi="Times New Roman" w:cs="Times New Roman"/>
        </w:rPr>
        <w:t xml:space="preserve">, while a band at 120 bp indicated </w:t>
      </w:r>
      <w:r w:rsidRPr="00EC2FD5">
        <w:rPr>
          <w:rFonts w:ascii="Times New Roman" w:hAnsi="Times New Roman" w:cs="Times New Roman"/>
          <w:i/>
          <w:iCs/>
        </w:rPr>
        <w:t>Plasmodium malariae</w:t>
      </w:r>
      <w:r w:rsidRPr="00EC2FD5">
        <w:rPr>
          <w:rFonts w:ascii="Times New Roman" w:hAnsi="Times New Roman" w:cs="Times New Roman"/>
        </w:rPr>
        <w:t>. The simultaneous presence of both bands in a single sample was interpreted as evidence of a mixed infection involving both species.</w:t>
      </w:r>
    </w:p>
    <w:p w14:paraId="5BE1C430" w14:textId="56413DCC"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.10 Diagnostic Performance Evaluation</w:t>
      </w:r>
    </w:p>
    <w:p w14:paraId="6B20037A" w14:textId="00D25C2A" w:rsidR="00171C08"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PCR was used as the reference standard for evaluating diagnostic performance. Based on this reference, key performance metrics were calculated for both microscopy and rapid diagnostic tests (RDTs). These included sensitivity, which measures the ability to correctly identify true positive cases, and specificity, which assesses the correct identification of true negative cases. Positive Predictive Value (PPV) was used to determine the proportion of true positives among all positive test results, while Negative Predictive Value (NPV) reflected the proportion of true negatives among all negative results. In addition, Cohen’s kappa statistic was calculated to evaluate the level of agreement between each method and the PCR reference beyond chance.</w:t>
      </w:r>
    </w:p>
    <w:p w14:paraId="791EBBD6" w14:textId="77777777" w:rsidR="00EC2FD5" w:rsidRPr="00AE16C5" w:rsidRDefault="00EC2FD5" w:rsidP="003C35DC">
      <w:pPr>
        <w:spacing w:after="0" w:line="240" w:lineRule="auto"/>
        <w:jc w:val="both"/>
        <w:rPr>
          <w:rFonts w:ascii="Times New Roman" w:hAnsi="Times New Roman" w:cs="Times New Roman"/>
        </w:rPr>
      </w:pPr>
    </w:p>
    <w:p w14:paraId="3D0F5D40" w14:textId="7A1F47E2"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Formulas</w:t>
      </w:r>
    </w:p>
    <w:tbl>
      <w:tblPr>
        <w:tblStyle w:val="TableGrid"/>
        <w:tblW w:w="0" w:type="auto"/>
        <w:tblLook w:val="04A0" w:firstRow="1" w:lastRow="0" w:firstColumn="1" w:lastColumn="0" w:noHBand="0" w:noVBand="1"/>
      </w:tblPr>
      <w:tblGrid>
        <w:gridCol w:w="1083"/>
        <w:gridCol w:w="3393"/>
      </w:tblGrid>
      <w:tr w:rsidR="00F2578B" w:rsidRPr="003C35DC" w14:paraId="70DEE016" w14:textId="77777777" w:rsidTr="00AE16C5">
        <w:tc>
          <w:tcPr>
            <w:tcW w:w="0" w:type="auto"/>
            <w:hideMark/>
          </w:tcPr>
          <w:p w14:paraId="1DA092C3"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Metric</w:t>
            </w:r>
          </w:p>
        </w:tc>
        <w:tc>
          <w:tcPr>
            <w:tcW w:w="0" w:type="auto"/>
            <w:hideMark/>
          </w:tcPr>
          <w:p w14:paraId="342B0155"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Formula</w:t>
            </w:r>
          </w:p>
        </w:tc>
      </w:tr>
      <w:tr w:rsidR="00F2578B" w:rsidRPr="003C35DC" w14:paraId="597DA911" w14:textId="77777777" w:rsidTr="00AE16C5">
        <w:tc>
          <w:tcPr>
            <w:tcW w:w="0" w:type="auto"/>
            <w:hideMark/>
          </w:tcPr>
          <w:p w14:paraId="31478D66"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Sensitivity</w:t>
            </w:r>
          </w:p>
        </w:tc>
        <w:tc>
          <w:tcPr>
            <w:tcW w:w="0" w:type="auto"/>
            <w:hideMark/>
          </w:tcPr>
          <w:p w14:paraId="210860FE"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FN)</w:t>
            </w:r>
          </w:p>
        </w:tc>
      </w:tr>
      <w:tr w:rsidR="00F2578B" w:rsidRPr="003C35DC" w14:paraId="1EF9ACC0" w14:textId="77777777" w:rsidTr="00AE16C5">
        <w:tc>
          <w:tcPr>
            <w:tcW w:w="0" w:type="auto"/>
            <w:hideMark/>
          </w:tcPr>
          <w:p w14:paraId="44CBE53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Specificity</w:t>
            </w:r>
          </w:p>
        </w:tc>
        <w:tc>
          <w:tcPr>
            <w:tcW w:w="0" w:type="auto"/>
            <w:hideMark/>
          </w:tcPr>
          <w:p w14:paraId="5D263CDC"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FP)</w:t>
            </w:r>
          </w:p>
        </w:tc>
      </w:tr>
      <w:tr w:rsidR="00F2578B" w:rsidRPr="003C35DC" w14:paraId="33A5510A" w14:textId="77777777" w:rsidTr="00AE16C5">
        <w:tc>
          <w:tcPr>
            <w:tcW w:w="0" w:type="auto"/>
            <w:hideMark/>
          </w:tcPr>
          <w:p w14:paraId="6B64F9A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PPV</w:t>
            </w:r>
          </w:p>
        </w:tc>
        <w:tc>
          <w:tcPr>
            <w:tcW w:w="0" w:type="auto"/>
            <w:hideMark/>
          </w:tcPr>
          <w:p w14:paraId="1BCA1C1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FP)</w:t>
            </w:r>
          </w:p>
        </w:tc>
      </w:tr>
      <w:tr w:rsidR="00F2578B" w:rsidRPr="003C35DC" w14:paraId="08334F63" w14:textId="77777777" w:rsidTr="00AE16C5">
        <w:tc>
          <w:tcPr>
            <w:tcW w:w="0" w:type="auto"/>
            <w:hideMark/>
          </w:tcPr>
          <w:p w14:paraId="6822B191"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NPV</w:t>
            </w:r>
          </w:p>
        </w:tc>
        <w:tc>
          <w:tcPr>
            <w:tcW w:w="0" w:type="auto"/>
            <w:hideMark/>
          </w:tcPr>
          <w:p w14:paraId="1602E5B7"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FN)</w:t>
            </w:r>
          </w:p>
        </w:tc>
      </w:tr>
      <w:tr w:rsidR="00F2578B" w:rsidRPr="003C35DC" w14:paraId="0719A422" w14:textId="77777777" w:rsidTr="00AE16C5">
        <w:tc>
          <w:tcPr>
            <w:tcW w:w="0" w:type="auto"/>
            <w:hideMark/>
          </w:tcPr>
          <w:p w14:paraId="33793B6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Kappa</w:t>
            </w:r>
          </w:p>
        </w:tc>
        <w:tc>
          <w:tcPr>
            <w:tcW w:w="0" w:type="auto"/>
            <w:hideMark/>
          </w:tcPr>
          <w:p w14:paraId="4CE84E88"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(Observed – Expected) / (1 – Expected)</w:t>
            </w:r>
          </w:p>
        </w:tc>
      </w:tr>
    </w:tbl>
    <w:p w14:paraId="7DBA4EF7" w14:textId="474F2D53" w:rsidR="00F2578B" w:rsidRPr="00AE16C5" w:rsidRDefault="00F2578B" w:rsidP="003C35DC">
      <w:pPr>
        <w:spacing w:after="0" w:line="240" w:lineRule="auto"/>
        <w:jc w:val="both"/>
        <w:rPr>
          <w:rFonts w:ascii="Times New Roman" w:hAnsi="Times New Roman" w:cs="Times New Roman"/>
        </w:rPr>
      </w:pPr>
    </w:p>
    <w:p w14:paraId="6F7456C9" w14:textId="5470E50C"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.11 Statistical Analysis</w:t>
      </w:r>
    </w:p>
    <w:p w14:paraId="17A4F361" w14:textId="0DEA0054"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Data were analyzed using appropriate statistical software. The prevalence of malaria infections was expressed as percentages to provide a clear representation of infection rates. Categorical variables were compared using the chi-square test, while McNemar’s test was applied for paired comparisons between diagnostic methods. Additionally, 95% confidence intervals were calculated to assess the precision of estimates. Statistical significance was determined using a threshold of p &lt; 0.05.</w:t>
      </w:r>
    </w:p>
    <w:p w14:paraId="2E19952C" w14:textId="20742686"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.12 Quality Assurance and Contamination Control</w:t>
      </w:r>
    </w:p>
    <w:p w14:paraId="2F4B791B" w14:textId="642162BD"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To minimize the risk of contamination during PCR procedures, strict laboratory protocols were followed. Separate rooms were designated for DNA extraction, PCR setup, and electrophoresis to prevent cross-contamination. Aerosol-resistant pipette tips were used to reduce the risk of sample carryover. Both positive and negative controls were included in each run to verify the accuracy and reliability of the amplification process. In addition, replicate amplification was performed for ambiguous samples to confirm results and ensure consistency.</w:t>
      </w:r>
    </w:p>
    <w:p w14:paraId="7D71D77F" w14:textId="6C04AA82" w:rsidR="00F2578B"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2</w:t>
      </w:r>
      <w:r w:rsidR="00F2578B" w:rsidRPr="00AE16C5">
        <w:rPr>
          <w:rFonts w:ascii="Times New Roman" w:hAnsi="Times New Roman" w:cs="Times New Roman"/>
          <w:b/>
          <w:bCs/>
        </w:rPr>
        <w:t>.13 Study Workflow Diagram</w:t>
      </w:r>
    </w:p>
    <w:p w14:paraId="10DB0F79" w14:textId="77777777" w:rsidR="00996DBC" w:rsidRDefault="00F2578B" w:rsidP="003C35DC">
      <w:pPr>
        <w:keepNext/>
        <w:spacing w:after="0" w:line="240" w:lineRule="auto"/>
        <w:jc w:val="both"/>
      </w:pPr>
      <w:r w:rsidRPr="00AE16C5">
        <w:rPr>
          <w:rFonts w:ascii="Times New Roman" w:hAnsi="Times New Roman" w:cs="Times New Roman"/>
          <w:noProof/>
        </w:rPr>
        <w:lastRenderedPageBreak/>
        <w:drawing>
          <wp:inline distT="0" distB="0" distL="0" distR="0" wp14:anchorId="794A6C64" wp14:editId="2B7487EC">
            <wp:extent cx="3335672" cy="3124200"/>
            <wp:effectExtent l="0" t="0" r="0" b="0"/>
            <wp:docPr id="156846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189" b="30371"/>
                    <a:stretch>
                      <a:fillRect/>
                    </a:stretch>
                  </pic:blipFill>
                  <pic:spPr bwMode="auto">
                    <a:xfrm>
                      <a:off x="0" y="0"/>
                      <a:ext cx="3341715" cy="3129860"/>
                    </a:xfrm>
                    <a:prstGeom prst="rect">
                      <a:avLst/>
                    </a:prstGeom>
                    <a:noFill/>
                    <a:ln>
                      <a:noFill/>
                    </a:ln>
                    <a:extLst>
                      <a:ext uri="{53640926-AAD7-44D8-BBD7-CCE9431645EC}">
                        <a14:shadowObscured xmlns:a14="http://schemas.microsoft.com/office/drawing/2010/main"/>
                      </a:ext>
                    </a:extLst>
                  </pic:spPr>
                </pic:pic>
              </a:graphicData>
            </a:graphic>
          </wp:inline>
        </w:drawing>
      </w:r>
    </w:p>
    <w:p w14:paraId="7AF0865D" w14:textId="64037025" w:rsidR="00F2578B" w:rsidRPr="00AE16C5" w:rsidRDefault="00996DBC" w:rsidP="003C35DC">
      <w:pPr>
        <w:pStyle w:val="Caption"/>
        <w:spacing w:after="0"/>
        <w:jc w:val="both"/>
        <w:rPr>
          <w:rFonts w:ascii="Times New Roman" w:hAnsi="Times New Roman" w:cs="Times New Roman"/>
        </w:rPr>
      </w:pPr>
      <w:r>
        <w:t xml:space="preserve">Figure </w:t>
      </w:r>
      <w:fldSimple w:instr=" SEQ Figure \* ARABIC ">
        <w:r>
          <w:rPr>
            <w:noProof/>
          </w:rPr>
          <w:t>1</w:t>
        </w:r>
      </w:fldSimple>
      <w:r>
        <w:t xml:space="preserve">: </w:t>
      </w:r>
      <w:r w:rsidRPr="00061815">
        <w:t>Diagnostic Workflow Summary</w:t>
      </w:r>
    </w:p>
    <w:p w14:paraId="15DA3E52" w14:textId="77777777" w:rsidR="00996DBC" w:rsidRDefault="00996DBC" w:rsidP="003C35DC">
      <w:pPr>
        <w:spacing w:after="0" w:line="240" w:lineRule="auto"/>
        <w:jc w:val="both"/>
        <w:rPr>
          <w:rFonts w:ascii="Times New Roman" w:hAnsi="Times New Roman" w:cs="Times New Roman"/>
        </w:rPr>
      </w:pPr>
    </w:p>
    <w:p w14:paraId="084AF881" w14:textId="5CFAA008"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employed a rigorous molecular diagnostic framework to evaluate mixed </w:t>
      </w:r>
      <w:r w:rsidRPr="00AE16C5">
        <w:rPr>
          <w:rFonts w:ascii="Times New Roman" w:hAnsi="Times New Roman" w:cs="Times New Roman"/>
          <w:i/>
          <w:iCs/>
        </w:rPr>
        <w:t>Plasmodium</w:t>
      </w:r>
      <w:r w:rsidRPr="00AE16C5">
        <w:rPr>
          <w:rFonts w:ascii="Times New Roman" w:hAnsi="Times New Roman" w:cs="Times New Roman"/>
        </w:rPr>
        <w:t xml:space="preserve"> infections among asymptomatic carriers. By integrating conventional microscopy, RDT, and nested PCR techniques with strict contamination control measures and statistical validation, the methodology ensures high sensitivity, specificity, and reproducibility aligned with international molecular epidemiology standards.</w:t>
      </w:r>
    </w:p>
    <w:p w14:paraId="424837B8" w14:textId="77777777" w:rsidR="00F2578B" w:rsidRPr="00AE16C5" w:rsidRDefault="00F2578B" w:rsidP="003C35DC">
      <w:pPr>
        <w:spacing w:after="0" w:line="240" w:lineRule="auto"/>
        <w:jc w:val="both"/>
        <w:rPr>
          <w:rFonts w:ascii="Times New Roman" w:hAnsi="Times New Roman" w:cs="Times New Roman"/>
        </w:rPr>
      </w:pPr>
    </w:p>
    <w:p w14:paraId="1CE68F70" w14:textId="5B8BE26B"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 Results</w:t>
      </w:r>
    </w:p>
    <w:p w14:paraId="693DA0E9" w14:textId="05A0E41C"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.1 Overall Infection Prevalence</w:t>
      </w:r>
    </w:p>
    <w:p w14:paraId="37A765D5"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Out of the 600 asymptomatic participants included in the study, PCR detected 171 infections, corresponding to a prevalence of 28.5%. In comparison, microscopy identified 104 infections (17.3%), while rapid diagnostic tests (RDTs) detected 115 infections (19.1%). Statistical analysis showed that PCR identified significantly more infections than both microscopy and RDT, with the difference being highly significant (p &lt; 0.001).</w:t>
      </w:r>
    </w:p>
    <w:p w14:paraId="162C4E28" w14:textId="2DECFF3D" w:rsidR="00B932DF" w:rsidRPr="00AE16C5" w:rsidRDefault="00B932DF" w:rsidP="003C35DC">
      <w:pPr>
        <w:spacing w:after="0" w:line="240" w:lineRule="auto"/>
        <w:jc w:val="both"/>
        <w:rPr>
          <w:rFonts w:ascii="Times New Roman" w:hAnsi="Times New Roman" w:cs="Times New Roman"/>
          <w:b/>
          <w:bCs/>
        </w:rPr>
      </w:pPr>
    </w:p>
    <w:p w14:paraId="27B0EF6A" w14:textId="71DD37F3"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4</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Overall Detection Rates</w:t>
      </w:r>
    </w:p>
    <w:tbl>
      <w:tblPr>
        <w:tblStyle w:val="TableGrid"/>
        <w:tblW w:w="0" w:type="auto"/>
        <w:tblLook w:val="04A0" w:firstRow="1" w:lastRow="0" w:firstColumn="1" w:lastColumn="0" w:noHBand="0" w:noVBand="1"/>
      </w:tblPr>
      <w:tblGrid>
        <w:gridCol w:w="2156"/>
        <w:gridCol w:w="1370"/>
        <w:gridCol w:w="1791"/>
        <w:gridCol w:w="1176"/>
      </w:tblGrid>
      <w:tr w:rsidR="00B932DF" w:rsidRPr="00AE16C5" w14:paraId="44E10F87" w14:textId="77777777" w:rsidTr="00AE16C5">
        <w:tc>
          <w:tcPr>
            <w:tcW w:w="0" w:type="auto"/>
            <w:hideMark/>
          </w:tcPr>
          <w:p w14:paraId="3CBEFF5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Diagnostic Method</w:t>
            </w:r>
          </w:p>
        </w:tc>
        <w:tc>
          <w:tcPr>
            <w:tcW w:w="0" w:type="auto"/>
            <w:hideMark/>
          </w:tcPr>
          <w:p w14:paraId="06559567"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Positive (n)</w:t>
            </w:r>
          </w:p>
        </w:tc>
        <w:tc>
          <w:tcPr>
            <w:tcW w:w="0" w:type="auto"/>
            <w:hideMark/>
          </w:tcPr>
          <w:p w14:paraId="1C51552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Prevalence (%)</w:t>
            </w:r>
          </w:p>
        </w:tc>
        <w:tc>
          <w:tcPr>
            <w:tcW w:w="0" w:type="auto"/>
            <w:hideMark/>
          </w:tcPr>
          <w:p w14:paraId="773B9C1E"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95% CI</w:t>
            </w:r>
          </w:p>
        </w:tc>
      </w:tr>
      <w:tr w:rsidR="00B932DF" w:rsidRPr="00AE16C5" w14:paraId="56C49DDF" w14:textId="77777777" w:rsidTr="00AE16C5">
        <w:tc>
          <w:tcPr>
            <w:tcW w:w="0" w:type="auto"/>
            <w:hideMark/>
          </w:tcPr>
          <w:p w14:paraId="091D85C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Microscopy</w:t>
            </w:r>
          </w:p>
        </w:tc>
        <w:tc>
          <w:tcPr>
            <w:tcW w:w="0" w:type="auto"/>
            <w:hideMark/>
          </w:tcPr>
          <w:p w14:paraId="4CA23E6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104</w:t>
            </w:r>
          </w:p>
        </w:tc>
        <w:tc>
          <w:tcPr>
            <w:tcW w:w="0" w:type="auto"/>
            <w:hideMark/>
          </w:tcPr>
          <w:p w14:paraId="0740826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17.3</w:t>
            </w:r>
          </w:p>
        </w:tc>
        <w:tc>
          <w:tcPr>
            <w:tcW w:w="0" w:type="auto"/>
            <w:hideMark/>
          </w:tcPr>
          <w:p w14:paraId="50D6AD5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14.4–20.6</w:t>
            </w:r>
          </w:p>
        </w:tc>
      </w:tr>
      <w:tr w:rsidR="00B932DF" w:rsidRPr="00AE16C5" w14:paraId="506380B7" w14:textId="77777777" w:rsidTr="00AE16C5">
        <w:tc>
          <w:tcPr>
            <w:tcW w:w="0" w:type="auto"/>
            <w:hideMark/>
          </w:tcPr>
          <w:p w14:paraId="4FE967D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RDT</w:t>
            </w:r>
          </w:p>
        </w:tc>
        <w:tc>
          <w:tcPr>
            <w:tcW w:w="0" w:type="auto"/>
            <w:hideMark/>
          </w:tcPr>
          <w:p w14:paraId="4841E8F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115</w:t>
            </w:r>
          </w:p>
        </w:tc>
        <w:tc>
          <w:tcPr>
            <w:tcW w:w="0" w:type="auto"/>
            <w:hideMark/>
          </w:tcPr>
          <w:p w14:paraId="2394271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19.1</w:t>
            </w:r>
          </w:p>
        </w:tc>
        <w:tc>
          <w:tcPr>
            <w:tcW w:w="0" w:type="auto"/>
            <w:hideMark/>
          </w:tcPr>
          <w:p w14:paraId="05ACC73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16.1–22.5</w:t>
            </w:r>
          </w:p>
        </w:tc>
      </w:tr>
      <w:tr w:rsidR="00B932DF" w:rsidRPr="00AE16C5" w14:paraId="1A0EF13E" w14:textId="77777777" w:rsidTr="00AE16C5">
        <w:tc>
          <w:tcPr>
            <w:tcW w:w="0" w:type="auto"/>
            <w:hideMark/>
          </w:tcPr>
          <w:p w14:paraId="144DD05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PCR</w:t>
            </w:r>
          </w:p>
        </w:tc>
        <w:tc>
          <w:tcPr>
            <w:tcW w:w="0" w:type="auto"/>
            <w:hideMark/>
          </w:tcPr>
          <w:p w14:paraId="083F3823"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171</w:t>
            </w:r>
          </w:p>
        </w:tc>
        <w:tc>
          <w:tcPr>
            <w:tcW w:w="0" w:type="auto"/>
            <w:hideMark/>
          </w:tcPr>
          <w:p w14:paraId="7C593A9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28.5</w:t>
            </w:r>
          </w:p>
        </w:tc>
        <w:tc>
          <w:tcPr>
            <w:tcW w:w="0" w:type="auto"/>
            <w:hideMark/>
          </w:tcPr>
          <w:p w14:paraId="062A266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24.9–32.3</w:t>
            </w:r>
          </w:p>
        </w:tc>
      </w:tr>
    </w:tbl>
    <w:p w14:paraId="4A498C1F" w14:textId="1ECA837D" w:rsidR="00B932DF" w:rsidRPr="00AE16C5" w:rsidRDefault="00B932DF" w:rsidP="003C35DC">
      <w:pPr>
        <w:spacing w:after="0" w:line="240" w:lineRule="auto"/>
        <w:jc w:val="both"/>
        <w:rPr>
          <w:rFonts w:ascii="Times New Roman" w:hAnsi="Times New Roman" w:cs="Times New Roman"/>
        </w:rPr>
      </w:pPr>
    </w:p>
    <w:p w14:paraId="02916EBC" w14:textId="40081CD5"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.2 Species Distribution by PCR</w:t>
      </w:r>
    </w:p>
    <w:p w14:paraId="2051E43C"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PCR identified four </w:t>
      </w:r>
      <w:r w:rsidRPr="00AE16C5">
        <w:rPr>
          <w:rFonts w:ascii="Times New Roman" w:hAnsi="Times New Roman" w:cs="Times New Roman"/>
          <w:i/>
          <w:iCs/>
        </w:rPr>
        <w:t>Plasmodium</w:t>
      </w:r>
      <w:r w:rsidRPr="00AE16C5">
        <w:rPr>
          <w:rFonts w:ascii="Times New Roman" w:hAnsi="Times New Roman" w:cs="Times New Roman"/>
        </w:rPr>
        <w:t xml:space="preserve"> species, including mixed infections.</w:t>
      </w:r>
    </w:p>
    <w:p w14:paraId="71751976" w14:textId="5EFF98A4"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5</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Species Distribution (PCR-Confirmed Cases)</w:t>
      </w:r>
    </w:p>
    <w:tbl>
      <w:tblPr>
        <w:tblStyle w:val="TableGrid"/>
        <w:tblW w:w="0" w:type="auto"/>
        <w:tblLook w:val="04A0" w:firstRow="1" w:lastRow="0" w:firstColumn="1" w:lastColumn="0" w:noHBand="0" w:noVBand="1"/>
      </w:tblPr>
      <w:tblGrid>
        <w:gridCol w:w="1850"/>
        <w:gridCol w:w="1419"/>
        <w:gridCol w:w="1805"/>
      </w:tblGrid>
      <w:tr w:rsidR="00B932DF" w:rsidRPr="00AE16C5" w14:paraId="000620B1" w14:textId="77777777" w:rsidTr="00AE16C5">
        <w:tc>
          <w:tcPr>
            <w:tcW w:w="0" w:type="auto"/>
            <w:hideMark/>
          </w:tcPr>
          <w:p w14:paraId="20B87F3D"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Species</w:t>
            </w:r>
          </w:p>
        </w:tc>
        <w:tc>
          <w:tcPr>
            <w:tcW w:w="0" w:type="auto"/>
            <w:hideMark/>
          </w:tcPr>
          <w:p w14:paraId="60F607E6"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Number (n)</w:t>
            </w:r>
          </w:p>
        </w:tc>
        <w:tc>
          <w:tcPr>
            <w:tcW w:w="0" w:type="auto"/>
            <w:hideMark/>
          </w:tcPr>
          <w:p w14:paraId="5999E57F"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Percentage (%)</w:t>
            </w:r>
          </w:p>
        </w:tc>
      </w:tr>
      <w:tr w:rsidR="00B932DF" w:rsidRPr="00AE16C5" w14:paraId="223237BD" w14:textId="77777777" w:rsidTr="00AE16C5">
        <w:tc>
          <w:tcPr>
            <w:tcW w:w="0" w:type="auto"/>
            <w:hideMark/>
          </w:tcPr>
          <w:p w14:paraId="0620DAD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falciparum</w:t>
            </w:r>
          </w:p>
        </w:tc>
        <w:tc>
          <w:tcPr>
            <w:tcW w:w="0" w:type="auto"/>
            <w:hideMark/>
          </w:tcPr>
          <w:p w14:paraId="3577B72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107</w:t>
            </w:r>
          </w:p>
        </w:tc>
        <w:tc>
          <w:tcPr>
            <w:tcW w:w="0" w:type="auto"/>
            <w:hideMark/>
          </w:tcPr>
          <w:p w14:paraId="4CBA4D3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62.6</w:t>
            </w:r>
          </w:p>
        </w:tc>
      </w:tr>
      <w:tr w:rsidR="00B932DF" w:rsidRPr="00AE16C5" w14:paraId="6459B461" w14:textId="77777777" w:rsidTr="00AE16C5">
        <w:tc>
          <w:tcPr>
            <w:tcW w:w="0" w:type="auto"/>
            <w:hideMark/>
          </w:tcPr>
          <w:p w14:paraId="7B911CE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malariae</w:t>
            </w:r>
          </w:p>
        </w:tc>
        <w:tc>
          <w:tcPr>
            <w:tcW w:w="0" w:type="auto"/>
            <w:hideMark/>
          </w:tcPr>
          <w:p w14:paraId="090FDD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w:t>
            </w:r>
          </w:p>
        </w:tc>
        <w:tc>
          <w:tcPr>
            <w:tcW w:w="0" w:type="auto"/>
            <w:hideMark/>
          </w:tcPr>
          <w:p w14:paraId="40ADBDD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14.3</w:t>
            </w:r>
          </w:p>
        </w:tc>
      </w:tr>
      <w:tr w:rsidR="00B932DF" w:rsidRPr="00AE16C5" w14:paraId="78CCEFA7" w14:textId="77777777" w:rsidTr="00AE16C5">
        <w:tc>
          <w:tcPr>
            <w:tcW w:w="0" w:type="auto"/>
            <w:hideMark/>
          </w:tcPr>
          <w:p w14:paraId="6069D90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vivax</w:t>
            </w:r>
          </w:p>
        </w:tc>
        <w:tc>
          <w:tcPr>
            <w:tcW w:w="0" w:type="auto"/>
            <w:hideMark/>
          </w:tcPr>
          <w:p w14:paraId="57B8FCE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w:t>
            </w:r>
          </w:p>
        </w:tc>
        <w:tc>
          <w:tcPr>
            <w:tcW w:w="0" w:type="auto"/>
            <w:hideMark/>
          </w:tcPr>
          <w:p w14:paraId="6ECAE55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w:t>
            </w:r>
          </w:p>
        </w:tc>
      </w:tr>
      <w:tr w:rsidR="00B932DF" w:rsidRPr="00AE16C5" w14:paraId="7205357B" w14:textId="77777777" w:rsidTr="00AE16C5">
        <w:tc>
          <w:tcPr>
            <w:tcW w:w="0" w:type="auto"/>
            <w:hideMark/>
          </w:tcPr>
          <w:p w14:paraId="6912CA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lastRenderedPageBreak/>
              <w:t xml:space="preserve">P. </w:t>
            </w:r>
            <w:proofErr w:type="spellStart"/>
            <w:r w:rsidRPr="00AE16C5">
              <w:rPr>
                <w:rFonts w:ascii="Times New Roman" w:hAnsi="Times New Roman" w:cs="Times New Roman"/>
                <w:i/>
                <w:iCs/>
              </w:rPr>
              <w:t>ovale</w:t>
            </w:r>
            <w:proofErr w:type="spellEnd"/>
          </w:p>
        </w:tc>
        <w:tc>
          <w:tcPr>
            <w:tcW w:w="0" w:type="auto"/>
            <w:hideMark/>
          </w:tcPr>
          <w:p w14:paraId="10F2AC2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w:t>
            </w:r>
          </w:p>
        </w:tc>
        <w:tc>
          <w:tcPr>
            <w:tcW w:w="0" w:type="auto"/>
            <w:hideMark/>
          </w:tcPr>
          <w:p w14:paraId="48C2BE2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5.1</w:t>
            </w:r>
          </w:p>
        </w:tc>
      </w:tr>
      <w:tr w:rsidR="00B932DF" w:rsidRPr="00AE16C5" w14:paraId="1ACED18B" w14:textId="77777777" w:rsidTr="00AE16C5">
        <w:tc>
          <w:tcPr>
            <w:tcW w:w="0" w:type="auto"/>
            <w:hideMark/>
          </w:tcPr>
          <w:p w14:paraId="4CE197A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Mixed infections</w:t>
            </w:r>
          </w:p>
        </w:tc>
        <w:tc>
          <w:tcPr>
            <w:tcW w:w="0" w:type="auto"/>
            <w:hideMark/>
          </w:tcPr>
          <w:p w14:paraId="0584F2E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w:t>
            </w:r>
          </w:p>
        </w:tc>
        <w:tc>
          <w:tcPr>
            <w:tcW w:w="0" w:type="auto"/>
            <w:hideMark/>
          </w:tcPr>
          <w:p w14:paraId="5867A26B"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w:t>
            </w:r>
          </w:p>
        </w:tc>
      </w:tr>
    </w:tbl>
    <w:p w14:paraId="0B497FD7"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Mixed infections were predominantly </w:t>
      </w:r>
      <w:r w:rsidRPr="00AE16C5">
        <w:rPr>
          <w:rFonts w:ascii="Times New Roman" w:hAnsi="Times New Roman" w:cs="Times New Roman"/>
          <w:i/>
          <w:iCs/>
        </w:rPr>
        <w:t>P. falciparum</w:t>
      </w:r>
      <w:r w:rsidRPr="00AE16C5">
        <w:rPr>
          <w:rFonts w:ascii="Times New Roman" w:hAnsi="Times New Roman" w:cs="Times New Roman"/>
        </w:rPr>
        <w:t xml:space="preserve"> + </w:t>
      </w:r>
      <w:r w:rsidRPr="00AE16C5">
        <w:rPr>
          <w:rFonts w:ascii="Times New Roman" w:hAnsi="Times New Roman" w:cs="Times New Roman"/>
          <w:i/>
          <w:iCs/>
        </w:rPr>
        <w:t>P. malariae</w:t>
      </w:r>
      <w:r w:rsidRPr="00AE16C5">
        <w:rPr>
          <w:rFonts w:ascii="Times New Roman" w:hAnsi="Times New Roman" w:cs="Times New Roman"/>
        </w:rPr>
        <w:t xml:space="preserve"> combinations.</w:t>
      </w:r>
    </w:p>
    <w:p w14:paraId="1DBA1361" w14:textId="2B440ED6" w:rsidR="00B932DF" w:rsidRPr="00AE16C5" w:rsidRDefault="00B932DF" w:rsidP="003C35DC">
      <w:pPr>
        <w:spacing w:after="0" w:line="240" w:lineRule="auto"/>
        <w:jc w:val="both"/>
        <w:rPr>
          <w:rFonts w:ascii="Times New Roman" w:hAnsi="Times New Roman" w:cs="Times New Roman"/>
        </w:rPr>
      </w:pPr>
    </w:p>
    <w:p w14:paraId="06863387" w14:textId="47729993"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.3 Diagnostic Performance Metrics</w:t>
      </w:r>
    </w:p>
    <w:p w14:paraId="657379DD"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Using PCR as the reference:</w:t>
      </w:r>
    </w:p>
    <w:p w14:paraId="5316D7B9" w14:textId="6BEE616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6</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Comparison</w:t>
      </w:r>
    </w:p>
    <w:tbl>
      <w:tblPr>
        <w:tblStyle w:val="TableGrid"/>
        <w:tblW w:w="0" w:type="auto"/>
        <w:tblLook w:val="04A0" w:firstRow="1" w:lastRow="0" w:firstColumn="1" w:lastColumn="0" w:noHBand="0" w:noVBand="1"/>
      </w:tblPr>
      <w:tblGrid>
        <w:gridCol w:w="2718"/>
        <w:gridCol w:w="1412"/>
        <w:gridCol w:w="836"/>
      </w:tblGrid>
      <w:tr w:rsidR="00B932DF" w:rsidRPr="00AE16C5" w14:paraId="20245573" w14:textId="77777777" w:rsidTr="00AE16C5">
        <w:tc>
          <w:tcPr>
            <w:tcW w:w="0" w:type="auto"/>
            <w:hideMark/>
          </w:tcPr>
          <w:p w14:paraId="7E6E00F4"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Metric</w:t>
            </w:r>
          </w:p>
        </w:tc>
        <w:tc>
          <w:tcPr>
            <w:tcW w:w="0" w:type="auto"/>
            <w:hideMark/>
          </w:tcPr>
          <w:p w14:paraId="5D279AF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Microscopy</w:t>
            </w:r>
          </w:p>
        </w:tc>
        <w:tc>
          <w:tcPr>
            <w:tcW w:w="0" w:type="auto"/>
            <w:hideMark/>
          </w:tcPr>
          <w:p w14:paraId="53708ED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RDT</w:t>
            </w:r>
          </w:p>
        </w:tc>
      </w:tr>
      <w:tr w:rsidR="00B932DF" w:rsidRPr="00AE16C5" w14:paraId="43558801" w14:textId="77777777" w:rsidTr="00AE16C5">
        <w:tc>
          <w:tcPr>
            <w:tcW w:w="0" w:type="auto"/>
            <w:hideMark/>
          </w:tcPr>
          <w:p w14:paraId="2CEEEEF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Sensitivity</w:t>
            </w:r>
          </w:p>
        </w:tc>
        <w:tc>
          <w:tcPr>
            <w:tcW w:w="0" w:type="auto"/>
            <w:hideMark/>
          </w:tcPr>
          <w:p w14:paraId="6552AA4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61.4%</w:t>
            </w:r>
          </w:p>
        </w:tc>
        <w:tc>
          <w:tcPr>
            <w:tcW w:w="0" w:type="auto"/>
            <w:hideMark/>
          </w:tcPr>
          <w:p w14:paraId="2F5AA41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68.7%</w:t>
            </w:r>
          </w:p>
        </w:tc>
      </w:tr>
      <w:tr w:rsidR="00B932DF" w:rsidRPr="00AE16C5" w14:paraId="7C664435" w14:textId="77777777" w:rsidTr="00AE16C5">
        <w:tc>
          <w:tcPr>
            <w:tcW w:w="0" w:type="auto"/>
            <w:hideMark/>
          </w:tcPr>
          <w:p w14:paraId="434F680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Specificity</w:t>
            </w:r>
          </w:p>
        </w:tc>
        <w:tc>
          <w:tcPr>
            <w:tcW w:w="0" w:type="auto"/>
            <w:hideMark/>
          </w:tcPr>
          <w:p w14:paraId="5857A4D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98.1%</w:t>
            </w:r>
          </w:p>
        </w:tc>
        <w:tc>
          <w:tcPr>
            <w:tcW w:w="0" w:type="auto"/>
            <w:hideMark/>
          </w:tcPr>
          <w:p w14:paraId="355AEDEC"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95.6%</w:t>
            </w:r>
          </w:p>
        </w:tc>
      </w:tr>
      <w:tr w:rsidR="00B932DF" w:rsidRPr="00AE16C5" w14:paraId="26C5B5AA" w14:textId="77777777" w:rsidTr="00AE16C5">
        <w:tc>
          <w:tcPr>
            <w:tcW w:w="0" w:type="auto"/>
            <w:hideMark/>
          </w:tcPr>
          <w:p w14:paraId="7A539E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Positive Predictive Value</w:t>
            </w:r>
          </w:p>
        </w:tc>
        <w:tc>
          <w:tcPr>
            <w:tcW w:w="0" w:type="auto"/>
            <w:hideMark/>
          </w:tcPr>
          <w:p w14:paraId="74F1176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96.2%</w:t>
            </w:r>
          </w:p>
        </w:tc>
        <w:tc>
          <w:tcPr>
            <w:tcW w:w="0" w:type="auto"/>
            <w:hideMark/>
          </w:tcPr>
          <w:p w14:paraId="601BD4F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91.3%</w:t>
            </w:r>
          </w:p>
        </w:tc>
      </w:tr>
      <w:tr w:rsidR="00B932DF" w:rsidRPr="00AE16C5" w14:paraId="64B636A9" w14:textId="77777777" w:rsidTr="00AE16C5">
        <w:tc>
          <w:tcPr>
            <w:tcW w:w="0" w:type="auto"/>
            <w:hideMark/>
          </w:tcPr>
          <w:p w14:paraId="09D6FB8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Negative Predictive Value</w:t>
            </w:r>
          </w:p>
        </w:tc>
        <w:tc>
          <w:tcPr>
            <w:tcW w:w="0" w:type="auto"/>
            <w:hideMark/>
          </w:tcPr>
          <w:p w14:paraId="177B0E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79.4%</w:t>
            </w:r>
          </w:p>
        </w:tc>
        <w:tc>
          <w:tcPr>
            <w:tcW w:w="0" w:type="auto"/>
            <w:hideMark/>
          </w:tcPr>
          <w:p w14:paraId="66EB1CA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82.7%</w:t>
            </w:r>
          </w:p>
        </w:tc>
      </w:tr>
      <w:tr w:rsidR="00B932DF" w:rsidRPr="00AE16C5" w14:paraId="1BECCBB8" w14:textId="77777777" w:rsidTr="00AE16C5">
        <w:tc>
          <w:tcPr>
            <w:tcW w:w="0" w:type="auto"/>
            <w:hideMark/>
          </w:tcPr>
          <w:p w14:paraId="3D5BD9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Cohen’s Kappa</w:t>
            </w:r>
          </w:p>
        </w:tc>
        <w:tc>
          <w:tcPr>
            <w:tcW w:w="0" w:type="auto"/>
            <w:hideMark/>
          </w:tcPr>
          <w:p w14:paraId="07C6D4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0.63</w:t>
            </w:r>
          </w:p>
        </w:tc>
        <w:tc>
          <w:tcPr>
            <w:tcW w:w="0" w:type="auto"/>
            <w:hideMark/>
          </w:tcPr>
          <w:p w14:paraId="71E5E77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0.69</w:t>
            </w:r>
          </w:p>
        </w:tc>
      </w:tr>
    </w:tbl>
    <w:p w14:paraId="66501A72"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Microscopy and RDT demonstrated high specificity but limited sensitivity for detecting submicroscopic and mixed infections.</w:t>
      </w:r>
    </w:p>
    <w:p w14:paraId="2A1387FE" w14:textId="301A4228" w:rsidR="00B932DF" w:rsidRPr="00AE16C5" w:rsidRDefault="00B932DF" w:rsidP="003C35DC">
      <w:pPr>
        <w:spacing w:after="0" w:line="240" w:lineRule="auto"/>
        <w:jc w:val="both"/>
        <w:rPr>
          <w:rFonts w:ascii="Times New Roman" w:hAnsi="Times New Roman" w:cs="Times New Roman"/>
        </w:rPr>
      </w:pPr>
    </w:p>
    <w:p w14:paraId="4A54E96C" w14:textId="7FEE907E"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.4 ROC Curve Analysis</w:t>
      </w:r>
    </w:p>
    <w:p w14:paraId="02C39199"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Receiver Operating Characteristic (ROC) curves were generated to evaluate overall diagnostic discrimination relative to PCR.</w:t>
      </w:r>
    </w:p>
    <w:p w14:paraId="6A374F76"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drawing>
          <wp:inline distT="0" distB="0" distL="0" distR="0" wp14:anchorId="3E638141" wp14:editId="30E7914D">
            <wp:extent cx="2926080" cy="2194560"/>
            <wp:effectExtent l="0" t="0" r="7620" b="0"/>
            <wp:docPr id="1519534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7F2CCAD9" w14:textId="6109EE0A" w:rsidR="00B932DF"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00CD3622">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Microscopy vs PCR</w:t>
      </w:r>
    </w:p>
    <w:p w14:paraId="04C54047" w14:textId="77777777" w:rsidR="00996DBC" w:rsidRDefault="00996DBC" w:rsidP="003C35DC">
      <w:pPr>
        <w:spacing w:after="0" w:line="240" w:lineRule="auto"/>
        <w:jc w:val="both"/>
        <w:rPr>
          <w:rFonts w:ascii="Times New Roman" w:hAnsi="Times New Roman" w:cs="Times New Roman"/>
        </w:rPr>
      </w:pPr>
    </w:p>
    <w:p w14:paraId="6A696772" w14:textId="4AAA5540" w:rsidR="00B932DF" w:rsidRPr="00AE16C5" w:rsidRDefault="00B932DF" w:rsidP="003C35DC">
      <w:pPr>
        <w:spacing w:after="0" w:line="240" w:lineRule="auto"/>
        <w:jc w:val="both"/>
        <w:rPr>
          <w:rFonts w:ascii="Times New Roman" w:hAnsi="Times New Roman" w:cs="Times New Roman"/>
        </w:rPr>
      </w:pPr>
      <w:r w:rsidRPr="00996DBC">
        <w:rPr>
          <w:rFonts w:ascii="Times New Roman" w:hAnsi="Times New Roman" w:cs="Times New Roman"/>
        </w:rPr>
        <w:t>The area under the curve (AUC) for microscopy was approximately 0.97, reflecting strong discrimination when parasite density is sufficient but reduced sensitivity at lower thresholds.</w:t>
      </w:r>
    </w:p>
    <w:p w14:paraId="0C9B4A44"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lastRenderedPageBreak/>
        <w:drawing>
          <wp:inline distT="0" distB="0" distL="0" distR="0" wp14:anchorId="78F7BE32" wp14:editId="0E641789">
            <wp:extent cx="2926080" cy="2194560"/>
            <wp:effectExtent l="0" t="0" r="7620" b="0"/>
            <wp:docPr id="1028726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3C7CD863" w14:textId="142756B1" w:rsidR="00996DBC"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RDT vs PCR</w:t>
      </w:r>
    </w:p>
    <w:p w14:paraId="05FEF034" w14:textId="50F61BF4" w:rsid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 </w:t>
      </w:r>
    </w:p>
    <w:p w14:paraId="3DC25B34" w14:textId="77777777" w:rsidR="00B932DF" w:rsidRPr="0091155D" w:rsidRDefault="00B932DF" w:rsidP="003C35DC">
      <w:pPr>
        <w:spacing w:after="0" w:line="240" w:lineRule="auto"/>
        <w:jc w:val="both"/>
        <w:rPr>
          <w:rFonts w:ascii="Times New Roman" w:hAnsi="Times New Roman" w:cs="Times New Roman"/>
        </w:rPr>
      </w:pPr>
      <w:r w:rsidRPr="0091155D">
        <w:rPr>
          <w:rFonts w:ascii="Times New Roman" w:hAnsi="Times New Roman" w:cs="Times New Roman"/>
        </w:rPr>
        <w:t>The AUC for RDT was approximately 0.97, indicating high discriminatory ability but similar limitations in detecting low-density infections.</w:t>
      </w:r>
    </w:p>
    <w:p w14:paraId="6431A1AC" w14:textId="20E5A900" w:rsidR="00B932DF" w:rsidRPr="00AE16C5" w:rsidRDefault="00B932DF" w:rsidP="003C35DC">
      <w:pPr>
        <w:spacing w:after="0" w:line="240" w:lineRule="auto"/>
        <w:jc w:val="both"/>
        <w:rPr>
          <w:rFonts w:ascii="Times New Roman" w:hAnsi="Times New Roman" w:cs="Times New Roman"/>
        </w:rPr>
      </w:pPr>
    </w:p>
    <w:p w14:paraId="5F141DC5" w14:textId="33677A05"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.5 Detection of Mixed Infections</w:t>
      </w:r>
    </w:p>
    <w:p w14:paraId="10B94F27" w14:textId="71FCA06E" w:rsidR="00B932DF"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Of the 17 PCR-confirmed mixed infections, microscopy detected only 5 cases, representing 29.4%, while rapid diagnostic tests (RDTs) identified 7 cases, accounting for 41.2%. These findings indicate that both microscopy and RDTs missed a substantial proportion of mixed infections when compared to PCR.</w:t>
      </w:r>
      <w:r>
        <w:rPr>
          <w:rFonts w:ascii="Times New Roman" w:hAnsi="Times New Roman" w:cs="Times New Roman"/>
        </w:rPr>
        <w:t xml:space="preserve"> </w:t>
      </w:r>
      <w:r w:rsidRPr="00CD3622">
        <w:rPr>
          <w:rFonts w:ascii="Times New Roman" w:hAnsi="Times New Roman" w:cs="Times New Roman"/>
        </w:rPr>
        <w:t>This indicates that approximately 70% of mixed infections were missed by microscopy, while 59% were missed by rapid diagnostic tests (RDTs). These findings highlight a substantial underestimation of mixed-species infections when relying on conventional diagnostic methods, reinforcing the superior sensitivity of PCR in detecting complex malaria infections.</w:t>
      </w:r>
    </w:p>
    <w:p w14:paraId="42686A59" w14:textId="77777777" w:rsidR="009B2701" w:rsidRDefault="009B2701" w:rsidP="003C35DC">
      <w:pPr>
        <w:spacing w:after="0" w:line="240" w:lineRule="auto"/>
        <w:jc w:val="both"/>
        <w:rPr>
          <w:rFonts w:ascii="Times New Roman" w:hAnsi="Times New Roman" w:cs="Times New Roman"/>
          <w:b/>
          <w:bCs/>
        </w:rPr>
      </w:pPr>
    </w:p>
    <w:p w14:paraId="301E3EDF" w14:textId="39AD6E42" w:rsidR="00B932DF"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3</w:t>
      </w:r>
      <w:r w:rsidR="00B932DF" w:rsidRPr="00AE16C5">
        <w:rPr>
          <w:rFonts w:ascii="Times New Roman" w:hAnsi="Times New Roman" w:cs="Times New Roman"/>
          <w:b/>
          <w:bCs/>
        </w:rPr>
        <w:t>.6 Submicroscopic Infection Burden</w:t>
      </w:r>
    </w:p>
    <w:p w14:paraId="2B4E60AD" w14:textId="77777777" w:rsidR="00034F4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PCR detected 67 infections that were negative by both microscopy and rapid diagnostic tests (RDTs). This represents 39.2% of all PCR-positive cases and highlights a substantial hidden reservoir of asymptomatic parasitemia that remains undetected by conventional diagnostic methods.</w:t>
      </w:r>
      <w:r w:rsidR="00034F42">
        <w:rPr>
          <w:rFonts w:ascii="Times New Roman" w:hAnsi="Times New Roman" w:cs="Times New Roman"/>
        </w:rPr>
        <w:t xml:space="preserve"> </w:t>
      </w:r>
    </w:p>
    <w:p w14:paraId="4987E768" w14:textId="77777777" w:rsidR="00CD3622" w:rsidRDefault="00CD3622" w:rsidP="003C35DC">
      <w:pPr>
        <w:spacing w:after="0" w:line="240" w:lineRule="auto"/>
        <w:jc w:val="both"/>
        <w:rPr>
          <w:rFonts w:ascii="Times New Roman" w:hAnsi="Times New Roman" w:cs="Times New Roman"/>
        </w:rPr>
      </w:pPr>
    </w:p>
    <w:p w14:paraId="7725040E" w14:textId="77777777"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 Discussion</w:t>
      </w:r>
    </w:p>
    <w:p w14:paraId="62199501" w14:textId="77777777"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4.1 Principal Findings</w:t>
      </w:r>
    </w:p>
    <w:p w14:paraId="0A763463" w14:textId="77777777"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This study demonstrates that PCR-based molecular diagnostics significantly improve the detection of asymptomatic and mixed </w:t>
      </w:r>
      <w:r w:rsidRPr="00D1654D">
        <w:rPr>
          <w:rFonts w:ascii="Times New Roman" w:hAnsi="Times New Roman" w:cs="Times New Roman"/>
          <w:i/>
          <w:iCs/>
        </w:rPr>
        <w:t>Plasmodium</w:t>
      </w:r>
      <w:r w:rsidRPr="00D1654D">
        <w:rPr>
          <w:rFonts w:ascii="Times New Roman" w:hAnsi="Times New Roman" w:cs="Times New Roman"/>
        </w:rPr>
        <w:t xml:space="preserve"> infections compared to conventional microscopy and rapid diagnostic tests (RDTs). The prevalence identified by PCR (28.5%) was markedly higher than that detected by microscopy (17.3%) and RDT (19.1%), indicating substantial underdiagnosis when relying on routine diagnostic methods. These findings confirm that a large proportion of infections in endemic settings remain submicroscopic and undetected by conventional tools, particularly among asymptomatic individuals (5,6,13).</w:t>
      </w:r>
    </w:p>
    <w:p w14:paraId="737E2F93" w14:textId="77777777" w:rsidR="00D1654D" w:rsidRDefault="00D1654D" w:rsidP="00D1654D">
      <w:pPr>
        <w:spacing w:after="0" w:line="240" w:lineRule="auto"/>
        <w:jc w:val="both"/>
        <w:rPr>
          <w:rFonts w:ascii="Times New Roman" w:hAnsi="Times New Roman" w:cs="Times New Roman"/>
          <w:b/>
          <w:bCs/>
        </w:rPr>
      </w:pPr>
    </w:p>
    <w:p w14:paraId="73C47874" w14:textId="30096541"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4.2 Diagnostic Limitations and Submicroscopic Infections</w:t>
      </w:r>
    </w:p>
    <w:p w14:paraId="6E98B599" w14:textId="1DADB134"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The detection gap observed in this study is primarily attributable to the limited sensitivity of microscopy and RDTs at low parasite densities. Nearly 40% of PCR-positive cases were submicroscopic, highlighting the magnitude of hidden parasitemia within the study population. </w:t>
      </w:r>
      <w:r w:rsidRPr="00D1654D">
        <w:rPr>
          <w:rFonts w:ascii="Times New Roman" w:hAnsi="Times New Roman" w:cs="Times New Roman"/>
        </w:rPr>
        <w:lastRenderedPageBreak/>
        <w:t>This is consistent with previous studies demonstrating that asymptomatic infections frequently occur at parasite densities below the detection thresholds of conventional diagnostics (5,6).</w:t>
      </w:r>
      <w:r w:rsidR="00A91499">
        <w:rPr>
          <w:rFonts w:ascii="Times New Roman" w:hAnsi="Times New Roman" w:cs="Times New Roman"/>
        </w:rPr>
        <w:t xml:space="preserve"> </w:t>
      </w:r>
      <w:r w:rsidRPr="00D1654D">
        <w:rPr>
          <w:rFonts w:ascii="Times New Roman" w:hAnsi="Times New Roman" w:cs="Times New Roman"/>
        </w:rPr>
        <w:t>Although microscopy and RDTs demonstrated high specificity, their reduced sensitivity suggests that their use alone may lead to systematic underestimation of infection burden. In elimination settings, where transmission is increasingly driven by low-density infections, such diagnostic limitations can undermine surveillance accuracy and intervention strategies (1,25).</w:t>
      </w:r>
    </w:p>
    <w:p w14:paraId="5EAD0E45" w14:textId="77777777" w:rsidR="00D1654D" w:rsidRDefault="00D1654D" w:rsidP="00D1654D">
      <w:pPr>
        <w:spacing w:after="0" w:line="240" w:lineRule="auto"/>
        <w:jc w:val="both"/>
        <w:rPr>
          <w:rFonts w:ascii="Times New Roman" w:hAnsi="Times New Roman" w:cs="Times New Roman"/>
          <w:b/>
          <w:bCs/>
        </w:rPr>
      </w:pPr>
    </w:p>
    <w:p w14:paraId="737B947B" w14:textId="5E78E319"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4.3 Epidemiological Significance of Mixed Infections</w:t>
      </w:r>
    </w:p>
    <w:p w14:paraId="66FC3415" w14:textId="77777777"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Mixed </w:t>
      </w:r>
      <w:r w:rsidRPr="00D1654D">
        <w:rPr>
          <w:rFonts w:ascii="Times New Roman" w:hAnsi="Times New Roman" w:cs="Times New Roman"/>
          <w:i/>
          <w:iCs/>
        </w:rPr>
        <w:t>Plasmodium</w:t>
      </w:r>
      <w:r w:rsidRPr="00D1654D">
        <w:rPr>
          <w:rFonts w:ascii="Times New Roman" w:hAnsi="Times New Roman" w:cs="Times New Roman"/>
        </w:rPr>
        <w:t xml:space="preserve"> infections accounted for approximately 9.8% of PCR-confirmed cases in this study, yet the majority were missed by microscopy and RDTs. This finding is consistent with previous reports indicating that mixed infections are frequently underdiagnosed due to morphological similarities between species and limitations in antigen-based detection (12,13,18).</w:t>
      </w:r>
    </w:p>
    <w:p w14:paraId="7466FE24" w14:textId="77777777"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The predominance of </w:t>
      </w:r>
      <w:r w:rsidRPr="00D1654D">
        <w:rPr>
          <w:rFonts w:ascii="Times New Roman" w:hAnsi="Times New Roman" w:cs="Times New Roman"/>
          <w:i/>
          <w:iCs/>
        </w:rPr>
        <w:t>P. falciparum</w:t>
      </w:r>
      <w:r w:rsidRPr="00D1654D">
        <w:rPr>
          <w:rFonts w:ascii="Times New Roman" w:hAnsi="Times New Roman" w:cs="Times New Roman"/>
        </w:rPr>
        <w:t xml:space="preserve"> and </w:t>
      </w:r>
      <w:r w:rsidRPr="00D1654D">
        <w:rPr>
          <w:rFonts w:ascii="Times New Roman" w:hAnsi="Times New Roman" w:cs="Times New Roman"/>
          <w:i/>
          <w:iCs/>
        </w:rPr>
        <w:t>P. malariae</w:t>
      </w:r>
      <w:r w:rsidRPr="00D1654D">
        <w:rPr>
          <w:rFonts w:ascii="Times New Roman" w:hAnsi="Times New Roman" w:cs="Times New Roman"/>
        </w:rPr>
        <w:t xml:space="preserve"> co-infections suggests active co-circulation of species within the study area. Mixed infections have important epidemiological implications, as interspecies interactions may influence parasite density, host immune response, and disease severity (14,15). Furthermore, undetected non-falciparum species may persist following treatment regimens primarily targeting </w:t>
      </w:r>
      <w:r w:rsidRPr="00D1654D">
        <w:rPr>
          <w:rFonts w:ascii="Times New Roman" w:hAnsi="Times New Roman" w:cs="Times New Roman"/>
          <w:i/>
          <w:iCs/>
        </w:rPr>
        <w:t>P. falciparum</w:t>
      </w:r>
      <w:r w:rsidRPr="00D1654D">
        <w:rPr>
          <w:rFonts w:ascii="Times New Roman" w:hAnsi="Times New Roman" w:cs="Times New Roman"/>
        </w:rPr>
        <w:t>, thereby sustaining transmission cycles (13,17).</w:t>
      </w:r>
    </w:p>
    <w:p w14:paraId="46A5B761" w14:textId="77777777" w:rsidR="00D1654D" w:rsidRDefault="00D1654D" w:rsidP="00D1654D">
      <w:pPr>
        <w:spacing w:after="0" w:line="240" w:lineRule="auto"/>
        <w:jc w:val="both"/>
        <w:rPr>
          <w:rFonts w:ascii="Times New Roman" w:hAnsi="Times New Roman" w:cs="Times New Roman"/>
          <w:b/>
          <w:bCs/>
        </w:rPr>
      </w:pPr>
    </w:p>
    <w:p w14:paraId="2E30963A" w14:textId="51ABCB5E"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4.4 Role of Asymptomatic Carriers in Transmission</w:t>
      </w:r>
    </w:p>
    <w:p w14:paraId="2FF2B4DF" w14:textId="1335ECED"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The high prevalence of asymptomatic infections detected by PCR underscores their critical role as reservoirs of malaria transmission. Individuals without clinical symptoms rarely seek treatment, allowing parasites to persist within the community and remain available for mosquito transmission (4,6).</w:t>
      </w:r>
      <w:r w:rsidR="00A91499">
        <w:rPr>
          <w:rFonts w:ascii="Times New Roman" w:hAnsi="Times New Roman" w:cs="Times New Roman"/>
        </w:rPr>
        <w:t xml:space="preserve"> </w:t>
      </w:r>
      <w:r w:rsidRPr="00D1654D">
        <w:rPr>
          <w:rFonts w:ascii="Times New Roman" w:hAnsi="Times New Roman" w:cs="Times New Roman"/>
        </w:rPr>
        <w:t>This finding aligns with growing evidence that asymptomatic carriers constitute a substantial proportion of the infectious reservoir in endemic regions, particularly in settings transitioning from control to elimination (1,25). As malaria incidence declines, the relative contribution of these hidden infections becomes increasingly significant, necessitating more sensitive detection approaches.</w:t>
      </w:r>
    </w:p>
    <w:p w14:paraId="647AAF81" w14:textId="77777777" w:rsidR="00D1654D" w:rsidRDefault="00D1654D" w:rsidP="00D1654D">
      <w:pPr>
        <w:spacing w:after="0" w:line="240" w:lineRule="auto"/>
        <w:jc w:val="both"/>
        <w:rPr>
          <w:rFonts w:ascii="Times New Roman" w:hAnsi="Times New Roman" w:cs="Times New Roman"/>
          <w:b/>
          <w:bCs/>
        </w:rPr>
      </w:pPr>
    </w:p>
    <w:p w14:paraId="0D119ED0" w14:textId="30F93BDF"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4.5 Implications for Malaria Control and Elimination</w:t>
      </w:r>
    </w:p>
    <w:p w14:paraId="78065632" w14:textId="77777777"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The findings of this study have important implications for malaria control strategies. While microscopy and RDTs remain essential for routine clinical diagnosis due to their accessibility and cost-effectiveness, they are insufficient for detecting low-density and mixed infections.</w:t>
      </w:r>
    </w:p>
    <w:p w14:paraId="0D2BDCC4" w14:textId="6C4CE0C1"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The integration of molecular diagnostic tools, such as PCR, into surveillance systems can enhance detection accuracy, improve species identification, and support targeted intervention strategies. In elimination-phase settings, molecular surveillance may be particularly valuable for identifying hidden reservoirs, monitoring species distribution, and evaluating intervention effectiveness (1,25).</w:t>
      </w:r>
      <w:r w:rsidR="00A91499">
        <w:rPr>
          <w:rFonts w:ascii="Times New Roman" w:hAnsi="Times New Roman" w:cs="Times New Roman"/>
        </w:rPr>
        <w:t xml:space="preserve"> </w:t>
      </w:r>
      <w:r w:rsidRPr="00D1654D">
        <w:rPr>
          <w:rFonts w:ascii="Times New Roman" w:hAnsi="Times New Roman" w:cs="Times New Roman"/>
        </w:rPr>
        <w:t>However, the widespread implementation of PCR is limited by cost, infrastructure requirements, and the need for technical expertise (22,23). Therefore, its application may be most appropriate in targeted contexts such as sentinel surveillance, epidemiological studies, and outbreak investigations. Advances in portable and field-adapted molecular technologies may facilitate broader implementation in the future.</w:t>
      </w:r>
    </w:p>
    <w:p w14:paraId="4E3DB944" w14:textId="77777777" w:rsidR="00D1654D" w:rsidRDefault="00D1654D" w:rsidP="00D1654D">
      <w:pPr>
        <w:spacing w:after="0" w:line="240" w:lineRule="auto"/>
        <w:jc w:val="both"/>
        <w:rPr>
          <w:rFonts w:ascii="Times New Roman" w:hAnsi="Times New Roman" w:cs="Times New Roman"/>
          <w:b/>
          <w:bCs/>
        </w:rPr>
      </w:pPr>
    </w:p>
    <w:p w14:paraId="66C10319" w14:textId="22486454"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4.6 Strengths and Limitations</w:t>
      </w:r>
    </w:p>
    <w:p w14:paraId="536F610A" w14:textId="1A82437C"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This study has several strengths. The community-based design enabled the inclusion of asymptomatic individuals, providing a realistic assessment of hidden infection reservoirs. The comparative evaluation of microscopy, RDT, and PCR allowed for a robust assessment of </w:t>
      </w:r>
      <w:r w:rsidRPr="00D1654D">
        <w:rPr>
          <w:rFonts w:ascii="Times New Roman" w:hAnsi="Times New Roman" w:cs="Times New Roman"/>
        </w:rPr>
        <w:lastRenderedPageBreak/>
        <w:t>diagnostic performance. Additionally, the use of molecular techniques enabled accurate species identification and detection of mixed infections.</w:t>
      </w:r>
      <w:r w:rsidR="00A91499">
        <w:rPr>
          <w:rFonts w:ascii="Times New Roman" w:hAnsi="Times New Roman" w:cs="Times New Roman"/>
        </w:rPr>
        <w:t xml:space="preserve"> </w:t>
      </w:r>
      <w:r w:rsidRPr="00D1654D">
        <w:rPr>
          <w:rFonts w:ascii="Times New Roman" w:hAnsi="Times New Roman" w:cs="Times New Roman"/>
        </w:rPr>
        <w:t>However, some limitations should be acknowledged. The cross-sectional design limits the ability to assess temporal dynamics of infection. The study was conducted in a single geographic location, which may affect generalizability. Furthermore, the absence of quantitative PCR (qPCR) limits the ability to assess parasite density more precisely.</w:t>
      </w:r>
    </w:p>
    <w:p w14:paraId="3602BE39" w14:textId="77777777" w:rsidR="00D1654D" w:rsidRDefault="00D1654D" w:rsidP="00D1654D">
      <w:pPr>
        <w:spacing w:after="0" w:line="240" w:lineRule="auto"/>
        <w:jc w:val="both"/>
        <w:rPr>
          <w:rFonts w:ascii="Times New Roman" w:hAnsi="Times New Roman" w:cs="Times New Roman"/>
          <w:b/>
          <w:bCs/>
        </w:rPr>
      </w:pPr>
    </w:p>
    <w:p w14:paraId="72EAA0F6" w14:textId="25E0A410" w:rsidR="00D1654D" w:rsidRPr="00D1654D" w:rsidRDefault="00D1654D" w:rsidP="00D1654D">
      <w:pPr>
        <w:spacing w:after="0" w:line="240" w:lineRule="auto"/>
        <w:jc w:val="both"/>
        <w:rPr>
          <w:rFonts w:ascii="Times New Roman" w:hAnsi="Times New Roman" w:cs="Times New Roman"/>
          <w:b/>
          <w:bCs/>
        </w:rPr>
      </w:pPr>
      <w:r w:rsidRPr="00D1654D">
        <w:rPr>
          <w:rFonts w:ascii="Times New Roman" w:hAnsi="Times New Roman" w:cs="Times New Roman"/>
          <w:b/>
          <w:bCs/>
        </w:rPr>
        <w:t>4.7 Scientific and Policy Implications</w:t>
      </w:r>
    </w:p>
    <w:p w14:paraId="30E4EFB9" w14:textId="15C8A860" w:rsidR="00D1654D" w:rsidRPr="00D1654D" w:rsidRDefault="00D1654D" w:rsidP="00D1654D">
      <w:pPr>
        <w:spacing w:after="0" w:line="240" w:lineRule="auto"/>
        <w:jc w:val="both"/>
        <w:rPr>
          <w:rFonts w:ascii="Times New Roman" w:hAnsi="Times New Roman" w:cs="Times New Roman"/>
        </w:rPr>
      </w:pPr>
      <w:r w:rsidRPr="00D1654D">
        <w:rPr>
          <w:rFonts w:ascii="Times New Roman" w:hAnsi="Times New Roman" w:cs="Times New Roman"/>
        </w:rPr>
        <w:t xml:space="preserve">This study contributes to the growing body of evidence that asymptomatic and mixed </w:t>
      </w:r>
      <w:r w:rsidRPr="00D1654D">
        <w:rPr>
          <w:rFonts w:ascii="Times New Roman" w:hAnsi="Times New Roman" w:cs="Times New Roman"/>
          <w:i/>
          <w:iCs/>
        </w:rPr>
        <w:t>Plasmodium</w:t>
      </w:r>
      <w:r w:rsidRPr="00D1654D">
        <w:rPr>
          <w:rFonts w:ascii="Times New Roman" w:hAnsi="Times New Roman" w:cs="Times New Roman"/>
        </w:rPr>
        <w:t xml:space="preserve"> infections are more prevalent than previously recognized. The demonstrated diagnostic gap between conventional and molecular methods highlights the need for improved surveillance strategies.</w:t>
      </w:r>
      <w:r w:rsidR="00A91499">
        <w:rPr>
          <w:rFonts w:ascii="Times New Roman" w:hAnsi="Times New Roman" w:cs="Times New Roman"/>
        </w:rPr>
        <w:t xml:space="preserve"> </w:t>
      </w:r>
      <w:r w:rsidRPr="00D1654D">
        <w:rPr>
          <w:rFonts w:ascii="Times New Roman" w:hAnsi="Times New Roman" w:cs="Times New Roman"/>
        </w:rPr>
        <w:t>Accurate detection of low-density and mixed infections is essential not only for reducing transmission but also for preventing treatment failure and drug resistance associated with incomplete species identification (13,17). Strengthening diagnostic frameworks through the integration of molecular tools will be critical for achieving sustainable malaria elimination.</w:t>
      </w:r>
    </w:p>
    <w:p w14:paraId="5F2A891B" w14:textId="77777777" w:rsidR="00B932DF" w:rsidRDefault="00B932DF" w:rsidP="003C35DC">
      <w:pPr>
        <w:spacing w:after="0" w:line="240" w:lineRule="auto"/>
        <w:jc w:val="both"/>
        <w:rPr>
          <w:rFonts w:ascii="Times New Roman" w:hAnsi="Times New Roman" w:cs="Times New Roman"/>
        </w:rPr>
      </w:pPr>
    </w:p>
    <w:p w14:paraId="5FBDF0AD" w14:textId="77777777" w:rsidR="00D1654D" w:rsidRDefault="00D1654D" w:rsidP="003C35DC">
      <w:pPr>
        <w:spacing w:after="0" w:line="240" w:lineRule="auto"/>
        <w:jc w:val="both"/>
        <w:rPr>
          <w:rFonts w:ascii="Times New Roman" w:hAnsi="Times New Roman" w:cs="Times New Roman"/>
        </w:rPr>
      </w:pPr>
    </w:p>
    <w:p w14:paraId="3508B507" w14:textId="77777777" w:rsidR="00D1654D" w:rsidRDefault="00D1654D" w:rsidP="003C35DC">
      <w:pPr>
        <w:spacing w:after="0" w:line="240" w:lineRule="auto"/>
        <w:jc w:val="both"/>
        <w:rPr>
          <w:rFonts w:ascii="Times New Roman" w:hAnsi="Times New Roman" w:cs="Times New Roman"/>
        </w:rPr>
      </w:pPr>
    </w:p>
    <w:p w14:paraId="17E378E5" w14:textId="77777777" w:rsidR="00D1654D" w:rsidRDefault="00D1654D" w:rsidP="003C35DC">
      <w:pPr>
        <w:spacing w:after="0" w:line="240" w:lineRule="auto"/>
        <w:jc w:val="both"/>
        <w:rPr>
          <w:rFonts w:ascii="Times New Roman" w:hAnsi="Times New Roman" w:cs="Times New Roman"/>
        </w:rPr>
      </w:pPr>
    </w:p>
    <w:p w14:paraId="2F4BFA90" w14:textId="77777777" w:rsidR="00D1654D" w:rsidRPr="00AE16C5" w:rsidRDefault="00D1654D" w:rsidP="003C35DC">
      <w:pPr>
        <w:spacing w:after="0" w:line="240" w:lineRule="auto"/>
        <w:jc w:val="both"/>
        <w:rPr>
          <w:rFonts w:ascii="Times New Roman" w:hAnsi="Times New Roman" w:cs="Times New Roman"/>
        </w:rPr>
      </w:pPr>
    </w:p>
    <w:p w14:paraId="2B628876" w14:textId="1B849F65" w:rsidR="004804E3" w:rsidRPr="00AE16C5" w:rsidRDefault="00C63304" w:rsidP="003C35DC">
      <w:pPr>
        <w:spacing w:after="0" w:line="240" w:lineRule="auto"/>
        <w:jc w:val="both"/>
        <w:rPr>
          <w:rFonts w:ascii="Times New Roman" w:hAnsi="Times New Roman" w:cs="Times New Roman"/>
          <w:b/>
          <w:bCs/>
        </w:rPr>
      </w:pPr>
      <w:r>
        <w:rPr>
          <w:rFonts w:ascii="Times New Roman" w:hAnsi="Times New Roman" w:cs="Times New Roman"/>
          <w:b/>
          <w:bCs/>
        </w:rPr>
        <w:t>5</w:t>
      </w:r>
      <w:r w:rsidR="004804E3" w:rsidRPr="00AE16C5">
        <w:rPr>
          <w:rFonts w:ascii="Times New Roman" w:hAnsi="Times New Roman" w:cs="Times New Roman"/>
          <w:b/>
          <w:bCs/>
        </w:rPr>
        <w:t>. Conclusion</w:t>
      </w:r>
    </w:p>
    <w:p w14:paraId="627F3574" w14:textId="77777777" w:rsidR="00690A9B" w:rsidRPr="00690A9B" w:rsidRDefault="00690A9B" w:rsidP="00690A9B">
      <w:pPr>
        <w:spacing w:after="0" w:line="240" w:lineRule="auto"/>
        <w:jc w:val="both"/>
        <w:rPr>
          <w:rFonts w:ascii="Times New Roman" w:hAnsi="Times New Roman" w:cs="Times New Roman"/>
        </w:rPr>
      </w:pPr>
      <w:r w:rsidRPr="00690A9B">
        <w:rPr>
          <w:rFonts w:ascii="Times New Roman" w:hAnsi="Times New Roman" w:cs="Times New Roman"/>
        </w:rPr>
        <w:t xml:space="preserve">This study demonstrates that PCR-based molecular diagnostics provide significantly greater sensitivity in detecting asymptomatic and mixed </w:t>
      </w:r>
      <w:r w:rsidRPr="00690A9B">
        <w:rPr>
          <w:rFonts w:ascii="Times New Roman" w:hAnsi="Times New Roman" w:cs="Times New Roman"/>
          <w:i/>
          <w:iCs/>
        </w:rPr>
        <w:t>Plasmodium</w:t>
      </w:r>
      <w:r w:rsidRPr="00690A9B">
        <w:rPr>
          <w:rFonts w:ascii="Times New Roman" w:hAnsi="Times New Roman" w:cs="Times New Roman"/>
        </w:rPr>
        <w:t xml:space="preserve"> infections compared to conventional methods such as microscopy and rapid diagnostic tests (RDTs). A considerable proportion of infections in the study population were submicroscopic and therefore remained undetected by routine diagnostic approaches, highlighting the presence of a substantial hidden reservoir that can sustain ongoing malaria transmission. In addition, mixed-species infections were frequently missed by microscopy and RDTs, underscoring the limitations of these methods in accurately identifying species diversity and guiding appropriate treatment.</w:t>
      </w:r>
    </w:p>
    <w:p w14:paraId="453282C0" w14:textId="77777777" w:rsidR="00690A9B" w:rsidRPr="00690A9B" w:rsidRDefault="00690A9B" w:rsidP="00690A9B">
      <w:pPr>
        <w:spacing w:after="0" w:line="240" w:lineRule="auto"/>
        <w:jc w:val="both"/>
        <w:rPr>
          <w:rFonts w:ascii="Times New Roman" w:hAnsi="Times New Roman" w:cs="Times New Roman"/>
        </w:rPr>
      </w:pPr>
      <w:r w:rsidRPr="00690A9B">
        <w:rPr>
          <w:rFonts w:ascii="Times New Roman" w:hAnsi="Times New Roman" w:cs="Times New Roman"/>
        </w:rPr>
        <w:t>The findings emphasize that reliance on conventional diagnostic tools alone may lead to underestimation of malaria prevalence and hinder effective control efforts, particularly in settings transitioning toward elimination. Incorporating molecular diagnostic techniques into malaria surveillance systems can enhance detection accuracy, improve species identification, and support targeted interventions aimed at interrupting transmission. Although challenges related to cost, infrastructure, and technical expertise remain, the strategic use of PCR in surveillance and research settings offers a valuable approach for addressing diagnostic gaps. Overall, strengthening diagnostic capacity through the integration of sensitive molecular tools is essential for improving malaria control strategies and achieving sustainable elimination goals.</w:t>
      </w:r>
    </w:p>
    <w:p w14:paraId="69520D93" w14:textId="77777777" w:rsidR="003110CE" w:rsidRDefault="003110CE" w:rsidP="003C35DC">
      <w:pPr>
        <w:spacing w:after="0" w:line="240" w:lineRule="auto"/>
        <w:jc w:val="both"/>
        <w:rPr>
          <w:rFonts w:ascii="Times New Roman" w:hAnsi="Times New Roman" w:cs="Times New Roman"/>
        </w:rPr>
      </w:pPr>
    </w:p>
    <w:p w14:paraId="1E9CD222" w14:textId="77777777" w:rsidR="003110CE" w:rsidRDefault="003110CE" w:rsidP="003C35DC">
      <w:pPr>
        <w:spacing w:after="0" w:line="240" w:lineRule="auto"/>
        <w:jc w:val="both"/>
        <w:rPr>
          <w:rFonts w:ascii="Times New Roman" w:hAnsi="Times New Roman" w:cs="Times New Roman"/>
        </w:rPr>
      </w:pPr>
    </w:p>
    <w:p w14:paraId="20B3980D" w14:textId="31314132" w:rsidR="003110CE" w:rsidRP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COMPETING INTERESTS:</w:t>
      </w:r>
    </w:p>
    <w:p w14:paraId="16D5AAD0" w14:textId="19E57817" w:rsid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33CC806" w14:textId="1DD25477" w:rsidR="00AA1DFA" w:rsidRDefault="00AA1DFA" w:rsidP="003110CE">
      <w:pPr>
        <w:spacing w:after="0" w:line="240" w:lineRule="auto"/>
        <w:jc w:val="both"/>
        <w:rPr>
          <w:rFonts w:ascii="Times New Roman" w:hAnsi="Times New Roman" w:cs="Times New Roman"/>
        </w:rPr>
      </w:pPr>
    </w:p>
    <w:p w14:paraId="4061D409" w14:textId="77777777" w:rsidR="00AA1DFA" w:rsidRPr="00AA1DFA" w:rsidRDefault="00AA1DFA" w:rsidP="00AA1DFA">
      <w:pPr>
        <w:spacing w:after="0" w:line="240" w:lineRule="auto"/>
        <w:rPr>
          <w:rFonts w:ascii="Arial" w:eastAsia="Calibri" w:hAnsi="Arial" w:cs="Arial"/>
          <w:sz w:val="22"/>
          <w:szCs w:val="22"/>
          <w:highlight w:val="yellow"/>
          <w14:ligatures w14:val="none"/>
        </w:rPr>
      </w:pPr>
      <w:bookmarkStart w:id="1" w:name="_Hlk198031404"/>
      <w:r w:rsidRPr="00AA1DFA">
        <w:rPr>
          <w:rFonts w:ascii="Arial" w:eastAsia="Calibri" w:hAnsi="Arial" w:cs="Arial"/>
          <w:sz w:val="22"/>
          <w:szCs w:val="22"/>
          <w:highlight w:val="yellow"/>
          <w14:ligatures w14:val="none"/>
        </w:rPr>
        <w:t>Disclaimer (Artificial intelligence)</w:t>
      </w:r>
    </w:p>
    <w:p w14:paraId="04102641" w14:textId="77777777" w:rsidR="00AA1DFA" w:rsidRPr="00AA1DFA" w:rsidRDefault="00AA1DFA" w:rsidP="00AA1DFA">
      <w:pPr>
        <w:spacing w:after="0" w:line="240" w:lineRule="auto"/>
        <w:rPr>
          <w:rFonts w:ascii="Arial" w:eastAsia="Calibri" w:hAnsi="Arial" w:cs="Arial"/>
          <w:sz w:val="22"/>
          <w:szCs w:val="22"/>
          <w:highlight w:val="yellow"/>
          <w14:ligatures w14:val="none"/>
        </w:rPr>
      </w:pPr>
    </w:p>
    <w:p w14:paraId="7A983BF0" w14:textId="77777777" w:rsidR="00AA1DFA" w:rsidRPr="00AA1DFA" w:rsidRDefault="00AA1DFA" w:rsidP="00AA1DFA">
      <w:pPr>
        <w:spacing w:after="0" w:line="240" w:lineRule="auto"/>
        <w:rPr>
          <w:rFonts w:ascii="Arial" w:eastAsia="Calibri" w:hAnsi="Arial" w:cs="Arial"/>
          <w:sz w:val="22"/>
          <w:szCs w:val="22"/>
          <w:highlight w:val="yellow"/>
          <w14:ligatures w14:val="none"/>
        </w:rPr>
      </w:pPr>
      <w:r w:rsidRPr="00AA1DFA">
        <w:rPr>
          <w:rFonts w:ascii="Arial" w:eastAsia="Calibri" w:hAnsi="Arial" w:cs="Arial"/>
          <w:sz w:val="22"/>
          <w:szCs w:val="22"/>
          <w:highlight w:val="yellow"/>
          <w14:ligatures w14:val="none"/>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28FF1B3E" w14:textId="77777777" w:rsidR="00AA1DFA" w:rsidRDefault="00AA1DFA" w:rsidP="003110CE">
      <w:pPr>
        <w:spacing w:after="0" w:line="240" w:lineRule="auto"/>
        <w:jc w:val="both"/>
        <w:rPr>
          <w:rFonts w:ascii="Times New Roman" w:hAnsi="Times New Roman" w:cs="Times New Roman"/>
        </w:rPr>
      </w:pPr>
    </w:p>
    <w:p w14:paraId="03760A9B" w14:textId="77777777" w:rsidR="003110CE" w:rsidRDefault="003110CE" w:rsidP="003C35DC">
      <w:pPr>
        <w:spacing w:after="0" w:line="240" w:lineRule="auto"/>
        <w:jc w:val="both"/>
        <w:rPr>
          <w:rFonts w:ascii="Times New Roman" w:hAnsi="Times New Roman" w:cs="Times New Roman"/>
        </w:rPr>
      </w:pPr>
    </w:p>
    <w:p w14:paraId="11DE6962" w14:textId="77777777" w:rsidR="00686B80" w:rsidRDefault="00686B80" w:rsidP="003C35DC">
      <w:pPr>
        <w:spacing w:after="0" w:line="240" w:lineRule="auto"/>
        <w:jc w:val="both"/>
        <w:rPr>
          <w:rFonts w:ascii="Times New Roman" w:hAnsi="Times New Roman" w:cs="Times New Roman"/>
        </w:rPr>
      </w:pPr>
    </w:p>
    <w:p w14:paraId="195E1BF9" w14:textId="6913A176" w:rsidR="00686B80" w:rsidRPr="00686B80" w:rsidRDefault="00686B80" w:rsidP="003C35DC">
      <w:pPr>
        <w:spacing w:after="0" w:line="240" w:lineRule="auto"/>
        <w:jc w:val="both"/>
        <w:rPr>
          <w:rFonts w:ascii="Times New Roman" w:hAnsi="Times New Roman" w:cs="Times New Roman"/>
          <w:b/>
          <w:bCs/>
        </w:rPr>
      </w:pPr>
      <w:r w:rsidRPr="00686B80">
        <w:rPr>
          <w:rFonts w:ascii="Times New Roman" w:hAnsi="Times New Roman" w:cs="Times New Roman"/>
          <w:b/>
          <w:bCs/>
        </w:rPr>
        <w:t>References</w:t>
      </w:r>
    </w:p>
    <w:p w14:paraId="6ABBC78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Jajosky, R. P., Wu, S. C., Jajosky, P. G., &amp; Stowell, S. R. (2023). </w:t>
      </w:r>
      <w:r w:rsidRPr="00802606">
        <w:rPr>
          <w:rFonts w:ascii="Times New Roman" w:hAnsi="Times New Roman" w:cs="Times New Roman"/>
          <w:i/>
          <w:iCs/>
          <w:color w:val="000000" w:themeColor="text1"/>
          <w:sz w:val="22"/>
          <w:szCs w:val="22"/>
        </w:rPr>
        <w:t>Plasmodium knowlesi</w:t>
      </w:r>
      <w:r w:rsidRPr="00802606">
        <w:rPr>
          <w:rFonts w:ascii="Times New Roman" w:hAnsi="Times New Roman" w:cs="Times New Roman"/>
          <w:color w:val="000000" w:themeColor="text1"/>
          <w:sz w:val="22"/>
          <w:szCs w:val="22"/>
        </w:rPr>
        <w:t xml:space="preserve"> (Pk) malaria: A review &amp; proposal of therapeutically rational exchange (T-REX) of Pk-resistant red blood cells. </w:t>
      </w:r>
      <w:r w:rsidRPr="00802606">
        <w:rPr>
          <w:rFonts w:ascii="Times New Roman" w:hAnsi="Times New Roman" w:cs="Times New Roman"/>
          <w:i/>
          <w:iCs/>
          <w:color w:val="000000" w:themeColor="text1"/>
          <w:sz w:val="22"/>
          <w:szCs w:val="22"/>
        </w:rPr>
        <w:t>Tropical Medicine and Infectious Disease, 8</w:t>
      </w:r>
      <w:r w:rsidRPr="00802606">
        <w:rPr>
          <w:rFonts w:ascii="Times New Roman" w:hAnsi="Times New Roman" w:cs="Times New Roman"/>
          <w:color w:val="000000" w:themeColor="text1"/>
          <w:sz w:val="22"/>
          <w:szCs w:val="22"/>
        </w:rPr>
        <w:t xml:space="preserve">(10). </w:t>
      </w:r>
      <w:hyperlink r:id="rId11" w:history="1">
        <w:r w:rsidRPr="00802606">
          <w:rPr>
            <w:rStyle w:val="Hyperlink"/>
            <w:rFonts w:ascii="Times New Roman" w:hAnsi="Times New Roman" w:cs="Times New Roman"/>
            <w:color w:val="000000" w:themeColor="text1"/>
            <w:sz w:val="22"/>
            <w:szCs w:val="22"/>
          </w:rPr>
          <w:t>https://doi.org/10.3390/tropicalmed8100478</w:t>
        </w:r>
      </w:hyperlink>
    </w:p>
    <w:p w14:paraId="40E23FD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Tripathi, N., &amp; </w:t>
      </w:r>
      <w:proofErr w:type="spellStart"/>
      <w:r w:rsidRPr="00802606">
        <w:rPr>
          <w:rFonts w:ascii="Times New Roman" w:hAnsi="Times New Roman" w:cs="Times New Roman"/>
          <w:color w:val="000000" w:themeColor="text1"/>
          <w:sz w:val="22"/>
          <w:szCs w:val="22"/>
        </w:rPr>
        <w:t>Jialal</w:t>
      </w:r>
      <w:proofErr w:type="spellEnd"/>
      <w:r w:rsidRPr="00802606">
        <w:rPr>
          <w:rFonts w:ascii="Times New Roman" w:hAnsi="Times New Roman" w:cs="Times New Roman"/>
          <w:color w:val="000000" w:themeColor="text1"/>
          <w:sz w:val="22"/>
          <w:szCs w:val="22"/>
        </w:rPr>
        <w:t xml:space="preserve">, I. (2024). </w:t>
      </w:r>
      <w:r w:rsidRPr="00802606">
        <w:rPr>
          <w:rFonts w:ascii="Times New Roman" w:hAnsi="Times New Roman" w:cs="Times New Roman"/>
          <w:i/>
          <w:iCs/>
          <w:color w:val="000000" w:themeColor="text1"/>
          <w:sz w:val="22"/>
          <w:szCs w:val="22"/>
        </w:rPr>
        <w:t>Conjugated hyperbilirubinemia</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2B6EA2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Das, A., Suar, M., &amp; Reddy, K. S. (2024). Hormones in malaria infection: Influence on disease severity, host physiology, and therapeutic opportunities. </w:t>
      </w:r>
      <w:r w:rsidRPr="00802606">
        <w:rPr>
          <w:rFonts w:ascii="Times New Roman" w:hAnsi="Times New Roman" w:cs="Times New Roman"/>
          <w:i/>
          <w:iCs/>
          <w:color w:val="000000" w:themeColor="text1"/>
          <w:sz w:val="22"/>
          <w:szCs w:val="22"/>
        </w:rPr>
        <w:t>Bioscience Reports, 44</w:t>
      </w:r>
      <w:r w:rsidRPr="00802606">
        <w:rPr>
          <w:rFonts w:ascii="Times New Roman" w:hAnsi="Times New Roman" w:cs="Times New Roman"/>
          <w:color w:val="000000" w:themeColor="text1"/>
          <w:sz w:val="22"/>
          <w:szCs w:val="22"/>
        </w:rPr>
        <w:t xml:space="preserve">(11), BSR20240482. </w:t>
      </w:r>
      <w:hyperlink r:id="rId12" w:history="1">
        <w:r w:rsidRPr="00802606">
          <w:rPr>
            <w:rStyle w:val="Hyperlink"/>
            <w:rFonts w:ascii="Times New Roman" w:hAnsi="Times New Roman" w:cs="Times New Roman"/>
            <w:color w:val="000000" w:themeColor="text1"/>
            <w:sz w:val="22"/>
            <w:szCs w:val="22"/>
          </w:rPr>
          <w:t>https://doi.org/10.1042/BSR20240482</w:t>
        </w:r>
      </w:hyperlink>
    </w:p>
    <w:p w14:paraId="7E40A61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Cheng, J., Wang, W., Cheng, X., Li, X., Lun, L., Lian, X., Wang, L., &amp; Song, L. (2025). The acute-phase serum amyloid A promotes cytokines production in oyster </w:t>
      </w:r>
      <w:r w:rsidRPr="00802606">
        <w:rPr>
          <w:rFonts w:ascii="Times New Roman" w:hAnsi="Times New Roman" w:cs="Times New Roman"/>
          <w:i/>
          <w:iCs/>
          <w:color w:val="000000" w:themeColor="text1"/>
          <w:sz w:val="22"/>
          <w:szCs w:val="22"/>
        </w:rPr>
        <w:t>Crassostrea gigas</w:t>
      </w:r>
      <w:r w:rsidRPr="00802606">
        <w:rPr>
          <w:rFonts w:ascii="Times New Roman" w:hAnsi="Times New Roman" w:cs="Times New Roman"/>
          <w:color w:val="000000" w:themeColor="text1"/>
          <w:sz w:val="22"/>
          <w:szCs w:val="22"/>
        </w:rPr>
        <w:t xml:space="preserve">. </w:t>
      </w:r>
      <w:r w:rsidRPr="00802606">
        <w:rPr>
          <w:rFonts w:ascii="Times New Roman" w:hAnsi="Times New Roman" w:cs="Times New Roman"/>
          <w:i/>
          <w:iCs/>
          <w:color w:val="000000" w:themeColor="text1"/>
          <w:sz w:val="22"/>
          <w:szCs w:val="22"/>
        </w:rPr>
        <w:t>Fishes, 10</w:t>
      </w:r>
      <w:r w:rsidRPr="00802606">
        <w:rPr>
          <w:rFonts w:ascii="Times New Roman" w:hAnsi="Times New Roman" w:cs="Times New Roman"/>
          <w:color w:val="000000" w:themeColor="text1"/>
          <w:sz w:val="22"/>
          <w:szCs w:val="22"/>
        </w:rPr>
        <w:t xml:space="preserve">(3). </w:t>
      </w:r>
      <w:hyperlink r:id="rId13" w:history="1">
        <w:r w:rsidRPr="00802606">
          <w:rPr>
            <w:rStyle w:val="Hyperlink"/>
            <w:rFonts w:ascii="Times New Roman" w:hAnsi="Times New Roman" w:cs="Times New Roman"/>
            <w:color w:val="000000" w:themeColor="text1"/>
            <w:sz w:val="22"/>
            <w:szCs w:val="22"/>
          </w:rPr>
          <w:t>https://doi.org/10.3390/fishes10030093</w:t>
        </w:r>
      </w:hyperlink>
    </w:p>
    <w:p w14:paraId="1131943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Hagadorn, K. A., Peterson, M. E., Kole, H., Scott, B., Skinner, J., Diouf, A., Takashima, E., Ongoiba, A., </w:t>
      </w:r>
      <w:proofErr w:type="spellStart"/>
      <w:r w:rsidRPr="00802606">
        <w:rPr>
          <w:rFonts w:ascii="Times New Roman" w:hAnsi="Times New Roman" w:cs="Times New Roman"/>
          <w:color w:val="000000" w:themeColor="text1"/>
          <w:sz w:val="22"/>
          <w:szCs w:val="22"/>
        </w:rPr>
        <w:t>Doumbo</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Doumtabe</w:t>
      </w:r>
      <w:proofErr w:type="spellEnd"/>
      <w:r w:rsidRPr="00802606">
        <w:rPr>
          <w:rFonts w:ascii="Times New Roman" w:hAnsi="Times New Roman" w:cs="Times New Roman"/>
          <w:color w:val="000000" w:themeColor="text1"/>
          <w:sz w:val="22"/>
          <w:szCs w:val="22"/>
        </w:rPr>
        <w:t xml:space="preserve">, D., Li, S., Sekar, P., Yan, M., Zhu, C., Nagaoka, H., Kanoi, B. N., Li, Q. Z., Long, C., Long, E. O., </w:t>
      </w:r>
      <w:proofErr w:type="spellStart"/>
      <w:r w:rsidRPr="00802606">
        <w:rPr>
          <w:rFonts w:ascii="Times New Roman" w:hAnsi="Times New Roman" w:cs="Times New Roman"/>
          <w:color w:val="000000" w:themeColor="text1"/>
          <w:sz w:val="22"/>
          <w:szCs w:val="22"/>
        </w:rPr>
        <w:t>Kayentao</w:t>
      </w:r>
      <w:proofErr w:type="spellEnd"/>
      <w:r w:rsidRPr="00802606">
        <w:rPr>
          <w:rFonts w:ascii="Times New Roman" w:hAnsi="Times New Roman" w:cs="Times New Roman"/>
          <w:color w:val="000000" w:themeColor="text1"/>
          <w:sz w:val="22"/>
          <w:szCs w:val="22"/>
        </w:rPr>
        <w:t xml:space="preserve">, K., Jenks, S. A., Sanz, I., Tsuboi, T., Traore, B., Bolland, S., Miura, K., Crompton, P. D., &amp; Hopp, C. S. (2024). Autoantibodies inhibit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growth and are associated with protection from clinical malaria. </w:t>
      </w:r>
      <w:r w:rsidRPr="00802606">
        <w:rPr>
          <w:rFonts w:ascii="Times New Roman" w:hAnsi="Times New Roman" w:cs="Times New Roman"/>
          <w:i/>
          <w:iCs/>
          <w:color w:val="000000" w:themeColor="text1"/>
          <w:sz w:val="22"/>
          <w:szCs w:val="22"/>
        </w:rPr>
        <w:t>Immunity, 57</w:t>
      </w:r>
      <w:r w:rsidRPr="00802606">
        <w:rPr>
          <w:rFonts w:ascii="Times New Roman" w:hAnsi="Times New Roman" w:cs="Times New Roman"/>
          <w:color w:val="000000" w:themeColor="text1"/>
          <w:sz w:val="22"/>
          <w:szCs w:val="22"/>
        </w:rPr>
        <w:t xml:space="preserve">(8), 1769–1779. </w:t>
      </w:r>
      <w:hyperlink r:id="rId14" w:history="1">
        <w:r w:rsidRPr="00802606">
          <w:rPr>
            <w:rStyle w:val="Hyperlink"/>
            <w:rFonts w:ascii="Times New Roman" w:hAnsi="Times New Roman" w:cs="Times New Roman"/>
            <w:color w:val="000000" w:themeColor="text1"/>
            <w:sz w:val="22"/>
            <w:szCs w:val="22"/>
          </w:rPr>
          <w:t>https://doi.org/10.1016/j.immuni.2024.05.024</w:t>
        </w:r>
      </w:hyperlink>
    </w:p>
    <w:p w14:paraId="361072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Patel, H., Minkah, N. K., Kumar, S., Zanghi, G., Schepis, A., Goswami, D., Armstrong, J., </w:t>
      </w:r>
      <w:proofErr w:type="spellStart"/>
      <w:r w:rsidRPr="00802606">
        <w:rPr>
          <w:rFonts w:ascii="Times New Roman" w:hAnsi="Times New Roman" w:cs="Times New Roman"/>
          <w:color w:val="000000" w:themeColor="text1"/>
          <w:sz w:val="22"/>
          <w:szCs w:val="22"/>
        </w:rPr>
        <w:t>Abatiyow</w:t>
      </w:r>
      <w:proofErr w:type="spellEnd"/>
      <w:r w:rsidRPr="00802606">
        <w:rPr>
          <w:rFonts w:ascii="Times New Roman" w:hAnsi="Times New Roman" w:cs="Times New Roman"/>
          <w:color w:val="000000" w:themeColor="text1"/>
          <w:sz w:val="22"/>
          <w:szCs w:val="22"/>
        </w:rPr>
        <w:t xml:space="preserve">, B. A., Betz, W., Reynolds, L., Camargo, N., Sheikh, A. A., &amp; Kappe, S. H. I. (2024). Malaria blood stage infection suppresses liver stage infection via host-induced interferons but not hepcidin.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(1). </w:t>
      </w:r>
      <w:hyperlink r:id="rId15" w:history="1">
        <w:r w:rsidRPr="00802606">
          <w:rPr>
            <w:rStyle w:val="Hyperlink"/>
            <w:rFonts w:ascii="Times New Roman" w:hAnsi="Times New Roman" w:cs="Times New Roman"/>
            <w:color w:val="000000" w:themeColor="text1"/>
            <w:sz w:val="22"/>
            <w:szCs w:val="22"/>
          </w:rPr>
          <w:t>https://doi.org/10.1038/s41467-024-46270-3</w:t>
        </w:r>
      </w:hyperlink>
    </w:p>
    <w:p w14:paraId="2FFCD5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Castro, L., Ridpath, A., Mace, K., &amp; Gutman, J. R. (2024). Artemether-lumefantrine is now recommended for all uncomplicated malaria in the United States, including in pregnancy. </w:t>
      </w:r>
      <w:r w:rsidRPr="00802606">
        <w:rPr>
          <w:rFonts w:ascii="Times New Roman" w:hAnsi="Times New Roman" w:cs="Times New Roman"/>
          <w:i/>
          <w:iCs/>
          <w:color w:val="000000" w:themeColor="text1"/>
          <w:sz w:val="22"/>
          <w:szCs w:val="22"/>
        </w:rPr>
        <w:t>Clinical Infectious Diseases, 78</w:t>
      </w:r>
      <w:r w:rsidRPr="00802606">
        <w:rPr>
          <w:rFonts w:ascii="Times New Roman" w:hAnsi="Times New Roman" w:cs="Times New Roman"/>
          <w:color w:val="000000" w:themeColor="text1"/>
          <w:sz w:val="22"/>
          <w:szCs w:val="22"/>
        </w:rPr>
        <w:t xml:space="preserve">(2), 245–247. </w:t>
      </w:r>
      <w:hyperlink r:id="rId16" w:history="1">
        <w:r w:rsidRPr="00802606">
          <w:rPr>
            <w:rStyle w:val="Hyperlink"/>
            <w:rFonts w:ascii="Times New Roman" w:hAnsi="Times New Roman" w:cs="Times New Roman"/>
            <w:color w:val="000000" w:themeColor="text1"/>
            <w:sz w:val="22"/>
            <w:szCs w:val="22"/>
          </w:rPr>
          <w:t>https://doi.org/10.1093/cid/ciad638</w:t>
        </w:r>
      </w:hyperlink>
    </w:p>
    <w:p w14:paraId="118EC33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Joseph, A., &amp; Samant, H. (2024). </w:t>
      </w:r>
      <w:r w:rsidRPr="00802606">
        <w:rPr>
          <w:rFonts w:ascii="Times New Roman" w:hAnsi="Times New Roman" w:cs="Times New Roman"/>
          <w:i/>
          <w:iCs/>
          <w:color w:val="000000" w:themeColor="text1"/>
          <w:sz w:val="22"/>
          <w:szCs w:val="22"/>
        </w:rPr>
        <w:t>Jaundice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2CE3ADD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Samant, H., Asafo-Agyei, K. O., </w:t>
      </w:r>
      <w:proofErr w:type="spellStart"/>
      <w:r w:rsidRPr="00802606">
        <w:rPr>
          <w:rFonts w:ascii="Times New Roman" w:hAnsi="Times New Roman" w:cs="Times New Roman"/>
          <w:color w:val="000000" w:themeColor="text1"/>
          <w:sz w:val="22"/>
          <w:szCs w:val="22"/>
        </w:rPr>
        <w:t>Kimyaghalam</w:t>
      </w:r>
      <w:proofErr w:type="spellEnd"/>
      <w:r w:rsidRPr="00802606">
        <w:rPr>
          <w:rFonts w:ascii="Times New Roman" w:hAnsi="Times New Roman" w:cs="Times New Roman"/>
          <w:color w:val="000000" w:themeColor="text1"/>
          <w:sz w:val="22"/>
          <w:szCs w:val="22"/>
        </w:rPr>
        <w:t xml:space="preserve">, A., &amp; Garfield, K. (2024). </w:t>
      </w:r>
      <w:r w:rsidRPr="00802606">
        <w:rPr>
          <w:rFonts w:ascii="Times New Roman" w:hAnsi="Times New Roman" w:cs="Times New Roman"/>
          <w:i/>
          <w:iCs/>
          <w:color w:val="000000" w:themeColor="text1"/>
          <w:sz w:val="22"/>
          <w:szCs w:val="22"/>
        </w:rPr>
        <w:t>Portal vein thrombosis</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3591901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Bellafante</w:t>
      </w:r>
      <w:proofErr w:type="spellEnd"/>
      <w:r w:rsidRPr="00802606">
        <w:rPr>
          <w:rFonts w:ascii="Times New Roman" w:hAnsi="Times New Roman" w:cs="Times New Roman"/>
          <w:color w:val="000000" w:themeColor="text1"/>
          <w:sz w:val="22"/>
          <w:szCs w:val="22"/>
        </w:rPr>
        <w:t xml:space="preserve">, D., Gioia, S., </w:t>
      </w:r>
      <w:proofErr w:type="spellStart"/>
      <w:r w:rsidRPr="00802606">
        <w:rPr>
          <w:rFonts w:ascii="Times New Roman" w:hAnsi="Times New Roman" w:cs="Times New Roman"/>
          <w:color w:val="000000" w:themeColor="text1"/>
          <w:sz w:val="22"/>
          <w:szCs w:val="22"/>
        </w:rPr>
        <w:t>Faccioli</w:t>
      </w:r>
      <w:proofErr w:type="spellEnd"/>
      <w:r w:rsidRPr="00802606">
        <w:rPr>
          <w:rFonts w:ascii="Times New Roman" w:hAnsi="Times New Roman" w:cs="Times New Roman"/>
          <w:color w:val="000000" w:themeColor="text1"/>
          <w:sz w:val="22"/>
          <w:szCs w:val="22"/>
        </w:rPr>
        <w:t xml:space="preserve">, J., Riggio, O., </w:t>
      </w:r>
      <w:proofErr w:type="spellStart"/>
      <w:r w:rsidRPr="00802606">
        <w:rPr>
          <w:rFonts w:ascii="Times New Roman" w:hAnsi="Times New Roman" w:cs="Times New Roman"/>
          <w:color w:val="000000" w:themeColor="text1"/>
          <w:sz w:val="22"/>
          <w:szCs w:val="22"/>
        </w:rPr>
        <w:t>Ridola</w:t>
      </w:r>
      <w:proofErr w:type="spellEnd"/>
      <w:r w:rsidRPr="00802606">
        <w:rPr>
          <w:rFonts w:ascii="Times New Roman" w:hAnsi="Times New Roman" w:cs="Times New Roman"/>
          <w:color w:val="000000" w:themeColor="text1"/>
          <w:sz w:val="22"/>
          <w:szCs w:val="22"/>
        </w:rPr>
        <w:t xml:space="preserve">, L., &amp; Nardelli, S. (2023). The management of hepatic encephalopathy: Current evidence and gray areas. </w:t>
      </w:r>
      <w:r w:rsidRPr="00802606">
        <w:rPr>
          <w:rFonts w:ascii="Times New Roman" w:hAnsi="Times New Roman" w:cs="Times New Roman"/>
          <w:i/>
          <w:iCs/>
          <w:color w:val="000000" w:themeColor="text1"/>
          <w:sz w:val="22"/>
          <w:szCs w:val="22"/>
        </w:rPr>
        <w:t>Journal of Clinical Medicine, 13</w:t>
      </w:r>
      <w:r w:rsidRPr="00802606">
        <w:rPr>
          <w:rFonts w:ascii="Times New Roman" w:hAnsi="Times New Roman" w:cs="Times New Roman"/>
          <w:color w:val="000000" w:themeColor="text1"/>
          <w:sz w:val="22"/>
          <w:szCs w:val="22"/>
        </w:rPr>
        <w:t xml:space="preserve">(1). </w:t>
      </w:r>
      <w:hyperlink r:id="rId17" w:history="1">
        <w:r w:rsidRPr="00802606">
          <w:rPr>
            <w:rStyle w:val="Hyperlink"/>
            <w:rFonts w:ascii="Times New Roman" w:hAnsi="Times New Roman" w:cs="Times New Roman"/>
            <w:color w:val="000000" w:themeColor="text1"/>
            <w:sz w:val="22"/>
            <w:szCs w:val="22"/>
          </w:rPr>
          <w:t>https://doi.org/10.3390/jcm13010166</w:t>
        </w:r>
      </w:hyperlink>
    </w:p>
    <w:p w14:paraId="2C517A8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Shah, N. J., Royer, A., &amp; John, S. (2024). </w:t>
      </w:r>
      <w:r w:rsidRPr="00802606">
        <w:rPr>
          <w:rFonts w:ascii="Times New Roman" w:hAnsi="Times New Roman" w:cs="Times New Roman"/>
          <w:i/>
          <w:iCs/>
          <w:color w:val="000000" w:themeColor="text1"/>
          <w:sz w:val="22"/>
          <w:szCs w:val="22"/>
        </w:rPr>
        <w:t>Acute liver failure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CD755E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Sendor</w:t>
      </w:r>
      <w:proofErr w:type="spellEnd"/>
      <w:r w:rsidRPr="00802606">
        <w:rPr>
          <w:rFonts w:ascii="Times New Roman" w:hAnsi="Times New Roman" w:cs="Times New Roman"/>
          <w:color w:val="000000" w:themeColor="text1"/>
          <w:sz w:val="22"/>
          <w:szCs w:val="22"/>
        </w:rPr>
        <w:t xml:space="preserve">, R., Mitchell, C. L., </w:t>
      </w:r>
      <w:proofErr w:type="spellStart"/>
      <w:r w:rsidRPr="00802606">
        <w:rPr>
          <w:rFonts w:ascii="Times New Roman" w:hAnsi="Times New Roman" w:cs="Times New Roman"/>
          <w:color w:val="000000" w:themeColor="text1"/>
          <w:sz w:val="22"/>
          <w:szCs w:val="22"/>
        </w:rPr>
        <w:t>Chacky</w:t>
      </w:r>
      <w:proofErr w:type="spellEnd"/>
      <w:r w:rsidRPr="00802606">
        <w:rPr>
          <w:rFonts w:ascii="Times New Roman" w:hAnsi="Times New Roman" w:cs="Times New Roman"/>
          <w:color w:val="000000" w:themeColor="text1"/>
          <w:sz w:val="22"/>
          <w:szCs w:val="22"/>
        </w:rPr>
        <w:t xml:space="preserve">, F., Mohamed, A., </w:t>
      </w:r>
      <w:proofErr w:type="spellStart"/>
      <w:r w:rsidRPr="00802606">
        <w:rPr>
          <w:rFonts w:ascii="Times New Roman" w:hAnsi="Times New Roman" w:cs="Times New Roman"/>
          <w:color w:val="000000" w:themeColor="text1"/>
          <w:sz w:val="22"/>
          <w:szCs w:val="22"/>
        </w:rPr>
        <w:t>Mhamilawa</w:t>
      </w:r>
      <w:proofErr w:type="spellEnd"/>
      <w:r w:rsidRPr="00802606">
        <w:rPr>
          <w:rFonts w:ascii="Times New Roman" w:hAnsi="Times New Roman" w:cs="Times New Roman"/>
          <w:color w:val="000000" w:themeColor="text1"/>
          <w:sz w:val="22"/>
          <w:szCs w:val="22"/>
        </w:rPr>
        <w:t xml:space="preserve">, L. E., Molteni, F., </w:t>
      </w:r>
      <w:proofErr w:type="spellStart"/>
      <w:r w:rsidRPr="00802606">
        <w:rPr>
          <w:rFonts w:ascii="Times New Roman" w:hAnsi="Times New Roman" w:cs="Times New Roman"/>
          <w:color w:val="000000" w:themeColor="text1"/>
          <w:sz w:val="22"/>
          <w:szCs w:val="22"/>
        </w:rPr>
        <w:t>Nyinondi</w:t>
      </w:r>
      <w:proofErr w:type="spellEnd"/>
      <w:r w:rsidRPr="00802606">
        <w:rPr>
          <w:rFonts w:ascii="Times New Roman" w:hAnsi="Times New Roman" w:cs="Times New Roman"/>
          <w:color w:val="000000" w:themeColor="text1"/>
          <w:sz w:val="22"/>
          <w:szCs w:val="22"/>
        </w:rPr>
        <w:t xml:space="preserve">, S., Kabula, B., </w:t>
      </w:r>
      <w:proofErr w:type="spellStart"/>
      <w:r w:rsidRPr="00802606">
        <w:rPr>
          <w:rFonts w:ascii="Times New Roman" w:hAnsi="Times New Roman" w:cs="Times New Roman"/>
          <w:color w:val="000000" w:themeColor="text1"/>
          <w:sz w:val="22"/>
          <w:szCs w:val="22"/>
        </w:rPr>
        <w:t>Mkali</w:t>
      </w:r>
      <w:proofErr w:type="spellEnd"/>
      <w:r w:rsidRPr="00802606">
        <w:rPr>
          <w:rFonts w:ascii="Times New Roman" w:hAnsi="Times New Roman" w:cs="Times New Roman"/>
          <w:color w:val="000000" w:themeColor="text1"/>
          <w:sz w:val="22"/>
          <w:szCs w:val="22"/>
        </w:rPr>
        <w:t xml:space="preserve">, H., Reaves, E. J., Serbantez, N., </w:t>
      </w:r>
      <w:proofErr w:type="spellStart"/>
      <w:r w:rsidRPr="00802606">
        <w:rPr>
          <w:rFonts w:ascii="Times New Roman" w:hAnsi="Times New Roman" w:cs="Times New Roman"/>
          <w:color w:val="000000" w:themeColor="text1"/>
          <w:sz w:val="22"/>
          <w:szCs w:val="22"/>
        </w:rPr>
        <w:t>Kitojo</w:t>
      </w:r>
      <w:proofErr w:type="spellEnd"/>
      <w:r w:rsidRPr="00802606">
        <w:rPr>
          <w:rFonts w:ascii="Times New Roman" w:hAnsi="Times New Roman" w:cs="Times New Roman"/>
          <w:color w:val="000000" w:themeColor="text1"/>
          <w:sz w:val="22"/>
          <w:szCs w:val="22"/>
        </w:rPr>
        <w:t xml:space="preserve">, C., </w:t>
      </w:r>
      <w:proofErr w:type="spellStart"/>
      <w:r w:rsidRPr="00802606">
        <w:rPr>
          <w:rFonts w:ascii="Times New Roman" w:hAnsi="Times New Roman" w:cs="Times New Roman"/>
          <w:color w:val="000000" w:themeColor="text1"/>
          <w:sz w:val="22"/>
          <w:szCs w:val="22"/>
        </w:rPr>
        <w:t>Makene</w:t>
      </w:r>
      <w:proofErr w:type="spellEnd"/>
      <w:r w:rsidRPr="00802606">
        <w:rPr>
          <w:rFonts w:ascii="Times New Roman" w:hAnsi="Times New Roman" w:cs="Times New Roman"/>
          <w:color w:val="000000" w:themeColor="text1"/>
          <w:sz w:val="22"/>
          <w:szCs w:val="22"/>
        </w:rPr>
        <w:t xml:space="preserve">, T., Kyaw, T., Muller, M., Mwanza, A., Eckert, E. L., Parr, J. B., Lin, J. T., Juliano, J. J., &amp; </w:t>
      </w:r>
      <w:proofErr w:type="spellStart"/>
      <w:r w:rsidRPr="00802606">
        <w:rPr>
          <w:rFonts w:ascii="Times New Roman" w:hAnsi="Times New Roman" w:cs="Times New Roman"/>
          <w:color w:val="000000" w:themeColor="text1"/>
          <w:sz w:val="22"/>
          <w:szCs w:val="22"/>
        </w:rPr>
        <w:t>Ngasala</w:t>
      </w:r>
      <w:proofErr w:type="spellEnd"/>
      <w:r w:rsidRPr="00802606">
        <w:rPr>
          <w:rFonts w:ascii="Times New Roman" w:hAnsi="Times New Roman" w:cs="Times New Roman"/>
          <w:color w:val="000000" w:themeColor="text1"/>
          <w:sz w:val="22"/>
          <w:szCs w:val="22"/>
        </w:rPr>
        <w:t xml:space="preserve">, B. (2023). Similar prevalence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non–</w:t>
      </w:r>
      <w:r w:rsidRPr="00802606">
        <w:rPr>
          <w:rFonts w:ascii="Times New Roman" w:hAnsi="Times New Roman" w:cs="Times New Roman"/>
          <w:i/>
          <w:iCs/>
          <w:color w:val="000000" w:themeColor="text1"/>
          <w:sz w:val="22"/>
          <w:szCs w:val="22"/>
        </w:rPr>
        <w:t>P. falciparum</w:t>
      </w:r>
      <w:r w:rsidRPr="00802606">
        <w:rPr>
          <w:rFonts w:ascii="Times New Roman" w:hAnsi="Times New Roman" w:cs="Times New Roman"/>
          <w:color w:val="000000" w:themeColor="text1"/>
          <w:sz w:val="22"/>
          <w:szCs w:val="22"/>
        </w:rPr>
        <w:t xml:space="preserve"> infections among schoolchildren in Tanzania. </w:t>
      </w:r>
      <w:r w:rsidRPr="00802606">
        <w:rPr>
          <w:rFonts w:ascii="Times New Roman" w:hAnsi="Times New Roman" w:cs="Times New Roman"/>
          <w:i/>
          <w:iCs/>
          <w:color w:val="000000" w:themeColor="text1"/>
          <w:sz w:val="22"/>
          <w:szCs w:val="22"/>
        </w:rPr>
        <w:t>Emerging Infectious Diseases, 29</w:t>
      </w:r>
      <w:r w:rsidRPr="00802606">
        <w:rPr>
          <w:rFonts w:ascii="Times New Roman" w:hAnsi="Times New Roman" w:cs="Times New Roman"/>
          <w:color w:val="000000" w:themeColor="text1"/>
          <w:sz w:val="22"/>
          <w:szCs w:val="22"/>
        </w:rPr>
        <w:t xml:space="preserve">(6), 1143–1153. </w:t>
      </w:r>
      <w:hyperlink r:id="rId18" w:history="1">
        <w:r w:rsidRPr="00802606">
          <w:rPr>
            <w:rStyle w:val="Hyperlink"/>
            <w:rFonts w:ascii="Times New Roman" w:hAnsi="Times New Roman" w:cs="Times New Roman"/>
            <w:color w:val="000000" w:themeColor="text1"/>
            <w:sz w:val="22"/>
            <w:szCs w:val="22"/>
          </w:rPr>
          <w:t>https://doi.org/10.3201/eid2906.221016</w:t>
        </w:r>
      </w:hyperlink>
    </w:p>
    <w:p w14:paraId="7C07613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Calderaro, A., Piccolo, G., &amp; </w:t>
      </w:r>
      <w:proofErr w:type="spellStart"/>
      <w:r w:rsidRPr="00802606">
        <w:rPr>
          <w:rFonts w:ascii="Times New Roman" w:hAnsi="Times New Roman" w:cs="Times New Roman"/>
          <w:color w:val="000000" w:themeColor="text1"/>
          <w:sz w:val="22"/>
          <w:szCs w:val="22"/>
        </w:rPr>
        <w:t>Chezzi</w:t>
      </w:r>
      <w:proofErr w:type="spellEnd"/>
      <w:r w:rsidRPr="00802606">
        <w:rPr>
          <w:rFonts w:ascii="Times New Roman" w:hAnsi="Times New Roman" w:cs="Times New Roman"/>
          <w:color w:val="000000" w:themeColor="text1"/>
          <w:sz w:val="22"/>
          <w:szCs w:val="22"/>
        </w:rPr>
        <w:t xml:space="preserve">, C. (2024). The laboratory diagnosis of malaria: A focus on diagnostic assays in non-endemic areas. </w:t>
      </w:r>
      <w:r w:rsidRPr="00802606">
        <w:rPr>
          <w:rFonts w:ascii="Times New Roman" w:hAnsi="Times New Roman" w:cs="Times New Roman"/>
          <w:i/>
          <w:iCs/>
          <w:color w:val="000000" w:themeColor="text1"/>
          <w:sz w:val="22"/>
          <w:szCs w:val="22"/>
        </w:rPr>
        <w:t>International Journal of Molecular Sciences, 25</w:t>
      </w:r>
      <w:r w:rsidRPr="00802606">
        <w:rPr>
          <w:rFonts w:ascii="Times New Roman" w:hAnsi="Times New Roman" w:cs="Times New Roman"/>
          <w:color w:val="000000" w:themeColor="text1"/>
          <w:sz w:val="22"/>
          <w:szCs w:val="22"/>
        </w:rPr>
        <w:t xml:space="preserve">(2). </w:t>
      </w:r>
      <w:hyperlink r:id="rId19" w:history="1">
        <w:r w:rsidRPr="00802606">
          <w:rPr>
            <w:rStyle w:val="Hyperlink"/>
            <w:rFonts w:ascii="Times New Roman" w:hAnsi="Times New Roman" w:cs="Times New Roman"/>
            <w:color w:val="000000" w:themeColor="text1"/>
            <w:sz w:val="22"/>
            <w:szCs w:val="22"/>
          </w:rPr>
          <w:t>https://doi.org/10.3390/ijms25020695</w:t>
        </w:r>
      </w:hyperlink>
    </w:p>
    <w:p w14:paraId="4229AD89"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Verma, A., Anand, A., Patel, V. A., Nazar, M. W., Mukherjee, A., Karim, K. A., </w:t>
      </w:r>
      <w:proofErr w:type="spellStart"/>
      <w:r w:rsidRPr="00802606">
        <w:rPr>
          <w:rFonts w:ascii="Times New Roman" w:hAnsi="Times New Roman" w:cs="Times New Roman"/>
          <w:color w:val="000000" w:themeColor="text1"/>
          <w:sz w:val="22"/>
          <w:szCs w:val="22"/>
        </w:rPr>
        <w:t>Oduoye</w:t>
      </w:r>
      <w:proofErr w:type="spellEnd"/>
      <w:r w:rsidRPr="00802606">
        <w:rPr>
          <w:rFonts w:ascii="Times New Roman" w:hAnsi="Times New Roman" w:cs="Times New Roman"/>
          <w:color w:val="000000" w:themeColor="text1"/>
          <w:sz w:val="22"/>
          <w:szCs w:val="22"/>
        </w:rPr>
        <w:t xml:space="preserve">, M. O., Satapathy, P., &amp; Rustagi, S. (2024). Breaking the malaria barrier: The WHO-approved R21/Matrix-M vaccine. </w:t>
      </w:r>
      <w:r w:rsidRPr="00802606">
        <w:rPr>
          <w:rFonts w:ascii="Times New Roman" w:hAnsi="Times New Roman" w:cs="Times New Roman"/>
          <w:i/>
          <w:iCs/>
          <w:color w:val="000000" w:themeColor="text1"/>
          <w:sz w:val="22"/>
          <w:szCs w:val="22"/>
        </w:rPr>
        <w:t>Annals of Medicine and Surgery, 86</w:t>
      </w:r>
      <w:r w:rsidRPr="00802606">
        <w:rPr>
          <w:rFonts w:ascii="Times New Roman" w:hAnsi="Times New Roman" w:cs="Times New Roman"/>
          <w:color w:val="000000" w:themeColor="text1"/>
          <w:sz w:val="22"/>
          <w:szCs w:val="22"/>
        </w:rPr>
        <w:t xml:space="preserve">(4), 1824–1827. </w:t>
      </w:r>
      <w:hyperlink r:id="rId20" w:history="1">
        <w:r w:rsidRPr="00802606">
          <w:rPr>
            <w:rStyle w:val="Hyperlink"/>
            <w:rFonts w:ascii="Times New Roman" w:hAnsi="Times New Roman" w:cs="Times New Roman"/>
            <w:color w:val="000000" w:themeColor="text1"/>
            <w:sz w:val="22"/>
            <w:szCs w:val="22"/>
          </w:rPr>
          <w:t>https://doi.org/10.1097/MS9.0000000000001648</w:t>
        </w:r>
      </w:hyperlink>
    </w:p>
    <w:p w14:paraId="53F334E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lastRenderedPageBreak/>
        <w:t>Aderinto</w:t>
      </w:r>
      <w:proofErr w:type="spellEnd"/>
      <w:r w:rsidRPr="00802606">
        <w:rPr>
          <w:rFonts w:ascii="Times New Roman" w:hAnsi="Times New Roman" w:cs="Times New Roman"/>
          <w:color w:val="000000" w:themeColor="text1"/>
          <w:sz w:val="22"/>
          <w:szCs w:val="22"/>
        </w:rPr>
        <w:t xml:space="preserve">, N., Olatunji, G., Kokori, E., </w:t>
      </w:r>
      <w:proofErr w:type="spellStart"/>
      <w:r w:rsidRPr="00802606">
        <w:rPr>
          <w:rFonts w:ascii="Times New Roman" w:hAnsi="Times New Roman" w:cs="Times New Roman"/>
          <w:color w:val="000000" w:themeColor="text1"/>
          <w:sz w:val="22"/>
          <w:szCs w:val="22"/>
        </w:rPr>
        <w:t>Sikirullahi</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Aboje</w:t>
      </w:r>
      <w:proofErr w:type="spellEnd"/>
      <w:r w:rsidRPr="00802606">
        <w:rPr>
          <w:rFonts w:ascii="Times New Roman" w:hAnsi="Times New Roman" w:cs="Times New Roman"/>
          <w:color w:val="000000" w:themeColor="text1"/>
          <w:sz w:val="22"/>
          <w:szCs w:val="22"/>
        </w:rPr>
        <w:t xml:space="preserve">, J. E., &amp; </w:t>
      </w:r>
      <w:proofErr w:type="spellStart"/>
      <w:r w:rsidRPr="00802606">
        <w:rPr>
          <w:rFonts w:ascii="Times New Roman" w:hAnsi="Times New Roman" w:cs="Times New Roman"/>
          <w:color w:val="000000" w:themeColor="text1"/>
          <w:sz w:val="22"/>
          <w:szCs w:val="22"/>
        </w:rPr>
        <w:t>Ojabo</w:t>
      </w:r>
      <w:proofErr w:type="spellEnd"/>
      <w:r w:rsidRPr="00802606">
        <w:rPr>
          <w:rFonts w:ascii="Times New Roman" w:hAnsi="Times New Roman" w:cs="Times New Roman"/>
          <w:color w:val="000000" w:themeColor="text1"/>
          <w:sz w:val="22"/>
          <w:szCs w:val="22"/>
        </w:rPr>
        <w:t xml:space="preserve">, R. E. (2024). </w:t>
      </w:r>
      <w:r w:rsidRPr="00AA1DFA">
        <w:rPr>
          <w:rFonts w:ascii="Times New Roman" w:hAnsi="Times New Roman" w:cs="Times New Roman"/>
          <w:color w:val="000000" w:themeColor="text1"/>
          <w:sz w:val="22"/>
          <w:szCs w:val="22"/>
          <w:lang w:val="fr-FR"/>
        </w:rPr>
        <w:t xml:space="preserve">A perspective on </w:t>
      </w:r>
      <w:proofErr w:type="spellStart"/>
      <w:r w:rsidRPr="00AA1DFA">
        <w:rPr>
          <w:rFonts w:ascii="Times New Roman" w:hAnsi="Times New Roman" w:cs="Times New Roman"/>
          <w:color w:val="000000" w:themeColor="text1"/>
          <w:sz w:val="22"/>
          <w:szCs w:val="22"/>
          <w:lang w:val="fr-FR"/>
        </w:rPr>
        <w:t>Oxford’s</w:t>
      </w:r>
      <w:proofErr w:type="spellEnd"/>
      <w:r w:rsidRPr="00AA1DFA">
        <w:rPr>
          <w:rFonts w:ascii="Times New Roman" w:hAnsi="Times New Roman" w:cs="Times New Roman"/>
          <w:color w:val="000000" w:themeColor="text1"/>
          <w:sz w:val="22"/>
          <w:szCs w:val="22"/>
          <w:lang w:val="fr-FR"/>
        </w:rPr>
        <w:t xml:space="preserve"> R21/Matrix-M malaria vaccine. </w:t>
      </w:r>
      <w:r w:rsidRPr="00AA1DFA">
        <w:rPr>
          <w:rFonts w:ascii="Times New Roman" w:hAnsi="Times New Roman" w:cs="Times New Roman"/>
          <w:i/>
          <w:iCs/>
          <w:color w:val="000000" w:themeColor="text1"/>
          <w:sz w:val="22"/>
          <w:szCs w:val="22"/>
          <w:lang w:val="fr-FR"/>
        </w:rPr>
        <w:t>Malaria Journal, 23</w:t>
      </w:r>
      <w:r w:rsidRPr="00AA1DFA">
        <w:rPr>
          <w:rFonts w:ascii="Times New Roman" w:hAnsi="Times New Roman" w:cs="Times New Roman"/>
          <w:color w:val="000000" w:themeColor="text1"/>
          <w:sz w:val="22"/>
          <w:szCs w:val="22"/>
          <w:lang w:val="fr-FR"/>
        </w:rPr>
        <w:t xml:space="preserve">(1). </w:t>
      </w:r>
      <w:hyperlink r:id="rId21" w:history="1">
        <w:r w:rsidRPr="00802606">
          <w:rPr>
            <w:rStyle w:val="Hyperlink"/>
            <w:rFonts w:ascii="Times New Roman" w:hAnsi="Times New Roman" w:cs="Times New Roman"/>
            <w:color w:val="000000" w:themeColor="text1"/>
            <w:sz w:val="22"/>
            <w:szCs w:val="22"/>
          </w:rPr>
          <w:t>https://doi.org/10.1186/s12936-024-04846-w</w:t>
        </w:r>
      </w:hyperlink>
    </w:p>
    <w:p w14:paraId="3441CE2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Jongo, S. A., </w:t>
      </w:r>
      <w:proofErr w:type="spellStart"/>
      <w:r w:rsidRPr="00802606">
        <w:rPr>
          <w:rFonts w:ascii="Times New Roman" w:hAnsi="Times New Roman" w:cs="Times New Roman"/>
          <w:color w:val="000000" w:themeColor="text1"/>
          <w:sz w:val="22"/>
          <w:szCs w:val="22"/>
        </w:rPr>
        <w:t>Nchama</w:t>
      </w:r>
      <w:proofErr w:type="spellEnd"/>
      <w:r w:rsidRPr="00802606">
        <w:rPr>
          <w:rFonts w:ascii="Times New Roman" w:hAnsi="Times New Roman" w:cs="Times New Roman"/>
          <w:color w:val="000000" w:themeColor="text1"/>
          <w:sz w:val="22"/>
          <w:szCs w:val="22"/>
        </w:rPr>
        <w:t xml:space="preserve">, V. U. N. N., Church, L. W. P., Olotu, A., Manock, S. R., Schindler, T., </w:t>
      </w:r>
      <w:proofErr w:type="spellStart"/>
      <w:r w:rsidRPr="00802606">
        <w:rPr>
          <w:rFonts w:ascii="Times New Roman" w:hAnsi="Times New Roman" w:cs="Times New Roman"/>
          <w:color w:val="000000" w:themeColor="text1"/>
          <w:sz w:val="22"/>
          <w:szCs w:val="22"/>
        </w:rPr>
        <w:t>Mtoro</w:t>
      </w:r>
      <w:proofErr w:type="spellEnd"/>
      <w:r w:rsidRPr="00802606">
        <w:rPr>
          <w:rFonts w:ascii="Times New Roman" w:hAnsi="Times New Roman" w:cs="Times New Roman"/>
          <w:color w:val="000000" w:themeColor="text1"/>
          <w:sz w:val="22"/>
          <w:szCs w:val="22"/>
        </w:rPr>
        <w:t xml:space="preserve">, A., Kc, N., Devinsky, O., Zan, E., Hamad, A., </w:t>
      </w:r>
      <w:proofErr w:type="spellStart"/>
      <w:r w:rsidRPr="00802606">
        <w:rPr>
          <w:rFonts w:ascii="Times New Roman" w:hAnsi="Times New Roman" w:cs="Times New Roman"/>
          <w:color w:val="000000" w:themeColor="text1"/>
          <w:sz w:val="22"/>
          <w:szCs w:val="22"/>
        </w:rPr>
        <w:t>Nyakarungu</w:t>
      </w:r>
      <w:proofErr w:type="spellEnd"/>
      <w:r w:rsidRPr="00802606">
        <w:rPr>
          <w:rFonts w:ascii="Times New Roman" w:hAnsi="Times New Roman" w:cs="Times New Roman"/>
          <w:color w:val="000000" w:themeColor="text1"/>
          <w:sz w:val="22"/>
          <w:szCs w:val="22"/>
        </w:rPr>
        <w:t xml:space="preserve">, E., </w:t>
      </w:r>
      <w:proofErr w:type="spellStart"/>
      <w:r w:rsidRPr="00802606">
        <w:rPr>
          <w:rFonts w:ascii="Times New Roman" w:hAnsi="Times New Roman" w:cs="Times New Roman"/>
          <w:color w:val="000000" w:themeColor="text1"/>
          <w:sz w:val="22"/>
          <w:szCs w:val="22"/>
        </w:rPr>
        <w:t>Mpina</w:t>
      </w:r>
      <w:proofErr w:type="spellEnd"/>
      <w:r w:rsidRPr="00802606">
        <w:rPr>
          <w:rFonts w:ascii="Times New Roman" w:hAnsi="Times New Roman" w:cs="Times New Roman"/>
          <w:color w:val="000000" w:themeColor="text1"/>
          <w:sz w:val="22"/>
          <w:szCs w:val="22"/>
        </w:rPr>
        <w:t xml:space="preserve">, M., Deal, A., </w:t>
      </w:r>
      <w:proofErr w:type="spellStart"/>
      <w:r w:rsidRPr="00802606">
        <w:rPr>
          <w:rFonts w:ascii="Times New Roman" w:hAnsi="Times New Roman" w:cs="Times New Roman"/>
          <w:color w:val="000000" w:themeColor="text1"/>
          <w:sz w:val="22"/>
          <w:szCs w:val="22"/>
        </w:rPr>
        <w:t>Bijeri</w:t>
      </w:r>
      <w:proofErr w:type="spellEnd"/>
      <w:r w:rsidRPr="00802606">
        <w:rPr>
          <w:rFonts w:ascii="Times New Roman" w:hAnsi="Times New Roman" w:cs="Times New Roman"/>
          <w:color w:val="000000" w:themeColor="text1"/>
          <w:sz w:val="22"/>
          <w:szCs w:val="22"/>
        </w:rPr>
        <w:t xml:space="preserve">, J. R., Ondo Mangue, M. E., </w:t>
      </w:r>
      <w:proofErr w:type="spellStart"/>
      <w:r w:rsidRPr="00802606">
        <w:rPr>
          <w:rFonts w:ascii="Times New Roman" w:hAnsi="Times New Roman" w:cs="Times New Roman"/>
          <w:color w:val="000000" w:themeColor="text1"/>
          <w:sz w:val="22"/>
          <w:szCs w:val="22"/>
        </w:rPr>
        <w:t>Ntutumu</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Pasialo</w:t>
      </w:r>
      <w:proofErr w:type="spellEnd"/>
      <w:r w:rsidRPr="00802606">
        <w:rPr>
          <w:rFonts w:ascii="Times New Roman" w:hAnsi="Times New Roman" w:cs="Times New Roman"/>
          <w:color w:val="000000" w:themeColor="text1"/>
          <w:sz w:val="22"/>
          <w:szCs w:val="22"/>
        </w:rPr>
        <w:t xml:space="preserve">, B. E., Nguema, G. N., Rivas, M. R., </w:t>
      </w:r>
      <w:proofErr w:type="spellStart"/>
      <w:r w:rsidRPr="00802606">
        <w:rPr>
          <w:rFonts w:ascii="Times New Roman" w:hAnsi="Times New Roman" w:cs="Times New Roman"/>
          <w:color w:val="000000" w:themeColor="text1"/>
          <w:sz w:val="22"/>
          <w:szCs w:val="22"/>
        </w:rPr>
        <w:t>Chemba</w:t>
      </w:r>
      <w:proofErr w:type="spellEnd"/>
      <w:r w:rsidRPr="00802606">
        <w:rPr>
          <w:rFonts w:ascii="Times New Roman" w:hAnsi="Times New Roman" w:cs="Times New Roman"/>
          <w:color w:val="000000" w:themeColor="text1"/>
          <w:sz w:val="22"/>
          <w:szCs w:val="22"/>
        </w:rPr>
        <w:t xml:space="preserve">, M., Ramadhani, K. K., James, E. R., Stabler, T. C., Abebe, Y., </w:t>
      </w:r>
      <w:proofErr w:type="spellStart"/>
      <w:r w:rsidRPr="00802606">
        <w:rPr>
          <w:rFonts w:ascii="Times New Roman" w:hAnsi="Times New Roman" w:cs="Times New Roman"/>
          <w:color w:val="000000" w:themeColor="text1"/>
          <w:sz w:val="22"/>
          <w:szCs w:val="22"/>
        </w:rPr>
        <w:t>Riyahi</w:t>
      </w:r>
      <w:proofErr w:type="spellEnd"/>
      <w:r w:rsidRPr="00802606">
        <w:rPr>
          <w:rFonts w:ascii="Times New Roman" w:hAnsi="Times New Roman" w:cs="Times New Roman"/>
          <w:color w:val="000000" w:themeColor="text1"/>
          <w:sz w:val="22"/>
          <w:szCs w:val="22"/>
        </w:rPr>
        <w:t xml:space="preserve">, P., Saverino, E. S., Sax, J., Hosch, S., </w:t>
      </w:r>
      <w:proofErr w:type="spellStart"/>
      <w:r w:rsidRPr="00802606">
        <w:rPr>
          <w:rFonts w:ascii="Times New Roman" w:hAnsi="Times New Roman" w:cs="Times New Roman"/>
          <w:color w:val="000000" w:themeColor="text1"/>
          <w:sz w:val="22"/>
          <w:szCs w:val="22"/>
        </w:rPr>
        <w:t>Tumbo</w:t>
      </w:r>
      <w:proofErr w:type="spellEnd"/>
      <w:r w:rsidRPr="00802606">
        <w:rPr>
          <w:rFonts w:ascii="Times New Roman" w:hAnsi="Times New Roman" w:cs="Times New Roman"/>
          <w:color w:val="000000" w:themeColor="text1"/>
          <w:sz w:val="22"/>
          <w:szCs w:val="22"/>
        </w:rPr>
        <w:t xml:space="preserve">, A., Gondwe, L., Segura, J. L., Falla, C. C., Phiri, W. P., Hergott, D. E. B., García, G. A., Maas, C., </w:t>
      </w:r>
      <w:proofErr w:type="spellStart"/>
      <w:r w:rsidRPr="00802606">
        <w:rPr>
          <w:rFonts w:ascii="Times New Roman" w:hAnsi="Times New Roman" w:cs="Times New Roman"/>
          <w:color w:val="000000" w:themeColor="text1"/>
          <w:sz w:val="22"/>
          <w:szCs w:val="22"/>
        </w:rPr>
        <w:t>Murshedkar</w:t>
      </w:r>
      <w:proofErr w:type="spellEnd"/>
      <w:r w:rsidRPr="00802606">
        <w:rPr>
          <w:rFonts w:ascii="Times New Roman" w:hAnsi="Times New Roman" w:cs="Times New Roman"/>
          <w:color w:val="000000" w:themeColor="text1"/>
          <w:sz w:val="22"/>
          <w:szCs w:val="22"/>
        </w:rPr>
        <w:t xml:space="preserve">, T., Billingsley, P. F., Tanner, M., </w:t>
      </w:r>
      <w:proofErr w:type="spellStart"/>
      <w:r w:rsidRPr="00802606">
        <w:rPr>
          <w:rFonts w:ascii="Times New Roman" w:hAnsi="Times New Roman" w:cs="Times New Roman"/>
          <w:color w:val="000000" w:themeColor="text1"/>
          <w:sz w:val="22"/>
          <w:szCs w:val="22"/>
        </w:rPr>
        <w:t>Ayekaba</w:t>
      </w:r>
      <w:proofErr w:type="spellEnd"/>
      <w:r w:rsidRPr="00802606">
        <w:rPr>
          <w:rFonts w:ascii="Times New Roman" w:hAnsi="Times New Roman" w:cs="Times New Roman"/>
          <w:color w:val="000000" w:themeColor="text1"/>
          <w:sz w:val="22"/>
          <w:szCs w:val="22"/>
        </w:rPr>
        <w:t xml:space="preserve">, M. O., Sim, B. K. L., </w:t>
      </w:r>
      <w:proofErr w:type="spellStart"/>
      <w:r w:rsidRPr="00802606">
        <w:rPr>
          <w:rFonts w:ascii="Times New Roman" w:hAnsi="Times New Roman" w:cs="Times New Roman"/>
          <w:color w:val="000000" w:themeColor="text1"/>
          <w:sz w:val="22"/>
          <w:szCs w:val="22"/>
        </w:rPr>
        <w:t>Daubenberger</w:t>
      </w:r>
      <w:proofErr w:type="spellEnd"/>
      <w:r w:rsidRPr="00802606">
        <w:rPr>
          <w:rFonts w:ascii="Times New Roman" w:hAnsi="Times New Roman" w:cs="Times New Roman"/>
          <w:color w:val="000000" w:themeColor="text1"/>
          <w:sz w:val="22"/>
          <w:szCs w:val="22"/>
        </w:rPr>
        <w:t xml:space="preserve">, C., Richie, T. L., Abdulla, S., &amp; Hoffman, S. L. (2023). Safety and immunogenicity of radiation-attenuated </w:t>
      </w:r>
      <w:proofErr w:type="spellStart"/>
      <w:r w:rsidRPr="00802606">
        <w:rPr>
          <w:rFonts w:ascii="Times New Roman" w:hAnsi="Times New Roman" w:cs="Times New Roman"/>
          <w:color w:val="000000" w:themeColor="text1"/>
          <w:sz w:val="22"/>
          <w:szCs w:val="22"/>
        </w:rPr>
        <w:t>PfSPZ</w:t>
      </w:r>
      <w:proofErr w:type="spellEnd"/>
      <w:r w:rsidRPr="00802606">
        <w:rPr>
          <w:rFonts w:ascii="Times New Roman" w:hAnsi="Times New Roman" w:cs="Times New Roman"/>
          <w:color w:val="000000" w:themeColor="text1"/>
          <w:sz w:val="22"/>
          <w:szCs w:val="22"/>
        </w:rPr>
        <w:t xml:space="preserve"> vaccine. </w:t>
      </w:r>
      <w:r w:rsidRPr="00802606">
        <w:rPr>
          <w:rFonts w:ascii="Times New Roman" w:hAnsi="Times New Roman" w:cs="Times New Roman"/>
          <w:i/>
          <w:iCs/>
          <w:color w:val="000000" w:themeColor="text1"/>
          <w:sz w:val="22"/>
          <w:szCs w:val="22"/>
        </w:rPr>
        <w:t>American Journal of Tropical Medicine and Hygiene, 109</w:t>
      </w:r>
      <w:r w:rsidRPr="00802606">
        <w:rPr>
          <w:rFonts w:ascii="Times New Roman" w:hAnsi="Times New Roman" w:cs="Times New Roman"/>
          <w:color w:val="000000" w:themeColor="text1"/>
          <w:sz w:val="22"/>
          <w:szCs w:val="22"/>
        </w:rPr>
        <w:t xml:space="preserve">(1), 138–146. </w:t>
      </w:r>
      <w:hyperlink r:id="rId22" w:history="1">
        <w:r w:rsidRPr="00802606">
          <w:rPr>
            <w:rStyle w:val="Hyperlink"/>
            <w:rFonts w:ascii="Times New Roman" w:hAnsi="Times New Roman" w:cs="Times New Roman"/>
            <w:color w:val="000000" w:themeColor="text1"/>
            <w:sz w:val="22"/>
            <w:szCs w:val="22"/>
          </w:rPr>
          <w:t>https://doi.org/10.4269/ajtmh.22-0773</w:t>
        </w:r>
      </w:hyperlink>
    </w:p>
    <w:p w14:paraId="5B8F4DAB"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Ouédraogo, A., Bougouma, E. C., Palacpac, N. M. Q., </w:t>
      </w:r>
      <w:proofErr w:type="spellStart"/>
      <w:r w:rsidRPr="00802606">
        <w:rPr>
          <w:rFonts w:ascii="Times New Roman" w:hAnsi="Times New Roman" w:cs="Times New Roman"/>
          <w:color w:val="000000" w:themeColor="text1"/>
          <w:sz w:val="22"/>
          <w:szCs w:val="22"/>
        </w:rPr>
        <w:t>Houard</w:t>
      </w:r>
      <w:proofErr w:type="spellEnd"/>
      <w:r w:rsidRPr="00802606">
        <w:rPr>
          <w:rFonts w:ascii="Times New Roman" w:hAnsi="Times New Roman" w:cs="Times New Roman"/>
          <w:color w:val="000000" w:themeColor="text1"/>
          <w:sz w:val="22"/>
          <w:szCs w:val="22"/>
        </w:rPr>
        <w:t xml:space="preserve">, S., Nebie, I., Sawadogo, J., Berges, G. D., Soulama, I., Diarra, A., Hien, D., Ouedraogo, A. Z., </w:t>
      </w:r>
      <w:proofErr w:type="spellStart"/>
      <w:r w:rsidRPr="00802606">
        <w:rPr>
          <w:rFonts w:ascii="Times New Roman" w:hAnsi="Times New Roman" w:cs="Times New Roman"/>
          <w:color w:val="000000" w:themeColor="text1"/>
          <w:sz w:val="22"/>
          <w:szCs w:val="22"/>
        </w:rPr>
        <w:t>Konaté</w:t>
      </w:r>
      <w:proofErr w:type="spellEnd"/>
      <w:r w:rsidRPr="00802606">
        <w:rPr>
          <w:rFonts w:ascii="Times New Roman" w:hAnsi="Times New Roman" w:cs="Times New Roman"/>
          <w:color w:val="000000" w:themeColor="text1"/>
          <w:sz w:val="22"/>
          <w:szCs w:val="22"/>
        </w:rPr>
        <w:t xml:space="preserve">, A. T., Kouanda, S., Myoui, A., </w:t>
      </w:r>
      <w:proofErr w:type="spellStart"/>
      <w:r w:rsidRPr="00802606">
        <w:rPr>
          <w:rFonts w:ascii="Times New Roman" w:hAnsi="Times New Roman" w:cs="Times New Roman"/>
          <w:color w:val="000000" w:themeColor="text1"/>
          <w:sz w:val="22"/>
          <w:szCs w:val="22"/>
        </w:rPr>
        <w:t>Ezoe</w:t>
      </w:r>
      <w:proofErr w:type="spellEnd"/>
      <w:r w:rsidRPr="00802606">
        <w:rPr>
          <w:rFonts w:ascii="Times New Roman" w:hAnsi="Times New Roman" w:cs="Times New Roman"/>
          <w:color w:val="000000" w:themeColor="text1"/>
          <w:sz w:val="22"/>
          <w:szCs w:val="22"/>
        </w:rPr>
        <w:t xml:space="preserve">, S., Ishii, K. J., Sato, T., D’Alessio, F., Leroy, O., Tiono, A. B., Cousens, S., Horii, T., &amp; Sirima, S. B. (2023). Safety and immunogenicity of BK-SE36/CpG malaria vaccine. </w:t>
      </w:r>
      <w:r w:rsidRPr="00802606">
        <w:rPr>
          <w:rFonts w:ascii="Times New Roman" w:hAnsi="Times New Roman" w:cs="Times New Roman"/>
          <w:i/>
          <w:iCs/>
          <w:color w:val="000000" w:themeColor="text1"/>
          <w:sz w:val="22"/>
          <w:szCs w:val="22"/>
        </w:rPr>
        <w:t>Frontiers in Immunology, 14</w:t>
      </w:r>
      <w:r w:rsidRPr="00802606">
        <w:rPr>
          <w:rFonts w:ascii="Times New Roman" w:hAnsi="Times New Roman" w:cs="Times New Roman"/>
          <w:color w:val="000000" w:themeColor="text1"/>
          <w:sz w:val="22"/>
          <w:szCs w:val="22"/>
        </w:rPr>
        <w:t xml:space="preserve">, 1267372. </w:t>
      </w:r>
      <w:hyperlink r:id="rId23" w:history="1">
        <w:r w:rsidRPr="00802606">
          <w:rPr>
            <w:rStyle w:val="Hyperlink"/>
            <w:rFonts w:ascii="Times New Roman" w:hAnsi="Times New Roman" w:cs="Times New Roman"/>
            <w:color w:val="000000" w:themeColor="text1"/>
            <w:sz w:val="22"/>
            <w:szCs w:val="22"/>
          </w:rPr>
          <w:t>https://doi.org/10.3389/fimmu.2023.1267372</w:t>
        </w:r>
      </w:hyperlink>
    </w:p>
    <w:p w14:paraId="23A3713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Silk, S. E., Kalinga, W. F., Salkeld, J., </w:t>
      </w:r>
      <w:proofErr w:type="spellStart"/>
      <w:r w:rsidRPr="00802606">
        <w:rPr>
          <w:rFonts w:ascii="Times New Roman" w:hAnsi="Times New Roman" w:cs="Times New Roman"/>
          <w:color w:val="000000" w:themeColor="text1"/>
          <w:sz w:val="22"/>
          <w:szCs w:val="22"/>
        </w:rPr>
        <w:t>Mtaka</w:t>
      </w:r>
      <w:proofErr w:type="spellEnd"/>
      <w:r w:rsidRPr="00802606">
        <w:rPr>
          <w:rFonts w:ascii="Times New Roman" w:hAnsi="Times New Roman" w:cs="Times New Roman"/>
          <w:color w:val="000000" w:themeColor="text1"/>
          <w:sz w:val="22"/>
          <w:szCs w:val="22"/>
        </w:rPr>
        <w:t xml:space="preserve">, I. M., Ahmed, S., </w:t>
      </w:r>
      <w:proofErr w:type="spellStart"/>
      <w:r w:rsidRPr="00802606">
        <w:rPr>
          <w:rFonts w:ascii="Times New Roman" w:hAnsi="Times New Roman" w:cs="Times New Roman"/>
          <w:color w:val="000000" w:themeColor="text1"/>
          <w:sz w:val="22"/>
          <w:szCs w:val="22"/>
        </w:rPr>
        <w:t>Milando</w:t>
      </w:r>
      <w:proofErr w:type="spellEnd"/>
      <w:r w:rsidRPr="00802606">
        <w:rPr>
          <w:rFonts w:ascii="Times New Roman" w:hAnsi="Times New Roman" w:cs="Times New Roman"/>
          <w:color w:val="000000" w:themeColor="text1"/>
          <w:sz w:val="22"/>
          <w:szCs w:val="22"/>
        </w:rPr>
        <w:t xml:space="preserve">, F., Diouf, A., Bundi, C. K., </w:t>
      </w:r>
      <w:proofErr w:type="spellStart"/>
      <w:r w:rsidRPr="00802606">
        <w:rPr>
          <w:rFonts w:ascii="Times New Roman" w:hAnsi="Times New Roman" w:cs="Times New Roman"/>
          <w:color w:val="000000" w:themeColor="text1"/>
          <w:sz w:val="22"/>
          <w:szCs w:val="22"/>
        </w:rPr>
        <w:t>Balige</w:t>
      </w:r>
      <w:proofErr w:type="spellEnd"/>
      <w:r w:rsidRPr="00802606">
        <w:rPr>
          <w:rFonts w:ascii="Times New Roman" w:hAnsi="Times New Roman" w:cs="Times New Roman"/>
          <w:color w:val="000000" w:themeColor="text1"/>
          <w:sz w:val="22"/>
          <w:szCs w:val="22"/>
        </w:rPr>
        <w:t xml:space="preserve">, N., Hassan, O., </w:t>
      </w:r>
      <w:proofErr w:type="spellStart"/>
      <w:r w:rsidRPr="00802606">
        <w:rPr>
          <w:rFonts w:ascii="Times New Roman" w:hAnsi="Times New Roman" w:cs="Times New Roman"/>
          <w:color w:val="000000" w:themeColor="text1"/>
          <w:sz w:val="22"/>
          <w:szCs w:val="22"/>
        </w:rPr>
        <w:t>Mkindi</w:t>
      </w:r>
      <w:proofErr w:type="spellEnd"/>
      <w:r w:rsidRPr="00802606">
        <w:rPr>
          <w:rFonts w:ascii="Times New Roman" w:hAnsi="Times New Roman" w:cs="Times New Roman"/>
          <w:color w:val="000000" w:themeColor="text1"/>
          <w:sz w:val="22"/>
          <w:szCs w:val="22"/>
        </w:rPr>
        <w:t xml:space="preserve">, C. G., </w:t>
      </w:r>
      <w:proofErr w:type="spellStart"/>
      <w:r w:rsidRPr="00802606">
        <w:rPr>
          <w:rFonts w:ascii="Times New Roman" w:hAnsi="Times New Roman" w:cs="Times New Roman"/>
          <w:color w:val="000000" w:themeColor="text1"/>
          <w:sz w:val="22"/>
          <w:szCs w:val="22"/>
        </w:rPr>
        <w:t>Rwezaula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Athumani</w:t>
      </w:r>
      <w:proofErr w:type="spellEnd"/>
      <w:r w:rsidRPr="00802606">
        <w:rPr>
          <w:rFonts w:ascii="Times New Roman" w:hAnsi="Times New Roman" w:cs="Times New Roman"/>
          <w:color w:val="000000" w:themeColor="text1"/>
          <w:sz w:val="22"/>
          <w:szCs w:val="22"/>
        </w:rPr>
        <w:t xml:space="preserve">, T., </w:t>
      </w:r>
      <w:proofErr w:type="spellStart"/>
      <w:r w:rsidRPr="00802606">
        <w:rPr>
          <w:rFonts w:ascii="Times New Roman" w:hAnsi="Times New Roman" w:cs="Times New Roman"/>
          <w:color w:val="000000" w:themeColor="text1"/>
          <w:sz w:val="22"/>
          <w:szCs w:val="22"/>
        </w:rPr>
        <w:t>Mswata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Lilolime</w:t>
      </w:r>
      <w:proofErr w:type="spellEnd"/>
      <w:r w:rsidRPr="00802606">
        <w:rPr>
          <w:rFonts w:ascii="Times New Roman" w:hAnsi="Times New Roman" w:cs="Times New Roman"/>
          <w:color w:val="000000" w:themeColor="text1"/>
          <w:sz w:val="22"/>
          <w:szCs w:val="22"/>
        </w:rPr>
        <w:t xml:space="preserve">, N. S., Simon, B., </w:t>
      </w:r>
      <w:proofErr w:type="spellStart"/>
      <w:r w:rsidRPr="00802606">
        <w:rPr>
          <w:rFonts w:ascii="Times New Roman" w:hAnsi="Times New Roman" w:cs="Times New Roman"/>
          <w:color w:val="000000" w:themeColor="text1"/>
          <w:sz w:val="22"/>
          <w:szCs w:val="22"/>
        </w:rPr>
        <w:t>Msami</w:t>
      </w:r>
      <w:proofErr w:type="spellEnd"/>
      <w:r w:rsidRPr="00802606">
        <w:rPr>
          <w:rFonts w:ascii="Times New Roman" w:hAnsi="Times New Roman" w:cs="Times New Roman"/>
          <w:color w:val="000000" w:themeColor="text1"/>
          <w:sz w:val="22"/>
          <w:szCs w:val="22"/>
        </w:rPr>
        <w:t xml:space="preserve">, H., Mohamed, M., David, D. M., Mohammed, L., </w:t>
      </w:r>
      <w:proofErr w:type="spellStart"/>
      <w:r w:rsidRPr="00802606">
        <w:rPr>
          <w:rFonts w:ascii="Times New Roman" w:hAnsi="Times New Roman" w:cs="Times New Roman"/>
          <w:color w:val="000000" w:themeColor="text1"/>
          <w:sz w:val="22"/>
          <w:szCs w:val="22"/>
        </w:rPr>
        <w:t>Nyaulingo</w:t>
      </w:r>
      <w:proofErr w:type="spellEnd"/>
      <w:r w:rsidRPr="00802606">
        <w:rPr>
          <w:rFonts w:ascii="Times New Roman" w:hAnsi="Times New Roman" w:cs="Times New Roman"/>
          <w:color w:val="000000" w:themeColor="text1"/>
          <w:sz w:val="22"/>
          <w:szCs w:val="22"/>
        </w:rPr>
        <w:t xml:space="preserve">, G., Mwalimu, B., Juma, O., Mwamlima, T. G., </w:t>
      </w:r>
      <w:proofErr w:type="spellStart"/>
      <w:r w:rsidRPr="00802606">
        <w:rPr>
          <w:rFonts w:ascii="Times New Roman" w:hAnsi="Times New Roman" w:cs="Times New Roman"/>
          <w:color w:val="000000" w:themeColor="text1"/>
          <w:sz w:val="22"/>
          <w:szCs w:val="22"/>
        </w:rPr>
        <w:t>Sasamalo</w:t>
      </w:r>
      <w:proofErr w:type="spellEnd"/>
      <w:r w:rsidRPr="00802606">
        <w:rPr>
          <w:rFonts w:ascii="Times New Roman" w:hAnsi="Times New Roman" w:cs="Times New Roman"/>
          <w:color w:val="000000" w:themeColor="text1"/>
          <w:sz w:val="22"/>
          <w:szCs w:val="22"/>
        </w:rPr>
        <w:t xml:space="preserve">, I. A., </w:t>
      </w:r>
      <w:proofErr w:type="spellStart"/>
      <w:r w:rsidRPr="00802606">
        <w:rPr>
          <w:rFonts w:ascii="Times New Roman" w:hAnsi="Times New Roman" w:cs="Times New Roman"/>
          <w:color w:val="000000" w:themeColor="text1"/>
          <w:sz w:val="22"/>
          <w:szCs w:val="22"/>
        </w:rPr>
        <w:t>Mkumbange</w:t>
      </w:r>
      <w:proofErr w:type="spellEnd"/>
      <w:r w:rsidRPr="00802606">
        <w:rPr>
          <w:rFonts w:ascii="Times New Roman" w:hAnsi="Times New Roman" w:cs="Times New Roman"/>
          <w:color w:val="000000" w:themeColor="text1"/>
          <w:sz w:val="22"/>
          <w:szCs w:val="22"/>
        </w:rPr>
        <w:t xml:space="preserve">, R. P., </w:t>
      </w:r>
      <w:proofErr w:type="spellStart"/>
      <w:r w:rsidRPr="00802606">
        <w:rPr>
          <w:rFonts w:ascii="Times New Roman" w:hAnsi="Times New Roman" w:cs="Times New Roman"/>
          <w:color w:val="000000" w:themeColor="text1"/>
          <w:sz w:val="22"/>
          <w:szCs w:val="22"/>
        </w:rPr>
        <w:t>Kamage</w:t>
      </w:r>
      <w:proofErr w:type="spellEnd"/>
      <w:r w:rsidRPr="00802606">
        <w:rPr>
          <w:rFonts w:ascii="Times New Roman" w:hAnsi="Times New Roman" w:cs="Times New Roman"/>
          <w:color w:val="000000" w:themeColor="text1"/>
          <w:sz w:val="22"/>
          <w:szCs w:val="22"/>
        </w:rPr>
        <w:t xml:space="preserve">, J. J., Barrett, J. R., King, L. D. W., Hou, M. M., Pulido, D., </w:t>
      </w:r>
      <w:proofErr w:type="spellStart"/>
      <w:r w:rsidRPr="00802606">
        <w:rPr>
          <w:rFonts w:ascii="Times New Roman" w:hAnsi="Times New Roman" w:cs="Times New Roman"/>
          <w:color w:val="000000" w:themeColor="text1"/>
          <w:sz w:val="22"/>
          <w:szCs w:val="22"/>
        </w:rPr>
        <w:t>Carnrot</w:t>
      </w:r>
      <w:proofErr w:type="spellEnd"/>
      <w:r w:rsidRPr="00802606">
        <w:rPr>
          <w:rFonts w:ascii="Times New Roman" w:hAnsi="Times New Roman" w:cs="Times New Roman"/>
          <w:color w:val="000000" w:themeColor="text1"/>
          <w:sz w:val="22"/>
          <w:szCs w:val="22"/>
        </w:rPr>
        <w:t xml:space="preserve">, C., Lawrie, A. M., Cowan, R. E., Nugent, F. L., Roberts, R., Cho, J. S., Long, C. A., Nielsen, C. M., Miura, K., Draper, S. J., Olotu, A. I., &amp; Minassian, A. M. (2024). Blood-stage malaria vaccine candidate RH5.1/Matrix-M. </w:t>
      </w:r>
      <w:r w:rsidRPr="00802606">
        <w:rPr>
          <w:rFonts w:ascii="Times New Roman" w:hAnsi="Times New Roman" w:cs="Times New Roman"/>
          <w:i/>
          <w:iCs/>
          <w:color w:val="000000" w:themeColor="text1"/>
          <w:sz w:val="22"/>
          <w:szCs w:val="22"/>
        </w:rPr>
        <w:t>Lancet Infectious Diseases, 24</w:t>
      </w:r>
      <w:r w:rsidRPr="00802606">
        <w:rPr>
          <w:rFonts w:ascii="Times New Roman" w:hAnsi="Times New Roman" w:cs="Times New Roman"/>
          <w:color w:val="000000" w:themeColor="text1"/>
          <w:sz w:val="22"/>
          <w:szCs w:val="22"/>
        </w:rPr>
        <w:t xml:space="preserve">(10), 1105–1117. </w:t>
      </w:r>
      <w:hyperlink r:id="rId24" w:history="1">
        <w:r w:rsidRPr="00802606">
          <w:rPr>
            <w:rStyle w:val="Hyperlink"/>
            <w:rFonts w:ascii="Times New Roman" w:hAnsi="Times New Roman" w:cs="Times New Roman"/>
            <w:color w:val="000000" w:themeColor="text1"/>
            <w:sz w:val="22"/>
            <w:szCs w:val="22"/>
          </w:rPr>
          <w:t>https://doi.org/10.1016/S1473-3099(24)00312-8</w:t>
        </w:r>
      </w:hyperlink>
    </w:p>
    <w:p w14:paraId="503BFC03"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Rausch, K. M., </w:t>
      </w:r>
      <w:proofErr w:type="spellStart"/>
      <w:r w:rsidRPr="00802606">
        <w:rPr>
          <w:rFonts w:ascii="Times New Roman" w:hAnsi="Times New Roman" w:cs="Times New Roman"/>
          <w:color w:val="000000" w:themeColor="text1"/>
          <w:sz w:val="22"/>
          <w:szCs w:val="22"/>
        </w:rPr>
        <w:t>Barnafo</w:t>
      </w:r>
      <w:proofErr w:type="spellEnd"/>
      <w:r w:rsidRPr="00802606">
        <w:rPr>
          <w:rFonts w:ascii="Times New Roman" w:hAnsi="Times New Roman" w:cs="Times New Roman"/>
          <w:color w:val="000000" w:themeColor="text1"/>
          <w:sz w:val="22"/>
          <w:szCs w:val="22"/>
        </w:rPr>
        <w:t xml:space="preserve">, E. K., Lambert, L. E.,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Gorres, J. P., Anderson, C., Narum, D. L., Wu, Y., Morrison, R. D., Zaidi, I., &amp; Duffy, P. E. (2023). Preclinical evaluations of malaria transmission-blocking vaccines. </w:t>
      </w:r>
      <w:proofErr w:type="spellStart"/>
      <w:r w:rsidRPr="00802606">
        <w:rPr>
          <w:rFonts w:ascii="Times New Roman" w:hAnsi="Times New Roman" w:cs="Times New Roman"/>
          <w:i/>
          <w:iCs/>
          <w:color w:val="000000" w:themeColor="text1"/>
          <w:sz w:val="22"/>
          <w:szCs w:val="22"/>
        </w:rPr>
        <w:t>iScience</w:t>
      </w:r>
      <w:proofErr w:type="spellEnd"/>
      <w:r w:rsidRPr="00802606">
        <w:rPr>
          <w:rFonts w:ascii="Times New Roman" w:hAnsi="Times New Roman" w:cs="Times New Roman"/>
          <w:i/>
          <w:iCs/>
          <w:color w:val="000000" w:themeColor="text1"/>
          <w:sz w:val="22"/>
          <w:szCs w:val="22"/>
        </w:rPr>
        <w:t>, 26</w:t>
      </w:r>
      <w:r w:rsidRPr="00802606">
        <w:rPr>
          <w:rFonts w:ascii="Times New Roman" w:hAnsi="Times New Roman" w:cs="Times New Roman"/>
          <w:color w:val="000000" w:themeColor="text1"/>
          <w:sz w:val="22"/>
          <w:szCs w:val="22"/>
        </w:rPr>
        <w:t xml:space="preserve">(7), 107192. </w:t>
      </w:r>
      <w:hyperlink r:id="rId25" w:history="1">
        <w:r w:rsidRPr="00802606">
          <w:rPr>
            <w:rStyle w:val="Hyperlink"/>
            <w:rFonts w:ascii="Times New Roman" w:hAnsi="Times New Roman" w:cs="Times New Roman"/>
            <w:color w:val="000000" w:themeColor="text1"/>
            <w:sz w:val="22"/>
            <w:szCs w:val="22"/>
          </w:rPr>
          <w:t>https://doi.org/10.1016/j.isci.2023.107192</w:t>
        </w:r>
      </w:hyperlink>
    </w:p>
    <w:p w14:paraId="283FEA8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Sagara, I., Healy, S. A., </w:t>
      </w:r>
      <w:proofErr w:type="spellStart"/>
      <w:r w:rsidRPr="00802606">
        <w:rPr>
          <w:rFonts w:ascii="Times New Roman" w:hAnsi="Times New Roman" w:cs="Times New Roman"/>
          <w:color w:val="000000" w:themeColor="text1"/>
          <w:sz w:val="22"/>
          <w:szCs w:val="22"/>
        </w:rPr>
        <w:t>Assadou</w:t>
      </w:r>
      <w:proofErr w:type="spellEnd"/>
      <w:r w:rsidRPr="00802606">
        <w:rPr>
          <w:rFonts w:ascii="Times New Roman" w:hAnsi="Times New Roman" w:cs="Times New Roman"/>
          <w:color w:val="000000" w:themeColor="text1"/>
          <w:sz w:val="22"/>
          <w:szCs w:val="22"/>
        </w:rPr>
        <w:t xml:space="preserve">, M. H., Kone, M., Swihart, B. J., Kwan, J. L., </w:t>
      </w:r>
      <w:proofErr w:type="spellStart"/>
      <w:r w:rsidRPr="00802606">
        <w:rPr>
          <w:rFonts w:ascii="Times New Roman" w:hAnsi="Times New Roman" w:cs="Times New Roman"/>
          <w:color w:val="000000" w:themeColor="text1"/>
          <w:sz w:val="22"/>
          <w:szCs w:val="22"/>
        </w:rPr>
        <w:t>Fintzi</w:t>
      </w:r>
      <w:proofErr w:type="spellEnd"/>
      <w:r w:rsidRPr="00802606">
        <w:rPr>
          <w:rFonts w:ascii="Times New Roman" w:hAnsi="Times New Roman" w:cs="Times New Roman"/>
          <w:color w:val="000000" w:themeColor="text1"/>
          <w:sz w:val="22"/>
          <w:szCs w:val="22"/>
        </w:rPr>
        <w:t xml:space="preserve">, J., Sissoko, K., Kamate, B., Samake, Y., Guindo, M. A., Doucoure, M., Niaré, K., Dolo, A., Diarra, B., Rausch, K. M., Narum, D. L., Jones, D. S., MacDonald, N. J., Zhu, D., Gorres, J. P., </w:t>
      </w:r>
      <w:proofErr w:type="spellStart"/>
      <w:r w:rsidRPr="00802606">
        <w:rPr>
          <w:rFonts w:ascii="Times New Roman" w:hAnsi="Times New Roman" w:cs="Times New Roman"/>
          <w:color w:val="000000" w:themeColor="text1"/>
          <w:sz w:val="22"/>
          <w:szCs w:val="22"/>
        </w:rPr>
        <w:t>Imeru</w:t>
      </w:r>
      <w:proofErr w:type="spellEnd"/>
      <w:r w:rsidRPr="00802606">
        <w:rPr>
          <w:rFonts w:ascii="Times New Roman" w:hAnsi="Times New Roman" w:cs="Times New Roman"/>
          <w:color w:val="000000" w:themeColor="text1"/>
          <w:sz w:val="22"/>
          <w:szCs w:val="22"/>
        </w:rPr>
        <w:t xml:space="preserve">, A., Mohan, R., Thera, I., Zaidi, I., Salazar-Miralles, F., Duan, J., Neal, J., Morrison, R. D.,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Sylla, D., O’Connell, E. M., Wu, Y., Hume, J. C. C., Coulibaly, M. B., Anderson, C. F., Traore, S. F., Doumbo, O. K., &amp; Duffy, P. E. (2023). Malaria transmission-blocking vaccines trial. </w:t>
      </w:r>
      <w:r w:rsidRPr="00802606">
        <w:rPr>
          <w:rFonts w:ascii="Times New Roman" w:hAnsi="Times New Roman" w:cs="Times New Roman"/>
          <w:i/>
          <w:iCs/>
          <w:color w:val="000000" w:themeColor="text1"/>
          <w:sz w:val="22"/>
          <w:szCs w:val="22"/>
        </w:rPr>
        <w:t>Lancet Infectious Diseases, 23</w:t>
      </w:r>
      <w:r w:rsidRPr="00802606">
        <w:rPr>
          <w:rFonts w:ascii="Times New Roman" w:hAnsi="Times New Roman" w:cs="Times New Roman"/>
          <w:color w:val="000000" w:themeColor="text1"/>
          <w:sz w:val="22"/>
          <w:szCs w:val="22"/>
        </w:rPr>
        <w:t xml:space="preserve">(11), 1266–1279. </w:t>
      </w:r>
      <w:hyperlink r:id="rId26" w:history="1">
        <w:r w:rsidRPr="00802606">
          <w:rPr>
            <w:rStyle w:val="Hyperlink"/>
            <w:rFonts w:ascii="Times New Roman" w:hAnsi="Times New Roman" w:cs="Times New Roman"/>
            <w:color w:val="000000" w:themeColor="text1"/>
            <w:sz w:val="22"/>
            <w:szCs w:val="22"/>
          </w:rPr>
          <w:t>https://doi.org/10.1016/S1473-3099(23)00276-1</w:t>
        </w:r>
      </w:hyperlink>
    </w:p>
    <w:p w14:paraId="371575B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AA1DFA">
        <w:rPr>
          <w:rFonts w:ascii="Times New Roman" w:hAnsi="Times New Roman" w:cs="Times New Roman"/>
          <w:color w:val="000000" w:themeColor="text1"/>
          <w:sz w:val="22"/>
          <w:szCs w:val="22"/>
          <w:lang w:val="fr-FR"/>
        </w:rPr>
        <w:t>Tsoumani</w:t>
      </w:r>
      <w:proofErr w:type="spellEnd"/>
      <w:r w:rsidRPr="00AA1DFA">
        <w:rPr>
          <w:rFonts w:ascii="Times New Roman" w:hAnsi="Times New Roman" w:cs="Times New Roman"/>
          <w:color w:val="000000" w:themeColor="text1"/>
          <w:sz w:val="22"/>
          <w:szCs w:val="22"/>
          <w:lang w:val="fr-FR"/>
        </w:rPr>
        <w:t xml:space="preserve">, M. E., </w:t>
      </w:r>
      <w:proofErr w:type="spellStart"/>
      <w:r w:rsidRPr="00AA1DFA">
        <w:rPr>
          <w:rFonts w:ascii="Times New Roman" w:hAnsi="Times New Roman" w:cs="Times New Roman"/>
          <w:color w:val="000000" w:themeColor="text1"/>
          <w:sz w:val="22"/>
          <w:szCs w:val="22"/>
          <w:lang w:val="fr-FR"/>
        </w:rPr>
        <w:t>Voyiatzaki</w:t>
      </w:r>
      <w:proofErr w:type="spellEnd"/>
      <w:r w:rsidRPr="00AA1DFA">
        <w:rPr>
          <w:rFonts w:ascii="Times New Roman" w:hAnsi="Times New Roman" w:cs="Times New Roman"/>
          <w:color w:val="000000" w:themeColor="text1"/>
          <w:sz w:val="22"/>
          <w:szCs w:val="22"/>
          <w:lang w:val="fr-FR"/>
        </w:rPr>
        <w:t xml:space="preserve">, C., &amp; Efstathiou, A. (2023). </w:t>
      </w:r>
      <w:r w:rsidRPr="00802606">
        <w:rPr>
          <w:rFonts w:ascii="Times New Roman" w:hAnsi="Times New Roman" w:cs="Times New Roman"/>
          <w:color w:val="000000" w:themeColor="text1"/>
          <w:sz w:val="22"/>
          <w:szCs w:val="22"/>
        </w:rPr>
        <w:t xml:space="preserve">Malaria vaccines: Toward the mRNA vaccine era.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 xml:space="preserve">(9). </w:t>
      </w:r>
      <w:hyperlink r:id="rId27" w:history="1">
        <w:r w:rsidRPr="00802606">
          <w:rPr>
            <w:rStyle w:val="Hyperlink"/>
            <w:rFonts w:ascii="Times New Roman" w:hAnsi="Times New Roman" w:cs="Times New Roman"/>
            <w:color w:val="000000" w:themeColor="text1"/>
            <w:sz w:val="22"/>
            <w:szCs w:val="22"/>
          </w:rPr>
          <w:t>https://doi.org/10.3390/vaccines11091452</w:t>
        </w:r>
      </w:hyperlink>
    </w:p>
    <w:p w14:paraId="4D52CA0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Franco, P., Jain, R., Rosenkrands-Lange, E., Hey, C., &amp; Koban, M. U. (2023). Regulatory pathways supporting expedited drug development. </w:t>
      </w:r>
      <w:r w:rsidRPr="00802606">
        <w:rPr>
          <w:rFonts w:ascii="Times New Roman" w:hAnsi="Times New Roman" w:cs="Times New Roman"/>
          <w:i/>
          <w:iCs/>
          <w:color w:val="000000" w:themeColor="text1"/>
          <w:sz w:val="22"/>
          <w:szCs w:val="22"/>
        </w:rPr>
        <w:t>Therapeutic Innovation &amp; Regulatory Science, 57</w:t>
      </w:r>
      <w:r w:rsidRPr="00802606">
        <w:rPr>
          <w:rFonts w:ascii="Times New Roman" w:hAnsi="Times New Roman" w:cs="Times New Roman"/>
          <w:color w:val="000000" w:themeColor="text1"/>
          <w:sz w:val="22"/>
          <w:szCs w:val="22"/>
        </w:rPr>
        <w:t xml:space="preserve">(3), 484–514. </w:t>
      </w:r>
      <w:hyperlink r:id="rId28" w:history="1">
        <w:r w:rsidRPr="00802606">
          <w:rPr>
            <w:rStyle w:val="Hyperlink"/>
            <w:rFonts w:ascii="Times New Roman" w:hAnsi="Times New Roman" w:cs="Times New Roman"/>
            <w:color w:val="000000" w:themeColor="text1"/>
            <w:sz w:val="22"/>
            <w:szCs w:val="22"/>
          </w:rPr>
          <w:t>https://doi.org/10.1007/s43441-022-00480-3</w:t>
        </w:r>
      </w:hyperlink>
    </w:p>
    <w:p w14:paraId="7C1E07E5"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Salalli, R., Dange, J. R., Dhiman, S., &amp; Sharma, T. (2023). Vaccine development in India: Advances and challenges. </w:t>
      </w:r>
      <w:r w:rsidRPr="00802606">
        <w:rPr>
          <w:rFonts w:ascii="Times New Roman" w:hAnsi="Times New Roman" w:cs="Times New Roman"/>
          <w:i/>
          <w:iCs/>
          <w:color w:val="000000" w:themeColor="text1"/>
          <w:sz w:val="22"/>
          <w:szCs w:val="22"/>
        </w:rPr>
        <w:t>Clinical and Experimental Vaccine Research, 12</w:t>
      </w:r>
      <w:r w:rsidRPr="00802606">
        <w:rPr>
          <w:rFonts w:ascii="Times New Roman" w:hAnsi="Times New Roman" w:cs="Times New Roman"/>
          <w:color w:val="000000" w:themeColor="text1"/>
          <w:sz w:val="22"/>
          <w:szCs w:val="22"/>
        </w:rPr>
        <w:t xml:space="preserve">(3), 193–208. </w:t>
      </w:r>
      <w:hyperlink r:id="rId29" w:history="1">
        <w:r w:rsidRPr="00802606">
          <w:rPr>
            <w:rStyle w:val="Hyperlink"/>
            <w:rFonts w:ascii="Times New Roman" w:hAnsi="Times New Roman" w:cs="Times New Roman"/>
            <w:color w:val="000000" w:themeColor="text1"/>
            <w:sz w:val="22"/>
            <w:szCs w:val="22"/>
          </w:rPr>
          <w:t>https://doi.org/10.7774/cevr.2023.12.3.193</w:t>
        </w:r>
      </w:hyperlink>
    </w:p>
    <w:p w14:paraId="2721DEB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Okuyama, R. (2023). mRNA and adenoviral vector vaccine platforms.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(12).</w:t>
      </w:r>
    </w:p>
    <w:p w14:paraId="5969FC81"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Pollard, A. J., &amp; Bijker, E. M. (2021). A guide to vaccinology: From basic principles to new developments. </w:t>
      </w:r>
      <w:r w:rsidRPr="00802606">
        <w:rPr>
          <w:rFonts w:ascii="Times New Roman" w:hAnsi="Times New Roman" w:cs="Times New Roman"/>
          <w:i/>
          <w:iCs/>
          <w:color w:val="000000" w:themeColor="text1"/>
          <w:sz w:val="22"/>
          <w:szCs w:val="22"/>
        </w:rPr>
        <w:t>Nature Reviews Immunology, 21</w:t>
      </w:r>
      <w:r w:rsidRPr="00802606">
        <w:rPr>
          <w:rFonts w:ascii="Times New Roman" w:hAnsi="Times New Roman" w:cs="Times New Roman"/>
          <w:color w:val="000000" w:themeColor="text1"/>
          <w:sz w:val="22"/>
          <w:szCs w:val="22"/>
        </w:rPr>
        <w:t>(2), 83–100.</w:t>
      </w:r>
    </w:p>
    <w:p w14:paraId="649556B7" w14:textId="77777777" w:rsidR="00F54DDB"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World Health Organization. (2023). </w:t>
      </w:r>
      <w:r w:rsidRPr="00802606">
        <w:rPr>
          <w:rFonts w:ascii="Times New Roman" w:hAnsi="Times New Roman" w:cs="Times New Roman"/>
          <w:i/>
          <w:iCs/>
          <w:color w:val="000000" w:themeColor="text1"/>
          <w:sz w:val="22"/>
          <w:szCs w:val="22"/>
        </w:rPr>
        <w:t>WHO recommends R21/Matrix-M vaccine for malaria prevention</w:t>
      </w:r>
      <w:r w:rsidRPr="00802606">
        <w:rPr>
          <w:rFonts w:ascii="Times New Roman" w:hAnsi="Times New Roman" w:cs="Times New Roman"/>
          <w:color w:val="000000" w:themeColor="text1"/>
          <w:sz w:val="22"/>
          <w:szCs w:val="22"/>
        </w:rPr>
        <w:t xml:space="preserve">. </w:t>
      </w:r>
      <w:hyperlink r:id="rId30" w:history="1">
        <w:r w:rsidRPr="00802606">
          <w:rPr>
            <w:rStyle w:val="Hyperlink"/>
            <w:rFonts w:ascii="Times New Roman" w:hAnsi="Times New Roman" w:cs="Times New Roman"/>
            <w:color w:val="000000" w:themeColor="text1"/>
            <w:sz w:val="22"/>
            <w:szCs w:val="22"/>
          </w:rPr>
          <w:t>https://www.who.int</w:t>
        </w:r>
      </w:hyperlink>
      <w:r w:rsidR="00F54DDB" w:rsidRPr="00802606">
        <w:rPr>
          <w:rFonts w:ascii="Times New Roman" w:hAnsi="Times New Roman" w:cs="Times New Roman"/>
          <w:color w:val="000000" w:themeColor="text1"/>
          <w:sz w:val="22"/>
          <w:szCs w:val="22"/>
        </w:rPr>
        <w:t xml:space="preserve">Duc, M., Esperanza, C., Chagas, C. R. F., Iezhova, T., </w:t>
      </w:r>
    </w:p>
    <w:p w14:paraId="490BA82E"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African-European migrant bird. </w:t>
      </w:r>
      <w:proofErr w:type="spellStart"/>
      <w:r w:rsidRPr="00802606">
        <w:rPr>
          <w:rFonts w:ascii="Times New Roman" w:hAnsi="Times New Roman" w:cs="Times New Roman"/>
          <w:i/>
          <w:iCs/>
          <w:color w:val="000000" w:themeColor="text1"/>
          <w:sz w:val="22"/>
          <w:szCs w:val="22"/>
        </w:rPr>
        <w:t>PLoS</w:t>
      </w:r>
      <w:proofErr w:type="spellEnd"/>
      <w:r w:rsidRPr="00802606">
        <w:rPr>
          <w:rFonts w:ascii="Times New Roman" w:hAnsi="Times New Roman" w:cs="Times New Roman"/>
          <w:i/>
          <w:iCs/>
          <w:color w:val="000000" w:themeColor="text1"/>
          <w:sz w:val="22"/>
          <w:szCs w:val="22"/>
        </w:rPr>
        <w:t xml:space="preserve"> ONE, 20</w:t>
      </w:r>
      <w:r w:rsidRPr="00802606">
        <w:rPr>
          <w:rFonts w:ascii="Times New Roman" w:hAnsi="Times New Roman" w:cs="Times New Roman"/>
          <w:color w:val="000000" w:themeColor="text1"/>
          <w:sz w:val="22"/>
          <w:szCs w:val="22"/>
        </w:rPr>
        <w:t xml:space="preserve">, e0319395. </w:t>
      </w:r>
      <w:hyperlink r:id="rId31" w:history="1">
        <w:r w:rsidRPr="00802606">
          <w:rPr>
            <w:rStyle w:val="Hyperlink"/>
            <w:rFonts w:ascii="Times New Roman" w:hAnsi="Times New Roman" w:cs="Times New Roman"/>
            <w:color w:val="000000" w:themeColor="text1"/>
            <w:sz w:val="22"/>
            <w:szCs w:val="22"/>
          </w:rPr>
          <w:t>https://doi.org/10.1371/journal.pone.0319395</w:t>
        </w:r>
      </w:hyperlink>
    </w:p>
    <w:p w14:paraId="4C64E2D6"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lastRenderedPageBreak/>
        <w:t xml:space="preserve">Esperanza, C. W., Faircloth, C. E., Roy, S. W., &amp; Sehgal, R. N. M. (2025). Prevalence and diversity of </w:t>
      </w:r>
      <w:proofErr w:type="spellStart"/>
      <w:r w:rsidRPr="00802606">
        <w:rPr>
          <w:rFonts w:ascii="Times New Roman" w:hAnsi="Times New Roman" w:cs="Times New Roman"/>
          <w:color w:val="000000" w:themeColor="text1"/>
          <w:sz w:val="22"/>
          <w:szCs w:val="22"/>
        </w:rPr>
        <w:t>haemosporidian</w:t>
      </w:r>
      <w:proofErr w:type="spellEnd"/>
      <w:r w:rsidRPr="00802606">
        <w:rPr>
          <w:rFonts w:ascii="Times New Roman" w:hAnsi="Times New Roman" w:cs="Times New Roman"/>
          <w:color w:val="000000" w:themeColor="text1"/>
          <w:sz w:val="22"/>
          <w:szCs w:val="22"/>
        </w:rPr>
        <w:t xml:space="preserve">-associated </w:t>
      </w:r>
      <w:proofErr w:type="spellStart"/>
      <w:r w:rsidRPr="00802606">
        <w:rPr>
          <w:rFonts w:ascii="Times New Roman" w:hAnsi="Times New Roman" w:cs="Times New Roman"/>
          <w:color w:val="000000" w:themeColor="text1"/>
          <w:sz w:val="22"/>
          <w:szCs w:val="22"/>
        </w:rPr>
        <w:t>Matryoshka</w:t>
      </w:r>
      <w:proofErr w:type="spellEnd"/>
      <w:r w:rsidRPr="00802606">
        <w:rPr>
          <w:rFonts w:ascii="Times New Roman" w:hAnsi="Times New Roman" w:cs="Times New Roman"/>
          <w:color w:val="000000" w:themeColor="text1"/>
          <w:sz w:val="22"/>
          <w:szCs w:val="22"/>
        </w:rPr>
        <w:t xml:space="preserve"> RNA viruses in a natural population of wild birds. </w:t>
      </w:r>
      <w:r w:rsidRPr="00802606">
        <w:rPr>
          <w:rFonts w:ascii="Times New Roman" w:hAnsi="Times New Roman" w:cs="Times New Roman"/>
          <w:i/>
          <w:iCs/>
          <w:color w:val="000000" w:themeColor="text1"/>
          <w:sz w:val="22"/>
          <w:szCs w:val="22"/>
        </w:rPr>
        <w:t>Ecology and Evolution, 15</w:t>
      </w:r>
      <w:r w:rsidRPr="00802606">
        <w:rPr>
          <w:rFonts w:ascii="Times New Roman" w:hAnsi="Times New Roman" w:cs="Times New Roman"/>
          <w:color w:val="000000" w:themeColor="text1"/>
          <w:sz w:val="22"/>
          <w:szCs w:val="22"/>
        </w:rPr>
        <w:t xml:space="preserve">, e71239. </w:t>
      </w:r>
      <w:hyperlink r:id="rId32" w:history="1">
        <w:r w:rsidRPr="00802606">
          <w:rPr>
            <w:rStyle w:val="Hyperlink"/>
            <w:rFonts w:ascii="Times New Roman" w:hAnsi="Times New Roman" w:cs="Times New Roman"/>
            <w:color w:val="000000" w:themeColor="text1"/>
            <w:sz w:val="22"/>
            <w:szCs w:val="22"/>
          </w:rPr>
          <w:t>https://doi.org/10.1002/ece3.71239</w:t>
        </w:r>
      </w:hyperlink>
    </w:p>
    <w:p w14:paraId="7189AA2D"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Weiss, D. J., </w:t>
      </w:r>
      <w:proofErr w:type="spellStart"/>
      <w:r w:rsidRPr="00802606">
        <w:rPr>
          <w:rFonts w:ascii="Times New Roman" w:hAnsi="Times New Roman" w:cs="Times New Roman"/>
          <w:color w:val="000000" w:themeColor="text1"/>
          <w:sz w:val="22"/>
          <w:szCs w:val="22"/>
        </w:rPr>
        <w:t>Dzianach</w:t>
      </w:r>
      <w:proofErr w:type="spellEnd"/>
      <w:r w:rsidRPr="00802606">
        <w:rPr>
          <w:rFonts w:ascii="Times New Roman" w:hAnsi="Times New Roman" w:cs="Times New Roman"/>
          <w:color w:val="000000" w:themeColor="text1"/>
          <w:sz w:val="22"/>
          <w:szCs w:val="22"/>
        </w:rPr>
        <w:t xml:space="preserve">, P. A., Saddler, A., Lubinda, J., Browne, A., McPhail, M., </w:t>
      </w:r>
      <w:proofErr w:type="spellStart"/>
      <w:r w:rsidRPr="00802606">
        <w:rPr>
          <w:rFonts w:ascii="Times New Roman" w:hAnsi="Times New Roman" w:cs="Times New Roman"/>
          <w:color w:val="000000" w:themeColor="text1"/>
          <w:sz w:val="22"/>
          <w:szCs w:val="22"/>
        </w:rPr>
        <w:t>Rumisha</w:t>
      </w:r>
      <w:proofErr w:type="spellEnd"/>
      <w:r w:rsidRPr="00802606">
        <w:rPr>
          <w:rFonts w:ascii="Times New Roman" w:hAnsi="Times New Roman" w:cs="Times New Roman"/>
          <w:color w:val="000000" w:themeColor="text1"/>
          <w:sz w:val="22"/>
          <w:szCs w:val="22"/>
        </w:rPr>
        <w:t xml:space="preserve">, S. F., Sanna, F., </w:t>
      </w:r>
      <w:proofErr w:type="spellStart"/>
      <w:r w:rsidRPr="00802606">
        <w:rPr>
          <w:rFonts w:ascii="Times New Roman" w:hAnsi="Times New Roman" w:cs="Times New Roman"/>
          <w:color w:val="000000" w:themeColor="text1"/>
          <w:sz w:val="22"/>
          <w:szCs w:val="22"/>
        </w:rPr>
        <w:t>Gelaw</w:t>
      </w:r>
      <w:proofErr w:type="spellEnd"/>
      <w:r w:rsidRPr="00802606">
        <w:rPr>
          <w:rFonts w:ascii="Times New Roman" w:hAnsi="Times New Roman" w:cs="Times New Roman"/>
          <w:color w:val="000000" w:themeColor="text1"/>
          <w:sz w:val="22"/>
          <w:szCs w:val="22"/>
        </w:rPr>
        <w:t xml:space="preserve">, Y., Kiss, J. B., et al. (2025). Mapping the global prevalence, incidence, and mortality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malaria, 2000–2022: A spatial and temporal modelling study. </w:t>
      </w:r>
      <w:r w:rsidRPr="00802606">
        <w:rPr>
          <w:rFonts w:ascii="Times New Roman" w:hAnsi="Times New Roman" w:cs="Times New Roman"/>
          <w:i/>
          <w:iCs/>
          <w:color w:val="000000" w:themeColor="text1"/>
          <w:sz w:val="22"/>
          <w:szCs w:val="22"/>
        </w:rPr>
        <w:t>The Lancet, 405</w:t>
      </w:r>
      <w:r w:rsidRPr="00802606">
        <w:rPr>
          <w:rFonts w:ascii="Times New Roman" w:hAnsi="Times New Roman" w:cs="Times New Roman"/>
          <w:color w:val="000000" w:themeColor="text1"/>
          <w:sz w:val="22"/>
          <w:szCs w:val="22"/>
        </w:rPr>
        <w:t xml:space="preserve">, 979–990. </w:t>
      </w:r>
      <w:hyperlink r:id="rId33" w:history="1">
        <w:r w:rsidRPr="00802606">
          <w:rPr>
            <w:rStyle w:val="Hyperlink"/>
            <w:rFonts w:ascii="Times New Roman" w:hAnsi="Times New Roman" w:cs="Times New Roman"/>
            <w:color w:val="000000" w:themeColor="text1"/>
            <w:sz w:val="22"/>
            <w:szCs w:val="22"/>
          </w:rPr>
          <w:t>https://doi.org/10.1016/S0140-6736(25)00038-8</w:t>
        </w:r>
      </w:hyperlink>
    </w:p>
    <w:p w14:paraId="1D9FEFBF"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Ngwana-Joseph, G. C., Phelan, J. E., Manko, E., Dombrowski, J. G., da Silva Santos, S., Suarez-Mutis, M., </w:t>
      </w:r>
      <w:proofErr w:type="spellStart"/>
      <w:r w:rsidRPr="00802606">
        <w:rPr>
          <w:rFonts w:ascii="Times New Roman" w:hAnsi="Times New Roman" w:cs="Times New Roman"/>
          <w:color w:val="000000" w:themeColor="text1"/>
          <w:sz w:val="22"/>
          <w:szCs w:val="22"/>
        </w:rPr>
        <w:t>Vélez-Tobón</w:t>
      </w:r>
      <w:proofErr w:type="spellEnd"/>
      <w:r w:rsidRPr="00802606">
        <w:rPr>
          <w:rFonts w:ascii="Times New Roman" w:hAnsi="Times New Roman" w:cs="Times New Roman"/>
          <w:color w:val="000000" w:themeColor="text1"/>
          <w:sz w:val="22"/>
          <w:szCs w:val="22"/>
        </w:rPr>
        <w:t xml:space="preserve">, G., </w:t>
      </w:r>
      <w:proofErr w:type="spellStart"/>
      <w:r w:rsidRPr="00802606">
        <w:rPr>
          <w:rFonts w:ascii="Times New Roman" w:hAnsi="Times New Roman" w:cs="Times New Roman"/>
          <w:color w:val="000000" w:themeColor="text1"/>
          <w:sz w:val="22"/>
          <w:szCs w:val="22"/>
        </w:rPr>
        <w:t>Tobón</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Castaño</w:t>
      </w:r>
      <w:proofErr w:type="spellEnd"/>
      <w:r w:rsidRPr="00802606">
        <w:rPr>
          <w:rFonts w:ascii="Times New Roman" w:hAnsi="Times New Roman" w:cs="Times New Roman"/>
          <w:color w:val="000000" w:themeColor="text1"/>
          <w:sz w:val="22"/>
          <w:szCs w:val="22"/>
        </w:rPr>
        <w:t xml:space="preserve">, A., Machado, R. L. D., Marinho, C. R. F., et al. (2024). Genomic analysis of global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populations reveals insights into the evolution of drug resistance.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10771. </w:t>
      </w:r>
      <w:hyperlink r:id="rId34" w:history="1">
        <w:r w:rsidRPr="00802606">
          <w:rPr>
            <w:rStyle w:val="Hyperlink"/>
            <w:rFonts w:ascii="Times New Roman" w:hAnsi="Times New Roman" w:cs="Times New Roman"/>
            <w:color w:val="000000" w:themeColor="text1"/>
            <w:sz w:val="22"/>
            <w:szCs w:val="22"/>
          </w:rPr>
          <w:t>https://doi.org/10.1038/s41467-024-54964-x</w:t>
        </w:r>
      </w:hyperlink>
    </w:p>
    <w:p w14:paraId="4827ECDA" w14:textId="59D4B14C" w:rsidR="00134AA9"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Nayak, S., Peto, T. J., Kucharski, M., Tripura, R., Callery, J. J., Quang Huy, D. T., </w:t>
      </w:r>
      <w:proofErr w:type="spellStart"/>
      <w:r w:rsidRPr="00802606">
        <w:rPr>
          <w:rFonts w:ascii="Times New Roman" w:hAnsi="Times New Roman" w:cs="Times New Roman"/>
          <w:color w:val="000000" w:themeColor="text1"/>
          <w:sz w:val="22"/>
          <w:szCs w:val="22"/>
        </w:rPr>
        <w:t>Gendrot</w:t>
      </w:r>
      <w:proofErr w:type="spellEnd"/>
      <w:r w:rsidRPr="00802606">
        <w:rPr>
          <w:rFonts w:ascii="Times New Roman" w:hAnsi="Times New Roman" w:cs="Times New Roman"/>
          <w:color w:val="000000" w:themeColor="text1"/>
          <w:sz w:val="22"/>
          <w:szCs w:val="22"/>
        </w:rPr>
        <w:t xml:space="preserve">, M., Lek, D., Nghia, H. D. T., van der </w:t>
      </w:r>
      <w:proofErr w:type="spellStart"/>
      <w:r w:rsidRPr="00802606">
        <w:rPr>
          <w:rFonts w:ascii="Times New Roman" w:hAnsi="Times New Roman" w:cs="Times New Roman"/>
          <w:color w:val="000000" w:themeColor="text1"/>
          <w:sz w:val="22"/>
          <w:szCs w:val="22"/>
        </w:rPr>
        <w:t>Pluijm</w:t>
      </w:r>
      <w:proofErr w:type="spellEnd"/>
      <w:r w:rsidRPr="00802606">
        <w:rPr>
          <w:rFonts w:ascii="Times New Roman" w:hAnsi="Times New Roman" w:cs="Times New Roman"/>
          <w:color w:val="000000" w:themeColor="text1"/>
          <w:sz w:val="22"/>
          <w:szCs w:val="22"/>
        </w:rPr>
        <w:t xml:space="preserve">, R. W., et al. (2024). Population genomics and transcriptomics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in Cambodia and Vietnam uncover key components of the artemisinin resistance genetic background.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10625. </w:t>
      </w:r>
      <w:hyperlink r:id="rId35" w:history="1">
        <w:r w:rsidRPr="00802606">
          <w:rPr>
            <w:rStyle w:val="Hyperlink"/>
            <w:rFonts w:ascii="Times New Roman" w:hAnsi="Times New Roman" w:cs="Times New Roman"/>
            <w:color w:val="000000" w:themeColor="text1"/>
            <w:sz w:val="22"/>
            <w:szCs w:val="22"/>
          </w:rPr>
          <w:t>https://doi.org/10.1038/s41467-024-54915-6</w:t>
        </w:r>
      </w:hyperlink>
    </w:p>
    <w:sectPr w:rsidR="00134AA9" w:rsidRPr="0080260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580D9" w14:textId="77777777" w:rsidR="00C87C94" w:rsidRDefault="00C87C94" w:rsidP="00F34642">
      <w:pPr>
        <w:spacing w:after="0" w:line="240" w:lineRule="auto"/>
      </w:pPr>
      <w:r>
        <w:separator/>
      </w:r>
    </w:p>
  </w:endnote>
  <w:endnote w:type="continuationSeparator" w:id="0">
    <w:p w14:paraId="5C885805" w14:textId="77777777" w:rsidR="00C87C94" w:rsidRDefault="00C87C94" w:rsidP="00F3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6569" w14:textId="77777777" w:rsidR="00F34642" w:rsidRDefault="00F3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5205" w14:textId="77777777" w:rsidR="00F34642" w:rsidRDefault="00F34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5EBA" w14:textId="77777777" w:rsidR="00F34642" w:rsidRDefault="00F3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30666" w14:textId="77777777" w:rsidR="00C87C94" w:rsidRDefault="00C87C94" w:rsidP="00F34642">
      <w:pPr>
        <w:spacing w:after="0" w:line="240" w:lineRule="auto"/>
      </w:pPr>
      <w:r>
        <w:separator/>
      </w:r>
    </w:p>
  </w:footnote>
  <w:footnote w:type="continuationSeparator" w:id="0">
    <w:p w14:paraId="6536FEE8" w14:textId="77777777" w:rsidR="00C87C94" w:rsidRDefault="00C87C94" w:rsidP="00F3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F30A" w14:textId="06F8E2F2" w:rsidR="00F34642" w:rsidRDefault="00C87C94">
    <w:pPr>
      <w:pStyle w:val="Header"/>
    </w:pPr>
    <w:r>
      <w:rPr>
        <w:noProof/>
      </w:rPr>
      <w:pict w14:anchorId="6F7C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3E1C" w14:textId="4F91A55F" w:rsidR="00F34642" w:rsidRDefault="00C87C94">
    <w:pPr>
      <w:pStyle w:val="Header"/>
    </w:pPr>
    <w:r>
      <w:rPr>
        <w:noProof/>
      </w:rPr>
      <w:pict w14:anchorId="63F1D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297E" w14:textId="7EE2AB60" w:rsidR="00F34642" w:rsidRDefault="00C87C94">
    <w:pPr>
      <w:pStyle w:val="Header"/>
    </w:pPr>
    <w:r>
      <w:rPr>
        <w:noProof/>
      </w:rPr>
      <w:pict w14:anchorId="0C9D0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4A0"/>
    <w:multiLevelType w:val="multilevel"/>
    <w:tmpl w:val="3A70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5D65"/>
    <w:multiLevelType w:val="multilevel"/>
    <w:tmpl w:val="602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2692"/>
    <w:multiLevelType w:val="multilevel"/>
    <w:tmpl w:val="EDE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0A8A"/>
    <w:multiLevelType w:val="multilevel"/>
    <w:tmpl w:val="01A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B1BA2"/>
    <w:multiLevelType w:val="multilevel"/>
    <w:tmpl w:val="B8A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0B1"/>
    <w:multiLevelType w:val="multilevel"/>
    <w:tmpl w:val="841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493B"/>
    <w:multiLevelType w:val="multilevel"/>
    <w:tmpl w:val="539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2DB"/>
    <w:multiLevelType w:val="multilevel"/>
    <w:tmpl w:val="0F0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A3E7A"/>
    <w:multiLevelType w:val="multilevel"/>
    <w:tmpl w:val="3E8C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313DB"/>
    <w:multiLevelType w:val="multilevel"/>
    <w:tmpl w:val="CAC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2307"/>
    <w:multiLevelType w:val="hybridMultilevel"/>
    <w:tmpl w:val="E39EC410"/>
    <w:lvl w:ilvl="0" w:tplc="3BC0AA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75413"/>
    <w:multiLevelType w:val="multilevel"/>
    <w:tmpl w:val="309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79FB"/>
    <w:multiLevelType w:val="multilevel"/>
    <w:tmpl w:val="E3C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57D89"/>
    <w:multiLevelType w:val="multilevel"/>
    <w:tmpl w:val="746C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6283B"/>
    <w:multiLevelType w:val="multilevel"/>
    <w:tmpl w:val="22A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D079B"/>
    <w:multiLevelType w:val="multilevel"/>
    <w:tmpl w:val="E68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D4926"/>
    <w:multiLevelType w:val="multilevel"/>
    <w:tmpl w:val="EA6A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791B92"/>
    <w:multiLevelType w:val="multilevel"/>
    <w:tmpl w:val="BC1A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74FF4"/>
    <w:multiLevelType w:val="multilevel"/>
    <w:tmpl w:val="0F5E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06441"/>
    <w:multiLevelType w:val="multilevel"/>
    <w:tmpl w:val="B59C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53584"/>
    <w:multiLevelType w:val="multilevel"/>
    <w:tmpl w:val="A19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128D0"/>
    <w:multiLevelType w:val="multilevel"/>
    <w:tmpl w:val="B95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C291D"/>
    <w:multiLevelType w:val="multilevel"/>
    <w:tmpl w:val="E8C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53B36"/>
    <w:multiLevelType w:val="multilevel"/>
    <w:tmpl w:val="99F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D5CBD"/>
    <w:multiLevelType w:val="multilevel"/>
    <w:tmpl w:val="221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20138B"/>
    <w:multiLevelType w:val="multilevel"/>
    <w:tmpl w:val="FD3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94D28"/>
    <w:multiLevelType w:val="multilevel"/>
    <w:tmpl w:val="685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60F50"/>
    <w:multiLevelType w:val="multilevel"/>
    <w:tmpl w:val="28C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F1E73"/>
    <w:multiLevelType w:val="multilevel"/>
    <w:tmpl w:val="B5E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702C2"/>
    <w:multiLevelType w:val="multilevel"/>
    <w:tmpl w:val="08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E7649"/>
    <w:multiLevelType w:val="multilevel"/>
    <w:tmpl w:val="62E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A748C"/>
    <w:multiLevelType w:val="hybridMultilevel"/>
    <w:tmpl w:val="05C0F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A7D65"/>
    <w:multiLevelType w:val="multilevel"/>
    <w:tmpl w:val="E02E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C1444"/>
    <w:multiLevelType w:val="multilevel"/>
    <w:tmpl w:val="53E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3E3CC7"/>
    <w:multiLevelType w:val="multilevel"/>
    <w:tmpl w:val="B77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75AEF"/>
    <w:multiLevelType w:val="multilevel"/>
    <w:tmpl w:val="830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12085"/>
    <w:multiLevelType w:val="multilevel"/>
    <w:tmpl w:val="978E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52C95"/>
    <w:multiLevelType w:val="multilevel"/>
    <w:tmpl w:val="069A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7C7481"/>
    <w:multiLevelType w:val="multilevel"/>
    <w:tmpl w:val="736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AC0F82"/>
    <w:multiLevelType w:val="multilevel"/>
    <w:tmpl w:val="2DD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60CEC"/>
    <w:multiLevelType w:val="multilevel"/>
    <w:tmpl w:val="BA9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19"/>
  </w:num>
  <w:num w:numId="4">
    <w:abstractNumId w:val="17"/>
  </w:num>
  <w:num w:numId="5">
    <w:abstractNumId w:val="5"/>
  </w:num>
  <w:num w:numId="6">
    <w:abstractNumId w:val="11"/>
  </w:num>
  <w:num w:numId="7">
    <w:abstractNumId w:val="13"/>
  </w:num>
  <w:num w:numId="8">
    <w:abstractNumId w:val="8"/>
  </w:num>
  <w:num w:numId="9">
    <w:abstractNumId w:val="22"/>
  </w:num>
  <w:num w:numId="10">
    <w:abstractNumId w:val="30"/>
  </w:num>
  <w:num w:numId="11">
    <w:abstractNumId w:val="24"/>
  </w:num>
  <w:num w:numId="12">
    <w:abstractNumId w:val="4"/>
  </w:num>
  <w:num w:numId="13">
    <w:abstractNumId w:val="9"/>
  </w:num>
  <w:num w:numId="14">
    <w:abstractNumId w:val="37"/>
  </w:num>
  <w:num w:numId="15">
    <w:abstractNumId w:val="29"/>
  </w:num>
  <w:num w:numId="16">
    <w:abstractNumId w:val="25"/>
  </w:num>
  <w:num w:numId="17">
    <w:abstractNumId w:val="26"/>
  </w:num>
  <w:num w:numId="18">
    <w:abstractNumId w:val="20"/>
  </w:num>
  <w:num w:numId="19">
    <w:abstractNumId w:val="39"/>
  </w:num>
  <w:num w:numId="20">
    <w:abstractNumId w:val="3"/>
  </w:num>
  <w:num w:numId="21">
    <w:abstractNumId w:val="33"/>
  </w:num>
  <w:num w:numId="22">
    <w:abstractNumId w:val="15"/>
  </w:num>
  <w:num w:numId="23">
    <w:abstractNumId w:val="28"/>
  </w:num>
  <w:num w:numId="24">
    <w:abstractNumId w:val="2"/>
  </w:num>
  <w:num w:numId="25">
    <w:abstractNumId w:val="1"/>
  </w:num>
  <w:num w:numId="26">
    <w:abstractNumId w:val="14"/>
  </w:num>
  <w:num w:numId="27">
    <w:abstractNumId w:val="0"/>
  </w:num>
  <w:num w:numId="28">
    <w:abstractNumId w:val="12"/>
  </w:num>
  <w:num w:numId="29">
    <w:abstractNumId w:val="38"/>
  </w:num>
  <w:num w:numId="30">
    <w:abstractNumId w:val="35"/>
  </w:num>
  <w:num w:numId="31">
    <w:abstractNumId w:val="34"/>
  </w:num>
  <w:num w:numId="32">
    <w:abstractNumId w:val="32"/>
  </w:num>
  <w:num w:numId="33">
    <w:abstractNumId w:val="31"/>
  </w:num>
  <w:num w:numId="34">
    <w:abstractNumId w:val="10"/>
  </w:num>
  <w:num w:numId="35">
    <w:abstractNumId w:val="36"/>
  </w:num>
  <w:num w:numId="36">
    <w:abstractNumId w:val="18"/>
  </w:num>
  <w:num w:numId="37">
    <w:abstractNumId w:val="7"/>
  </w:num>
  <w:num w:numId="38">
    <w:abstractNumId w:val="6"/>
  </w:num>
  <w:num w:numId="39">
    <w:abstractNumId w:val="40"/>
  </w:num>
  <w:num w:numId="40">
    <w:abstractNumId w:val="2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15"/>
    <w:rsid w:val="000209E4"/>
    <w:rsid w:val="00034F2E"/>
    <w:rsid w:val="00034F42"/>
    <w:rsid w:val="00070EE8"/>
    <w:rsid w:val="00081415"/>
    <w:rsid w:val="000E4092"/>
    <w:rsid w:val="00134AA9"/>
    <w:rsid w:val="00170C4F"/>
    <w:rsid w:val="00171C08"/>
    <w:rsid w:val="001F20CA"/>
    <w:rsid w:val="001F2A14"/>
    <w:rsid w:val="0020221A"/>
    <w:rsid w:val="002A0705"/>
    <w:rsid w:val="003110CE"/>
    <w:rsid w:val="00383D2F"/>
    <w:rsid w:val="003A48DC"/>
    <w:rsid w:val="003C35DC"/>
    <w:rsid w:val="00442DE1"/>
    <w:rsid w:val="0046575A"/>
    <w:rsid w:val="004804E3"/>
    <w:rsid w:val="004913F9"/>
    <w:rsid w:val="004B3127"/>
    <w:rsid w:val="00524A67"/>
    <w:rsid w:val="00535FD1"/>
    <w:rsid w:val="00551A12"/>
    <w:rsid w:val="00585727"/>
    <w:rsid w:val="00616929"/>
    <w:rsid w:val="00620565"/>
    <w:rsid w:val="0062121B"/>
    <w:rsid w:val="00686B80"/>
    <w:rsid w:val="00690A9B"/>
    <w:rsid w:val="006B30D9"/>
    <w:rsid w:val="006E63AD"/>
    <w:rsid w:val="006F2223"/>
    <w:rsid w:val="00772124"/>
    <w:rsid w:val="00782475"/>
    <w:rsid w:val="00787ADB"/>
    <w:rsid w:val="007C2B44"/>
    <w:rsid w:val="007C3DD0"/>
    <w:rsid w:val="00802606"/>
    <w:rsid w:val="00805BE0"/>
    <w:rsid w:val="00841E0B"/>
    <w:rsid w:val="008F25C6"/>
    <w:rsid w:val="008F4379"/>
    <w:rsid w:val="0091155D"/>
    <w:rsid w:val="00996DBC"/>
    <w:rsid w:val="009A2282"/>
    <w:rsid w:val="009A5EB3"/>
    <w:rsid w:val="009B2701"/>
    <w:rsid w:val="009C261E"/>
    <w:rsid w:val="009F42E8"/>
    <w:rsid w:val="00A557E0"/>
    <w:rsid w:val="00A91499"/>
    <w:rsid w:val="00AA1DFA"/>
    <w:rsid w:val="00AE0D7F"/>
    <w:rsid w:val="00AE16C5"/>
    <w:rsid w:val="00AF2DC2"/>
    <w:rsid w:val="00B932DF"/>
    <w:rsid w:val="00C63304"/>
    <w:rsid w:val="00C87C94"/>
    <w:rsid w:val="00CD3622"/>
    <w:rsid w:val="00D1654D"/>
    <w:rsid w:val="00D3060E"/>
    <w:rsid w:val="00D319BA"/>
    <w:rsid w:val="00D33719"/>
    <w:rsid w:val="00E72841"/>
    <w:rsid w:val="00EC2FD5"/>
    <w:rsid w:val="00ED429D"/>
    <w:rsid w:val="00EE5F3F"/>
    <w:rsid w:val="00F04796"/>
    <w:rsid w:val="00F239DA"/>
    <w:rsid w:val="00F2578B"/>
    <w:rsid w:val="00F34642"/>
    <w:rsid w:val="00F5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F1403B"/>
  <w15:chartTrackingRefBased/>
  <w15:docId w15:val="{FA72F576-235D-489C-BA87-76C4898F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15"/>
    <w:rPr>
      <w:rFonts w:eastAsiaTheme="majorEastAsia" w:cstheme="majorBidi"/>
      <w:color w:val="272727" w:themeColor="text1" w:themeTint="D8"/>
    </w:rPr>
  </w:style>
  <w:style w:type="paragraph" w:styleId="Title">
    <w:name w:val="Title"/>
    <w:basedOn w:val="Normal"/>
    <w:next w:val="Normal"/>
    <w:link w:val="TitleChar"/>
    <w:uiPriority w:val="10"/>
    <w:qFormat/>
    <w:rsid w:val="0008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15"/>
    <w:pPr>
      <w:spacing w:before="160"/>
      <w:jc w:val="center"/>
    </w:pPr>
    <w:rPr>
      <w:i/>
      <w:iCs/>
      <w:color w:val="404040" w:themeColor="text1" w:themeTint="BF"/>
    </w:rPr>
  </w:style>
  <w:style w:type="character" w:customStyle="1" w:styleId="QuoteChar">
    <w:name w:val="Quote Char"/>
    <w:basedOn w:val="DefaultParagraphFont"/>
    <w:link w:val="Quote"/>
    <w:uiPriority w:val="29"/>
    <w:rsid w:val="00081415"/>
    <w:rPr>
      <w:i/>
      <w:iCs/>
      <w:color w:val="404040" w:themeColor="text1" w:themeTint="BF"/>
    </w:rPr>
  </w:style>
  <w:style w:type="paragraph" w:styleId="ListParagraph">
    <w:name w:val="List Paragraph"/>
    <w:basedOn w:val="Normal"/>
    <w:uiPriority w:val="34"/>
    <w:qFormat/>
    <w:rsid w:val="00081415"/>
    <w:pPr>
      <w:ind w:left="720"/>
      <w:contextualSpacing/>
    </w:pPr>
  </w:style>
  <w:style w:type="character" w:styleId="IntenseEmphasis">
    <w:name w:val="Intense Emphasis"/>
    <w:basedOn w:val="DefaultParagraphFont"/>
    <w:uiPriority w:val="21"/>
    <w:qFormat/>
    <w:rsid w:val="00081415"/>
    <w:rPr>
      <w:i/>
      <w:iCs/>
      <w:color w:val="0F4761" w:themeColor="accent1" w:themeShade="BF"/>
    </w:rPr>
  </w:style>
  <w:style w:type="paragraph" w:styleId="IntenseQuote">
    <w:name w:val="Intense Quote"/>
    <w:basedOn w:val="Normal"/>
    <w:next w:val="Normal"/>
    <w:link w:val="IntenseQuoteChar"/>
    <w:uiPriority w:val="30"/>
    <w:qFormat/>
    <w:rsid w:val="00081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415"/>
    <w:rPr>
      <w:i/>
      <w:iCs/>
      <w:color w:val="0F4761" w:themeColor="accent1" w:themeShade="BF"/>
    </w:rPr>
  </w:style>
  <w:style w:type="character" w:styleId="IntenseReference">
    <w:name w:val="Intense Reference"/>
    <w:basedOn w:val="DefaultParagraphFont"/>
    <w:uiPriority w:val="32"/>
    <w:qFormat/>
    <w:rsid w:val="00081415"/>
    <w:rPr>
      <w:b/>
      <w:bCs/>
      <w:smallCaps/>
      <w:color w:val="0F4761" w:themeColor="accent1" w:themeShade="BF"/>
      <w:spacing w:val="5"/>
    </w:rPr>
  </w:style>
  <w:style w:type="table" w:styleId="TableGrid">
    <w:name w:val="Table Grid"/>
    <w:basedOn w:val="TableNormal"/>
    <w:uiPriority w:val="39"/>
    <w:rsid w:val="00AE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42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ED429D"/>
  </w:style>
  <w:style w:type="character" w:customStyle="1" w:styleId="author">
    <w:name w:val="author"/>
    <w:basedOn w:val="DefaultParagraphFont"/>
    <w:rsid w:val="00ED429D"/>
  </w:style>
  <w:style w:type="character" w:customStyle="1" w:styleId="articletitle">
    <w:name w:val="articletitle"/>
    <w:basedOn w:val="DefaultParagraphFont"/>
    <w:rsid w:val="00ED429D"/>
  </w:style>
  <w:style w:type="character" w:customStyle="1" w:styleId="pubyear">
    <w:name w:val="pubyear"/>
    <w:basedOn w:val="DefaultParagraphFont"/>
    <w:rsid w:val="00ED429D"/>
  </w:style>
  <w:style w:type="character" w:customStyle="1" w:styleId="vol">
    <w:name w:val="vol"/>
    <w:basedOn w:val="DefaultParagraphFont"/>
    <w:rsid w:val="00ED429D"/>
  </w:style>
  <w:style w:type="character" w:styleId="Hyperlink">
    <w:name w:val="Hyperlink"/>
    <w:basedOn w:val="DefaultParagraphFont"/>
    <w:uiPriority w:val="99"/>
    <w:unhideWhenUsed/>
    <w:rsid w:val="00ED429D"/>
    <w:rPr>
      <w:color w:val="0000FF"/>
      <w:u w:val="single"/>
    </w:rPr>
  </w:style>
  <w:style w:type="character" w:styleId="FollowedHyperlink">
    <w:name w:val="FollowedHyperlink"/>
    <w:basedOn w:val="DefaultParagraphFont"/>
    <w:uiPriority w:val="99"/>
    <w:semiHidden/>
    <w:unhideWhenUsed/>
    <w:rsid w:val="00ED429D"/>
    <w:rPr>
      <w:color w:val="800080"/>
      <w:u w:val="single"/>
    </w:rPr>
  </w:style>
  <w:style w:type="character" w:customStyle="1" w:styleId="pagefirst">
    <w:name w:val="pagefirst"/>
    <w:basedOn w:val="DefaultParagraphFont"/>
    <w:rsid w:val="00ED429D"/>
  </w:style>
  <w:style w:type="character" w:customStyle="1" w:styleId="pagelast">
    <w:name w:val="pagelast"/>
    <w:basedOn w:val="DefaultParagraphFont"/>
    <w:rsid w:val="00ED429D"/>
  </w:style>
  <w:style w:type="character" w:customStyle="1" w:styleId="booktitle">
    <w:name w:val="booktitle"/>
    <w:basedOn w:val="DefaultParagraphFont"/>
    <w:rsid w:val="00ED429D"/>
  </w:style>
  <w:style w:type="character" w:customStyle="1" w:styleId="first-link">
    <w:name w:val="first-link"/>
    <w:basedOn w:val="DefaultParagraphFont"/>
    <w:rsid w:val="00ED429D"/>
  </w:style>
  <w:style w:type="character" w:customStyle="1" w:styleId="UnresolvedMention">
    <w:name w:val="Unresolved Mention"/>
    <w:basedOn w:val="DefaultParagraphFont"/>
    <w:uiPriority w:val="99"/>
    <w:semiHidden/>
    <w:unhideWhenUsed/>
    <w:rsid w:val="00ED429D"/>
    <w:rPr>
      <w:color w:val="605E5C"/>
      <w:shd w:val="clear" w:color="auto" w:fill="E1DFDD"/>
    </w:rPr>
  </w:style>
  <w:style w:type="paragraph" w:styleId="Caption">
    <w:name w:val="caption"/>
    <w:basedOn w:val="Normal"/>
    <w:next w:val="Normal"/>
    <w:uiPriority w:val="35"/>
    <w:unhideWhenUsed/>
    <w:qFormat/>
    <w:rsid w:val="00996DB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3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42"/>
  </w:style>
  <w:style w:type="paragraph" w:styleId="Footer">
    <w:name w:val="footer"/>
    <w:basedOn w:val="Normal"/>
    <w:link w:val="FooterChar"/>
    <w:uiPriority w:val="99"/>
    <w:unhideWhenUsed/>
    <w:rsid w:val="00F3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ishes10030093" TargetMode="External"/><Relationship Id="rId18" Type="http://schemas.openxmlformats.org/officeDocument/2006/relationships/hyperlink" Target="https://doi.org/10.3201/eid2906.221016" TargetMode="External"/><Relationship Id="rId26" Type="http://schemas.openxmlformats.org/officeDocument/2006/relationships/hyperlink" Target="https://doi.org/10.1016/S1473-3099(23)00276-1" TargetMode="External"/><Relationship Id="rId39" Type="http://schemas.openxmlformats.org/officeDocument/2006/relationships/footer" Target="footer2.xml"/><Relationship Id="rId21" Type="http://schemas.openxmlformats.org/officeDocument/2006/relationships/hyperlink" Target="https://doi.org/10.1186/s12936-024-04846-w" TargetMode="External"/><Relationship Id="rId34" Type="http://schemas.openxmlformats.org/officeDocument/2006/relationships/hyperlink" Target="https://doi.org/10.1038/s41467-024-54964-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cid/ciad638" TargetMode="External"/><Relationship Id="rId20" Type="http://schemas.openxmlformats.org/officeDocument/2006/relationships/hyperlink" Target="https://doi.org/10.1097/MS9.0000000000001648" TargetMode="External"/><Relationship Id="rId29" Type="http://schemas.openxmlformats.org/officeDocument/2006/relationships/hyperlink" Target="https://doi.org/10.7774/cevr.2023.12.3.19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ropicalmed8100478" TargetMode="External"/><Relationship Id="rId24" Type="http://schemas.openxmlformats.org/officeDocument/2006/relationships/hyperlink" Target="https://doi.org/10.1016/S1473-3099(24)00312-8" TargetMode="External"/><Relationship Id="rId32" Type="http://schemas.openxmlformats.org/officeDocument/2006/relationships/hyperlink" Target="https://doi.org/10.1002/ece3.7123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8/s41467-024-46270-3" TargetMode="External"/><Relationship Id="rId23" Type="http://schemas.openxmlformats.org/officeDocument/2006/relationships/hyperlink" Target="https://doi.org/10.3389/fimmu.2023.1267372" TargetMode="External"/><Relationship Id="rId28" Type="http://schemas.openxmlformats.org/officeDocument/2006/relationships/hyperlink" Target="https://doi.org/10.1007/s43441-022-00480-3" TargetMode="External"/><Relationship Id="rId36" Type="http://schemas.openxmlformats.org/officeDocument/2006/relationships/header" Target="header1.xml"/><Relationship Id="rId10" Type="http://schemas.openxmlformats.org/officeDocument/2006/relationships/image" Target="media/image3.tiff"/><Relationship Id="rId19" Type="http://schemas.openxmlformats.org/officeDocument/2006/relationships/hyperlink" Target="https://doi.org/10.3390/ijms25020695" TargetMode="External"/><Relationship Id="rId31" Type="http://schemas.openxmlformats.org/officeDocument/2006/relationships/hyperlink" Target="https://doi.org/10.1371/journal.pone.0319395"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doi.org/10.1016/j.immuni.2024.05.024" TargetMode="External"/><Relationship Id="rId22" Type="http://schemas.openxmlformats.org/officeDocument/2006/relationships/hyperlink" Target="https://doi.org/10.4269/ajtmh.22-0773" TargetMode="External"/><Relationship Id="rId27" Type="http://schemas.openxmlformats.org/officeDocument/2006/relationships/hyperlink" Target="https://doi.org/10.3390/vaccines11091452" TargetMode="External"/><Relationship Id="rId30" Type="http://schemas.openxmlformats.org/officeDocument/2006/relationships/hyperlink" Target="https://www.who.int" TargetMode="External"/><Relationship Id="rId35" Type="http://schemas.openxmlformats.org/officeDocument/2006/relationships/hyperlink" Target="https://doi.org/10.1038/s41467-024-54915-6"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42/BSR20240482" TargetMode="External"/><Relationship Id="rId17" Type="http://schemas.openxmlformats.org/officeDocument/2006/relationships/hyperlink" Target="https://doi.org/10.3390/jcm13010166" TargetMode="External"/><Relationship Id="rId25" Type="http://schemas.openxmlformats.org/officeDocument/2006/relationships/hyperlink" Target="https://doi.org/10.1016/j.isci.2023.107192" TargetMode="External"/><Relationship Id="rId33" Type="http://schemas.openxmlformats.org/officeDocument/2006/relationships/hyperlink" Target="https://doi.org/10.1016/S0140-6736(25)00038-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3F3F-78DD-4186-AAC7-01747B2B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14</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SDI CPU 1117</cp:lastModifiedBy>
  <cp:revision>54</cp:revision>
  <dcterms:created xsi:type="dcterms:W3CDTF">2026-02-22T14:44:00Z</dcterms:created>
  <dcterms:modified xsi:type="dcterms:W3CDTF">2026-04-30T07:38:00Z</dcterms:modified>
</cp:coreProperties>
</file>