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4B19" w14:textId="77777777" w:rsidR="00C31D8D" w:rsidRPr="00C31D8D" w:rsidRDefault="00C31D8D" w:rsidP="00C31D8D">
      <w:pPr>
        <w:spacing w:line="240" w:lineRule="auto"/>
        <w:jc w:val="center"/>
        <w:rPr>
          <w:rFonts w:ascii="Times New Roman" w:hAnsi="Times New Roman" w:cs="Times New Roman"/>
          <w:b/>
          <w:bCs/>
          <w:i/>
          <w:iCs/>
          <w:sz w:val="24"/>
          <w:szCs w:val="24"/>
          <w:u w:val="single"/>
        </w:rPr>
      </w:pPr>
      <w:r w:rsidRPr="00C31D8D">
        <w:rPr>
          <w:rFonts w:ascii="Times New Roman" w:hAnsi="Times New Roman" w:cs="Times New Roman"/>
          <w:b/>
          <w:bCs/>
          <w:i/>
          <w:iCs/>
          <w:sz w:val="24"/>
          <w:szCs w:val="24"/>
          <w:u w:val="single"/>
        </w:rPr>
        <w:t>Original Research Article</w:t>
      </w:r>
    </w:p>
    <w:p w14:paraId="7A7423E9" w14:textId="728013FE" w:rsidR="007B46EC" w:rsidRPr="00260151" w:rsidRDefault="00B12AD5" w:rsidP="00E83AEC">
      <w:pPr>
        <w:spacing w:line="240" w:lineRule="auto"/>
        <w:jc w:val="both"/>
        <w:rPr>
          <w:rFonts w:ascii="Times New Roman" w:hAnsi="Times New Roman" w:cs="Times New Roman"/>
          <w:b/>
          <w:sz w:val="24"/>
          <w:szCs w:val="24"/>
        </w:rPr>
      </w:pPr>
      <w:r w:rsidRPr="00B12AD5">
        <w:rPr>
          <w:rFonts w:ascii="Times New Roman" w:hAnsi="Times New Roman" w:cs="Times New Roman"/>
          <w:b/>
          <w:sz w:val="24"/>
          <w:szCs w:val="24"/>
          <w:highlight w:val="yellow"/>
        </w:rPr>
        <w:t xml:space="preserve">Evaluation of antioxidant </w:t>
      </w:r>
      <w:r w:rsidR="00FA1469">
        <w:rPr>
          <w:rFonts w:ascii="Times New Roman" w:hAnsi="Times New Roman" w:cs="Times New Roman"/>
          <w:b/>
          <w:sz w:val="24"/>
          <w:szCs w:val="24"/>
          <w:highlight w:val="yellow"/>
        </w:rPr>
        <w:t>status</w:t>
      </w:r>
      <w:r w:rsidRPr="00B12AD5">
        <w:rPr>
          <w:rFonts w:ascii="Times New Roman" w:hAnsi="Times New Roman" w:cs="Times New Roman"/>
          <w:b/>
          <w:sz w:val="24"/>
          <w:szCs w:val="24"/>
          <w:highlight w:val="yellow"/>
        </w:rPr>
        <w:t xml:space="preserve"> in </w:t>
      </w:r>
      <w:r w:rsidR="00FA1469">
        <w:rPr>
          <w:rFonts w:ascii="Times New Roman" w:hAnsi="Times New Roman" w:cs="Times New Roman"/>
          <w:b/>
          <w:sz w:val="24"/>
          <w:szCs w:val="24"/>
          <w:highlight w:val="yellow"/>
        </w:rPr>
        <w:t xml:space="preserve">the </w:t>
      </w:r>
      <w:r w:rsidRPr="00B12AD5">
        <w:rPr>
          <w:rFonts w:ascii="Times New Roman" w:hAnsi="Times New Roman" w:cs="Times New Roman"/>
          <w:b/>
          <w:sz w:val="24"/>
          <w:szCs w:val="24"/>
          <w:highlight w:val="yellow"/>
        </w:rPr>
        <w:t xml:space="preserve">liver, kidney, and heart of formalin-induced Wistar rats treated with </w:t>
      </w:r>
      <w:r w:rsidRPr="004A65DB">
        <w:rPr>
          <w:rFonts w:ascii="Times New Roman" w:hAnsi="Times New Roman" w:cs="Times New Roman"/>
          <w:b/>
          <w:i/>
          <w:iCs/>
          <w:sz w:val="24"/>
          <w:szCs w:val="24"/>
          <w:highlight w:val="yellow"/>
        </w:rPr>
        <w:t>Alstonia boonei</w:t>
      </w:r>
      <w:r w:rsidR="00260151">
        <w:rPr>
          <w:rFonts w:ascii="Times New Roman" w:hAnsi="Times New Roman" w:cs="Times New Roman"/>
          <w:b/>
          <w:i/>
          <w:iCs/>
          <w:sz w:val="24"/>
          <w:szCs w:val="24"/>
        </w:rPr>
        <w:t xml:space="preserve"> </w:t>
      </w:r>
      <w:r w:rsidR="00260151" w:rsidRPr="00B12AD5">
        <w:rPr>
          <w:rFonts w:ascii="Times New Roman" w:hAnsi="Times New Roman" w:cs="Times New Roman"/>
          <w:b/>
          <w:sz w:val="24"/>
          <w:szCs w:val="24"/>
          <w:highlight w:val="yellow"/>
        </w:rPr>
        <w:t>extracts</w:t>
      </w:r>
    </w:p>
    <w:p w14:paraId="5CBF3B5C" w14:textId="17E2FF98" w:rsidR="00346D40" w:rsidRPr="003B1BE7" w:rsidRDefault="00346D40" w:rsidP="00E83AEC">
      <w:pPr>
        <w:spacing w:line="240" w:lineRule="auto"/>
        <w:jc w:val="both"/>
        <w:rPr>
          <w:rFonts w:ascii="Times New Roman" w:hAnsi="Times New Roman" w:cs="Times New Roman"/>
          <w:b/>
          <w:sz w:val="24"/>
          <w:szCs w:val="24"/>
        </w:rPr>
      </w:pPr>
      <w:r w:rsidRPr="004362EE">
        <w:rPr>
          <w:rFonts w:ascii="Times New Roman" w:hAnsi="Times New Roman" w:cs="Times New Roman"/>
          <w:b/>
          <w:sz w:val="24"/>
          <w:szCs w:val="24"/>
        </w:rPr>
        <w:t xml:space="preserve">Abstract </w:t>
      </w:r>
    </w:p>
    <w:p w14:paraId="1CB5CCE3" w14:textId="2F51F8D2" w:rsidR="00E60CDD" w:rsidRPr="00E60CDD" w:rsidRDefault="00E60CDD" w:rsidP="00E83AEC">
      <w:pPr>
        <w:spacing w:line="240" w:lineRule="auto"/>
        <w:jc w:val="both"/>
        <w:rPr>
          <w:rFonts w:ascii="Times New Roman" w:hAnsi="Times New Roman" w:cs="Times New Roman"/>
          <w:bCs/>
          <w:sz w:val="24"/>
          <w:szCs w:val="24"/>
        </w:rPr>
      </w:pPr>
      <w:r w:rsidRPr="00E60CDD">
        <w:rPr>
          <w:rFonts w:ascii="Times New Roman" w:hAnsi="Times New Roman" w:cs="Times New Roman"/>
          <w:bCs/>
          <w:sz w:val="24"/>
          <w:szCs w:val="24"/>
          <w:highlight w:val="yellow"/>
        </w:rPr>
        <w:t xml:space="preserve">Inflammation is frequently accompanied by oxidative stress, which can disrupt antioxidant defenses and promote tissue injury. </w:t>
      </w:r>
      <w:r w:rsidRPr="00B12AD5">
        <w:rPr>
          <w:rFonts w:ascii="Times New Roman" w:hAnsi="Times New Roman" w:cs="Times New Roman"/>
          <w:bCs/>
          <w:i/>
          <w:iCs/>
          <w:sz w:val="24"/>
          <w:szCs w:val="24"/>
          <w:highlight w:val="yellow"/>
        </w:rPr>
        <w:t>Alstonia boonei</w:t>
      </w:r>
      <w:r w:rsidRPr="00E60CDD">
        <w:rPr>
          <w:rFonts w:ascii="Times New Roman" w:hAnsi="Times New Roman" w:cs="Times New Roman"/>
          <w:bCs/>
          <w:sz w:val="24"/>
          <w:szCs w:val="24"/>
          <w:highlight w:val="yellow"/>
        </w:rPr>
        <w:t xml:space="preserve"> is widely used in traditional medicine, yet comparative evidence on the dose-dependent antioxidant effects of different plant parts under inflammatory conditions remains limited. This study evaluated the effects of aqueous extracts of </w:t>
      </w:r>
      <w:r w:rsidRPr="00BE12D5">
        <w:rPr>
          <w:rFonts w:ascii="Times New Roman" w:hAnsi="Times New Roman" w:cs="Times New Roman"/>
          <w:bCs/>
          <w:i/>
          <w:iCs/>
          <w:sz w:val="24"/>
          <w:szCs w:val="24"/>
          <w:highlight w:val="yellow"/>
        </w:rPr>
        <w:t>A. boonei</w:t>
      </w:r>
      <w:r w:rsidRPr="00E60CDD">
        <w:rPr>
          <w:rFonts w:ascii="Times New Roman" w:hAnsi="Times New Roman" w:cs="Times New Roman"/>
          <w:bCs/>
          <w:sz w:val="24"/>
          <w:szCs w:val="24"/>
          <w:highlight w:val="yellow"/>
        </w:rPr>
        <w:t xml:space="preserve"> leaf, stem bark, and root bark on oxidative stress biomarkers in a formalin-induced inflammation model in Wistar rats. Rats were allocated to normal and formalin-induced control groups, an indomethacin-treated reference group, and extract-treated groups. Inflammation was induced by subcutaneous injection of 0.1 mL of 2% formalin into the hind paw on days 1 and 3. Extracts were administered orally at 150, 300, or 600 mg/kg body weight for 21 days; indomethacin (10 mg/kg) served as the standard anti-inflammatory control. Body weight was monitored during the study. After treatment, liver, kidney, and heart tissues were harvested and homogenized for biochemical assays. Oxidative status was assessed using malondialdehyde (MDA) as a lipid peroxidation index, alongside antioxidant enzymes superoxide dismutase (SOD) and catalase (CAT). Data were analyzed using appropriate comparative statistics with significance set at p&lt;0.05. Formalin induction elevated oxidative stress, reflected by increased MDA and altered antioxidant enzyme activities across organs. Leaf extract at lower doses generally improved antioxidant profiles by reducing MDA and supporting SOD/CAT activities, whereas higher doses—particularly of stem and root extracts—tended to worsen oxidative indices and/or dysregulate antioxidant enzymes. Overall, </w:t>
      </w:r>
      <w:r w:rsidRPr="00260151">
        <w:rPr>
          <w:rFonts w:ascii="Times New Roman" w:hAnsi="Times New Roman" w:cs="Times New Roman"/>
          <w:bCs/>
          <w:i/>
          <w:iCs/>
          <w:sz w:val="24"/>
          <w:szCs w:val="24"/>
          <w:highlight w:val="yellow"/>
        </w:rPr>
        <w:t>A. boonei</w:t>
      </w:r>
      <w:r w:rsidRPr="00E60CDD">
        <w:rPr>
          <w:rFonts w:ascii="Times New Roman" w:hAnsi="Times New Roman" w:cs="Times New Roman"/>
          <w:bCs/>
          <w:sz w:val="24"/>
          <w:szCs w:val="24"/>
          <w:highlight w:val="yellow"/>
        </w:rPr>
        <w:t xml:space="preserve"> exhibited dose- and plant-part–dependent effects, supporting cautious preclinical exploration and emphasizing the need for extract standardization and safety evaluation at higher doses.</w:t>
      </w:r>
    </w:p>
    <w:p w14:paraId="659D5D51" w14:textId="77777777" w:rsidR="00E60CDD" w:rsidRDefault="00E60CDD" w:rsidP="00E83AEC">
      <w:pPr>
        <w:spacing w:line="240" w:lineRule="auto"/>
        <w:jc w:val="both"/>
        <w:rPr>
          <w:rFonts w:ascii="Times New Roman" w:hAnsi="Times New Roman" w:cs="Times New Roman"/>
          <w:b/>
          <w:sz w:val="24"/>
          <w:szCs w:val="24"/>
        </w:rPr>
      </w:pPr>
    </w:p>
    <w:p w14:paraId="7562D73D" w14:textId="0581F4EA" w:rsidR="00F417A3" w:rsidRPr="00A5561B" w:rsidRDefault="00A5561B" w:rsidP="00E83A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3A5DC6">
        <w:rPr>
          <w:rFonts w:ascii="Times New Roman" w:hAnsi="Times New Roman" w:cs="Times New Roman"/>
          <w:i/>
          <w:iCs/>
          <w:sz w:val="24"/>
          <w:szCs w:val="24"/>
        </w:rPr>
        <w:t>Alstonia boonei</w:t>
      </w:r>
      <w:r>
        <w:rPr>
          <w:rFonts w:ascii="Times New Roman" w:hAnsi="Times New Roman" w:cs="Times New Roman"/>
          <w:i/>
          <w:iCs/>
          <w:sz w:val="24"/>
          <w:szCs w:val="24"/>
        </w:rPr>
        <w:t xml:space="preserve">, </w:t>
      </w:r>
      <w:r w:rsidRPr="003A5DC6">
        <w:rPr>
          <w:rFonts w:ascii="Times New Roman" w:hAnsi="Times New Roman" w:cs="Times New Roman"/>
          <w:sz w:val="24"/>
          <w:szCs w:val="24"/>
        </w:rPr>
        <w:t>oxidative stress</w:t>
      </w:r>
      <w:r>
        <w:rPr>
          <w:rFonts w:ascii="Times New Roman" w:hAnsi="Times New Roman" w:cs="Times New Roman"/>
          <w:sz w:val="24"/>
          <w:szCs w:val="24"/>
        </w:rPr>
        <w:t xml:space="preserve">, </w:t>
      </w:r>
      <w:r w:rsidRPr="003A5DC6">
        <w:rPr>
          <w:rFonts w:ascii="Times New Roman" w:hAnsi="Times New Roman" w:cs="Times New Roman"/>
          <w:sz w:val="24"/>
          <w:szCs w:val="24"/>
        </w:rPr>
        <w:t>inflammation</w:t>
      </w:r>
      <w:r>
        <w:rPr>
          <w:rFonts w:ascii="Times New Roman" w:hAnsi="Times New Roman" w:cs="Times New Roman"/>
          <w:sz w:val="24"/>
          <w:szCs w:val="24"/>
        </w:rPr>
        <w:t xml:space="preserve">, </w:t>
      </w:r>
      <w:r w:rsidRPr="003A5DC6">
        <w:rPr>
          <w:rFonts w:ascii="Times New Roman" w:hAnsi="Times New Roman" w:cs="Times New Roman"/>
          <w:sz w:val="24"/>
          <w:szCs w:val="24"/>
        </w:rPr>
        <w:t>Wistar rats</w:t>
      </w:r>
    </w:p>
    <w:p w14:paraId="5ED3B7DB" w14:textId="7241BE6C" w:rsidR="00CC0E5B" w:rsidRPr="009115E0" w:rsidRDefault="00821E56" w:rsidP="00E83AEC">
      <w:pPr>
        <w:spacing w:line="240" w:lineRule="auto"/>
        <w:jc w:val="both"/>
        <w:rPr>
          <w:rFonts w:ascii="Times New Roman" w:hAnsi="Times New Roman" w:cs="Times New Roman"/>
          <w:b/>
          <w:bCs/>
          <w:sz w:val="24"/>
          <w:szCs w:val="24"/>
        </w:rPr>
      </w:pPr>
      <w:r w:rsidRPr="009115E0">
        <w:rPr>
          <w:rFonts w:ascii="Times New Roman" w:hAnsi="Times New Roman" w:cs="Times New Roman"/>
          <w:b/>
          <w:bCs/>
          <w:sz w:val="24"/>
          <w:szCs w:val="24"/>
        </w:rPr>
        <w:t xml:space="preserve">Introduction </w:t>
      </w:r>
    </w:p>
    <w:p w14:paraId="6E10EF44" w14:textId="6997DF37" w:rsidR="001C6C09" w:rsidRDefault="001C6C09" w:rsidP="00E83AEC">
      <w:pPr>
        <w:spacing w:line="240" w:lineRule="auto"/>
        <w:jc w:val="both"/>
        <w:rPr>
          <w:rFonts w:ascii="Times New Roman" w:hAnsi="Times New Roman" w:cs="Times New Roman"/>
          <w:sz w:val="24"/>
          <w:szCs w:val="24"/>
        </w:rPr>
      </w:pPr>
      <w:r w:rsidRPr="001C6C09">
        <w:rPr>
          <w:rFonts w:ascii="Times New Roman" w:hAnsi="Times New Roman" w:cs="Times New Roman"/>
          <w:sz w:val="24"/>
          <w:szCs w:val="24"/>
        </w:rPr>
        <w:t xml:space="preserve">Herbal plants have long been vital in both the treatment and prevention of various illnesses and remain widely used across regions like Africa and Asia. These plants are abundant in phytochemicals, many of which hold potential as precursors for new drug development. To date, numerous bioactive compounds derived from medicinal plants have shown promise as foundations for innovative pharmaceuticals (Ugboko </w:t>
      </w:r>
      <w:r w:rsidR="00367A02" w:rsidRPr="00367A02">
        <w:rPr>
          <w:rFonts w:ascii="Times New Roman" w:hAnsi="Times New Roman" w:cs="Times New Roman"/>
          <w:i/>
          <w:iCs/>
          <w:sz w:val="24"/>
          <w:szCs w:val="24"/>
        </w:rPr>
        <w:t>et al</w:t>
      </w:r>
      <w:r w:rsidRPr="001C6C09">
        <w:rPr>
          <w:rFonts w:ascii="Times New Roman" w:hAnsi="Times New Roman" w:cs="Times New Roman"/>
          <w:sz w:val="24"/>
          <w:szCs w:val="24"/>
        </w:rPr>
        <w:t xml:space="preserve">., 2020). Despite their widespread usage, affordability, and reliance in African communities, only a limited number have been thoroughly investigated or had their traditional applications scientifically validated, even though they are frequently used to manage conditions such as malaria, diarrhea, dysentery, cough, and inflammation (Mofokeng </w:t>
      </w:r>
      <w:r w:rsidR="00367A02" w:rsidRPr="00367A02">
        <w:rPr>
          <w:rFonts w:ascii="Times New Roman" w:hAnsi="Times New Roman" w:cs="Times New Roman"/>
          <w:i/>
          <w:iCs/>
          <w:sz w:val="24"/>
          <w:szCs w:val="24"/>
        </w:rPr>
        <w:t>et al</w:t>
      </w:r>
      <w:r w:rsidRPr="001C6C09">
        <w:rPr>
          <w:rFonts w:ascii="Times New Roman" w:hAnsi="Times New Roman" w:cs="Times New Roman"/>
          <w:sz w:val="24"/>
          <w:szCs w:val="24"/>
        </w:rPr>
        <w:t>., 2022).</w:t>
      </w:r>
    </w:p>
    <w:p w14:paraId="78A20242" w14:textId="0C818A6D" w:rsidR="001C6C09" w:rsidRPr="001C6C09" w:rsidRDefault="00301B3E" w:rsidP="00E83AEC">
      <w:pPr>
        <w:spacing w:line="240" w:lineRule="auto"/>
        <w:jc w:val="both"/>
        <w:rPr>
          <w:rFonts w:ascii="Times New Roman" w:hAnsi="Times New Roman" w:cs="Times New Roman"/>
          <w:sz w:val="24"/>
          <w:szCs w:val="24"/>
        </w:rPr>
      </w:pPr>
      <w:r w:rsidRPr="00301B3E">
        <w:rPr>
          <w:rFonts w:ascii="Times New Roman" w:hAnsi="Times New Roman" w:cs="Times New Roman"/>
          <w:sz w:val="24"/>
          <w:szCs w:val="24"/>
        </w:rPr>
        <w:t xml:space="preserve">Inflammation is the body's natural defense mechanism against harmful stimuli such as toxins, infections, or cellular injury, typically presenting with redness, warmth, swelling, pain, and functional impairment (Gusev &amp; Zhuravleva, 2022). While mild inflammation, particularly in organs like the liver, can be protective, severe or prolonged inflammation may cause tissue damage </w:t>
      </w:r>
      <w:r w:rsidRPr="00301B3E">
        <w:rPr>
          <w:rFonts w:ascii="Times New Roman" w:hAnsi="Times New Roman" w:cs="Times New Roman"/>
          <w:sz w:val="24"/>
          <w:szCs w:val="24"/>
        </w:rPr>
        <w:lastRenderedPageBreak/>
        <w:t xml:space="preserve">or organ failure (Matyas </w:t>
      </w:r>
      <w:r w:rsidRPr="003457DF">
        <w:rPr>
          <w:rFonts w:ascii="Times New Roman" w:hAnsi="Times New Roman" w:cs="Times New Roman"/>
          <w:i/>
          <w:iCs/>
          <w:sz w:val="24"/>
          <w:szCs w:val="24"/>
        </w:rPr>
        <w:t>et al</w:t>
      </w:r>
      <w:r w:rsidRPr="00301B3E">
        <w:rPr>
          <w:rFonts w:ascii="Times New Roman" w:hAnsi="Times New Roman" w:cs="Times New Roman"/>
          <w:sz w:val="24"/>
          <w:szCs w:val="24"/>
        </w:rPr>
        <w:t xml:space="preserve">., 2021). Both infectious agents, such as bacteria and </w:t>
      </w:r>
      <w:r w:rsidRPr="00301B3E">
        <w:rPr>
          <w:rFonts w:ascii="Times New Roman" w:hAnsi="Times New Roman" w:cs="Times New Roman"/>
          <w:i/>
          <w:iCs/>
          <w:sz w:val="24"/>
          <w:szCs w:val="24"/>
        </w:rPr>
        <w:t>Plasmodium</w:t>
      </w:r>
      <w:r w:rsidRPr="00301B3E">
        <w:rPr>
          <w:rFonts w:ascii="Times New Roman" w:hAnsi="Times New Roman" w:cs="Times New Roman"/>
          <w:sz w:val="24"/>
          <w:szCs w:val="24"/>
        </w:rPr>
        <w:t xml:space="preserve"> species, and non-infectious triggers can initiate inflammatory responses through pathways activated by components like lipopolysaccharides (LPS) (Harvanová &amp; Duranková, 2025). Key inflammatory biomarkers include cytokines such as interleukins, C-reactive protein, tumor necrosis factor, malondialdehyde (MDA), thiobarbituric acid reactive substances (TBARS), and the enzyme creatine kinase, which is involved in cellular energy metabolism (Menzel </w:t>
      </w:r>
      <w:r w:rsidRPr="004E42B7">
        <w:rPr>
          <w:rFonts w:ascii="Times New Roman" w:hAnsi="Times New Roman" w:cs="Times New Roman"/>
          <w:i/>
          <w:iCs/>
          <w:sz w:val="24"/>
          <w:szCs w:val="24"/>
        </w:rPr>
        <w:t>et al</w:t>
      </w:r>
      <w:r w:rsidRPr="00301B3E">
        <w:rPr>
          <w:rFonts w:ascii="Times New Roman" w:hAnsi="Times New Roman" w:cs="Times New Roman"/>
          <w:sz w:val="24"/>
          <w:szCs w:val="24"/>
        </w:rPr>
        <w:t>., 2021)</w:t>
      </w:r>
      <w:r w:rsidR="001C6C09" w:rsidRPr="001C6C09">
        <w:rPr>
          <w:rFonts w:ascii="Times New Roman" w:hAnsi="Times New Roman" w:cs="Times New Roman"/>
          <w:sz w:val="24"/>
          <w:szCs w:val="24"/>
        </w:rPr>
        <w:t>.</w:t>
      </w:r>
    </w:p>
    <w:p w14:paraId="3D09E54D" w14:textId="592D96C2" w:rsidR="008E6623" w:rsidRDefault="001C6C09" w:rsidP="00E83AEC">
      <w:pPr>
        <w:spacing w:line="240" w:lineRule="auto"/>
        <w:jc w:val="both"/>
        <w:rPr>
          <w:rFonts w:ascii="Times New Roman" w:hAnsi="Times New Roman" w:cs="Times New Roman"/>
          <w:sz w:val="24"/>
          <w:szCs w:val="24"/>
        </w:rPr>
      </w:pPr>
      <w:r w:rsidRPr="001C6C09">
        <w:rPr>
          <w:rFonts w:ascii="Times New Roman" w:hAnsi="Times New Roman" w:cs="Times New Roman"/>
          <w:i/>
          <w:iCs/>
          <w:sz w:val="24"/>
          <w:szCs w:val="24"/>
        </w:rPr>
        <w:t>A.</w:t>
      </w:r>
      <w:r w:rsidR="008E6623">
        <w:rPr>
          <w:rFonts w:ascii="Times New Roman" w:hAnsi="Times New Roman" w:cs="Times New Roman"/>
          <w:i/>
          <w:iCs/>
          <w:sz w:val="24"/>
          <w:szCs w:val="24"/>
        </w:rPr>
        <w:t xml:space="preserve"> </w:t>
      </w:r>
      <w:r w:rsidRPr="001C6C09">
        <w:rPr>
          <w:rFonts w:ascii="Times New Roman" w:hAnsi="Times New Roman" w:cs="Times New Roman"/>
          <w:i/>
          <w:iCs/>
          <w:sz w:val="24"/>
          <w:szCs w:val="24"/>
        </w:rPr>
        <w:t>boonei</w:t>
      </w:r>
      <w:r w:rsidRPr="001C6C09">
        <w:rPr>
          <w:rFonts w:ascii="Times New Roman" w:hAnsi="Times New Roman" w:cs="Times New Roman"/>
          <w:sz w:val="24"/>
          <w:szCs w:val="24"/>
        </w:rPr>
        <w:t xml:space="preserve"> is a traditional medicinal plant recognized for its anti-inflammatory effects in ethnomedicine (Egho </w:t>
      </w:r>
      <w:r w:rsidR="00367A02" w:rsidRPr="00367A02">
        <w:rPr>
          <w:rFonts w:ascii="Times New Roman" w:hAnsi="Times New Roman" w:cs="Times New Roman"/>
          <w:i/>
          <w:iCs/>
          <w:sz w:val="24"/>
          <w:szCs w:val="24"/>
        </w:rPr>
        <w:t>et al</w:t>
      </w:r>
      <w:r w:rsidRPr="001C6C09">
        <w:rPr>
          <w:rFonts w:ascii="Times New Roman" w:hAnsi="Times New Roman" w:cs="Times New Roman"/>
          <w:sz w:val="24"/>
          <w:szCs w:val="24"/>
        </w:rPr>
        <w:t xml:space="preserve">., 2022). It is rich in several bioactive compounds, including flavonoids, phenolics, alkaloids, and terpenes. Research has highlighted the importance of terpenes as key phytochemicals with a wide range of therapeutic benefits, such as antimicrobial, antimalarial, anticancer, and anti-inflammatory activities. The stem bark of </w:t>
      </w:r>
      <w:r w:rsidRPr="001C6C09">
        <w:rPr>
          <w:rFonts w:ascii="Times New Roman" w:hAnsi="Times New Roman" w:cs="Times New Roman"/>
          <w:i/>
          <w:iCs/>
          <w:sz w:val="24"/>
          <w:szCs w:val="24"/>
        </w:rPr>
        <w:t>A. boonei</w:t>
      </w:r>
      <w:r w:rsidRPr="001C6C09">
        <w:rPr>
          <w:rFonts w:ascii="Times New Roman" w:hAnsi="Times New Roman" w:cs="Times New Roman"/>
          <w:sz w:val="24"/>
          <w:szCs w:val="24"/>
        </w:rPr>
        <w:t xml:space="preserve"> has specifically been noted for its analgesic, anti-inflammatory, antipyretic, and antioxidant effects (Mollica </w:t>
      </w:r>
      <w:r w:rsidR="00367A02" w:rsidRPr="00367A02">
        <w:rPr>
          <w:rFonts w:ascii="Times New Roman" w:hAnsi="Times New Roman" w:cs="Times New Roman"/>
          <w:i/>
          <w:iCs/>
          <w:sz w:val="24"/>
          <w:szCs w:val="24"/>
        </w:rPr>
        <w:t>et al</w:t>
      </w:r>
      <w:r w:rsidRPr="001C6C09">
        <w:rPr>
          <w:rFonts w:ascii="Times New Roman" w:hAnsi="Times New Roman" w:cs="Times New Roman"/>
          <w:sz w:val="24"/>
          <w:szCs w:val="24"/>
        </w:rPr>
        <w:t xml:space="preserve">., 2022). </w:t>
      </w:r>
      <w:r w:rsidR="008E6623" w:rsidRPr="008E6623">
        <w:rPr>
          <w:rFonts w:ascii="Times New Roman" w:hAnsi="Times New Roman" w:cs="Times New Roman"/>
          <w:sz w:val="24"/>
          <w:szCs w:val="24"/>
          <w:highlight w:val="yellow"/>
        </w:rPr>
        <w:t>Recent experimental evidence supports the anti-inflammatory and antioxidant relevance of Alstonia boonei and strengthens the rationale for evaluating oxidative-stress biomarkers in inflammation models. For example, the n-hexane fraction of A. boonei stem bark attenuated lipopolysaccharide-induced inflammatory responses and related biochemical disturbances in Wistar rats (Olanlokun et al., 2021). In addition, trunk-bark preparations of A. boonei have demonstrated measurable anti-inflammatory and antioxidant activities in laboratory assays, further indicating bioactive potential relevant to oxidative injury (Fagni Njoya et al., 2022). Multi-disease preclinical studies also suggest that A. boonei extracts can modulate inflammatory biomarkers and enhance antioxidant status in vivo, supporting broader systemic evaluation beyond the primary site of insult (Agunloye et al., 2025). Moreover, formaldehyde/formalin-induced arthritis models are widely used to test candidate anti-arthritic agents and are commonly associated with altered oxidative-stress indices such as MDA and antioxidant enzymes, providing a useful benchmark for plant-derived interventions (Malhotra et al., 2024; Ouari et al., 2025). Finally, recent rodent studies of plant extracts in arthritis contexts emphasize the need to interpret oxidative shifts alongside safety endpoints and comprehensive toxicity assessment (Manan et al., 2022).</w:t>
      </w:r>
    </w:p>
    <w:p w14:paraId="7F82711C" w14:textId="580D6BD3" w:rsidR="001C6C09" w:rsidRPr="001C6C09" w:rsidRDefault="001C6C09" w:rsidP="00E83AEC">
      <w:pPr>
        <w:spacing w:line="240" w:lineRule="auto"/>
        <w:jc w:val="both"/>
        <w:rPr>
          <w:rFonts w:ascii="Times New Roman" w:hAnsi="Times New Roman" w:cs="Times New Roman"/>
          <w:sz w:val="24"/>
          <w:szCs w:val="24"/>
        </w:rPr>
      </w:pPr>
      <w:r w:rsidRPr="001C6C09">
        <w:rPr>
          <w:rFonts w:ascii="Times New Roman" w:hAnsi="Times New Roman" w:cs="Times New Roman"/>
          <w:sz w:val="24"/>
          <w:szCs w:val="24"/>
        </w:rPr>
        <w:t xml:space="preserve">This study was designed to evaluate the </w:t>
      </w:r>
      <w:r w:rsidR="00527D98">
        <w:rPr>
          <w:rFonts w:ascii="Times New Roman" w:hAnsi="Times New Roman" w:cs="Times New Roman"/>
          <w:sz w:val="24"/>
          <w:szCs w:val="24"/>
        </w:rPr>
        <w:t>antioxidant</w:t>
      </w:r>
      <w:r w:rsidRPr="001C6C09">
        <w:rPr>
          <w:rFonts w:ascii="Times New Roman" w:hAnsi="Times New Roman" w:cs="Times New Roman"/>
          <w:sz w:val="24"/>
          <w:szCs w:val="24"/>
        </w:rPr>
        <w:t xml:space="preserve"> response in Wistar rats treated with different concentrations of </w:t>
      </w:r>
      <w:r w:rsidRPr="001C6C09">
        <w:rPr>
          <w:rFonts w:ascii="Times New Roman" w:hAnsi="Times New Roman" w:cs="Times New Roman"/>
          <w:i/>
          <w:iCs/>
          <w:sz w:val="24"/>
          <w:szCs w:val="24"/>
        </w:rPr>
        <w:t xml:space="preserve">A. boonei </w:t>
      </w:r>
      <w:r w:rsidRPr="001C6C09">
        <w:rPr>
          <w:rFonts w:ascii="Times New Roman" w:hAnsi="Times New Roman" w:cs="Times New Roman"/>
          <w:sz w:val="24"/>
          <w:szCs w:val="24"/>
        </w:rPr>
        <w:t>extracts (from the leaf, stem bark, and root bark) following inflammation induced by formalin.</w:t>
      </w:r>
      <w:r w:rsidR="003457DF">
        <w:rPr>
          <w:rFonts w:ascii="Times New Roman" w:hAnsi="Times New Roman" w:cs="Times New Roman"/>
          <w:sz w:val="24"/>
          <w:szCs w:val="24"/>
        </w:rPr>
        <w:t xml:space="preserve"> </w:t>
      </w:r>
      <w:r w:rsidR="008E6623" w:rsidRPr="008E6623">
        <w:rPr>
          <w:rFonts w:ascii="Times New Roman" w:hAnsi="Times New Roman" w:cs="Times New Roman"/>
          <w:sz w:val="24"/>
          <w:szCs w:val="24"/>
        </w:rPr>
        <w:t>Formaldehyde/formalin-induced arthritis models are widely used for experimental induction and grading of arthritis-like disease activity in Wistar rats, providing a practical platform for evaluating anti-inflammatory interventions (Ozoemena et al., 2023).</w:t>
      </w:r>
      <w:r w:rsidR="008E6623">
        <w:rPr>
          <w:rFonts w:ascii="Times New Roman" w:hAnsi="Times New Roman" w:cs="Times New Roman"/>
          <w:sz w:val="24"/>
          <w:szCs w:val="24"/>
        </w:rPr>
        <w:t xml:space="preserve"> </w:t>
      </w:r>
      <w:r w:rsidR="003457DF" w:rsidRPr="003457DF">
        <w:rPr>
          <w:rFonts w:ascii="Times New Roman" w:hAnsi="Times New Roman" w:cs="Times New Roman"/>
          <w:sz w:val="24"/>
          <w:szCs w:val="24"/>
        </w:rPr>
        <w:t xml:space="preserve">The study is necessary because exposure to formalin, a widely used chemical in laboratories, industries, and healthcare settings, is known to induce significant </w:t>
      </w:r>
      <w:r w:rsidR="00077A97" w:rsidRPr="00077A97">
        <w:rPr>
          <w:rFonts w:ascii="Times New Roman" w:hAnsi="Times New Roman" w:cs="Times New Roman"/>
          <w:sz w:val="24"/>
          <w:szCs w:val="24"/>
        </w:rPr>
        <w:t>pro-oxidative</w:t>
      </w:r>
      <w:r w:rsidR="003457DF" w:rsidRPr="003457DF">
        <w:rPr>
          <w:rFonts w:ascii="Times New Roman" w:hAnsi="Times New Roman" w:cs="Times New Roman"/>
          <w:sz w:val="24"/>
          <w:szCs w:val="24"/>
        </w:rPr>
        <w:t xml:space="preserve"> effects mediated largely through oxidative stress mechanisms.</w:t>
      </w:r>
    </w:p>
    <w:p w14:paraId="1AB960E0" w14:textId="6D3824E0"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 xml:space="preserve">Methodology </w:t>
      </w:r>
    </w:p>
    <w:p w14:paraId="20D43444" w14:textId="77777777"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Study Area</w:t>
      </w:r>
    </w:p>
    <w:p w14:paraId="07E5CC14" w14:textId="77777777" w:rsidR="0073211E" w:rsidRPr="004362EE" w:rsidRDefault="0073211E" w:rsidP="00E83AEC">
      <w:pPr>
        <w:spacing w:line="240" w:lineRule="auto"/>
        <w:jc w:val="both"/>
        <w:rPr>
          <w:rFonts w:ascii="Times New Roman" w:hAnsi="Times New Roman" w:cs="Times New Roman"/>
          <w:sz w:val="24"/>
          <w:szCs w:val="24"/>
        </w:rPr>
      </w:pPr>
      <w:r w:rsidRPr="004362EE">
        <w:rPr>
          <w:rFonts w:ascii="Times New Roman" w:hAnsi="Times New Roman" w:cs="Times New Roman"/>
          <w:sz w:val="24"/>
          <w:szCs w:val="24"/>
        </w:rPr>
        <w:t>This work was done in the department of Pharmacology University of Benin, Benin City, Edo State, Nigeria.</w:t>
      </w:r>
    </w:p>
    <w:p w14:paraId="4C68DAD0" w14:textId="77777777"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Experimental Design</w:t>
      </w:r>
    </w:p>
    <w:p w14:paraId="376D8D49" w14:textId="569F8B58" w:rsidR="008477CB" w:rsidRDefault="008477CB" w:rsidP="00E83AEC">
      <w:pPr>
        <w:spacing w:line="240" w:lineRule="auto"/>
        <w:jc w:val="both"/>
        <w:rPr>
          <w:rFonts w:ascii="Times New Roman" w:hAnsi="Times New Roman" w:cs="Times New Roman"/>
          <w:bCs/>
          <w:sz w:val="24"/>
          <w:szCs w:val="24"/>
        </w:rPr>
      </w:pPr>
      <w:bookmarkStart w:id="0" w:name="_Toc142053833"/>
      <w:r w:rsidRPr="008477CB">
        <w:rPr>
          <w:rFonts w:ascii="Times New Roman" w:hAnsi="Times New Roman" w:cs="Times New Roman"/>
          <w:bCs/>
          <w:sz w:val="24"/>
          <w:szCs w:val="24"/>
        </w:rPr>
        <w:lastRenderedPageBreak/>
        <w:t xml:space="preserve">The experiment aimed to induce arthritis-like inflammation in male Wistar rats using formalin. A total of </w:t>
      </w:r>
      <w:r w:rsidR="004A65DB">
        <w:rPr>
          <w:rFonts w:ascii="Times New Roman" w:hAnsi="Times New Roman" w:cs="Times New Roman"/>
          <w:bCs/>
          <w:sz w:val="24"/>
          <w:szCs w:val="24"/>
        </w:rPr>
        <w:t>7</w:t>
      </w:r>
      <w:r w:rsidRPr="008477CB">
        <w:rPr>
          <w:rFonts w:ascii="Times New Roman" w:hAnsi="Times New Roman" w:cs="Times New Roman"/>
          <w:bCs/>
          <w:sz w:val="24"/>
          <w:szCs w:val="24"/>
        </w:rPr>
        <w:t xml:space="preserve">0 rats were divided into six main groups, </w:t>
      </w:r>
      <w:r w:rsidR="00174609" w:rsidRPr="00174609">
        <w:rPr>
          <w:rFonts w:ascii="Times New Roman" w:hAnsi="Times New Roman" w:cs="Times New Roman"/>
          <w:bCs/>
          <w:sz w:val="24"/>
          <w:szCs w:val="24"/>
        </w:rPr>
        <w:t>with 15-rat groups split into 3 subgroups of n=5</w:t>
      </w:r>
      <w:r w:rsidRPr="008477CB">
        <w:rPr>
          <w:rFonts w:ascii="Times New Roman" w:hAnsi="Times New Roman" w:cs="Times New Roman"/>
          <w:bCs/>
          <w:sz w:val="24"/>
          <w:szCs w:val="24"/>
        </w:rPr>
        <w:t>. Before the experiment, all rats were examined, weighed, labeled, and tagged. Inflammation was induced in the right hind paw of rats in Groups I to V through subaponeurotic injection of 0.1 mL of 2% formalin on the first and third day. Inflammation levels were measured daily using a veneer caliper. Rats in Groups II, III, IV, and VI received daily doses of plant extracts administered orally using an orogastric tube and syringe.</w:t>
      </w:r>
    </w:p>
    <w:p w14:paraId="2B6826FD" w14:textId="5D4EE9D6" w:rsidR="0073211E" w:rsidRPr="00936B7E" w:rsidRDefault="0073211E" w:rsidP="00E83AEC">
      <w:pPr>
        <w:spacing w:line="240" w:lineRule="auto"/>
        <w:jc w:val="both"/>
        <w:rPr>
          <w:rFonts w:ascii="Times New Roman" w:hAnsi="Times New Roman" w:cs="Times New Roman"/>
          <w:b/>
          <w:bCs/>
          <w:sz w:val="24"/>
          <w:szCs w:val="24"/>
        </w:rPr>
      </w:pPr>
      <w:r w:rsidRPr="00936B7E">
        <w:rPr>
          <w:rFonts w:ascii="Times New Roman" w:hAnsi="Times New Roman" w:cs="Times New Roman"/>
          <w:b/>
          <w:bCs/>
          <w:sz w:val="24"/>
          <w:szCs w:val="24"/>
        </w:rPr>
        <w:t>Ethical Approval</w:t>
      </w:r>
      <w:bookmarkEnd w:id="0"/>
    </w:p>
    <w:p w14:paraId="55AC78A6" w14:textId="77777777" w:rsidR="0073211E" w:rsidRPr="004362EE" w:rsidRDefault="0073211E" w:rsidP="00E83AEC">
      <w:pPr>
        <w:spacing w:line="240" w:lineRule="auto"/>
        <w:jc w:val="both"/>
        <w:rPr>
          <w:rFonts w:ascii="Times New Roman" w:hAnsi="Times New Roman" w:cs="Times New Roman"/>
          <w:sz w:val="24"/>
          <w:szCs w:val="24"/>
        </w:rPr>
      </w:pPr>
      <w:bookmarkStart w:id="1" w:name="_Hlk142030489"/>
      <w:r w:rsidRPr="004362EE">
        <w:rPr>
          <w:rFonts w:ascii="Times New Roman" w:hAnsi="Times New Roman" w:cs="Times New Roman"/>
          <w:sz w:val="24"/>
          <w:szCs w:val="24"/>
        </w:rPr>
        <w:t>Ethical approval for the study was granted by the Ministry of Agriculture and Food Security, Benin City, Edo State Nigeria, through their letter referenced V. 1041/97</w:t>
      </w:r>
      <w:bookmarkEnd w:id="1"/>
      <w:r w:rsidRPr="004362EE">
        <w:rPr>
          <w:rFonts w:ascii="Times New Roman" w:hAnsi="Times New Roman" w:cs="Times New Roman"/>
          <w:sz w:val="24"/>
          <w:szCs w:val="24"/>
        </w:rPr>
        <w:t>.</w:t>
      </w:r>
    </w:p>
    <w:p w14:paraId="1F9677E2" w14:textId="77777777" w:rsidR="00F417A3" w:rsidRDefault="00F417A3" w:rsidP="00E83AEC">
      <w:pPr>
        <w:spacing w:line="240" w:lineRule="auto"/>
        <w:jc w:val="both"/>
        <w:rPr>
          <w:rFonts w:ascii="Times New Roman" w:hAnsi="Times New Roman" w:cs="Times New Roman"/>
          <w:b/>
          <w:bCs/>
          <w:sz w:val="24"/>
          <w:szCs w:val="24"/>
        </w:rPr>
      </w:pPr>
      <w:bookmarkStart w:id="2" w:name="_Toc142053834"/>
    </w:p>
    <w:p w14:paraId="24CD206D" w14:textId="6B75C1BE"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Animal Stabilization and Feeding</w:t>
      </w:r>
      <w:bookmarkEnd w:id="2"/>
    </w:p>
    <w:p w14:paraId="69E94C17" w14:textId="1D7A8B51" w:rsidR="004E42B7" w:rsidRPr="00F417A3" w:rsidRDefault="004A65DB" w:rsidP="00E83AEC">
      <w:pPr>
        <w:spacing w:line="240" w:lineRule="auto"/>
        <w:jc w:val="both"/>
        <w:rPr>
          <w:rFonts w:ascii="Times New Roman" w:hAnsi="Times New Roman" w:cs="Times New Roman"/>
          <w:sz w:val="24"/>
          <w:szCs w:val="24"/>
        </w:rPr>
      </w:pPr>
      <w:bookmarkStart w:id="3" w:name="_Toc142053835"/>
      <w:r>
        <w:rPr>
          <w:rFonts w:ascii="Times New Roman" w:hAnsi="Times New Roman" w:cs="Times New Roman"/>
          <w:sz w:val="24"/>
          <w:szCs w:val="24"/>
        </w:rPr>
        <w:t>Seventy</w:t>
      </w:r>
      <w:r w:rsidR="00E83AEC" w:rsidRPr="00E83AEC">
        <w:rPr>
          <w:rFonts w:ascii="Times New Roman" w:hAnsi="Times New Roman" w:cs="Times New Roman"/>
          <w:sz w:val="24"/>
          <w:szCs w:val="24"/>
        </w:rPr>
        <w:t xml:space="preserve"> male Wistar rats weighing between 148 g and 250 g were sourced from the Animal House of the Department of Pharmacology and Toxicology, University of Benin. The rats were acclimatized for 14 days under natural lighting conditions and fed standard rodent cubes with water provided ad libitum. Prior to the experiment, they were dewormed and given vitamin C to improve their health status. All procedures followed standard experimental protocols approved by the Faculty of Pharmacy Animal Ethics Committee, University of Benin.</w:t>
      </w:r>
    </w:p>
    <w:p w14:paraId="7BD65618" w14:textId="3B516FD1"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Classification of Groups</w:t>
      </w:r>
      <w:bookmarkEnd w:id="3"/>
      <w:r w:rsidRPr="001D17B9">
        <w:rPr>
          <w:rFonts w:ascii="Times New Roman" w:hAnsi="Times New Roman" w:cs="Times New Roman"/>
          <w:b/>
          <w:bCs/>
          <w:sz w:val="24"/>
          <w:szCs w:val="24"/>
        </w:rPr>
        <w:t xml:space="preserve"> </w:t>
      </w:r>
    </w:p>
    <w:p w14:paraId="6E41D937" w14:textId="35B4D7EF" w:rsidR="0073211E" w:rsidRPr="00E83AEC" w:rsidRDefault="004A65DB" w:rsidP="00E83AEC">
      <w:pPr>
        <w:spacing w:line="240" w:lineRule="auto"/>
        <w:jc w:val="both"/>
        <w:rPr>
          <w:rFonts w:ascii="Times New Roman" w:hAnsi="Times New Roman" w:cs="Times New Roman"/>
          <w:sz w:val="24"/>
          <w:szCs w:val="24"/>
        </w:rPr>
      </w:pPr>
      <w:r>
        <w:rPr>
          <w:rFonts w:ascii="Times New Roman" w:hAnsi="Times New Roman" w:cs="Times New Roman"/>
          <w:sz w:val="24"/>
          <w:szCs w:val="24"/>
        </w:rPr>
        <w:t>Seven</w:t>
      </w:r>
      <w:r w:rsidR="00E83AEC" w:rsidRPr="00E83AEC">
        <w:rPr>
          <w:rFonts w:ascii="Times New Roman" w:hAnsi="Times New Roman" w:cs="Times New Roman"/>
          <w:sz w:val="24"/>
          <w:szCs w:val="24"/>
        </w:rPr>
        <w:t>ty Wistar rats were used in the study and divided into six groups</w:t>
      </w:r>
      <w:r w:rsidR="00174609">
        <w:rPr>
          <w:rFonts w:ascii="Times New Roman" w:hAnsi="Times New Roman" w:cs="Times New Roman"/>
          <w:sz w:val="24"/>
          <w:szCs w:val="24"/>
        </w:rPr>
        <w:t xml:space="preserve"> (</w:t>
      </w:r>
      <w:r w:rsidR="00174609" w:rsidRPr="00174609">
        <w:rPr>
          <w:rFonts w:ascii="Times New Roman" w:hAnsi="Times New Roman" w:cs="Times New Roman"/>
          <w:sz w:val="24"/>
          <w:szCs w:val="24"/>
        </w:rPr>
        <w:t>6 groups, with 15-rat groups split into 3 subgroups of n=5</w:t>
      </w:r>
      <w:r w:rsidR="00174609">
        <w:rPr>
          <w:rFonts w:ascii="Times New Roman" w:hAnsi="Times New Roman" w:cs="Times New Roman"/>
          <w:sz w:val="24"/>
          <w:szCs w:val="24"/>
        </w:rPr>
        <w:t>)</w:t>
      </w:r>
      <w:r w:rsidR="00E83AEC" w:rsidRPr="00E83AEC">
        <w:rPr>
          <w:rFonts w:ascii="Times New Roman" w:hAnsi="Times New Roman" w:cs="Times New Roman"/>
          <w:sz w:val="24"/>
          <w:szCs w:val="24"/>
        </w:rPr>
        <w:t xml:space="preserve">. Group I served as the control group (5 rats) and received 3 ml/kg of distilled water daily for </w:t>
      </w:r>
      <w:r w:rsidR="004702A4">
        <w:rPr>
          <w:rFonts w:ascii="Times New Roman" w:hAnsi="Times New Roman" w:cs="Times New Roman"/>
          <w:sz w:val="24"/>
          <w:szCs w:val="24"/>
        </w:rPr>
        <w:t>21</w:t>
      </w:r>
      <w:r w:rsidR="00E83AEC" w:rsidRPr="00E83AEC">
        <w:rPr>
          <w:rFonts w:ascii="Times New Roman" w:hAnsi="Times New Roman" w:cs="Times New Roman"/>
          <w:sz w:val="24"/>
          <w:szCs w:val="24"/>
        </w:rPr>
        <w:t xml:space="preserve"> days without plant extract administration. Group II (15 rats) was the 150 mg/kg test group, subdivided into three subgroups, each receiving leaf, stem bark, or root extract after formalin-induced inflammation. Group III (15 rats) was the 300 mg/kg test group, with subgroups similarly receiving different parts of the plant extract post-inflammation. Group IV (15 rats) was the 600 mg/kg test group, with leaf, stem, and root extracts administered after inducing inflammation. Group V (5 rats) was the control drug group, which received </w:t>
      </w:r>
      <w:r w:rsidR="00077A97">
        <w:rPr>
          <w:rFonts w:ascii="Times New Roman" w:hAnsi="Times New Roman" w:cs="Times New Roman"/>
          <w:sz w:val="24"/>
          <w:szCs w:val="24"/>
        </w:rPr>
        <w:t>10</w:t>
      </w:r>
      <w:r w:rsidR="00E83AEC" w:rsidRPr="00E83AEC">
        <w:rPr>
          <w:rFonts w:ascii="Times New Roman" w:hAnsi="Times New Roman" w:cs="Times New Roman"/>
          <w:sz w:val="24"/>
          <w:szCs w:val="24"/>
        </w:rPr>
        <w:t> mg/kg of indomethacin following formalin-induced inflammation. Group VI (15 rats) served as the negative control group, receiving 300 mg/kg of each plant extract without inflammation, also divided into subgroups based on plant part. At the end of the experiment, animals were euthanized using chloroform anesthesia, and the liver, right kidney, and heart were collected. These organs were homogenized in saline, centrifuged, and the supernatant was stored for further analysis</w:t>
      </w:r>
    </w:p>
    <w:p w14:paraId="0F338AA3" w14:textId="77777777"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Plant Specimen Collection</w:t>
      </w:r>
    </w:p>
    <w:p w14:paraId="475A4949" w14:textId="77777777" w:rsidR="0073211E" w:rsidRPr="004362EE" w:rsidRDefault="0073211E" w:rsidP="00E83AEC">
      <w:pPr>
        <w:spacing w:line="240" w:lineRule="auto"/>
        <w:jc w:val="both"/>
        <w:rPr>
          <w:rFonts w:ascii="Times New Roman" w:hAnsi="Times New Roman" w:cs="Times New Roman"/>
          <w:sz w:val="24"/>
          <w:szCs w:val="24"/>
        </w:rPr>
      </w:pPr>
      <w:r w:rsidRPr="004362EE">
        <w:rPr>
          <w:rFonts w:ascii="Times New Roman" w:hAnsi="Times New Roman" w:cs="Times New Roman"/>
          <w:b/>
          <w:sz w:val="24"/>
          <w:szCs w:val="24"/>
        </w:rPr>
        <w:t>Aqueous Extract preparation</w:t>
      </w:r>
    </w:p>
    <w:p w14:paraId="74744BAE" w14:textId="26842ECA" w:rsidR="00E83AEC" w:rsidRDefault="008E6623" w:rsidP="00E83AEC">
      <w:pPr>
        <w:spacing w:line="240" w:lineRule="auto"/>
        <w:jc w:val="both"/>
        <w:rPr>
          <w:rFonts w:ascii="Times New Roman" w:hAnsi="Times New Roman" w:cs="Times New Roman"/>
          <w:sz w:val="24"/>
          <w:szCs w:val="24"/>
        </w:rPr>
      </w:pPr>
      <w:bookmarkStart w:id="4" w:name="_Toc142053838"/>
      <w:r w:rsidRPr="008E6623">
        <w:rPr>
          <w:rFonts w:ascii="Times New Roman" w:hAnsi="Times New Roman" w:cs="Times New Roman"/>
          <w:sz w:val="24"/>
          <w:szCs w:val="24"/>
        </w:rPr>
        <w:t xml:space="preserve">Recent work comparing extraction solvents for </w:t>
      </w:r>
      <w:r w:rsidRPr="008E6623">
        <w:rPr>
          <w:rFonts w:ascii="Times New Roman" w:hAnsi="Times New Roman" w:cs="Times New Roman"/>
          <w:i/>
          <w:iCs/>
          <w:sz w:val="24"/>
          <w:szCs w:val="24"/>
        </w:rPr>
        <w:t>A. boonei</w:t>
      </w:r>
      <w:r w:rsidRPr="008E6623">
        <w:rPr>
          <w:rFonts w:ascii="Times New Roman" w:hAnsi="Times New Roman" w:cs="Times New Roman"/>
          <w:sz w:val="24"/>
          <w:szCs w:val="24"/>
        </w:rPr>
        <w:t xml:space="preserve"> bark indicates that aqueous extracts can retain substantial polyphenol content and exhibit notable antioxidant activity, supporting the use of water-based preparations</w:t>
      </w:r>
      <w:r>
        <w:rPr>
          <w:rFonts w:ascii="Times New Roman" w:hAnsi="Times New Roman" w:cs="Times New Roman"/>
          <w:sz w:val="24"/>
          <w:szCs w:val="24"/>
        </w:rPr>
        <w:t xml:space="preserve"> </w:t>
      </w:r>
      <w:r w:rsidRPr="008E6623">
        <w:rPr>
          <w:rFonts w:ascii="Times New Roman" w:hAnsi="Times New Roman" w:cs="Times New Roman"/>
          <w:sz w:val="24"/>
          <w:szCs w:val="24"/>
        </w:rPr>
        <w:t>(Zali et al., 2023).</w:t>
      </w:r>
      <w:r w:rsidRPr="00E83AEC">
        <w:rPr>
          <w:rFonts w:ascii="Times New Roman" w:hAnsi="Times New Roman" w:cs="Times New Roman"/>
          <w:sz w:val="24"/>
          <w:szCs w:val="24"/>
        </w:rPr>
        <w:t xml:space="preserve"> </w:t>
      </w:r>
      <w:r w:rsidR="00E83AEC" w:rsidRPr="00E83AEC">
        <w:rPr>
          <w:rFonts w:ascii="Times New Roman" w:hAnsi="Times New Roman" w:cs="Times New Roman"/>
          <w:sz w:val="24"/>
          <w:szCs w:val="24"/>
        </w:rPr>
        <w:t xml:space="preserve">Different parts of the </w:t>
      </w:r>
      <w:r w:rsidR="00E83AEC" w:rsidRPr="00E83AEC">
        <w:rPr>
          <w:rFonts w:ascii="Times New Roman" w:hAnsi="Times New Roman" w:cs="Times New Roman"/>
          <w:i/>
          <w:iCs/>
          <w:sz w:val="24"/>
          <w:szCs w:val="24"/>
        </w:rPr>
        <w:t>A</w:t>
      </w:r>
      <w:r w:rsidR="00E83AEC">
        <w:rPr>
          <w:rFonts w:ascii="Times New Roman" w:hAnsi="Times New Roman" w:cs="Times New Roman"/>
          <w:i/>
          <w:iCs/>
          <w:sz w:val="24"/>
          <w:szCs w:val="24"/>
        </w:rPr>
        <w:t>.</w:t>
      </w:r>
      <w:r w:rsidR="00E83AEC" w:rsidRPr="00E83AEC">
        <w:rPr>
          <w:rFonts w:ascii="Times New Roman" w:hAnsi="Times New Roman" w:cs="Times New Roman"/>
          <w:i/>
          <w:iCs/>
          <w:sz w:val="24"/>
          <w:szCs w:val="24"/>
        </w:rPr>
        <w:t xml:space="preserve"> boonei</w:t>
      </w:r>
      <w:r w:rsidR="00E83AEC" w:rsidRPr="00E83AEC">
        <w:rPr>
          <w:rFonts w:ascii="Times New Roman" w:hAnsi="Times New Roman" w:cs="Times New Roman"/>
          <w:sz w:val="24"/>
          <w:szCs w:val="24"/>
        </w:rPr>
        <w:t xml:space="preserve"> plant were pulverized and weighed, with the leaves totaling 578 g, the stem bark 906.3 g, and the root 388 g. Aqueous extracts were prepared using the cold maceration method</w:t>
      </w:r>
      <w:r>
        <w:rPr>
          <w:rFonts w:ascii="Times New Roman" w:hAnsi="Times New Roman" w:cs="Times New Roman"/>
          <w:sz w:val="24"/>
          <w:szCs w:val="24"/>
        </w:rPr>
        <w:t>. T</w:t>
      </w:r>
      <w:r w:rsidR="00E83AEC" w:rsidRPr="00E83AEC">
        <w:rPr>
          <w:rFonts w:ascii="Times New Roman" w:hAnsi="Times New Roman" w:cs="Times New Roman"/>
          <w:sz w:val="24"/>
          <w:szCs w:val="24"/>
        </w:rPr>
        <w:t xml:space="preserve">he leaves and stem bark were </w:t>
      </w:r>
      <w:r w:rsidR="00E83AEC" w:rsidRPr="00E83AEC">
        <w:rPr>
          <w:rFonts w:ascii="Times New Roman" w:hAnsi="Times New Roman" w:cs="Times New Roman"/>
          <w:sz w:val="24"/>
          <w:szCs w:val="24"/>
        </w:rPr>
        <w:lastRenderedPageBreak/>
        <w:t>each soaked in 10 L of distilled water, while the root was soaked in 7 L. The mixtures were stirred hourly using a glass stirrer and left to stand for 24 hours. Afterward, the extracts were filtered, concentrated using a rotary evaporator, and oven-dried at 33°C until completely dry. For administration, 2 g of the dried extract was dissolved in 5 mL of Tween 80 and 15 mL of distilled water, mixed thoroughly, stored in an airtight container, and refrigerated at 4°C.</w:t>
      </w:r>
    </w:p>
    <w:p w14:paraId="252962FA" w14:textId="4F9A7B2D"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Control Drug Preparation</w:t>
      </w:r>
      <w:bookmarkEnd w:id="4"/>
    </w:p>
    <w:p w14:paraId="56722386" w14:textId="77777777" w:rsidR="00E83AEC" w:rsidRDefault="00E83AEC" w:rsidP="00E83AEC">
      <w:pPr>
        <w:spacing w:line="240" w:lineRule="auto"/>
        <w:jc w:val="both"/>
        <w:rPr>
          <w:rFonts w:ascii="Times New Roman" w:hAnsi="Times New Roman" w:cs="Times New Roman"/>
          <w:sz w:val="24"/>
          <w:szCs w:val="24"/>
        </w:rPr>
      </w:pPr>
      <w:r w:rsidRPr="00E83AEC">
        <w:rPr>
          <w:rFonts w:ascii="Times New Roman" w:hAnsi="Times New Roman" w:cs="Times New Roman"/>
          <w:sz w:val="24"/>
          <w:szCs w:val="24"/>
        </w:rPr>
        <w:t>Indomethacin (25 mg), used as the control drug in the experiment, was purchased from a registered pharmacy in Benin City. To prepare the solution, 100 mg of indomethacin was dissolved in 4 mL of 2% sodium bicarbonate and 16 mL of normal saline, then thoroughly mixed. The prepared solution was stored in an airtight container and kept refrigerated at 4°C.</w:t>
      </w:r>
    </w:p>
    <w:p w14:paraId="5FD5D75E" w14:textId="20D99692"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Laboratory Analysis</w:t>
      </w:r>
    </w:p>
    <w:p w14:paraId="3FAE8B3E" w14:textId="0DAD6702" w:rsidR="001F538A" w:rsidRPr="001D17B9" w:rsidRDefault="001F538A" w:rsidP="00E83AEC">
      <w:pPr>
        <w:pStyle w:val="BodyText"/>
        <w:ind w:left="0"/>
        <w:jc w:val="both"/>
        <w:rPr>
          <w:rFonts w:ascii="Times New Roman" w:hAnsi="Times New Roman" w:cs="Times New Roman"/>
          <w:i w:val="0"/>
          <w:iCs w:val="0"/>
          <w:sz w:val="24"/>
          <w:szCs w:val="24"/>
        </w:rPr>
      </w:pPr>
      <w:bookmarkStart w:id="5" w:name="_Hlk203997989"/>
      <w:r w:rsidRPr="001D17B9">
        <w:rPr>
          <w:rFonts w:ascii="Times New Roman" w:hAnsi="Times New Roman" w:cs="Times New Roman"/>
          <w:b/>
          <w:i w:val="0"/>
          <w:iCs w:val="0"/>
          <w:w w:val="105"/>
          <w:sz w:val="24"/>
          <w:szCs w:val="24"/>
        </w:rPr>
        <w:t>Superoxide</w:t>
      </w:r>
      <w:r w:rsidRPr="001D17B9">
        <w:rPr>
          <w:rFonts w:ascii="Times New Roman" w:hAnsi="Times New Roman" w:cs="Times New Roman"/>
          <w:b/>
          <w:i w:val="0"/>
          <w:iCs w:val="0"/>
          <w:spacing w:val="24"/>
          <w:w w:val="105"/>
          <w:sz w:val="24"/>
          <w:szCs w:val="24"/>
        </w:rPr>
        <w:t xml:space="preserve"> </w:t>
      </w:r>
      <w:r w:rsidRPr="001D17B9">
        <w:rPr>
          <w:rFonts w:ascii="Times New Roman" w:hAnsi="Times New Roman" w:cs="Times New Roman"/>
          <w:b/>
          <w:i w:val="0"/>
          <w:iCs w:val="0"/>
          <w:w w:val="105"/>
          <w:sz w:val="24"/>
          <w:szCs w:val="24"/>
        </w:rPr>
        <w:t>Dismutase</w:t>
      </w:r>
      <w:r w:rsidRPr="001D17B9">
        <w:rPr>
          <w:rFonts w:ascii="Times New Roman" w:hAnsi="Times New Roman" w:cs="Times New Roman"/>
          <w:i w:val="0"/>
          <w:iCs w:val="0"/>
          <w:w w:val="105"/>
          <w:sz w:val="24"/>
          <w:szCs w:val="24"/>
        </w:rPr>
        <w:t>,</w:t>
      </w:r>
      <w:r w:rsidRPr="001D17B9">
        <w:rPr>
          <w:rFonts w:ascii="Times New Roman" w:hAnsi="Times New Roman" w:cs="Times New Roman"/>
          <w:i w:val="0"/>
          <w:iCs w:val="0"/>
          <w:spacing w:val="19"/>
          <w:w w:val="105"/>
          <w:sz w:val="24"/>
          <w:szCs w:val="24"/>
        </w:rPr>
        <w:t xml:space="preserve"> </w:t>
      </w:r>
      <w:r w:rsidRPr="001D17B9">
        <w:rPr>
          <w:rFonts w:ascii="Times New Roman" w:hAnsi="Times New Roman" w:cs="Times New Roman"/>
          <w:b/>
          <w:i w:val="0"/>
          <w:iCs w:val="0"/>
          <w:w w:val="105"/>
          <w:sz w:val="24"/>
          <w:szCs w:val="24"/>
        </w:rPr>
        <w:t>SOD</w:t>
      </w:r>
      <w:r w:rsidRPr="001D17B9">
        <w:rPr>
          <w:rFonts w:ascii="Times New Roman" w:hAnsi="Times New Roman" w:cs="Times New Roman"/>
          <w:b/>
          <w:i w:val="0"/>
          <w:iCs w:val="0"/>
          <w:spacing w:val="25"/>
          <w:w w:val="105"/>
          <w:sz w:val="24"/>
          <w:szCs w:val="24"/>
        </w:rPr>
        <w:t xml:space="preserve"> </w:t>
      </w:r>
      <w:bookmarkEnd w:id="5"/>
    </w:p>
    <w:p w14:paraId="54C361FF" w14:textId="4F88BCEF" w:rsidR="005F22F7" w:rsidRPr="001D17B9" w:rsidRDefault="001F538A" w:rsidP="00E83AEC">
      <w:pPr>
        <w:pStyle w:val="BodyText"/>
        <w:ind w:left="0"/>
        <w:jc w:val="both"/>
        <w:rPr>
          <w:rFonts w:ascii="Times New Roman" w:hAnsi="Times New Roman" w:cs="Times New Roman"/>
          <w:i w:val="0"/>
          <w:iCs w:val="0"/>
          <w:color w:val="000000" w:themeColor="text1"/>
          <w:sz w:val="24"/>
          <w:szCs w:val="24"/>
        </w:rPr>
      </w:pPr>
      <w:r w:rsidRPr="004362EE">
        <w:rPr>
          <w:rFonts w:ascii="Times New Roman" w:hAnsi="Times New Roman" w:cs="Times New Roman"/>
          <w:i w:val="0"/>
          <w:sz w:val="24"/>
          <w:szCs w:val="24"/>
        </w:rPr>
        <w:t>Superoxide dismutases</w:t>
      </w:r>
      <w:r w:rsidR="005F22F7" w:rsidRPr="004362EE">
        <w:rPr>
          <w:rFonts w:ascii="Times New Roman" w:hAnsi="Times New Roman" w:cs="Times New Roman"/>
          <w:i w:val="0"/>
          <w:iCs w:val="0"/>
          <w:color w:val="000000" w:themeColor="text1"/>
          <w:sz w:val="24"/>
          <w:szCs w:val="24"/>
        </w:rPr>
        <w:t xml:space="preserve"> </w:t>
      </w:r>
      <w:r w:rsidR="005F22F7" w:rsidRPr="004362EE">
        <w:rPr>
          <w:rFonts w:ascii="Times New Roman" w:eastAsia="TimesNewRoman" w:hAnsi="Times New Roman" w:cs="Times New Roman"/>
          <w:i w:val="0"/>
          <w:iCs w:val="0"/>
          <w:color w:val="000000" w:themeColor="text1"/>
          <w:sz w:val="24"/>
          <w:szCs w:val="24"/>
        </w:rPr>
        <w:t>was</w:t>
      </w:r>
      <w:r w:rsidR="005F22F7" w:rsidRPr="004362EE">
        <w:rPr>
          <w:rFonts w:ascii="Times New Roman" w:hAnsi="Times New Roman" w:cs="Times New Roman"/>
          <w:i w:val="0"/>
          <w:iCs w:val="0"/>
          <w:color w:val="000000" w:themeColor="text1"/>
          <w:sz w:val="24"/>
          <w:szCs w:val="24"/>
        </w:rPr>
        <w:t xml:space="preserve"> estimated</w:t>
      </w:r>
      <w:r w:rsidR="002F5820">
        <w:rPr>
          <w:rFonts w:ascii="Times New Roman" w:hAnsi="Times New Roman" w:cs="Times New Roman"/>
          <w:i w:val="0"/>
          <w:iCs w:val="0"/>
          <w:color w:val="000000" w:themeColor="text1"/>
          <w:sz w:val="24"/>
          <w:szCs w:val="24"/>
        </w:rPr>
        <w:t xml:space="preserve"> </w:t>
      </w:r>
      <w:r w:rsidR="002F5820" w:rsidRPr="004362EE">
        <w:rPr>
          <w:rFonts w:ascii="Times New Roman" w:hAnsi="Times New Roman" w:cs="Times New Roman"/>
          <w:i w:val="0"/>
          <w:iCs w:val="0"/>
          <w:color w:val="000000" w:themeColor="text1"/>
          <w:sz w:val="24"/>
          <w:szCs w:val="24"/>
        </w:rPr>
        <w:t>spectrophotometrically by</w:t>
      </w:r>
      <w:r w:rsidR="002F5820" w:rsidRPr="002F5820">
        <w:rPr>
          <w:rFonts w:ascii="Times New Roman" w:hAnsi="Times New Roman" w:cs="Times New Roman"/>
          <w:i w:val="0"/>
          <w:iCs w:val="0"/>
          <w:color w:val="000000" w:themeColor="text1"/>
          <w:sz w:val="24"/>
          <w:szCs w:val="24"/>
        </w:rPr>
        <w:t xml:space="preserve"> Epinephrine Autoxidation Method</w:t>
      </w:r>
      <w:r w:rsidR="005F22F7" w:rsidRPr="004362EE">
        <w:rPr>
          <w:rFonts w:ascii="Times New Roman" w:hAnsi="Times New Roman" w:cs="Times New Roman"/>
          <w:i w:val="0"/>
          <w:iCs w:val="0"/>
          <w:color w:val="000000" w:themeColor="text1"/>
          <w:sz w:val="24"/>
          <w:szCs w:val="24"/>
        </w:rPr>
        <w:t xml:space="preserve"> as described by </w:t>
      </w:r>
      <w:r w:rsidR="001D17B9" w:rsidRPr="001D17B9">
        <w:rPr>
          <w:rFonts w:ascii="Times New Roman" w:hAnsi="Times New Roman" w:cs="Times New Roman"/>
          <w:i w:val="0"/>
          <w:iCs w:val="0"/>
          <w:w w:val="105"/>
          <w:sz w:val="24"/>
          <w:szCs w:val="24"/>
        </w:rPr>
        <w:t>Misra</w:t>
      </w:r>
      <w:r w:rsidR="001D17B9" w:rsidRPr="001D17B9">
        <w:rPr>
          <w:rFonts w:ascii="Times New Roman" w:hAnsi="Times New Roman" w:cs="Times New Roman"/>
          <w:i w:val="0"/>
          <w:iCs w:val="0"/>
          <w:spacing w:val="18"/>
          <w:w w:val="105"/>
          <w:sz w:val="24"/>
          <w:szCs w:val="24"/>
        </w:rPr>
        <w:t xml:space="preserve"> </w:t>
      </w:r>
      <w:r w:rsidR="001D17B9" w:rsidRPr="001D17B9">
        <w:rPr>
          <w:rFonts w:ascii="Times New Roman" w:hAnsi="Times New Roman" w:cs="Times New Roman"/>
          <w:i w:val="0"/>
          <w:iCs w:val="0"/>
          <w:w w:val="105"/>
          <w:sz w:val="24"/>
          <w:szCs w:val="24"/>
        </w:rPr>
        <w:t xml:space="preserve">and </w:t>
      </w:r>
      <w:r w:rsidR="001D17B9" w:rsidRPr="001D17B9">
        <w:rPr>
          <w:rFonts w:ascii="Times New Roman" w:hAnsi="Times New Roman" w:cs="Times New Roman"/>
          <w:i w:val="0"/>
          <w:iCs w:val="0"/>
          <w:sz w:val="24"/>
          <w:szCs w:val="24"/>
        </w:rPr>
        <w:t>Fridovich,</w:t>
      </w:r>
      <w:r w:rsidR="001D17B9" w:rsidRPr="001D17B9">
        <w:rPr>
          <w:rFonts w:ascii="Times New Roman" w:hAnsi="Times New Roman" w:cs="Times New Roman"/>
          <w:i w:val="0"/>
          <w:iCs w:val="0"/>
          <w:spacing w:val="-11"/>
          <w:sz w:val="24"/>
          <w:szCs w:val="24"/>
        </w:rPr>
        <w:t xml:space="preserve"> </w:t>
      </w:r>
      <w:r w:rsidR="001D17B9" w:rsidRPr="001D17B9">
        <w:rPr>
          <w:rFonts w:ascii="Times New Roman" w:hAnsi="Times New Roman" w:cs="Times New Roman"/>
          <w:i w:val="0"/>
          <w:iCs w:val="0"/>
          <w:sz w:val="24"/>
          <w:szCs w:val="24"/>
        </w:rPr>
        <w:t>1972</w:t>
      </w:r>
      <w:r w:rsidR="005F22F7" w:rsidRPr="004362EE">
        <w:rPr>
          <w:rFonts w:ascii="Times New Roman" w:hAnsi="Times New Roman" w:cs="Times New Roman"/>
          <w:i w:val="0"/>
          <w:iCs w:val="0"/>
          <w:color w:val="000000" w:themeColor="text1"/>
          <w:sz w:val="24"/>
          <w:szCs w:val="24"/>
        </w:rPr>
        <w:t>.</w:t>
      </w:r>
    </w:p>
    <w:p w14:paraId="610EBF5F" w14:textId="77777777" w:rsidR="00174609" w:rsidRDefault="00174609" w:rsidP="00E83AEC">
      <w:pPr>
        <w:pStyle w:val="BodyText"/>
        <w:ind w:left="0"/>
        <w:jc w:val="both"/>
        <w:rPr>
          <w:rFonts w:ascii="Times New Roman" w:hAnsi="Times New Roman" w:cs="Times New Roman"/>
          <w:b/>
          <w:i w:val="0"/>
          <w:iCs w:val="0"/>
          <w:color w:val="000000" w:themeColor="text1"/>
          <w:sz w:val="24"/>
          <w:szCs w:val="24"/>
        </w:rPr>
      </w:pPr>
    </w:p>
    <w:p w14:paraId="17ED0AFD" w14:textId="30B66A0A" w:rsidR="005F22F7" w:rsidRPr="004362EE" w:rsidRDefault="005F22F7" w:rsidP="00E83AEC">
      <w:pPr>
        <w:pStyle w:val="BodyText"/>
        <w:ind w:left="0"/>
        <w:jc w:val="both"/>
        <w:rPr>
          <w:rFonts w:ascii="Times New Roman" w:hAnsi="Times New Roman" w:cs="Times New Roman"/>
          <w:b/>
          <w:i w:val="0"/>
          <w:iCs w:val="0"/>
          <w:color w:val="000000" w:themeColor="text1"/>
          <w:sz w:val="24"/>
          <w:szCs w:val="24"/>
        </w:rPr>
      </w:pPr>
      <w:r w:rsidRPr="004362EE">
        <w:rPr>
          <w:rFonts w:ascii="Times New Roman" w:hAnsi="Times New Roman" w:cs="Times New Roman"/>
          <w:b/>
          <w:i w:val="0"/>
          <w:iCs w:val="0"/>
          <w:color w:val="000000" w:themeColor="text1"/>
          <w:sz w:val="24"/>
          <w:szCs w:val="24"/>
        </w:rPr>
        <w:t>Assessment of lipid Peroxidation (MDA)</w:t>
      </w:r>
    </w:p>
    <w:p w14:paraId="7BCB380A" w14:textId="77777777" w:rsidR="005F22F7" w:rsidRPr="004362EE" w:rsidRDefault="005F22F7" w:rsidP="00E83AEC">
      <w:pPr>
        <w:pStyle w:val="BodyText"/>
        <w:ind w:left="0"/>
        <w:jc w:val="both"/>
        <w:rPr>
          <w:rFonts w:ascii="Times New Roman" w:hAnsi="Times New Roman" w:cs="Times New Roman"/>
          <w:i w:val="0"/>
          <w:iCs w:val="0"/>
          <w:color w:val="000000" w:themeColor="text1"/>
          <w:sz w:val="24"/>
          <w:szCs w:val="24"/>
        </w:rPr>
      </w:pPr>
      <w:r w:rsidRPr="004362EE">
        <w:rPr>
          <w:rFonts w:ascii="Times New Roman" w:hAnsi="Times New Roman" w:cs="Times New Roman"/>
          <w:i w:val="0"/>
          <w:iCs w:val="0"/>
          <w:color w:val="000000" w:themeColor="text1"/>
          <w:sz w:val="24"/>
          <w:szCs w:val="24"/>
        </w:rPr>
        <w:t xml:space="preserve">Lipid peroxidation in post mitochondrial fraction </w:t>
      </w:r>
      <w:r w:rsidRPr="004362EE">
        <w:rPr>
          <w:rFonts w:ascii="Times New Roman" w:eastAsia="TimesNewRoman" w:hAnsi="Times New Roman" w:cs="Times New Roman"/>
          <w:i w:val="0"/>
          <w:iCs w:val="0"/>
          <w:color w:val="000000" w:themeColor="text1"/>
          <w:sz w:val="24"/>
          <w:szCs w:val="24"/>
        </w:rPr>
        <w:t>was</w:t>
      </w:r>
      <w:r w:rsidRPr="004362EE">
        <w:rPr>
          <w:rFonts w:ascii="Times New Roman" w:hAnsi="Times New Roman" w:cs="Times New Roman"/>
          <w:i w:val="0"/>
          <w:iCs w:val="0"/>
          <w:color w:val="000000" w:themeColor="text1"/>
          <w:sz w:val="24"/>
          <w:szCs w:val="24"/>
        </w:rPr>
        <w:t xml:space="preserve"> estimated spectrophotometrically by thiobarbituric acid reactive substances (TBARS) method as described by Varshey and Kale (1990).</w:t>
      </w:r>
    </w:p>
    <w:p w14:paraId="5901AF7E" w14:textId="77777777" w:rsidR="00174609" w:rsidRDefault="00174609" w:rsidP="00E83AEC">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3E31D750" w14:textId="535AAF3E" w:rsidR="005F22F7" w:rsidRPr="004362EE" w:rsidRDefault="005F22F7" w:rsidP="00E83AEC">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4362EE">
        <w:rPr>
          <w:rFonts w:ascii="Times New Roman" w:hAnsi="Times New Roman" w:cs="Times New Roman"/>
          <w:b/>
          <w:bCs/>
          <w:color w:val="000000" w:themeColor="text1"/>
          <w:sz w:val="24"/>
          <w:szCs w:val="24"/>
        </w:rPr>
        <w:t xml:space="preserve">Determination of </w:t>
      </w:r>
      <w:r w:rsidR="00260151" w:rsidRPr="00260151">
        <w:rPr>
          <w:rFonts w:ascii="Times New Roman" w:hAnsi="Times New Roman" w:cs="Times New Roman"/>
          <w:b/>
          <w:bCs/>
          <w:color w:val="000000" w:themeColor="text1"/>
          <w:sz w:val="24"/>
          <w:szCs w:val="24"/>
        </w:rPr>
        <w:t>catalase (CAT) assay</w:t>
      </w:r>
    </w:p>
    <w:p w14:paraId="45428491" w14:textId="11DF8C70" w:rsidR="00E83AEC" w:rsidRPr="00F417A3" w:rsidRDefault="005F22F7" w:rsidP="00F417A3">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4362EE">
        <w:rPr>
          <w:rFonts w:ascii="Times New Roman" w:eastAsia="TimesNewRoman" w:hAnsi="Times New Roman" w:cs="Times New Roman"/>
          <w:color w:val="000000" w:themeColor="text1"/>
          <w:sz w:val="24"/>
          <w:szCs w:val="24"/>
        </w:rPr>
        <w:t xml:space="preserve">The </w:t>
      </w:r>
      <w:r w:rsidR="002F5820" w:rsidRPr="002F5820">
        <w:rPr>
          <w:rFonts w:ascii="Times New Roman" w:eastAsia="TimesNewRoman" w:hAnsi="Times New Roman" w:cs="Times New Roman"/>
          <w:color w:val="000000" w:themeColor="text1"/>
          <w:sz w:val="24"/>
          <w:szCs w:val="24"/>
        </w:rPr>
        <w:t>Hydrogen Peroxide Decomposition Method</w:t>
      </w:r>
      <w:r w:rsidR="002F5820">
        <w:rPr>
          <w:rFonts w:ascii="Times New Roman" w:eastAsia="TimesNewRoman" w:hAnsi="Times New Roman" w:cs="Times New Roman"/>
          <w:color w:val="000000" w:themeColor="text1"/>
          <w:sz w:val="24"/>
          <w:szCs w:val="24"/>
        </w:rPr>
        <w:t xml:space="preserve"> described by</w:t>
      </w:r>
      <w:r w:rsidRPr="004362EE">
        <w:rPr>
          <w:rFonts w:ascii="Times New Roman" w:eastAsia="TimesNewRoman" w:hAnsi="Times New Roman" w:cs="Times New Roman"/>
          <w:color w:val="000000" w:themeColor="text1"/>
          <w:sz w:val="24"/>
          <w:szCs w:val="24"/>
        </w:rPr>
        <w:t xml:space="preserve"> </w:t>
      </w:r>
      <w:r w:rsidR="002F5820" w:rsidRPr="002F5820">
        <w:rPr>
          <w:rFonts w:ascii="Times New Roman" w:eastAsia="TimesNewRoman" w:hAnsi="Times New Roman" w:cs="Times New Roman"/>
          <w:color w:val="000000" w:themeColor="text1"/>
          <w:sz w:val="24"/>
          <w:szCs w:val="24"/>
        </w:rPr>
        <w:t xml:space="preserve">Cohen </w:t>
      </w:r>
      <w:r w:rsidR="00367A02" w:rsidRPr="00367A02">
        <w:rPr>
          <w:rFonts w:ascii="Times New Roman" w:eastAsia="TimesNewRoman" w:hAnsi="Times New Roman" w:cs="Times New Roman"/>
          <w:i/>
          <w:iCs/>
          <w:color w:val="000000" w:themeColor="text1"/>
          <w:sz w:val="24"/>
          <w:szCs w:val="24"/>
        </w:rPr>
        <w:t>et al</w:t>
      </w:r>
      <w:r w:rsidR="002F5820" w:rsidRPr="002F5820">
        <w:rPr>
          <w:rFonts w:ascii="Times New Roman" w:eastAsia="TimesNewRoman" w:hAnsi="Times New Roman" w:cs="Times New Roman"/>
          <w:color w:val="000000" w:themeColor="text1"/>
          <w:sz w:val="24"/>
          <w:szCs w:val="24"/>
        </w:rPr>
        <w:t>., 1970</w:t>
      </w:r>
      <w:r w:rsidRPr="004362EE">
        <w:rPr>
          <w:rFonts w:ascii="Times New Roman" w:eastAsia="TimesNewRoman" w:hAnsi="Times New Roman" w:cs="Times New Roman"/>
          <w:color w:val="000000" w:themeColor="text1"/>
          <w:sz w:val="24"/>
          <w:szCs w:val="24"/>
        </w:rPr>
        <w:t xml:space="preserve"> was adopted in estimating the level of </w:t>
      </w:r>
      <w:r w:rsidR="002F5820">
        <w:rPr>
          <w:rFonts w:ascii="Times New Roman" w:eastAsia="TimesNewRoman" w:hAnsi="Times New Roman" w:cs="Times New Roman"/>
          <w:color w:val="000000" w:themeColor="text1"/>
          <w:sz w:val="24"/>
          <w:szCs w:val="24"/>
        </w:rPr>
        <w:t>catalase</w:t>
      </w:r>
      <w:r w:rsidRPr="004362EE">
        <w:rPr>
          <w:rFonts w:ascii="Times New Roman" w:eastAsia="TimesNewRoman" w:hAnsi="Times New Roman" w:cs="Times New Roman"/>
          <w:color w:val="000000" w:themeColor="text1"/>
          <w:sz w:val="24"/>
          <w:szCs w:val="24"/>
        </w:rPr>
        <w:t xml:space="preserve"> in </w:t>
      </w:r>
      <w:r w:rsidR="002F5820">
        <w:rPr>
          <w:rFonts w:ascii="Times New Roman" w:eastAsia="TimesNewRoman" w:hAnsi="Times New Roman" w:cs="Times New Roman"/>
          <w:color w:val="000000" w:themeColor="text1"/>
          <w:sz w:val="24"/>
          <w:szCs w:val="24"/>
        </w:rPr>
        <w:t>homogenized</w:t>
      </w:r>
      <w:r w:rsidRPr="004362EE">
        <w:rPr>
          <w:rFonts w:ascii="Times New Roman" w:eastAsia="TimesNewRoman" w:hAnsi="Times New Roman" w:cs="Times New Roman"/>
          <w:color w:val="000000" w:themeColor="text1"/>
          <w:sz w:val="24"/>
          <w:szCs w:val="24"/>
        </w:rPr>
        <w:t xml:space="preserve"> organs</w:t>
      </w:r>
      <w:r w:rsidR="002F5820">
        <w:rPr>
          <w:rFonts w:ascii="Times New Roman" w:eastAsia="TimesNewRoman" w:hAnsi="Times New Roman" w:cs="Times New Roman"/>
          <w:color w:val="000000" w:themeColor="text1"/>
          <w:sz w:val="24"/>
          <w:szCs w:val="24"/>
        </w:rPr>
        <w:t>.</w:t>
      </w:r>
      <w:bookmarkStart w:id="6" w:name="_Hlk204095370"/>
    </w:p>
    <w:p w14:paraId="14E5EA50" w14:textId="77777777" w:rsidR="00174609" w:rsidRDefault="00174609" w:rsidP="00E83AEC">
      <w:pPr>
        <w:pStyle w:val="NoSpacing"/>
        <w:jc w:val="both"/>
        <w:rPr>
          <w:rFonts w:ascii="Times New Roman" w:eastAsia="-webkit-standard" w:hAnsi="Times New Roman" w:cs="Times New Roman"/>
          <w:b/>
          <w:bCs/>
          <w:sz w:val="24"/>
          <w:szCs w:val="24"/>
        </w:rPr>
      </w:pPr>
    </w:p>
    <w:p w14:paraId="0911549D" w14:textId="4F128785" w:rsidR="00301839" w:rsidRPr="00301839" w:rsidRDefault="00301839" w:rsidP="00E83AEC">
      <w:pPr>
        <w:pStyle w:val="NoSpacing"/>
        <w:jc w:val="both"/>
        <w:rPr>
          <w:rFonts w:ascii="Times New Roman" w:eastAsia="-webkit-standard" w:hAnsi="Times New Roman" w:cs="Times New Roman"/>
          <w:b/>
          <w:bCs/>
          <w:sz w:val="24"/>
          <w:szCs w:val="24"/>
        </w:rPr>
      </w:pPr>
      <w:r w:rsidRPr="00301839">
        <w:rPr>
          <w:rFonts w:ascii="Times New Roman" w:eastAsia="-webkit-standard" w:hAnsi="Times New Roman" w:cs="Times New Roman"/>
          <w:b/>
          <w:bCs/>
          <w:sz w:val="24"/>
          <w:szCs w:val="24"/>
        </w:rPr>
        <w:t>Statistical analysis</w:t>
      </w:r>
    </w:p>
    <w:p w14:paraId="23919674" w14:textId="6EB9E466" w:rsidR="00BE12D5" w:rsidRDefault="00174609" w:rsidP="00E83AEC">
      <w:pPr>
        <w:pStyle w:val="NoSpacing"/>
        <w:jc w:val="both"/>
        <w:rPr>
          <w:rFonts w:ascii="Times New Roman" w:eastAsia="-webkit-standard" w:hAnsi="Times New Roman" w:cs="Times New Roman"/>
          <w:sz w:val="24"/>
          <w:szCs w:val="24"/>
        </w:rPr>
      </w:pPr>
      <w:r w:rsidRPr="00174609">
        <w:rPr>
          <w:rFonts w:ascii="Times New Roman" w:eastAsia="-webkit-standard" w:hAnsi="Times New Roman" w:cs="Times New Roman"/>
          <w:sz w:val="24"/>
          <w:szCs w:val="24"/>
        </w:rPr>
        <w:t>Data were analyzed using SPSS version 20.0 (IBM Corp., Chicago, IL, USA). Results are presented as mean ± SEM. Differences among groups were assessed using one-way analysis of variance (ANOVA) followed by Tukey’s post-hoc multiple-comparison test. Statistical significance was set at p &lt; 0.05.</w:t>
      </w:r>
      <w:r>
        <w:rPr>
          <w:rFonts w:ascii="Times New Roman" w:eastAsia="-webkit-standard" w:hAnsi="Times New Roman" w:cs="Times New Roman"/>
          <w:sz w:val="24"/>
          <w:szCs w:val="24"/>
        </w:rPr>
        <w:t xml:space="preserve"> </w:t>
      </w:r>
      <w:r w:rsidRPr="00174609">
        <w:rPr>
          <w:rFonts w:ascii="Times New Roman" w:eastAsia="-webkit-standard" w:hAnsi="Times New Roman" w:cs="Times New Roman"/>
          <w:sz w:val="24"/>
          <w:szCs w:val="24"/>
        </w:rPr>
        <w:t>Body weight across time points was analyzed using repeated-measures ANOVA.</w:t>
      </w:r>
    </w:p>
    <w:p w14:paraId="156779F9" w14:textId="77777777" w:rsidR="00174609" w:rsidRDefault="00174609" w:rsidP="00E83AEC">
      <w:pPr>
        <w:pStyle w:val="NoSpacing"/>
        <w:jc w:val="both"/>
        <w:rPr>
          <w:rFonts w:ascii="Times New Roman" w:eastAsia="-webkit-standard" w:hAnsi="Times New Roman" w:cs="Times New Roman"/>
          <w:sz w:val="24"/>
          <w:szCs w:val="24"/>
        </w:rPr>
      </w:pPr>
    </w:p>
    <w:p w14:paraId="6F7A05B6" w14:textId="77777777" w:rsidR="00174609" w:rsidRDefault="00174609" w:rsidP="00E83AEC">
      <w:pPr>
        <w:pStyle w:val="NoSpacing"/>
        <w:jc w:val="both"/>
        <w:rPr>
          <w:rFonts w:ascii="Times New Roman" w:eastAsia="-webkit-standard" w:hAnsi="Times New Roman" w:cs="Times New Roman"/>
          <w:sz w:val="24"/>
          <w:szCs w:val="24"/>
        </w:rPr>
      </w:pPr>
    </w:p>
    <w:p w14:paraId="45D7CD93" w14:textId="77777777" w:rsidR="00174609" w:rsidRDefault="00174609" w:rsidP="00E83AEC">
      <w:pPr>
        <w:pStyle w:val="NoSpacing"/>
        <w:jc w:val="both"/>
        <w:rPr>
          <w:rFonts w:ascii="Times New Roman" w:eastAsia="-webkit-standard" w:hAnsi="Times New Roman" w:cs="Times New Roman"/>
          <w:sz w:val="24"/>
          <w:szCs w:val="24"/>
        </w:rPr>
      </w:pPr>
    </w:p>
    <w:p w14:paraId="3FF96DCF" w14:textId="77777777" w:rsidR="00174609" w:rsidRDefault="00174609" w:rsidP="00E83AEC">
      <w:pPr>
        <w:pStyle w:val="NoSpacing"/>
        <w:jc w:val="both"/>
        <w:rPr>
          <w:rFonts w:ascii="Times New Roman" w:eastAsia="-webkit-standard" w:hAnsi="Times New Roman" w:cs="Times New Roman"/>
          <w:sz w:val="24"/>
          <w:szCs w:val="24"/>
        </w:rPr>
      </w:pPr>
    </w:p>
    <w:p w14:paraId="2E7C766C" w14:textId="77777777" w:rsidR="00174609" w:rsidRDefault="00174609" w:rsidP="00E83AEC">
      <w:pPr>
        <w:pStyle w:val="NoSpacing"/>
        <w:jc w:val="both"/>
        <w:rPr>
          <w:rFonts w:ascii="Times New Roman" w:eastAsia="-webkit-standard" w:hAnsi="Times New Roman" w:cs="Times New Roman"/>
          <w:sz w:val="24"/>
          <w:szCs w:val="24"/>
        </w:rPr>
      </w:pPr>
    </w:p>
    <w:p w14:paraId="317ACD8F" w14:textId="77777777" w:rsidR="00174609" w:rsidRDefault="00174609" w:rsidP="00E83AEC">
      <w:pPr>
        <w:pStyle w:val="NoSpacing"/>
        <w:jc w:val="both"/>
        <w:rPr>
          <w:rFonts w:ascii="Times New Roman" w:eastAsia="-webkit-standard" w:hAnsi="Times New Roman" w:cs="Times New Roman"/>
          <w:sz w:val="24"/>
          <w:szCs w:val="24"/>
        </w:rPr>
      </w:pPr>
    </w:p>
    <w:p w14:paraId="7F10038A" w14:textId="77777777" w:rsidR="00174609" w:rsidRDefault="00174609" w:rsidP="00E83AEC">
      <w:pPr>
        <w:pStyle w:val="NoSpacing"/>
        <w:jc w:val="both"/>
        <w:rPr>
          <w:rFonts w:ascii="Times New Roman" w:eastAsia="-webkit-standard" w:hAnsi="Times New Roman" w:cs="Times New Roman"/>
          <w:sz w:val="24"/>
          <w:szCs w:val="24"/>
        </w:rPr>
      </w:pPr>
    </w:p>
    <w:p w14:paraId="489D09DE" w14:textId="77777777" w:rsidR="00174609" w:rsidRDefault="00174609" w:rsidP="00E83AEC">
      <w:pPr>
        <w:pStyle w:val="NoSpacing"/>
        <w:jc w:val="both"/>
        <w:rPr>
          <w:rFonts w:ascii="Times New Roman" w:eastAsia="-webkit-standard" w:hAnsi="Times New Roman" w:cs="Times New Roman"/>
          <w:sz w:val="24"/>
          <w:szCs w:val="24"/>
        </w:rPr>
      </w:pPr>
    </w:p>
    <w:p w14:paraId="7F874A15" w14:textId="77777777" w:rsidR="00174609" w:rsidRDefault="00174609" w:rsidP="00E83AEC">
      <w:pPr>
        <w:pStyle w:val="NoSpacing"/>
        <w:jc w:val="both"/>
        <w:rPr>
          <w:rFonts w:ascii="Times New Roman" w:eastAsia="-webkit-standard" w:hAnsi="Times New Roman" w:cs="Times New Roman"/>
          <w:sz w:val="24"/>
          <w:szCs w:val="24"/>
        </w:rPr>
      </w:pPr>
    </w:p>
    <w:p w14:paraId="10AACDF3" w14:textId="77777777" w:rsidR="00174609" w:rsidRDefault="00174609" w:rsidP="00E83AEC">
      <w:pPr>
        <w:pStyle w:val="NoSpacing"/>
        <w:jc w:val="both"/>
        <w:rPr>
          <w:rFonts w:ascii="Times New Roman" w:eastAsia="-webkit-standard" w:hAnsi="Times New Roman" w:cs="Times New Roman"/>
          <w:sz w:val="24"/>
          <w:szCs w:val="24"/>
        </w:rPr>
      </w:pPr>
    </w:p>
    <w:p w14:paraId="6BE537B3" w14:textId="77777777" w:rsidR="00174609" w:rsidRDefault="00174609" w:rsidP="00E83AEC">
      <w:pPr>
        <w:pStyle w:val="NoSpacing"/>
        <w:jc w:val="both"/>
        <w:rPr>
          <w:rFonts w:ascii="Times New Roman" w:eastAsia="-webkit-standard" w:hAnsi="Times New Roman" w:cs="Times New Roman"/>
          <w:sz w:val="24"/>
          <w:szCs w:val="24"/>
        </w:rPr>
      </w:pPr>
    </w:p>
    <w:p w14:paraId="5B8C5DF1" w14:textId="77777777" w:rsidR="00174609" w:rsidRDefault="00174609" w:rsidP="00E83AEC">
      <w:pPr>
        <w:pStyle w:val="NoSpacing"/>
        <w:jc w:val="both"/>
        <w:rPr>
          <w:rFonts w:ascii="Times New Roman" w:eastAsia="-webkit-standard" w:hAnsi="Times New Roman" w:cs="Times New Roman"/>
          <w:sz w:val="24"/>
          <w:szCs w:val="24"/>
        </w:rPr>
      </w:pPr>
    </w:p>
    <w:p w14:paraId="258D2C94" w14:textId="77777777" w:rsidR="00174609" w:rsidRDefault="00174609" w:rsidP="00E83AEC">
      <w:pPr>
        <w:pStyle w:val="NoSpacing"/>
        <w:jc w:val="both"/>
        <w:rPr>
          <w:rFonts w:ascii="Times New Roman" w:eastAsia="-webkit-standard" w:hAnsi="Times New Roman" w:cs="Times New Roman"/>
          <w:sz w:val="24"/>
          <w:szCs w:val="24"/>
        </w:rPr>
      </w:pPr>
    </w:p>
    <w:p w14:paraId="321E8FC9" w14:textId="77777777" w:rsidR="00174609" w:rsidRDefault="00174609" w:rsidP="00E83AEC">
      <w:pPr>
        <w:pStyle w:val="NoSpacing"/>
        <w:jc w:val="both"/>
        <w:rPr>
          <w:rFonts w:ascii="Times New Roman" w:eastAsia="-webkit-standard" w:hAnsi="Times New Roman" w:cs="Times New Roman"/>
          <w:sz w:val="24"/>
          <w:szCs w:val="24"/>
        </w:rPr>
      </w:pPr>
    </w:p>
    <w:p w14:paraId="7300618D" w14:textId="77777777" w:rsidR="00174609" w:rsidRDefault="00174609" w:rsidP="00E83AEC">
      <w:pPr>
        <w:pStyle w:val="NoSpacing"/>
        <w:jc w:val="both"/>
        <w:rPr>
          <w:rFonts w:ascii="Times New Roman" w:eastAsia="-webkit-standard" w:hAnsi="Times New Roman" w:cs="Times New Roman"/>
          <w:sz w:val="24"/>
          <w:szCs w:val="24"/>
        </w:rPr>
      </w:pPr>
    </w:p>
    <w:p w14:paraId="0DB7431C" w14:textId="77777777" w:rsidR="00174609" w:rsidRPr="00301839" w:rsidRDefault="00174609" w:rsidP="00E83AEC">
      <w:pPr>
        <w:pStyle w:val="NoSpacing"/>
        <w:jc w:val="both"/>
        <w:rPr>
          <w:rFonts w:ascii="Times New Roman" w:eastAsia="-webkit-standard" w:hAnsi="Times New Roman" w:cs="Times New Roman"/>
          <w:sz w:val="24"/>
          <w:szCs w:val="24"/>
        </w:rPr>
      </w:pPr>
    </w:p>
    <w:bookmarkEnd w:id="6"/>
    <w:p w14:paraId="6A3808D7" w14:textId="78593255" w:rsidR="00726BD9" w:rsidRPr="004362EE" w:rsidRDefault="00705062" w:rsidP="00B415C2">
      <w:pPr>
        <w:spacing w:line="240" w:lineRule="auto"/>
        <w:jc w:val="both"/>
        <w:rPr>
          <w:rFonts w:ascii="Times New Roman" w:hAnsi="Times New Roman" w:cs="Times New Roman"/>
          <w:b/>
          <w:bCs/>
          <w:sz w:val="24"/>
          <w:szCs w:val="24"/>
        </w:rPr>
      </w:pPr>
      <w:r w:rsidRPr="002F5820">
        <w:rPr>
          <w:rFonts w:ascii="Times New Roman" w:hAnsi="Times New Roman" w:cs="Times New Roman"/>
          <w:b/>
          <w:bCs/>
          <w:sz w:val="24"/>
          <w:szCs w:val="24"/>
        </w:rPr>
        <w:t xml:space="preserve">RESULTS </w:t>
      </w:r>
    </w:p>
    <w:p w14:paraId="039214F0" w14:textId="3302C883" w:rsidR="00705062" w:rsidRPr="004362EE" w:rsidRDefault="00705062" w:rsidP="00E83AEC">
      <w:pPr>
        <w:pStyle w:val="TABLE"/>
        <w:spacing w:line="240" w:lineRule="auto"/>
        <w:rPr>
          <w:rFonts w:cs="Times New Roman"/>
          <w:szCs w:val="24"/>
        </w:rPr>
      </w:pPr>
      <w:bookmarkStart w:id="7" w:name="_Toc142054162"/>
      <w:bookmarkStart w:id="8" w:name="_Hlk204081269"/>
      <w:r w:rsidRPr="004362EE">
        <w:rPr>
          <w:rFonts w:cs="Times New Roman"/>
          <w:szCs w:val="24"/>
        </w:rPr>
        <w:t xml:space="preserve">Table 1 Mean Comparison of Different concentration of plant parts </w:t>
      </w:r>
      <w:r w:rsidR="007B6647">
        <w:rPr>
          <w:rFonts w:cs="Times New Roman"/>
          <w:szCs w:val="24"/>
        </w:rPr>
        <w:t>on Body weight of</w:t>
      </w:r>
      <w:r w:rsidRPr="004362EE">
        <w:rPr>
          <w:rFonts w:cs="Times New Roman"/>
          <w:szCs w:val="24"/>
        </w:rPr>
        <w:t xml:space="preserve"> Wistar rats</w:t>
      </w:r>
      <w:bookmarkEnd w:id="7"/>
      <w:r w:rsidRPr="004362EE">
        <w:rPr>
          <w:rFonts w:cs="Times New Roman"/>
          <w:szCs w:val="24"/>
        </w:rPr>
        <w:t xml:space="preserve"> </w:t>
      </w:r>
    </w:p>
    <w:tbl>
      <w:tblPr>
        <w:tblW w:w="5854" w:type="pct"/>
        <w:tblInd w:w="-720" w:type="dxa"/>
        <w:tblBorders>
          <w:top w:val="single" w:sz="4" w:space="0" w:color="auto"/>
          <w:bottom w:val="single" w:sz="4" w:space="0" w:color="auto"/>
        </w:tblBorders>
        <w:tblLayout w:type="fixed"/>
        <w:tblLook w:val="04A0" w:firstRow="1" w:lastRow="0" w:firstColumn="1" w:lastColumn="0" w:noHBand="0" w:noVBand="1"/>
      </w:tblPr>
      <w:tblGrid>
        <w:gridCol w:w="1099"/>
        <w:gridCol w:w="1764"/>
        <w:gridCol w:w="1821"/>
        <w:gridCol w:w="1600"/>
        <w:gridCol w:w="1804"/>
        <w:gridCol w:w="1806"/>
        <w:gridCol w:w="1065"/>
      </w:tblGrid>
      <w:tr w:rsidR="00705062" w:rsidRPr="004362EE" w14:paraId="1C5045B6" w14:textId="77777777" w:rsidTr="001D4C82">
        <w:trPr>
          <w:trHeight w:val="1269"/>
        </w:trPr>
        <w:tc>
          <w:tcPr>
            <w:tcW w:w="501" w:type="pct"/>
            <w:tcBorders>
              <w:top w:val="single" w:sz="4" w:space="0" w:color="auto"/>
              <w:bottom w:val="single" w:sz="4" w:space="0" w:color="auto"/>
            </w:tcBorders>
            <w:noWrap/>
            <w:hideMark/>
          </w:tcPr>
          <w:p w14:paraId="1639F8DB" w14:textId="77777777" w:rsidR="00705062" w:rsidRPr="004362EE" w:rsidRDefault="00705062" w:rsidP="00E83AEC">
            <w:pPr>
              <w:spacing w:line="240" w:lineRule="auto"/>
              <w:jc w:val="both"/>
              <w:rPr>
                <w:rFonts w:ascii="Times New Roman" w:eastAsia="Times New Roman" w:hAnsi="Times New Roman" w:cs="Times New Roman"/>
                <w:sz w:val="24"/>
                <w:szCs w:val="24"/>
              </w:rPr>
            </w:pPr>
          </w:p>
        </w:tc>
        <w:tc>
          <w:tcPr>
            <w:tcW w:w="805" w:type="pct"/>
            <w:tcBorders>
              <w:top w:val="single" w:sz="4" w:space="0" w:color="auto"/>
              <w:bottom w:val="single" w:sz="4" w:space="0" w:color="auto"/>
            </w:tcBorders>
            <w:noWrap/>
            <w:hideMark/>
          </w:tcPr>
          <w:p w14:paraId="490CAFD7"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3ml</w:t>
            </w:r>
          </w:p>
          <w:p w14:paraId="06C2B37C"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 xml:space="preserve">Negative control </w:t>
            </w:r>
          </w:p>
        </w:tc>
        <w:tc>
          <w:tcPr>
            <w:tcW w:w="831" w:type="pct"/>
            <w:tcBorders>
              <w:top w:val="single" w:sz="4" w:space="0" w:color="auto"/>
              <w:bottom w:val="single" w:sz="4" w:space="0" w:color="auto"/>
            </w:tcBorders>
            <w:noWrap/>
            <w:hideMark/>
          </w:tcPr>
          <w:p w14:paraId="766C507E"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150mg/kg</w:t>
            </w:r>
          </w:p>
        </w:tc>
        <w:tc>
          <w:tcPr>
            <w:tcW w:w="730" w:type="pct"/>
            <w:tcBorders>
              <w:top w:val="single" w:sz="4" w:space="0" w:color="auto"/>
              <w:bottom w:val="single" w:sz="4" w:space="0" w:color="auto"/>
            </w:tcBorders>
            <w:noWrap/>
            <w:hideMark/>
          </w:tcPr>
          <w:p w14:paraId="3458F7AC"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300mg/kg</w:t>
            </w:r>
          </w:p>
        </w:tc>
        <w:tc>
          <w:tcPr>
            <w:tcW w:w="823" w:type="pct"/>
            <w:tcBorders>
              <w:top w:val="single" w:sz="4" w:space="0" w:color="auto"/>
              <w:bottom w:val="single" w:sz="4" w:space="0" w:color="auto"/>
            </w:tcBorders>
            <w:noWrap/>
            <w:hideMark/>
          </w:tcPr>
          <w:p w14:paraId="54224BBD"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600mg/kg</w:t>
            </w:r>
          </w:p>
        </w:tc>
        <w:tc>
          <w:tcPr>
            <w:tcW w:w="824" w:type="pct"/>
            <w:tcBorders>
              <w:top w:val="single" w:sz="4" w:space="0" w:color="auto"/>
              <w:bottom w:val="single" w:sz="4" w:space="0" w:color="auto"/>
            </w:tcBorders>
            <w:noWrap/>
            <w:hideMark/>
          </w:tcPr>
          <w:p w14:paraId="42C06BB9"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Indomethacin</w:t>
            </w:r>
          </w:p>
          <w:p w14:paraId="6AF17EC8"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Positive control</w:t>
            </w:r>
          </w:p>
        </w:tc>
        <w:tc>
          <w:tcPr>
            <w:tcW w:w="486" w:type="pct"/>
            <w:tcBorders>
              <w:top w:val="single" w:sz="4" w:space="0" w:color="auto"/>
              <w:bottom w:val="single" w:sz="4" w:space="0" w:color="auto"/>
            </w:tcBorders>
            <w:noWrap/>
            <w:hideMark/>
          </w:tcPr>
          <w:p w14:paraId="4D99B20C"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p-value</w:t>
            </w:r>
          </w:p>
        </w:tc>
      </w:tr>
      <w:tr w:rsidR="00705062" w:rsidRPr="004362EE" w14:paraId="3C2870AC" w14:textId="77777777" w:rsidTr="001D4C82">
        <w:trPr>
          <w:trHeight w:val="1269"/>
        </w:trPr>
        <w:tc>
          <w:tcPr>
            <w:tcW w:w="501" w:type="pct"/>
            <w:tcBorders>
              <w:top w:val="single" w:sz="4" w:space="0" w:color="auto"/>
            </w:tcBorders>
            <w:noWrap/>
            <w:hideMark/>
          </w:tcPr>
          <w:p w14:paraId="4E8F184E"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Leaves</w:t>
            </w:r>
          </w:p>
        </w:tc>
        <w:tc>
          <w:tcPr>
            <w:tcW w:w="805" w:type="pct"/>
            <w:tcBorders>
              <w:top w:val="single" w:sz="4" w:space="0" w:color="auto"/>
            </w:tcBorders>
            <w:noWrap/>
            <w:hideMark/>
          </w:tcPr>
          <w:p w14:paraId="62A44339"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191.72±6.96</w:t>
            </w:r>
            <w:r w:rsidRPr="004362EE">
              <w:rPr>
                <w:rFonts w:ascii="Times New Roman" w:eastAsia="Times New Roman" w:hAnsi="Times New Roman" w:cs="Times New Roman"/>
                <w:sz w:val="24"/>
                <w:szCs w:val="24"/>
                <w:vertAlign w:val="superscript"/>
              </w:rPr>
              <w:t>a</w:t>
            </w:r>
          </w:p>
        </w:tc>
        <w:tc>
          <w:tcPr>
            <w:tcW w:w="831" w:type="pct"/>
            <w:tcBorders>
              <w:top w:val="single" w:sz="4" w:space="0" w:color="auto"/>
            </w:tcBorders>
            <w:noWrap/>
            <w:hideMark/>
          </w:tcPr>
          <w:p w14:paraId="52B3C835"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189.38±9.91</w:t>
            </w:r>
            <w:r w:rsidRPr="004362EE">
              <w:rPr>
                <w:rFonts w:ascii="Times New Roman" w:eastAsia="Times New Roman" w:hAnsi="Times New Roman" w:cs="Times New Roman"/>
                <w:sz w:val="24"/>
                <w:szCs w:val="24"/>
                <w:vertAlign w:val="superscript"/>
              </w:rPr>
              <w:t>a</w:t>
            </w:r>
          </w:p>
        </w:tc>
        <w:tc>
          <w:tcPr>
            <w:tcW w:w="730" w:type="pct"/>
            <w:tcBorders>
              <w:top w:val="single" w:sz="4" w:space="0" w:color="auto"/>
            </w:tcBorders>
            <w:noWrap/>
            <w:hideMark/>
          </w:tcPr>
          <w:p w14:paraId="561485AD"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175.78±6.45</w:t>
            </w:r>
            <w:r w:rsidRPr="004362EE">
              <w:rPr>
                <w:rFonts w:ascii="Times New Roman" w:eastAsia="Times New Roman" w:hAnsi="Times New Roman" w:cs="Times New Roman"/>
                <w:sz w:val="24"/>
                <w:szCs w:val="24"/>
                <w:vertAlign w:val="superscript"/>
              </w:rPr>
              <w:t>a</w:t>
            </w:r>
          </w:p>
        </w:tc>
        <w:tc>
          <w:tcPr>
            <w:tcW w:w="823" w:type="pct"/>
            <w:tcBorders>
              <w:top w:val="single" w:sz="4" w:space="0" w:color="auto"/>
            </w:tcBorders>
            <w:noWrap/>
            <w:hideMark/>
          </w:tcPr>
          <w:p w14:paraId="6C591151"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199.60±6.30</w:t>
            </w:r>
            <w:r w:rsidRPr="004362EE">
              <w:rPr>
                <w:rFonts w:ascii="Times New Roman" w:eastAsia="Times New Roman" w:hAnsi="Times New Roman" w:cs="Times New Roman"/>
                <w:sz w:val="24"/>
                <w:szCs w:val="24"/>
                <w:vertAlign w:val="superscript"/>
              </w:rPr>
              <w:t>a</w:t>
            </w:r>
          </w:p>
        </w:tc>
        <w:tc>
          <w:tcPr>
            <w:tcW w:w="824" w:type="pct"/>
            <w:tcBorders>
              <w:top w:val="single" w:sz="4" w:space="0" w:color="auto"/>
            </w:tcBorders>
            <w:noWrap/>
            <w:hideMark/>
          </w:tcPr>
          <w:p w14:paraId="2FFA379A"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197.46±5.90</w:t>
            </w:r>
            <w:r w:rsidRPr="004362EE">
              <w:rPr>
                <w:rFonts w:ascii="Times New Roman" w:eastAsia="Times New Roman" w:hAnsi="Times New Roman" w:cs="Times New Roman"/>
                <w:sz w:val="24"/>
                <w:szCs w:val="24"/>
                <w:vertAlign w:val="superscript"/>
              </w:rPr>
              <w:t>a</w:t>
            </w:r>
          </w:p>
        </w:tc>
        <w:tc>
          <w:tcPr>
            <w:tcW w:w="486" w:type="pct"/>
            <w:tcBorders>
              <w:top w:val="single" w:sz="4" w:space="0" w:color="auto"/>
            </w:tcBorders>
            <w:noWrap/>
            <w:hideMark/>
          </w:tcPr>
          <w:p w14:paraId="2D33ED6E"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0.197</w:t>
            </w:r>
          </w:p>
        </w:tc>
      </w:tr>
      <w:tr w:rsidR="00705062" w:rsidRPr="004362EE" w14:paraId="2B19621C" w14:textId="77777777" w:rsidTr="001D4C82">
        <w:trPr>
          <w:trHeight w:val="1269"/>
        </w:trPr>
        <w:tc>
          <w:tcPr>
            <w:tcW w:w="501" w:type="pct"/>
            <w:noWrap/>
            <w:hideMark/>
          </w:tcPr>
          <w:p w14:paraId="76775CE9"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Stems</w:t>
            </w:r>
          </w:p>
        </w:tc>
        <w:tc>
          <w:tcPr>
            <w:tcW w:w="805" w:type="pct"/>
            <w:noWrap/>
            <w:hideMark/>
          </w:tcPr>
          <w:p w14:paraId="5C343C19"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191.72±6.96</w:t>
            </w:r>
            <w:r w:rsidRPr="004362EE">
              <w:rPr>
                <w:rFonts w:ascii="Times New Roman" w:eastAsia="Times New Roman" w:hAnsi="Times New Roman" w:cs="Times New Roman"/>
                <w:sz w:val="24"/>
                <w:szCs w:val="24"/>
                <w:vertAlign w:val="superscript"/>
              </w:rPr>
              <w:t>ab</w:t>
            </w:r>
          </w:p>
        </w:tc>
        <w:tc>
          <w:tcPr>
            <w:tcW w:w="831" w:type="pct"/>
            <w:noWrap/>
            <w:hideMark/>
          </w:tcPr>
          <w:p w14:paraId="5AF262D2"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198.16±10.44</w:t>
            </w:r>
            <w:r w:rsidRPr="004362EE">
              <w:rPr>
                <w:rFonts w:ascii="Times New Roman" w:eastAsia="Times New Roman" w:hAnsi="Times New Roman" w:cs="Times New Roman"/>
                <w:sz w:val="24"/>
                <w:szCs w:val="24"/>
                <w:vertAlign w:val="superscript"/>
              </w:rPr>
              <w:t>ab</w:t>
            </w:r>
          </w:p>
        </w:tc>
        <w:tc>
          <w:tcPr>
            <w:tcW w:w="730" w:type="pct"/>
            <w:noWrap/>
            <w:hideMark/>
          </w:tcPr>
          <w:p w14:paraId="1FC60708"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174.62±6.61</w:t>
            </w:r>
            <w:r w:rsidRPr="004362EE">
              <w:rPr>
                <w:rFonts w:ascii="Times New Roman" w:eastAsia="Times New Roman" w:hAnsi="Times New Roman" w:cs="Times New Roman"/>
                <w:sz w:val="24"/>
                <w:szCs w:val="24"/>
                <w:vertAlign w:val="superscript"/>
              </w:rPr>
              <w:t>a</w:t>
            </w:r>
          </w:p>
        </w:tc>
        <w:tc>
          <w:tcPr>
            <w:tcW w:w="823" w:type="pct"/>
            <w:noWrap/>
            <w:hideMark/>
          </w:tcPr>
          <w:p w14:paraId="0B08713C"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210.88±2.98</w:t>
            </w:r>
            <w:r w:rsidRPr="004362EE">
              <w:rPr>
                <w:rFonts w:ascii="Times New Roman" w:eastAsia="Times New Roman" w:hAnsi="Times New Roman" w:cs="Times New Roman"/>
                <w:sz w:val="24"/>
                <w:szCs w:val="24"/>
                <w:vertAlign w:val="superscript"/>
              </w:rPr>
              <w:t>b</w:t>
            </w:r>
          </w:p>
        </w:tc>
        <w:tc>
          <w:tcPr>
            <w:tcW w:w="824" w:type="pct"/>
            <w:noWrap/>
            <w:hideMark/>
          </w:tcPr>
          <w:p w14:paraId="5DECCE88"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197.46±5.90</w:t>
            </w:r>
            <w:r w:rsidRPr="004362EE">
              <w:rPr>
                <w:rFonts w:ascii="Times New Roman" w:eastAsia="Times New Roman" w:hAnsi="Times New Roman" w:cs="Times New Roman"/>
                <w:sz w:val="24"/>
                <w:szCs w:val="24"/>
                <w:vertAlign w:val="superscript"/>
              </w:rPr>
              <w:t>ab</w:t>
            </w:r>
          </w:p>
        </w:tc>
        <w:tc>
          <w:tcPr>
            <w:tcW w:w="486" w:type="pct"/>
            <w:noWrap/>
            <w:hideMark/>
          </w:tcPr>
          <w:p w14:paraId="60BC1909"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0.039</w:t>
            </w:r>
          </w:p>
        </w:tc>
      </w:tr>
      <w:tr w:rsidR="00705062" w:rsidRPr="004362EE" w14:paraId="597039E1" w14:textId="77777777" w:rsidTr="001D4C82">
        <w:trPr>
          <w:trHeight w:val="1269"/>
        </w:trPr>
        <w:tc>
          <w:tcPr>
            <w:tcW w:w="501" w:type="pct"/>
            <w:noWrap/>
            <w:hideMark/>
          </w:tcPr>
          <w:p w14:paraId="07D59EF9"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Roots</w:t>
            </w:r>
          </w:p>
        </w:tc>
        <w:tc>
          <w:tcPr>
            <w:tcW w:w="805" w:type="pct"/>
            <w:noWrap/>
            <w:hideMark/>
          </w:tcPr>
          <w:p w14:paraId="29405EEC"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191.72±6.96</w:t>
            </w:r>
            <w:r w:rsidRPr="004362EE">
              <w:rPr>
                <w:rFonts w:ascii="Times New Roman" w:eastAsia="Times New Roman" w:hAnsi="Times New Roman" w:cs="Times New Roman"/>
                <w:sz w:val="24"/>
                <w:szCs w:val="24"/>
                <w:vertAlign w:val="superscript"/>
              </w:rPr>
              <w:t>a</w:t>
            </w:r>
          </w:p>
        </w:tc>
        <w:tc>
          <w:tcPr>
            <w:tcW w:w="831" w:type="pct"/>
            <w:noWrap/>
            <w:hideMark/>
          </w:tcPr>
          <w:p w14:paraId="25863A82"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180.44±5.95</w:t>
            </w:r>
            <w:r w:rsidRPr="004362EE">
              <w:rPr>
                <w:rFonts w:ascii="Times New Roman" w:eastAsia="Times New Roman" w:hAnsi="Times New Roman" w:cs="Times New Roman"/>
                <w:sz w:val="24"/>
                <w:szCs w:val="24"/>
                <w:vertAlign w:val="superscript"/>
              </w:rPr>
              <w:t>a</w:t>
            </w:r>
          </w:p>
        </w:tc>
        <w:tc>
          <w:tcPr>
            <w:tcW w:w="730" w:type="pct"/>
            <w:noWrap/>
            <w:hideMark/>
          </w:tcPr>
          <w:p w14:paraId="297F5E9A"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185.50±7.16</w:t>
            </w:r>
            <w:r w:rsidRPr="004362EE">
              <w:rPr>
                <w:rFonts w:ascii="Times New Roman" w:eastAsia="Times New Roman" w:hAnsi="Times New Roman" w:cs="Times New Roman"/>
                <w:sz w:val="24"/>
                <w:szCs w:val="24"/>
                <w:vertAlign w:val="superscript"/>
              </w:rPr>
              <w:t>a</w:t>
            </w:r>
          </w:p>
        </w:tc>
        <w:tc>
          <w:tcPr>
            <w:tcW w:w="823" w:type="pct"/>
            <w:noWrap/>
            <w:hideMark/>
          </w:tcPr>
          <w:p w14:paraId="165CF777"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211.28±11.89</w:t>
            </w:r>
            <w:r w:rsidRPr="004362EE">
              <w:rPr>
                <w:rFonts w:ascii="Times New Roman" w:eastAsia="Times New Roman" w:hAnsi="Times New Roman" w:cs="Times New Roman"/>
                <w:sz w:val="24"/>
                <w:szCs w:val="24"/>
                <w:vertAlign w:val="superscript"/>
              </w:rPr>
              <w:t>a</w:t>
            </w:r>
          </w:p>
        </w:tc>
        <w:tc>
          <w:tcPr>
            <w:tcW w:w="824" w:type="pct"/>
            <w:noWrap/>
            <w:hideMark/>
          </w:tcPr>
          <w:p w14:paraId="078E4895"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197.46±5.90</w:t>
            </w:r>
            <w:r w:rsidRPr="004362EE">
              <w:rPr>
                <w:rFonts w:ascii="Times New Roman" w:eastAsia="Times New Roman" w:hAnsi="Times New Roman" w:cs="Times New Roman"/>
                <w:sz w:val="24"/>
                <w:szCs w:val="24"/>
                <w:vertAlign w:val="superscript"/>
              </w:rPr>
              <w:t>a</w:t>
            </w:r>
          </w:p>
        </w:tc>
        <w:tc>
          <w:tcPr>
            <w:tcW w:w="486" w:type="pct"/>
            <w:noWrap/>
            <w:hideMark/>
          </w:tcPr>
          <w:p w14:paraId="78832004"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0.108</w:t>
            </w:r>
          </w:p>
        </w:tc>
      </w:tr>
    </w:tbl>
    <w:p w14:paraId="1F354969" w14:textId="77777777" w:rsidR="004702A4" w:rsidRDefault="004702A4" w:rsidP="004702A4">
      <w:pPr>
        <w:spacing w:after="0" w:line="240" w:lineRule="auto"/>
        <w:jc w:val="both"/>
        <w:rPr>
          <w:rFonts w:ascii="Times New Roman" w:hAnsi="Times New Roman" w:cs="Times New Roman"/>
          <w:bCs/>
          <w:i/>
          <w:sz w:val="24"/>
          <w:szCs w:val="24"/>
        </w:rPr>
      </w:pPr>
      <w:bookmarkStart w:id="9" w:name="_Toc142054172"/>
      <w:bookmarkEnd w:id="8"/>
      <w:r w:rsidRPr="004702A4">
        <w:rPr>
          <w:rFonts w:ascii="Times New Roman" w:hAnsi="Times New Roman" w:cs="Times New Roman"/>
          <w:bCs/>
          <w:i/>
          <w:sz w:val="24"/>
          <w:szCs w:val="24"/>
        </w:rPr>
        <w:t>Values are mean ± SEM. Within a row, means sharing at least one superscript letter are not significantly different, whereas means with no letters in common differ significantly (one-way ANOVA followed by Tukey’s post-hoc test, p &lt; 0.05).</w:t>
      </w:r>
    </w:p>
    <w:p w14:paraId="05FE31B1" w14:textId="77777777" w:rsidR="004A65DB" w:rsidRDefault="004A65DB" w:rsidP="00E83AEC">
      <w:pPr>
        <w:pStyle w:val="TABLE"/>
        <w:spacing w:line="240" w:lineRule="auto"/>
        <w:rPr>
          <w:rFonts w:cs="Times New Roman"/>
          <w:b w:val="0"/>
          <w:bCs/>
          <w:szCs w:val="24"/>
        </w:rPr>
      </w:pPr>
    </w:p>
    <w:p w14:paraId="1A51BFF2" w14:textId="6DEBB150" w:rsidR="00E83AEC" w:rsidRPr="00B415C2" w:rsidRDefault="00B415C2" w:rsidP="00E83AEC">
      <w:pPr>
        <w:pStyle w:val="TABLE"/>
        <w:spacing w:line="240" w:lineRule="auto"/>
        <w:rPr>
          <w:rFonts w:cs="Times New Roman"/>
          <w:b w:val="0"/>
          <w:bCs/>
          <w:szCs w:val="24"/>
        </w:rPr>
        <w:sectPr w:rsidR="00E83AEC" w:rsidRPr="00B415C2" w:rsidSect="004362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B415C2">
        <w:rPr>
          <w:rFonts w:cs="Times New Roman"/>
          <w:b w:val="0"/>
          <w:bCs/>
          <w:szCs w:val="24"/>
        </w:rPr>
        <w:t xml:space="preserve">Table 1 compares the mean body weights of Wistar rats treated with varying concentrations (150, 300, and 600 mg/kg) of </w:t>
      </w:r>
      <w:r w:rsidRPr="00B415C2">
        <w:rPr>
          <w:rFonts w:cs="Times New Roman"/>
          <w:b w:val="0"/>
          <w:bCs/>
          <w:i/>
          <w:szCs w:val="24"/>
        </w:rPr>
        <w:t>Alstonia boonei</w:t>
      </w:r>
      <w:r w:rsidRPr="00B415C2">
        <w:rPr>
          <w:rFonts w:cs="Times New Roman"/>
          <w:b w:val="0"/>
          <w:bCs/>
          <w:szCs w:val="24"/>
        </w:rPr>
        <w:t xml:space="preserve"> leaves, stems, and roots, as well as Indomethacin and a water-treated control group. The control group maintained a consistent mean weight of 191.72 ± 6.96 g. Among the treatment groups, the leaves and roots showed fluctuations in body weight across doses, but none of these changes were statistically significant. In contrast, the stem extract at 600 mg/kg led to a significant increase in body weight (210.88 ± 2.98 g), with a p-value of 0.039, indicating a meaningful difference from the control group (p &lt; 0.05). This suggests that only the high-dose stem extract of </w:t>
      </w:r>
      <w:r w:rsidRPr="00B415C2">
        <w:rPr>
          <w:rFonts w:cs="Times New Roman"/>
          <w:b w:val="0"/>
          <w:bCs/>
          <w:i/>
          <w:szCs w:val="24"/>
        </w:rPr>
        <w:t>A. boonei</w:t>
      </w:r>
      <w:r w:rsidRPr="00B415C2">
        <w:rPr>
          <w:rFonts w:cs="Times New Roman"/>
          <w:b w:val="0"/>
          <w:bCs/>
          <w:szCs w:val="24"/>
        </w:rPr>
        <w:t xml:space="preserve"> had a significant dose-dependent effect on body weight, while the leaves and roots did not</w:t>
      </w:r>
    </w:p>
    <w:p w14:paraId="49D02961" w14:textId="0F9D398B" w:rsidR="00B262BE" w:rsidRPr="004362EE" w:rsidRDefault="00B262BE" w:rsidP="00E83AEC">
      <w:pPr>
        <w:pStyle w:val="TABLE"/>
        <w:spacing w:line="240" w:lineRule="auto"/>
        <w:rPr>
          <w:rFonts w:cs="Times New Roman"/>
          <w:b w:val="0"/>
          <w:bCs/>
          <w:szCs w:val="24"/>
        </w:rPr>
      </w:pPr>
    </w:p>
    <w:p w14:paraId="0363F0BF" w14:textId="1856E36A" w:rsidR="00705062" w:rsidRPr="004362EE" w:rsidRDefault="00705062" w:rsidP="00E83AEC">
      <w:pPr>
        <w:pStyle w:val="TABLE"/>
        <w:spacing w:line="240" w:lineRule="auto"/>
        <w:rPr>
          <w:rFonts w:cs="Times New Roman"/>
          <w:szCs w:val="24"/>
        </w:rPr>
      </w:pPr>
      <w:bookmarkStart w:id="10" w:name="_Hlk204081304"/>
      <w:r w:rsidRPr="004362EE">
        <w:rPr>
          <w:rFonts w:cs="Times New Roman"/>
          <w:szCs w:val="24"/>
        </w:rPr>
        <w:t xml:space="preserve">Table </w:t>
      </w:r>
      <w:r w:rsidR="00B262BE" w:rsidRPr="004362EE">
        <w:rPr>
          <w:rFonts w:cs="Times New Roman"/>
          <w:szCs w:val="24"/>
        </w:rPr>
        <w:t>2</w:t>
      </w:r>
      <w:r w:rsidRPr="004362EE">
        <w:rPr>
          <w:rFonts w:cs="Times New Roman"/>
          <w:bCs/>
          <w:szCs w:val="24"/>
        </w:rPr>
        <w:t xml:space="preserve">: Mean comparison of </w:t>
      </w:r>
      <w:r w:rsidRPr="004362EE">
        <w:rPr>
          <w:rFonts w:cs="Times New Roman"/>
          <w:bCs/>
          <w:i/>
          <w:szCs w:val="24"/>
        </w:rPr>
        <w:t xml:space="preserve">A. boonei </w:t>
      </w:r>
      <w:r w:rsidRPr="004362EE">
        <w:rPr>
          <w:rFonts w:cs="Times New Roman"/>
          <w:szCs w:val="24"/>
        </w:rPr>
        <w:t>on Liver antioxidant status of formalin induced Wistar rats</w:t>
      </w:r>
      <w:bookmarkEnd w:id="9"/>
    </w:p>
    <w:tbl>
      <w:tblPr>
        <w:tblStyle w:val="TableGrid"/>
        <w:tblW w:w="5499" w:type="pct"/>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5"/>
        <w:gridCol w:w="798"/>
        <w:gridCol w:w="1593"/>
        <w:gridCol w:w="1682"/>
        <w:gridCol w:w="1505"/>
        <w:gridCol w:w="1505"/>
        <w:gridCol w:w="1685"/>
        <w:gridCol w:w="1767"/>
        <w:gridCol w:w="1058"/>
        <w:gridCol w:w="975"/>
      </w:tblGrid>
      <w:tr w:rsidR="00705062" w:rsidRPr="004362EE" w14:paraId="46A98E49" w14:textId="77777777" w:rsidTr="001D4C82">
        <w:trPr>
          <w:trHeight w:val="300"/>
        </w:trPr>
        <w:tc>
          <w:tcPr>
            <w:tcW w:w="591" w:type="pct"/>
            <w:tcBorders>
              <w:top w:val="single" w:sz="4" w:space="0" w:color="auto"/>
              <w:bottom w:val="single" w:sz="4" w:space="0" w:color="auto"/>
            </w:tcBorders>
            <w:noWrap/>
            <w:hideMark/>
          </w:tcPr>
          <w:p w14:paraId="2C177A79" w14:textId="77777777" w:rsidR="00705062" w:rsidRPr="004362EE" w:rsidRDefault="00705062" w:rsidP="00E83AEC">
            <w:pPr>
              <w:spacing w:line="240" w:lineRule="auto"/>
              <w:jc w:val="both"/>
              <w:rPr>
                <w:rFonts w:eastAsia="Times New Roman"/>
                <w:sz w:val="24"/>
                <w:szCs w:val="24"/>
              </w:rPr>
            </w:pPr>
          </w:p>
        </w:tc>
        <w:tc>
          <w:tcPr>
            <w:tcW w:w="280" w:type="pct"/>
            <w:tcBorders>
              <w:top w:val="single" w:sz="4" w:space="0" w:color="auto"/>
              <w:bottom w:val="single" w:sz="4" w:space="0" w:color="auto"/>
            </w:tcBorders>
            <w:noWrap/>
            <w:hideMark/>
          </w:tcPr>
          <w:p w14:paraId="1BC23872" w14:textId="77777777" w:rsidR="00705062" w:rsidRPr="004362EE" w:rsidRDefault="00705062" w:rsidP="00E83AEC">
            <w:pPr>
              <w:spacing w:line="240" w:lineRule="auto"/>
              <w:jc w:val="both"/>
              <w:rPr>
                <w:rFonts w:eastAsia="Times New Roman"/>
                <w:sz w:val="24"/>
                <w:szCs w:val="24"/>
              </w:rPr>
            </w:pPr>
          </w:p>
        </w:tc>
        <w:tc>
          <w:tcPr>
            <w:tcW w:w="559" w:type="pct"/>
            <w:tcBorders>
              <w:top w:val="single" w:sz="4" w:space="0" w:color="auto"/>
              <w:bottom w:val="single" w:sz="4" w:space="0" w:color="auto"/>
            </w:tcBorders>
            <w:noWrap/>
            <w:hideMark/>
          </w:tcPr>
          <w:p w14:paraId="04FC21A5"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 ml/kg</w:t>
            </w:r>
          </w:p>
          <w:p w14:paraId="57A35B35"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DH</w:t>
            </w:r>
            <w:r w:rsidRPr="004362EE">
              <w:rPr>
                <w:rFonts w:eastAsia="Times New Roman"/>
                <w:b/>
                <w:bCs/>
                <w:sz w:val="24"/>
                <w:szCs w:val="24"/>
                <w:vertAlign w:val="subscript"/>
              </w:rPr>
              <w:t>2</w:t>
            </w:r>
            <w:r w:rsidRPr="004362EE">
              <w:rPr>
                <w:rFonts w:eastAsia="Times New Roman"/>
                <w:b/>
                <w:bCs/>
                <w:sz w:val="24"/>
                <w:szCs w:val="24"/>
              </w:rPr>
              <w:t>O</w:t>
            </w:r>
          </w:p>
        </w:tc>
        <w:tc>
          <w:tcPr>
            <w:tcW w:w="590" w:type="pct"/>
            <w:tcBorders>
              <w:top w:val="single" w:sz="4" w:space="0" w:color="auto"/>
              <w:bottom w:val="single" w:sz="4" w:space="0" w:color="auto"/>
            </w:tcBorders>
            <w:noWrap/>
            <w:hideMark/>
          </w:tcPr>
          <w:p w14:paraId="30EED6CC"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150 mg/kg</w:t>
            </w:r>
          </w:p>
        </w:tc>
        <w:tc>
          <w:tcPr>
            <w:tcW w:w="528" w:type="pct"/>
            <w:tcBorders>
              <w:top w:val="single" w:sz="4" w:space="0" w:color="auto"/>
              <w:bottom w:val="single" w:sz="4" w:space="0" w:color="auto"/>
            </w:tcBorders>
            <w:noWrap/>
            <w:hideMark/>
          </w:tcPr>
          <w:p w14:paraId="55B32214"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300 mg/kg</w:t>
            </w:r>
          </w:p>
        </w:tc>
        <w:tc>
          <w:tcPr>
            <w:tcW w:w="528" w:type="pct"/>
            <w:tcBorders>
              <w:top w:val="single" w:sz="4" w:space="0" w:color="auto"/>
              <w:bottom w:val="single" w:sz="4" w:space="0" w:color="auto"/>
            </w:tcBorders>
            <w:noWrap/>
            <w:hideMark/>
          </w:tcPr>
          <w:p w14:paraId="542F4E87"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600 mg/kg</w:t>
            </w:r>
          </w:p>
        </w:tc>
        <w:tc>
          <w:tcPr>
            <w:tcW w:w="591" w:type="pct"/>
            <w:tcBorders>
              <w:top w:val="single" w:sz="4" w:space="0" w:color="auto"/>
              <w:bottom w:val="single" w:sz="4" w:space="0" w:color="auto"/>
            </w:tcBorders>
            <w:noWrap/>
            <w:hideMark/>
          </w:tcPr>
          <w:p w14:paraId="35E47526"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Indomethacin</w:t>
            </w:r>
          </w:p>
        </w:tc>
        <w:tc>
          <w:tcPr>
            <w:tcW w:w="620" w:type="pct"/>
            <w:tcBorders>
              <w:top w:val="single" w:sz="4" w:space="0" w:color="auto"/>
              <w:bottom w:val="single" w:sz="4" w:space="0" w:color="auto"/>
            </w:tcBorders>
            <w:noWrap/>
            <w:hideMark/>
          </w:tcPr>
          <w:p w14:paraId="186F000F"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300 mg/kg only</w:t>
            </w:r>
          </w:p>
          <w:p w14:paraId="7561FD56"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Without induction</w:t>
            </w:r>
          </w:p>
        </w:tc>
        <w:tc>
          <w:tcPr>
            <w:tcW w:w="371" w:type="pct"/>
            <w:tcBorders>
              <w:top w:val="single" w:sz="4" w:space="0" w:color="auto"/>
              <w:bottom w:val="single" w:sz="4" w:space="0" w:color="auto"/>
            </w:tcBorders>
          </w:tcPr>
          <w:p w14:paraId="4B40CDCB"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F-value</w:t>
            </w:r>
          </w:p>
        </w:tc>
        <w:tc>
          <w:tcPr>
            <w:tcW w:w="342" w:type="pct"/>
            <w:tcBorders>
              <w:top w:val="single" w:sz="4" w:space="0" w:color="auto"/>
              <w:bottom w:val="single" w:sz="4" w:space="0" w:color="auto"/>
            </w:tcBorders>
            <w:noWrap/>
            <w:hideMark/>
          </w:tcPr>
          <w:p w14:paraId="1023C0D6"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p-value</w:t>
            </w:r>
          </w:p>
        </w:tc>
      </w:tr>
      <w:tr w:rsidR="00705062" w:rsidRPr="004362EE" w14:paraId="38EE376E" w14:textId="77777777" w:rsidTr="001D4C82">
        <w:trPr>
          <w:trHeight w:val="300"/>
        </w:trPr>
        <w:tc>
          <w:tcPr>
            <w:tcW w:w="591" w:type="pct"/>
            <w:tcBorders>
              <w:top w:val="single" w:sz="4" w:space="0" w:color="auto"/>
            </w:tcBorders>
            <w:noWrap/>
            <w:hideMark/>
          </w:tcPr>
          <w:p w14:paraId="71C4575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Leaves</w:t>
            </w:r>
          </w:p>
        </w:tc>
        <w:tc>
          <w:tcPr>
            <w:tcW w:w="280" w:type="pct"/>
            <w:tcBorders>
              <w:top w:val="single" w:sz="4" w:space="0" w:color="auto"/>
            </w:tcBorders>
            <w:noWrap/>
            <w:hideMark/>
          </w:tcPr>
          <w:p w14:paraId="14588A9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MDA </w:t>
            </w:r>
          </w:p>
        </w:tc>
        <w:tc>
          <w:tcPr>
            <w:tcW w:w="559" w:type="pct"/>
            <w:tcBorders>
              <w:top w:val="single" w:sz="4" w:space="0" w:color="auto"/>
            </w:tcBorders>
            <w:noWrap/>
            <w:hideMark/>
          </w:tcPr>
          <w:p w14:paraId="23CA7E6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26.30±0.01</w:t>
            </w:r>
            <w:r w:rsidRPr="004362EE">
              <w:rPr>
                <w:rFonts w:eastAsia="Times New Roman"/>
                <w:sz w:val="24"/>
                <w:szCs w:val="24"/>
                <w:vertAlign w:val="superscript"/>
              </w:rPr>
              <w:t>a</w:t>
            </w:r>
          </w:p>
        </w:tc>
        <w:tc>
          <w:tcPr>
            <w:tcW w:w="590" w:type="pct"/>
            <w:tcBorders>
              <w:top w:val="single" w:sz="4" w:space="0" w:color="auto"/>
            </w:tcBorders>
            <w:noWrap/>
            <w:hideMark/>
          </w:tcPr>
          <w:p w14:paraId="2A5F24C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23.99±0.60</w:t>
            </w:r>
            <w:r w:rsidRPr="004362EE">
              <w:rPr>
                <w:rFonts w:eastAsia="Times New Roman"/>
                <w:sz w:val="24"/>
                <w:szCs w:val="24"/>
                <w:vertAlign w:val="superscript"/>
              </w:rPr>
              <w:t>ab</w:t>
            </w:r>
          </w:p>
        </w:tc>
        <w:tc>
          <w:tcPr>
            <w:tcW w:w="528" w:type="pct"/>
            <w:tcBorders>
              <w:top w:val="single" w:sz="4" w:space="0" w:color="auto"/>
            </w:tcBorders>
            <w:noWrap/>
            <w:hideMark/>
          </w:tcPr>
          <w:p w14:paraId="1F13DD5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23.44±0.10</w:t>
            </w:r>
            <w:r w:rsidRPr="004362EE">
              <w:rPr>
                <w:rFonts w:eastAsia="Times New Roman"/>
                <w:sz w:val="24"/>
                <w:szCs w:val="24"/>
                <w:vertAlign w:val="superscript"/>
              </w:rPr>
              <w:t>b</w:t>
            </w:r>
          </w:p>
        </w:tc>
        <w:tc>
          <w:tcPr>
            <w:tcW w:w="528" w:type="pct"/>
            <w:tcBorders>
              <w:top w:val="single" w:sz="4" w:space="0" w:color="auto"/>
            </w:tcBorders>
            <w:noWrap/>
            <w:hideMark/>
          </w:tcPr>
          <w:p w14:paraId="581DFDC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38.25±0.02</w:t>
            </w:r>
            <w:r w:rsidRPr="004362EE">
              <w:rPr>
                <w:rFonts w:eastAsia="Times New Roman"/>
                <w:sz w:val="24"/>
                <w:szCs w:val="24"/>
                <w:vertAlign w:val="superscript"/>
              </w:rPr>
              <w:t>c</w:t>
            </w:r>
          </w:p>
        </w:tc>
        <w:tc>
          <w:tcPr>
            <w:tcW w:w="591" w:type="pct"/>
            <w:tcBorders>
              <w:top w:val="single" w:sz="4" w:space="0" w:color="auto"/>
            </w:tcBorders>
            <w:noWrap/>
            <w:hideMark/>
          </w:tcPr>
          <w:p w14:paraId="119ECD7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34.05±1.09</w:t>
            </w:r>
            <w:r w:rsidRPr="004362EE">
              <w:rPr>
                <w:rFonts w:eastAsia="Times New Roman"/>
                <w:sz w:val="24"/>
                <w:szCs w:val="24"/>
                <w:vertAlign w:val="superscript"/>
              </w:rPr>
              <w:t>c</w:t>
            </w:r>
          </w:p>
        </w:tc>
        <w:tc>
          <w:tcPr>
            <w:tcW w:w="620" w:type="pct"/>
            <w:tcBorders>
              <w:top w:val="single" w:sz="4" w:space="0" w:color="auto"/>
            </w:tcBorders>
            <w:noWrap/>
            <w:hideMark/>
          </w:tcPr>
          <w:p w14:paraId="143BEFF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36.05±0.67</w:t>
            </w:r>
            <w:r w:rsidRPr="004362EE">
              <w:rPr>
                <w:rFonts w:eastAsia="Times New Roman"/>
                <w:sz w:val="24"/>
                <w:szCs w:val="24"/>
                <w:vertAlign w:val="superscript"/>
              </w:rPr>
              <w:t>cd</w:t>
            </w:r>
          </w:p>
        </w:tc>
        <w:tc>
          <w:tcPr>
            <w:tcW w:w="371" w:type="pct"/>
            <w:tcBorders>
              <w:top w:val="single" w:sz="4" w:space="0" w:color="auto"/>
            </w:tcBorders>
          </w:tcPr>
          <w:p w14:paraId="5A72C6DA" w14:textId="77777777" w:rsidR="00705062" w:rsidRPr="004362EE" w:rsidRDefault="00705062" w:rsidP="00E83AEC">
            <w:pPr>
              <w:spacing w:line="240" w:lineRule="auto"/>
              <w:jc w:val="both"/>
              <w:rPr>
                <w:rFonts w:eastAsia="Times New Roman"/>
                <w:sz w:val="24"/>
                <w:szCs w:val="24"/>
              </w:rPr>
            </w:pPr>
            <w:r w:rsidRPr="004362EE">
              <w:rPr>
                <w:sz w:val="24"/>
                <w:szCs w:val="24"/>
              </w:rPr>
              <w:t>127.794</w:t>
            </w:r>
          </w:p>
        </w:tc>
        <w:tc>
          <w:tcPr>
            <w:tcW w:w="342" w:type="pct"/>
            <w:tcBorders>
              <w:top w:val="single" w:sz="4" w:space="0" w:color="auto"/>
            </w:tcBorders>
            <w:noWrap/>
            <w:hideMark/>
          </w:tcPr>
          <w:p w14:paraId="00438266" w14:textId="074B8872" w:rsidR="00705062" w:rsidRPr="004362EE" w:rsidRDefault="004702A4" w:rsidP="00E83AEC">
            <w:pPr>
              <w:spacing w:line="240" w:lineRule="auto"/>
              <w:jc w:val="both"/>
              <w:rPr>
                <w:rFonts w:eastAsia="Times New Roman"/>
                <w:sz w:val="24"/>
                <w:szCs w:val="24"/>
              </w:rPr>
            </w:pPr>
            <w:r w:rsidRPr="004702A4">
              <w:rPr>
                <w:rFonts w:eastAsia="Times New Roman"/>
                <w:sz w:val="24"/>
                <w:szCs w:val="24"/>
              </w:rPr>
              <w:t>&lt; 0.001</w:t>
            </w:r>
          </w:p>
        </w:tc>
      </w:tr>
      <w:tr w:rsidR="004702A4" w:rsidRPr="004362EE" w14:paraId="64F94F76" w14:textId="77777777" w:rsidTr="001D4C82">
        <w:trPr>
          <w:trHeight w:val="300"/>
        </w:trPr>
        <w:tc>
          <w:tcPr>
            <w:tcW w:w="591" w:type="pct"/>
            <w:noWrap/>
            <w:hideMark/>
          </w:tcPr>
          <w:p w14:paraId="25D14F88"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w:t>
            </w:r>
          </w:p>
        </w:tc>
        <w:tc>
          <w:tcPr>
            <w:tcW w:w="280" w:type="pct"/>
            <w:noWrap/>
            <w:hideMark/>
          </w:tcPr>
          <w:p w14:paraId="69E4CABA"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SOD </w:t>
            </w:r>
          </w:p>
        </w:tc>
        <w:tc>
          <w:tcPr>
            <w:tcW w:w="559" w:type="pct"/>
            <w:noWrap/>
            <w:hideMark/>
          </w:tcPr>
          <w:p w14:paraId="094235DD"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9.38±0.01</w:t>
            </w:r>
            <w:r w:rsidRPr="004362EE">
              <w:rPr>
                <w:rFonts w:eastAsia="Times New Roman"/>
                <w:sz w:val="24"/>
                <w:szCs w:val="24"/>
                <w:vertAlign w:val="superscript"/>
              </w:rPr>
              <w:t>a</w:t>
            </w:r>
          </w:p>
        </w:tc>
        <w:tc>
          <w:tcPr>
            <w:tcW w:w="590" w:type="pct"/>
            <w:noWrap/>
            <w:hideMark/>
          </w:tcPr>
          <w:p w14:paraId="4C190F2A"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9.45±0.05</w:t>
            </w:r>
            <w:r w:rsidRPr="004362EE">
              <w:rPr>
                <w:rFonts w:eastAsia="Times New Roman"/>
                <w:sz w:val="24"/>
                <w:szCs w:val="24"/>
                <w:vertAlign w:val="superscript"/>
              </w:rPr>
              <w:t>a</w:t>
            </w:r>
          </w:p>
        </w:tc>
        <w:tc>
          <w:tcPr>
            <w:tcW w:w="528" w:type="pct"/>
            <w:noWrap/>
            <w:hideMark/>
          </w:tcPr>
          <w:p w14:paraId="78679AB7"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9.49±0.01</w:t>
            </w:r>
            <w:r w:rsidRPr="004362EE">
              <w:rPr>
                <w:rFonts w:eastAsia="Times New Roman"/>
                <w:sz w:val="24"/>
                <w:szCs w:val="24"/>
                <w:vertAlign w:val="superscript"/>
              </w:rPr>
              <w:t>a</w:t>
            </w:r>
          </w:p>
        </w:tc>
        <w:tc>
          <w:tcPr>
            <w:tcW w:w="528" w:type="pct"/>
            <w:noWrap/>
            <w:hideMark/>
          </w:tcPr>
          <w:p w14:paraId="39A7643A"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5.16±0.01</w:t>
            </w:r>
            <w:r w:rsidRPr="004362EE">
              <w:rPr>
                <w:rFonts w:eastAsia="Times New Roman"/>
                <w:sz w:val="24"/>
                <w:szCs w:val="24"/>
                <w:vertAlign w:val="superscript"/>
              </w:rPr>
              <w:t>b</w:t>
            </w:r>
          </w:p>
        </w:tc>
        <w:tc>
          <w:tcPr>
            <w:tcW w:w="591" w:type="pct"/>
            <w:noWrap/>
            <w:hideMark/>
          </w:tcPr>
          <w:p w14:paraId="65BCE7C0"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7.98±0.68</w:t>
            </w:r>
            <w:r w:rsidRPr="004362EE">
              <w:rPr>
                <w:rFonts w:eastAsia="Times New Roman"/>
                <w:sz w:val="24"/>
                <w:szCs w:val="24"/>
                <w:vertAlign w:val="superscript"/>
              </w:rPr>
              <w:t>c</w:t>
            </w:r>
          </w:p>
        </w:tc>
        <w:tc>
          <w:tcPr>
            <w:tcW w:w="620" w:type="pct"/>
            <w:noWrap/>
            <w:hideMark/>
          </w:tcPr>
          <w:p w14:paraId="1B13930F"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6.03±0.07</w:t>
            </w:r>
            <w:r w:rsidRPr="004362EE">
              <w:rPr>
                <w:rFonts w:eastAsia="Times New Roman"/>
                <w:sz w:val="24"/>
                <w:szCs w:val="24"/>
                <w:vertAlign w:val="superscript"/>
              </w:rPr>
              <w:t>b</w:t>
            </w:r>
          </w:p>
        </w:tc>
        <w:tc>
          <w:tcPr>
            <w:tcW w:w="371" w:type="pct"/>
          </w:tcPr>
          <w:p w14:paraId="58FD65EA" w14:textId="77777777" w:rsidR="004702A4" w:rsidRPr="004362EE" w:rsidRDefault="004702A4" w:rsidP="004702A4">
            <w:pPr>
              <w:spacing w:line="240" w:lineRule="auto"/>
              <w:jc w:val="both"/>
              <w:rPr>
                <w:rFonts w:eastAsia="Times New Roman"/>
                <w:sz w:val="24"/>
                <w:szCs w:val="24"/>
              </w:rPr>
            </w:pPr>
            <w:r w:rsidRPr="004362EE">
              <w:rPr>
                <w:sz w:val="24"/>
                <w:szCs w:val="24"/>
              </w:rPr>
              <w:t>46.829</w:t>
            </w:r>
          </w:p>
        </w:tc>
        <w:tc>
          <w:tcPr>
            <w:tcW w:w="342" w:type="pct"/>
            <w:noWrap/>
            <w:hideMark/>
          </w:tcPr>
          <w:p w14:paraId="0C3B9615" w14:textId="2C0F0F4A" w:rsidR="004702A4" w:rsidRPr="004362EE" w:rsidRDefault="004702A4" w:rsidP="004702A4">
            <w:pPr>
              <w:spacing w:line="240" w:lineRule="auto"/>
              <w:jc w:val="both"/>
              <w:rPr>
                <w:rFonts w:eastAsia="Times New Roman"/>
                <w:sz w:val="24"/>
                <w:szCs w:val="24"/>
              </w:rPr>
            </w:pPr>
            <w:r w:rsidRPr="00E31F0E">
              <w:rPr>
                <w:rFonts w:eastAsia="Times New Roman"/>
                <w:sz w:val="24"/>
                <w:szCs w:val="24"/>
              </w:rPr>
              <w:t>&lt; 0.001</w:t>
            </w:r>
          </w:p>
        </w:tc>
      </w:tr>
      <w:tr w:rsidR="004702A4" w:rsidRPr="004362EE" w14:paraId="5607D4E4" w14:textId="77777777" w:rsidTr="001D4C82">
        <w:trPr>
          <w:trHeight w:val="300"/>
        </w:trPr>
        <w:tc>
          <w:tcPr>
            <w:tcW w:w="591" w:type="pct"/>
            <w:noWrap/>
            <w:hideMark/>
          </w:tcPr>
          <w:p w14:paraId="4B6A45AC"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w:t>
            </w:r>
          </w:p>
        </w:tc>
        <w:tc>
          <w:tcPr>
            <w:tcW w:w="280" w:type="pct"/>
            <w:noWrap/>
            <w:hideMark/>
          </w:tcPr>
          <w:p w14:paraId="46FFAF3A"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CAT </w:t>
            </w:r>
          </w:p>
        </w:tc>
        <w:tc>
          <w:tcPr>
            <w:tcW w:w="559" w:type="pct"/>
            <w:noWrap/>
            <w:hideMark/>
          </w:tcPr>
          <w:p w14:paraId="59F21272"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138.46±0.02</w:t>
            </w:r>
            <w:r w:rsidRPr="004362EE">
              <w:rPr>
                <w:rFonts w:eastAsia="Times New Roman"/>
                <w:sz w:val="24"/>
                <w:szCs w:val="24"/>
                <w:vertAlign w:val="superscript"/>
              </w:rPr>
              <w:t>a</w:t>
            </w:r>
          </w:p>
        </w:tc>
        <w:tc>
          <w:tcPr>
            <w:tcW w:w="590" w:type="pct"/>
            <w:noWrap/>
            <w:hideMark/>
          </w:tcPr>
          <w:p w14:paraId="36BA791B"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157.24±4.80</w:t>
            </w:r>
            <w:r w:rsidRPr="004362EE">
              <w:rPr>
                <w:rFonts w:eastAsia="Times New Roman"/>
                <w:sz w:val="24"/>
                <w:szCs w:val="24"/>
                <w:vertAlign w:val="superscript"/>
              </w:rPr>
              <w:t>b</w:t>
            </w:r>
          </w:p>
        </w:tc>
        <w:tc>
          <w:tcPr>
            <w:tcW w:w="528" w:type="pct"/>
            <w:noWrap/>
            <w:hideMark/>
          </w:tcPr>
          <w:p w14:paraId="2AC4C48C"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165.82±0.96</w:t>
            </w:r>
            <w:r w:rsidRPr="004362EE">
              <w:rPr>
                <w:rFonts w:eastAsia="Times New Roman"/>
                <w:sz w:val="24"/>
                <w:szCs w:val="24"/>
                <w:vertAlign w:val="superscript"/>
              </w:rPr>
              <w:t>b</w:t>
            </w:r>
          </w:p>
        </w:tc>
        <w:tc>
          <w:tcPr>
            <w:tcW w:w="528" w:type="pct"/>
            <w:noWrap/>
            <w:hideMark/>
          </w:tcPr>
          <w:p w14:paraId="59B4EA20"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120.73±0.04</w:t>
            </w:r>
            <w:r w:rsidRPr="004362EE">
              <w:rPr>
                <w:rFonts w:eastAsia="Times New Roman"/>
                <w:sz w:val="24"/>
                <w:szCs w:val="24"/>
                <w:vertAlign w:val="superscript"/>
              </w:rPr>
              <w:t>c</w:t>
            </w:r>
          </w:p>
        </w:tc>
        <w:tc>
          <w:tcPr>
            <w:tcW w:w="591" w:type="pct"/>
            <w:noWrap/>
            <w:hideMark/>
          </w:tcPr>
          <w:p w14:paraId="0C86C178"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134.13±3.25</w:t>
            </w:r>
            <w:r w:rsidRPr="004362EE">
              <w:rPr>
                <w:rFonts w:eastAsia="Times New Roman"/>
                <w:sz w:val="24"/>
                <w:szCs w:val="24"/>
                <w:vertAlign w:val="superscript"/>
              </w:rPr>
              <w:t>a</w:t>
            </w:r>
          </w:p>
        </w:tc>
        <w:tc>
          <w:tcPr>
            <w:tcW w:w="620" w:type="pct"/>
            <w:noWrap/>
            <w:hideMark/>
          </w:tcPr>
          <w:p w14:paraId="28B8C507"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134.35±0.08</w:t>
            </w:r>
            <w:r w:rsidRPr="004362EE">
              <w:rPr>
                <w:rFonts w:eastAsia="Times New Roman"/>
                <w:sz w:val="24"/>
                <w:szCs w:val="24"/>
                <w:vertAlign w:val="superscript"/>
              </w:rPr>
              <w:t>a</w:t>
            </w:r>
          </w:p>
        </w:tc>
        <w:tc>
          <w:tcPr>
            <w:tcW w:w="371" w:type="pct"/>
          </w:tcPr>
          <w:p w14:paraId="536B6C5E" w14:textId="77777777" w:rsidR="004702A4" w:rsidRPr="004362EE" w:rsidRDefault="004702A4" w:rsidP="004702A4">
            <w:pPr>
              <w:spacing w:line="240" w:lineRule="auto"/>
              <w:jc w:val="both"/>
              <w:rPr>
                <w:rFonts w:eastAsia="Times New Roman"/>
                <w:sz w:val="24"/>
                <w:szCs w:val="24"/>
              </w:rPr>
            </w:pPr>
            <w:r w:rsidRPr="004362EE">
              <w:rPr>
                <w:sz w:val="24"/>
                <w:szCs w:val="24"/>
              </w:rPr>
              <w:t>48.122</w:t>
            </w:r>
          </w:p>
        </w:tc>
        <w:tc>
          <w:tcPr>
            <w:tcW w:w="342" w:type="pct"/>
            <w:noWrap/>
            <w:hideMark/>
          </w:tcPr>
          <w:p w14:paraId="5B292F48" w14:textId="62477C97" w:rsidR="004702A4" w:rsidRPr="004362EE" w:rsidRDefault="004702A4" w:rsidP="004702A4">
            <w:pPr>
              <w:spacing w:line="240" w:lineRule="auto"/>
              <w:jc w:val="both"/>
              <w:rPr>
                <w:rFonts w:eastAsia="Times New Roman"/>
                <w:sz w:val="24"/>
                <w:szCs w:val="24"/>
              </w:rPr>
            </w:pPr>
            <w:r w:rsidRPr="00E31F0E">
              <w:rPr>
                <w:rFonts w:eastAsia="Times New Roman"/>
                <w:sz w:val="24"/>
                <w:szCs w:val="24"/>
              </w:rPr>
              <w:t>&lt; 0.001</w:t>
            </w:r>
          </w:p>
        </w:tc>
      </w:tr>
      <w:tr w:rsidR="004702A4" w:rsidRPr="004362EE" w14:paraId="60852DDF" w14:textId="77777777" w:rsidTr="001D4C82">
        <w:trPr>
          <w:trHeight w:val="300"/>
        </w:trPr>
        <w:tc>
          <w:tcPr>
            <w:tcW w:w="591" w:type="pct"/>
            <w:noWrap/>
            <w:hideMark/>
          </w:tcPr>
          <w:p w14:paraId="057F12B6"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Stem</w:t>
            </w:r>
          </w:p>
        </w:tc>
        <w:tc>
          <w:tcPr>
            <w:tcW w:w="280" w:type="pct"/>
            <w:noWrap/>
            <w:hideMark/>
          </w:tcPr>
          <w:p w14:paraId="76FD8876"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MDA </w:t>
            </w:r>
          </w:p>
        </w:tc>
        <w:tc>
          <w:tcPr>
            <w:tcW w:w="559" w:type="pct"/>
            <w:noWrap/>
            <w:hideMark/>
          </w:tcPr>
          <w:p w14:paraId="7769077B"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26.30±0.01</w:t>
            </w:r>
            <w:r w:rsidRPr="004362EE">
              <w:rPr>
                <w:rFonts w:eastAsia="Times New Roman"/>
                <w:sz w:val="24"/>
                <w:szCs w:val="24"/>
                <w:vertAlign w:val="superscript"/>
              </w:rPr>
              <w:t>a</w:t>
            </w:r>
          </w:p>
        </w:tc>
        <w:tc>
          <w:tcPr>
            <w:tcW w:w="590" w:type="pct"/>
            <w:noWrap/>
            <w:hideMark/>
          </w:tcPr>
          <w:p w14:paraId="1350FA30"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32.07±6.34</w:t>
            </w:r>
            <w:r w:rsidRPr="004362EE">
              <w:rPr>
                <w:rFonts w:eastAsia="Times New Roman"/>
                <w:sz w:val="24"/>
                <w:szCs w:val="24"/>
                <w:vertAlign w:val="superscript"/>
              </w:rPr>
              <w:t>a</w:t>
            </w:r>
          </w:p>
        </w:tc>
        <w:tc>
          <w:tcPr>
            <w:tcW w:w="528" w:type="pct"/>
            <w:noWrap/>
            <w:hideMark/>
          </w:tcPr>
          <w:p w14:paraId="249ACAB2"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52.08±4.73</w:t>
            </w:r>
            <w:r w:rsidRPr="004362EE">
              <w:rPr>
                <w:rFonts w:eastAsia="Times New Roman"/>
                <w:sz w:val="24"/>
                <w:szCs w:val="24"/>
                <w:vertAlign w:val="superscript"/>
              </w:rPr>
              <w:t>b</w:t>
            </w:r>
          </w:p>
        </w:tc>
        <w:tc>
          <w:tcPr>
            <w:tcW w:w="528" w:type="pct"/>
            <w:noWrap/>
            <w:hideMark/>
          </w:tcPr>
          <w:p w14:paraId="615EDE89"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37.75±0.21</w:t>
            </w:r>
            <w:r w:rsidRPr="004362EE">
              <w:rPr>
                <w:rFonts w:eastAsia="Times New Roman"/>
                <w:sz w:val="24"/>
                <w:szCs w:val="24"/>
                <w:vertAlign w:val="superscript"/>
              </w:rPr>
              <w:t>a</w:t>
            </w:r>
          </w:p>
        </w:tc>
        <w:tc>
          <w:tcPr>
            <w:tcW w:w="591" w:type="pct"/>
            <w:noWrap/>
            <w:hideMark/>
          </w:tcPr>
          <w:p w14:paraId="0F8C1FBD"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34.05±1.09</w:t>
            </w:r>
            <w:r w:rsidRPr="004362EE">
              <w:rPr>
                <w:rFonts w:eastAsia="Times New Roman"/>
                <w:sz w:val="24"/>
                <w:szCs w:val="24"/>
                <w:vertAlign w:val="superscript"/>
              </w:rPr>
              <w:t>a</w:t>
            </w:r>
          </w:p>
        </w:tc>
        <w:tc>
          <w:tcPr>
            <w:tcW w:w="620" w:type="pct"/>
            <w:noWrap/>
            <w:hideMark/>
          </w:tcPr>
          <w:p w14:paraId="0DAA53B4"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38.38±0.01</w:t>
            </w:r>
            <w:r w:rsidRPr="004362EE">
              <w:rPr>
                <w:rFonts w:eastAsia="Times New Roman"/>
                <w:sz w:val="24"/>
                <w:szCs w:val="24"/>
                <w:vertAlign w:val="superscript"/>
              </w:rPr>
              <w:t>ab</w:t>
            </w:r>
          </w:p>
        </w:tc>
        <w:tc>
          <w:tcPr>
            <w:tcW w:w="371" w:type="pct"/>
          </w:tcPr>
          <w:p w14:paraId="5A59E327" w14:textId="77777777" w:rsidR="004702A4" w:rsidRPr="004362EE" w:rsidRDefault="004702A4" w:rsidP="004702A4">
            <w:pPr>
              <w:spacing w:line="240" w:lineRule="auto"/>
              <w:jc w:val="both"/>
              <w:rPr>
                <w:rFonts w:eastAsia="Times New Roman"/>
                <w:sz w:val="24"/>
                <w:szCs w:val="24"/>
              </w:rPr>
            </w:pPr>
            <w:r w:rsidRPr="004362EE">
              <w:rPr>
                <w:sz w:val="24"/>
                <w:szCs w:val="24"/>
              </w:rPr>
              <w:t>77.759</w:t>
            </w:r>
          </w:p>
        </w:tc>
        <w:tc>
          <w:tcPr>
            <w:tcW w:w="342" w:type="pct"/>
            <w:noWrap/>
            <w:hideMark/>
          </w:tcPr>
          <w:p w14:paraId="456C22F0" w14:textId="342E7A29" w:rsidR="004702A4" w:rsidRPr="004362EE" w:rsidRDefault="004702A4" w:rsidP="004702A4">
            <w:pPr>
              <w:spacing w:line="240" w:lineRule="auto"/>
              <w:jc w:val="both"/>
              <w:rPr>
                <w:rFonts w:eastAsia="Times New Roman"/>
                <w:sz w:val="24"/>
                <w:szCs w:val="24"/>
              </w:rPr>
            </w:pPr>
            <w:r w:rsidRPr="00E31F0E">
              <w:rPr>
                <w:rFonts w:eastAsia="Times New Roman"/>
                <w:sz w:val="24"/>
                <w:szCs w:val="24"/>
              </w:rPr>
              <w:t>&lt; 0.001</w:t>
            </w:r>
          </w:p>
        </w:tc>
      </w:tr>
      <w:tr w:rsidR="004702A4" w:rsidRPr="004362EE" w14:paraId="56CA94A6" w14:textId="77777777" w:rsidTr="001D4C82">
        <w:trPr>
          <w:trHeight w:val="300"/>
        </w:trPr>
        <w:tc>
          <w:tcPr>
            <w:tcW w:w="591" w:type="pct"/>
            <w:noWrap/>
            <w:hideMark/>
          </w:tcPr>
          <w:p w14:paraId="703DB84C"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w:t>
            </w:r>
          </w:p>
        </w:tc>
        <w:tc>
          <w:tcPr>
            <w:tcW w:w="280" w:type="pct"/>
            <w:noWrap/>
            <w:hideMark/>
          </w:tcPr>
          <w:p w14:paraId="0AD43838"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SOD </w:t>
            </w:r>
          </w:p>
        </w:tc>
        <w:tc>
          <w:tcPr>
            <w:tcW w:w="559" w:type="pct"/>
            <w:noWrap/>
            <w:hideMark/>
          </w:tcPr>
          <w:p w14:paraId="0A7D7285"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9.38±0.01</w:t>
            </w:r>
            <w:r w:rsidRPr="004362EE">
              <w:rPr>
                <w:rFonts w:eastAsia="Times New Roman"/>
                <w:sz w:val="24"/>
                <w:szCs w:val="24"/>
                <w:vertAlign w:val="superscript"/>
              </w:rPr>
              <w:t>a</w:t>
            </w:r>
          </w:p>
        </w:tc>
        <w:tc>
          <w:tcPr>
            <w:tcW w:w="590" w:type="pct"/>
            <w:noWrap/>
            <w:hideMark/>
          </w:tcPr>
          <w:p w14:paraId="099F184F"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8.45±0.80</w:t>
            </w:r>
            <w:r w:rsidRPr="004362EE">
              <w:rPr>
                <w:rFonts w:eastAsia="Times New Roman"/>
                <w:sz w:val="24"/>
                <w:szCs w:val="24"/>
                <w:vertAlign w:val="superscript"/>
              </w:rPr>
              <w:t>ab</w:t>
            </w:r>
          </w:p>
        </w:tc>
        <w:tc>
          <w:tcPr>
            <w:tcW w:w="528" w:type="pct"/>
            <w:noWrap/>
            <w:hideMark/>
          </w:tcPr>
          <w:p w14:paraId="377446D2"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5.94±0.69</w:t>
            </w:r>
            <w:r w:rsidRPr="004362EE">
              <w:rPr>
                <w:rFonts w:eastAsia="Times New Roman"/>
                <w:sz w:val="24"/>
                <w:szCs w:val="24"/>
                <w:vertAlign w:val="superscript"/>
              </w:rPr>
              <w:t>bc</w:t>
            </w:r>
          </w:p>
        </w:tc>
        <w:tc>
          <w:tcPr>
            <w:tcW w:w="528" w:type="pct"/>
            <w:noWrap/>
            <w:hideMark/>
          </w:tcPr>
          <w:p w14:paraId="02CDC201"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7.03±0.77</w:t>
            </w:r>
            <w:r w:rsidRPr="004362EE">
              <w:rPr>
                <w:rFonts w:eastAsia="Times New Roman"/>
                <w:sz w:val="24"/>
                <w:szCs w:val="24"/>
                <w:vertAlign w:val="superscript"/>
              </w:rPr>
              <w:t>abc</w:t>
            </w:r>
          </w:p>
        </w:tc>
        <w:tc>
          <w:tcPr>
            <w:tcW w:w="591" w:type="pct"/>
            <w:noWrap/>
            <w:hideMark/>
          </w:tcPr>
          <w:p w14:paraId="2A98606E"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7.98±0.68</w:t>
            </w:r>
            <w:r w:rsidRPr="004362EE">
              <w:rPr>
                <w:rFonts w:eastAsia="Times New Roman"/>
                <w:sz w:val="24"/>
                <w:szCs w:val="24"/>
                <w:vertAlign w:val="superscript"/>
              </w:rPr>
              <w:t>ab</w:t>
            </w:r>
          </w:p>
        </w:tc>
        <w:tc>
          <w:tcPr>
            <w:tcW w:w="620" w:type="pct"/>
            <w:noWrap/>
            <w:hideMark/>
          </w:tcPr>
          <w:p w14:paraId="32B81B0E"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5.27±0.01</w:t>
            </w:r>
            <w:r w:rsidRPr="004362EE">
              <w:rPr>
                <w:rFonts w:eastAsia="Times New Roman"/>
                <w:sz w:val="24"/>
                <w:szCs w:val="24"/>
                <w:vertAlign w:val="superscript"/>
              </w:rPr>
              <w:t>c</w:t>
            </w:r>
          </w:p>
        </w:tc>
        <w:tc>
          <w:tcPr>
            <w:tcW w:w="371" w:type="pct"/>
          </w:tcPr>
          <w:p w14:paraId="5BF2B051" w14:textId="77777777" w:rsidR="004702A4" w:rsidRPr="004362EE" w:rsidRDefault="004702A4" w:rsidP="004702A4">
            <w:pPr>
              <w:spacing w:line="240" w:lineRule="auto"/>
              <w:jc w:val="both"/>
              <w:rPr>
                <w:rFonts w:eastAsia="Times New Roman"/>
                <w:sz w:val="24"/>
                <w:szCs w:val="24"/>
              </w:rPr>
            </w:pPr>
            <w:r w:rsidRPr="004362EE">
              <w:rPr>
                <w:sz w:val="24"/>
                <w:szCs w:val="24"/>
              </w:rPr>
              <w:t>94.042</w:t>
            </w:r>
          </w:p>
        </w:tc>
        <w:tc>
          <w:tcPr>
            <w:tcW w:w="342" w:type="pct"/>
            <w:noWrap/>
            <w:hideMark/>
          </w:tcPr>
          <w:p w14:paraId="0862F12A" w14:textId="0D5F3B7F" w:rsidR="004702A4" w:rsidRPr="004362EE" w:rsidRDefault="004702A4" w:rsidP="004702A4">
            <w:pPr>
              <w:spacing w:line="240" w:lineRule="auto"/>
              <w:jc w:val="both"/>
              <w:rPr>
                <w:rFonts w:eastAsia="Times New Roman"/>
                <w:sz w:val="24"/>
                <w:szCs w:val="24"/>
              </w:rPr>
            </w:pPr>
            <w:r w:rsidRPr="00E31F0E">
              <w:rPr>
                <w:rFonts w:eastAsia="Times New Roman"/>
                <w:sz w:val="24"/>
                <w:szCs w:val="24"/>
              </w:rPr>
              <w:t>&lt; 0.001</w:t>
            </w:r>
          </w:p>
        </w:tc>
      </w:tr>
      <w:tr w:rsidR="00705062" w:rsidRPr="004362EE" w14:paraId="261AC648" w14:textId="77777777" w:rsidTr="001D4C82">
        <w:trPr>
          <w:trHeight w:val="300"/>
        </w:trPr>
        <w:tc>
          <w:tcPr>
            <w:tcW w:w="591" w:type="pct"/>
            <w:noWrap/>
            <w:hideMark/>
          </w:tcPr>
          <w:p w14:paraId="34B58D9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280" w:type="pct"/>
            <w:noWrap/>
            <w:hideMark/>
          </w:tcPr>
          <w:p w14:paraId="3405487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CAT </w:t>
            </w:r>
          </w:p>
        </w:tc>
        <w:tc>
          <w:tcPr>
            <w:tcW w:w="559" w:type="pct"/>
            <w:noWrap/>
            <w:hideMark/>
          </w:tcPr>
          <w:p w14:paraId="49BA1E6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138.46±0.02</w:t>
            </w:r>
            <w:r w:rsidRPr="004362EE">
              <w:rPr>
                <w:rFonts w:eastAsia="Times New Roman"/>
                <w:sz w:val="24"/>
                <w:szCs w:val="24"/>
                <w:vertAlign w:val="superscript"/>
              </w:rPr>
              <w:t>ab</w:t>
            </w:r>
          </w:p>
        </w:tc>
        <w:tc>
          <w:tcPr>
            <w:tcW w:w="590" w:type="pct"/>
            <w:noWrap/>
            <w:hideMark/>
          </w:tcPr>
          <w:p w14:paraId="042D241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150.60±10.96</w:t>
            </w:r>
            <w:r w:rsidRPr="004362EE">
              <w:rPr>
                <w:rFonts w:eastAsia="Times New Roman"/>
                <w:sz w:val="24"/>
                <w:szCs w:val="24"/>
                <w:vertAlign w:val="superscript"/>
              </w:rPr>
              <w:t>a</w:t>
            </w:r>
          </w:p>
        </w:tc>
        <w:tc>
          <w:tcPr>
            <w:tcW w:w="528" w:type="pct"/>
            <w:noWrap/>
            <w:hideMark/>
          </w:tcPr>
          <w:p w14:paraId="52CE7BE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118.91±4.67</w:t>
            </w:r>
            <w:r w:rsidRPr="004362EE">
              <w:rPr>
                <w:rFonts w:eastAsia="Times New Roman"/>
                <w:sz w:val="24"/>
                <w:szCs w:val="24"/>
                <w:vertAlign w:val="superscript"/>
              </w:rPr>
              <w:t>b</w:t>
            </w:r>
          </w:p>
        </w:tc>
        <w:tc>
          <w:tcPr>
            <w:tcW w:w="528" w:type="pct"/>
            <w:noWrap/>
            <w:hideMark/>
          </w:tcPr>
          <w:p w14:paraId="5674BFFC"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119.66±0.49</w:t>
            </w:r>
            <w:r w:rsidRPr="004362EE">
              <w:rPr>
                <w:rFonts w:eastAsia="Times New Roman"/>
                <w:sz w:val="24"/>
                <w:szCs w:val="24"/>
                <w:vertAlign w:val="superscript"/>
              </w:rPr>
              <w:t>b</w:t>
            </w:r>
          </w:p>
        </w:tc>
        <w:tc>
          <w:tcPr>
            <w:tcW w:w="591" w:type="pct"/>
            <w:noWrap/>
            <w:hideMark/>
          </w:tcPr>
          <w:p w14:paraId="57F609A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134.13±3.25</w:t>
            </w:r>
            <w:r w:rsidRPr="004362EE">
              <w:rPr>
                <w:rFonts w:eastAsia="Times New Roman"/>
                <w:sz w:val="24"/>
                <w:szCs w:val="24"/>
                <w:vertAlign w:val="superscript"/>
              </w:rPr>
              <w:t>ab</w:t>
            </w:r>
          </w:p>
        </w:tc>
        <w:tc>
          <w:tcPr>
            <w:tcW w:w="620" w:type="pct"/>
            <w:noWrap/>
            <w:hideMark/>
          </w:tcPr>
          <w:p w14:paraId="14DE179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121.12±0.01</w:t>
            </w:r>
            <w:r w:rsidRPr="004362EE">
              <w:rPr>
                <w:rFonts w:eastAsia="Times New Roman"/>
                <w:sz w:val="24"/>
                <w:szCs w:val="24"/>
                <w:vertAlign w:val="superscript"/>
              </w:rPr>
              <w:t>b</w:t>
            </w:r>
          </w:p>
        </w:tc>
        <w:tc>
          <w:tcPr>
            <w:tcW w:w="371" w:type="pct"/>
          </w:tcPr>
          <w:p w14:paraId="273C3C0C" w14:textId="77777777" w:rsidR="00705062" w:rsidRPr="004362EE" w:rsidRDefault="00705062" w:rsidP="00E83AEC">
            <w:pPr>
              <w:spacing w:line="240" w:lineRule="auto"/>
              <w:jc w:val="both"/>
              <w:rPr>
                <w:rFonts w:eastAsia="Times New Roman"/>
                <w:sz w:val="24"/>
                <w:szCs w:val="24"/>
              </w:rPr>
            </w:pPr>
            <w:r w:rsidRPr="004362EE">
              <w:rPr>
                <w:sz w:val="24"/>
                <w:szCs w:val="24"/>
              </w:rPr>
              <w:t>55.253</w:t>
            </w:r>
          </w:p>
        </w:tc>
        <w:tc>
          <w:tcPr>
            <w:tcW w:w="342" w:type="pct"/>
            <w:noWrap/>
            <w:hideMark/>
          </w:tcPr>
          <w:p w14:paraId="4CD86EA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0.001</w:t>
            </w:r>
          </w:p>
        </w:tc>
      </w:tr>
      <w:tr w:rsidR="00705062" w:rsidRPr="004362EE" w14:paraId="2E600767" w14:textId="77777777" w:rsidTr="001D4C82">
        <w:trPr>
          <w:trHeight w:val="300"/>
        </w:trPr>
        <w:tc>
          <w:tcPr>
            <w:tcW w:w="591" w:type="pct"/>
            <w:noWrap/>
            <w:hideMark/>
          </w:tcPr>
          <w:p w14:paraId="6C356D0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Root</w:t>
            </w:r>
          </w:p>
        </w:tc>
        <w:tc>
          <w:tcPr>
            <w:tcW w:w="280" w:type="pct"/>
            <w:noWrap/>
            <w:hideMark/>
          </w:tcPr>
          <w:p w14:paraId="58A5951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MDA </w:t>
            </w:r>
          </w:p>
        </w:tc>
        <w:tc>
          <w:tcPr>
            <w:tcW w:w="559" w:type="pct"/>
            <w:noWrap/>
            <w:hideMark/>
          </w:tcPr>
          <w:p w14:paraId="6354851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26.30±0.01</w:t>
            </w:r>
            <w:r w:rsidRPr="004362EE">
              <w:rPr>
                <w:rFonts w:eastAsia="Times New Roman"/>
                <w:sz w:val="24"/>
                <w:szCs w:val="24"/>
                <w:vertAlign w:val="superscript"/>
              </w:rPr>
              <w:t>a</w:t>
            </w:r>
          </w:p>
        </w:tc>
        <w:tc>
          <w:tcPr>
            <w:tcW w:w="590" w:type="pct"/>
            <w:noWrap/>
            <w:hideMark/>
          </w:tcPr>
          <w:p w14:paraId="3C81B97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37.43±0.01</w:t>
            </w:r>
            <w:r w:rsidRPr="004362EE">
              <w:rPr>
                <w:rFonts w:eastAsia="Times New Roman"/>
                <w:sz w:val="24"/>
                <w:szCs w:val="24"/>
                <w:vertAlign w:val="superscript"/>
              </w:rPr>
              <w:t>b</w:t>
            </w:r>
          </w:p>
        </w:tc>
        <w:tc>
          <w:tcPr>
            <w:tcW w:w="528" w:type="pct"/>
            <w:noWrap/>
            <w:hideMark/>
          </w:tcPr>
          <w:p w14:paraId="57B5C1D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37.34±0.05</w:t>
            </w:r>
            <w:r w:rsidRPr="004362EE">
              <w:rPr>
                <w:rFonts w:eastAsia="Times New Roman"/>
                <w:sz w:val="24"/>
                <w:szCs w:val="24"/>
                <w:vertAlign w:val="superscript"/>
              </w:rPr>
              <w:t>b</w:t>
            </w:r>
          </w:p>
        </w:tc>
        <w:tc>
          <w:tcPr>
            <w:tcW w:w="528" w:type="pct"/>
            <w:noWrap/>
            <w:hideMark/>
          </w:tcPr>
          <w:p w14:paraId="72DAD96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37.30±0.02</w:t>
            </w:r>
            <w:r w:rsidRPr="004362EE">
              <w:rPr>
                <w:rFonts w:eastAsia="Times New Roman"/>
                <w:sz w:val="24"/>
                <w:szCs w:val="24"/>
                <w:vertAlign w:val="superscript"/>
              </w:rPr>
              <w:t>b</w:t>
            </w:r>
          </w:p>
        </w:tc>
        <w:tc>
          <w:tcPr>
            <w:tcW w:w="591" w:type="pct"/>
            <w:noWrap/>
            <w:hideMark/>
          </w:tcPr>
          <w:p w14:paraId="50D3455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34.05±1.09</w:t>
            </w:r>
            <w:r w:rsidRPr="004362EE">
              <w:rPr>
                <w:rFonts w:eastAsia="Times New Roman"/>
                <w:sz w:val="24"/>
                <w:szCs w:val="24"/>
                <w:vertAlign w:val="superscript"/>
              </w:rPr>
              <w:t>c</w:t>
            </w:r>
          </w:p>
        </w:tc>
        <w:tc>
          <w:tcPr>
            <w:tcW w:w="620" w:type="pct"/>
            <w:noWrap/>
            <w:hideMark/>
          </w:tcPr>
          <w:p w14:paraId="5419183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37.36±0.03</w:t>
            </w:r>
            <w:r w:rsidRPr="004362EE">
              <w:rPr>
                <w:rFonts w:eastAsia="Times New Roman"/>
                <w:sz w:val="24"/>
                <w:szCs w:val="24"/>
                <w:vertAlign w:val="superscript"/>
              </w:rPr>
              <w:t>b</w:t>
            </w:r>
          </w:p>
        </w:tc>
        <w:tc>
          <w:tcPr>
            <w:tcW w:w="371" w:type="pct"/>
          </w:tcPr>
          <w:p w14:paraId="61C2D37D" w14:textId="77777777" w:rsidR="00705062" w:rsidRPr="004362EE" w:rsidRDefault="00705062" w:rsidP="00E83AEC">
            <w:pPr>
              <w:spacing w:line="240" w:lineRule="auto"/>
              <w:jc w:val="both"/>
              <w:rPr>
                <w:rFonts w:eastAsia="Times New Roman"/>
                <w:sz w:val="24"/>
                <w:szCs w:val="24"/>
              </w:rPr>
            </w:pPr>
            <w:r w:rsidRPr="004362EE">
              <w:rPr>
                <w:sz w:val="24"/>
                <w:szCs w:val="24"/>
              </w:rPr>
              <w:t>102.340</w:t>
            </w:r>
          </w:p>
        </w:tc>
        <w:tc>
          <w:tcPr>
            <w:tcW w:w="342" w:type="pct"/>
            <w:noWrap/>
            <w:hideMark/>
          </w:tcPr>
          <w:p w14:paraId="0A3856A1" w14:textId="78726476" w:rsidR="00705062" w:rsidRPr="004362EE" w:rsidRDefault="004702A4" w:rsidP="00E83AEC">
            <w:pPr>
              <w:spacing w:line="240" w:lineRule="auto"/>
              <w:jc w:val="both"/>
              <w:rPr>
                <w:rFonts w:eastAsia="Times New Roman"/>
                <w:sz w:val="24"/>
                <w:szCs w:val="24"/>
              </w:rPr>
            </w:pPr>
            <w:r w:rsidRPr="004702A4">
              <w:rPr>
                <w:rFonts w:eastAsia="Times New Roman"/>
                <w:sz w:val="24"/>
                <w:szCs w:val="24"/>
              </w:rPr>
              <w:t>&lt; 0.001</w:t>
            </w:r>
          </w:p>
        </w:tc>
      </w:tr>
      <w:tr w:rsidR="00705062" w:rsidRPr="004362EE" w14:paraId="17702E7D" w14:textId="77777777" w:rsidTr="001D4C82">
        <w:trPr>
          <w:trHeight w:val="300"/>
        </w:trPr>
        <w:tc>
          <w:tcPr>
            <w:tcW w:w="591" w:type="pct"/>
            <w:noWrap/>
            <w:hideMark/>
          </w:tcPr>
          <w:p w14:paraId="3508B4A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280" w:type="pct"/>
            <w:noWrap/>
            <w:hideMark/>
          </w:tcPr>
          <w:p w14:paraId="2A06B03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SOD </w:t>
            </w:r>
          </w:p>
        </w:tc>
        <w:tc>
          <w:tcPr>
            <w:tcW w:w="559" w:type="pct"/>
            <w:noWrap/>
            <w:hideMark/>
          </w:tcPr>
          <w:p w14:paraId="5DA360D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9.38±0.01</w:t>
            </w:r>
            <w:r w:rsidRPr="004362EE">
              <w:rPr>
                <w:rFonts w:eastAsia="Times New Roman"/>
                <w:sz w:val="24"/>
                <w:szCs w:val="24"/>
                <w:vertAlign w:val="superscript"/>
              </w:rPr>
              <w:t>a</w:t>
            </w:r>
          </w:p>
        </w:tc>
        <w:tc>
          <w:tcPr>
            <w:tcW w:w="590" w:type="pct"/>
            <w:noWrap/>
            <w:hideMark/>
          </w:tcPr>
          <w:p w14:paraId="5FC6BB5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8.45±0.02</w:t>
            </w:r>
            <w:r w:rsidRPr="004362EE">
              <w:rPr>
                <w:rFonts w:eastAsia="Times New Roman"/>
                <w:sz w:val="24"/>
                <w:szCs w:val="24"/>
                <w:vertAlign w:val="superscript"/>
              </w:rPr>
              <w:t>ab</w:t>
            </w:r>
          </w:p>
        </w:tc>
        <w:tc>
          <w:tcPr>
            <w:tcW w:w="528" w:type="pct"/>
            <w:noWrap/>
            <w:hideMark/>
          </w:tcPr>
          <w:p w14:paraId="660D20D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8.38±0.07</w:t>
            </w:r>
            <w:r w:rsidRPr="004362EE">
              <w:rPr>
                <w:rFonts w:eastAsia="Times New Roman"/>
                <w:sz w:val="24"/>
                <w:szCs w:val="24"/>
                <w:vertAlign w:val="superscript"/>
              </w:rPr>
              <w:t>ab</w:t>
            </w:r>
          </w:p>
        </w:tc>
        <w:tc>
          <w:tcPr>
            <w:tcW w:w="528" w:type="pct"/>
            <w:noWrap/>
            <w:hideMark/>
          </w:tcPr>
          <w:p w14:paraId="20B2A39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8.29±0.02</w:t>
            </w:r>
            <w:r w:rsidRPr="004362EE">
              <w:rPr>
                <w:rFonts w:eastAsia="Times New Roman"/>
                <w:sz w:val="24"/>
                <w:szCs w:val="24"/>
                <w:vertAlign w:val="superscript"/>
              </w:rPr>
              <w:t>ab</w:t>
            </w:r>
          </w:p>
        </w:tc>
        <w:tc>
          <w:tcPr>
            <w:tcW w:w="591" w:type="pct"/>
            <w:noWrap/>
            <w:hideMark/>
          </w:tcPr>
          <w:p w14:paraId="003AA18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7.98±0.68</w:t>
            </w:r>
            <w:r w:rsidRPr="004362EE">
              <w:rPr>
                <w:rFonts w:eastAsia="Times New Roman"/>
                <w:sz w:val="24"/>
                <w:szCs w:val="24"/>
                <w:vertAlign w:val="superscript"/>
              </w:rPr>
              <w:t>b</w:t>
            </w:r>
          </w:p>
        </w:tc>
        <w:tc>
          <w:tcPr>
            <w:tcW w:w="620" w:type="pct"/>
            <w:noWrap/>
            <w:hideMark/>
          </w:tcPr>
          <w:p w14:paraId="6452E74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8.27±0.02</w:t>
            </w:r>
            <w:r w:rsidRPr="004362EE">
              <w:rPr>
                <w:rFonts w:eastAsia="Times New Roman"/>
                <w:sz w:val="24"/>
                <w:szCs w:val="24"/>
                <w:vertAlign w:val="superscript"/>
              </w:rPr>
              <w:t>ab</w:t>
            </w:r>
          </w:p>
        </w:tc>
        <w:tc>
          <w:tcPr>
            <w:tcW w:w="371" w:type="pct"/>
          </w:tcPr>
          <w:p w14:paraId="5B7F2340" w14:textId="77777777" w:rsidR="00705062" w:rsidRPr="004362EE" w:rsidRDefault="00705062" w:rsidP="00E83AEC">
            <w:pPr>
              <w:spacing w:line="240" w:lineRule="auto"/>
              <w:jc w:val="both"/>
              <w:rPr>
                <w:rFonts w:eastAsia="Times New Roman"/>
                <w:sz w:val="24"/>
                <w:szCs w:val="24"/>
              </w:rPr>
            </w:pPr>
            <w:r w:rsidRPr="004362EE">
              <w:rPr>
                <w:sz w:val="24"/>
                <w:szCs w:val="24"/>
              </w:rPr>
              <w:t>64.640</w:t>
            </w:r>
          </w:p>
        </w:tc>
        <w:tc>
          <w:tcPr>
            <w:tcW w:w="342" w:type="pct"/>
            <w:noWrap/>
            <w:hideMark/>
          </w:tcPr>
          <w:p w14:paraId="377826A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0.045</w:t>
            </w:r>
          </w:p>
        </w:tc>
      </w:tr>
      <w:tr w:rsidR="00705062" w:rsidRPr="004362EE" w14:paraId="6568DC30" w14:textId="77777777" w:rsidTr="001D4C82">
        <w:trPr>
          <w:trHeight w:val="300"/>
        </w:trPr>
        <w:tc>
          <w:tcPr>
            <w:tcW w:w="591" w:type="pct"/>
            <w:tcBorders>
              <w:bottom w:val="single" w:sz="4" w:space="0" w:color="auto"/>
            </w:tcBorders>
            <w:noWrap/>
            <w:hideMark/>
          </w:tcPr>
          <w:p w14:paraId="45B4260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280" w:type="pct"/>
            <w:tcBorders>
              <w:bottom w:val="single" w:sz="4" w:space="0" w:color="auto"/>
            </w:tcBorders>
            <w:noWrap/>
            <w:hideMark/>
          </w:tcPr>
          <w:p w14:paraId="2B23083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CAT </w:t>
            </w:r>
          </w:p>
        </w:tc>
        <w:tc>
          <w:tcPr>
            <w:tcW w:w="559" w:type="pct"/>
            <w:tcBorders>
              <w:bottom w:val="single" w:sz="4" w:space="0" w:color="auto"/>
            </w:tcBorders>
            <w:noWrap/>
            <w:hideMark/>
          </w:tcPr>
          <w:p w14:paraId="79FE4E76"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138.46±0.02</w:t>
            </w:r>
            <w:r w:rsidRPr="004362EE">
              <w:rPr>
                <w:rFonts w:eastAsia="Times New Roman"/>
                <w:sz w:val="24"/>
                <w:szCs w:val="24"/>
                <w:vertAlign w:val="superscript"/>
              </w:rPr>
              <w:t>a</w:t>
            </w:r>
          </w:p>
        </w:tc>
        <w:tc>
          <w:tcPr>
            <w:tcW w:w="590" w:type="pct"/>
            <w:tcBorders>
              <w:bottom w:val="single" w:sz="4" w:space="0" w:color="auto"/>
            </w:tcBorders>
            <w:noWrap/>
            <w:hideMark/>
          </w:tcPr>
          <w:p w14:paraId="2C14FF1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120.37±0.02</w:t>
            </w:r>
            <w:r w:rsidRPr="004362EE">
              <w:rPr>
                <w:rFonts w:eastAsia="Times New Roman"/>
                <w:sz w:val="24"/>
                <w:szCs w:val="24"/>
                <w:vertAlign w:val="superscript"/>
              </w:rPr>
              <w:t>b</w:t>
            </w:r>
          </w:p>
        </w:tc>
        <w:tc>
          <w:tcPr>
            <w:tcW w:w="528" w:type="pct"/>
            <w:tcBorders>
              <w:bottom w:val="single" w:sz="4" w:space="0" w:color="auto"/>
            </w:tcBorders>
            <w:noWrap/>
            <w:hideMark/>
          </w:tcPr>
          <w:p w14:paraId="3C8A5FA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120.24±0.09</w:t>
            </w:r>
            <w:r w:rsidRPr="004362EE">
              <w:rPr>
                <w:rFonts w:eastAsia="Times New Roman"/>
                <w:sz w:val="24"/>
                <w:szCs w:val="24"/>
                <w:vertAlign w:val="superscript"/>
              </w:rPr>
              <w:t>b</w:t>
            </w:r>
          </w:p>
        </w:tc>
        <w:tc>
          <w:tcPr>
            <w:tcW w:w="528" w:type="pct"/>
            <w:tcBorders>
              <w:bottom w:val="single" w:sz="4" w:space="0" w:color="auto"/>
            </w:tcBorders>
            <w:noWrap/>
            <w:hideMark/>
          </w:tcPr>
          <w:p w14:paraId="23839AA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120.16±0.01</w:t>
            </w:r>
            <w:r w:rsidRPr="004362EE">
              <w:rPr>
                <w:rFonts w:eastAsia="Times New Roman"/>
                <w:sz w:val="24"/>
                <w:szCs w:val="24"/>
                <w:vertAlign w:val="superscript"/>
              </w:rPr>
              <w:t>b</w:t>
            </w:r>
          </w:p>
        </w:tc>
        <w:tc>
          <w:tcPr>
            <w:tcW w:w="591" w:type="pct"/>
            <w:tcBorders>
              <w:bottom w:val="single" w:sz="4" w:space="0" w:color="auto"/>
            </w:tcBorders>
            <w:noWrap/>
            <w:hideMark/>
          </w:tcPr>
          <w:p w14:paraId="0ACFBEA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134.13±3.25</w:t>
            </w:r>
            <w:r w:rsidRPr="004362EE">
              <w:rPr>
                <w:rFonts w:eastAsia="Times New Roman"/>
                <w:sz w:val="24"/>
                <w:szCs w:val="24"/>
                <w:vertAlign w:val="superscript"/>
              </w:rPr>
              <w:t>a</w:t>
            </w:r>
          </w:p>
        </w:tc>
        <w:tc>
          <w:tcPr>
            <w:tcW w:w="620" w:type="pct"/>
            <w:tcBorders>
              <w:bottom w:val="single" w:sz="4" w:space="0" w:color="auto"/>
            </w:tcBorders>
            <w:noWrap/>
            <w:hideMark/>
          </w:tcPr>
          <w:p w14:paraId="5ED0B31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119.63±0.33</w:t>
            </w:r>
            <w:r w:rsidRPr="004362EE">
              <w:rPr>
                <w:rFonts w:eastAsia="Times New Roman"/>
                <w:sz w:val="24"/>
                <w:szCs w:val="24"/>
                <w:vertAlign w:val="superscript"/>
              </w:rPr>
              <w:t>b</w:t>
            </w:r>
          </w:p>
        </w:tc>
        <w:tc>
          <w:tcPr>
            <w:tcW w:w="371" w:type="pct"/>
            <w:tcBorders>
              <w:bottom w:val="single" w:sz="4" w:space="0" w:color="auto"/>
            </w:tcBorders>
          </w:tcPr>
          <w:p w14:paraId="0772CD87" w14:textId="77777777" w:rsidR="00705062" w:rsidRPr="004362EE" w:rsidRDefault="00705062" w:rsidP="00E83AEC">
            <w:pPr>
              <w:spacing w:line="240" w:lineRule="auto"/>
              <w:jc w:val="both"/>
              <w:rPr>
                <w:rFonts w:eastAsia="Times New Roman"/>
                <w:sz w:val="24"/>
                <w:szCs w:val="24"/>
              </w:rPr>
            </w:pPr>
            <w:r w:rsidRPr="004362EE">
              <w:rPr>
                <w:sz w:val="24"/>
                <w:szCs w:val="24"/>
              </w:rPr>
              <w:t>52.339</w:t>
            </w:r>
          </w:p>
        </w:tc>
        <w:tc>
          <w:tcPr>
            <w:tcW w:w="342" w:type="pct"/>
            <w:tcBorders>
              <w:bottom w:val="single" w:sz="4" w:space="0" w:color="auto"/>
            </w:tcBorders>
            <w:noWrap/>
            <w:hideMark/>
          </w:tcPr>
          <w:p w14:paraId="5A435D8D" w14:textId="7DA227A3" w:rsidR="00705062" w:rsidRPr="004362EE" w:rsidRDefault="004702A4" w:rsidP="00E83AEC">
            <w:pPr>
              <w:spacing w:line="240" w:lineRule="auto"/>
              <w:jc w:val="both"/>
              <w:rPr>
                <w:rFonts w:eastAsia="Times New Roman"/>
                <w:sz w:val="24"/>
                <w:szCs w:val="24"/>
              </w:rPr>
            </w:pPr>
            <w:r w:rsidRPr="004702A4">
              <w:rPr>
                <w:rFonts w:eastAsia="Times New Roman"/>
                <w:sz w:val="24"/>
                <w:szCs w:val="24"/>
              </w:rPr>
              <w:t>&lt; 0.001</w:t>
            </w:r>
          </w:p>
        </w:tc>
      </w:tr>
    </w:tbl>
    <w:bookmarkEnd w:id="10"/>
    <w:p w14:paraId="176F2D9B" w14:textId="77777777" w:rsidR="004702A4" w:rsidRDefault="004702A4" w:rsidP="004702A4">
      <w:pPr>
        <w:spacing w:after="0" w:line="240" w:lineRule="auto"/>
        <w:jc w:val="both"/>
        <w:rPr>
          <w:rFonts w:ascii="Times New Roman" w:hAnsi="Times New Roman" w:cs="Times New Roman"/>
          <w:bCs/>
          <w:i/>
          <w:sz w:val="24"/>
          <w:szCs w:val="24"/>
        </w:rPr>
      </w:pPr>
      <w:r w:rsidRPr="004702A4">
        <w:rPr>
          <w:rFonts w:ascii="Times New Roman" w:hAnsi="Times New Roman" w:cs="Times New Roman"/>
          <w:bCs/>
          <w:i/>
          <w:sz w:val="24"/>
          <w:szCs w:val="24"/>
        </w:rPr>
        <w:t>Values are mean ± SEM. Within a row, means sharing at least one superscript letter are not significantly different, whereas means with no letters in common differ significantly (one-way ANOVA followed by Tukey’s post-hoc test, p &lt; 0.05).</w:t>
      </w:r>
    </w:p>
    <w:p w14:paraId="37D64792" w14:textId="77777777" w:rsidR="004702A4" w:rsidRDefault="004702A4" w:rsidP="00E83AEC">
      <w:pPr>
        <w:spacing w:after="0" w:line="240" w:lineRule="auto"/>
        <w:jc w:val="both"/>
        <w:rPr>
          <w:rFonts w:ascii="Times New Roman" w:hAnsi="Times New Roman" w:cs="Times New Roman"/>
          <w:bCs/>
          <w:szCs w:val="24"/>
        </w:rPr>
      </w:pPr>
    </w:p>
    <w:p w14:paraId="1647D7FE" w14:textId="206AAF5D" w:rsidR="00705062" w:rsidRPr="00B415C2" w:rsidRDefault="00B415C2" w:rsidP="00E83AEC">
      <w:pPr>
        <w:spacing w:after="0" w:line="240" w:lineRule="auto"/>
        <w:jc w:val="both"/>
        <w:rPr>
          <w:rFonts w:ascii="Times New Roman" w:hAnsi="Times New Roman" w:cs="Times New Roman"/>
          <w:sz w:val="24"/>
          <w:szCs w:val="24"/>
          <w:lang w:eastAsia="zh-CN"/>
        </w:rPr>
        <w:sectPr w:rsidR="00705062" w:rsidRPr="00B415C2" w:rsidSect="004362EE">
          <w:pgSz w:w="15840" w:h="12240" w:orient="landscape"/>
          <w:pgMar w:top="1440" w:right="1440" w:bottom="1440" w:left="1440" w:header="720" w:footer="720" w:gutter="0"/>
          <w:cols w:space="720"/>
          <w:docGrid w:linePitch="360"/>
        </w:sectPr>
      </w:pPr>
      <w:r w:rsidRPr="00B415C2">
        <w:rPr>
          <w:rFonts w:ascii="Times New Roman" w:hAnsi="Times New Roman" w:cs="Times New Roman"/>
          <w:bCs/>
          <w:szCs w:val="24"/>
        </w:rPr>
        <w:t xml:space="preserve">Table 2 summarizes the effects of varying doses of </w:t>
      </w:r>
      <w:r w:rsidRPr="00B415C2">
        <w:rPr>
          <w:rFonts w:ascii="Times New Roman" w:hAnsi="Times New Roman" w:cs="Times New Roman"/>
          <w:bCs/>
          <w:i/>
          <w:szCs w:val="24"/>
        </w:rPr>
        <w:t>Alstonia boonei</w:t>
      </w:r>
      <w:r w:rsidRPr="00B415C2">
        <w:rPr>
          <w:rFonts w:ascii="Times New Roman" w:hAnsi="Times New Roman" w:cs="Times New Roman"/>
          <w:bCs/>
          <w:szCs w:val="24"/>
        </w:rPr>
        <w:t xml:space="preserve"> extracts (leaves, stems, and roots) on liver antioxidant markers (MDA, SOD, and CAT) in formalin-induced Wistar rats. Compared to control and Indomethacin-treated groups, the results showed significant differences across treatments. At lower concentrations (150 and 300 mg/kg), especially with leaf extracts, there was a notable antioxidant effect: MDA levels decreased, while SOD and CAT activities increased, indicating reduced oxidative stress. In contrast, the 600 mg/kg dose of the leaf extract reversed this trend, showing elevated MDA and reduced SOD and CAT levels, suggesting oxidative damage at high doses. The stem and root extracts showed less </w:t>
      </w:r>
      <w:r w:rsidRPr="00B415C2">
        <w:rPr>
          <w:rFonts w:ascii="Times New Roman" w:hAnsi="Times New Roman" w:cs="Times New Roman"/>
          <w:bCs/>
          <w:szCs w:val="24"/>
        </w:rPr>
        <w:lastRenderedPageBreak/>
        <w:t>favorable outcomes. The stem extract, particularly at 300 mg/kg, led to the highest MDA levels and reduced SOD and CAT activity. Similarly, root extracts consistently elevated MDA and lowered antioxidant enzyme activity across all doses.</w:t>
      </w:r>
    </w:p>
    <w:p w14:paraId="507357FB" w14:textId="39B58597" w:rsidR="00705062" w:rsidRPr="004362EE" w:rsidRDefault="00705062" w:rsidP="00E83AEC">
      <w:pPr>
        <w:pStyle w:val="TABLE"/>
        <w:spacing w:line="240" w:lineRule="auto"/>
        <w:rPr>
          <w:rFonts w:cs="Times New Roman"/>
          <w:szCs w:val="24"/>
        </w:rPr>
      </w:pPr>
      <w:bookmarkStart w:id="11" w:name="_Toc142054174"/>
      <w:r w:rsidRPr="004362EE">
        <w:rPr>
          <w:rFonts w:cs="Times New Roman"/>
          <w:szCs w:val="24"/>
        </w:rPr>
        <w:lastRenderedPageBreak/>
        <w:t xml:space="preserve">Table </w:t>
      </w:r>
      <w:r w:rsidR="00B262BE" w:rsidRPr="004362EE">
        <w:rPr>
          <w:rFonts w:cs="Times New Roman"/>
          <w:szCs w:val="24"/>
        </w:rPr>
        <w:t>3</w:t>
      </w:r>
      <w:r w:rsidRPr="004362EE">
        <w:rPr>
          <w:rFonts w:cs="Times New Roman"/>
          <w:bCs/>
          <w:szCs w:val="24"/>
        </w:rPr>
        <w:t xml:space="preserve">: Mean comparison of </w:t>
      </w:r>
      <w:r w:rsidRPr="004362EE">
        <w:rPr>
          <w:rFonts w:cs="Times New Roman"/>
          <w:bCs/>
          <w:i/>
          <w:szCs w:val="24"/>
        </w:rPr>
        <w:t xml:space="preserve">A. boonei </w:t>
      </w:r>
      <w:r w:rsidRPr="004362EE">
        <w:rPr>
          <w:rFonts w:cs="Times New Roman"/>
          <w:szCs w:val="24"/>
        </w:rPr>
        <w:t xml:space="preserve">on Kidney antioxidant status of </w:t>
      </w:r>
      <w:r w:rsidR="00260151">
        <w:rPr>
          <w:rFonts w:cs="Times New Roman"/>
          <w:szCs w:val="24"/>
        </w:rPr>
        <w:t>formalin-induced</w:t>
      </w:r>
      <w:r w:rsidRPr="004362EE">
        <w:rPr>
          <w:rFonts w:cs="Times New Roman"/>
          <w:szCs w:val="24"/>
        </w:rPr>
        <w:t xml:space="preserve"> Wistar rats</w:t>
      </w:r>
      <w:bookmarkEnd w:id="11"/>
    </w:p>
    <w:tbl>
      <w:tblPr>
        <w:tblStyle w:val="TableGrid"/>
        <w:tblW w:w="5408" w:type="pct"/>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
        <w:gridCol w:w="350"/>
        <w:gridCol w:w="995"/>
        <w:gridCol w:w="1489"/>
        <w:gridCol w:w="1592"/>
        <w:gridCol w:w="1503"/>
        <w:gridCol w:w="1506"/>
        <w:gridCol w:w="1682"/>
        <w:gridCol w:w="1769"/>
        <w:gridCol w:w="1060"/>
        <w:gridCol w:w="1449"/>
      </w:tblGrid>
      <w:tr w:rsidR="00705062" w:rsidRPr="004362EE" w14:paraId="1D770705" w14:textId="77777777" w:rsidTr="001D4C82">
        <w:trPr>
          <w:trHeight w:val="300"/>
        </w:trPr>
        <w:tc>
          <w:tcPr>
            <w:tcW w:w="222" w:type="pct"/>
            <w:tcBorders>
              <w:top w:val="single" w:sz="4" w:space="0" w:color="auto"/>
              <w:bottom w:val="single" w:sz="4" w:space="0" w:color="auto"/>
            </w:tcBorders>
            <w:noWrap/>
            <w:hideMark/>
          </w:tcPr>
          <w:p w14:paraId="7403293F" w14:textId="77777777" w:rsidR="00705062" w:rsidRPr="004362EE" w:rsidRDefault="00705062" w:rsidP="00E83AEC">
            <w:pPr>
              <w:spacing w:line="240" w:lineRule="auto"/>
              <w:jc w:val="both"/>
              <w:rPr>
                <w:rFonts w:eastAsia="Times New Roman"/>
                <w:sz w:val="24"/>
                <w:szCs w:val="24"/>
              </w:rPr>
            </w:pPr>
          </w:p>
        </w:tc>
        <w:tc>
          <w:tcPr>
            <w:tcW w:w="480" w:type="pct"/>
            <w:gridSpan w:val="2"/>
            <w:tcBorders>
              <w:top w:val="single" w:sz="4" w:space="0" w:color="auto"/>
              <w:bottom w:val="single" w:sz="4" w:space="0" w:color="auto"/>
            </w:tcBorders>
            <w:noWrap/>
            <w:hideMark/>
          </w:tcPr>
          <w:p w14:paraId="385259C3" w14:textId="77777777" w:rsidR="00705062" w:rsidRPr="004362EE" w:rsidRDefault="00705062" w:rsidP="00E83AEC">
            <w:pPr>
              <w:spacing w:line="240" w:lineRule="auto"/>
              <w:jc w:val="both"/>
              <w:rPr>
                <w:rFonts w:eastAsia="Times New Roman"/>
                <w:sz w:val="24"/>
                <w:szCs w:val="24"/>
              </w:rPr>
            </w:pPr>
          </w:p>
        </w:tc>
        <w:tc>
          <w:tcPr>
            <w:tcW w:w="531" w:type="pct"/>
            <w:tcBorders>
              <w:top w:val="single" w:sz="4" w:space="0" w:color="auto"/>
              <w:bottom w:val="single" w:sz="4" w:space="0" w:color="auto"/>
            </w:tcBorders>
            <w:noWrap/>
            <w:hideMark/>
          </w:tcPr>
          <w:p w14:paraId="4A4A5BB1"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 ml/kg</w:t>
            </w:r>
          </w:p>
          <w:p w14:paraId="21AC6494"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DH</w:t>
            </w:r>
            <w:r w:rsidRPr="004362EE">
              <w:rPr>
                <w:rFonts w:eastAsia="Times New Roman"/>
                <w:b/>
                <w:bCs/>
                <w:sz w:val="24"/>
                <w:szCs w:val="24"/>
                <w:vertAlign w:val="subscript"/>
              </w:rPr>
              <w:t>2</w:t>
            </w:r>
            <w:r w:rsidRPr="004362EE">
              <w:rPr>
                <w:rFonts w:eastAsia="Times New Roman"/>
                <w:b/>
                <w:bCs/>
                <w:sz w:val="24"/>
                <w:szCs w:val="24"/>
              </w:rPr>
              <w:t>O</w:t>
            </w:r>
          </w:p>
        </w:tc>
        <w:tc>
          <w:tcPr>
            <w:tcW w:w="568" w:type="pct"/>
            <w:tcBorders>
              <w:top w:val="single" w:sz="4" w:space="0" w:color="auto"/>
              <w:bottom w:val="single" w:sz="4" w:space="0" w:color="auto"/>
            </w:tcBorders>
            <w:noWrap/>
            <w:hideMark/>
          </w:tcPr>
          <w:p w14:paraId="6D9B3BFC"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150 mg/kg</w:t>
            </w:r>
          </w:p>
        </w:tc>
        <w:tc>
          <w:tcPr>
            <w:tcW w:w="536" w:type="pct"/>
            <w:tcBorders>
              <w:top w:val="single" w:sz="4" w:space="0" w:color="auto"/>
              <w:bottom w:val="single" w:sz="4" w:space="0" w:color="auto"/>
            </w:tcBorders>
            <w:noWrap/>
            <w:hideMark/>
          </w:tcPr>
          <w:p w14:paraId="7759118E"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300 mg/kg</w:t>
            </w:r>
          </w:p>
        </w:tc>
        <w:tc>
          <w:tcPr>
            <w:tcW w:w="537" w:type="pct"/>
            <w:tcBorders>
              <w:top w:val="single" w:sz="4" w:space="0" w:color="auto"/>
              <w:bottom w:val="single" w:sz="4" w:space="0" w:color="auto"/>
            </w:tcBorders>
            <w:noWrap/>
            <w:hideMark/>
          </w:tcPr>
          <w:p w14:paraId="2F035AB7"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600 mg/kg</w:t>
            </w:r>
          </w:p>
        </w:tc>
        <w:tc>
          <w:tcPr>
            <w:tcW w:w="600" w:type="pct"/>
            <w:tcBorders>
              <w:top w:val="single" w:sz="4" w:space="0" w:color="auto"/>
              <w:bottom w:val="single" w:sz="4" w:space="0" w:color="auto"/>
            </w:tcBorders>
            <w:noWrap/>
            <w:hideMark/>
          </w:tcPr>
          <w:p w14:paraId="2EBBE823"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Indomethacin</w:t>
            </w:r>
          </w:p>
        </w:tc>
        <w:tc>
          <w:tcPr>
            <w:tcW w:w="631" w:type="pct"/>
            <w:tcBorders>
              <w:top w:val="single" w:sz="4" w:space="0" w:color="auto"/>
              <w:bottom w:val="single" w:sz="4" w:space="0" w:color="auto"/>
            </w:tcBorders>
            <w:noWrap/>
            <w:hideMark/>
          </w:tcPr>
          <w:p w14:paraId="79C54F64"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300 mg/kg only</w:t>
            </w:r>
          </w:p>
          <w:p w14:paraId="2183B6E0"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Without induction</w:t>
            </w:r>
          </w:p>
        </w:tc>
        <w:tc>
          <w:tcPr>
            <w:tcW w:w="378" w:type="pct"/>
            <w:tcBorders>
              <w:top w:val="single" w:sz="4" w:space="0" w:color="auto"/>
              <w:bottom w:val="single" w:sz="4" w:space="0" w:color="auto"/>
            </w:tcBorders>
          </w:tcPr>
          <w:p w14:paraId="550B797A"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F-value</w:t>
            </w:r>
          </w:p>
        </w:tc>
        <w:tc>
          <w:tcPr>
            <w:tcW w:w="517" w:type="pct"/>
            <w:tcBorders>
              <w:top w:val="single" w:sz="4" w:space="0" w:color="auto"/>
              <w:bottom w:val="single" w:sz="4" w:space="0" w:color="auto"/>
            </w:tcBorders>
            <w:noWrap/>
            <w:hideMark/>
          </w:tcPr>
          <w:p w14:paraId="34402FD0"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 xml:space="preserve">        p-value</w:t>
            </w:r>
          </w:p>
        </w:tc>
      </w:tr>
      <w:tr w:rsidR="004702A4" w:rsidRPr="004362EE" w14:paraId="5BC48F53" w14:textId="77777777" w:rsidTr="002F5820">
        <w:trPr>
          <w:trHeight w:val="300"/>
        </w:trPr>
        <w:tc>
          <w:tcPr>
            <w:tcW w:w="347" w:type="pct"/>
            <w:gridSpan w:val="2"/>
            <w:noWrap/>
            <w:hideMark/>
          </w:tcPr>
          <w:p w14:paraId="7A551717"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Leaves</w:t>
            </w:r>
          </w:p>
        </w:tc>
        <w:tc>
          <w:tcPr>
            <w:tcW w:w="355" w:type="pct"/>
            <w:noWrap/>
            <w:hideMark/>
          </w:tcPr>
          <w:p w14:paraId="2D63CA1D"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MDA </w:t>
            </w:r>
          </w:p>
        </w:tc>
        <w:tc>
          <w:tcPr>
            <w:tcW w:w="531" w:type="pct"/>
            <w:tcBorders>
              <w:top w:val="single" w:sz="4" w:space="0" w:color="auto"/>
            </w:tcBorders>
            <w:noWrap/>
            <w:hideMark/>
          </w:tcPr>
          <w:p w14:paraId="684D7EA5"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26.41±0.01</w:t>
            </w:r>
            <w:r w:rsidRPr="004362EE">
              <w:rPr>
                <w:rFonts w:eastAsia="Times New Roman"/>
                <w:sz w:val="24"/>
                <w:szCs w:val="24"/>
                <w:vertAlign w:val="superscript"/>
              </w:rPr>
              <w:t>a</w:t>
            </w:r>
          </w:p>
        </w:tc>
        <w:tc>
          <w:tcPr>
            <w:tcW w:w="568" w:type="pct"/>
            <w:tcBorders>
              <w:top w:val="single" w:sz="4" w:space="0" w:color="auto"/>
            </w:tcBorders>
            <w:noWrap/>
            <w:hideMark/>
          </w:tcPr>
          <w:p w14:paraId="00005E0E"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23.09±0.83</w:t>
            </w:r>
            <w:r w:rsidRPr="004362EE">
              <w:rPr>
                <w:rFonts w:eastAsia="Times New Roman"/>
                <w:sz w:val="24"/>
                <w:szCs w:val="24"/>
                <w:vertAlign w:val="superscript"/>
              </w:rPr>
              <w:t>b</w:t>
            </w:r>
          </w:p>
        </w:tc>
        <w:tc>
          <w:tcPr>
            <w:tcW w:w="536" w:type="pct"/>
            <w:tcBorders>
              <w:top w:val="single" w:sz="4" w:space="0" w:color="auto"/>
            </w:tcBorders>
            <w:noWrap/>
            <w:hideMark/>
          </w:tcPr>
          <w:p w14:paraId="2924F7F5"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23.45±0.67</w:t>
            </w:r>
            <w:r w:rsidRPr="004362EE">
              <w:rPr>
                <w:rFonts w:eastAsia="Times New Roman"/>
                <w:sz w:val="24"/>
                <w:szCs w:val="24"/>
                <w:vertAlign w:val="superscript"/>
              </w:rPr>
              <w:t>b</w:t>
            </w:r>
          </w:p>
        </w:tc>
        <w:tc>
          <w:tcPr>
            <w:tcW w:w="537" w:type="pct"/>
            <w:tcBorders>
              <w:top w:val="single" w:sz="4" w:space="0" w:color="auto"/>
            </w:tcBorders>
            <w:noWrap/>
            <w:hideMark/>
          </w:tcPr>
          <w:p w14:paraId="0A4946AE"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35.43±0.02</w:t>
            </w:r>
            <w:r w:rsidRPr="004362EE">
              <w:rPr>
                <w:rFonts w:eastAsia="Times New Roman"/>
                <w:sz w:val="24"/>
                <w:szCs w:val="24"/>
                <w:vertAlign w:val="superscript"/>
              </w:rPr>
              <w:t>c</w:t>
            </w:r>
          </w:p>
        </w:tc>
        <w:tc>
          <w:tcPr>
            <w:tcW w:w="600" w:type="pct"/>
            <w:tcBorders>
              <w:top w:val="single" w:sz="4" w:space="0" w:color="auto"/>
            </w:tcBorders>
            <w:noWrap/>
            <w:hideMark/>
          </w:tcPr>
          <w:p w14:paraId="382925DA"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32.07±0.87</w:t>
            </w:r>
            <w:r w:rsidRPr="004362EE">
              <w:rPr>
                <w:rFonts w:eastAsia="Times New Roman"/>
                <w:sz w:val="24"/>
                <w:szCs w:val="24"/>
                <w:vertAlign w:val="superscript"/>
              </w:rPr>
              <w:t>d</w:t>
            </w:r>
          </w:p>
        </w:tc>
        <w:tc>
          <w:tcPr>
            <w:tcW w:w="631" w:type="pct"/>
            <w:tcBorders>
              <w:top w:val="single" w:sz="4" w:space="0" w:color="auto"/>
            </w:tcBorders>
            <w:noWrap/>
            <w:hideMark/>
          </w:tcPr>
          <w:p w14:paraId="1D9DEF38"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30.09±0.06</w:t>
            </w:r>
            <w:r w:rsidRPr="004362EE">
              <w:rPr>
                <w:rFonts w:eastAsia="Times New Roman"/>
                <w:sz w:val="24"/>
                <w:szCs w:val="24"/>
                <w:vertAlign w:val="superscript"/>
              </w:rPr>
              <w:t>d</w:t>
            </w:r>
          </w:p>
        </w:tc>
        <w:tc>
          <w:tcPr>
            <w:tcW w:w="378" w:type="pct"/>
            <w:tcBorders>
              <w:top w:val="single" w:sz="4" w:space="0" w:color="auto"/>
            </w:tcBorders>
          </w:tcPr>
          <w:p w14:paraId="4EEEF4B6" w14:textId="77777777" w:rsidR="004702A4" w:rsidRPr="004362EE" w:rsidRDefault="004702A4" w:rsidP="004702A4">
            <w:pPr>
              <w:spacing w:line="240" w:lineRule="auto"/>
              <w:jc w:val="both"/>
              <w:rPr>
                <w:rFonts w:eastAsia="Times New Roman"/>
                <w:sz w:val="24"/>
                <w:szCs w:val="24"/>
              </w:rPr>
            </w:pPr>
            <w:r w:rsidRPr="004362EE">
              <w:rPr>
                <w:sz w:val="24"/>
                <w:szCs w:val="24"/>
              </w:rPr>
              <w:t>77.759</w:t>
            </w:r>
          </w:p>
        </w:tc>
        <w:tc>
          <w:tcPr>
            <w:tcW w:w="517" w:type="pct"/>
            <w:tcBorders>
              <w:top w:val="single" w:sz="4" w:space="0" w:color="auto"/>
            </w:tcBorders>
            <w:noWrap/>
            <w:hideMark/>
          </w:tcPr>
          <w:p w14:paraId="402EBAE4" w14:textId="528E6E15" w:rsidR="004702A4" w:rsidRPr="004362EE" w:rsidRDefault="004702A4" w:rsidP="004702A4">
            <w:pPr>
              <w:spacing w:line="240" w:lineRule="auto"/>
              <w:jc w:val="both"/>
              <w:rPr>
                <w:rFonts w:eastAsia="Times New Roman"/>
                <w:sz w:val="24"/>
                <w:szCs w:val="24"/>
              </w:rPr>
            </w:pPr>
            <w:r w:rsidRPr="006A1D9C">
              <w:rPr>
                <w:rFonts w:eastAsia="Times New Roman"/>
                <w:sz w:val="24"/>
                <w:szCs w:val="24"/>
              </w:rPr>
              <w:t>&lt; 0.001</w:t>
            </w:r>
          </w:p>
        </w:tc>
      </w:tr>
      <w:tr w:rsidR="004702A4" w:rsidRPr="004362EE" w14:paraId="68BCF9F9" w14:textId="77777777" w:rsidTr="002F5820">
        <w:trPr>
          <w:trHeight w:val="300"/>
        </w:trPr>
        <w:tc>
          <w:tcPr>
            <w:tcW w:w="347" w:type="pct"/>
            <w:gridSpan w:val="2"/>
            <w:noWrap/>
            <w:hideMark/>
          </w:tcPr>
          <w:p w14:paraId="1EBB3C78"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w:t>
            </w:r>
          </w:p>
        </w:tc>
        <w:tc>
          <w:tcPr>
            <w:tcW w:w="355" w:type="pct"/>
            <w:noWrap/>
            <w:hideMark/>
          </w:tcPr>
          <w:p w14:paraId="100B8EDB"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SOD </w:t>
            </w:r>
          </w:p>
        </w:tc>
        <w:tc>
          <w:tcPr>
            <w:tcW w:w="531" w:type="pct"/>
            <w:noWrap/>
            <w:hideMark/>
          </w:tcPr>
          <w:p w14:paraId="26741112"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6.20±0.01</w:t>
            </w:r>
            <w:r w:rsidRPr="004362EE">
              <w:rPr>
                <w:rFonts w:eastAsia="Times New Roman"/>
                <w:sz w:val="24"/>
                <w:szCs w:val="24"/>
                <w:vertAlign w:val="superscript"/>
              </w:rPr>
              <w:t>a</w:t>
            </w:r>
          </w:p>
        </w:tc>
        <w:tc>
          <w:tcPr>
            <w:tcW w:w="568" w:type="pct"/>
            <w:noWrap/>
            <w:hideMark/>
          </w:tcPr>
          <w:p w14:paraId="4DBFAB24"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6.43±0.06</w:t>
            </w:r>
            <w:r w:rsidRPr="004362EE">
              <w:rPr>
                <w:rFonts w:eastAsia="Times New Roman"/>
                <w:sz w:val="24"/>
                <w:szCs w:val="24"/>
                <w:vertAlign w:val="superscript"/>
              </w:rPr>
              <w:t>a</w:t>
            </w:r>
          </w:p>
        </w:tc>
        <w:tc>
          <w:tcPr>
            <w:tcW w:w="536" w:type="pct"/>
            <w:noWrap/>
            <w:hideMark/>
          </w:tcPr>
          <w:p w14:paraId="4D15687B"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6.51±0.02</w:t>
            </w:r>
            <w:r w:rsidRPr="004362EE">
              <w:rPr>
                <w:rFonts w:eastAsia="Times New Roman"/>
                <w:sz w:val="24"/>
                <w:szCs w:val="24"/>
                <w:vertAlign w:val="superscript"/>
              </w:rPr>
              <w:t>a</w:t>
            </w:r>
          </w:p>
        </w:tc>
        <w:tc>
          <w:tcPr>
            <w:tcW w:w="537" w:type="pct"/>
            <w:noWrap/>
            <w:hideMark/>
          </w:tcPr>
          <w:p w14:paraId="49561FCF"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3.81±0.02</w:t>
            </w:r>
            <w:r w:rsidRPr="004362EE">
              <w:rPr>
                <w:rFonts w:eastAsia="Times New Roman"/>
                <w:sz w:val="24"/>
                <w:szCs w:val="24"/>
                <w:vertAlign w:val="superscript"/>
              </w:rPr>
              <w:t>b</w:t>
            </w:r>
          </w:p>
        </w:tc>
        <w:tc>
          <w:tcPr>
            <w:tcW w:w="600" w:type="pct"/>
            <w:noWrap/>
            <w:hideMark/>
          </w:tcPr>
          <w:p w14:paraId="080F1BF9"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4.83±0.26</w:t>
            </w:r>
            <w:r w:rsidRPr="004362EE">
              <w:rPr>
                <w:rFonts w:eastAsia="Times New Roman"/>
                <w:sz w:val="24"/>
                <w:szCs w:val="24"/>
                <w:vertAlign w:val="superscript"/>
              </w:rPr>
              <w:t>c</w:t>
            </w:r>
          </w:p>
        </w:tc>
        <w:tc>
          <w:tcPr>
            <w:tcW w:w="631" w:type="pct"/>
            <w:noWrap/>
            <w:hideMark/>
          </w:tcPr>
          <w:p w14:paraId="46B0D5C8"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5.36±0.06</w:t>
            </w:r>
            <w:r w:rsidRPr="004362EE">
              <w:rPr>
                <w:rFonts w:eastAsia="Times New Roman"/>
                <w:sz w:val="24"/>
                <w:szCs w:val="24"/>
                <w:vertAlign w:val="superscript"/>
              </w:rPr>
              <w:t>d</w:t>
            </w:r>
          </w:p>
        </w:tc>
        <w:tc>
          <w:tcPr>
            <w:tcW w:w="378" w:type="pct"/>
          </w:tcPr>
          <w:p w14:paraId="09062796" w14:textId="77777777" w:rsidR="004702A4" w:rsidRPr="004362EE" w:rsidRDefault="004702A4" w:rsidP="004702A4">
            <w:pPr>
              <w:spacing w:line="240" w:lineRule="auto"/>
              <w:jc w:val="both"/>
              <w:rPr>
                <w:rFonts w:eastAsia="Times New Roman"/>
                <w:sz w:val="24"/>
                <w:szCs w:val="24"/>
              </w:rPr>
            </w:pPr>
            <w:r w:rsidRPr="004362EE">
              <w:rPr>
                <w:sz w:val="24"/>
                <w:szCs w:val="24"/>
              </w:rPr>
              <w:t>94.042</w:t>
            </w:r>
          </w:p>
        </w:tc>
        <w:tc>
          <w:tcPr>
            <w:tcW w:w="517" w:type="pct"/>
            <w:noWrap/>
            <w:hideMark/>
          </w:tcPr>
          <w:p w14:paraId="4C29555F" w14:textId="5BF24155" w:rsidR="004702A4" w:rsidRPr="004362EE" w:rsidRDefault="004702A4" w:rsidP="004702A4">
            <w:pPr>
              <w:spacing w:line="240" w:lineRule="auto"/>
              <w:jc w:val="both"/>
              <w:rPr>
                <w:rFonts w:eastAsia="Times New Roman"/>
                <w:sz w:val="24"/>
                <w:szCs w:val="24"/>
              </w:rPr>
            </w:pPr>
            <w:r w:rsidRPr="006A1D9C">
              <w:rPr>
                <w:rFonts w:eastAsia="Times New Roman"/>
                <w:sz w:val="24"/>
                <w:szCs w:val="24"/>
              </w:rPr>
              <w:t>&lt; 0.001</w:t>
            </w:r>
          </w:p>
        </w:tc>
      </w:tr>
      <w:tr w:rsidR="004702A4" w:rsidRPr="004362EE" w14:paraId="398C53F5" w14:textId="77777777" w:rsidTr="002F5820">
        <w:trPr>
          <w:trHeight w:val="300"/>
        </w:trPr>
        <w:tc>
          <w:tcPr>
            <w:tcW w:w="347" w:type="pct"/>
            <w:gridSpan w:val="2"/>
            <w:noWrap/>
            <w:hideMark/>
          </w:tcPr>
          <w:p w14:paraId="34CEA4D7"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w:t>
            </w:r>
          </w:p>
        </w:tc>
        <w:tc>
          <w:tcPr>
            <w:tcW w:w="355" w:type="pct"/>
            <w:noWrap/>
            <w:hideMark/>
          </w:tcPr>
          <w:p w14:paraId="7696AEB5"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CAT </w:t>
            </w:r>
          </w:p>
        </w:tc>
        <w:tc>
          <w:tcPr>
            <w:tcW w:w="531" w:type="pct"/>
            <w:noWrap/>
            <w:hideMark/>
          </w:tcPr>
          <w:p w14:paraId="0DB95775"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128.52±0.01</w:t>
            </w:r>
            <w:r w:rsidRPr="004362EE">
              <w:rPr>
                <w:rFonts w:eastAsia="Times New Roman"/>
                <w:sz w:val="24"/>
                <w:szCs w:val="24"/>
                <w:vertAlign w:val="superscript"/>
              </w:rPr>
              <w:t>a</w:t>
            </w:r>
          </w:p>
        </w:tc>
        <w:tc>
          <w:tcPr>
            <w:tcW w:w="568" w:type="pct"/>
            <w:noWrap/>
            <w:hideMark/>
          </w:tcPr>
          <w:p w14:paraId="1A5CE72B"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130.83±0.58</w:t>
            </w:r>
            <w:r w:rsidRPr="004362EE">
              <w:rPr>
                <w:rFonts w:eastAsia="Times New Roman"/>
                <w:sz w:val="24"/>
                <w:szCs w:val="24"/>
                <w:vertAlign w:val="superscript"/>
              </w:rPr>
              <w:t>ab</w:t>
            </w:r>
          </w:p>
        </w:tc>
        <w:tc>
          <w:tcPr>
            <w:tcW w:w="536" w:type="pct"/>
            <w:noWrap/>
            <w:hideMark/>
          </w:tcPr>
          <w:p w14:paraId="791D10EB"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133.72±0.96</w:t>
            </w:r>
            <w:r w:rsidRPr="004362EE">
              <w:rPr>
                <w:rFonts w:eastAsia="Times New Roman"/>
                <w:sz w:val="24"/>
                <w:szCs w:val="24"/>
                <w:vertAlign w:val="superscript"/>
              </w:rPr>
              <w:t>b</w:t>
            </w:r>
          </w:p>
        </w:tc>
        <w:tc>
          <w:tcPr>
            <w:tcW w:w="537" w:type="pct"/>
            <w:noWrap/>
            <w:hideMark/>
          </w:tcPr>
          <w:p w14:paraId="6B1EFF54"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115.79±0.65</w:t>
            </w:r>
            <w:r w:rsidRPr="004362EE">
              <w:rPr>
                <w:rFonts w:eastAsia="Times New Roman"/>
                <w:sz w:val="24"/>
                <w:szCs w:val="24"/>
                <w:vertAlign w:val="superscript"/>
              </w:rPr>
              <w:t>c</w:t>
            </w:r>
          </w:p>
        </w:tc>
        <w:tc>
          <w:tcPr>
            <w:tcW w:w="600" w:type="pct"/>
            <w:noWrap/>
            <w:hideMark/>
          </w:tcPr>
          <w:p w14:paraId="1F363261"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120.47±1.84</w:t>
            </w:r>
            <w:r w:rsidRPr="004362EE">
              <w:rPr>
                <w:rFonts w:eastAsia="Times New Roman"/>
                <w:sz w:val="24"/>
                <w:szCs w:val="24"/>
                <w:vertAlign w:val="superscript"/>
              </w:rPr>
              <w:t>d</w:t>
            </w:r>
          </w:p>
        </w:tc>
        <w:tc>
          <w:tcPr>
            <w:tcW w:w="631" w:type="pct"/>
            <w:noWrap/>
            <w:hideMark/>
          </w:tcPr>
          <w:p w14:paraId="7D376643"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129.79±0.26</w:t>
            </w:r>
            <w:r w:rsidRPr="004362EE">
              <w:rPr>
                <w:rFonts w:eastAsia="Times New Roman"/>
                <w:sz w:val="24"/>
                <w:szCs w:val="24"/>
                <w:vertAlign w:val="superscript"/>
              </w:rPr>
              <w:t>ab</w:t>
            </w:r>
          </w:p>
        </w:tc>
        <w:tc>
          <w:tcPr>
            <w:tcW w:w="378" w:type="pct"/>
          </w:tcPr>
          <w:p w14:paraId="515B0CED" w14:textId="77777777" w:rsidR="004702A4" w:rsidRPr="004362EE" w:rsidRDefault="004702A4" w:rsidP="004702A4">
            <w:pPr>
              <w:spacing w:line="240" w:lineRule="auto"/>
              <w:jc w:val="both"/>
              <w:rPr>
                <w:rFonts w:eastAsia="Times New Roman"/>
                <w:sz w:val="24"/>
                <w:szCs w:val="24"/>
              </w:rPr>
            </w:pPr>
            <w:r w:rsidRPr="004362EE">
              <w:rPr>
                <w:sz w:val="24"/>
                <w:szCs w:val="24"/>
              </w:rPr>
              <w:t>55.253</w:t>
            </w:r>
          </w:p>
        </w:tc>
        <w:tc>
          <w:tcPr>
            <w:tcW w:w="517" w:type="pct"/>
            <w:noWrap/>
            <w:hideMark/>
          </w:tcPr>
          <w:p w14:paraId="2D0BD237" w14:textId="4B541B38" w:rsidR="004702A4" w:rsidRPr="004362EE" w:rsidRDefault="004702A4" w:rsidP="004702A4">
            <w:pPr>
              <w:spacing w:line="240" w:lineRule="auto"/>
              <w:jc w:val="both"/>
              <w:rPr>
                <w:rFonts w:eastAsia="Times New Roman"/>
                <w:sz w:val="24"/>
                <w:szCs w:val="24"/>
              </w:rPr>
            </w:pPr>
            <w:r w:rsidRPr="006A1D9C">
              <w:rPr>
                <w:rFonts w:eastAsia="Times New Roman"/>
                <w:sz w:val="24"/>
                <w:szCs w:val="24"/>
              </w:rPr>
              <w:t>&lt; 0.001</w:t>
            </w:r>
          </w:p>
        </w:tc>
      </w:tr>
      <w:tr w:rsidR="004702A4" w:rsidRPr="004362EE" w14:paraId="09D06903" w14:textId="77777777" w:rsidTr="002F5820">
        <w:trPr>
          <w:trHeight w:val="300"/>
        </w:trPr>
        <w:tc>
          <w:tcPr>
            <w:tcW w:w="347" w:type="pct"/>
            <w:gridSpan w:val="2"/>
            <w:noWrap/>
            <w:hideMark/>
          </w:tcPr>
          <w:p w14:paraId="577DBEE3"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Stem</w:t>
            </w:r>
          </w:p>
        </w:tc>
        <w:tc>
          <w:tcPr>
            <w:tcW w:w="355" w:type="pct"/>
            <w:noWrap/>
            <w:hideMark/>
          </w:tcPr>
          <w:p w14:paraId="0E10DEFD"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MDA </w:t>
            </w:r>
          </w:p>
        </w:tc>
        <w:tc>
          <w:tcPr>
            <w:tcW w:w="531" w:type="pct"/>
            <w:noWrap/>
          </w:tcPr>
          <w:p w14:paraId="38473F31"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26.41±0.01</w:t>
            </w:r>
            <w:r w:rsidRPr="004362EE">
              <w:rPr>
                <w:rFonts w:eastAsia="Times New Roman"/>
                <w:sz w:val="24"/>
                <w:szCs w:val="24"/>
                <w:vertAlign w:val="superscript"/>
              </w:rPr>
              <w:t>a</w:t>
            </w:r>
          </w:p>
        </w:tc>
        <w:tc>
          <w:tcPr>
            <w:tcW w:w="568" w:type="pct"/>
            <w:noWrap/>
          </w:tcPr>
          <w:p w14:paraId="205005E2"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29.56±3.17</w:t>
            </w:r>
            <w:r w:rsidRPr="004362EE">
              <w:rPr>
                <w:rFonts w:eastAsia="Times New Roman"/>
                <w:sz w:val="24"/>
                <w:szCs w:val="24"/>
                <w:vertAlign w:val="superscript"/>
              </w:rPr>
              <w:t>ab</w:t>
            </w:r>
          </w:p>
        </w:tc>
        <w:tc>
          <w:tcPr>
            <w:tcW w:w="536" w:type="pct"/>
            <w:noWrap/>
          </w:tcPr>
          <w:p w14:paraId="38FE62BA"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39.27±2.02</w:t>
            </w:r>
            <w:r w:rsidRPr="004362EE">
              <w:rPr>
                <w:rFonts w:eastAsia="Times New Roman"/>
                <w:sz w:val="24"/>
                <w:szCs w:val="24"/>
                <w:vertAlign w:val="superscript"/>
              </w:rPr>
              <w:t>c</w:t>
            </w:r>
          </w:p>
        </w:tc>
        <w:tc>
          <w:tcPr>
            <w:tcW w:w="537" w:type="pct"/>
            <w:noWrap/>
          </w:tcPr>
          <w:p w14:paraId="121E592F"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31.86±1.42</w:t>
            </w:r>
            <w:r w:rsidRPr="004362EE">
              <w:rPr>
                <w:rFonts w:eastAsia="Times New Roman"/>
                <w:sz w:val="24"/>
                <w:szCs w:val="24"/>
                <w:vertAlign w:val="superscript"/>
              </w:rPr>
              <w:t>bc</w:t>
            </w:r>
          </w:p>
        </w:tc>
        <w:tc>
          <w:tcPr>
            <w:tcW w:w="600" w:type="pct"/>
            <w:noWrap/>
          </w:tcPr>
          <w:p w14:paraId="31500ADC"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32.07±0.87</w:t>
            </w:r>
            <w:r w:rsidRPr="004362EE">
              <w:rPr>
                <w:rFonts w:eastAsia="Times New Roman"/>
                <w:sz w:val="24"/>
                <w:szCs w:val="24"/>
                <w:vertAlign w:val="superscript"/>
              </w:rPr>
              <w:t>abc</w:t>
            </w:r>
          </w:p>
        </w:tc>
        <w:tc>
          <w:tcPr>
            <w:tcW w:w="631" w:type="pct"/>
            <w:noWrap/>
          </w:tcPr>
          <w:p w14:paraId="66BD68E5"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35.58±0.01</w:t>
            </w:r>
            <w:r w:rsidRPr="004362EE">
              <w:rPr>
                <w:rFonts w:eastAsia="Times New Roman"/>
                <w:sz w:val="24"/>
                <w:szCs w:val="24"/>
                <w:vertAlign w:val="superscript"/>
              </w:rPr>
              <w:t>bc</w:t>
            </w:r>
          </w:p>
        </w:tc>
        <w:tc>
          <w:tcPr>
            <w:tcW w:w="378" w:type="pct"/>
          </w:tcPr>
          <w:p w14:paraId="0B6E0444" w14:textId="77777777" w:rsidR="004702A4" w:rsidRPr="004362EE" w:rsidRDefault="004702A4" w:rsidP="004702A4">
            <w:pPr>
              <w:spacing w:line="240" w:lineRule="auto"/>
              <w:jc w:val="both"/>
              <w:rPr>
                <w:rFonts w:eastAsia="Times New Roman"/>
                <w:sz w:val="24"/>
                <w:szCs w:val="24"/>
              </w:rPr>
            </w:pPr>
            <w:r w:rsidRPr="004362EE">
              <w:rPr>
                <w:sz w:val="24"/>
                <w:szCs w:val="24"/>
              </w:rPr>
              <w:t>7.204</w:t>
            </w:r>
          </w:p>
        </w:tc>
        <w:tc>
          <w:tcPr>
            <w:tcW w:w="517" w:type="pct"/>
            <w:noWrap/>
          </w:tcPr>
          <w:p w14:paraId="16A66DD6" w14:textId="7D9277BD" w:rsidR="004702A4" w:rsidRPr="004362EE" w:rsidRDefault="004702A4" w:rsidP="004702A4">
            <w:pPr>
              <w:spacing w:line="240" w:lineRule="auto"/>
              <w:jc w:val="both"/>
              <w:rPr>
                <w:rFonts w:eastAsia="Times New Roman"/>
                <w:sz w:val="24"/>
                <w:szCs w:val="24"/>
              </w:rPr>
            </w:pPr>
            <w:r w:rsidRPr="006A1D9C">
              <w:rPr>
                <w:rFonts w:eastAsia="Times New Roman"/>
                <w:sz w:val="24"/>
                <w:szCs w:val="24"/>
              </w:rPr>
              <w:t>&lt; 0.001</w:t>
            </w:r>
          </w:p>
        </w:tc>
      </w:tr>
      <w:tr w:rsidR="004702A4" w:rsidRPr="004362EE" w14:paraId="739B4605" w14:textId="77777777" w:rsidTr="002F5820">
        <w:trPr>
          <w:trHeight w:val="300"/>
        </w:trPr>
        <w:tc>
          <w:tcPr>
            <w:tcW w:w="347" w:type="pct"/>
            <w:gridSpan w:val="2"/>
            <w:noWrap/>
            <w:hideMark/>
          </w:tcPr>
          <w:p w14:paraId="1B594965"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w:t>
            </w:r>
          </w:p>
        </w:tc>
        <w:tc>
          <w:tcPr>
            <w:tcW w:w="355" w:type="pct"/>
            <w:noWrap/>
            <w:hideMark/>
          </w:tcPr>
          <w:p w14:paraId="4B616F19"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SOD </w:t>
            </w:r>
          </w:p>
        </w:tc>
        <w:tc>
          <w:tcPr>
            <w:tcW w:w="531" w:type="pct"/>
            <w:noWrap/>
            <w:hideMark/>
          </w:tcPr>
          <w:p w14:paraId="73EFEFE4"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6.20±0.01</w:t>
            </w:r>
            <w:r w:rsidRPr="004362EE">
              <w:rPr>
                <w:rFonts w:eastAsia="Times New Roman"/>
                <w:sz w:val="24"/>
                <w:szCs w:val="24"/>
                <w:vertAlign w:val="superscript"/>
              </w:rPr>
              <w:t>a</w:t>
            </w:r>
          </w:p>
        </w:tc>
        <w:tc>
          <w:tcPr>
            <w:tcW w:w="568" w:type="pct"/>
            <w:noWrap/>
            <w:hideMark/>
          </w:tcPr>
          <w:p w14:paraId="56D2E78D"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5.59±0.63</w:t>
            </w:r>
            <w:r w:rsidRPr="004362EE">
              <w:rPr>
                <w:rFonts w:eastAsia="Times New Roman"/>
                <w:sz w:val="24"/>
                <w:szCs w:val="24"/>
                <w:vertAlign w:val="superscript"/>
              </w:rPr>
              <w:t>a</w:t>
            </w:r>
          </w:p>
        </w:tc>
        <w:tc>
          <w:tcPr>
            <w:tcW w:w="536" w:type="pct"/>
            <w:noWrap/>
            <w:hideMark/>
          </w:tcPr>
          <w:p w14:paraId="7409F173"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3.65±0.36</w:t>
            </w:r>
            <w:r w:rsidRPr="004362EE">
              <w:rPr>
                <w:rFonts w:eastAsia="Times New Roman"/>
                <w:sz w:val="24"/>
                <w:szCs w:val="24"/>
                <w:vertAlign w:val="superscript"/>
              </w:rPr>
              <w:t>b</w:t>
            </w:r>
          </w:p>
        </w:tc>
        <w:tc>
          <w:tcPr>
            <w:tcW w:w="537" w:type="pct"/>
            <w:noWrap/>
            <w:hideMark/>
          </w:tcPr>
          <w:p w14:paraId="3C80B1D4"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4.70±0.35</w:t>
            </w:r>
            <w:r w:rsidRPr="004362EE">
              <w:rPr>
                <w:rFonts w:eastAsia="Times New Roman"/>
                <w:sz w:val="24"/>
                <w:szCs w:val="24"/>
                <w:vertAlign w:val="superscript"/>
              </w:rPr>
              <w:t>ab</w:t>
            </w:r>
          </w:p>
        </w:tc>
        <w:tc>
          <w:tcPr>
            <w:tcW w:w="600" w:type="pct"/>
            <w:noWrap/>
            <w:hideMark/>
          </w:tcPr>
          <w:p w14:paraId="3032DEF8"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4.83±0.26</w:t>
            </w:r>
            <w:r w:rsidRPr="004362EE">
              <w:rPr>
                <w:rFonts w:eastAsia="Times New Roman"/>
                <w:sz w:val="24"/>
                <w:szCs w:val="24"/>
                <w:vertAlign w:val="superscript"/>
              </w:rPr>
              <w:t>ab</w:t>
            </w:r>
          </w:p>
        </w:tc>
        <w:tc>
          <w:tcPr>
            <w:tcW w:w="631" w:type="pct"/>
            <w:noWrap/>
            <w:hideMark/>
          </w:tcPr>
          <w:p w14:paraId="2AA0987A"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3.81±0.01</w:t>
            </w:r>
            <w:r w:rsidRPr="004362EE">
              <w:rPr>
                <w:rFonts w:eastAsia="Times New Roman"/>
                <w:sz w:val="24"/>
                <w:szCs w:val="24"/>
                <w:vertAlign w:val="superscript"/>
              </w:rPr>
              <w:t>b</w:t>
            </w:r>
          </w:p>
        </w:tc>
        <w:tc>
          <w:tcPr>
            <w:tcW w:w="378" w:type="pct"/>
          </w:tcPr>
          <w:p w14:paraId="6E0645A0" w14:textId="77777777" w:rsidR="004702A4" w:rsidRPr="004362EE" w:rsidRDefault="004702A4" w:rsidP="004702A4">
            <w:pPr>
              <w:spacing w:line="240" w:lineRule="auto"/>
              <w:jc w:val="both"/>
              <w:rPr>
                <w:rFonts w:eastAsia="Times New Roman"/>
                <w:sz w:val="24"/>
                <w:szCs w:val="24"/>
              </w:rPr>
            </w:pPr>
            <w:r w:rsidRPr="004362EE">
              <w:rPr>
                <w:sz w:val="24"/>
                <w:szCs w:val="24"/>
              </w:rPr>
              <w:t>8.139</w:t>
            </w:r>
          </w:p>
        </w:tc>
        <w:tc>
          <w:tcPr>
            <w:tcW w:w="517" w:type="pct"/>
            <w:noWrap/>
            <w:hideMark/>
          </w:tcPr>
          <w:p w14:paraId="01AA0C01" w14:textId="1E9EA461" w:rsidR="004702A4" w:rsidRPr="004362EE" w:rsidRDefault="004702A4" w:rsidP="004702A4">
            <w:pPr>
              <w:spacing w:line="240" w:lineRule="auto"/>
              <w:jc w:val="both"/>
              <w:rPr>
                <w:rFonts w:eastAsia="Times New Roman"/>
                <w:sz w:val="24"/>
                <w:szCs w:val="24"/>
              </w:rPr>
            </w:pPr>
            <w:r w:rsidRPr="006A1D9C">
              <w:rPr>
                <w:rFonts w:eastAsia="Times New Roman"/>
                <w:sz w:val="24"/>
                <w:szCs w:val="24"/>
              </w:rPr>
              <w:t>&lt; 0.001</w:t>
            </w:r>
          </w:p>
        </w:tc>
      </w:tr>
      <w:tr w:rsidR="004702A4" w:rsidRPr="004362EE" w14:paraId="7B7E07ED" w14:textId="77777777" w:rsidTr="002F5820">
        <w:trPr>
          <w:trHeight w:val="300"/>
        </w:trPr>
        <w:tc>
          <w:tcPr>
            <w:tcW w:w="347" w:type="pct"/>
            <w:gridSpan w:val="2"/>
            <w:noWrap/>
            <w:hideMark/>
          </w:tcPr>
          <w:p w14:paraId="26DA2ED9"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w:t>
            </w:r>
          </w:p>
        </w:tc>
        <w:tc>
          <w:tcPr>
            <w:tcW w:w="355" w:type="pct"/>
            <w:noWrap/>
            <w:hideMark/>
          </w:tcPr>
          <w:p w14:paraId="1B43F19B"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CAT </w:t>
            </w:r>
          </w:p>
        </w:tc>
        <w:tc>
          <w:tcPr>
            <w:tcW w:w="531" w:type="pct"/>
            <w:noWrap/>
            <w:hideMark/>
          </w:tcPr>
          <w:p w14:paraId="189898AF"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128.52±0.01</w:t>
            </w:r>
            <w:r w:rsidRPr="004362EE">
              <w:rPr>
                <w:rFonts w:eastAsia="Times New Roman"/>
                <w:sz w:val="24"/>
                <w:szCs w:val="24"/>
                <w:vertAlign w:val="superscript"/>
              </w:rPr>
              <w:t>a</w:t>
            </w:r>
          </w:p>
        </w:tc>
        <w:tc>
          <w:tcPr>
            <w:tcW w:w="568" w:type="pct"/>
            <w:noWrap/>
            <w:hideMark/>
          </w:tcPr>
          <w:p w14:paraId="31262F17"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127.64±5.29</w:t>
            </w:r>
            <w:r w:rsidRPr="004362EE">
              <w:rPr>
                <w:rFonts w:eastAsia="Times New Roman"/>
                <w:sz w:val="24"/>
                <w:szCs w:val="24"/>
                <w:vertAlign w:val="superscript"/>
              </w:rPr>
              <w:t>a</w:t>
            </w:r>
          </w:p>
        </w:tc>
        <w:tc>
          <w:tcPr>
            <w:tcW w:w="536" w:type="pct"/>
            <w:noWrap/>
            <w:hideMark/>
          </w:tcPr>
          <w:p w14:paraId="20E96411"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109.74±3.38</w:t>
            </w:r>
            <w:r w:rsidRPr="004362EE">
              <w:rPr>
                <w:rFonts w:eastAsia="Times New Roman"/>
                <w:sz w:val="24"/>
                <w:szCs w:val="24"/>
                <w:vertAlign w:val="superscript"/>
              </w:rPr>
              <w:t>b</w:t>
            </w:r>
          </w:p>
        </w:tc>
        <w:tc>
          <w:tcPr>
            <w:tcW w:w="537" w:type="pct"/>
            <w:noWrap/>
            <w:hideMark/>
          </w:tcPr>
          <w:p w14:paraId="34B0AA6E"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114.58±0.81</w:t>
            </w:r>
            <w:r w:rsidRPr="004362EE">
              <w:rPr>
                <w:rFonts w:eastAsia="Times New Roman"/>
                <w:sz w:val="24"/>
                <w:szCs w:val="24"/>
                <w:vertAlign w:val="superscript"/>
              </w:rPr>
              <w:t>b</w:t>
            </w:r>
          </w:p>
        </w:tc>
        <w:tc>
          <w:tcPr>
            <w:tcW w:w="600" w:type="pct"/>
            <w:noWrap/>
            <w:hideMark/>
          </w:tcPr>
          <w:p w14:paraId="78871806"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120.47±1.84</w:t>
            </w:r>
            <w:r w:rsidRPr="004362EE">
              <w:rPr>
                <w:rFonts w:eastAsia="Times New Roman"/>
                <w:sz w:val="24"/>
                <w:szCs w:val="24"/>
                <w:vertAlign w:val="superscript"/>
              </w:rPr>
              <w:t>ab</w:t>
            </w:r>
          </w:p>
        </w:tc>
        <w:tc>
          <w:tcPr>
            <w:tcW w:w="631" w:type="pct"/>
            <w:noWrap/>
            <w:hideMark/>
          </w:tcPr>
          <w:p w14:paraId="71B184C1"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113.20±0.01</w:t>
            </w:r>
            <w:r w:rsidRPr="004362EE">
              <w:rPr>
                <w:rFonts w:eastAsia="Times New Roman"/>
                <w:sz w:val="24"/>
                <w:szCs w:val="24"/>
                <w:vertAlign w:val="superscript"/>
              </w:rPr>
              <w:t>b</w:t>
            </w:r>
          </w:p>
        </w:tc>
        <w:tc>
          <w:tcPr>
            <w:tcW w:w="378" w:type="pct"/>
          </w:tcPr>
          <w:p w14:paraId="423ED394" w14:textId="77777777" w:rsidR="004702A4" w:rsidRPr="004362EE" w:rsidRDefault="004702A4" w:rsidP="004702A4">
            <w:pPr>
              <w:spacing w:line="240" w:lineRule="auto"/>
              <w:jc w:val="both"/>
              <w:rPr>
                <w:rFonts w:eastAsia="Times New Roman"/>
                <w:sz w:val="24"/>
                <w:szCs w:val="24"/>
              </w:rPr>
            </w:pPr>
            <w:r w:rsidRPr="004362EE">
              <w:rPr>
                <w:sz w:val="24"/>
                <w:szCs w:val="24"/>
              </w:rPr>
              <w:t>8.468</w:t>
            </w:r>
          </w:p>
        </w:tc>
        <w:tc>
          <w:tcPr>
            <w:tcW w:w="517" w:type="pct"/>
            <w:noWrap/>
            <w:hideMark/>
          </w:tcPr>
          <w:p w14:paraId="7F47AB28" w14:textId="065839FB" w:rsidR="004702A4" w:rsidRPr="004362EE" w:rsidRDefault="004702A4" w:rsidP="004702A4">
            <w:pPr>
              <w:spacing w:line="240" w:lineRule="auto"/>
              <w:jc w:val="both"/>
              <w:rPr>
                <w:rFonts w:eastAsia="Times New Roman"/>
                <w:sz w:val="24"/>
                <w:szCs w:val="24"/>
              </w:rPr>
            </w:pPr>
            <w:r w:rsidRPr="006A1D9C">
              <w:rPr>
                <w:rFonts w:eastAsia="Times New Roman"/>
                <w:sz w:val="24"/>
                <w:szCs w:val="24"/>
              </w:rPr>
              <w:t>&lt; 0.001</w:t>
            </w:r>
          </w:p>
        </w:tc>
      </w:tr>
      <w:tr w:rsidR="004702A4" w:rsidRPr="004362EE" w14:paraId="0266C80C" w14:textId="77777777" w:rsidTr="002F5820">
        <w:trPr>
          <w:trHeight w:val="300"/>
        </w:trPr>
        <w:tc>
          <w:tcPr>
            <w:tcW w:w="347" w:type="pct"/>
            <w:gridSpan w:val="2"/>
            <w:noWrap/>
            <w:hideMark/>
          </w:tcPr>
          <w:p w14:paraId="2D030C9B"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Root</w:t>
            </w:r>
          </w:p>
        </w:tc>
        <w:tc>
          <w:tcPr>
            <w:tcW w:w="355" w:type="pct"/>
            <w:noWrap/>
            <w:hideMark/>
          </w:tcPr>
          <w:p w14:paraId="6907535F"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MDA </w:t>
            </w:r>
          </w:p>
        </w:tc>
        <w:tc>
          <w:tcPr>
            <w:tcW w:w="531" w:type="pct"/>
            <w:noWrap/>
            <w:hideMark/>
          </w:tcPr>
          <w:p w14:paraId="59166523"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26.41±0.01</w:t>
            </w:r>
            <w:r w:rsidRPr="004362EE">
              <w:rPr>
                <w:rFonts w:eastAsia="Times New Roman"/>
                <w:sz w:val="24"/>
                <w:szCs w:val="24"/>
                <w:vertAlign w:val="superscript"/>
              </w:rPr>
              <w:t>a</w:t>
            </w:r>
          </w:p>
        </w:tc>
        <w:tc>
          <w:tcPr>
            <w:tcW w:w="568" w:type="pct"/>
            <w:noWrap/>
            <w:hideMark/>
          </w:tcPr>
          <w:p w14:paraId="4B32D2B2"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30.20±0.01</w:t>
            </w:r>
            <w:r w:rsidRPr="004362EE">
              <w:rPr>
                <w:rFonts w:eastAsia="Times New Roman"/>
                <w:sz w:val="24"/>
                <w:szCs w:val="24"/>
                <w:vertAlign w:val="superscript"/>
              </w:rPr>
              <w:t>b</w:t>
            </w:r>
          </w:p>
        </w:tc>
        <w:tc>
          <w:tcPr>
            <w:tcW w:w="536" w:type="pct"/>
            <w:noWrap/>
            <w:hideMark/>
          </w:tcPr>
          <w:p w14:paraId="77C9CE7A"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30.03±0.10</w:t>
            </w:r>
            <w:r w:rsidRPr="004362EE">
              <w:rPr>
                <w:rFonts w:eastAsia="Times New Roman"/>
                <w:sz w:val="24"/>
                <w:szCs w:val="24"/>
                <w:vertAlign w:val="superscript"/>
              </w:rPr>
              <w:t>b</w:t>
            </w:r>
          </w:p>
        </w:tc>
        <w:tc>
          <w:tcPr>
            <w:tcW w:w="537" w:type="pct"/>
            <w:noWrap/>
            <w:hideMark/>
          </w:tcPr>
          <w:p w14:paraId="14031A08"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29.85±0.07</w:t>
            </w:r>
            <w:r w:rsidRPr="004362EE">
              <w:rPr>
                <w:rFonts w:eastAsia="Times New Roman"/>
                <w:sz w:val="24"/>
                <w:szCs w:val="24"/>
                <w:vertAlign w:val="superscript"/>
              </w:rPr>
              <w:t>b</w:t>
            </w:r>
          </w:p>
        </w:tc>
        <w:tc>
          <w:tcPr>
            <w:tcW w:w="600" w:type="pct"/>
            <w:noWrap/>
            <w:hideMark/>
          </w:tcPr>
          <w:p w14:paraId="560A542F"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32.07±0.87</w:t>
            </w:r>
            <w:r w:rsidRPr="004362EE">
              <w:rPr>
                <w:rFonts w:eastAsia="Times New Roman"/>
                <w:sz w:val="24"/>
                <w:szCs w:val="24"/>
                <w:vertAlign w:val="superscript"/>
              </w:rPr>
              <w:t>c</w:t>
            </w:r>
          </w:p>
        </w:tc>
        <w:tc>
          <w:tcPr>
            <w:tcW w:w="631" w:type="pct"/>
            <w:noWrap/>
            <w:hideMark/>
          </w:tcPr>
          <w:p w14:paraId="654C8084"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29.63±0.10</w:t>
            </w:r>
            <w:r w:rsidRPr="004362EE">
              <w:rPr>
                <w:rFonts w:eastAsia="Times New Roman"/>
                <w:sz w:val="24"/>
                <w:szCs w:val="24"/>
                <w:vertAlign w:val="superscript"/>
              </w:rPr>
              <w:t>b</w:t>
            </w:r>
          </w:p>
        </w:tc>
        <w:tc>
          <w:tcPr>
            <w:tcW w:w="378" w:type="pct"/>
          </w:tcPr>
          <w:p w14:paraId="42EB21F1" w14:textId="77777777" w:rsidR="004702A4" w:rsidRPr="004362EE" w:rsidRDefault="004702A4" w:rsidP="004702A4">
            <w:pPr>
              <w:spacing w:line="240" w:lineRule="auto"/>
              <w:jc w:val="both"/>
              <w:rPr>
                <w:rFonts w:eastAsia="Times New Roman"/>
                <w:sz w:val="24"/>
                <w:szCs w:val="24"/>
              </w:rPr>
            </w:pPr>
            <w:r w:rsidRPr="004362EE">
              <w:rPr>
                <w:sz w:val="24"/>
                <w:szCs w:val="24"/>
              </w:rPr>
              <w:t>8.637</w:t>
            </w:r>
          </w:p>
        </w:tc>
        <w:tc>
          <w:tcPr>
            <w:tcW w:w="517" w:type="pct"/>
            <w:noWrap/>
            <w:hideMark/>
          </w:tcPr>
          <w:p w14:paraId="5181FA29" w14:textId="19FA26CF" w:rsidR="004702A4" w:rsidRPr="004362EE" w:rsidRDefault="004702A4" w:rsidP="004702A4">
            <w:pPr>
              <w:spacing w:line="240" w:lineRule="auto"/>
              <w:jc w:val="both"/>
              <w:rPr>
                <w:rFonts w:eastAsia="Times New Roman"/>
                <w:sz w:val="24"/>
                <w:szCs w:val="24"/>
              </w:rPr>
            </w:pPr>
            <w:r w:rsidRPr="006A1D9C">
              <w:rPr>
                <w:rFonts w:eastAsia="Times New Roman"/>
                <w:sz w:val="24"/>
                <w:szCs w:val="24"/>
              </w:rPr>
              <w:t>&lt; 0.001</w:t>
            </w:r>
          </w:p>
        </w:tc>
      </w:tr>
      <w:tr w:rsidR="004702A4" w:rsidRPr="004362EE" w14:paraId="3A82EDA7" w14:textId="77777777" w:rsidTr="002F5820">
        <w:trPr>
          <w:trHeight w:val="300"/>
        </w:trPr>
        <w:tc>
          <w:tcPr>
            <w:tcW w:w="347" w:type="pct"/>
            <w:gridSpan w:val="2"/>
            <w:noWrap/>
            <w:hideMark/>
          </w:tcPr>
          <w:p w14:paraId="3C151CF9"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w:t>
            </w:r>
          </w:p>
        </w:tc>
        <w:tc>
          <w:tcPr>
            <w:tcW w:w="355" w:type="pct"/>
            <w:noWrap/>
          </w:tcPr>
          <w:p w14:paraId="1105412C"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SOD </w:t>
            </w:r>
          </w:p>
        </w:tc>
        <w:tc>
          <w:tcPr>
            <w:tcW w:w="531" w:type="pct"/>
            <w:noWrap/>
          </w:tcPr>
          <w:p w14:paraId="11A1EEC2"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6.20±0.01</w:t>
            </w:r>
            <w:r w:rsidRPr="004362EE">
              <w:rPr>
                <w:rFonts w:eastAsia="Times New Roman"/>
                <w:sz w:val="24"/>
                <w:szCs w:val="24"/>
                <w:vertAlign w:val="superscript"/>
              </w:rPr>
              <w:t>a</w:t>
            </w:r>
          </w:p>
        </w:tc>
        <w:tc>
          <w:tcPr>
            <w:tcW w:w="568" w:type="pct"/>
            <w:noWrap/>
          </w:tcPr>
          <w:p w14:paraId="0C513DAE"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6.31±0.01</w:t>
            </w:r>
            <w:r w:rsidRPr="004362EE">
              <w:rPr>
                <w:rFonts w:eastAsia="Times New Roman"/>
                <w:sz w:val="24"/>
                <w:szCs w:val="24"/>
                <w:vertAlign w:val="superscript"/>
              </w:rPr>
              <w:t>a</w:t>
            </w:r>
          </w:p>
        </w:tc>
        <w:tc>
          <w:tcPr>
            <w:tcW w:w="536" w:type="pct"/>
            <w:noWrap/>
          </w:tcPr>
          <w:p w14:paraId="23B7EE57"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6.39±0.03</w:t>
            </w:r>
            <w:r w:rsidRPr="004362EE">
              <w:rPr>
                <w:rFonts w:eastAsia="Times New Roman"/>
                <w:sz w:val="24"/>
                <w:szCs w:val="24"/>
                <w:vertAlign w:val="superscript"/>
              </w:rPr>
              <w:t>a</w:t>
            </w:r>
          </w:p>
        </w:tc>
        <w:tc>
          <w:tcPr>
            <w:tcW w:w="537" w:type="pct"/>
            <w:noWrap/>
          </w:tcPr>
          <w:p w14:paraId="623F46EF"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5.67±0.31</w:t>
            </w:r>
            <w:r w:rsidRPr="004362EE">
              <w:rPr>
                <w:rFonts w:eastAsia="Times New Roman"/>
                <w:sz w:val="24"/>
                <w:szCs w:val="24"/>
                <w:vertAlign w:val="superscript"/>
              </w:rPr>
              <w:t>ab</w:t>
            </w:r>
          </w:p>
        </w:tc>
        <w:tc>
          <w:tcPr>
            <w:tcW w:w="600" w:type="pct"/>
            <w:noWrap/>
          </w:tcPr>
          <w:p w14:paraId="30913C08"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4.83±0.26</w:t>
            </w:r>
            <w:r w:rsidRPr="004362EE">
              <w:rPr>
                <w:rFonts w:eastAsia="Times New Roman"/>
                <w:sz w:val="24"/>
                <w:szCs w:val="24"/>
                <w:vertAlign w:val="superscript"/>
              </w:rPr>
              <w:t>c</w:t>
            </w:r>
          </w:p>
        </w:tc>
        <w:tc>
          <w:tcPr>
            <w:tcW w:w="631" w:type="pct"/>
            <w:noWrap/>
          </w:tcPr>
          <w:p w14:paraId="4EB8C663"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5.22±0.03</w:t>
            </w:r>
            <w:r w:rsidRPr="004362EE">
              <w:rPr>
                <w:rFonts w:eastAsia="Times New Roman"/>
                <w:sz w:val="24"/>
                <w:szCs w:val="24"/>
                <w:vertAlign w:val="superscript"/>
              </w:rPr>
              <w:t>bc</w:t>
            </w:r>
          </w:p>
        </w:tc>
        <w:tc>
          <w:tcPr>
            <w:tcW w:w="378" w:type="pct"/>
          </w:tcPr>
          <w:p w14:paraId="219FA8BF" w14:textId="77777777" w:rsidR="004702A4" w:rsidRPr="004362EE" w:rsidRDefault="004702A4" w:rsidP="004702A4">
            <w:pPr>
              <w:spacing w:line="240" w:lineRule="auto"/>
              <w:jc w:val="both"/>
              <w:rPr>
                <w:rFonts w:eastAsia="Times New Roman"/>
                <w:sz w:val="24"/>
                <w:szCs w:val="24"/>
              </w:rPr>
            </w:pPr>
            <w:r w:rsidRPr="004362EE">
              <w:rPr>
                <w:sz w:val="24"/>
                <w:szCs w:val="24"/>
              </w:rPr>
              <w:t>5.910</w:t>
            </w:r>
          </w:p>
        </w:tc>
        <w:tc>
          <w:tcPr>
            <w:tcW w:w="517" w:type="pct"/>
            <w:noWrap/>
          </w:tcPr>
          <w:p w14:paraId="051966A1" w14:textId="669A6ED4" w:rsidR="004702A4" w:rsidRPr="004362EE" w:rsidRDefault="004702A4" w:rsidP="004702A4">
            <w:pPr>
              <w:spacing w:line="240" w:lineRule="auto"/>
              <w:jc w:val="both"/>
              <w:rPr>
                <w:rFonts w:eastAsia="Times New Roman"/>
                <w:sz w:val="24"/>
                <w:szCs w:val="24"/>
              </w:rPr>
            </w:pPr>
            <w:r w:rsidRPr="006A1D9C">
              <w:rPr>
                <w:rFonts w:eastAsia="Times New Roman"/>
                <w:sz w:val="24"/>
                <w:szCs w:val="24"/>
              </w:rPr>
              <w:t>&lt; 0.001</w:t>
            </w:r>
          </w:p>
        </w:tc>
      </w:tr>
      <w:tr w:rsidR="004702A4" w:rsidRPr="004362EE" w14:paraId="333314C3" w14:textId="77777777" w:rsidTr="002F5820">
        <w:trPr>
          <w:trHeight w:val="300"/>
        </w:trPr>
        <w:tc>
          <w:tcPr>
            <w:tcW w:w="347" w:type="pct"/>
            <w:gridSpan w:val="2"/>
            <w:tcBorders>
              <w:bottom w:val="single" w:sz="4" w:space="0" w:color="auto"/>
            </w:tcBorders>
            <w:noWrap/>
            <w:hideMark/>
          </w:tcPr>
          <w:p w14:paraId="4BE3FE3A"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w:t>
            </w:r>
          </w:p>
        </w:tc>
        <w:tc>
          <w:tcPr>
            <w:tcW w:w="355" w:type="pct"/>
            <w:tcBorders>
              <w:bottom w:val="single" w:sz="4" w:space="0" w:color="auto"/>
            </w:tcBorders>
            <w:noWrap/>
          </w:tcPr>
          <w:p w14:paraId="049CD9C1"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CAT </w:t>
            </w:r>
          </w:p>
        </w:tc>
        <w:tc>
          <w:tcPr>
            <w:tcW w:w="531" w:type="pct"/>
            <w:tcBorders>
              <w:bottom w:val="single" w:sz="4" w:space="0" w:color="auto"/>
            </w:tcBorders>
            <w:noWrap/>
          </w:tcPr>
          <w:p w14:paraId="105A7D0F"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128.52±0.01</w:t>
            </w:r>
            <w:r w:rsidRPr="004362EE">
              <w:rPr>
                <w:rFonts w:eastAsia="Times New Roman"/>
                <w:sz w:val="24"/>
                <w:szCs w:val="24"/>
                <w:vertAlign w:val="superscript"/>
              </w:rPr>
              <w:t>a</w:t>
            </w:r>
          </w:p>
        </w:tc>
        <w:tc>
          <w:tcPr>
            <w:tcW w:w="568" w:type="pct"/>
            <w:tcBorders>
              <w:bottom w:val="single" w:sz="4" w:space="0" w:color="auto"/>
            </w:tcBorders>
            <w:noWrap/>
          </w:tcPr>
          <w:p w14:paraId="7A7C67E9"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117.02±0.45</w:t>
            </w:r>
            <w:r w:rsidRPr="004362EE">
              <w:rPr>
                <w:rFonts w:eastAsia="Times New Roman"/>
                <w:sz w:val="24"/>
                <w:szCs w:val="24"/>
                <w:vertAlign w:val="superscript"/>
              </w:rPr>
              <w:t>b</w:t>
            </w:r>
          </w:p>
        </w:tc>
        <w:tc>
          <w:tcPr>
            <w:tcW w:w="536" w:type="pct"/>
            <w:tcBorders>
              <w:bottom w:val="single" w:sz="4" w:space="0" w:color="auto"/>
            </w:tcBorders>
            <w:noWrap/>
          </w:tcPr>
          <w:p w14:paraId="11AB5015"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119.83±0.80</w:t>
            </w:r>
            <w:r w:rsidRPr="004362EE">
              <w:rPr>
                <w:rFonts w:eastAsia="Times New Roman"/>
                <w:sz w:val="24"/>
                <w:szCs w:val="24"/>
                <w:vertAlign w:val="superscript"/>
              </w:rPr>
              <w:t>b</w:t>
            </w:r>
          </w:p>
        </w:tc>
        <w:tc>
          <w:tcPr>
            <w:tcW w:w="537" w:type="pct"/>
            <w:tcBorders>
              <w:bottom w:val="single" w:sz="4" w:space="0" w:color="auto"/>
            </w:tcBorders>
            <w:noWrap/>
          </w:tcPr>
          <w:p w14:paraId="742BE19C"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120.17±0.04</w:t>
            </w:r>
            <w:r w:rsidRPr="004362EE">
              <w:rPr>
                <w:rFonts w:eastAsia="Times New Roman"/>
                <w:sz w:val="24"/>
                <w:szCs w:val="24"/>
                <w:vertAlign w:val="superscript"/>
              </w:rPr>
              <w:t>b</w:t>
            </w:r>
          </w:p>
        </w:tc>
        <w:tc>
          <w:tcPr>
            <w:tcW w:w="600" w:type="pct"/>
            <w:tcBorders>
              <w:bottom w:val="single" w:sz="4" w:space="0" w:color="auto"/>
            </w:tcBorders>
            <w:noWrap/>
          </w:tcPr>
          <w:p w14:paraId="527B0F6A"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120.47±1.84</w:t>
            </w:r>
            <w:r w:rsidRPr="004362EE">
              <w:rPr>
                <w:rFonts w:eastAsia="Times New Roman"/>
                <w:sz w:val="24"/>
                <w:szCs w:val="24"/>
                <w:vertAlign w:val="superscript"/>
              </w:rPr>
              <w:t>b</w:t>
            </w:r>
          </w:p>
        </w:tc>
        <w:tc>
          <w:tcPr>
            <w:tcW w:w="631" w:type="pct"/>
            <w:tcBorders>
              <w:bottom w:val="single" w:sz="4" w:space="0" w:color="auto"/>
            </w:tcBorders>
            <w:noWrap/>
          </w:tcPr>
          <w:p w14:paraId="560B2528"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117.59±1.55</w:t>
            </w:r>
            <w:r w:rsidRPr="004362EE">
              <w:rPr>
                <w:rFonts w:eastAsia="Times New Roman"/>
                <w:sz w:val="24"/>
                <w:szCs w:val="24"/>
                <w:vertAlign w:val="superscript"/>
              </w:rPr>
              <w:t>b</w:t>
            </w:r>
          </w:p>
        </w:tc>
        <w:tc>
          <w:tcPr>
            <w:tcW w:w="378" w:type="pct"/>
            <w:tcBorders>
              <w:bottom w:val="single" w:sz="4" w:space="0" w:color="auto"/>
            </w:tcBorders>
          </w:tcPr>
          <w:p w14:paraId="049D4C99" w14:textId="77777777" w:rsidR="004702A4" w:rsidRPr="004362EE" w:rsidRDefault="004702A4" w:rsidP="004702A4">
            <w:pPr>
              <w:spacing w:line="240" w:lineRule="auto"/>
              <w:jc w:val="both"/>
              <w:rPr>
                <w:rFonts w:eastAsia="Times New Roman"/>
                <w:sz w:val="24"/>
                <w:szCs w:val="24"/>
              </w:rPr>
            </w:pPr>
            <w:r w:rsidRPr="004362EE">
              <w:rPr>
                <w:sz w:val="24"/>
                <w:szCs w:val="24"/>
              </w:rPr>
              <w:t>6.076</w:t>
            </w:r>
          </w:p>
        </w:tc>
        <w:tc>
          <w:tcPr>
            <w:tcW w:w="517" w:type="pct"/>
            <w:tcBorders>
              <w:bottom w:val="single" w:sz="4" w:space="0" w:color="auto"/>
            </w:tcBorders>
            <w:noWrap/>
          </w:tcPr>
          <w:p w14:paraId="21902DA0" w14:textId="418C21DB" w:rsidR="004702A4" w:rsidRPr="004362EE" w:rsidRDefault="004702A4" w:rsidP="004702A4">
            <w:pPr>
              <w:spacing w:line="240" w:lineRule="auto"/>
              <w:jc w:val="both"/>
              <w:rPr>
                <w:rFonts w:eastAsia="Times New Roman"/>
                <w:sz w:val="24"/>
                <w:szCs w:val="24"/>
              </w:rPr>
            </w:pPr>
            <w:r w:rsidRPr="006A1D9C">
              <w:rPr>
                <w:rFonts w:eastAsia="Times New Roman"/>
                <w:sz w:val="24"/>
                <w:szCs w:val="24"/>
              </w:rPr>
              <w:t>&lt; 0.001</w:t>
            </w:r>
          </w:p>
        </w:tc>
      </w:tr>
    </w:tbl>
    <w:p w14:paraId="469D8EE4" w14:textId="6867F5FF" w:rsidR="00705062" w:rsidRPr="004362EE" w:rsidRDefault="00705062" w:rsidP="00E83AEC">
      <w:pPr>
        <w:spacing w:after="0" w:line="240" w:lineRule="auto"/>
        <w:jc w:val="both"/>
        <w:rPr>
          <w:rFonts w:ascii="Times New Roman" w:hAnsi="Times New Roman" w:cs="Times New Roman"/>
          <w:sz w:val="24"/>
          <w:szCs w:val="24"/>
          <w:lang w:eastAsia="zh-CN"/>
        </w:rPr>
        <w:sectPr w:rsidR="00705062" w:rsidRPr="004362EE" w:rsidSect="004362EE">
          <w:pgSz w:w="15840" w:h="12240" w:orient="landscape"/>
          <w:pgMar w:top="1440" w:right="1440" w:bottom="1440" w:left="1440" w:header="720" w:footer="720" w:gutter="0"/>
          <w:cols w:space="720"/>
          <w:docGrid w:linePitch="360"/>
        </w:sectPr>
      </w:pPr>
    </w:p>
    <w:p w14:paraId="0B64070D" w14:textId="77777777" w:rsidR="004702A4" w:rsidRDefault="004702A4" w:rsidP="004702A4">
      <w:pPr>
        <w:spacing w:after="0" w:line="240" w:lineRule="auto"/>
        <w:jc w:val="both"/>
        <w:rPr>
          <w:rFonts w:ascii="Times New Roman" w:hAnsi="Times New Roman" w:cs="Times New Roman"/>
          <w:bCs/>
          <w:i/>
          <w:sz w:val="24"/>
          <w:szCs w:val="24"/>
        </w:rPr>
      </w:pPr>
      <w:r w:rsidRPr="004702A4">
        <w:rPr>
          <w:rFonts w:ascii="Times New Roman" w:hAnsi="Times New Roman" w:cs="Times New Roman"/>
          <w:bCs/>
          <w:i/>
          <w:sz w:val="24"/>
          <w:szCs w:val="24"/>
        </w:rPr>
        <w:t>Values are mean ± SEM. Within a row, means sharing at least one superscript letter are not significantly different, whereas means with no letters in common differ significantly (one-way ANOVA followed by Tukey’s post-hoc test, p &lt; 0.05).</w:t>
      </w:r>
    </w:p>
    <w:p w14:paraId="3E6F45D8" w14:textId="77777777" w:rsidR="004A65DB" w:rsidRDefault="004A65DB" w:rsidP="00B415C2">
      <w:pPr>
        <w:pStyle w:val="TABLE"/>
        <w:spacing w:line="240" w:lineRule="auto"/>
        <w:rPr>
          <w:rFonts w:cs="Times New Roman"/>
          <w:b w:val="0"/>
          <w:bCs/>
          <w:szCs w:val="24"/>
        </w:rPr>
      </w:pPr>
    </w:p>
    <w:p w14:paraId="4DB015C5" w14:textId="775E6285" w:rsidR="00B415C2" w:rsidRPr="004362EE" w:rsidRDefault="00B415C2" w:rsidP="00B415C2">
      <w:pPr>
        <w:pStyle w:val="TABLE"/>
        <w:spacing w:line="240" w:lineRule="auto"/>
        <w:rPr>
          <w:rFonts w:cs="Times New Roman"/>
          <w:b w:val="0"/>
          <w:bCs/>
          <w:szCs w:val="24"/>
        </w:rPr>
      </w:pPr>
      <w:r w:rsidRPr="004362EE">
        <w:rPr>
          <w:rFonts w:cs="Times New Roman"/>
          <w:b w:val="0"/>
          <w:bCs/>
          <w:szCs w:val="24"/>
        </w:rPr>
        <w:t xml:space="preserve">Table 3 highlights the impact of </w:t>
      </w:r>
      <w:r w:rsidRPr="004362EE">
        <w:rPr>
          <w:rFonts w:cs="Times New Roman"/>
          <w:b w:val="0"/>
          <w:bCs/>
          <w:i/>
          <w:szCs w:val="24"/>
        </w:rPr>
        <w:t>Alstonia boonei</w:t>
      </w:r>
      <w:r w:rsidRPr="004362EE">
        <w:rPr>
          <w:rFonts w:cs="Times New Roman"/>
          <w:b w:val="0"/>
          <w:bCs/>
          <w:szCs w:val="24"/>
        </w:rPr>
        <w:t xml:space="preserve"> extracts on kidney antioxidant status in formalin-induced Wistar rats, using MDA, SOD, and CAT as biomarkers. Significant differences were observed across all treatments (p =</w:t>
      </w:r>
      <w:r w:rsidR="004702A4" w:rsidRPr="004702A4">
        <w:rPr>
          <w:rFonts w:cs="Times New Roman"/>
          <w:b w:val="0"/>
          <w:bCs/>
          <w:szCs w:val="24"/>
        </w:rPr>
        <w:t>&lt; 0.001</w:t>
      </w:r>
      <w:r w:rsidRPr="004362EE">
        <w:rPr>
          <w:rFonts w:cs="Times New Roman"/>
          <w:b w:val="0"/>
          <w:bCs/>
          <w:szCs w:val="24"/>
        </w:rPr>
        <w:t xml:space="preserve">). At lower doses (150–300 mg/kg), the leaf extract showed beneficial antioxidant effects by reducing MDA levels and maintaining SOD and CAT activities. However, at 600 mg/kg, these benefits reversed, with increased MDA and decreased enzyme activities, indicating oxidative stress. In </w:t>
      </w:r>
      <w:r w:rsidRPr="004362EE">
        <w:rPr>
          <w:rFonts w:cs="Times New Roman"/>
          <w:b w:val="0"/>
          <w:bCs/>
          <w:szCs w:val="24"/>
        </w:rPr>
        <w:lastRenderedPageBreak/>
        <w:t>contrast, the stem and root extracts generally led to increased MDA and reduced SOD and CAT levels, especially at higher doses, suggesting they may compromise kidney antioxidant defense. Overall, the leaf extract at 150–300 mg/kg proved most effective in supporting kidney antioxidant status, while higher doses and other plant parts appeared to promote oxidative imbalance.</w:t>
      </w:r>
    </w:p>
    <w:p w14:paraId="7A403BCC" w14:textId="7A88FA1B" w:rsidR="004362EE" w:rsidRPr="004362EE" w:rsidRDefault="004362EE" w:rsidP="00E83AEC">
      <w:pPr>
        <w:pStyle w:val="TABLE"/>
        <w:spacing w:line="240" w:lineRule="auto"/>
        <w:rPr>
          <w:rFonts w:cs="Times New Roman"/>
          <w:szCs w:val="24"/>
        </w:rPr>
      </w:pPr>
      <w:bookmarkStart w:id="12" w:name="_Toc142054176"/>
      <w:bookmarkStart w:id="13" w:name="_Hlk204081461"/>
      <w:r w:rsidRPr="004362EE">
        <w:rPr>
          <w:rFonts w:cs="Times New Roman"/>
          <w:szCs w:val="24"/>
        </w:rPr>
        <w:t>Table 4</w:t>
      </w:r>
      <w:r w:rsidRPr="004362EE">
        <w:rPr>
          <w:rFonts w:cs="Times New Roman"/>
          <w:bCs/>
          <w:szCs w:val="24"/>
        </w:rPr>
        <w:t xml:space="preserve">: Mean comparison of </w:t>
      </w:r>
      <w:r w:rsidRPr="004362EE">
        <w:rPr>
          <w:rFonts w:cs="Times New Roman"/>
          <w:bCs/>
          <w:i/>
          <w:szCs w:val="24"/>
        </w:rPr>
        <w:t xml:space="preserve">A. boonei </w:t>
      </w:r>
      <w:r w:rsidRPr="004362EE">
        <w:rPr>
          <w:rFonts w:cs="Times New Roman"/>
          <w:szCs w:val="24"/>
        </w:rPr>
        <w:t>on Heart antioxidant status of formalin induced Wistar rats</w:t>
      </w:r>
      <w:bookmarkEnd w:id="12"/>
    </w:p>
    <w:tbl>
      <w:tblPr>
        <w:tblStyle w:val="TableGrid"/>
        <w:tblW w:w="5513" w:type="pct"/>
        <w:tblInd w:w="-5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900"/>
        <w:gridCol w:w="1532"/>
        <w:gridCol w:w="1709"/>
        <w:gridCol w:w="1709"/>
        <w:gridCol w:w="1620"/>
        <w:gridCol w:w="1709"/>
        <w:gridCol w:w="1978"/>
        <w:gridCol w:w="1175"/>
        <w:gridCol w:w="966"/>
      </w:tblGrid>
      <w:tr w:rsidR="00B812A0" w:rsidRPr="004362EE" w14:paraId="5F3AC138" w14:textId="77777777" w:rsidTr="004702A4">
        <w:trPr>
          <w:trHeight w:val="300"/>
        </w:trPr>
        <w:tc>
          <w:tcPr>
            <w:tcW w:w="347" w:type="pct"/>
            <w:tcBorders>
              <w:top w:val="single" w:sz="4" w:space="0" w:color="auto"/>
              <w:bottom w:val="single" w:sz="4" w:space="0" w:color="auto"/>
            </w:tcBorders>
            <w:noWrap/>
            <w:hideMark/>
          </w:tcPr>
          <w:p w14:paraId="0D42FF38" w14:textId="77777777" w:rsidR="004362EE" w:rsidRPr="004362EE" w:rsidRDefault="004362EE" w:rsidP="00E83AEC">
            <w:pPr>
              <w:spacing w:line="240" w:lineRule="auto"/>
              <w:jc w:val="both"/>
              <w:rPr>
                <w:rFonts w:eastAsia="Times New Roman"/>
                <w:sz w:val="24"/>
                <w:szCs w:val="24"/>
              </w:rPr>
            </w:pPr>
          </w:p>
        </w:tc>
        <w:tc>
          <w:tcPr>
            <w:tcW w:w="315" w:type="pct"/>
            <w:tcBorders>
              <w:top w:val="single" w:sz="4" w:space="0" w:color="auto"/>
              <w:bottom w:val="single" w:sz="4" w:space="0" w:color="auto"/>
            </w:tcBorders>
            <w:noWrap/>
            <w:hideMark/>
          </w:tcPr>
          <w:p w14:paraId="5E45AF6E" w14:textId="77777777" w:rsidR="004362EE" w:rsidRPr="004362EE" w:rsidRDefault="004362EE" w:rsidP="00E83AEC">
            <w:pPr>
              <w:spacing w:line="240" w:lineRule="auto"/>
              <w:jc w:val="both"/>
              <w:rPr>
                <w:rFonts w:eastAsia="Times New Roman"/>
                <w:sz w:val="24"/>
                <w:szCs w:val="24"/>
              </w:rPr>
            </w:pPr>
          </w:p>
        </w:tc>
        <w:tc>
          <w:tcPr>
            <w:tcW w:w="536" w:type="pct"/>
            <w:tcBorders>
              <w:top w:val="single" w:sz="4" w:space="0" w:color="auto"/>
              <w:bottom w:val="single" w:sz="4" w:space="0" w:color="auto"/>
            </w:tcBorders>
            <w:noWrap/>
            <w:hideMark/>
          </w:tcPr>
          <w:p w14:paraId="3267EF9F"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3 ml/kg</w:t>
            </w:r>
          </w:p>
          <w:p w14:paraId="58606660"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DH</w:t>
            </w:r>
            <w:r w:rsidRPr="004362EE">
              <w:rPr>
                <w:rFonts w:eastAsia="Times New Roman"/>
                <w:b/>
                <w:bCs/>
                <w:sz w:val="24"/>
                <w:szCs w:val="24"/>
                <w:vertAlign w:val="subscript"/>
              </w:rPr>
              <w:t>2</w:t>
            </w:r>
            <w:r w:rsidRPr="004362EE">
              <w:rPr>
                <w:rFonts w:eastAsia="Times New Roman"/>
                <w:b/>
                <w:bCs/>
                <w:sz w:val="24"/>
                <w:szCs w:val="24"/>
              </w:rPr>
              <w:t>O</w:t>
            </w:r>
          </w:p>
        </w:tc>
        <w:tc>
          <w:tcPr>
            <w:tcW w:w="598" w:type="pct"/>
            <w:tcBorders>
              <w:top w:val="single" w:sz="4" w:space="0" w:color="auto"/>
              <w:bottom w:val="single" w:sz="4" w:space="0" w:color="auto"/>
            </w:tcBorders>
            <w:noWrap/>
            <w:hideMark/>
          </w:tcPr>
          <w:p w14:paraId="054452E3"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150 mg/kg</w:t>
            </w:r>
          </w:p>
        </w:tc>
        <w:tc>
          <w:tcPr>
            <w:tcW w:w="598" w:type="pct"/>
            <w:tcBorders>
              <w:top w:val="single" w:sz="4" w:space="0" w:color="auto"/>
              <w:bottom w:val="single" w:sz="4" w:space="0" w:color="auto"/>
            </w:tcBorders>
            <w:noWrap/>
            <w:hideMark/>
          </w:tcPr>
          <w:p w14:paraId="292C720F"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300 mg/kg</w:t>
            </w:r>
          </w:p>
        </w:tc>
        <w:tc>
          <w:tcPr>
            <w:tcW w:w="567" w:type="pct"/>
            <w:tcBorders>
              <w:top w:val="single" w:sz="4" w:space="0" w:color="auto"/>
              <w:bottom w:val="single" w:sz="4" w:space="0" w:color="auto"/>
            </w:tcBorders>
            <w:noWrap/>
            <w:hideMark/>
          </w:tcPr>
          <w:p w14:paraId="292067A4"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600 mg/kg</w:t>
            </w:r>
          </w:p>
        </w:tc>
        <w:tc>
          <w:tcPr>
            <w:tcW w:w="598" w:type="pct"/>
            <w:tcBorders>
              <w:top w:val="single" w:sz="4" w:space="0" w:color="auto"/>
              <w:bottom w:val="single" w:sz="4" w:space="0" w:color="auto"/>
            </w:tcBorders>
            <w:noWrap/>
            <w:hideMark/>
          </w:tcPr>
          <w:p w14:paraId="5B34CF46"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Indomethacin</w:t>
            </w:r>
          </w:p>
        </w:tc>
        <w:tc>
          <w:tcPr>
            <w:tcW w:w="692" w:type="pct"/>
            <w:tcBorders>
              <w:top w:val="single" w:sz="4" w:space="0" w:color="auto"/>
              <w:bottom w:val="single" w:sz="4" w:space="0" w:color="auto"/>
            </w:tcBorders>
            <w:noWrap/>
            <w:hideMark/>
          </w:tcPr>
          <w:p w14:paraId="1400A253"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300 mg/kg only</w:t>
            </w:r>
          </w:p>
          <w:p w14:paraId="77600139"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Without induction</w:t>
            </w:r>
          </w:p>
        </w:tc>
        <w:tc>
          <w:tcPr>
            <w:tcW w:w="411" w:type="pct"/>
            <w:tcBorders>
              <w:top w:val="single" w:sz="4" w:space="0" w:color="auto"/>
              <w:bottom w:val="single" w:sz="4" w:space="0" w:color="auto"/>
            </w:tcBorders>
          </w:tcPr>
          <w:p w14:paraId="391BD4F4"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F-value</w:t>
            </w:r>
          </w:p>
        </w:tc>
        <w:tc>
          <w:tcPr>
            <w:tcW w:w="338" w:type="pct"/>
            <w:tcBorders>
              <w:top w:val="single" w:sz="4" w:space="0" w:color="auto"/>
              <w:bottom w:val="single" w:sz="4" w:space="0" w:color="auto"/>
            </w:tcBorders>
            <w:noWrap/>
            <w:hideMark/>
          </w:tcPr>
          <w:p w14:paraId="7BC5682F"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p-value</w:t>
            </w:r>
          </w:p>
        </w:tc>
      </w:tr>
      <w:tr w:rsidR="004702A4" w:rsidRPr="004362EE" w14:paraId="375DE1C2" w14:textId="77777777" w:rsidTr="004702A4">
        <w:trPr>
          <w:trHeight w:val="300"/>
        </w:trPr>
        <w:tc>
          <w:tcPr>
            <w:tcW w:w="347" w:type="pct"/>
            <w:noWrap/>
            <w:hideMark/>
          </w:tcPr>
          <w:p w14:paraId="6C135BC8"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Leaves</w:t>
            </w:r>
          </w:p>
        </w:tc>
        <w:tc>
          <w:tcPr>
            <w:tcW w:w="315" w:type="pct"/>
            <w:noWrap/>
            <w:hideMark/>
          </w:tcPr>
          <w:p w14:paraId="3DB4EAB6"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MDA </w:t>
            </w:r>
          </w:p>
        </w:tc>
        <w:tc>
          <w:tcPr>
            <w:tcW w:w="536" w:type="pct"/>
            <w:noWrap/>
            <w:hideMark/>
          </w:tcPr>
          <w:p w14:paraId="609D270D"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25.68±0.01</w:t>
            </w:r>
            <w:r w:rsidRPr="004362EE">
              <w:rPr>
                <w:rFonts w:eastAsia="Times New Roman"/>
                <w:sz w:val="24"/>
                <w:szCs w:val="24"/>
                <w:vertAlign w:val="superscript"/>
              </w:rPr>
              <w:t>a</w:t>
            </w:r>
          </w:p>
        </w:tc>
        <w:tc>
          <w:tcPr>
            <w:tcW w:w="598" w:type="pct"/>
            <w:noWrap/>
            <w:hideMark/>
          </w:tcPr>
          <w:p w14:paraId="07EFFCE3"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23.66±0.51</w:t>
            </w:r>
            <w:r w:rsidRPr="004362EE">
              <w:rPr>
                <w:rFonts w:eastAsia="Times New Roman"/>
                <w:sz w:val="24"/>
                <w:szCs w:val="24"/>
                <w:vertAlign w:val="superscript"/>
              </w:rPr>
              <w:t>a</w:t>
            </w:r>
          </w:p>
        </w:tc>
        <w:tc>
          <w:tcPr>
            <w:tcW w:w="598" w:type="pct"/>
            <w:noWrap/>
            <w:hideMark/>
          </w:tcPr>
          <w:p w14:paraId="1CC537CE"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23.18±0.01</w:t>
            </w:r>
            <w:r w:rsidRPr="004362EE">
              <w:rPr>
                <w:rFonts w:eastAsia="Times New Roman"/>
                <w:sz w:val="24"/>
                <w:szCs w:val="24"/>
                <w:vertAlign w:val="superscript"/>
              </w:rPr>
              <w:t>a</w:t>
            </w:r>
          </w:p>
        </w:tc>
        <w:tc>
          <w:tcPr>
            <w:tcW w:w="567" w:type="pct"/>
            <w:noWrap/>
            <w:hideMark/>
          </w:tcPr>
          <w:p w14:paraId="54FA9B2C"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38.08±0.02</w:t>
            </w:r>
            <w:r w:rsidRPr="004362EE">
              <w:rPr>
                <w:rFonts w:eastAsia="Times New Roman"/>
                <w:sz w:val="24"/>
                <w:szCs w:val="24"/>
                <w:vertAlign w:val="superscript"/>
              </w:rPr>
              <w:t>b</w:t>
            </w:r>
          </w:p>
        </w:tc>
        <w:tc>
          <w:tcPr>
            <w:tcW w:w="598" w:type="pct"/>
            <w:noWrap/>
            <w:hideMark/>
          </w:tcPr>
          <w:p w14:paraId="2D1FCFCF"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32.82±1.34</w:t>
            </w:r>
            <w:r w:rsidRPr="004362EE">
              <w:rPr>
                <w:rFonts w:eastAsia="Times New Roman"/>
                <w:sz w:val="24"/>
                <w:szCs w:val="24"/>
                <w:vertAlign w:val="superscript"/>
              </w:rPr>
              <w:t>c</w:t>
            </w:r>
          </w:p>
        </w:tc>
        <w:tc>
          <w:tcPr>
            <w:tcW w:w="692" w:type="pct"/>
            <w:noWrap/>
            <w:hideMark/>
          </w:tcPr>
          <w:p w14:paraId="38741676"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31.34±0.08</w:t>
            </w:r>
            <w:r w:rsidRPr="004362EE">
              <w:rPr>
                <w:rFonts w:eastAsia="Times New Roman"/>
                <w:sz w:val="24"/>
                <w:szCs w:val="24"/>
                <w:vertAlign w:val="superscript"/>
              </w:rPr>
              <w:t>c</w:t>
            </w:r>
          </w:p>
        </w:tc>
        <w:tc>
          <w:tcPr>
            <w:tcW w:w="411" w:type="pct"/>
          </w:tcPr>
          <w:p w14:paraId="588E73AC" w14:textId="77777777" w:rsidR="004702A4" w:rsidRPr="004362EE" w:rsidRDefault="004702A4" w:rsidP="004702A4">
            <w:pPr>
              <w:spacing w:line="240" w:lineRule="auto"/>
              <w:jc w:val="both"/>
              <w:rPr>
                <w:rFonts w:eastAsia="Times New Roman"/>
                <w:sz w:val="24"/>
                <w:szCs w:val="24"/>
              </w:rPr>
            </w:pPr>
            <w:r w:rsidRPr="004362EE">
              <w:rPr>
                <w:sz w:val="24"/>
                <w:szCs w:val="24"/>
              </w:rPr>
              <w:t>7.102</w:t>
            </w:r>
          </w:p>
        </w:tc>
        <w:tc>
          <w:tcPr>
            <w:tcW w:w="338" w:type="pct"/>
            <w:noWrap/>
            <w:hideMark/>
          </w:tcPr>
          <w:p w14:paraId="6BF88046" w14:textId="561A38F9" w:rsidR="004702A4" w:rsidRPr="004362EE" w:rsidRDefault="004702A4" w:rsidP="004702A4">
            <w:pPr>
              <w:spacing w:line="240" w:lineRule="auto"/>
              <w:jc w:val="both"/>
              <w:rPr>
                <w:rFonts w:eastAsia="Times New Roman"/>
                <w:sz w:val="24"/>
                <w:szCs w:val="24"/>
              </w:rPr>
            </w:pPr>
            <w:r w:rsidRPr="00C3653C">
              <w:rPr>
                <w:rFonts w:eastAsia="Times New Roman"/>
                <w:sz w:val="24"/>
                <w:szCs w:val="24"/>
              </w:rPr>
              <w:t>&lt; 0.001</w:t>
            </w:r>
          </w:p>
        </w:tc>
      </w:tr>
      <w:tr w:rsidR="004702A4" w:rsidRPr="004362EE" w14:paraId="432B3F7C" w14:textId="77777777" w:rsidTr="004702A4">
        <w:trPr>
          <w:trHeight w:val="300"/>
        </w:trPr>
        <w:tc>
          <w:tcPr>
            <w:tcW w:w="347" w:type="pct"/>
            <w:noWrap/>
            <w:hideMark/>
          </w:tcPr>
          <w:p w14:paraId="27AAB1B6"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w:t>
            </w:r>
          </w:p>
        </w:tc>
        <w:tc>
          <w:tcPr>
            <w:tcW w:w="315" w:type="pct"/>
            <w:noWrap/>
            <w:hideMark/>
          </w:tcPr>
          <w:p w14:paraId="5A704B9D"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SOD </w:t>
            </w:r>
          </w:p>
        </w:tc>
        <w:tc>
          <w:tcPr>
            <w:tcW w:w="536" w:type="pct"/>
            <w:noWrap/>
            <w:hideMark/>
          </w:tcPr>
          <w:p w14:paraId="21119E3A"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5.31±0.01</w:t>
            </w:r>
            <w:r w:rsidRPr="004362EE">
              <w:rPr>
                <w:rFonts w:eastAsia="Times New Roman"/>
                <w:sz w:val="24"/>
                <w:szCs w:val="24"/>
                <w:vertAlign w:val="superscript"/>
              </w:rPr>
              <w:t>a</w:t>
            </w:r>
          </w:p>
        </w:tc>
        <w:tc>
          <w:tcPr>
            <w:tcW w:w="598" w:type="pct"/>
            <w:noWrap/>
            <w:hideMark/>
          </w:tcPr>
          <w:p w14:paraId="3BEFE8E5"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7.00±0.43</w:t>
            </w:r>
            <w:r w:rsidRPr="004362EE">
              <w:rPr>
                <w:rFonts w:eastAsia="Times New Roman"/>
                <w:sz w:val="24"/>
                <w:szCs w:val="24"/>
                <w:vertAlign w:val="superscript"/>
              </w:rPr>
              <w:t>b</w:t>
            </w:r>
          </w:p>
        </w:tc>
        <w:tc>
          <w:tcPr>
            <w:tcW w:w="598" w:type="pct"/>
            <w:noWrap/>
            <w:hideMark/>
          </w:tcPr>
          <w:p w14:paraId="7DC65A27"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7.48±0.03</w:t>
            </w:r>
            <w:r w:rsidRPr="004362EE">
              <w:rPr>
                <w:rFonts w:eastAsia="Times New Roman"/>
                <w:sz w:val="24"/>
                <w:szCs w:val="24"/>
                <w:vertAlign w:val="superscript"/>
              </w:rPr>
              <w:t>b</w:t>
            </w:r>
          </w:p>
        </w:tc>
        <w:tc>
          <w:tcPr>
            <w:tcW w:w="567" w:type="pct"/>
            <w:noWrap/>
            <w:hideMark/>
          </w:tcPr>
          <w:p w14:paraId="3D7D7684"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4.11±0.01</w:t>
            </w:r>
            <w:r w:rsidRPr="004362EE">
              <w:rPr>
                <w:rFonts w:eastAsia="Times New Roman"/>
                <w:sz w:val="24"/>
                <w:szCs w:val="24"/>
                <w:vertAlign w:val="superscript"/>
              </w:rPr>
              <w:t>cd</w:t>
            </w:r>
          </w:p>
        </w:tc>
        <w:tc>
          <w:tcPr>
            <w:tcW w:w="598" w:type="pct"/>
            <w:noWrap/>
            <w:hideMark/>
          </w:tcPr>
          <w:p w14:paraId="1138729C"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4.75±0.14</w:t>
            </w:r>
            <w:r w:rsidRPr="004362EE">
              <w:rPr>
                <w:rFonts w:eastAsia="Times New Roman"/>
                <w:sz w:val="24"/>
                <w:szCs w:val="24"/>
                <w:vertAlign w:val="superscript"/>
              </w:rPr>
              <w:t>ac</w:t>
            </w:r>
          </w:p>
        </w:tc>
        <w:tc>
          <w:tcPr>
            <w:tcW w:w="692" w:type="pct"/>
            <w:noWrap/>
            <w:hideMark/>
          </w:tcPr>
          <w:p w14:paraId="3D91772E"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3.89±0.02</w:t>
            </w:r>
            <w:r w:rsidRPr="004362EE">
              <w:rPr>
                <w:rFonts w:eastAsia="Times New Roman"/>
                <w:sz w:val="24"/>
                <w:szCs w:val="24"/>
                <w:vertAlign w:val="superscript"/>
              </w:rPr>
              <w:t>d</w:t>
            </w:r>
          </w:p>
        </w:tc>
        <w:tc>
          <w:tcPr>
            <w:tcW w:w="411" w:type="pct"/>
          </w:tcPr>
          <w:p w14:paraId="1095F582" w14:textId="77777777" w:rsidR="004702A4" w:rsidRPr="004362EE" w:rsidRDefault="004702A4" w:rsidP="004702A4">
            <w:pPr>
              <w:spacing w:line="240" w:lineRule="auto"/>
              <w:jc w:val="both"/>
              <w:rPr>
                <w:rFonts w:eastAsia="Times New Roman"/>
                <w:sz w:val="24"/>
                <w:szCs w:val="24"/>
              </w:rPr>
            </w:pPr>
            <w:r w:rsidRPr="004362EE">
              <w:rPr>
                <w:sz w:val="24"/>
                <w:szCs w:val="24"/>
              </w:rPr>
              <w:t>6.732</w:t>
            </w:r>
          </w:p>
        </w:tc>
        <w:tc>
          <w:tcPr>
            <w:tcW w:w="338" w:type="pct"/>
            <w:noWrap/>
            <w:hideMark/>
          </w:tcPr>
          <w:p w14:paraId="63F82EE0" w14:textId="2EC8B4C5" w:rsidR="004702A4" w:rsidRPr="004362EE" w:rsidRDefault="004702A4" w:rsidP="004702A4">
            <w:pPr>
              <w:spacing w:line="240" w:lineRule="auto"/>
              <w:jc w:val="both"/>
              <w:rPr>
                <w:rFonts w:eastAsia="Times New Roman"/>
                <w:sz w:val="24"/>
                <w:szCs w:val="24"/>
              </w:rPr>
            </w:pPr>
            <w:r w:rsidRPr="00C3653C">
              <w:rPr>
                <w:rFonts w:eastAsia="Times New Roman"/>
                <w:sz w:val="24"/>
                <w:szCs w:val="24"/>
              </w:rPr>
              <w:t>&lt; 0.001</w:t>
            </w:r>
          </w:p>
        </w:tc>
      </w:tr>
      <w:tr w:rsidR="004702A4" w:rsidRPr="004362EE" w14:paraId="4B000919" w14:textId="77777777" w:rsidTr="004702A4">
        <w:trPr>
          <w:trHeight w:val="300"/>
        </w:trPr>
        <w:tc>
          <w:tcPr>
            <w:tcW w:w="347" w:type="pct"/>
            <w:noWrap/>
            <w:hideMark/>
          </w:tcPr>
          <w:p w14:paraId="6D2F5867"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w:t>
            </w:r>
          </w:p>
        </w:tc>
        <w:tc>
          <w:tcPr>
            <w:tcW w:w="315" w:type="pct"/>
            <w:noWrap/>
            <w:hideMark/>
          </w:tcPr>
          <w:p w14:paraId="4C5F57E3"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CAT </w:t>
            </w:r>
          </w:p>
        </w:tc>
        <w:tc>
          <w:tcPr>
            <w:tcW w:w="536" w:type="pct"/>
            <w:noWrap/>
            <w:hideMark/>
          </w:tcPr>
          <w:p w14:paraId="00BB6BAC"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128.37±0.02</w:t>
            </w:r>
            <w:r w:rsidRPr="004362EE">
              <w:rPr>
                <w:rFonts w:eastAsia="Times New Roman"/>
                <w:sz w:val="24"/>
                <w:szCs w:val="24"/>
                <w:vertAlign w:val="superscript"/>
              </w:rPr>
              <w:t>a</w:t>
            </w:r>
          </w:p>
        </w:tc>
        <w:tc>
          <w:tcPr>
            <w:tcW w:w="598" w:type="pct"/>
            <w:noWrap/>
            <w:hideMark/>
          </w:tcPr>
          <w:p w14:paraId="311E4E8C"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132.26±0.99</w:t>
            </w:r>
            <w:r w:rsidRPr="004362EE">
              <w:rPr>
                <w:rFonts w:eastAsia="Times New Roman"/>
                <w:sz w:val="24"/>
                <w:szCs w:val="24"/>
                <w:vertAlign w:val="superscript"/>
              </w:rPr>
              <w:t>a</w:t>
            </w:r>
          </w:p>
        </w:tc>
        <w:tc>
          <w:tcPr>
            <w:tcW w:w="598" w:type="pct"/>
            <w:noWrap/>
            <w:hideMark/>
          </w:tcPr>
          <w:p w14:paraId="72B81904"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133.67±0.13</w:t>
            </w:r>
            <w:r w:rsidRPr="004362EE">
              <w:rPr>
                <w:rFonts w:eastAsia="Times New Roman"/>
                <w:sz w:val="24"/>
                <w:szCs w:val="24"/>
                <w:vertAlign w:val="superscript"/>
              </w:rPr>
              <w:t>a</w:t>
            </w:r>
          </w:p>
        </w:tc>
        <w:tc>
          <w:tcPr>
            <w:tcW w:w="567" w:type="pct"/>
            <w:noWrap/>
            <w:hideMark/>
          </w:tcPr>
          <w:p w14:paraId="1BA490B9"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168.67±0.26</w:t>
            </w:r>
            <w:r w:rsidRPr="004362EE">
              <w:rPr>
                <w:rFonts w:eastAsia="Times New Roman"/>
                <w:sz w:val="24"/>
                <w:szCs w:val="24"/>
                <w:vertAlign w:val="superscript"/>
              </w:rPr>
              <w:t>b</w:t>
            </w:r>
          </w:p>
        </w:tc>
        <w:tc>
          <w:tcPr>
            <w:tcW w:w="598" w:type="pct"/>
            <w:noWrap/>
            <w:hideMark/>
          </w:tcPr>
          <w:p w14:paraId="1350D869"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209.42±10.90</w:t>
            </w:r>
            <w:r w:rsidRPr="004362EE">
              <w:rPr>
                <w:rFonts w:eastAsia="Times New Roman"/>
                <w:sz w:val="24"/>
                <w:szCs w:val="24"/>
                <w:vertAlign w:val="superscript"/>
              </w:rPr>
              <w:t>c</w:t>
            </w:r>
          </w:p>
        </w:tc>
        <w:tc>
          <w:tcPr>
            <w:tcW w:w="692" w:type="pct"/>
            <w:noWrap/>
            <w:hideMark/>
          </w:tcPr>
          <w:p w14:paraId="1F8AE766"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131.78±0.82</w:t>
            </w:r>
            <w:r w:rsidRPr="004362EE">
              <w:rPr>
                <w:rFonts w:eastAsia="Times New Roman"/>
                <w:sz w:val="24"/>
                <w:szCs w:val="24"/>
                <w:vertAlign w:val="superscript"/>
              </w:rPr>
              <w:t>a</w:t>
            </w:r>
          </w:p>
        </w:tc>
        <w:tc>
          <w:tcPr>
            <w:tcW w:w="411" w:type="pct"/>
          </w:tcPr>
          <w:p w14:paraId="2EDBF0D3" w14:textId="77777777" w:rsidR="004702A4" w:rsidRPr="004362EE" w:rsidRDefault="004702A4" w:rsidP="004702A4">
            <w:pPr>
              <w:spacing w:line="240" w:lineRule="auto"/>
              <w:jc w:val="both"/>
              <w:rPr>
                <w:rFonts w:eastAsia="Times New Roman"/>
                <w:sz w:val="24"/>
                <w:szCs w:val="24"/>
              </w:rPr>
            </w:pPr>
            <w:r w:rsidRPr="004362EE">
              <w:rPr>
                <w:sz w:val="24"/>
                <w:szCs w:val="24"/>
              </w:rPr>
              <w:t>6.447</w:t>
            </w:r>
          </w:p>
        </w:tc>
        <w:tc>
          <w:tcPr>
            <w:tcW w:w="338" w:type="pct"/>
            <w:noWrap/>
            <w:hideMark/>
          </w:tcPr>
          <w:p w14:paraId="46B28E0B" w14:textId="77E360A6" w:rsidR="004702A4" w:rsidRPr="004362EE" w:rsidRDefault="004702A4" w:rsidP="004702A4">
            <w:pPr>
              <w:spacing w:line="240" w:lineRule="auto"/>
              <w:jc w:val="both"/>
              <w:rPr>
                <w:rFonts w:eastAsia="Times New Roman"/>
                <w:sz w:val="24"/>
                <w:szCs w:val="24"/>
              </w:rPr>
            </w:pPr>
            <w:r w:rsidRPr="00C3653C">
              <w:rPr>
                <w:rFonts w:eastAsia="Times New Roman"/>
                <w:sz w:val="24"/>
                <w:szCs w:val="24"/>
              </w:rPr>
              <w:t>&lt; 0.001</w:t>
            </w:r>
          </w:p>
        </w:tc>
      </w:tr>
      <w:tr w:rsidR="004702A4" w:rsidRPr="004362EE" w14:paraId="250CB4A9" w14:textId="77777777" w:rsidTr="004702A4">
        <w:trPr>
          <w:trHeight w:val="300"/>
        </w:trPr>
        <w:tc>
          <w:tcPr>
            <w:tcW w:w="347" w:type="pct"/>
            <w:noWrap/>
            <w:hideMark/>
          </w:tcPr>
          <w:p w14:paraId="5B69DA66"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Stem</w:t>
            </w:r>
          </w:p>
        </w:tc>
        <w:tc>
          <w:tcPr>
            <w:tcW w:w="315" w:type="pct"/>
            <w:noWrap/>
            <w:hideMark/>
          </w:tcPr>
          <w:p w14:paraId="06EC5E7D"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MDA </w:t>
            </w:r>
          </w:p>
        </w:tc>
        <w:tc>
          <w:tcPr>
            <w:tcW w:w="536" w:type="pct"/>
            <w:noWrap/>
            <w:hideMark/>
          </w:tcPr>
          <w:p w14:paraId="34F1964F"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25.68±0.01</w:t>
            </w:r>
            <w:r w:rsidRPr="004362EE">
              <w:rPr>
                <w:rFonts w:eastAsia="Times New Roman"/>
                <w:sz w:val="24"/>
                <w:szCs w:val="24"/>
                <w:vertAlign w:val="superscript"/>
              </w:rPr>
              <w:t>a</w:t>
            </w:r>
          </w:p>
        </w:tc>
        <w:tc>
          <w:tcPr>
            <w:tcW w:w="598" w:type="pct"/>
            <w:noWrap/>
            <w:hideMark/>
          </w:tcPr>
          <w:p w14:paraId="332037AE"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29.06±4.11</w:t>
            </w:r>
            <w:r w:rsidRPr="004362EE">
              <w:rPr>
                <w:rFonts w:eastAsia="Times New Roman"/>
                <w:sz w:val="24"/>
                <w:szCs w:val="24"/>
                <w:vertAlign w:val="superscript"/>
              </w:rPr>
              <w:t>ab</w:t>
            </w:r>
          </w:p>
        </w:tc>
        <w:tc>
          <w:tcPr>
            <w:tcW w:w="598" w:type="pct"/>
            <w:noWrap/>
            <w:hideMark/>
          </w:tcPr>
          <w:p w14:paraId="7604E606"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42.08±2.65</w:t>
            </w:r>
            <w:r w:rsidRPr="004362EE">
              <w:rPr>
                <w:rFonts w:eastAsia="Times New Roman"/>
                <w:sz w:val="24"/>
                <w:szCs w:val="24"/>
                <w:vertAlign w:val="superscript"/>
              </w:rPr>
              <w:t>c</w:t>
            </w:r>
          </w:p>
        </w:tc>
        <w:tc>
          <w:tcPr>
            <w:tcW w:w="567" w:type="pct"/>
            <w:noWrap/>
            <w:hideMark/>
          </w:tcPr>
          <w:p w14:paraId="34F96FE3"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36.93±0.46</w:t>
            </w:r>
            <w:r w:rsidRPr="004362EE">
              <w:rPr>
                <w:rFonts w:eastAsia="Times New Roman"/>
                <w:sz w:val="24"/>
                <w:szCs w:val="24"/>
                <w:vertAlign w:val="superscript"/>
              </w:rPr>
              <w:t>bcd</w:t>
            </w:r>
          </w:p>
        </w:tc>
        <w:tc>
          <w:tcPr>
            <w:tcW w:w="598" w:type="pct"/>
            <w:noWrap/>
            <w:hideMark/>
          </w:tcPr>
          <w:p w14:paraId="60462D1B"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32.82±1.34</w:t>
            </w:r>
            <w:r w:rsidRPr="004362EE">
              <w:rPr>
                <w:rFonts w:eastAsia="Times New Roman"/>
                <w:sz w:val="24"/>
                <w:szCs w:val="24"/>
                <w:vertAlign w:val="superscript"/>
              </w:rPr>
              <w:t>abd</w:t>
            </w:r>
          </w:p>
        </w:tc>
        <w:tc>
          <w:tcPr>
            <w:tcW w:w="692" w:type="pct"/>
            <w:noWrap/>
            <w:hideMark/>
          </w:tcPr>
          <w:p w14:paraId="7F3D563F"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38.21±0.01</w:t>
            </w:r>
            <w:r w:rsidRPr="004362EE">
              <w:rPr>
                <w:rFonts w:eastAsia="Times New Roman"/>
                <w:sz w:val="24"/>
                <w:szCs w:val="24"/>
                <w:vertAlign w:val="superscript"/>
              </w:rPr>
              <w:t>cd</w:t>
            </w:r>
          </w:p>
        </w:tc>
        <w:tc>
          <w:tcPr>
            <w:tcW w:w="411" w:type="pct"/>
          </w:tcPr>
          <w:p w14:paraId="6F22AF3D" w14:textId="77777777" w:rsidR="004702A4" w:rsidRPr="004362EE" w:rsidRDefault="004702A4" w:rsidP="004702A4">
            <w:pPr>
              <w:spacing w:line="240" w:lineRule="auto"/>
              <w:jc w:val="both"/>
              <w:rPr>
                <w:rFonts w:eastAsia="Times New Roman"/>
                <w:sz w:val="24"/>
                <w:szCs w:val="24"/>
              </w:rPr>
            </w:pPr>
            <w:r w:rsidRPr="004362EE">
              <w:rPr>
                <w:sz w:val="24"/>
                <w:szCs w:val="24"/>
              </w:rPr>
              <w:t>23.909</w:t>
            </w:r>
          </w:p>
        </w:tc>
        <w:tc>
          <w:tcPr>
            <w:tcW w:w="338" w:type="pct"/>
            <w:noWrap/>
            <w:hideMark/>
          </w:tcPr>
          <w:p w14:paraId="20A996D9" w14:textId="3577F92F" w:rsidR="004702A4" w:rsidRPr="004362EE" w:rsidRDefault="004702A4" w:rsidP="004702A4">
            <w:pPr>
              <w:spacing w:line="240" w:lineRule="auto"/>
              <w:jc w:val="both"/>
              <w:rPr>
                <w:rFonts w:eastAsia="Times New Roman"/>
                <w:sz w:val="24"/>
                <w:szCs w:val="24"/>
              </w:rPr>
            </w:pPr>
            <w:r w:rsidRPr="00C3653C">
              <w:rPr>
                <w:rFonts w:eastAsia="Times New Roman"/>
                <w:sz w:val="24"/>
                <w:szCs w:val="24"/>
              </w:rPr>
              <w:t>&lt; 0.001</w:t>
            </w:r>
          </w:p>
        </w:tc>
      </w:tr>
      <w:tr w:rsidR="00B812A0" w:rsidRPr="004362EE" w14:paraId="5AB48296" w14:textId="77777777" w:rsidTr="004702A4">
        <w:trPr>
          <w:trHeight w:val="300"/>
        </w:trPr>
        <w:tc>
          <w:tcPr>
            <w:tcW w:w="347" w:type="pct"/>
            <w:noWrap/>
            <w:hideMark/>
          </w:tcPr>
          <w:p w14:paraId="737B8937"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w:t>
            </w:r>
          </w:p>
        </w:tc>
        <w:tc>
          <w:tcPr>
            <w:tcW w:w="315" w:type="pct"/>
            <w:noWrap/>
            <w:hideMark/>
          </w:tcPr>
          <w:p w14:paraId="654BEA4E"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SOD </w:t>
            </w:r>
          </w:p>
        </w:tc>
        <w:tc>
          <w:tcPr>
            <w:tcW w:w="536" w:type="pct"/>
            <w:noWrap/>
            <w:hideMark/>
          </w:tcPr>
          <w:p w14:paraId="2C689EC2"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5.31±0.01</w:t>
            </w:r>
            <w:r w:rsidRPr="004362EE">
              <w:rPr>
                <w:rFonts w:eastAsia="Times New Roman"/>
                <w:sz w:val="24"/>
                <w:szCs w:val="24"/>
                <w:vertAlign w:val="superscript"/>
              </w:rPr>
              <w:t>ab</w:t>
            </w:r>
          </w:p>
        </w:tc>
        <w:tc>
          <w:tcPr>
            <w:tcW w:w="598" w:type="pct"/>
            <w:noWrap/>
            <w:hideMark/>
          </w:tcPr>
          <w:p w14:paraId="449F4BF2"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6.21±0.84</w:t>
            </w:r>
            <w:r w:rsidRPr="004362EE">
              <w:rPr>
                <w:rFonts w:eastAsia="Times New Roman"/>
                <w:sz w:val="24"/>
                <w:szCs w:val="24"/>
                <w:vertAlign w:val="superscript"/>
              </w:rPr>
              <w:t>a</w:t>
            </w:r>
          </w:p>
        </w:tc>
        <w:tc>
          <w:tcPr>
            <w:tcW w:w="598" w:type="pct"/>
            <w:noWrap/>
            <w:hideMark/>
          </w:tcPr>
          <w:p w14:paraId="2E316A17"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3.75±0.30</w:t>
            </w:r>
            <w:r w:rsidRPr="004362EE">
              <w:rPr>
                <w:rFonts w:eastAsia="Times New Roman"/>
                <w:sz w:val="24"/>
                <w:szCs w:val="24"/>
                <w:vertAlign w:val="superscript"/>
              </w:rPr>
              <w:t>b</w:t>
            </w:r>
          </w:p>
        </w:tc>
        <w:tc>
          <w:tcPr>
            <w:tcW w:w="567" w:type="pct"/>
            <w:noWrap/>
            <w:hideMark/>
          </w:tcPr>
          <w:p w14:paraId="38BFD2C4"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4.24±0.06</w:t>
            </w:r>
            <w:r w:rsidRPr="004362EE">
              <w:rPr>
                <w:rFonts w:eastAsia="Times New Roman"/>
                <w:sz w:val="24"/>
                <w:szCs w:val="24"/>
                <w:vertAlign w:val="superscript"/>
              </w:rPr>
              <w:t>b</w:t>
            </w:r>
          </w:p>
        </w:tc>
        <w:tc>
          <w:tcPr>
            <w:tcW w:w="598" w:type="pct"/>
            <w:noWrap/>
            <w:hideMark/>
          </w:tcPr>
          <w:p w14:paraId="32057DF3"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4.75±0.14</w:t>
            </w:r>
            <w:r w:rsidRPr="004362EE">
              <w:rPr>
                <w:rFonts w:eastAsia="Times New Roman"/>
                <w:sz w:val="24"/>
                <w:szCs w:val="24"/>
                <w:vertAlign w:val="superscript"/>
              </w:rPr>
              <w:t>ab</w:t>
            </w:r>
          </w:p>
        </w:tc>
        <w:tc>
          <w:tcPr>
            <w:tcW w:w="692" w:type="pct"/>
            <w:noWrap/>
            <w:hideMark/>
          </w:tcPr>
          <w:p w14:paraId="17BD9777"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4.18±0.01</w:t>
            </w:r>
            <w:r w:rsidRPr="004362EE">
              <w:rPr>
                <w:rFonts w:eastAsia="Times New Roman"/>
                <w:sz w:val="24"/>
                <w:szCs w:val="24"/>
                <w:vertAlign w:val="superscript"/>
              </w:rPr>
              <w:t>b</w:t>
            </w:r>
          </w:p>
        </w:tc>
        <w:tc>
          <w:tcPr>
            <w:tcW w:w="411" w:type="pct"/>
          </w:tcPr>
          <w:p w14:paraId="5F686EF2" w14:textId="77777777" w:rsidR="004362EE" w:rsidRPr="004362EE" w:rsidRDefault="004362EE" w:rsidP="00E83AEC">
            <w:pPr>
              <w:spacing w:line="240" w:lineRule="auto"/>
              <w:jc w:val="both"/>
              <w:rPr>
                <w:rFonts w:eastAsia="Times New Roman"/>
                <w:sz w:val="24"/>
                <w:szCs w:val="24"/>
              </w:rPr>
            </w:pPr>
            <w:r w:rsidRPr="004362EE">
              <w:rPr>
                <w:sz w:val="24"/>
                <w:szCs w:val="24"/>
              </w:rPr>
              <w:t>12.799</w:t>
            </w:r>
          </w:p>
        </w:tc>
        <w:tc>
          <w:tcPr>
            <w:tcW w:w="338" w:type="pct"/>
            <w:noWrap/>
            <w:hideMark/>
          </w:tcPr>
          <w:p w14:paraId="44751507"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0.001</w:t>
            </w:r>
          </w:p>
        </w:tc>
      </w:tr>
      <w:tr w:rsidR="00B812A0" w:rsidRPr="004362EE" w14:paraId="7C9A643E" w14:textId="77777777" w:rsidTr="004702A4">
        <w:trPr>
          <w:trHeight w:val="300"/>
        </w:trPr>
        <w:tc>
          <w:tcPr>
            <w:tcW w:w="347" w:type="pct"/>
            <w:noWrap/>
            <w:hideMark/>
          </w:tcPr>
          <w:p w14:paraId="5A02948D"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w:t>
            </w:r>
          </w:p>
        </w:tc>
        <w:tc>
          <w:tcPr>
            <w:tcW w:w="315" w:type="pct"/>
            <w:noWrap/>
            <w:hideMark/>
          </w:tcPr>
          <w:p w14:paraId="3009B9D1"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CAT </w:t>
            </w:r>
          </w:p>
        </w:tc>
        <w:tc>
          <w:tcPr>
            <w:tcW w:w="536" w:type="pct"/>
            <w:noWrap/>
            <w:hideMark/>
          </w:tcPr>
          <w:p w14:paraId="002A638B"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128.37±0.02</w:t>
            </w:r>
            <w:r w:rsidRPr="004362EE">
              <w:rPr>
                <w:rFonts w:eastAsia="Times New Roman"/>
                <w:sz w:val="24"/>
                <w:szCs w:val="24"/>
                <w:vertAlign w:val="superscript"/>
              </w:rPr>
              <w:t>a</w:t>
            </w:r>
          </w:p>
        </w:tc>
        <w:tc>
          <w:tcPr>
            <w:tcW w:w="598" w:type="pct"/>
            <w:noWrap/>
            <w:hideMark/>
          </w:tcPr>
          <w:p w14:paraId="75396C1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146.38±19.07</w:t>
            </w:r>
            <w:r w:rsidRPr="004362EE">
              <w:rPr>
                <w:rFonts w:eastAsia="Times New Roman"/>
                <w:sz w:val="24"/>
                <w:szCs w:val="24"/>
                <w:vertAlign w:val="superscript"/>
              </w:rPr>
              <w:t>ab</w:t>
            </w:r>
          </w:p>
        </w:tc>
        <w:tc>
          <w:tcPr>
            <w:tcW w:w="598" w:type="pct"/>
            <w:noWrap/>
            <w:hideMark/>
          </w:tcPr>
          <w:p w14:paraId="36F488B9"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129.66±22.70</w:t>
            </w:r>
            <w:r w:rsidRPr="004362EE">
              <w:rPr>
                <w:rFonts w:eastAsia="Times New Roman"/>
                <w:sz w:val="24"/>
                <w:szCs w:val="24"/>
                <w:vertAlign w:val="superscript"/>
              </w:rPr>
              <w:t>a</w:t>
            </w:r>
          </w:p>
        </w:tc>
        <w:tc>
          <w:tcPr>
            <w:tcW w:w="567" w:type="pct"/>
            <w:noWrap/>
            <w:hideMark/>
          </w:tcPr>
          <w:p w14:paraId="5E2DE551"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188.58±8.19</w:t>
            </w:r>
            <w:r w:rsidRPr="004362EE">
              <w:rPr>
                <w:rFonts w:eastAsia="Times New Roman"/>
                <w:sz w:val="24"/>
                <w:szCs w:val="24"/>
                <w:vertAlign w:val="superscript"/>
              </w:rPr>
              <w:t>bc</w:t>
            </w:r>
          </w:p>
        </w:tc>
        <w:tc>
          <w:tcPr>
            <w:tcW w:w="598" w:type="pct"/>
            <w:noWrap/>
            <w:hideMark/>
          </w:tcPr>
          <w:p w14:paraId="21C3328A"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209.42±10.90</w:t>
            </w:r>
            <w:r w:rsidRPr="004362EE">
              <w:rPr>
                <w:rFonts w:eastAsia="Times New Roman"/>
                <w:sz w:val="24"/>
                <w:szCs w:val="24"/>
                <w:vertAlign w:val="superscript"/>
              </w:rPr>
              <w:t>c</w:t>
            </w:r>
          </w:p>
        </w:tc>
        <w:tc>
          <w:tcPr>
            <w:tcW w:w="692" w:type="pct"/>
            <w:noWrap/>
            <w:hideMark/>
          </w:tcPr>
          <w:p w14:paraId="58769101"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166.19±0.20</w:t>
            </w:r>
            <w:r w:rsidRPr="004362EE">
              <w:rPr>
                <w:rFonts w:eastAsia="Times New Roman"/>
                <w:sz w:val="24"/>
                <w:szCs w:val="24"/>
                <w:vertAlign w:val="superscript"/>
              </w:rPr>
              <w:t>a</w:t>
            </w:r>
          </w:p>
        </w:tc>
        <w:tc>
          <w:tcPr>
            <w:tcW w:w="411" w:type="pct"/>
          </w:tcPr>
          <w:p w14:paraId="57A5A808" w14:textId="77777777" w:rsidR="004362EE" w:rsidRPr="004362EE" w:rsidRDefault="004362EE" w:rsidP="00E83AEC">
            <w:pPr>
              <w:spacing w:line="240" w:lineRule="auto"/>
              <w:jc w:val="both"/>
              <w:rPr>
                <w:rFonts w:eastAsia="Times New Roman"/>
                <w:sz w:val="24"/>
                <w:szCs w:val="24"/>
              </w:rPr>
            </w:pPr>
            <w:r w:rsidRPr="004362EE">
              <w:rPr>
                <w:sz w:val="24"/>
                <w:szCs w:val="24"/>
              </w:rPr>
              <w:t>15.137</w:t>
            </w:r>
          </w:p>
        </w:tc>
        <w:tc>
          <w:tcPr>
            <w:tcW w:w="338" w:type="pct"/>
            <w:noWrap/>
            <w:hideMark/>
          </w:tcPr>
          <w:p w14:paraId="092C1E7D"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0.001</w:t>
            </w:r>
          </w:p>
        </w:tc>
      </w:tr>
      <w:tr w:rsidR="004702A4" w:rsidRPr="004362EE" w14:paraId="49E6FA0C" w14:textId="77777777" w:rsidTr="004702A4">
        <w:trPr>
          <w:trHeight w:val="300"/>
        </w:trPr>
        <w:tc>
          <w:tcPr>
            <w:tcW w:w="347" w:type="pct"/>
            <w:noWrap/>
            <w:hideMark/>
          </w:tcPr>
          <w:p w14:paraId="4A049FA0"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Root</w:t>
            </w:r>
          </w:p>
        </w:tc>
        <w:tc>
          <w:tcPr>
            <w:tcW w:w="315" w:type="pct"/>
            <w:noWrap/>
            <w:hideMark/>
          </w:tcPr>
          <w:p w14:paraId="2E6C95C4"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MDA </w:t>
            </w:r>
          </w:p>
        </w:tc>
        <w:tc>
          <w:tcPr>
            <w:tcW w:w="536" w:type="pct"/>
            <w:noWrap/>
            <w:hideMark/>
          </w:tcPr>
          <w:p w14:paraId="16BA5579"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25.68±0.01</w:t>
            </w:r>
            <w:r w:rsidRPr="004362EE">
              <w:rPr>
                <w:rFonts w:eastAsia="Times New Roman"/>
                <w:sz w:val="24"/>
                <w:szCs w:val="24"/>
                <w:vertAlign w:val="superscript"/>
              </w:rPr>
              <w:t>a</w:t>
            </w:r>
          </w:p>
        </w:tc>
        <w:tc>
          <w:tcPr>
            <w:tcW w:w="598" w:type="pct"/>
            <w:noWrap/>
            <w:hideMark/>
          </w:tcPr>
          <w:p w14:paraId="056DD190"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30.61±0.02</w:t>
            </w:r>
            <w:r w:rsidRPr="004362EE">
              <w:rPr>
                <w:rFonts w:eastAsia="Times New Roman"/>
                <w:sz w:val="24"/>
                <w:szCs w:val="24"/>
                <w:vertAlign w:val="superscript"/>
              </w:rPr>
              <w:t>b</w:t>
            </w:r>
          </w:p>
        </w:tc>
        <w:tc>
          <w:tcPr>
            <w:tcW w:w="598" w:type="pct"/>
            <w:noWrap/>
            <w:hideMark/>
          </w:tcPr>
          <w:p w14:paraId="610D232E"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30.61±0.01</w:t>
            </w:r>
            <w:r w:rsidRPr="004362EE">
              <w:rPr>
                <w:rFonts w:eastAsia="Times New Roman"/>
                <w:sz w:val="24"/>
                <w:szCs w:val="24"/>
                <w:vertAlign w:val="superscript"/>
              </w:rPr>
              <w:t>b</w:t>
            </w:r>
          </w:p>
        </w:tc>
        <w:tc>
          <w:tcPr>
            <w:tcW w:w="567" w:type="pct"/>
            <w:noWrap/>
            <w:hideMark/>
          </w:tcPr>
          <w:p w14:paraId="500B7972"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30.60±0.01</w:t>
            </w:r>
            <w:r w:rsidRPr="004362EE">
              <w:rPr>
                <w:rFonts w:eastAsia="Times New Roman"/>
                <w:sz w:val="24"/>
                <w:szCs w:val="24"/>
                <w:vertAlign w:val="superscript"/>
              </w:rPr>
              <w:t>b</w:t>
            </w:r>
          </w:p>
        </w:tc>
        <w:tc>
          <w:tcPr>
            <w:tcW w:w="598" w:type="pct"/>
            <w:noWrap/>
            <w:hideMark/>
          </w:tcPr>
          <w:p w14:paraId="633EED2B"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32.82±1.34</w:t>
            </w:r>
            <w:r w:rsidRPr="004362EE">
              <w:rPr>
                <w:rFonts w:eastAsia="Times New Roman"/>
                <w:sz w:val="24"/>
                <w:szCs w:val="24"/>
                <w:vertAlign w:val="superscript"/>
              </w:rPr>
              <w:t>b</w:t>
            </w:r>
          </w:p>
        </w:tc>
        <w:tc>
          <w:tcPr>
            <w:tcW w:w="692" w:type="pct"/>
            <w:noWrap/>
            <w:hideMark/>
          </w:tcPr>
          <w:p w14:paraId="001D73E6"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32.84±1.36</w:t>
            </w:r>
            <w:r w:rsidRPr="004362EE">
              <w:rPr>
                <w:rFonts w:eastAsia="Times New Roman"/>
                <w:sz w:val="24"/>
                <w:szCs w:val="24"/>
                <w:vertAlign w:val="superscript"/>
              </w:rPr>
              <w:t>b</w:t>
            </w:r>
          </w:p>
        </w:tc>
        <w:tc>
          <w:tcPr>
            <w:tcW w:w="411" w:type="pct"/>
          </w:tcPr>
          <w:p w14:paraId="04F3F9E7" w14:textId="77777777" w:rsidR="004702A4" w:rsidRPr="004362EE" w:rsidRDefault="004702A4" w:rsidP="004702A4">
            <w:pPr>
              <w:spacing w:line="240" w:lineRule="auto"/>
              <w:jc w:val="both"/>
              <w:rPr>
                <w:rFonts w:eastAsia="Times New Roman"/>
                <w:sz w:val="24"/>
                <w:szCs w:val="24"/>
              </w:rPr>
            </w:pPr>
            <w:r w:rsidRPr="004362EE">
              <w:rPr>
                <w:sz w:val="24"/>
                <w:szCs w:val="24"/>
              </w:rPr>
              <w:t>10.282</w:t>
            </w:r>
          </w:p>
        </w:tc>
        <w:tc>
          <w:tcPr>
            <w:tcW w:w="338" w:type="pct"/>
            <w:noWrap/>
            <w:hideMark/>
          </w:tcPr>
          <w:p w14:paraId="1EC6C101" w14:textId="60BD314F" w:rsidR="004702A4" w:rsidRPr="004362EE" w:rsidRDefault="004702A4" w:rsidP="004702A4">
            <w:pPr>
              <w:spacing w:line="240" w:lineRule="auto"/>
              <w:jc w:val="both"/>
              <w:rPr>
                <w:rFonts w:eastAsia="Times New Roman"/>
                <w:sz w:val="24"/>
                <w:szCs w:val="24"/>
              </w:rPr>
            </w:pPr>
            <w:r w:rsidRPr="000817D1">
              <w:rPr>
                <w:rFonts w:eastAsia="Times New Roman"/>
                <w:sz w:val="24"/>
                <w:szCs w:val="24"/>
              </w:rPr>
              <w:t>&lt; 0.001</w:t>
            </w:r>
          </w:p>
        </w:tc>
      </w:tr>
      <w:tr w:rsidR="004702A4" w:rsidRPr="004362EE" w14:paraId="7CF81738" w14:textId="77777777" w:rsidTr="004702A4">
        <w:trPr>
          <w:trHeight w:val="300"/>
        </w:trPr>
        <w:tc>
          <w:tcPr>
            <w:tcW w:w="347" w:type="pct"/>
            <w:noWrap/>
            <w:hideMark/>
          </w:tcPr>
          <w:p w14:paraId="3D13783D"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w:t>
            </w:r>
          </w:p>
        </w:tc>
        <w:tc>
          <w:tcPr>
            <w:tcW w:w="315" w:type="pct"/>
            <w:noWrap/>
            <w:hideMark/>
          </w:tcPr>
          <w:p w14:paraId="2EF87E19"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SOD </w:t>
            </w:r>
          </w:p>
        </w:tc>
        <w:tc>
          <w:tcPr>
            <w:tcW w:w="536" w:type="pct"/>
            <w:noWrap/>
            <w:hideMark/>
          </w:tcPr>
          <w:p w14:paraId="0E0A58EE"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5.31±0.01</w:t>
            </w:r>
            <w:r w:rsidRPr="004362EE">
              <w:rPr>
                <w:rFonts w:eastAsia="Times New Roman"/>
                <w:sz w:val="24"/>
                <w:szCs w:val="24"/>
                <w:vertAlign w:val="superscript"/>
              </w:rPr>
              <w:t>ab</w:t>
            </w:r>
          </w:p>
        </w:tc>
        <w:tc>
          <w:tcPr>
            <w:tcW w:w="598" w:type="pct"/>
            <w:noWrap/>
            <w:hideMark/>
          </w:tcPr>
          <w:p w14:paraId="3E025FC1"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6.19±0.01</w:t>
            </w:r>
            <w:r w:rsidRPr="004362EE">
              <w:rPr>
                <w:rFonts w:eastAsia="Times New Roman"/>
                <w:sz w:val="24"/>
                <w:szCs w:val="24"/>
                <w:vertAlign w:val="superscript"/>
              </w:rPr>
              <w:t>a</w:t>
            </w:r>
          </w:p>
        </w:tc>
        <w:tc>
          <w:tcPr>
            <w:tcW w:w="598" w:type="pct"/>
            <w:noWrap/>
            <w:hideMark/>
          </w:tcPr>
          <w:p w14:paraId="7C2038EA"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6.26±0.01</w:t>
            </w:r>
            <w:r w:rsidRPr="004362EE">
              <w:rPr>
                <w:rFonts w:eastAsia="Times New Roman"/>
                <w:sz w:val="24"/>
                <w:szCs w:val="24"/>
                <w:vertAlign w:val="superscript"/>
              </w:rPr>
              <w:t>a</w:t>
            </w:r>
          </w:p>
        </w:tc>
        <w:tc>
          <w:tcPr>
            <w:tcW w:w="567" w:type="pct"/>
            <w:noWrap/>
            <w:hideMark/>
          </w:tcPr>
          <w:p w14:paraId="7B3465FC"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6.26±0.01</w:t>
            </w:r>
            <w:r w:rsidRPr="004362EE">
              <w:rPr>
                <w:rFonts w:eastAsia="Times New Roman"/>
                <w:sz w:val="24"/>
                <w:szCs w:val="24"/>
                <w:vertAlign w:val="superscript"/>
              </w:rPr>
              <w:t>a</w:t>
            </w:r>
          </w:p>
        </w:tc>
        <w:tc>
          <w:tcPr>
            <w:tcW w:w="598" w:type="pct"/>
            <w:noWrap/>
            <w:hideMark/>
          </w:tcPr>
          <w:p w14:paraId="243973DA"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4.75±0.14</w:t>
            </w:r>
            <w:r w:rsidRPr="004362EE">
              <w:rPr>
                <w:rFonts w:eastAsia="Times New Roman"/>
                <w:sz w:val="24"/>
                <w:szCs w:val="24"/>
                <w:vertAlign w:val="superscript"/>
              </w:rPr>
              <w:t>b</w:t>
            </w:r>
          </w:p>
        </w:tc>
        <w:tc>
          <w:tcPr>
            <w:tcW w:w="692" w:type="pct"/>
            <w:noWrap/>
            <w:hideMark/>
          </w:tcPr>
          <w:p w14:paraId="4B1E3D0C"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5.50±0.47</w:t>
            </w:r>
            <w:r w:rsidRPr="004362EE">
              <w:rPr>
                <w:rFonts w:eastAsia="Times New Roman"/>
                <w:sz w:val="24"/>
                <w:szCs w:val="24"/>
                <w:vertAlign w:val="superscript"/>
              </w:rPr>
              <w:t>ab</w:t>
            </w:r>
          </w:p>
        </w:tc>
        <w:tc>
          <w:tcPr>
            <w:tcW w:w="411" w:type="pct"/>
          </w:tcPr>
          <w:p w14:paraId="6218E0CE" w14:textId="77777777" w:rsidR="004702A4" w:rsidRPr="004362EE" w:rsidRDefault="004702A4" w:rsidP="004702A4">
            <w:pPr>
              <w:spacing w:line="240" w:lineRule="auto"/>
              <w:jc w:val="both"/>
              <w:rPr>
                <w:rFonts w:eastAsia="Times New Roman"/>
                <w:sz w:val="24"/>
                <w:szCs w:val="24"/>
              </w:rPr>
            </w:pPr>
            <w:r w:rsidRPr="004362EE">
              <w:rPr>
                <w:sz w:val="24"/>
                <w:szCs w:val="24"/>
              </w:rPr>
              <w:t>8.384</w:t>
            </w:r>
          </w:p>
        </w:tc>
        <w:tc>
          <w:tcPr>
            <w:tcW w:w="338" w:type="pct"/>
            <w:noWrap/>
            <w:hideMark/>
          </w:tcPr>
          <w:p w14:paraId="6F752ACE" w14:textId="520B199A" w:rsidR="004702A4" w:rsidRPr="004362EE" w:rsidRDefault="004702A4" w:rsidP="004702A4">
            <w:pPr>
              <w:spacing w:line="240" w:lineRule="auto"/>
              <w:jc w:val="both"/>
              <w:rPr>
                <w:rFonts w:eastAsia="Times New Roman"/>
                <w:sz w:val="24"/>
                <w:szCs w:val="24"/>
              </w:rPr>
            </w:pPr>
            <w:r w:rsidRPr="000817D1">
              <w:rPr>
                <w:rFonts w:eastAsia="Times New Roman"/>
                <w:sz w:val="24"/>
                <w:szCs w:val="24"/>
              </w:rPr>
              <w:t>&lt; 0.001</w:t>
            </w:r>
          </w:p>
        </w:tc>
      </w:tr>
      <w:tr w:rsidR="004702A4" w:rsidRPr="004362EE" w14:paraId="0B2927B6" w14:textId="77777777" w:rsidTr="004702A4">
        <w:trPr>
          <w:trHeight w:val="300"/>
        </w:trPr>
        <w:tc>
          <w:tcPr>
            <w:tcW w:w="347" w:type="pct"/>
            <w:noWrap/>
            <w:hideMark/>
          </w:tcPr>
          <w:p w14:paraId="549FBF3F"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w:t>
            </w:r>
          </w:p>
        </w:tc>
        <w:tc>
          <w:tcPr>
            <w:tcW w:w="315" w:type="pct"/>
            <w:noWrap/>
            <w:hideMark/>
          </w:tcPr>
          <w:p w14:paraId="0F78B020"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 xml:space="preserve">CAT </w:t>
            </w:r>
          </w:p>
        </w:tc>
        <w:tc>
          <w:tcPr>
            <w:tcW w:w="536" w:type="pct"/>
            <w:noWrap/>
            <w:hideMark/>
          </w:tcPr>
          <w:p w14:paraId="2409861B"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128.37±0.02</w:t>
            </w:r>
            <w:r w:rsidRPr="004362EE">
              <w:rPr>
                <w:rFonts w:eastAsia="Times New Roman"/>
                <w:sz w:val="24"/>
                <w:szCs w:val="24"/>
                <w:vertAlign w:val="superscript"/>
              </w:rPr>
              <w:t>a</w:t>
            </w:r>
          </w:p>
        </w:tc>
        <w:tc>
          <w:tcPr>
            <w:tcW w:w="598" w:type="pct"/>
            <w:noWrap/>
            <w:hideMark/>
          </w:tcPr>
          <w:p w14:paraId="1C6A826B"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216.48±0.14</w:t>
            </w:r>
            <w:r w:rsidRPr="004362EE">
              <w:rPr>
                <w:rFonts w:eastAsia="Times New Roman"/>
                <w:sz w:val="24"/>
                <w:szCs w:val="24"/>
                <w:vertAlign w:val="superscript"/>
              </w:rPr>
              <w:t>b</w:t>
            </w:r>
          </w:p>
        </w:tc>
        <w:tc>
          <w:tcPr>
            <w:tcW w:w="598" w:type="pct"/>
            <w:noWrap/>
            <w:hideMark/>
          </w:tcPr>
          <w:p w14:paraId="3D19F6B9"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216.86±0.21</w:t>
            </w:r>
            <w:r w:rsidRPr="004362EE">
              <w:rPr>
                <w:rFonts w:eastAsia="Times New Roman"/>
                <w:sz w:val="24"/>
                <w:szCs w:val="24"/>
                <w:vertAlign w:val="superscript"/>
              </w:rPr>
              <w:t>b</w:t>
            </w:r>
          </w:p>
        </w:tc>
        <w:tc>
          <w:tcPr>
            <w:tcW w:w="567" w:type="pct"/>
            <w:noWrap/>
            <w:hideMark/>
          </w:tcPr>
          <w:p w14:paraId="281AE55C"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217.10±0.03</w:t>
            </w:r>
            <w:r w:rsidRPr="004362EE">
              <w:rPr>
                <w:rFonts w:eastAsia="Times New Roman"/>
                <w:sz w:val="24"/>
                <w:szCs w:val="24"/>
                <w:vertAlign w:val="superscript"/>
              </w:rPr>
              <w:t>b</w:t>
            </w:r>
          </w:p>
        </w:tc>
        <w:tc>
          <w:tcPr>
            <w:tcW w:w="598" w:type="pct"/>
            <w:noWrap/>
            <w:hideMark/>
          </w:tcPr>
          <w:p w14:paraId="2ADDBF35"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209.42±10.90</w:t>
            </w:r>
            <w:r w:rsidRPr="004362EE">
              <w:rPr>
                <w:rFonts w:eastAsia="Times New Roman"/>
                <w:sz w:val="24"/>
                <w:szCs w:val="24"/>
                <w:vertAlign w:val="superscript"/>
              </w:rPr>
              <w:t>b</w:t>
            </w:r>
          </w:p>
        </w:tc>
        <w:tc>
          <w:tcPr>
            <w:tcW w:w="692" w:type="pct"/>
            <w:noWrap/>
            <w:hideMark/>
          </w:tcPr>
          <w:p w14:paraId="17FD245B" w14:textId="77777777" w:rsidR="004702A4" w:rsidRPr="004362EE" w:rsidRDefault="004702A4" w:rsidP="004702A4">
            <w:pPr>
              <w:spacing w:line="240" w:lineRule="auto"/>
              <w:jc w:val="both"/>
              <w:rPr>
                <w:rFonts w:eastAsia="Times New Roman"/>
                <w:sz w:val="24"/>
                <w:szCs w:val="24"/>
              </w:rPr>
            </w:pPr>
            <w:r w:rsidRPr="004362EE">
              <w:rPr>
                <w:rFonts w:eastAsia="Times New Roman"/>
                <w:sz w:val="24"/>
                <w:szCs w:val="24"/>
              </w:rPr>
              <w:t>211.17±3.65</w:t>
            </w:r>
            <w:r w:rsidRPr="004362EE">
              <w:rPr>
                <w:rFonts w:eastAsia="Times New Roman"/>
                <w:sz w:val="24"/>
                <w:szCs w:val="24"/>
                <w:vertAlign w:val="superscript"/>
              </w:rPr>
              <w:t>b</w:t>
            </w:r>
          </w:p>
        </w:tc>
        <w:tc>
          <w:tcPr>
            <w:tcW w:w="411" w:type="pct"/>
          </w:tcPr>
          <w:p w14:paraId="65687133" w14:textId="77777777" w:rsidR="004702A4" w:rsidRPr="004362EE" w:rsidRDefault="004702A4" w:rsidP="004702A4">
            <w:pPr>
              <w:spacing w:line="240" w:lineRule="auto"/>
              <w:jc w:val="both"/>
              <w:rPr>
                <w:rFonts w:eastAsia="Times New Roman"/>
                <w:sz w:val="24"/>
                <w:szCs w:val="24"/>
              </w:rPr>
            </w:pPr>
            <w:r w:rsidRPr="004362EE">
              <w:rPr>
                <w:sz w:val="24"/>
                <w:szCs w:val="24"/>
              </w:rPr>
              <w:t>50.512</w:t>
            </w:r>
          </w:p>
        </w:tc>
        <w:tc>
          <w:tcPr>
            <w:tcW w:w="338" w:type="pct"/>
            <w:noWrap/>
            <w:hideMark/>
          </w:tcPr>
          <w:p w14:paraId="72CBAFEE" w14:textId="0E4CD94F" w:rsidR="004702A4" w:rsidRPr="004362EE" w:rsidRDefault="004702A4" w:rsidP="004702A4">
            <w:pPr>
              <w:spacing w:line="240" w:lineRule="auto"/>
              <w:jc w:val="both"/>
              <w:rPr>
                <w:rFonts w:eastAsia="Times New Roman"/>
                <w:sz w:val="24"/>
                <w:szCs w:val="24"/>
              </w:rPr>
            </w:pPr>
            <w:r w:rsidRPr="000817D1">
              <w:rPr>
                <w:rFonts w:eastAsia="Times New Roman"/>
                <w:sz w:val="24"/>
                <w:szCs w:val="24"/>
              </w:rPr>
              <w:t>&lt; 0.001</w:t>
            </w:r>
          </w:p>
        </w:tc>
      </w:tr>
    </w:tbl>
    <w:bookmarkEnd w:id="13"/>
    <w:p w14:paraId="5373E8E3" w14:textId="657064D6" w:rsidR="004702A4" w:rsidRDefault="004702A4" w:rsidP="00B415C2">
      <w:pPr>
        <w:spacing w:after="0" w:line="240" w:lineRule="auto"/>
        <w:jc w:val="both"/>
        <w:rPr>
          <w:rFonts w:ascii="Times New Roman" w:hAnsi="Times New Roman" w:cs="Times New Roman"/>
          <w:bCs/>
          <w:i/>
          <w:sz w:val="24"/>
          <w:szCs w:val="24"/>
        </w:rPr>
      </w:pPr>
      <w:r w:rsidRPr="004702A4">
        <w:rPr>
          <w:rFonts w:ascii="Times New Roman" w:hAnsi="Times New Roman" w:cs="Times New Roman"/>
          <w:bCs/>
          <w:i/>
          <w:sz w:val="24"/>
          <w:szCs w:val="24"/>
        </w:rPr>
        <w:t>Values are mean ± SEM. Within a row, means sharing at least one superscript letter are not significantly different, whereas means with no letters in common differ significantly (one-way ANOVA followed by Tukey’s post-hoc test, p &lt; 0.05).</w:t>
      </w:r>
    </w:p>
    <w:p w14:paraId="7A7C62AA" w14:textId="77777777" w:rsidR="004702A4" w:rsidRDefault="004702A4" w:rsidP="00B415C2">
      <w:pPr>
        <w:spacing w:after="0" w:line="240" w:lineRule="auto"/>
        <w:jc w:val="both"/>
        <w:rPr>
          <w:rFonts w:ascii="Times New Roman" w:hAnsi="Times New Roman" w:cs="Times New Roman"/>
          <w:sz w:val="24"/>
          <w:szCs w:val="24"/>
        </w:rPr>
      </w:pPr>
    </w:p>
    <w:p w14:paraId="6D792628" w14:textId="38D80CE8" w:rsidR="00B415C2" w:rsidRPr="002F5820" w:rsidRDefault="00B415C2" w:rsidP="00B415C2">
      <w:pPr>
        <w:spacing w:after="0" w:line="240" w:lineRule="auto"/>
        <w:jc w:val="both"/>
        <w:rPr>
          <w:rFonts w:ascii="Times New Roman" w:hAnsi="Times New Roman" w:cs="Times New Roman"/>
          <w:sz w:val="24"/>
          <w:szCs w:val="24"/>
        </w:rPr>
      </w:pPr>
      <w:r w:rsidRPr="002F5820">
        <w:rPr>
          <w:rFonts w:ascii="Times New Roman" w:hAnsi="Times New Roman" w:cs="Times New Roman"/>
          <w:sz w:val="24"/>
          <w:szCs w:val="24"/>
        </w:rPr>
        <w:t xml:space="preserve">Table 4 summarizes the effects of </w:t>
      </w:r>
      <w:r w:rsidRPr="002F5820">
        <w:rPr>
          <w:rFonts w:ascii="Times New Roman" w:hAnsi="Times New Roman" w:cs="Times New Roman"/>
          <w:i/>
          <w:iCs/>
          <w:sz w:val="24"/>
          <w:szCs w:val="24"/>
        </w:rPr>
        <w:t>Alstonia boonei</w:t>
      </w:r>
      <w:r w:rsidRPr="002F5820">
        <w:rPr>
          <w:rFonts w:ascii="Times New Roman" w:hAnsi="Times New Roman" w:cs="Times New Roman"/>
          <w:sz w:val="24"/>
          <w:szCs w:val="24"/>
        </w:rPr>
        <w:t xml:space="preserve"> extracts on heart antioxidant status in formalin-induced rats. The results revealed significant changes (p &lt; 0.05) in oxidative stress markers (MDA, SOD, and CAT) across all treatment groups. At 150–300 mg/kg, the leaf extract reduced MDA levels and increased SOD and CAT activities, indicating enhanced antioxidant protection. However, at 600 mg/kg, MDA increased sharply and antioxidant enzymes declined, suggesting oxidative stress. The stem extract showed a dose-dependent rise in MDA and inconsistent antioxidant enzyme levels, reflecting a disrupted antioxidant balance at higher doses. Similarly, </w:t>
      </w:r>
      <w:r w:rsidRPr="002F5820">
        <w:rPr>
          <w:rFonts w:ascii="Times New Roman" w:hAnsi="Times New Roman" w:cs="Times New Roman"/>
          <w:sz w:val="24"/>
          <w:szCs w:val="24"/>
        </w:rPr>
        <w:lastRenderedPageBreak/>
        <w:t>the root extract consistently elevated MDA while CAT levels rose markedly, likely as a compensatory response to oxidative damage. Overall, moderate doses of leaf extract provided the most effective antioxidant protection for the heart, whereas high doses of stem and root extracts may contribute to oxidative imbalance.</w:t>
      </w:r>
    </w:p>
    <w:p w14:paraId="77E27627" w14:textId="77777777" w:rsidR="00B812A0" w:rsidRDefault="00B812A0" w:rsidP="00E83AEC">
      <w:pPr>
        <w:spacing w:line="240" w:lineRule="auto"/>
        <w:jc w:val="both"/>
        <w:rPr>
          <w:rFonts w:ascii="Times New Roman" w:hAnsi="Times New Roman" w:cs="Times New Roman"/>
          <w:b/>
          <w:bCs/>
          <w:sz w:val="24"/>
          <w:szCs w:val="24"/>
        </w:rPr>
      </w:pPr>
    </w:p>
    <w:p w14:paraId="785DEEE4" w14:textId="77777777" w:rsidR="00B812A0" w:rsidRDefault="00B812A0" w:rsidP="00E83AEC">
      <w:pPr>
        <w:spacing w:line="240" w:lineRule="auto"/>
        <w:jc w:val="both"/>
        <w:rPr>
          <w:rFonts w:ascii="Times New Roman" w:hAnsi="Times New Roman" w:cs="Times New Roman"/>
          <w:b/>
          <w:bCs/>
          <w:sz w:val="24"/>
          <w:szCs w:val="24"/>
        </w:rPr>
        <w:sectPr w:rsidR="00B812A0" w:rsidSect="00B812A0">
          <w:type w:val="continuous"/>
          <w:pgSz w:w="15840" w:h="12240" w:orient="landscape"/>
          <w:pgMar w:top="1440" w:right="1440" w:bottom="1440" w:left="1440" w:header="720" w:footer="720" w:gutter="0"/>
          <w:cols w:space="720"/>
          <w:docGrid w:linePitch="360"/>
        </w:sectPr>
      </w:pPr>
    </w:p>
    <w:p w14:paraId="2AC79464" w14:textId="45DBB1E0" w:rsidR="00705062" w:rsidRPr="002F5820" w:rsidRDefault="008C22A4" w:rsidP="00E83AEC">
      <w:pPr>
        <w:spacing w:line="240" w:lineRule="auto"/>
        <w:jc w:val="both"/>
        <w:rPr>
          <w:rFonts w:ascii="Times New Roman" w:hAnsi="Times New Roman" w:cs="Times New Roman"/>
          <w:b/>
          <w:bCs/>
          <w:sz w:val="24"/>
          <w:szCs w:val="24"/>
        </w:rPr>
      </w:pPr>
      <w:r w:rsidRPr="002F5820">
        <w:rPr>
          <w:rFonts w:ascii="Times New Roman" w:hAnsi="Times New Roman" w:cs="Times New Roman"/>
          <w:b/>
          <w:bCs/>
          <w:sz w:val="24"/>
          <w:szCs w:val="24"/>
        </w:rPr>
        <w:lastRenderedPageBreak/>
        <w:t xml:space="preserve">Discussion </w:t>
      </w:r>
    </w:p>
    <w:p w14:paraId="6227B03E" w14:textId="12F184A2" w:rsidR="007201AA" w:rsidRPr="007201AA" w:rsidRDefault="007201AA" w:rsidP="00E83AEC">
      <w:pPr>
        <w:spacing w:line="240" w:lineRule="auto"/>
        <w:jc w:val="both"/>
        <w:rPr>
          <w:rFonts w:ascii="Times New Roman" w:hAnsi="Times New Roman" w:cs="Times New Roman"/>
          <w:sz w:val="24"/>
          <w:szCs w:val="24"/>
        </w:rPr>
      </w:pPr>
      <w:r w:rsidRPr="007201AA">
        <w:rPr>
          <w:rFonts w:ascii="Times New Roman" w:hAnsi="Times New Roman" w:cs="Times New Roman"/>
          <w:i/>
          <w:iCs/>
          <w:sz w:val="24"/>
          <w:szCs w:val="24"/>
        </w:rPr>
        <w:t>A. boonei</w:t>
      </w:r>
      <w:r w:rsidRPr="007201AA">
        <w:rPr>
          <w:rFonts w:ascii="Times New Roman" w:hAnsi="Times New Roman" w:cs="Times New Roman"/>
          <w:sz w:val="24"/>
          <w:szCs w:val="24"/>
        </w:rPr>
        <w:t xml:space="preserve"> is a plant species belonging to the Apocynaceae family. Indigenous to West Africa, it is commonly found in nations like Nigeria, Ghana, and Ivory Coast. The tree is valued for its strong, long-lasting wood, which is widely utilized in building, carpentry, and the production of various wooden items. Additionally, </w:t>
      </w:r>
      <w:r w:rsidRPr="00DE414E">
        <w:rPr>
          <w:rFonts w:ascii="Times New Roman" w:hAnsi="Times New Roman" w:cs="Times New Roman"/>
          <w:i/>
          <w:iCs/>
          <w:sz w:val="24"/>
          <w:szCs w:val="24"/>
        </w:rPr>
        <w:t>A. boonei</w:t>
      </w:r>
      <w:r w:rsidRPr="007201AA">
        <w:rPr>
          <w:rFonts w:ascii="Times New Roman" w:hAnsi="Times New Roman" w:cs="Times New Roman"/>
          <w:sz w:val="24"/>
          <w:szCs w:val="24"/>
        </w:rPr>
        <w:t xml:space="preserve"> holds an important place in traditional West African medicine, where it is employed in managing numerous health conditions (Okoye </w:t>
      </w:r>
      <w:r w:rsidR="00367A02" w:rsidRPr="00367A02">
        <w:rPr>
          <w:rFonts w:ascii="Times New Roman" w:hAnsi="Times New Roman" w:cs="Times New Roman"/>
          <w:i/>
          <w:iCs/>
          <w:sz w:val="24"/>
          <w:szCs w:val="24"/>
        </w:rPr>
        <w:t>et al</w:t>
      </w:r>
      <w:r w:rsidRPr="007201AA">
        <w:rPr>
          <w:rFonts w:ascii="Times New Roman" w:hAnsi="Times New Roman" w:cs="Times New Roman"/>
          <w:sz w:val="24"/>
          <w:szCs w:val="24"/>
        </w:rPr>
        <w:t>., 2021).</w:t>
      </w:r>
    </w:p>
    <w:p w14:paraId="17F93015" w14:textId="148855B8" w:rsidR="007201AA" w:rsidRDefault="007201AA" w:rsidP="00E83AEC">
      <w:pPr>
        <w:spacing w:line="240" w:lineRule="auto"/>
        <w:jc w:val="both"/>
        <w:rPr>
          <w:rFonts w:ascii="Times New Roman" w:hAnsi="Times New Roman" w:cs="Times New Roman"/>
          <w:sz w:val="24"/>
          <w:szCs w:val="24"/>
        </w:rPr>
      </w:pPr>
      <w:r w:rsidRPr="007201AA">
        <w:rPr>
          <w:rFonts w:ascii="Times New Roman" w:hAnsi="Times New Roman" w:cs="Times New Roman"/>
          <w:sz w:val="24"/>
          <w:szCs w:val="24"/>
        </w:rPr>
        <w:t xml:space="preserve">This study revealed that only the stem extract of </w:t>
      </w:r>
      <w:r w:rsidRPr="007201AA">
        <w:rPr>
          <w:rFonts w:ascii="Times New Roman" w:hAnsi="Times New Roman" w:cs="Times New Roman"/>
          <w:i/>
          <w:iCs/>
          <w:sz w:val="24"/>
          <w:szCs w:val="24"/>
        </w:rPr>
        <w:t>A</w:t>
      </w:r>
      <w:r w:rsidR="00DE414E">
        <w:rPr>
          <w:rFonts w:ascii="Times New Roman" w:hAnsi="Times New Roman" w:cs="Times New Roman"/>
          <w:i/>
          <w:iCs/>
          <w:sz w:val="24"/>
          <w:szCs w:val="24"/>
        </w:rPr>
        <w:t>.</w:t>
      </w:r>
      <w:r w:rsidRPr="007201AA">
        <w:rPr>
          <w:rFonts w:ascii="Times New Roman" w:hAnsi="Times New Roman" w:cs="Times New Roman"/>
          <w:i/>
          <w:iCs/>
          <w:sz w:val="24"/>
          <w:szCs w:val="24"/>
        </w:rPr>
        <w:t xml:space="preserve"> boonei</w:t>
      </w:r>
      <w:r w:rsidRPr="007201AA">
        <w:rPr>
          <w:rFonts w:ascii="Times New Roman" w:hAnsi="Times New Roman" w:cs="Times New Roman"/>
          <w:sz w:val="24"/>
          <w:szCs w:val="24"/>
        </w:rPr>
        <w:t xml:space="preserve"> at a dose of 600 mg/kg led to a significant increase in body weight compared to the control group (p = 0.039), whereas the leaf and root extracts showed no notable weight variations across all tested doses. These results differ from the observations made by Onyeneke and Anyanwu</w:t>
      </w:r>
      <w:r>
        <w:rPr>
          <w:rFonts w:ascii="Times New Roman" w:hAnsi="Times New Roman" w:cs="Times New Roman"/>
          <w:sz w:val="24"/>
          <w:szCs w:val="24"/>
        </w:rPr>
        <w:t>,</w:t>
      </w:r>
      <w:r w:rsidRPr="007201AA">
        <w:rPr>
          <w:rFonts w:ascii="Times New Roman" w:hAnsi="Times New Roman" w:cs="Times New Roman"/>
          <w:sz w:val="24"/>
          <w:szCs w:val="24"/>
        </w:rPr>
        <w:t xml:space="preserve"> (2018), who reported a marked reduction in food consumption and body weight in Wistar rats with high-carbohydrate-induced obesity. Similarly, the current findings contradict those of Anyanwu </w:t>
      </w:r>
      <w:r w:rsidR="00367A02" w:rsidRPr="00367A02">
        <w:rPr>
          <w:rFonts w:ascii="Times New Roman" w:hAnsi="Times New Roman" w:cs="Times New Roman"/>
          <w:i/>
          <w:iCs/>
          <w:sz w:val="24"/>
          <w:szCs w:val="24"/>
        </w:rPr>
        <w:t>et al</w:t>
      </w:r>
      <w:r w:rsidRPr="007201AA">
        <w:rPr>
          <w:rFonts w:ascii="Times New Roman" w:hAnsi="Times New Roman" w:cs="Times New Roman"/>
          <w:sz w:val="24"/>
          <w:szCs w:val="24"/>
        </w:rPr>
        <w:t>.</w:t>
      </w:r>
      <w:r>
        <w:rPr>
          <w:rFonts w:ascii="Times New Roman" w:hAnsi="Times New Roman" w:cs="Times New Roman"/>
          <w:sz w:val="24"/>
          <w:szCs w:val="24"/>
        </w:rPr>
        <w:t>,</w:t>
      </w:r>
      <w:r w:rsidRPr="007201AA">
        <w:rPr>
          <w:rFonts w:ascii="Times New Roman" w:hAnsi="Times New Roman" w:cs="Times New Roman"/>
          <w:sz w:val="24"/>
          <w:szCs w:val="24"/>
        </w:rPr>
        <w:t xml:space="preserve"> (2018), who found that the alkaloid-rich fraction of </w:t>
      </w:r>
      <w:r w:rsidRPr="007201AA">
        <w:rPr>
          <w:rFonts w:ascii="Times New Roman" w:hAnsi="Times New Roman" w:cs="Times New Roman"/>
          <w:i/>
          <w:iCs/>
          <w:sz w:val="24"/>
          <w:szCs w:val="24"/>
        </w:rPr>
        <w:t>A. boonei</w:t>
      </w:r>
      <w:r w:rsidRPr="007201AA">
        <w:rPr>
          <w:rFonts w:ascii="Times New Roman" w:hAnsi="Times New Roman" w:cs="Times New Roman"/>
          <w:sz w:val="24"/>
          <w:szCs w:val="24"/>
        </w:rPr>
        <w:t xml:space="preserve"> exhibited anti-obesity effects, as shown by reduced body weight in rats on a high-fat diet. </w:t>
      </w:r>
      <w:r w:rsidR="00174609" w:rsidRPr="00174609">
        <w:rPr>
          <w:rFonts w:ascii="Times New Roman" w:hAnsi="Times New Roman" w:cs="Times New Roman"/>
          <w:sz w:val="24"/>
          <w:szCs w:val="24"/>
          <w:highlight w:val="yellow"/>
        </w:rPr>
        <w:t>Although a significant increase in body weight was observed only in the 600 mg/kg stem-extract group, the present study did not measure food intake, feed conversion efficiency, or metabolic indices. Therefore, the mechanism underlying this weight change cannot be determined from the current data. Future studies should quantify daily feed consumption and assess relevant metabolic markers to clarify whether the observed weight difference reflects altered intake, fluid status, or other physiological effects.</w:t>
      </w:r>
    </w:p>
    <w:p w14:paraId="317EF2AB" w14:textId="1A01B8CE" w:rsidR="007201AA" w:rsidRDefault="007201AA" w:rsidP="00E83AEC">
      <w:pPr>
        <w:spacing w:line="240" w:lineRule="auto"/>
        <w:jc w:val="both"/>
        <w:rPr>
          <w:rFonts w:ascii="Times New Roman" w:hAnsi="Times New Roman" w:cs="Times New Roman"/>
          <w:sz w:val="24"/>
          <w:szCs w:val="24"/>
        </w:rPr>
      </w:pPr>
      <w:r w:rsidRPr="007201AA">
        <w:rPr>
          <w:rFonts w:ascii="Times New Roman" w:hAnsi="Times New Roman" w:cs="Times New Roman"/>
          <w:sz w:val="24"/>
          <w:szCs w:val="24"/>
        </w:rPr>
        <w:t xml:space="preserve">This research demonstrated that </w:t>
      </w:r>
      <w:r w:rsidRPr="007201AA">
        <w:rPr>
          <w:rFonts w:ascii="Times New Roman" w:hAnsi="Times New Roman" w:cs="Times New Roman"/>
          <w:i/>
          <w:iCs/>
          <w:sz w:val="24"/>
          <w:szCs w:val="24"/>
        </w:rPr>
        <w:t>A</w:t>
      </w:r>
      <w:r>
        <w:rPr>
          <w:rFonts w:ascii="Times New Roman" w:hAnsi="Times New Roman" w:cs="Times New Roman"/>
          <w:i/>
          <w:iCs/>
          <w:sz w:val="24"/>
          <w:szCs w:val="24"/>
        </w:rPr>
        <w:t>.</w:t>
      </w:r>
      <w:r w:rsidRPr="007201AA">
        <w:rPr>
          <w:rFonts w:ascii="Times New Roman" w:hAnsi="Times New Roman" w:cs="Times New Roman"/>
          <w:i/>
          <w:iCs/>
          <w:sz w:val="24"/>
          <w:szCs w:val="24"/>
        </w:rPr>
        <w:t xml:space="preserve"> boonei</w:t>
      </w:r>
      <w:r w:rsidRPr="007201AA">
        <w:rPr>
          <w:rFonts w:ascii="Times New Roman" w:hAnsi="Times New Roman" w:cs="Times New Roman"/>
          <w:sz w:val="24"/>
          <w:szCs w:val="24"/>
        </w:rPr>
        <w:t xml:space="preserve"> extracts significantly influenced key liver antioxidant indicators</w:t>
      </w:r>
      <w:r>
        <w:rPr>
          <w:rFonts w:ascii="Times New Roman" w:hAnsi="Times New Roman" w:cs="Times New Roman"/>
          <w:sz w:val="24"/>
          <w:szCs w:val="24"/>
        </w:rPr>
        <w:t xml:space="preserve"> such as </w:t>
      </w:r>
      <w:r w:rsidRPr="007201AA">
        <w:rPr>
          <w:rFonts w:ascii="Times New Roman" w:hAnsi="Times New Roman" w:cs="Times New Roman"/>
          <w:sz w:val="24"/>
          <w:szCs w:val="24"/>
        </w:rPr>
        <w:t>MDA (a marker of lipid peroxidation), SOD, and CAT</w:t>
      </w:r>
      <w:r>
        <w:rPr>
          <w:rFonts w:ascii="Times New Roman" w:hAnsi="Times New Roman" w:cs="Times New Roman"/>
          <w:sz w:val="24"/>
          <w:szCs w:val="24"/>
        </w:rPr>
        <w:t xml:space="preserve"> </w:t>
      </w:r>
      <w:r w:rsidRPr="007201AA">
        <w:rPr>
          <w:rFonts w:ascii="Times New Roman" w:hAnsi="Times New Roman" w:cs="Times New Roman"/>
          <w:sz w:val="24"/>
          <w:szCs w:val="24"/>
        </w:rPr>
        <w:t>in Wistar rats with formalin-induced inflammation (</w:t>
      </w:r>
      <w:r w:rsidRPr="007201AA">
        <w:rPr>
          <w:rFonts w:ascii="Times New Roman" w:hAnsi="Times New Roman" w:cs="Times New Roman"/>
          <w:i/>
          <w:iCs/>
          <w:sz w:val="24"/>
          <w:szCs w:val="24"/>
        </w:rPr>
        <w:t>p &lt; 0.05</w:t>
      </w:r>
      <w:r w:rsidRPr="007201AA">
        <w:rPr>
          <w:rFonts w:ascii="Times New Roman" w:hAnsi="Times New Roman" w:cs="Times New Roman"/>
          <w:sz w:val="24"/>
          <w:szCs w:val="24"/>
        </w:rPr>
        <w:t>). At lower doses of 150–300 mg/kg, the leaf extract notably reduced MDA levels while enhancing SOD and CAT activity, suggesting a strong protective antioxidant effect in the liver. However, at a higher dose of 600 mg/kg, the trend reversed: MDA levels rose considerably and antioxidant enzyme activity declined, indicating oxidative stress likely triggered by the elevated concentration.</w:t>
      </w:r>
      <w:r>
        <w:rPr>
          <w:rFonts w:ascii="Times New Roman" w:hAnsi="Times New Roman" w:cs="Times New Roman"/>
          <w:sz w:val="24"/>
          <w:szCs w:val="24"/>
        </w:rPr>
        <w:t xml:space="preserve"> </w:t>
      </w:r>
      <w:r w:rsidRPr="007201AA">
        <w:rPr>
          <w:rFonts w:ascii="Times New Roman" w:hAnsi="Times New Roman" w:cs="Times New Roman"/>
          <w:sz w:val="24"/>
          <w:szCs w:val="24"/>
        </w:rPr>
        <w:t xml:space="preserve">These results are consistent with earlier findings. For instance, Taiwo </w:t>
      </w:r>
      <w:r w:rsidR="00367A02" w:rsidRPr="00367A02">
        <w:rPr>
          <w:rFonts w:ascii="Times New Roman" w:hAnsi="Times New Roman" w:cs="Times New Roman"/>
          <w:i/>
          <w:iCs/>
          <w:sz w:val="24"/>
          <w:szCs w:val="24"/>
        </w:rPr>
        <w:t>et al</w:t>
      </w:r>
      <w:r w:rsidRPr="007201AA">
        <w:rPr>
          <w:rFonts w:ascii="Times New Roman" w:hAnsi="Times New Roman" w:cs="Times New Roman"/>
          <w:sz w:val="24"/>
          <w:szCs w:val="24"/>
        </w:rPr>
        <w:t>.</w:t>
      </w:r>
      <w:r>
        <w:rPr>
          <w:rFonts w:ascii="Times New Roman" w:hAnsi="Times New Roman" w:cs="Times New Roman"/>
          <w:sz w:val="24"/>
          <w:szCs w:val="24"/>
        </w:rPr>
        <w:t>,</w:t>
      </w:r>
      <w:r w:rsidRPr="007201AA">
        <w:rPr>
          <w:rFonts w:ascii="Times New Roman" w:hAnsi="Times New Roman" w:cs="Times New Roman"/>
          <w:sz w:val="24"/>
          <w:szCs w:val="24"/>
        </w:rPr>
        <w:t xml:space="preserve"> (2018) showed that aqueous leaf extracts of </w:t>
      </w:r>
      <w:r w:rsidRPr="007201AA">
        <w:rPr>
          <w:rFonts w:ascii="Times New Roman" w:hAnsi="Times New Roman" w:cs="Times New Roman"/>
          <w:i/>
          <w:iCs/>
          <w:sz w:val="24"/>
          <w:szCs w:val="24"/>
        </w:rPr>
        <w:t>A. boonei</w:t>
      </w:r>
      <w:r w:rsidRPr="007201AA">
        <w:rPr>
          <w:rFonts w:ascii="Times New Roman" w:hAnsi="Times New Roman" w:cs="Times New Roman"/>
          <w:sz w:val="24"/>
          <w:szCs w:val="24"/>
        </w:rPr>
        <w:t xml:space="preserve"> at doses between 250–500 mg/kg shielded rats from liver damage caused by isoniazid and rifampicin, leading to reduced MDA levels and maintained antioxidant enzyme function. Similarly, stem bark extracts have shown antioxidative properties in other studies. Yet, in contrast to the current results, Adjouzem </w:t>
      </w:r>
      <w:r w:rsidR="00367A02" w:rsidRPr="00367A02">
        <w:rPr>
          <w:rFonts w:ascii="Times New Roman" w:hAnsi="Times New Roman" w:cs="Times New Roman"/>
          <w:i/>
          <w:iCs/>
          <w:sz w:val="24"/>
          <w:szCs w:val="24"/>
        </w:rPr>
        <w:t>et al</w:t>
      </w:r>
      <w:r w:rsidRPr="007201AA">
        <w:rPr>
          <w:rFonts w:ascii="Times New Roman" w:hAnsi="Times New Roman" w:cs="Times New Roman"/>
          <w:sz w:val="24"/>
          <w:szCs w:val="24"/>
        </w:rPr>
        <w:t>.</w:t>
      </w:r>
      <w:r>
        <w:rPr>
          <w:rFonts w:ascii="Times New Roman" w:hAnsi="Times New Roman" w:cs="Times New Roman"/>
          <w:sz w:val="24"/>
          <w:szCs w:val="24"/>
        </w:rPr>
        <w:t>,</w:t>
      </w:r>
      <w:r w:rsidRPr="007201AA">
        <w:rPr>
          <w:rFonts w:ascii="Times New Roman" w:hAnsi="Times New Roman" w:cs="Times New Roman"/>
          <w:sz w:val="24"/>
          <w:szCs w:val="24"/>
        </w:rPr>
        <w:t xml:space="preserve"> (2020) found that in a colitis model, </w:t>
      </w:r>
      <w:r w:rsidRPr="007201AA">
        <w:rPr>
          <w:rFonts w:ascii="Times New Roman" w:hAnsi="Times New Roman" w:cs="Times New Roman"/>
          <w:i/>
          <w:iCs/>
          <w:sz w:val="24"/>
          <w:szCs w:val="24"/>
        </w:rPr>
        <w:t>A. boonei</w:t>
      </w:r>
      <w:r w:rsidRPr="007201AA">
        <w:rPr>
          <w:rFonts w:ascii="Times New Roman" w:hAnsi="Times New Roman" w:cs="Times New Roman"/>
          <w:sz w:val="24"/>
          <w:szCs w:val="24"/>
        </w:rPr>
        <w:t xml:space="preserve"> doses ranging from 125–250 mg/kg led to marked reductions in MDA and increases in SOD and CAT. Adesina </w:t>
      </w:r>
      <w:r w:rsidR="00367A02" w:rsidRPr="00367A02">
        <w:rPr>
          <w:rFonts w:ascii="Times New Roman" w:hAnsi="Times New Roman" w:cs="Times New Roman"/>
          <w:i/>
          <w:iCs/>
          <w:sz w:val="24"/>
          <w:szCs w:val="24"/>
        </w:rPr>
        <w:t>et al</w:t>
      </w:r>
      <w:r w:rsidRPr="007201AA">
        <w:rPr>
          <w:rFonts w:ascii="Times New Roman" w:hAnsi="Times New Roman" w:cs="Times New Roman"/>
          <w:sz w:val="24"/>
          <w:szCs w:val="24"/>
        </w:rPr>
        <w:t>.</w:t>
      </w:r>
      <w:r>
        <w:rPr>
          <w:rFonts w:ascii="Times New Roman" w:hAnsi="Times New Roman" w:cs="Times New Roman"/>
          <w:sz w:val="24"/>
          <w:szCs w:val="24"/>
        </w:rPr>
        <w:t>,</w:t>
      </w:r>
      <w:r w:rsidRPr="007201AA">
        <w:rPr>
          <w:rFonts w:ascii="Times New Roman" w:hAnsi="Times New Roman" w:cs="Times New Roman"/>
          <w:sz w:val="24"/>
          <w:szCs w:val="24"/>
        </w:rPr>
        <w:t xml:space="preserve"> (2025) also reported that stem bark extracts significantly restored antioxidant enzyme levels, protecting against isoniazid-induced liver enzyme disruption.The differing outcomes in this study may be attributed to the dose-dependent effects of </w:t>
      </w:r>
      <w:r w:rsidRPr="007201AA">
        <w:rPr>
          <w:rFonts w:ascii="Times New Roman" w:hAnsi="Times New Roman" w:cs="Times New Roman"/>
          <w:i/>
          <w:iCs/>
          <w:sz w:val="24"/>
          <w:szCs w:val="24"/>
        </w:rPr>
        <w:t>A</w:t>
      </w:r>
      <w:r>
        <w:rPr>
          <w:rFonts w:ascii="Times New Roman" w:hAnsi="Times New Roman" w:cs="Times New Roman"/>
          <w:i/>
          <w:iCs/>
          <w:sz w:val="24"/>
          <w:szCs w:val="24"/>
        </w:rPr>
        <w:t>.</w:t>
      </w:r>
      <w:r w:rsidRPr="007201AA">
        <w:rPr>
          <w:rFonts w:ascii="Times New Roman" w:hAnsi="Times New Roman" w:cs="Times New Roman"/>
          <w:i/>
          <w:iCs/>
          <w:sz w:val="24"/>
          <w:szCs w:val="24"/>
        </w:rPr>
        <w:t xml:space="preserve"> boonei</w:t>
      </w:r>
      <w:r>
        <w:rPr>
          <w:rFonts w:ascii="Times New Roman" w:hAnsi="Times New Roman" w:cs="Times New Roman"/>
          <w:sz w:val="24"/>
          <w:szCs w:val="24"/>
        </w:rPr>
        <w:t xml:space="preserve"> </w:t>
      </w:r>
      <w:r w:rsidRPr="007201AA">
        <w:rPr>
          <w:rFonts w:ascii="Times New Roman" w:hAnsi="Times New Roman" w:cs="Times New Roman"/>
          <w:sz w:val="24"/>
          <w:szCs w:val="24"/>
        </w:rPr>
        <w:t>where lower doses promote antioxidant activity by enhancing enzyme function and limiting oxidative damage, while higher doses may overwhelm the system, leading to oxidative imbalance.</w:t>
      </w:r>
    </w:p>
    <w:p w14:paraId="6A346D77" w14:textId="5D8D4A4B" w:rsidR="00A079AD" w:rsidRDefault="00A079AD" w:rsidP="00E83AEC">
      <w:pPr>
        <w:spacing w:line="240" w:lineRule="auto"/>
        <w:jc w:val="both"/>
        <w:rPr>
          <w:rFonts w:ascii="Times New Roman" w:hAnsi="Times New Roman" w:cs="Times New Roman"/>
          <w:sz w:val="24"/>
          <w:szCs w:val="24"/>
        </w:rPr>
      </w:pPr>
      <w:r w:rsidRPr="00A079AD">
        <w:rPr>
          <w:rFonts w:ascii="Times New Roman" w:hAnsi="Times New Roman" w:cs="Times New Roman"/>
          <w:sz w:val="24"/>
          <w:szCs w:val="24"/>
        </w:rPr>
        <w:t xml:space="preserve">The results of this study indicate that administering </w:t>
      </w:r>
      <w:r w:rsidRPr="00A079AD">
        <w:rPr>
          <w:rFonts w:ascii="Times New Roman" w:hAnsi="Times New Roman" w:cs="Times New Roman"/>
          <w:i/>
          <w:iCs/>
          <w:sz w:val="24"/>
          <w:szCs w:val="24"/>
        </w:rPr>
        <w:t>A</w:t>
      </w:r>
      <w:r>
        <w:rPr>
          <w:rFonts w:ascii="Times New Roman" w:hAnsi="Times New Roman" w:cs="Times New Roman"/>
          <w:i/>
          <w:iCs/>
          <w:sz w:val="24"/>
          <w:szCs w:val="24"/>
        </w:rPr>
        <w:t>.</w:t>
      </w:r>
      <w:r w:rsidRPr="00A079AD">
        <w:rPr>
          <w:rFonts w:ascii="Times New Roman" w:hAnsi="Times New Roman" w:cs="Times New Roman"/>
          <w:i/>
          <w:iCs/>
          <w:sz w:val="24"/>
          <w:szCs w:val="24"/>
        </w:rPr>
        <w:t xml:space="preserve"> boonei</w:t>
      </w:r>
      <w:r w:rsidRPr="00A079AD">
        <w:rPr>
          <w:rFonts w:ascii="Times New Roman" w:hAnsi="Times New Roman" w:cs="Times New Roman"/>
          <w:sz w:val="24"/>
          <w:szCs w:val="24"/>
        </w:rPr>
        <w:t xml:space="preserve"> leaf extract at low to moderate doses (150 mg/kg and 300 mg/kg) led to a significant decrease in MDA levels and either preserved or slightly improved SOD and CAT activity when compared to the control group. These findings suggest that the leaf extract, especially at these concentrations, offers protective antioxidant benefits to kidney tissue by reducing lipid peroxidation and supporting enzymatic defense mechanisms.</w:t>
      </w:r>
      <w:r>
        <w:rPr>
          <w:rFonts w:ascii="Times New Roman" w:hAnsi="Times New Roman" w:cs="Times New Roman"/>
          <w:sz w:val="24"/>
          <w:szCs w:val="24"/>
        </w:rPr>
        <w:t xml:space="preserve"> </w:t>
      </w:r>
      <w:r w:rsidRPr="00A079AD">
        <w:rPr>
          <w:rFonts w:ascii="Times New Roman" w:hAnsi="Times New Roman" w:cs="Times New Roman"/>
          <w:sz w:val="24"/>
          <w:szCs w:val="24"/>
        </w:rPr>
        <w:t xml:space="preserve">A study by Ojo </w:t>
      </w:r>
      <w:r w:rsidR="00367A02" w:rsidRPr="00367A02">
        <w:rPr>
          <w:rFonts w:ascii="Times New Roman" w:hAnsi="Times New Roman" w:cs="Times New Roman"/>
          <w:i/>
          <w:iCs/>
          <w:sz w:val="24"/>
          <w:szCs w:val="24"/>
        </w:rPr>
        <w:t>et al</w:t>
      </w:r>
      <w:r w:rsidRPr="00A079AD">
        <w:rPr>
          <w:rFonts w:ascii="Times New Roman" w:hAnsi="Times New Roman" w:cs="Times New Roman"/>
          <w:sz w:val="24"/>
          <w:szCs w:val="24"/>
        </w:rPr>
        <w:t>.</w:t>
      </w:r>
      <w:r>
        <w:rPr>
          <w:rFonts w:ascii="Times New Roman" w:hAnsi="Times New Roman" w:cs="Times New Roman"/>
          <w:sz w:val="24"/>
          <w:szCs w:val="24"/>
        </w:rPr>
        <w:t>,</w:t>
      </w:r>
      <w:r w:rsidRPr="00A079AD">
        <w:rPr>
          <w:rFonts w:ascii="Times New Roman" w:hAnsi="Times New Roman" w:cs="Times New Roman"/>
          <w:sz w:val="24"/>
          <w:szCs w:val="24"/>
        </w:rPr>
        <w:t xml:space="preserve"> (2014) on dichlorvos-induced kidney toxicity similarly reported that aqueous extracts of </w:t>
      </w:r>
      <w:r w:rsidRPr="00A079AD">
        <w:rPr>
          <w:rFonts w:ascii="Times New Roman" w:hAnsi="Times New Roman" w:cs="Times New Roman"/>
          <w:i/>
          <w:iCs/>
          <w:sz w:val="24"/>
          <w:szCs w:val="24"/>
        </w:rPr>
        <w:t>A. boonei</w:t>
      </w:r>
      <w:r w:rsidRPr="00A079AD">
        <w:rPr>
          <w:rFonts w:ascii="Times New Roman" w:hAnsi="Times New Roman" w:cs="Times New Roman"/>
          <w:sz w:val="24"/>
          <w:szCs w:val="24"/>
        </w:rPr>
        <w:t xml:space="preserve"> leaves reduced oxidative damage and restored levels </w:t>
      </w:r>
      <w:r w:rsidRPr="00A079AD">
        <w:rPr>
          <w:rFonts w:ascii="Times New Roman" w:hAnsi="Times New Roman" w:cs="Times New Roman"/>
          <w:sz w:val="24"/>
          <w:szCs w:val="24"/>
        </w:rPr>
        <w:lastRenderedPageBreak/>
        <w:t>of antioxidant enzymes such as SOD, CAT, and GPx</w:t>
      </w:r>
      <w:r>
        <w:rPr>
          <w:rFonts w:ascii="Times New Roman" w:hAnsi="Times New Roman" w:cs="Times New Roman"/>
          <w:sz w:val="24"/>
          <w:szCs w:val="24"/>
        </w:rPr>
        <w:t xml:space="preserve"> </w:t>
      </w:r>
      <w:r w:rsidRPr="00A079AD">
        <w:rPr>
          <w:rFonts w:ascii="Times New Roman" w:hAnsi="Times New Roman" w:cs="Times New Roman"/>
          <w:sz w:val="24"/>
          <w:szCs w:val="24"/>
        </w:rPr>
        <w:t xml:space="preserve">paralleling the results observed at 150–300 mg/kg in the present study. </w:t>
      </w:r>
      <w:r>
        <w:rPr>
          <w:rFonts w:ascii="Times New Roman" w:hAnsi="Times New Roman" w:cs="Times New Roman"/>
          <w:sz w:val="24"/>
          <w:szCs w:val="24"/>
        </w:rPr>
        <w:t>Similarly</w:t>
      </w:r>
      <w:r w:rsidRPr="00A079AD">
        <w:rPr>
          <w:rFonts w:ascii="Times New Roman" w:hAnsi="Times New Roman" w:cs="Times New Roman"/>
          <w:sz w:val="24"/>
          <w:szCs w:val="24"/>
        </w:rPr>
        <w:t xml:space="preserve">, research by Nkono </w:t>
      </w:r>
      <w:r w:rsidR="00367A02" w:rsidRPr="00367A02">
        <w:rPr>
          <w:rFonts w:ascii="Times New Roman" w:hAnsi="Times New Roman" w:cs="Times New Roman"/>
          <w:i/>
          <w:iCs/>
          <w:sz w:val="24"/>
          <w:szCs w:val="24"/>
        </w:rPr>
        <w:t>et al</w:t>
      </w:r>
      <w:r w:rsidRPr="00A079AD">
        <w:rPr>
          <w:rFonts w:ascii="Times New Roman" w:hAnsi="Times New Roman" w:cs="Times New Roman"/>
          <w:sz w:val="24"/>
          <w:szCs w:val="24"/>
        </w:rPr>
        <w:t>.</w:t>
      </w:r>
      <w:r>
        <w:rPr>
          <w:rFonts w:ascii="Times New Roman" w:hAnsi="Times New Roman" w:cs="Times New Roman"/>
          <w:sz w:val="24"/>
          <w:szCs w:val="24"/>
        </w:rPr>
        <w:t>,</w:t>
      </w:r>
      <w:r w:rsidRPr="00A079AD">
        <w:rPr>
          <w:rFonts w:ascii="Times New Roman" w:hAnsi="Times New Roman" w:cs="Times New Roman"/>
          <w:sz w:val="24"/>
          <w:szCs w:val="24"/>
        </w:rPr>
        <w:t xml:space="preserve"> (2015) highlighted </w:t>
      </w:r>
      <w:r w:rsidRPr="00A079AD">
        <w:rPr>
          <w:rFonts w:ascii="Times New Roman" w:hAnsi="Times New Roman" w:cs="Times New Roman"/>
          <w:i/>
          <w:iCs/>
          <w:sz w:val="24"/>
          <w:szCs w:val="24"/>
        </w:rPr>
        <w:t>A. boonei</w:t>
      </w:r>
      <w:r w:rsidRPr="00A079AD">
        <w:rPr>
          <w:rFonts w:ascii="Times New Roman" w:hAnsi="Times New Roman" w:cs="Times New Roman"/>
          <w:sz w:val="24"/>
          <w:szCs w:val="24"/>
        </w:rPr>
        <w:t xml:space="preserve"> toxicity at elevated doses (1000 mg/kg), which aligns with the current findings showing that at 600 mg/kg, the protective effects of both the leaf and stem extracts were diminished.</w:t>
      </w:r>
      <w:r>
        <w:rPr>
          <w:rFonts w:ascii="Times New Roman" w:hAnsi="Times New Roman" w:cs="Times New Roman"/>
          <w:sz w:val="24"/>
          <w:szCs w:val="24"/>
        </w:rPr>
        <w:t xml:space="preserve"> </w:t>
      </w:r>
      <w:r w:rsidRPr="00A079AD">
        <w:rPr>
          <w:rFonts w:ascii="Times New Roman" w:hAnsi="Times New Roman" w:cs="Times New Roman"/>
          <w:sz w:val="24"/>
          <w:szCs w:val="24"/>
        </w:rPr>
        <w:t xml:space="preserve">The rise in oxidative stress markers in the kidneys at high doses of </w:t>
      </w:r>
      <w:r w:rsidRPr="00A079AD">
        <w:rPr>
          <w:rFonts w:ascii="Times New Roman" w:hAnsi="Times New Roman" w:cs="Times New Roman"/>
          <w:i/>
          <w:iCs/>
          <w:sz w:val="24"/>
          <w:szCs w:val="24"/>
        </w:rPr>
        <w:t>A. boonei</w:t>
      </w:r>
      <w:r w:rsidRPr="00A079AD">
        <w:rPr>
          <w:rFonts w:ascii="Times New Roman" w:hAnsi="Times New Roman" w:cs="Times New Roman"/>
          <w:sz w:val="24"/>
          <w:szCs w:val="24"/>
        </w:rPr>
        <w:t xml:space="preserve"> extract may be due to an excess of phytochemicals, which can overwhelm the kidney’s natural antioxidant systems and trigger the overproduction of reactive oxygen species (ROS), ultimately leading to oxidative damage.</w:t>
      </w:r>
    </w:p>
    <w:p w14:paraId="215ACDED" w14:textId="171BA3D8" w:rsidR="00A079AD" w:rsidRPr="00A079AD" w:rsidRDefault="00A079AD" w:rsidP="00E83AEC">
      <w:pPr>
        <w:spacing w:line="240" w:lineRule="auto"/>
        <w:jc w:val="both"/>
        <w:rPr>
          <w:rFonts w:ascii="Times New Roman" w:hAnsi="Times New Roman" w:cs="Times New Roman"/>
          <w:sz w:val="24"/>
          <w:szCs w:val="24"/>
        </w:rPr>
      </w:pPr>
      <w:r w:rsidRPr="00A079AD">
        <w:rPr>
          <w:rFonts w:ascii="Times New Roman" w:hAnsi="Times New Roman" w:cs="Times New Roman"/>
          <w:sz w:val="24"/>
          <w:szCs w:val="24"/>
        </w:rPr>
        <w:t xml:space="preserve">This study explored the effects of </w:t>
      </w:r>
      <w:r w:rsidRPr="00A079AD">
        <w:rPr>
          <w:rFonts w:ascii="Times New Roman" w:hAnsi="Times New Roman" w:cs="Times New Roman"/>
          <w:i/>
          <w:iCs/>
          <w:sz w:val="24"/>
          <w:szCs w:val="24"/>
        </w:rPr>
        <w:t>A</w:t>
      </w:r>
      <w:r>
        <w:rPr>
          <w:rFonts w:ascii="Times New Roman" w:hAnsi="Times New Roman" w:cs="Times New Roman"/>
          <w:i/>
          <w:iCs/>
          <w:sz w:val="24"/>
          <w:szCs w:val="24"/>
        </w:rPr>
        <w:t>.</w:t>
      </w:r>
      <w:r w:rsidRPr="00A079AD">
        <w:rPr>
          <w:rFonts w:ascii="Times New Roman" w:hAnsi="Times New Roman" w:cs="Times New Roman"/>
          <w:i/>
          <w:iCs/>
          <w:sz w:val="24"/>
          <w:szCs w:val="24"/>
        </w:rPr>
        <w:t xml:space="preserve"> boonei</w:t>
      </w:r>
      <w:r w:rsidRPr="00A079AD">
        <w:rPr>
          <w:rFonts w:ascii="Times New Roman" w:hAnsi="Times New Roman" w:cs="Times New Roman"/>
          <w:sz w:val="24"/>
          <w:szCs w:val="24"/>
        </w:rPr>
        <w:t xml:space="preserve"> extracts (from the leaves, stem bark, and root bark) on heart antioxidant markers in formalin-induced Wistar rats. All measured parameters showed statistically significant variations (</w:t>
      </w:r>
      <w:r w:rsidRPr="00A079AD">
        <w:rPr>
          <w:rFonts w:ascii="Times New Roman" w:hAnsi="Times New Roman" w:cs="Times New Roman"/>
          <w:i/>
          <w:iCs/>
          <w:sz w:val="24"/>
          <w:szCs w:val="24"/>
        </w:rPr>
        <w:t>p &lt; 0.05</w:t>
      </w:r>
      <w:r w:rsidRPr="00A079AD">
        <w:rPr>
          <w:rFonts w:ascii="Times New Roman" w:hAnsi="Times New Roman" w:cs="Times New Roman"/>
          <w:sz w:val="24"/>
          <w:szCs w:val="24"/>
        </w:rPr>
        <w:t>), indicating that both the plant part and dosage influenced the outcomes.</w:t>
      </w:r>
      <w:r>
        <w:rPr>
          <w:rFonts w:ascii="Times New Roman" w:hAnsi="Times New Roman" w:cs="Times New Roman"/>
          <w:sz w:val="24"/>
          <w:szCs w:val="24"/>
        </w:rPr>
        <w:t xml:space="preserve"> </w:t>
      </w:r>
      <w:r w:rsidRPr="00A079AD">
        <w:rPr>
          <w:rFonts w:ascii="Times New Roman" w:hAnsi="Times New Roman" w:cs="Times New Roman"/>
          <w:sz w:val="24"/>
          <w:szCs w:val="24"/>
        </w:rPr>
        <w:t xml:space="preserve">At lower and moderate doses (150–300 mg/kg), the leaf extract significantly lowered MDA concentrations, while SOD levels rose markedly and CAT activity showed a mild increase, although not statistically different from the control group. These antioxidant effects support the findings of Akinnawo </w:t>
      </w:r>
      <w:r w:rsidR="00367A02" w:rsidRPr="00367A02">
        <w:rPr>
          <w:rFonts w:ascii="Times New Roman" w:hAnsi="Times New Roman" w:cs="Times New Roman"/>
          <w:i/>
          <w:iCs/>
          <w:sz w:val="24"/>
          <w:szCs w:val="24"/>
        </w:rPr>
        <w:t>et al</w:t>
      </w:r>
      <w:r w:rsidRPr="00A079AD">
        <w:rPr>
          <w:rFonts w:ascii="Times New Roman" w:hAnsi="Times New Roman" w:cs="Times New Roman"/>
          <w:sz w:val="24"/>
          <w:szCs w:val="24"/>
        </w:rPr>
        <w:t>.</w:t>
      </w:r>
      <w:r>
        <w:rPr>
          <w:rFonts w:ascii="Times New Roman" w:hAnsi="Times New Roman" w:cs="Times New Roman"/>
          <w:sz w:val="24"/>
          <w:szCs w:val="24"/>
        </w:rPr>
        <w:t>,</w:t>
      </w:r>
      <w:r w:rsidRPr="00A079AD">
        <w:rPr>
          <w:rFonts w:ascii="Times New Roman" w:hAnsi="Times New Roman" w:cs="Times New Roman"/>
          <w:sz w:val="24"/>
          <w:szCs w:val="24"/>
        </w:rPr>
        <w:t xml:space="preserve"> (2017), whose study in rats demonstrated that </w:t>
      </w:r>
      <w:r w:rsidRPr="00A079AD">
        <w:rPr>
          <w:rFonts w:ascii="Times New Roman" w:hAnsi="Times New Roman" w:cs="Times New Roman"/>
          <w:i/>
          <w:iCs/>
          <w:sz w:val="24"/>
          <w:szCs w:val="24"/>
        </w:rPr>
        <w:t>A. boonei</w:t>
      </w:r>
      <w:r w:rsidRPr="00A079AD">
        <w:rPr>
          <w:rFonts w:ascii="Times New Roman" w:hAnsi="Times New Roman" w:cs="Times New Roman"/>
          <w:sz w:val="24"/>
          <w:szCs w:val="24"/>
        </w:rPr>
        <w:t xml:space="preserve"> leaf extract effectively neutralizes free radicals and prevents oxidative damage. The current results are also consistent with those of Mollica </w:t>
      </w:r>
      <w:r w:rsidR="00367A02" w:rsidRPr="00367A02">
        <w:rPr>
          <w:rFonts w:ascii="Times New Roman" w:hAnsi="Times New Roman" w:cs="Times New Roman"/>
          <w:i/>
          <w:iCs/>
          <w:sz w:val="24"/>
          <w:szCs w:val="24"/>
        </w:rPr>
        <w:t>et al</w:t>
      </w:r>
      <w:r w:rsidRPr="00A079AD">
        <w:rPr>
          <w:rFonts w:ascii="Times New Roman" w:hAnsi="Times New Roman" w:cs="Times New Roman"/>
          <w:sz w:val="24"/>
          <w:szCs w:val="24"/>
        </w:rPr>
        <w:t>.</w:t>
      </w:r>
      <w:r>
        <w:rPr>
          <w:rFonts w:ascii="Times New Roman" w:hAnsi="Times New Roman" w:cs="Times New Roman"/>
          <w:sz w:val="24"/>
          <w:szCs w:val="24"/>
        </w:rPr>
        <w:t>,</w:t>
      </w:r>
      <w:r w:rsidRPr="00A079AD">
        <w:rPr>
          <w:rFonts w:ascii="Times New Roman" w:hAnsi="Times New Roman" w:cs="Times New Roman"/>
          <w:sz w:val="24"/>
          <w:szCs w:val="24"/>
        </w:rPr>
        <w:t xml:space="preserve"> (2022), who reported that methanol extracts of </w:t>
      </w:r>
      <w:r w:rsidRPr="00A079AD">
        <w:rPr>
          <w:rFonts w:ascii="Times New Roman" w:hAnsi="Times New Roman" w:cs="Times New Roman"/>
          <w:i/>
          <w:iCs/>
          <w:sz w:val="24"/>
          <w:szCs w:val="24"/>
        </w:rPr>
        <w:t>A. boonei</w:t>
      </w:r>
      <w:r w:rsidRPr="00A079AD">
        <w:rPr>
          <w:rFonts w:ascii="Times New Roman" w:hAnsi="Times New Roman" w:cs="Times New Roman"/>
          <w:sz w:val="24"/>
          <w:szCs w:val="24"/>
        </w:rPr>
        <w:t xml:space="preserve"> leaves and stem bark had strong antioxidant and reducing effects, with the leaf extract showing superior radical scavenging ability.However, at the highest tested dose (600 mg/kg), there was a noticeable increase in oxidative stress and a decline in antioxidant activity. This biphasic response mirrors the observations of Okoye </w:t>
      </w:r>
      <w:r w:rsidR="00367A02" w:rsidRPr="00367A02">
        <w:rPr>
          <w:rFonts w:ascii="Times New Roman" w:hAnsi="Times New Roman" w:cs="Times New Roman"/>
          <w:i/>
          <w:iCs/>
          <w:sz w:val="24"/>
          <w:szCs w:val="24"/>
        </w:rPr>
        <w:t>et al</w:t>
      </w:r>
      <w:r w:rsidRPr="00A079AD">
        <w:rPr>
          <w:rFonts w:ascii="Times New Roman" w:hAnsi="Times New Roman" w:cs="Times New Roman"/>
          <w:sz w:val="24"/>
          <w:szCs w:val="24"/>
        </w:rPr>
        <w:t>.</w:t>
      </w:r>
      <w:r>
        <w:rPr>
          <w:rFonts w:ascii="Times New Roman" w:hAnsi="Times New Roman" w:cs="Times New Roman"/>
          <w:sz w:val="24"/>
          <w:szCs w:val="24"/>
        </w:rPr>
        <w:t>,</w:t>
      </w:r>
      <w:r w:rsidRPr="00A079AD">
        <w:rPr>
          <w:rFonts w:ascii="Times New Roman" w:hAnsi="Times New Roman" w:cs="Times New Roman"/>
          <w:sz w:val="24"/>
          <w:szCs w:val="24"/>
        </w:rPr>
        <w:t xml:space="preserve"> (2021), who advised caution when using </w:t>
      </w:r>
      <w:r w:rsidRPr="00A079AD">
        <w:rPr>
          <w:rFonts w:ascii="Times New Roman" w:hAnsi="Times New Roman" w:cs="Times New Roman"/>
          <w:i/>
          <w:iCs/>
          <w:sz w:val="24"/>
          <w:szCs w:val="24"/>
        </w:rPr>
        <w:t>A. boonei</w:t>
      </w:r>
      <w:r w:rsidRPr="00A079AD">
        <w:rPr>
          <w:rFonts w:ascii="Times New Roman" w:hAnsi="Times New Roman" w:cs="Times New Roman"/>
          <w:sz w:val="24"/>
          <w:szCs w:val="24"/>
        </w:rPr>
        <w:t xml:space="preserve"> extracts, noting that excessive dosages or prolonged use could lead to </w:t>
      </w:r>
      <w:r w:rsidR="00077A97" w:rsidRPr="00077A97">
        <w:rPr>
          <w:rFonts w:ascii="Times New Roman" w:hAnsi="Times New Roman" w:cs="Times New Roman"/>
          <w:sz w:val="24"/>
          <w:szCs w:val="24"/>
        </w:rPr>
        <w:t>pro-oxidative</w:t>
      </w:r>
      <w:r w:rsidRPr="00A079AD">
        <w:rPr>
          <w:rFonts w:ascii="Times New Roman" w:hAnsi="Times New Roman" w:cs="Times New Roman"/>
          <w:sz w:val="24"/>
          <w:szCs w:val="24"/>
        </w:rPr>
        <w:t xml:space="preserve"> effects.</w:t>
      </w:r>
    </w:p>
    <w:p w14:paraId="2846E217" w14:textId="4AAD31C5" w:rsidR="001C37C7" w:rsidRPr="00B83464" w:rsidRDefault="001C37C7" w:rsidP="00E83AEC">
      <w:pPr>
        <w:spacing w:line="240" w:lineRule="auto"/>
        <w:jc w:val="both"/>
        <w:rPr>
          <w:rFonts w:ascii="Times New Roman" w:hAnsi="Times New Roman" w:cs="Times New Roman"/>
          <w:b/>
          <w:bCs/>
          <w:sz w:val="24"/>
          <w:szCs w:val="24"/>
        </w:rPr>
      </w:pPr>
      <w:r w:rsidRPr="00B83464">
        <w:rPr>
          <w:rFonts w:ascii="Times New Roman" w:hAnsi="Times New Roman" w:cs="Times New Roman"/>
          <w:b/>
          <w:bCs/>
          <w:sz w:val="24"/>
          <w:szCs w:val="24"/>
        </w:rPr>
        <w:t xml:space="preserve">Conclusion </w:t>
      </w:r>
    </w:p>
    <w:p w14:paraId="1E219D3D" w14:textId="2F71DE13" w:rsidR="00CA6579" w:rsidRDefault="00CA6579" w:rsidP="00E83AEC">
      <w:pPr>
        <w:spacing w:line="240" w:lineRule="auto"/>
        <w:jc w:val="both"/>
        <w:rPr>
          <w:rFonts w:ascii="Times New Roman" w:hAnsi="Times New Roman" w:cs="Times New Roman"/>
          <w:sz w:val="24"/>
          <w:szCs w:val="24"/>
        </w:rPr>
      </w:pPr>
      <w:r w:rsidRPr="00CA6579">
        <w:rPr>
          <w:rFonts w:ascii="Times New Roman" w:hAnsi="Times New Roman" w:cs="Times New Roman"/>
          <w:sz w:val="24"/>
          <w:szCs w:val="24"/>
        </w:rPr>
        <w:t xml:space="preserve">Based on the findings of this research, it can be concluded that the leaves of </w:t>
      </w:r>
      <w:r w:rsidRPr="00CA6579">
        <w:rPr>
          <w:rFonts w:ascii="Times New Roman" w:hAnsi="Times New Roman" w:cs="Times New Roman"/>
          <w:i/>
          <w:iCs/>
          <w:sz w:val="24"/>
          <w:szCs w:val="24"/>
        </w:rPr>
        <w:t>A</w:t>
      </w:r>
      <w:r>
        <w:rPr>
          <w:rFonts w:ascii="Times New Roman" w:hAnsi="Times New Roman" w:cs="Times New Roman"/>
          <w:i/>
          <w:iCs/>
          <w:sz w:val="24"/>
          <w:szCs w:val="24"/>
        </w:rPr>
        <w:t>.</w:t>
      </w:r>
      <w:r w:rsidRPr="00CA6579">
        <w:rPr>
          <w:rFonts w:ascii="Times New Roman" w:hAnsi="Times New Roman" w:cs="Times New Roman"/>
          <w:i/>
          <w:iCs/>
          <w:sz w:val="24"/>
          <w:szCs w:val="24"/>
        </w:rPr>
        <w:t xml:space="preserve"> boonei</w:t>
      </w:r>
      <w:r w:rsidRPr="00CA6579">
        <w:rPr>
          <w:rFonts w:ascii="Times New Roman" w:hAnsi="Times New Roman" w:cs="Times New Roman"/>
          <w:sz w:val="24"/>
          <w:szCs w:val="24"/>
        </w:rPr>
        <w:t xml:space="preserve"> contain bioactive compounds with notable antioxidant activity, showing effectiveness and relative safety in combating oxidative stress. However, it is important to exercise caution, as high doses (600 mg/kg) of the extract may lead to </w:t>
      </w:r>
      <w:r w:rsidR="00077A97" w:rsidRPr="00077A97">
        <w:rPr>
          <w:rFonts w:ascii="Times New Roman" w:hAnsi="Times New Roman" w:cs="Times New Roman"/>
          <w:sz w:val="24"/>
          <w:szCs w:val="24"/>
        </w:rPr>
        <w:t>pro-oxidative</w:t>
      </w:r>
      <w:r w:rsidRPr="00CA6579">
        <w:rPr>
          <w:rFonts w:ascii="Times New Roman" w:hAnsi="Times New Roman" w:cs="Times New Roman"/>
          <w:sz w:val="24"/>
          <w:szCs w:val="24"/>
        </w:rPr>
        <w:t xml:space="preserve"> effects and potential health risks.</w:t>
      </w:r>
    </w:p>
    <w:p w14:paraId="1EE035B3" w14:textId="77777777" w:rsidR="00E60CDD" w:rsidRPr="00E60CDD" w:rsidRDefault="00E60CDD" w:rsidP="00E60CDD">
      <w:pPr>
        <w:spacing w:line="240" w:lineRule="auto"/>
        <w:jc w:val="both"/>
        <w:rPr>
          <w:rFonts w:ascii="Times New Roman" w:hAnsi="Times New Roman" w:cs="Times New Roman"/>
          <w:b/>
          <w:bCs/>
          <w:sz w:val="24"/>
          <w:szCs w:val="24"/>
          <w:highlight w:val="yellow"/>
        </w:rPr>
      </w:pPr>
      <w:r w:rsidRPr="00E60CDD">
        <w:rPr>
          <w:rFonts w:ascii="Times New Roman" w:hAnsi="Times New Roman" w:cs="Times New Roman"/>
          <w:b/>
          <w:bCs/>
          <w:sz w:val="24"/>
          <w:szCs w:val="24"/>
          <w:highlight w:val="yellow"/>
        </w:rPr>
        <w:t>Limitations and Future Research</w:t>
      </w:r>
    </w:p>
    <w:p w14:paraId="1A78DF56" w14:textId="67B931A5" w:rsidR="00E60CDD" w:rsidRPr="00174609" w:rsidRDefault="00E60CDD" w:rsidP="00E60CDD">
      <w:pPr>
        <w:spacing w:line="240" w:lineRule="auto"/>
        <w:jc w:val="both"/>
        <w:rPr>
          <w:rFonts w:ascii="Times New Roman" w:hAnsi="Times New Roman" w:cs="Times New Roman"/>
          <w:sz w:val="24"/>
          <w:szCs w:val="24"/>
          <w:highlight w:val="yellow"/>
        </w:rPr>
      </w:pPr>
      <w:r w:rsidRPr="00E60CDD">
        <w:rPr>
          <w:rFonts w:ascii="Times New Roman" w:hAnsi="Times New Roman" w:cs="Times New Roman"/>
          <w:sz w:val="24"/>
          <w:szCs w:val="24"/>
          <w:highlight w:val="yellow"/>
        </w:rPr>
        <w:t>This study used a single formalin-induced inflammation model and a relatively short exposure period, so the findings may not generalize to other inflammatory etiologies or chronic disease courses. Extracts were prepared as crude aqueous preparations without quantitative phytochemical profiling or standardization, limiting reproducibility and making it difficult to link effects to specific constituents. Outcomes were restricted to enzymatic and lipid-peroxidation markers in three organs; key translational endpoints (paw edema/clinical scoring, cytokines, serum biochemistry, histopathology, and oxidative markers such as GSH) were not comprehensively assessed. Potential sex-specific responses and pharmacokinetic behavior were not evaluated.</w:t>
      </w:r>
      <w:r w:rsidR="00174609">
        <w:rPr>
          <w:rFonts w:ascii="Times New Roman" w:hAnsi="Times New Roman" w:cs="Times New Roman"/>
          <w:sz w:val="24"/>
          <w:szCs w:val="24"/>
          <w:highlight w:val="yellow"/>
        </w:rPr>
        <w:t xml:space="preserve"> </w:t>
      </w:r>
      <w:r w:rsidR="00174609" w:rsidRPr="00174609">
        <w:rPr>
          <w:rFonts w:ascii="Times New Roman" w:hAnsi="Times New Roman" w:cs="Times New Roman"/>
          <w:sz w:val="24"/>
          <w:szCs w:val="24"/>
          <w:highlight w:val="yellow"/>
        </w:rPr>
        <w:t>Food intake and feed efficiency were not measured; therefore, interpretations of body-weight changes in terms of appetite or nutrient utilization are speculative.</w:t>
      </w:r>
    </w:p>
    <w:p w14:paraId="2A1C9F6A" w14:textId="77777777" w:rsidR="00E60CDD" w:rsidRPr="00E60CDD" w:rsidRDefault="00E60CDD" w:rsidP="00E60CDD">
      <w:pPr>
        <w:spacing w:line="240" w:lineRule="auto"/>
        <w:jc w:val="both"/>
        <w:rPr>
          <w:rFonts w:ascii="Times New Roman" w:hAnsi="Times New Roman" w:cs="Times New Roman"/>
          <w:sz w:val="24"/>
          <w:szCs w:val="24"/>
        </w:rPr>
      </w:pPr>
      <w:r w:rsidRPr="00E60CDD">
        <w:rPr>
          <w:rFonts w:ascii="Times New Roman" w:hAnsi="Times New Roman" w:cs="Times New Roman"/>
          <w:sz w:val="24"/>
          <w:szCs w:val="24"/>
          <w:highlight w:val="yellow"/>
        </w:rPr>
        <w:t xml:space="preserve">Future research should standardize extracts (yield, fingerprinting, marker compounds), expand dose–response testing with dedicated toxicity studies, and include blinded, randomized designs with sufficient sample sizes. Mechanistic work should examine inflammatory signaling pathways and antioxidant gene regulation, alongside histology and systemic biomarkers. Validation across </w:t>
      </w:r>
      <w:r w:rsidRPr="00E60CDD">
        <w:rPr>
          <w:rFonts w:ascii="Times New Roman" w:hAnsi="Times New Roman" w:cs="Times New Roman"/>
          <w:sz w:val="24"/>
          <w:szCs w:val="24"/>
          <w:highlight w:val="yellow"/>
        </w:rPr>
        <w:lastRenderedPageBreak/>
        <w:t>additional models and longer follow-up will strengthen translational relevance for clinical translation efforts.</w:t>
      </w:r>
    </w:p>
    <w:p w14:paraId="4791A4B6" w14:textId="77777777" w:rsidR="00E60CDD" w:rsidRDefault="00E60CDD" w:rsidP="00E83AEC">
      <w:pPr>
        <w:spacing w:line="240" w:lineRule="auto"/>
        <w:jc w:val="both"/>
        <w:rPr>
          <w:rFonts w:ascii="Times New Roman" w:hAnsi="Times New Roman" w:cs="Times New Roman"/>
          <w:sz w:val="24"/>
          <w:szCs w:val="24"/>
        </w:rPr>
      </w:pPr>
    </w:p>
    <w:p w14:paraId="1743D60B" w14:textId="77777777" w:rsidR="00CA2E43" w:rsidRPr="00CA2E43" w:rsidRDefault="00CA2E43" w:rsidP="00CA2E43">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4" w:name="_Hlk218867759"/>
      <w:bookmarkStart w:id="15" w:name="_Hlk219125673"/>
      <w:r w:rsidRPr="00CA2E43">
        <w:rPr>
          <w:rFonts w:ascii="Times New Roman" w:eastAsia="Times New Roman" w:hAnsi="Times New Roman" w:cs="Times New Roman"/>
          <w:bCs/>
          <w:sz w:val="24"/>
          <w:szCs w:val="24"/>
          <w:highlight w:val="yellow"/>
          <w:lang w:val="en-GB" w:eastAsia="en-IN"/>
        </w:rPr>
        <w:t>Disclaimer (Artificial intelligence)</w:t>
      </w:r>
    </w:p>
    <w:p w14:paraId="207712AE" w14:textId="77777777" w:rsidR="00CA2E43" w:rsidRPr="00CA2E43" w:rsidRDefault="00CA2E43" w:rsidP="00CA2E43">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CA2E43">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CA2E43">
        <w:rPr>
          <w:rFonts w:ascii="Times New Roman" w:eastAsia="Times New Roman" w:hAnsi="Times New Roman" w:cs="Times New Roman"/>
          <w:bCs/>
          <w:sz w:val="24"/>
          <w:szCs w:val="24"/>
          <w:lang w:val="en-GB" w:eastAsia="en-IN"/>
        </w:rPr>
        <w:t xml:space="preserve"> </w:t>
      </w:r>
    </w:p>
    <w:bookmarkEnd w:id="14"/>
    <w:p w14:paraId="131456E9" w14:textId="77777777" w:rsidR="00CA2E43" w:rsidRPr="00CA2E43" w:rsidRDefault="00CA2E43" w:rsidP="00CA2E43">
      <w:pPr>
        <w:rPr>
          <w:rFonts w:ascii="Calibri" w:eastAsia="Calibri" w:hAnsi="Calibri" w:cs="Times New Roman"/>
          <w:sz w:val="28"/>
          <w:lang w:val="en-GB"/>
        </w:rPr>
      </w:pPr>
    </w:p>
    <w:bookmarkEnd w:id="15"/>
    <w:p w14:paraId="0302D634" w14:textId="77777777" w:rsidR="00E60CDD" w:rsidRDefault="00E60CDD" w:rsidP="00E83AEC">
      <w:pPr>
        <w:spacing w:line="240" w:lineRule="auto"/>
        <w:jc w:val="both"/>
        <w:rPr>
          <w:rFonts w:ascii="Times New Roman" w:hAnsi="Times New Roman" w:cs="Times New Roman"/>
          <w:sz w:val="24"/>
          <w:szCs w:val="24"/>
        </w:rPr>
      </w:pPr>
    </w:p>
    <w:p w14:paraId="32744247" w14:textId="1DAA0229" w:rsidR="001C37C7" w:rsidRPr="00B83464" w:rsidRDefault="001C37C7" w:rsidP="00E83AEC">
      <w:pPr>
        <w:spacing w:line="240" w:lineRule="auto"/>
        <w:jc w:val="both"/>
        <w:rPr>
          <w:rFonts w:ascii="Times New Roman" w:hAnsi="Times New Roman" w:cs="Times New Roman"/>
          <w:b/>
          <w:bCs/>
          <w:sz w:val="24"/>
          <w:szCs w:val="24"/>
        </w:rPr>
      </w:pPr>
      <w:r w:rsidRPr="00B83464">
        <w:rPr>
          <w:rFonts w:ascii="Times New Roman" w:hAnsi="Times New Roman" w:cs="Times New Roman"/>
          <w:b/>
          <w:bCs/>
          <w:sz w:val="24"/>
          <w:szCs w:val="24"/>
        </w:rPr>
        <w:t xml:space="preserve">Conflict of Interest </w:t>
      </w:r>
    </w:p>
    <w:p w14:paraId="3A55D066" w14:textId="68D0EF2B" w:rsidR="00E00BE6" w:rsidRDefault="001C37C7" w:rsidP="00E83AEC">
      <w:pPr>
        <w:spacing w:line="240" w:lineRule="auto"/>
        <w:jc w:val="both"/>
        <w:rPr>
          <w:rFonts w:ascii="Times New Roman" w:hAnsi="Times New Roman" w:cs="Times New Roman"/>
          <w:sz w:val="24"/>
          <w:szCs w:val="24"/>
        </w:rPr>
      </w:pPr>
      <w:r w:rsidRPr="004362EE">
        <w:rPr>
          <w:rFonts w:ascii="Times New Roman" w:hAnsi="Times New Roman" w:cs="Times New Roman"/>
          <w:sz w:val="24"/>
          <w:szCs w:val="24"/>
        </w:rPr>
        <w:t>The authors declare no conflicts of interest.</w:t>
      </w:r>
    </w:p>
    <w:p w14:paraId="178E9CA2" w14:textId="77777777" w:rsidR="007B46EC" w:rsidRDefault="007B46EC" w:rsidP="00E83AEC">
      <w:pPr>
        <w:spacing w:line="240" w:lineRule="auto"/>
        <w:jc w:val="both"/>
        <w:rPr>
          <w:rFonts w:ascii="Times New Roman" w:hAnsi="Times New Roman" w:cs="Times New Roman"/>
          <w:b/>
          <w:bCs/>
          <w:sz w:val="24"/>
          <w:szCs w:val="24"/>
        </w:rPr>
      </w:pPr>
    </w:p>
    <w:p w14:paraId="2C34E2BF" w14:textId="77777777" w:rsidR="007B46EC" w:rsidRDefault="007B46EC" w:rsidP="00E83AEC">
      <w:pPr>
        <w:spacing w:line="240" w:lineRule="auto"/>
        <w:jc w:val="both"/>
        <w:rPr>
          <w:rFonts w:ascii="Times New Roman" w:hAnsi="Times New Roman" w:cs="Times New Roman"/>
          <w:b/>
          <w:bCs/>
          <w:sz w:val="24"/>
          <w:szCs w:val="24"/>
        </w:rPr>
      </w:pPr>
    </w:p>
    <w:p w14:paraId="01576663" w14:textId="54929C9A" w:rsidR="003F32EC" w:rsidRPr="003F32EC" w:rsidRDefault="003F32EC" w:rsidP="00E83AEC">
      <w:pPr>
        <w:spacing w:line="240" w:lineRule="auto"/>
        <w:jc w:val="both"/>
        <w:rPr>
          <w:rFonts w:ascii="Times New Roman" w:hAnsi="Times New Roman" w:cs="Times New Roman"/>
          <w:b/>
          <w:bCs/>
          <w:sz w:val="24"/>
          <w:szCs w:val="24"/>
        </w:rPr>
      </w:pPr>
      <w:r w:rsidRPr="003F32EC">
        <w:rPr>
          <w:rFonts w:ascii="Times New Roman" w:hAnsi="Times New Roman" w:cs="Times New Roman"/>
          <w:b/>
          <w:bCs/>
          <w:sz w:val="24"/>
          <w:szCs w:val="24"/>
        </w:rPr>
        <w:t xml:space="preserve">REFERENCES </w:t>
      </w:r>
    </w:p>
    <w:p w14:paraId="6F0AB9C7"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Adesina, A. F., Apata, J. T., Babalola, O. O., Otuechere, C. A., Adekola, M. B., Ogunleye, G. S., &amp; Asaolu, F. (2025). Hepatoprotective activity of Alstonia boonei (De Wild) stem bark in isoniazid-induced Wistar rats: Antioxidant, anti-inflammatory and in silico evaluations. </w:t>
      </w:r>
      <w:r w:rsidRPr="00F176AD">
        <w:rPr>
          <w:rFonts w:ascii="Times New Roman" w:hAnsi="Times New Roman" w:cs="Times New Roman"/>
          <w:i/>
          <w:iCs/>
          <w:sz w:val="24"/>
          <w:szCs w:val="24"/>
        </w:rPr>
        <w:t>Pharmacological Research-Modern Chinese Medicine</w:t>
      </w:r>
      <w:r w:rsidRPr="00F176AD">
        <w:rPr>
          <w:rFonts w:ascii="Times New Roman" w:hAnsi="Times New Roman" w:cs="Times New Roman"/>
          <w:sz w:val="24"/>
          <w:szCs w:val="24"/>
        </w:rPr>
        <w:t>, </w:t>
      </w:r>
      <w:r w:rsidRPr="00F176AD">
        <w:rPr>
          <w:rFonts w:ascii="Times New Roman" w:hAnsi="Times New Roman" w:cs="Times New Roman"/>
          <w:i/>
          <w:iCs/>
          <w:sz w:val="24"/>
          <w:szCs w:val="24"/>
        </w:rPr>
        <w:t>14</w:t>
      </w:r>
      <w:r w:rsidRPr="00F176AD">
        <w:rPr>
          <w:rFonts w:ascii="Times New Roman" w:hAnsi="Times New Roman" w:cs="Times New Roman"/>
          <w:sz w:val="24"/>
          <w:szCs w:val="24"/>
        </w:rPr>
        <w:t>, 100558.</w:t>
      </w:r>
    </w:p>
    <w:p w14:paraId="0985F96A"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Adjouzem, C. F., Gilbert, A., Mbiantcha, M., Yousseu Nana, W., Matah Marthe Mba, V., Djuichou Nguemnang, S. F., ... &amp; Atsamo, A. D. (2020). Effects of Aqueous and Methanolic Extracts of Stem Bark of Alstonia boonei De Wild.(Apocynaceae) on Dextran Sodium Sulfate‐Induced Ulcerative Colitis in Wistar Rats. </w:t>
      </w:r>
      <w:r w:rsidRPr="00F176AD">
        <w:rPr>
          <w:rFonts w:ascii="Times New Roman" w:hAnsi="Times New Roman" w:cs="Times New Roman"/>
          <w:i/>
          <w:iCs/>
          <w:sz w:val="24"/>
          <w:szCs w:val="24"/>
        </w:rPr>
        <w:t>Evidence‐Based Complementary and Alternative Medicine</w:t>
      </w:r>
      <w:r w:rsidRPr="00F176AD">
        <w:rPr>
          <w:rFonts w:ascii="Times New Roman" w:hAnsi="Times New Roman" w:cs="Times New Roman"/>
          <w:sz w:val="24"/>
          <w:szCs w:val="24"/>
        </w:rPr>
        <w:t>, </w:t>
      </w:r>
      <w:r w:rsidRPr="00F176AD">
        <w:rPr>
          <w:rFonts w:ascii="Times New Roman" w:hAnsi="Times New Roman" w:cs="Times New Roman"/>
          <w:i/>
          <w:iCs/>
          <w:sz w:val="24"/>
          <w:szCs w:val="24"/>
        </w:rPr>
        <w:t>2020</w:t>
      </w:r>
      <w:r w:rsidRPr="00F176AD">
        <w:rPr>
          <w:rFonts w:ascii="Times New Roman" w:hAnsi="Times New Roman" w:cs="Times New Roman"/>
          <w:sz w:val="24"/>
          <w:szCs w:val="24"/>
        </w:rPr>
        <w:t>(1), 4918453.</w:t>
      </w:r>
    </w:p>
    <w:p w14:paraId="73BDFD32"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Akinnawo, O. O., God’swill, N. A., &amp; Osilesi, O. (2017). Aqueous fraction of Alstonia boonei de Wild leaves suppressed inflammatory responses in carrageenan and formaldehyde induced arthritic rats. </w:t>
      </w:r>
      <w:r w:rsidRPr="00F176AD">
        <w:rPr>
          <w:rFonts w:ascii="Times New Roman" w:hAnsi="Times New Roman" w:cs="Times New Roman"/>
          <w:i/>
          <w:iCs/>
          <w:sz w:val="24"/>
          <w:szCs w:val="24"/>
        </w:rPr>
        <w:t>Biomedicine &amp; pharmacotherapy</w:t>
      </w:r>
      <w:r w:rsidRPr="00F176AD">
        <w:rPr>
          <w:rFonts w:ascii="Times New Roman" w:hAnsi="Times New Roman" w:cs="Times New Roman"/>
          <w:sz w:val="24"/>
          <w:szCs w:val="24"/>
        </w:rPr>
        <w:t>, </w:t>
      </w:r>
      <w:r w:rsidRPr="00F176AD">
        <w:rPr>
          <w:rFonts w:ascii="Times New Roman" w:hAnsi="Times New Roman" w:cs="Times New Roman"/>
          <w:i/>
          <w:iCs/>
          <w:sz w:val="24"/>
          <w:szCs w:val="24"/>
        </w:rPr>
        <w:t>86</w:t>
      </w:r>
      <w:r w:rsidRPr="00F176AD">
        <w:rPr>
          <w:rFonts w:ascii="Times New Roman" w:hAnsi="Times New Roman" w:cs="Times New Roman"/>
          <w:sz w:val="24"/>
          <w:szCs w:val="24"/>
        </w:rPr>
        <w:t>, 95-101.</w:t>
      </w:r>
    </w:p>
    <w:p w14:paraId="5F8F1D00"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Anyanwu, G. O., Onyeneke, C. E., Iqbal, J., Qamar, M. U. D., Khan, S. U., Rehman, S. U., ... &amp; Rehman, N. U. (2018). Alkaloid Fraction of Alstonia Boonei Stem Bark Demonstrate Antiobesity Potential on High Fat Diet Induced Obesity in Male Sprague‐Dawley Rats. </w:t>
      </w:r>
      <w:r w:rsidRPr="00F176AD">
        <w:rPr>
          <w:rFonts w:ascii="Times New Roman" w:hAnsi="Times New Roman" w:cs="Times New Roman"/>
          <w:i/>
          <w:iCs/>
          <w:sz w:val="24"/>
          <w:szCs w:val="24"/>
        </w:rPr>
        <w:t>The FASEB Journal</w:t>
      </w:r>
      <w:r w:rsidRPr="00F176AD">
        <w:rPr>
          <w:rFonts w:ascii="Times New Roman" w:hAnsi="Times New Roman" w:cs="Times New Roman"/>
          <w:sz w:val="24"/>
          <w:szCs w:val="24"/>
        </w:rPr>
        <w:t>, </w:t>
      </w:r>
      <w:r w:rsidRPr="00F176AD">
        <w:rPr>
          <w:rFonts w:ascii="Times New Roman" w:hAnsi="Times New Roman" w:cs="Times New Roman"/>
          <w:i/>
          <w:iCs/>
          <w:sz w:val="24"/>
          <w:szCs w:val="24"/>
        </w:rPr>
        <w:t>32</w:t>
      </w:r>
      <w:r w:rsidRPr="00F176AD">
        <w:rPr>
          <w:rFonts w:ascii="Times New Roman" w:hAnsi="Times New Roman" w:cs="Times New Roman"/>
          <w:sz w:val="24"/>
          <w:szCs w:val="24"/>
        </w:rPr>
        <w:t>, 840-4.</w:t>
      </w:r>
    </w:p>
    <w:p w14:paraId="10586CF5"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Egho, E. V., Oyakhire, F. O., Ogie, E. O., Obi, H. N., Ochannah, P. B., Asiriuwa, I., &amp; Okafor, C. E. (2022). Effect of Aqueous Extract of Alstonia Boonei on Liver Enzymes and Its Anti-Inflammatory Activity on Formalin-Induced Arthritic Wistar Rats. </w:t>
      </w:r>
      <w:r w:rsidRPr="00F176AD">
        <w:rPr>
          <w:rFonts w:ascii="Times New Roman" w:hAnsi="Times New Roman" w:cs="Times New Roman"/>
          <w:i/>
          <w:iCs/>
          <w:sz w:val="24"/>
          <w:szCs w:val="24"/>
        </w:rPr>
        <w:t>International Journal of Medical Science and Clinical Invention</w:t>
      </w:r>
      <w:r w:rsidRPr="00F176AD">
        <w:rPr>
          <w:rFonts w:ascii="Times New Roman" w:hAnsi="Times New Roman" w:cs="Times New Roman"/>
          <w:sz w:val="24"/>
          <w:szCs w:val="24"/>
        </w:rPr>
        <w:t>, </w:t>
      </w:r>
      <w:r w:rsidRPr="00F176AD">
        <w:rPr>
          <w:rFonts w:ascii="Times New Roman" w:hAnsi="Times New Roman" w:cs="Times New Roman"/>
          <w:i/>
          <w:iCs/>
          <w:sz w:val="24"/>
          <w:szCs w:val="24"/>
        </w:rPr>
        <w:t>9</w:t>
      </w:r>
      <w:r w:rsidRPr="00F176AD">
        <w:rPr>
          <w:rFonts w:ascii="Times New Roman" w:hAnsi="Times New Roman" w:cs="Times New Roman"/>
          <w:sz w:val="24"/>
          <w:szCs w:val="24"/>
        </w:rPr>
        <w:t>(09), 6263-6269.</w:t>
      </w:r>
    </w:p>
    <w:p w14:paraId="04BDB9ED"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Gusev, E., &amp; Zhuravleva, Y. (2022). Inflammation: A new look at an old problem. </w:t>
      </w:r>
      <w:r w:rsidRPr="00F176AD">
        <w:rPr>
          <w:rFonts w:ascii="Times New Roman" w:hAnsi="Times New Roman" w:cs="Times New Roman"/>
          <w:i/>
          <w:iCs/>
          <w:sz w:val="24"/>
          <w:szCs w:val="24"/>
        </w:rPr>
        <w:t>International Journal of Molecular Sciences</w:t>
      </w:r>
      <w:r w:rsidRPr="00F176AD">
        <w:rPr>
          <w:rFonts w:ascii="Times New Roman" w:hAnsi="Times New Roman" w:cs="Times New Roman"/>
          <w:sz w:val="24"/>
          <w:szCs w:val="24"/>
        </w:rPr>
        <w:t>, </w:t>
      </w:r>
      <w:r w:rsidRPr="00F176AD">
        <w:rPr>
          <w:rFonts w:ascii="Times New Roman" w:hAnsi="Times New Roman" w:cs="Times New Roman"/>
          <w:i/>
          <w:iCs/>
          <w:sz w:val="24"/>
          <w:szCs w:val="24"/>
        </w:rPr>
        <w:t>23</w:t>
      </w:r>
      <w:r w:rsidRPr="00F176AD">
        <w:rPr>
          <w:rFonts w:ascii="Times New Roman" w:hAnsi="Times New Roman" w:cs="Times New Roman"/>
          <w:sz w:val="24"/>
          <w:szCs w:val="24"/>
        </w:rPr>
        <w:t>(9), 4596.</w:t>
      </w:r>
    </w:p>
    <w:p w14:paraId="7D926D2B"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lastRenderedPageBreak/>
        <w:t>Harvanová, G., &amp; Duranková, S. (2025). Inflammatory process: Factors inducing inflammation, forms and manifestations of inflammation, immunological significance of the inflammatory reaction. </w:t>
      </w:r>
      <w:r w:rsidRPr="00F176AD">
        <w:rPr>
          <w:rFonts w:ascii="Times New Roman" w:hAnsi="Times New Roman" w:cs="Times New Roman"/>
          <w:i/>
          <w:iCs/>
          <w:sz w:val="24"/>
          <w:szCs w:val="24"/>
        </w:rPr>
        <w:t>Alergologia Polska-Polish Journal of Allergology</w:t>
      </w:r>
      <w:r w:rsidRPr="00F176AD">
        <w:rPr>
          <w:rFonts w:ascii="Times New Roman" w:hAnsi="Times New Roman" w:cs="Times New Roman"/>
          <w:sz w:val="24"/>
          <w:szCs w:val="24"/>
        </w:rPr>
        <w:t>, </w:t>
      </w:r>
      <w:r w:rsidRPr="00F176AD">
        <w:rPr>
          <w:rFonts w:ascii="Times New Roman" w:hAnsi="Times New Roman" w:cs="Times New Roman"/>
          <w:i/>
          <w:iCs/>
          <w:sz w:val="24"/>
          <w:szCs w:val="24"/>
        </w:rPr>
        <w:t>12</w:t>
      </w:r>
      <w:r w:rsidRPr="00F176AD">
        <w:rPr>
          <w:rFonts w:ascii="Times New Roman" w:hAnsi="Times New Roman" w:cs="Times New Roman"/>
          <w:sz w:val="24"/>
          <w:szCs w:val="24"/>
        </w:rPr>
        <w:t>(1), 54-61.</w:t>
      </w:r>
    </w:p>
    <w:p w14:paraId="75731409"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Matyas, C., Haskó, G., Liaudet, L., Trojnar, E., &amp; Pacher, P. (2021). Interplay of cardiovascular mediators, oxidative stress and inflammation in liver disease and its complications. </w:t>
      </w:r>
      <w:r w:rsidRPr="00F176AD">
        <w:rPr>
          <w:rFonts w:ascii="Times New Roman" w:hAnsi="Times New Roman" w:cs="Times New Roman"/>
          <w:i/>
          <w:iCs/>
          <w:sz w:val="24"/>
          <w:szCs w:val="24"/>
        </w:rPr>
        <w:t>Nature Reviews Cardiology</w:t>
      </w:r>
      <w:r w:rsidRPr="00F176AD">
        <w:rPr>
          <w:rFonts w:ascii="Times New Roman" w:hAnsi="Times New Roman" w:cs="Times New Roman"/>
          <w:sz w:val="24"/>
          <w:szCs w:val="24"/>
        </w:rPr>
        <w:t>, </w:t>
      </w:r>
      <w:r w:rsidRPr="00F176AD">
        <w:rPr>
          <w:rFonts w:ascii="Times New Roman" w:hAnsi="Times New Roman" w:cs="Times New Roman"/>
          <w:i/>
          <w:iCs/>
          <w:sz w:val="24"/>
          <w:szCs w:val="24"/>
        </w:rPr>
        <w:t>18</w:t>
      </w:r>
      <w:r w:rsidRPr="00F176AD">
        <w:rPr>
          <w:rFonts w:ascii="Times New Roman" w:hAnsi="Times New Roman" w:cs="Times New Roman"/>
          <w:sz w:val="24"/>
          <w:szCs w:val="24"/>
        </w:rPr>
        <w:t>(2), 117-135.</w:t>
      </w:r>
    </w:p>
    <w:p w14:paraId="5AD4A291"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Menzel, A., Samouda, H., Dohet, F., Loap, S., Ellulu, M. S., &amp; Bohn, T. (2021). Common and novel markers for measuring inflammation and oxidative stress ex vivo in research and clinical practice—which to use regarding disease outcomes?. </w:t>
      </w:r>
      <w:r w:rsidRPr="00F176AD">
        <w:rPr>
          <w:rFonts w:ascii="Times New Roman" w:hAnsi="Times New Roman" w:cs="Times New Roman"/>
          <w:i/>
          <w:iCs/>
          <w:sz w:val="24"/>
          <w:szCs w:val="24"/>
        </w:rPr>
        <w:t>Antioxidants</w:t>
      </w:r>
      <w:r w:rsidRPr="00F176AD">
        <w:rPr>
          <w:rFonts w:ascii="Times New Roman" w:hAnsi="Times New Roman" w:cs="Times New Roman"/>
          <w:sz w:val="24"/>
          <w:szCs w:val="24"/>
        </w:rPr>
        <w:t>, </w:t>
      </w:r>
      <w:r w:rsidRPr="00F176AD">
        <w:rPr>
          <w:rFonts w:ascii="Times New Roman" w:hAnsi="Times New Roman" w:cs="Times New Roman"/>
          <w:i/>
          <w:iCs/>
          <w:sz w:val="24"/>
          <w:szCs w:val="24"/>
        </w:rPr>
        <w:t>10</w:t>
      </w:r>
      <w:r w:rsidRPr="00F176AD">
        <w:rPr>
          <w:rFonts w:ascii="Times New Roman" w:hAnsi="Times New Roman" w:cs="Times New Roman"/>
          <w:sz w:val="24"/>
          <w:szCs w:val="24"/>
        </w:rPr>
        <w:t>(3), 414.</w:t>
      </w:r>
    </w:p>
    <w:p w14:paraId="2A6D73E9" w14:textId="77777777" w:rsidR="008E48B9" w:rsidRPr="008E48B9" w:rsidRDefault="008E48B9" w:rsidP="00B812A0">
      <w:pPr>
        <w:spacing w:line="240" w:lineRule="auto"/>
        <w:ind w:left="540" w:hanging="540"/>
        <w:jc w:val="both"/>
        <w:rPr>
          <w:rFonts w:ascii="Times New Roman" w:hAnsi="Times New Roman" w:cs="Times New Roman"/>
          <w:sz w:val="24"/>
          <w:szCs w:val="24"/>
        </w:rPr>
      </w:pPr>
      <w:r w:rsidRPr="008E48B9">
        <w:rPr>
          <w:rFonts w:ascii="Times New Roman" w:hAnsi="Times New Roman" w:cs="Times New Roman"/>
          <w:sz w:val="24"/>
          <w:szCs w:val="24"/>
        </w:rPr>
        <w:t>Mofokeng, M. M., Du Plooy, C. P., Araya, H. T., Amoo, S. O., Mokgehle, S. N., Pofu, K. M., &amp; Mashela, P. W. (2022). Medicinal plant cultivation for sustainable use and commercialisation of high-value crops. </w:t>
      </w:r>
      <w:r w:rsidRPr="008E48B9">
        <w:rPr>
          <w:rFonts w:ascii="Times New Roman" w:hAnsi="Times New Roman" w:cs="Times New Roman"/>
          <w:i/>
          <w:iCs/>
          <w:sz w:val="24"/>
          <w:szCs w:val="24"/>
        </w:rPr>
        <w:t>South African Journal of Science</w:t>
      </w:r>
      <w:r w:rsidRPr="008E48B9">
        <w:rPr>
          <w:rFonts w:ascii="Times New Roman" w:hAnsi="Times New Roman" w:cs="Times New Roman"/>
          <w:sz w:val="24"/>
          <w:szCs w:val="24"/>
        </w:rPr>
        <w:t>, </w:t>
      </w:r>
      <w:r w:rsidRPr="008E48B9">
        <w:rPr>
          <w:rFonts w:ascii="Times New Roman" w:hAnsi="Times New Roman" w:cs="Times New Roman"/>
          <w:i/>
          <w:iCs/>
          <w:sz w:val="24"/>
          <w:szCs w:val="24"/>
        </w:rPr>
        <w:t>118</w:t>
      </w:r>
      <w:r w:rsidRPr="008E48B9">
        <w:rPr>
          <w:rFonts w:ascii="Times New Roman" w:hAnsi="Times New Roman" w:cs="Times New Roman"/>
          <w:sz w:val="24"/>
          <w:szCs w:val="24"/>
        </w:rPr>
        <w:t>(7/8).</w:t>
      </w:r>
    </w:p>
    <w:p w14:paraId="44048650"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Mollica, A., Zengin, G., Sinan, K. I., Marletta, M., Pieretti, S., Stefanucci, A., ... &amp; Mahomoodally, M. F. (2022). A study on chemical characterization and biological abilities of Alstonia boonei extracts obtained by different techniques. </w:t>
      </w:r>
      <w:r w:rsidRPr="00F176AD">
        <w:rPr>
          <w:rFonts w:ascii="Times New Roman" w:hAnsi="Times New Roman" w:cs="Times New Roman"/>
          <w:i/>
          <w:iCs/>
          <w:sz w:val="24"/>
          <w:szCs w:val="24"/>
        </w:rPr>
        <w:t>Antioxidants</w:t>
      </w:r>
      <w:r w:rsidRPr="00F176AD">
        <w:rPr>
          <w:rFonts w:ascii="Times New Roman" w:hAnsi="Times New Roman" w:cs="Times New Roman"/>
          <w:sz w:val="24"/>
          <w:szCs w:val="24"/>
        </w:rPr>
        <w:t>, </w:t>
      </w:r>
      <w:r w:rsidRPr="00F176AD">
        <w:rPr>
          <w:rFonts w:ascii="Times New Roman" w:hAnsi="Times New Roman" w:cs="Times New Roman"/>
          <w:i/>
          <w:iCs/>
          <w:sz w:val="24"/>
          <w:szCs w:val="24"/>
        </w:rPr>
        <w:t>11</w:t>
      </w:r>
      <w:r w:rsidRPr="00F176AD">
        <w:rPr>
          <w:rFonts w:ascii="Times New Roman" w:hAnsi="Times New Roman" w:cs="Times New Roman"/>
          <w:sz w:val="24"/>
          <w:szCs w:val="24"/>
        </w:rPr>
        <w:t>(11), 2171.</w:t>
      </w:r>
    </w:p>
    <w:p w14:paraId="5CEA12C7"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Nkono, B. N. Y., Sokeng, S. D., Djomeni, P. D., Longo, F., &amp; Kamtchouing, P. (2015). Subchronic toxicity of aqueous extract of Alstonia boonei de wild.(apocynaceae) stem bark in normal rats. </w:t>
      </w:r>
      <w:r w:rsidRPr="00F176AD">
        <w:rPr>
          <w:rFonts w:ascii="Times New Roman" w:hAnsi="Times New Roman" w:cs="Times New Roman"/>
          <w:i/>
          <w:iCs/>
          <w:sz w:val="24"/>
          <w:szCs w:val="24"/>
        </w:rPr>
        <w:t>International Journal of Pharmacology and Toxicology</w:t>
      </w:r>
      <w:r w:rsidRPr="00F176AD">
        <w:rPr>
          <w:rFonts w:ascii="Times New Roman" w:hAnsi="Times New Roman" w:cs="Times New Roman"/>
          <w:sz w:val="24"/>
          <w:szCs w:val="24"/>
        </w:rPr>
        <w:t>, </w:t>
      </w:r>
      <w:r w:rsidRPr="00F176AD">
        <w:rPr>
          <w:rFonts w:ascii="Times New Roman" w:hAnsi="Times New Roman" w:cs="Times New Roman"/>
          <w:i/>
          <w:iCs/>
          <w:sz w:val="24"/>
          <w:szCs w:val="24"/>
        </w:rPr>
        <w:t>3</w:t>
      </w:r>
      <w:r w:rsidRPr="00F176AD">
        <w:rPr>
          <w:rFonts w:ascii="Times New Roman" w:hAnsi="Times New Roman" w:cs="Times New Roman"/>
          <w:sz w:val="24"/>
          <w:szCs w:val="24"/>
        </w:rPr>
        <w:t>(1), 5-10.</w:t>
      </w:r>
    </w:p>
    <w:p w14:paraId="1ADF3709"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 xml:space="preserve">Ojo, A. O., Oyinloye, B. E., Ajiboye, B. O., Ojo A. B., Akintayo, C. O., &amp; Okezie, B. (2014). Dichlorvos Induced Nephrotoxicity in Rat Kidney: Protective Effects of Alstonia Boonei Stem Bark Extract. </w:t>
      </w:r>
      <w:r w:rsidRPr="00F176AD">
        <w:rPr>
          <w:rFonts w:ascii="Times New Roman" w:hAnsi="Times New Roman" w:cs="Times New Roman"/>
          <w:i/>
          <w:iCs/>
          <w:sz w:val="24"/>
          <w:szCs w:val="24"/>
        </w:rPr>
        <w:t>International Journal of Pharmacology</w:t>
      </w:r>
      <w:r w:rsidRPr="00F176AD">
        <w:rPr>
          <w:rFonts w:ascii="Times New Roman" w:hAnsi="Times New Roman" w:cs="Times New Roman"/>
          <w:sz w:val="24"/>
          <w:szCs w:val="24"/>
        </w:rPr>
        <w:t>, 1(7),429-437.</w:t>
      </w:r>
    </w:p>
    <w:p w14:paraId="004F067A"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Okoye, N. N., Nwokoye, J., &amp; Okoye, C. (2021). Alstonia boonei De Wild (Apocynaceae)–A review of its Ethnomedicinal Uses, Phytochemistry and Pharmacological Activities. </w:t>
      </w:r>
      <w:r w:rsidRPr="00F176AD">
        <w:rPr>
          <w:rFonts w:ascii="Times New Roman" w:hAnsi="Times New Roman" w:cs="Times New Roman"/>
          <w:i/>
          <w:iCs/>
          <w:sz w:val="24"/>
          <w:szCs w:val="24"/>
        </w:rPr>
        <w:t>Journal of Current Biomedical Research</w:t>
      </w:r>
      <w:r w:rsidRPr="00F176AD">
        <w:rPr>
          <w:rFonts w:ascii="Times New Roman" w:hAnsi="Times New Roman" w:cs="Times New Roman"/>
          <w:sz w:val="24"/>
          <w:szCs w:val="24"/>
        </w:rPr>
        <w:t>, </w:t>
      </w:r>
      <w:r w:rsidRPr="00F176AD">
        <w:rPr>
          <w:rFonts w:ascii="Times New Roman" w:hAnsi="Times New Roman" w:cs="Times New Roman"/>
          <w:i/>
          <w:iCs/>
          <w:sz w:val="24"/>
          <w:szCs w:val="24"/>
        </w:rPr>
        <w:t>1</w:t>
      </w:r>
      <w:r w:rsidRPr="00F176AD">
        <w:rPr>
          <w:rFonts w:ascii="Times New Roman" w:hAnsi="Times New Roman" w:cs="Times New Roman"/>
          <w:sz w:val="24"/>
          <w:szCs w:val="24"/>
        </w:rPr>
        <w:t>(4), 95-116.</w:t>
      </w:r>
    </w:p>
    <w:p w14:paraId="72B81E41"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Onyeneke, E. C., &amp; Anyanwu, G. O. (2018). Anti-obesity potential of the ethanolic extract of Alstonia boonei stem bark on high carbohydrate diet induced obesity in male Wistar rats. </w:t>
      </w:r>
      <w:r w:rsidRPr="00F176AD">
        <w:rPr>
          <w:rFonts w:ascii="Times New Roman" w:hAnsi="Times New Roman" w:cs="Times New Roman"/>
          <w:i/>
          <w:iCs/>
          <w:sz w:val="24"/>
          <w:szCs w:val="24"/>
        </w:rPr>
        <w:t>Energy (KCal/g)</w:t>
      </w:r>
      <w:r w:rsidRPr="00F176AD">
        <w:rPr>
          <w:rFonts w:ascii="Times New Roman" w:hAnsi="Times New Roman" w:cs="Times New Roman"/>
          <w:sz w:val="24"/>
          <w:szCs w:val="24"/>
        </w:rPr>
        <w:t>, </w:t>
      </w:r>
      <w:r w:rsidRPr="00F176AD">
        <w:rPr>
          <w:rFonts w:ascii="Times New Roman" w:hAnsi="Times New Roman" w:cs="Times New Roman"/>
          <w:i/>
          <w:iCs/>
          <w:sz w:val="24"/>
          <w:szCs w:val="24"/>
        </w:rPr>
        <w:t>4</w:t>
      </w:r>
      <w:r w:rsidRPr="00F176AD">
        <w:rPr>
          <w:rFonts w:ascii="Times New Roman" w:hAnsi="Times New Roman" w:cs="Times New Roman"/>
          <w:sz w:val="24"/>
          <w:szCs w:val="24"/>
        </w:rPr>
        <w:t xml:space="preserve">, 4-095.  </w:t>
      </w:r>
    </w:p>
    <w:p w14:paraId="1C6D9CB4"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Taiwo, J., Shemishere, U., &amp; Omoregie, E. (2018). Assessment of hepatoprotective effect of extracts of Alstonia boonei leaf in isoniazid and rifampicin co-treated rats. </w:t>
      </w:r>
      <w:r w:rsidRPr="00F176AD">
        <w:rPr>
          <w:rFonts w:ascii="Times New Roman" w:hAnsi="Times New Roman" w:cs="Times New Roman"/>
          <w:i/>
          <w:iCs/>
          <w:sz w:val="24"/>
          <w:szCs w:val="24"/>
        </w:rPr>
        <w:t>World Journal of Biomedicine and Pharmaceutical Sciences</w:t>
      </w:r>
      <w:r w:rsidRPr="00F176AD">
        <w:rPr>
          <w:rFonts w:ascii="Times New Roman" w:hAnsi="Times New Roman" w:cs="Times New Roman"/>
          <w:sz w:val="24"/>
          <w:szCs w:val="24"/>
        </w:rPr>
        <w:t>, </w:t>
      </w:r>
      <w:r w:rsidRPr="00F176AD">
        <w:rPr>
          <w:rFonts w:ascii="Times New Roman" w:hAnsi="Times New Roman" w:cs="Times New Roman"/>
          <w:i/>
          <w:iCs/>
          <w:sz w:val="24"/>
          <w:szCs w:val="24"/>
        </w:rPr>
        <w:t>3</w:t>
      </w:r>
      <w:r w:rsidRPr="00F176AD">
        <w:rPr>
          <w:rFonts w:ascii="Times New Roman" w:hAnsi="Times New Roman" w:cs="Times New Roman"/>
          <w:sz w:val="24"/>
          <w:szCs w:val="24"/>
        </w:rPr>
        <w:t>, 1-6.</w:t>
      </w:r>
    </w:p>
    <w:p w14:paraId="216FC8F2" w14:textId="1D3C3C25" w:rsidR="006E2545" w:rsidRDefault="008E48B9" w:rsidP="00B812A0">
      <w:pPr>
        <w:spacing w:line="240" w:lineRule="auto"/>
        <w:ind w:left="540" w:hanging="540"/>
        <w:jc w:val="both"/>
        <w:rPr>
          <w:rFonts w:ascii="Times New Roman" w:hAnsi="Times New Roman" w:cs="Times New Roman"/>
          <w:sz w:val="24"/>
          <w:szCs w:val="24"/>
        </w:rPr>
      </w:pPr>
      <w:r w:rsidRPr="008E48B9">
        <w:rPr>
          <w:rFonts w:ascii="Times New Roman" w:hAnsi="Times New Roman" w:cs="Times New Roman"/>
          <w:sz w:val="24"/>
          <w:szCs w:val="24"/>
        </w:rPr>
        <w:t>Ugboko, H. U., Nwinyi, O. C., Oranusi, S. U., Fatoki, T. H., &amp; Omonhinmin, C. A. (2020). Antimicrobial importance of medicinal plants in Nigeria. </w:t>
      </w:r>
      <w:r w:rsidRPr="008E48B9">
        <w:rPr>
          <w:rFonts w:ascii="Times New Roman" w:hAnsi="Times New Roman" w:cs="Times New Roman"/>
          <w:i/>
          <w:iCs/>
          <w:sz w:val="24"/>
          <w:szCs w:val="24"/>
        </w:rPr>
        <w:t>TheScientificWorldJournal</w:t>
      </w:r>
      <w:r w:rsidRPr="008E48B9">
        <w:rPr>
          <w:rFonts w:ascii="Times New Roman" w:hAnsi="Times New Roman" w:cs="Times New Roman"/>
          <w:sz w:val="24"/>
          <w:szCs w:val="24"/>
        </w:rPr>
        <w:t>, </w:t>
      </w:r>
      <w:r w:rsidRPr="008E48B9">
        <w:rPr>
          <w:rFonts w:ascii="Times New Roman" w:hAnsi="Times New Roman" w:cs="Times New Roman"/>
          <w:i/>
          <w:iCs/>
          <w:sz w:val="24"/>
          <w:szCs w:val="24"/>
        </w:rPr>
        <w:t>2020</w:t>
      </w:r>
      <w:r w:rsidRPr="008E48B9">
        <w:rPr>
          <w:rFonts w:ascii="Times New Roman" w:hAnsi="Times New Roman" w:cs="Times New Roman"/>
          <w:sz w:val="24"/>
          <w:szCs w:val="24"/>
        </w:rPr>
        <w:t xml:space="preserve">, 7059323. </w:t>
      </w:r>
    </w:p>
    <w:p w14:paraId="64BA5632" w14:textId="37733112" w:rsidR="008E6623" w:rsidRPr="008E6623" w:rsidRDefault="008E6623" w:rsidP="00B812A0">
      <w:pPr>
        <w:spacing w:line="240" w:lineRule="auto"/>
        <w:ind w:left="540" w:hanging="540"/>
        <w:jc w:val="both"/>
        <w:rPr>
          <w:rFonts w:ascii="Times New Roman" w:hAnsi="Times New Roman" w:cs="Times New Roman"/>
          <w:sz w:val="24"/>
          <w:szCs w:val="24"/>
          <w:highlight w:val="yellow"/>
        </w:rPr>
      </w:pPr>
      <w:r w:rsidRPr="008E6623">
        <w:rPr>
          <w:rFonts w:ascii="Times New Roman" w:hAnsi="Times New Roman" w:cs="Times New Roman"/>
          <w:sz w:val="24"/>
          <w:szCs w:val="24"/>
          <w:highlight w:val="yellow"/>
        </w:rPr>
        <w:t xml:space="preserve">Olanlokun, J. O., Olowofolahan, A. O., Bodede, O., Adegbuyi, A. T., Prinsloo, G., Steenkamp, P., &amp; Olorunsogo, O. O. (2021). Anti-inflammatory potentials of the n-hexane fraction of alstonia boonei stem bark in lipopolysaccharide-induced inflammation in wistar rats. Journal of Inflammation Research, 3905-3920. </w:t>
      </w:r>
      <w:hyperlink r:id="rId14" w:history="1">
        <w:r w:rsidRPr="008E6623">
          <w:rPr>
            <w:rStyle w:val="Hyperlink"/>
            <w:rFonts w:ascii="Times New Roman" w:hAnsi="Times New Roman" w:cs="Times New Roman"/>
            <w:sz w:val="24"/>
            <w:szCs w:val="24"/>
            <w:highlight w:val="yellow"/>
          </w:rPr>
          <w:t>https://doi.org/10.2147/JIR.S304076</w:t>
        </w:r>
      </w:hyperlink>
    </w:p>
    <w:p w14:paraId="4774EF0B" w14:textId="77962F76" w:rsidR="008E6623" w:rsidRPr="008E6623" w:rsidRDefault="008E6623" w:rsidP="00B812A0">
      <w:pPr>
        <w:spacing w:line="240" w:lineRule="auto"/>
        <w:ind w:left="540" w:hanging="540"/>
        <w:jc w:val="both"/>
        <w:rPr>
          <w:rFonts w:ascii="Times New Roman" w:hAnsi="Times New Roman" w:cs="Times New Roman"/>
          <w:sz w:val="24"/>
          <w:szCs w:val="24"/>
          <w:highlight w:val="yellow"/>
        </w:rPr>
      </w:pPr>
      <w:r w:rsidRPr="008E6623">
        <w:rPr>
          <w:rFonts w:ascii="Times New Roman" w:hAnsi="Times New Roman" w:cs="Times New Roman"/>
          <w:sz w:val="24"/>
          <w:szCs w:val="24"/>
          <w:highlight w:val="yellow"/>
        </w:rPr>
        <w:t xml:space="preserve">Fagni Njoya, Z.L., Mbiantcha, M., Djuichou Nguemnang, S.F., Matah Marthe, V.M., Yousseu Nana, W., Madjo Kouam, Y.K., Ngoufack Azanze, E., Tsafack, E.G., &amp; Ateufack, G. (2022). Anti‐Helicobacter pylori, anti‐Inflammatory, and Antioxidant Activities of Trunk Bark of Alstonia boonei (Apocynaceae). BioMed research international, 2022(1), 9022135. </w:t>
      </w:r>
      <w:hyperlink r:id="rId15" w:history="1">
        <w:r w:rsidRPr="008E6623">
          <w:rPr>
            <w:rStyle w:val="Hyperlink"/>
            <w:rFonts w:ascii="Times New Roman" w:hAnsi="Times New Roman" w:cs="Times New Roman"/>
            <w:sz w:val="24"/>
            <w:szCs w:val="24"/>
            <w:highlight w:val="yellow"/>
          </w:rPr>
          <w:t>https://doi.org/10.1155/2022/9022135</w:t>
        </w:r>
      </w:hyperlink>
    </w:p>
    <w:p w14:paraId="55F8CA76" w14:textId="3DCD385A" w:rsidR="008E6623" w:rsidRPr="008E6623" w:rsidRDefault="008E6623" w:rsidP="00B812A0">
      <w:pPr>
        <w:spacing w:line="240" w:lineRule="auto"/>
        <w:ind w:left="540" w:hanging="540"/>
        <w:jc w:val="both"/>
        <w:rPr>
          <w:rFonts w:ascii="Times New Roman" w:hAnsi="Times New Roman" w:cs="Times New Roman"/>
          <w:sz w:val="24"/>
          <w:szCs w:val="24"/>
          <w:highlight w:val="yellow"/>
        </w:rPr>
      </w:pPr>
      <w:r w:rsidRPr="008E6623">
        <w:rPr>
          <w:rFonts w:ascii="Times New Roman" w:hAnsi="Times New Roman" w:cs="Times New Roman"/>
          <w:sz w:val="24"/>
          <w:szCs w:val="24"/>
          <w:highlight w:val="yellow"/>
        </w:rPr>
        <w:t xml:space="preserve">Agunloye, O., Akintoye, O. and Oboh, G. (2025). Alstonia boonei stem bark aqueous extract ameliorates elevated parasitemia levels, normalises blood glucose, modulates inflammatory </w:t>
      </w:r>
      <w:r w:rsidRPr="008E6623">
        <w:rPr>
          <w:rFonts w:ascii="Times New Roman" w:hAnsi="Times New Roman" w:cs="Times New Roman"/>
          <w:sz w:val="24"/>
          <w:szCs w:val="24"/>
          <w:highlight w:val="yellow"/>
        </w:rPr>
        <w:lastRenderedPageBreak/>
        <w:t xml:space="preserve">biomarkers and enhances antioxidant status in Plasmodium berghei-infected/diabetic mice. Journal of Complementary and Integrative Medicine, 22(4), 623–632. </w:t>
      </w:r>
      <w:hyperlink r:id="rId16" w:history="1">
        <w:r w:rsidRPr="008E6623">
          <w:rPr>
            <w:rStyle w:val="Hyperlink"/>
            <w:rFonts w:ascii="Times New Roman" w:hAnsi="Times New Roman" w:cs="Times New Roman"/>
            <w:sz w:val="24"/>
            <w:szCs w:val="24"/>
            <w:highlight w:val="yellow"/>
          </w:rPr>
          <w:t>https://doi.org/10.1515/jcim-2025-0256</w:t>
        </w:r>
      </w:hyperlink>
    </w:p>
    <w:p w14:paraId="6484C3E2" w14:textId="1A9A0034" w:rsidR="008E6623" w:rsidRPr="008E6623" w:rsidRDefault="008E6623" w:rsidP="00B812A0">
      <w:pPr>
        <w:spacing w:line="240" w:lineRule="auto"/>
        <w:ind w:left="540" w:hanging="540"/>
        <w:jc w:val="both"/>
        <w:rPr>
          <w:rFonts w:ascii="Times New Roman" w:hAnsi="Times New Roman" w:cs="Times New Roman"/>
          <w:sz w:val="24"/>
          <w:szCs w:val="24"/>
          <w:highlight w:val="yellow"/>
        </w:rPr>
      </w:pPr>
      <w:r w:rsidRPr="008E6623">
        <w:rPr>
          <w:rFonts w:ascii="Times New Roman" w:hAnsi="Times New Roman" w:cs="Times New Roman"/>
          <w:sz w:val="24"/>
          <w:szCs w:val="24"/>
          <w:highlight w:val="yellow"/>
        </w:rPr>
        <w:t xml:space="preserve">Manan, M., Saleem, U., Ahmad, B., Aslam, N., Anwar, A. and Zafar, A. (2022). Anti-arthritic and toxicological evaluation of ethanolic extract of Alternanthera bettzickiana in rats. Frontiers in Pharmacology, 13, 1002037. </w:t>
      </w:r>
      <w:hyperlink r:id="rId17" w:history="1">
        <w:r w:rsidRPr="008E6623">
          <w:rPr>
            <w:rStyle w:val="Hyperlink"/>
            <w:rFonts w:ascii="Times New Roman" w:hAnsi="Times New Roman" w:cs="Times New Roman"/>
            <w:sz w:val="24"/>
            <w:szCs w:val="24"/>
            <w:highlight w:val="yellow"/>
          </w:rPr>
          <w:t>https://doi.org/10.3389/fphar.2022.1002037</w:t>
        </w:r>
      </w:hyperlink>
    </w:p>
    <w:p w14:paraId="42632032" w14:textId="6D6DA149" w:rsidR="008E6623" w:rsidRPr="008E6623" w:rsidRDefault="008E6623" w:rsidP="00B812A0">
      <w:pPr>
        <w:spacing w:line="240" w:lineRule="auto"/>
        <w:ind w:left="540" w:hanging="540"/>
        <w:jc w:val="both"/>
        <w:rPr>
          <w:rFonts w:ascii="Times New Roman" w:hAnsi="Times New Roman" w:cs="Times New Roman"/>
          <w:sz w:val="24"/>
          <w:szCs w:val="24"/>
          <w:highlight w:val="yellow"/>
        </w:rPr>
      </w:pPr>
      <w:r w:rsidRPr="008E6623">
        <w:rPr>
          <w:rFonts w:ascii="Times New Roman" w:hAnsi="Times New Roman" w:cs="Times New Roman"/>
          <w:sz w:val="24"/>
          <w:szCs w:val="24"/>
          <w:highlight w:val="yellow"/>
        </w:rPr>
        <w:t xml:space="preserve">Malhotra, H., Garg, V., Singh, G., &amp; Dutt, R. (2024). Ethanol extract of Ziziphus nummularia ameliorates formaldehyde-induced arthritis in rats by regulating oxidative stress biomarkers and haematological profile. Inflammopharmacology, 32, 2463–2476. </w:t>
      </w:r>
      <w:hyperlink r:id="rId18" w:history="1">
        <w:r w:rsidRPr="008E6623">
          <w:rPr>
            <w:rStyle w:val="Hyperlink"/>
            <w:rFonts w:ascii="Times New Roman" w:hAnsi="Times New Roman" w:cs="Times New Roman"/>
            <w:sz w:val="24"/>
            <w:szCs w:val="24"/>
            <w:highlight w:val="yellow"/>
          </w:rPr>
          <w:t>https://doi.org/10.1007/s10787-023-01377-9</w:t>
        </w:r>
      </w:hyperlink>
    </w:p>
    <w:p w14:paraId="2424BD21" w14:textId="2D80596B" w:rsidR="008E6623" w:rsidRDefault="008E6623" w:rsidP="00B812A0">
      <w:pPr>
        <w:spacing w:line="240" w:lineRule="auto"/>
        <w:ind w:left="540" w:hanging="540"/>
        <w:jc w:val="both"/>
        <w:rPr>
          <w:rFonts w:ascii="Times New Roman" w:hAnsi="Times New Roman" w:cs="Times New Roman"/>
          <w:sz w:val="24"/>
          <w:szCs w:val="24"/>
        </w:rPr>
      </w:pPr>
      <w:r w:rsidRPr="008E6623">
        <w:rPr>
          <w:rFonts w:ascii="Times New Roman" w:hAnsi="Times New Roman" w:cs="Times New Roman"/>
          <w:sz w:val="24"/>
          <w:szCs w:val="24"/>
          <w:highlight w:val="yellow"/>
        </w:rPr>
        <w:t xml:space="preserve">Ouari, S., Benzidane, N., Merakeb, M. S., Bencharif, C., Arrar, L., &amp; Bribi, N. (2025). Inula viscosa (L). Aiton leaves extract ameliorate arthritis by antioxidative and anti-inflammatory effects in formaldehyde-induced arthritis in mice. Journal of Ethnopharmacology, 339, Article 119154. </w:t>
      </w:r>
      <w:hyperlink r:id="rId19" w:history="1">
        <w:r w:rsidRPr="008E6623">
          <w:rPr>
            <w:rStyle w:val="Hyperlink"/>
            <w:rFonts w:ascii="Times New Roman" w:hAnsi="Times New Roman" w:cs="Times New Roman"/>
            <w:sz w:val="24"/>
            <w:szCs w:val="24"/>
            <w:highlight w:val="yellow"/>
          </w:rPr>
          <w:t>https://doi.org/10.1016/j.jep.2024.119154</w:t>
        </w:r>
      </w:hyperlink>
    </w:p>
    <w:p w14:paraId="44D4651B" w14:textId="1F3DC9B3" w:rsidR="008E6623" w:rsidRPr="008E6623" w:rsidRDefault="008E6623" w:rsidP="00B812A0">
      <w:pPr>
        <w:spacing w:line="240" w:lineRule="auto"/>
        <w:ind w:left="540" w:hanging="540"/>
        <w:jc w:val="both"/>
        <w:rPr>
          <w:rFonts w:ascii="Times New Roman" w:hAnsi="Times New Roman" w:cs="Times New Roman"/>
          <w:sz w:val="24"/>
          <w:szCs w:val="24"/>
          <w:highlight w:val="yellow"/>
        </w:rPr>
      </w:pPr>
      <w:r w:rsidRPr="008E6623">
        <w:rPr>
          <w:rFonts w:ascii="Times New Roman" w:hAnsi="Times New Roman" w:cs="Times New Roman"/>
          <w:sz w:val="24"/>
          <w:szCs w:val="24"/>
          <w:highlight w:val="yellow"/>
        </w:rPr>
        <w:t xml:space="preserve">Ozoemena, C. L., Abireh, I. E., Egwuatu, I. A., Ozioko, O. M., Mba, C. E., Ozor, C. C., &amp; Amaechi, K. U. (2023). Assessment of Formaldehyde-Induced Arthritis (FIA) using Modified Rheumatoid Arthritis Disease Activity Index (RADAI) on Adult Male Wistar Rats. Advances in Research, 24(5), 71–79. </w:t>
      </w:r>
      <w:hyperlink r:id="rId20" w:history="1">
        <w:r w:rsidRPr="008E6623">
          <w:rPr>
            <w:rStyle w:val="Hyperlink"/>
            <w:rFonts w:ascii="Times New Roman" w:hAnsi="Times New Roman" w:cs="Times New Roman"/>
            <w:sz w:val="24"/>
            <w:szCs w:val="24"/>
            <w:highlight w:val="yellow"/>
          </w:rPr>
          <w:t>https://doi.org/10.9734/air/2023/v24i5960</w:t>
        </w:r>
      </w:hyperlink>
    </w:p>
    <w:p w14:paraId="23767F7D" w14:textId="19AB3DDC" w:rsidR="008E6623" w:rsidRDefault="008E6623" w:rsidP="00B812A0">
      <w:pPr>
        <w:spacing w:line="240" w:lineRule="auto"/>
        <w:ind w:left="540" w:hanging="540"/>
        <w:jc w:val="both"/>
        <w:rPr>
          <w:rFonts w:ascii="Times New Roman" w:hAnsi="Times New Roman" w:cs="Times New Roman"/>
          <w:sz w:val="24"/>
          <w:szCs w:val="24"/>
        </w:rPr>
      </w:pPr>
      <w:r w:rsidRPr="008E6623">
        <w:rPr>
          <w:rFonts w:ascii="Times New Roman" w:hAnsi="Times New Roman" w:cs="Times New Roman"/>
          <w:sz w:val="24"/>
          <w:szCs w:val="24"/>
          <w:highlight w:val="yellow"/>
        </w:rPr>
        <w:t xml:space="preserve">Zali, M. A., Fonkoua, M., Daboy, C. D., Tazon, W. A., Goda, D., Akamba, D. A., Nanhah, J. V., &amp; Ngondi, J. L. (2023). Comparative Study of the Effect of Two Extraction Solvents on Polyphenols Content and Antioxidant Activity of Alstonia boonei Bark. Asian Journal of Chemical Sciences, 13(4), 7–17. </w:t>
      </w:r>
      <w:hyperlink r:id="rId21" w:history="1">
        <w:r w:rsidRPr="008E6623">
          <w:rPr>
            <w:rStyle w:val="Hyperlink"/>
            <w:rFonts w:ascii="Times New Roman" w:hAnsi="Times New Roman" w:cs="Times New Roman"/>
            <w:sz w:val="24"/>
            <w:szCs w:val="24"/>
            <w:highlight w:val="yellow"/>
          </w:rPr>
          <w:t>https://doi.org/10.9734/ajocs/2023/v13i4245</w:t>
        </w:r>
      </w:hyperlink>
    </w:p>
    <w:p w14:paraId="24BA1CDB" w14:textId="77777777" w:rsidR="008E6623" w:rsidRDefault="008E6623" w:rsidP="00B812A0">
      <w:pPr>
        <w:spacing w:line="240" w:lineRule="auto"/>
        <w:ind w:left="540" w:hanging="540"/>
        <w:jc w:val="both"/>
        <w:rPr>
          <w:rFonts w:ascii="Times New Roman" w:hAnsi="Times New Roman" w:cs="Times New Roman"/>
          <w:sz w:val="24"/>
          <w:szCs w:val="24"/>
        </w:rPr>
      </w:pPr>
    </w:p>
    <w:p w14:paraId="12F97610" w14:textId="77777777" w:rsidR="008E6623" w:rsidRDefault="008E6623" w:rsidP="00B812A0">
      <w:pPr>
        <w:spacing w:line="240" w:lineRule="auto"/>
        <w:ind w:left="540" w:hanging="540"/>
        <w:jc w:val="both"/>
        <w:rPr>
          <w:rFonts w:ascii="Times New Roman" w:hAnsi="Times New Roman" w:cs="Times New Roman"/>
          <w:sz w:val="24"/>
          <w:szCs w:val="24"/>
        </w:rPr>
      </w:pPr>
    </w:p>
    <w:p w14:paraId="143AE503" w14:textId="77777777" w:rsidR="008E6623" w:rsidRDefault="008E6623" w:rsidP="00B812A0">
      <w:pPr>
        <w:spacing w:line="240" w:lineRule="auto"/>
        <w:ind w:left="540" w:hanging="540"/>
        <w:jc w:val="both"/>
        <w:rPr>
          <w:rFonts w:ascii="Times New Roman" w:hAnsi="Times New Roman" w:cs="Times New Roman"/>
          <w:sz w:val="24"/>
          <w:szCs w:val="24"/>
        </w:rPr>
      </w:pPr>
    </w:p>
    <w:sectPr w:rsidR="008E6623" w:rsidSect="00B812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361E" w14:textId="77777777" w:rsidR="00ED6B20" w:rsidRDefault="00ED6B20" w:rsidP="004362EE">
      <w:pPr>
        <w:spacing w:after="0" w:line="240" w:lineRule="auto"/>
      </w:pPr>
      <w:r>
        <w:separator/>
      </w:r>
    </w:p>
  </w:endnote>
  <w:endnote w:type="continuationSeparator" w:id="0">
    <w:p w14:paraId="6FF60602" w14:textId="77777777" w:rsidR="00ED6B20" w:rsidRDefault="00ED6B20" w:rsidP="0043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n">
    <w:altName w:val="Times New Roman"/>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panose1 w:val="00000000000000000000"/>
    <w:charset w:val="81"/>
    <w:family w:val="auto"/>
    <w:notTrueType/>
    <w:pitch w:val="default"/>
    <w:sig w:usb0="00000001" w:usb1="09060000" w:usb2="00000010" w:usb3="00000000" w:csb0="00080000" w:csb1="00000000"/>
  </w:font>
  <w:font w:name="-webkit-standard">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9B09" w14:textId="77777777" w:rsidR="007B46EC" w:rsidRDefault="007B4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32048"/>
      <w:docPartObj>
        <w:docPartGallery w:val="Page Numbers (Bottom of Page)"/>
        <w:docPartUnique/>
      </w:docPartObj>
    </w:sdtPr>
    <w:sdtEndPr>
      <w:rPr>
        <w:noProof/>
      </w:rPr>
    </w:sdtEndPr>
    <w:sdtContent>
      <w:p w14:paraId="2D383195" w14:textId="066B9A2E" w:rsidR="00301B3E" w:rsidRDefault="00301B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963900" w14:textId="77777777" w:rsidR="00301B3E" w:rsidRDefault="00301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78CC" w14:textId="77777777" w:rsidR="007B46EC" w:rsidRDefault="007B4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991D7" w14:textId="77777777" w:rsidR="00ED6B20" w:rsidRDefault="00ED6B20" w:rsidP="004362EE">
      <w:pPr>
        <w:spacing w:after="0" w:line="240" w:lineRule="auto"/>
      </w:pPr>
      <w:r>
        <w:separator/>
      </w:r>
    </w:p>
  </w:footnote>
  <w:footnote w:type="continuationSeparator" w:id="0">
    <w:p w14:paraId="7362EF2B" w14:textId="77777777" w:rsidR="00ED6B20" w:rsidRDefault="00ED6B20" w:rsidP="00436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1DE2" w14:textId="27A1C660" w:rsidR="007B46EC" w:rsidRDefault="00000000">
    <w:pPr>
      <w:pStyle w:val="Header"/>
    </w:pPr>
    <w:r>
      <w:rPr>
        <w:noProof/>
      </w:rPr>
      <w:pict w14:anchorId="1E330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FA75" w14:textId="68143083" w:rsidR="007B46EC" w:rsidRDefault="00000000">
    <w:pPr>
      <w:pStyle w:val="Header"/>
    </w:pPr>
    <w:r>
      <w:rPr>
        <w:noProof/>
      </w:rPr>
      <w:pict w14:anchorId="0C7B0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B1F3" w14:textId="040DCE9E" w:rsidR="007B46EC" w:rsidRDefault="00000000">
    <w:pPr>
      <w:pStyle w:val="Header"/>
    </w:pPr>
    <w:r>
      <w:rPr>
        <w:noProof/>
      </w:rPr>
      <w:pict w14:anchorId="47257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E2E3578"/>
    <w:lvl w:ilvl="0" w:tplc="04090001">
      <w:start w:val="1"/>
      <w:numFmt w:val="bullet"/>
      <w:lvlText w:val=""/>
      <w:lvlJc w:val="left"/>
      <w:pPr>
        <w:ind w:left="644" w:hanging="360"/>
      </w:pPr>
      <w:rPr>
        <w:rFonts w:ascii="Symbol" w:hAnsi="Symbol" w:hint="default"/>
      </w:rPr>
    </w:lvl>
    <w:lvl w:ilvl="1" w:tplc="04090003">
      <w:start w:val="1"/>
      <w:numFmt w:val="bullet"/>
      <w:lvlRestart w:val="0"/>
      <w:lvlText w:val="o"/>
      <w:lvlJc w:val="left"/>
      <w:pPr>
        <w:ind w:left="1364" w:hanging="360"/>
      </w:pPr>
      <w:rPr>
        <w:rFonts w:ascii="Courier New" w:hAnsi="Courier New" w:cs="Courier New" w:hint="default"/>
      </w:rPr>
    </w:lvl>
    <w:lvl w:ilvl="2" w:tplc="04090005">
      <w:start w:val="1"/>
      <w:numFmt w:val="bullet"/>
      <w:lvlRestart w:val="0"/>
      <w:lvlText w:val=""/>
      <w:lvlJc w:val="left"/>
      <w:pPr>
        <w:ind w:left="2084" w:hanging="360"/>
      </w:pPr>
      <w:rPr>
        <w:rFonts w:ascii="Wingdings" w:hAnsi="Wingdings" w:hint="default"/>
      </w:rPr>
    </w:lvl>
    <w:lvl w:ilvl="3" w:tplc="04090001">
      <w:start w:val="1"/>
      <w:numFmt w:val="bullet"/>
      <w:lvlRestart w:val="0"/>
      <w:lvlText w:val=""/>
      <w:lvlJc w:val="left"/>
      <w:pPr>
        <w:ind w:left="2804" w:hanging="360"/>
      </w:pPr>
      <w:rPr>
        <w:rFonts w:ascii="Symbol" w:hAnsi="Symbol" w:hint="default"/>
      </w:rPr>
    </w:lvl>
    <w:lvl w:ilvl="4" w:tplc="04090003">
      <w:start w:val="1"/>
      <w:numFmt w:val="bullet"/>
      <w:lvlRestart w:val="0"/>
      <w:lvlText w:val="o"/>
      <w:lvlJc w:val="left"/>
      <w:pPr>
        <w:ind w:left="3524" w:hanging="360"/>
      </w:pPr>
      <w:rPr>
        <w:rFonts w:ascii="Courier New" w:hAnsi="Courier New" w:cs="Courier New" w:hint="default"/>
      </w:rPr>
    </w:lvl>
    <w:lvl w:ilvl="5" w:tplc="04090005">
      <w:start w:val="1"/>
      <w:numFmt w:val="bullet"/>
      <w:lvlRestart w:val="0"/>
      <w:lvlText w:val=""/>
      <w:lvlJc w:val="left"/>
      <w:pPr>
        <w:ind w:left="4244" w:hanging="360"/>
      </w:pPr>
      <w:rPr>
        <w:rFonts w:ascii="Wingdings" w:hAnsi="Wingdings" w:hint="default"/>
      </w:rPr>
    </w:lvl>
    <w:lvl w:ilvl="6" w:tplc="04090001">
      <w:start w:val="1"/>
      <w:numFmt w:val="bullet"/>
      <w:lvlRestart w:val="0"/>
      <w:lvlText w:val=""/>
      <w:lvlJc w:val="left"/>
      <w:pPr>
        <w:ind w:left="4964" w:hanging="360"/>
      </w:pPr>
      <w:rPr>
        <w:rFonts w:ascii="Symbol" w:hAnsi="Symbol" w:hint="default"/>
      </w:rPr>
    </w:lvl>
    <w:lvl w:ilvl="7" w:tplc="04090003">
      <w:start w:val="1"/>
      <w:numFmt w:val="bullet"/>
      <w:lvlRestart w:val="0"/>
      <w:lvlText w:val="o"/>
      <w:lvlJc w:val="left"/>
      <w:pPr>
        <w:ind w:left="5684" w:hanging="360"/>
      </w:pPr>
      <w:rPr>
        <w:rFonts w:ascii="Courier New" w:hAnsi="Courier New" w:cs="Courier New" w:hint="default"/>
      </w:rPr>
    </w:lvl>
    <w:lvl w:ilvl="8" w:tplc="04090005">
      <w:start w:val="1"/>
      <w:numFmt w:val="bullet"/>
      <w:lvlRestart w:val="0"/>
      <w:lvlText w:val=""/>
      <w:lvlJc w:val="left"/>
      <w:pPr>
        <w:ind w:left="6404" w:hanging="360"/>
      </w:pPr>
      <w:rPr>
        <w:rFonts w:ascii="Wingdings" w:hAnsi="Wingdings" w:hint="default"/>
      </w:rPr>
    </w:lvl>
  </w:abstractNum>
  <w:abstractNum w:abstractNumId="1" w15:restartNumberingAfterBreak="0">
    <w:nsid w:val="037729AB"/>
    <w:multiLevelType w:val="hybridMultilevel"/>
    <w:tmpl w:val="65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01BA1"/>
    <w:multiLevelType w:val="multilevel"/>
    <w:tmpl w:val="5738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450D0"/>
    <w:multiLevelType w:val="multilevel"/>
    <w:tmpl w:val="E0F6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B5DF7"/>
    <w:multiLevelType w:val="multilevel"/>
    <w:tmpl w:val="459E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54E7B"/>
    <w:multiLevelType w:val="hybridMultilevel"/>
    <w:tmpl w:val="2A80C2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F19389A"/>
    <w:multiLevelType w:val="hybridMultilevel"/>
    <w:tmpl w:val="4F502E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05CE"/>
    <w:multiLevelType w:val="hybridMultilevel"/>
    <w:tmpl w:val="398C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57463"/>
    <w:multiLevelType w:val="hybridMultilevel"/>
    <w:tmpl w:val="7C2E77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4B189F"/>
    <w:multiLevelType w:val="hybridMultilevel"/>
    <w:tmpl w:val="649AF2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15:restartNumberingAfterBreak="0">
    <w:nsid w:val="27400D22"/>
    <w:multiLevelType w:val="hybridMultilevel"/>
    <w:tmpl w:val="04E41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661B9"/>
    <w:multiLevelType w:val="hybridMultilevel"/>
    <w:tmpl w:val="6856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13F53"/>
    <w:multiLevelType w:val="hybridMultilevel"/>
    <w:tmpl w:val="48A2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4243D"/>
    <w:multiLevelType w:val="hybridMultilevel"/>
    <w:tmpl w:val="364EA69E"/>
    <w:lvl w:ilvl="0" w:tplc="7B40ECE8">
      <w:start w:val="50"/>
      <w:numFmt w:val="decimal"/>
      <w:lvlText w:val="%1"/>
      <w:lvlJc w:val="left"/>
      <w:pPr>
        <w:ind w:left="631" w:hanging="360"/>
      </w:pPr>
      <w:rPr>
        <w:rFonts w:hint="default"/>
      </w:rPr>
    </w:lvl>
    <w:lvl w:ilvl="1" w:tplc="04090019" w:tentative="1">
      <w:start w:val="1"/>
      <w:numFmt w:val="lowerLetter"/>
      <w:lvlText w:val="%2."/>
      <w:lvlJc w:val="left"/>
      <w:pPr>
        <w:ind w:left="1351" w:hanging="360"/>
      </w:pPr>
    </w:lvl>
    <w:lvl w:ilvl="2" w:tplc="0409001B" w:tentative="1">
      <w:start w:val="1"/>
      <w:numFmt w:val="lowerRoman"/>
      <w:lvlText w:val="%3."/>
      <w:lvlJc w:val="right"/>
      <w:pPr>
        <w:ind w:left="2071" w:hanging="180"/>
      </w:pPr>
    </w:lvl>
    <w:lvl w:ilvl="3" w:tplc="0409000F" w:tentative="1">
      <w:start w:val="1"/>
      <w:numFmt w:val="decimal"/>
      <w:lvlText w:val="%4."/>
      <w:lvlJc w:val="left"/>
      <w:pPr>
        <w:ind w:left="2791" w:hanging="360"/>
      </w:pPr>
    </w:lvl>
    <w:lvl w:ilvl="4" w:tplc="04090019" w:tentative="1">
      <w:start w:val="1"/>
      <w:numFmt w:val="lowerLetter"/>
      <w:lvlText w:val="%5."/>
      <w:lvlJc w:val="left"/>
      <w:pPr>
        <w:ind w:left="3511" w:hanging="360"/>
      </w:pPr>
    </w:lvl>
    <w:lvl w:ilvl="5" w:tplc="0409001B" w:tentative="1">
      <w:start w:val="1"/>
      <w:numFmt w:val="lowerRoman"/>
      <w:lvlText w:val="%6."/>
      <w:lvlJc w:val="right"/>
      <w:pPr>
        <w:ind w:left="4231" w:hanging="180"/>
      </w:pPr>
    </w:lvl>
    <w:lvl w:ilvl="6" w:tplc="0409000F" w:tentative="1">
      <w:start w:val="1"/>
      <w:numFmt w:val="decimal"/>
      <w:lvlText w:val="%7."/>
      <w:lvlJc w:val="left"/>
      <w:pPr>
        <w:ind w:left="4951" w:hanging="360"/>
      </w:pPr>
    </w:lvl>
    <w:lvl w:ilvl="7" w:tplc="04090019" w:tentative="1">
      <w:start w:val="1"/>
      <w:numFmt w:val="lowerLetter"/>
      <w:lvlText w:val="%8."/>
      <w:lvlJc w:val="left"/>
      <w:pPr>
        <w:ind w:left="5671" w:hanging="360"/>
      </w:pPr>
    </w:lvl>
    <w:lvl w:ilvl="8" w:tplc="0409001B" w:tentative="1">
      <w:start w:val="1"/>
      <w:numFmt w:val="lowerRoman"/>
      <w:lvlText w:val="%9."/>
      <w:lvlJc w:val="right"/>
      <w:pPr>
        <w:ind w:left="6391" w:hanging="180"/>
      </w:pPr>
    </w:lvl>
  </w:abstractNum>
  <w:abstractNum w:abstractNumId="14" w15:restartNumberingAfterBreak="0">
    <w:nsid w:val="60D49B6A"/>
    <w:multiLevelType w:val="singleLevel"/>
    <w:tmpl w:val="60D49B6A"/>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60D49BA8"/>
    <w:multiLevelType w:val="singleLevel"/>
    <w:tmpl w:val="60D49BA8"/>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60D49BB9"/>
    <w:multiLevelType w:val="singleLevel"/>
    <w:tmpl w:val="60D49BB9"/>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60D49BDC"/>
    <w:multiLevelType w:val="singleLevel"/>
    <w:tmpl w:val="60D49BDC"/>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60D5BE0A"/>
    <w:multiLevelType w:val="singleLevel"/>
    <w:tmpl w:val="60D5BE0A"/>
    <w:lvl w:ilvl="0">
      <w:start w:val="1"/>
      <w:numFmt w:val="lowerLetter"/>
      <w:lvlText w:val="%1."/>
      <w:lvlJc w:val="left"/>
      <w:pPr>
        <w:tabs>
          <w:tab w:val="left" w:pos="425"/>
        </w:tabs>
        <w:ind w:left="425" w:hanging="425"/>
      </w:pPr>
      <w:rPr>
        <w:rFonts w:hint="default"/>
      </w:rPr>
    </w:lvl>
  </w:abstractNum>
  <w:abstractNum w:abstractNumId="19" w15:restartNumberingAfterBreak="0">
    <w:nsid w:val="62D1326D"/>
    <w:multiLevelType w:val="multilevel"/>
    <w:tmpl w:val="8DB01A98"/>
    <w:lvl w:ilvl="0">
      <w:start w:val="1"/>
      <w:numFmt w:val="decimal"/>
      <w:lvlText w:val="%1."/>
      <w:lvlJc w:val="left"/>
      <w:pPr>
        <w:ind w:left="720" w:hanging="360"/>
      </w:pPr>
      <w:rPr>
        <w:rFonts w:hint="default"/>
      </w:rPr>
    </w:lvl>
    <w:lvl w:ilvl="1">
      <w:start w:val="6"/>
      <w:numFmt w:val="decimal"/>
      <w:isLgl/>
      <w:lvlText w:val="%1.%2"/>
      <w:lvlJc w:val="left"/>
      <w:pPr>
        <w:ind w:left="936" w:hanging="576"/>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0" w15:restartNumberingAfterBreak="0">
    <w:nsid w:val="67F90519"/>
    <w:multiLevelType w:val="hybridMultilevel"/>
    <w:tmpl w:val="6138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5289F"/>
    <w:multiLevelType w:val="hybridMultilevel"/>
    <w:tmpl w:val="52CE09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4B1AC9"/>
    <w:multiLevelType w:val="hybridMultilevel"/>
    <w:tmpl w:val="F3C0A3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713851"/>
    <w:multiLevelType w:val="hybridMultilevel"/>
    <w:tmpl w:val="9D1E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385FB1"/>
    <w:multiLevelType w:val="hybridMultilevel"/>
    <w:tmpl w:val="F92A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69515D"/>
    <w:multiLevelType w:val="hybridMultilevel"/>
    <w:tmpl w:val="F5A68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F303F8"/>
    <w:multiLevelType w:val="hybridMultilevel"/>
    <w:tmpl w:val="FCDAEB00"/>
    <w:lvl w:ilvl="0" w:tplc="045A4AE6">
      <w:start w:val="1"/>
      <w:numFmt w:val="lowerRoman"/>
      <w:lvlText w:val="%1."/>
      <w:lvlJc w:val="left"/>
      <w:pPr>
        <w:ind w:left="370" w:hanging="151"/>
      </w:pPr>
      <w:rPr>
        <w:rFonts w:ascii="Roboto Cn" w:eastAsia="Roboto Cn" w:hAnsi="Roboto Cn" w:cs="Roboto Cn" w:hint="default"/>
        <w:b/>
        <w:bCs/>
        <w:i/>
        <w:iCs/>
        <w:spacing w:val="-1"/>
        <w:w w:val="99"/>
        <w:sz w:val="20"/>
        <w:szCs w:val="20"/>
        <w:lang w:val="en-US" w:eastAsia="en-US" w:bidi="ar-SA"/>
      </w:rPr>
    </w:lvl>
    <w:lvl w:ilvl="1" w:tplc="ACA0169E">
      <w:numFmt w:val="bullet"/>
      <w:lvlText w:val="•"/>
      <w:lvlJc w:val="left"/>
      <w:pPr>
        <w:ind w:left="1386" w:hanging="151"/>
      </w:pPr>
      <w:rPr>
        <w:rFonts w:hint="default"/>
        <w:lang w:val="en-US" w:eastAsia="en-US" w:bidi="ar-SA"/>
      </w:rPr>
    </w:lvl>
    <w:lvl w:ilvl="2" w:tplc="F05C9332">
      <w:numFmt w:val="bullet"/>
      <w:lvlText w:val="•"/>
      <w:lvlJc w:val="left"/>
      <w:pPr>
        <w:ind w:left="2392" w:hanging="151"/>
      </w:pPr>
      <w:rPr>
        <w:rFonts w:hint="default"/>
        <w:lang w:val="en-US" w:eastAsia="en-US" w:bidi="ar-SA"/>
      </w:rPr>
    </w:lvl>
    <w:lvl w:ilvl="3" w:tplc="7D464590">
      <w:numFmt w:val="bullet"/>
      <w:lvlText w:val="•"/>
      <w:lvlJc w:val="left"/>
      <w:pPr>
        <w:ind w:left="3398" w:hanging="151"/>
      </w:pPr>
      <w:rPr>
        <w:rFonts w:hint="default"/>
        <w:lang w:val="en-US" w:eastAsia="en-US" w:bidi="ar-SA"/>
      </w:rPr>
    </w:lvl>
    <w:lvl w:ilvl="4" w:tplc="07CC9180">
      <w:numFmt w:val="bullet"/>
      <w:lvlText w:val="•"/>
      <w:lvlJc w:val="left"/>
      <w:pPr>
        <w:ind w:left="4404" w:hanging="151"/>
      </w:pPr>
      <w:rPr>
        <w:rFonts w:hint="default"/>
        <w:lang w:val="en-US" w:eastAsia="en-US" w:bidi="ar-SA"/>
      </w:rPr>
    </w:lvl>
    <w:lvl w:ilvl="5" w:tplc="649E9822">
      <w:numFmt w:val="bullet"/>
      <w:lvlText w:val="•"/>
      <w:lvlJc w:val="left"/>
      <w:pPr>
        <w:ind w:left="5410" w:hanging="151"/>
      </w:pPr>
      <w:rPr>
        <w:rFonts w:hint="default"/>
        <w:lang w:val="en-US" w:eastAsia="en-US" w:bidi="ar-SA"/>
      </w:rPr>
    </w:lvl>
    <w:lvl w:ilvl="6" w:tplc="D4241E14">
      <w:numFmt w:val="bullet"/>
      <w:lvlText w:val="•"/>
      <w:lvlJc w:val="left"/>
      <w:pPr>
        <w:ind w:left="6416" w:hanging="151"/>
      </w:pPr>
      <w:rPr>
        <w:rFonts w:hint="default"/>
        <w:lang w:val="en-US" w:eastAsia="en-US" w:bidi="ar-SA"/>
      </w:rPr>
    </w:lvl>
    <w:lvl w:ilvl="7" w:tplc="2B8A98E0">
      <w:numFmt w:val="bullet"/>
      <w:lvlText w:val="•"/>
      <w:lvlJc w:val="left"/>
      <w:pPr>
        <w:ind w:left="7422" w:hanging="151"/>
      </w:pPr>
      <w:rPr>
        <w:rFonts w:hint="default"/>
        <w:lang w:val="en-US" w:eastAsia="en-US" w:bidi="ar-SA"/>
      </w:rPr>
    </w:lvl>
    <w:lvl w:ilvl="8" w:tplc="3E0EEDF8">
      <w:numFmt w:val="bullet"/>
      <w:lvlText w:val="•"/>
      <w:lvlJc w:val="left"/>
      <w:pPr>
        <w:ind w:left="8428" w:hanging="151"/>
      </w:pPr>
      <w:rPr>
        <w:rFonts w:hint="default"/>
        <w:lang w:val="en-US" w:eastAsia="en-US" w:bidi="ar-SA"/>
      </w:rPr>
    </w:lvl>
  </w:abstractNum>
  <w:num w:numId="1" w16cid:durableId="999574111">
    <w:abstractNumId w:val="0"/>
  </w:num>
  <w:num w:numId="2" w16cid:durableId="927228115">
    <w:abstractNumId w:val="20"/>
  </w:num>
  <w:num w:numId="3" w16cid:durableId="322126984">
    <w:abstractNumId w:val="7"/>
  </w:num>
  <w:num w:numId="4" w16cid:durableId="1075007719">
    <w:abstractNumId w:val="24"/>
  </w:num>
  <w:num w:numId="5" w16cid:durableId="1769037384">
    <w:abstractNumId w:val="2"/>
  </w:num>
  <w:num w:numId="6" w16cid:durableId="468519425">
    <w:abstractNumId w:val="3"/>
  </w:num>
  <w:num w:numId="7" w16cid:durableId="45572944">
    <w:abstractNumId w:val="4"/>
  </w:num>
  <w:num w:numId="8" w16cid:durableId="1202596347">
    <w:abstractNumId w:val="19"/>
  </w:num>
  <w:num w:numId="9" w16cid:durableId="355735103">
    <w:abstractNumId w:val="26"/>
  </w:num>
  <w:num w:numId="10" w16cid:durableId="1415590393">
    <w:abstractNumId w:val="18"/>
  </w:num>
  <w:num w:numId="11" w16cid:durableId="19091952">
    <w:abstractNumId w:val="16"/>
  </w:num>
  <w:num w:numId="12" w16cid:durableId="521090418">
    <w:abstractNumId w:val="14"/>
  </w:num>
  <w:num w:numId="13" w16cid:durableId="1076708186">
    <w:abstractNumId w:val="15"/>
  </w:num>
  <w:num w:numId="14" w16cid:durableId="578710775">
    <w:abstractNumId w:val="17"/>
  </w:num>
  <w:num w:numId="15" w16cid:durableId="1139693162">
    <w:abstractNumId w:val="23"/>
  </w:num>
  <w:num w:numId="16" w16cid:durableId="152766842">
    <w:abstractNumId w:val="25"/>
  </w:num>
  <w:num w:numId="17" w16cid:durableId="1796675184">
    <w:abstractNumId w:val="10"/>
  </w:num>
  <w:num w:numId="18" w16cid:durableId="861868646">
    <w:abstractNumId w:val="1"/>
  </w:num>
  <w:num w:numId="19" w16cid:durableId="1882861605">
    <w:abstractNumId w:val="21"/>
  </w:num>
  <w:num w:numId="20" w16cid:durableId="1296250487">
    <w:abstractNumId w:val="11"/>
  </w:num>
  <w:num w:numId="21" w16cid:durableId="1548253654">
    <w:abstractNumId w:val="9"/>
  </w:num>
  <w:num w:numId="22" w16cid:durableId="451637631">
    <w:abstractNumId w:val="22"/>
  </w:num>
  <w:num w:numId="23" w16cid:durableId="1594895925">
    <w:abstractNumId w:val="12"/>
  </w:num>
  <w:num w:numId="24" w16cid:durableId="184447785">
    <w:abstractNumId w:val="6"/>
  </w:num>
  <w:num w:numId="25" w16cid:durableId="1482575563">
    <w:abstractNumId w:val="8"/>
  </w:num>
  <w:num w:numId="26" w16cid:durableId="1119648547">
    <w:abstractNumId w:val="13"/>
  </w:num>
  <w:num w:numId="27" w16cid:durableId="1258906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O1sDQxMTE0NTGxMLRQ0lEKTi0uzszPAykwqQUARbI02SwAAAA="/>
  </w:docVars>
  <w:rsids>
    <w:rsidRoot w:val="00346D40"/>
    <w:rsid w:val="00035143"/>
    <w:rsid w:val="0003622A"/>
    <w:rsid w:val="000458E6"/>
    <w:rsid w:val="00077A97"/>
    <w:rsid w:val="000E1846"/>
    <w:rsid w:val="000F71A8"/>
    <w:rsid w:val="00111080"/>
    <w:rsid w:val="00121354"/>
    <w:rsid w:val="00124D9D"/>
    <w:rsid w:val="00126B2C"/>
    <w:rsid w:val="00174609"/>
    <w:rsid w:val="00184747"/>
    <w:rsid w:val="00196354"/>
    <w:rsid w:val="001C37C7"/>
    <w:rsid w:val="001C6C09"/>
    <w:rsid w:val="001D17B9"/>
    <w:rsid w:val="001D3E5F"/>
    <w:rsid w:val="001E457E"/>
    <w:rsid w:val="001F538A"/>
    <w:rsid w:val="00260151"/>
    <w:rsid w:val="002F5820"/>
    <w:rsid w:val="00301839"/>
    <w:rsid w:val="00301B3E"/>
    <w:rsid w:val="003022E0"/>
    <w:rsid w:val="00321D87"/>
    <w:rsid w:val="00333040"/>
    <w:rsid w:val="003457DF"/>
    <w:rsid w:val="00346D40"/>
    <w:rsid w:val="00360948"/>
    <w:rsid w:val="00362F60"/>
    <w:rsid w:val="00367A02"/>
    <w:rsid w:val="003817A7"/>
    <w:rsid w:val="003A5DC6"/>
    <w:rsid w:val="003B1BE7"/>
    <w:rsid w:val="003F11DB"/>
    <w:rsid w:val="003F32EC"/>
    <w:rsid w:val="004014BC"/>
    <w:rsid w:val="004362EE"/>
    <w:rsid w:val="004702A4"/>
    <w:rsid w:val="0048631E"/>
    <w:rsid w:val="00486866"/>
    <w:rsid w:val="00494F03"/>
    <w:rsid w:val="004A65DB"/>
    <w:rsid w:val="004C195F"/>
    <w:rsid w:val="004D5C73"/>
    <w:rsid w:val="004E42B7"/>
    <w:rsid w:val="004F2D61"/>
    <w:rsid w:val="00504D57"/>
    <w:rsid w:val="00527D98"/>
    <w:rsid w:val="00545196"/>
    <w:rsid w:val="00553CCD"/>
    <w:rsid w:val="00574A02"/>
    <w:rsid w:val="00591281"/>
    <w:rsid w:val="005F22F7"/>
    <w:rsid w:val="005F3F38"/>
    <w:rsid w:val="00600100"/>
    <w:rsid w:val="006218CF"/>
    <w:rsid w:val="00646C60"/>
    <w:rsid w:val="00661029"/>
    <w:rsid w:val="00667A07"/>
    <w:rsid w:val="006B437A"/>
    <w:rsid w:val="006E2545"/>
    <w:rsid w:val="00705062"/>
    <w:rsid w:val="007201AA"/>
    <w:rsid w:val="00726BD9"/>
    <w:rsid w:val="0073211E"/>
    <w:rsid w:val="00754047"/>
    <w:rsid w:val="00781A40"/>
    <w:rsid w:val="007B46EC"/>
    <w:rsid w:val="007B515D"/>
    <w:rsid w:val="007B6647"/>
    <w:rsid w:val="007C779F"/>
    <w:rsid w:val="00821E56"/>
    <w:rsid w:val="0083566C"/>
    <w:rsid w:val="008477CB"/>
    <w:rsid w:val="008A6208"/>
    <w:rsid w:val="008C22A4"/>
    <w:rsid w:val="008E48B9"/>
    <w:rsid w:val="008E6623"/>
    <w:rsid w:val="009115E0"/>
    <w:rsid w:val="0091607F"/>
    <w:rsid w:val="009301D6"/>
    <w:rsid w:val="00936B7E"/>
    <w:rsid w:val="00962672"/>
    <w:rsid w:val="00962675"/>
    <w:rsid w:val="009950DD"/>
    <w:rsid w:val="009D6D35"/>
    <w:rsid w:val="009E3B9D"/>
    <w:rsid w:val="00A079AD"/>
    <w:rsid w:val="00A16F86"/>
    <w:rsid w:val="00A35A2D"/>
    <w:rsid w:val="00A5089B"/>
    <w:rsid w:val="00A55460"/>
    <w:rsid w:val="00A5561B"/>
    <w:rsid w:val="00A82A4E"/>
    <w:rsid w:val="00A90092"/>
    <w:rsid w:val="00AA2E1C"/>
    <w:rsid w:val="00B12AD5"/>
    <w:rsid w:val="00B262BE"/>
    <w:rsid w:val="00B415C2"/>
    <w:rsid w:val="00B7079C"/>
    <w:rsid w:val="00B812A0"/>
    <w:rsid w:val="00B83464"/>
    <w:rsid w:val="00B93C0E"/>
    <w:rsid w:val="00BB4AC2"/>
    <w:rsid w:val="00BE12D5"/>
    <w:rsid w:val="00C10488"/>
    <w:rsid w:val="00C219FC"/>
    <w:rsid w:val="00C31D8D"/>
    <w:rsid w:val="00C54937"/>
    <w:rsid w:val="00C55E6E"/>
    <w:rsid w:val="00C615CE"/>
    <w:rsid w:val="00C85EB0"/>
    <w:rsid w:val="00C97D6A"/>
    <w:rsid w:val="00CA14BB"/>
    <w:rsid w:val="00CA2E43"/>
    <w:rsid w:val="00CA6579"/>
    <w:rsid w:val="00CC0E5B"/>
    <w:rsid w:val="00CD71B7"/>
    <w:rsid w:val="00CF1AB9"/>
    <w:rsid w:val="00D246E4"/>
    <w:rsid w:val="00D42D2F"/>
    <w:rsid w:val="00D539B0"/>
    <w:rsid w:val="00DE414E"/>
    <w:rsid w:val="00E00BE6"/>
    <w:rsid w:val="00E60CDD"/>
    <w:rsid w:val="00E83AEC"/>
    <w:rsid w:val="00ED6B20"/>
    <w:rsid w:val="00EE1E65"/>
    <w:rsid w:val="00EF6E79"/>
    <w:rsid w:val="00F139A4"/>
    <w:rsid w:val="00F176AD"/>
    <w:rsid w:val="00F37923"/>
    <w:rsid w:val="00F417A3"/>
    <w:rsid w:val="00F60551"/>
    <w:rsid w:val="00F96E86"/>
    <w:rsid w:val="00FA1265"/>
    <w:rsid w:val="00FA1469"/>
    <w:rsid w:val="00FB59B0"/>
    <w:rsid w:val="00FC742C"/>
    <w:rsid w:val="00FD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18CDC"/>
  <w15:chartTrackingRefBased/>
  <w15:docId w15:val="{76920D1B-5054-4119-9B9E-7E6F99C1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D40"/>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1"/>
    <w:qFormat/>
    <w:rsid w:val="00346D4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46D4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46D4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346D4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46D4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46D4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46D4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46D4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46D4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6D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6D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46D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46D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D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D40"/>
    <w:rPr>
      <w:rFonts w:eastAsiaTheme="majorEastAsia" w:cstheme="majorBidi"/>
      <w:color w:val="272727" w:themeColor="text1" w:themeTint="D8"/>
    </w:rPr>
  </w:style>
  <w:style w:type="paragraph" w:styleId="Title">
    <w:name w:val="Title"/>
    <w:basedOn w:val="Normal"/>
    <w:next w:val="Normal"/>
    <w:link w:val="TitleChar"/>
    <w:uiPriority w:val="10"/>
    <w:qFormat/>
    <w:rsid w:val="00346D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6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D4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6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D40"/>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46D40"/>
    <w:rPr>
      <w:i/>
      <w:iCs/>
      <w:color w:val="404040" w:themeColor="text1" w:themeTint="BF"/>
    </w:rPr>
  </w:style>
  <w:style w:type="paragraph" w:styleId="ListParagraph">
    <w:name w:val="List Paragraph"/>
    <w:basedOn w:val="Normal"/>
    <w:uiPriority w:val="34"/>
    <w:qFormat/>
    <w:rsid w:val="00346D40"/>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346D40"/>
    <w:rPr>
      <w:i/>
      <w:iCs/>
      <w:color w:val="2F5496" w:themeColor="accent1" w:themeShade="BF"/>
    </w:rPr>
  </w:style>
  <w:style w:type="paragraph" w:styleId="IntenseQuote">
    <w:name w:val="Intense Quote"/>
    <w:basedOn w:val="Normal"/>
    <w:next w:val="Normal"/>
    <w:link w:val="IntenseQuoteChar"/>
    <w:uiPriority w:val="30"/>
    <w:qFormat/>
    <w:rsid w:val="00346D4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46D40"/>
    <w:rPr>
      <w:i/>
      <w:iCs/>
      <w:color w:val="2F5496" w:themeColor="accent1" w:themeShade="BF"/>
    </w:rPr>
  </w:style>
  <w:style w:type="character" w:styleId="IntenseReference">
    <w:name w:val="Intense Reference"/>
    <w:basedOn w:val="DefaultParagraphFont"/>
    <w:uiPriority w:val="32"/>
    <w:qFormat/>
    <w:rsid w:val="00346D40"/>
    <w:rPr>
      <w:b/>
      <w:bCs/>
      <w:smallCaps/>
      <w:color w:val="2F5496" w:themeColor="accent1" w:themeShade="BF"/>
      <w:spacing w:val="5"/>
    </w:rPr>
  </w:style>
  <w:style w:type="character" w:styleId="Hyperlink">
    <w:name w:val="Hyperlink"/>
    <w:basedOn w:val="DefaultParagraphFont"/>
    <w:uiPriority w:val="99"/>
    <w:unhideWhenUsed/>
    <w:qFormat/>
    <w:rsid w:val="00821E56"/>
    <w:rPr>
      <w:color w:val="0563C1" w:themeColor="hyperlink"/>
      <w:u w:val="single"/>
    </w:rPr>
  </w:style>
  <w:style w:type="character" w:styleId="UnresolvedMention">
    <w:name w:val="Unresolved Mention"/>
    <w:basedOn w:val="DefaultParagraphFont"/>
    <w:uiPriority w:val="99"/>
    <w:semiHidden/>
    <w:unhideWhenUsed/>
    <w:rsid w:val="00821E56"/>
    <w:rPr>
      <w:color w:val="605E5C"/>
      <w:shd w:val="clear" w:color="auto" w:fill="E1DFDD"/>
    </w:rPr>
  </w:style>
  <w:style w:type="paragraph" w:styleId="BodyText">
    <w:name w:val="Body Text"/>
    <w:basedOn w:val="Normal"/>
    <w:link w:val="BodyTextChar"/>
    <w:uiPriority w:val="1"/>
    <w:qFormat/>
    <w:rsid w:val="005F22F7"/>
    <w:pPr>
      <w:widowControl w:val="0"/>
      <w:autoSpaceDE w:val="0"/>
      <w:autoSpaceDN w:val="0"/>
      <w:spacing w:after="0" w:line="240" w:lineRule="auto"/>
      <w:ind w:left="220"/>
    </w:pPr>
    <w:rPr>
      <w:rFonts w:ascii="Roboto" w:eastAsia="Roboto" w:hAnsi="Roboto" w:cs="Roboto"/>
      <w:i/>
      <w:iCs/>
      <w:sz w:val="20"/>
      <w:szCs w:val="20"/>
    </w:rPr>
  </w:style>
  <w:style w:type="character" w:customStyle="1" w:styleId="BodyTextChar">
    <w:name w:val="Body Text Char"/>
    <w:basedOn w:val="DefaultParagraphFont"/>
    <w:link w:val="BodyText"/>
    <w:uiPriority w:val="1"/>
    <w:rsid w:val="005F22F7"/>
    <w:rPr>
      <w:rFonts w:ascii="Roboto" w:eastAsia="Roboto" w:hAnsi="Roboto" w:cs="Roboto"/>
      <w:i/>
      <w:iCs/>
      <w:kern w:val="0"/>
      <w:sz w:val="20"/>
      <w:szCs w:val="20"/>
      <w14:ligatures w14:val="none"/>
    </w:rPr>
  </w:style>
  <w:style w:type="paragraph" w:styleId="NoSpacing">
    <w:name w:val="No Spacing"/>
    <w:uiPriority w:val="99"/>
    <w:qFormat/>
    <w:rsid w:val="00705062"/>
    <w:pPr>
      <w:spacing w:after="0" w:line="240" w:lineRule="auto"/>
    </w:pPr>
    <w:rPr>
      <w:rFonts w:eastAsiaTheme="minorEastAsia"/>
      <w:kern w:val="0"/>
      <w:sz w:val="22"/>
      <w:szCs w:val="22"/>
      <w14:ligatures w14:val="none"/>
    </w:rPr>
  </w:style>
  <w:style w:type="paragraph" w:customStyle="1" w:styleId="TABLE">
    <w:name w:val="TABLE"/>
    <w:basedOn w:val="Caption"/>
    <w:next w:val="Caption"/>
    <w:qFormat/>
    <w:rsid w:val="00705062"/>
    <w:pPr>
      <w:spacing w:before="120" w:after="120" w:line="276" w:lineRule="auto"/>
      <w:jc w:val="both"/>
    </w:pPr>
    <w:rPr>
      <w:rFonts w:ascii="Times New Roman" w:hAnsi="Times New Roman"/>
      <w:b/>
      <w:i w:val="0"/>
      <w:color w:val="auto"/>
      <w:sz w:val="24"/>
    </w:rPr>
  </w:style>
  <w:style w:type="paragraph" w:styleId="Caption">
    <w:name w:val="caption"/>
    <w:basedOn w:val="Normal"/>
    <w:next w:val="Normal"/>
    <w:uiPriority w:val="35"/>
    <w:semiHidden/>
    <w:unhideWhenUsed/>
    <w:qFormat/>
    <w:rsid w:val="00705062"/>
    <w:pPr>
      <w:spacing w:line="240" w:lineRule="auto"/>
    </w:pPr>
    <w:rPr>
      <w:i/>
      <w:iCs/>
      <w:color w:val="44546A" w:themeColor="text2"/>
      <w:sz w:val="18"/>
      <w:szCs w:val="18"/>
    </w:rPr>
  </w:style>
  <w:style w:type="paragraph" w:styleId="NormalWeb">
    <w:name w:val="Normal (Web)"/>
    <w:basedOn w:val="Normal"/>
    <w:unhideWhenUsed/>
    <w:qFormat/>
    <w:rsid w:val="00705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05062"/>
  </w:style>
  <w:style w:type="character" w:customStyle="1" w:styleId="nowrap">
    <w:name w:val="nowrap"/>
    <w:basedOn w:val="DefaultParagraphFont"/>
    <w:rsid w:val="00705062"/>
  </w:style>
  <w:style w:type="character" w:customStyle="1" w:styleId="list-label">
    <w:name w:val="list-label"/>
    <w:basedOn w:val="DefaultParagraphFont"/>
    <w:rsid w:val="00705062"/>
  </w:style>
  <w:style w:type="character" w:customStyle="1" w:styleId="list-content">
    <w:name w:val="list-content"/>
    <w:basedOn w:val="DefaultParagraphFont"/>
    <w:rsid w:val="00705062"/>
  </w:style>
  <w:style w:type="character" w:customStyle="1" w:styleId="reflinks">
    <w:name w:val="reflinks"/>
    <w:basedOn w:val="DefaultParagraphFont"/>
    <w:rsid w:val="00705062"/>
  </w:style>
  <w:style w:type="character" w:customStyle="1" w:styleId="sep">
    <w:name w:val="sep"/>
    <w:basedOn w:val="DefaultParagraphFont"/>
    <w:rsid w:val="00705062"/>
  </w:style>
  <w:style w:type="character" w:customStyle="1" w:styleId="mw-headline">
    <w:name w:val="mw-headline"/>
    <w:basedOn w:val="DefaultParagraphFont"/>
    <w:rsid w:val="00705062"/>
  </w:style>
  <w:style w:type="character" w:customStyle="1" w:styleId="mw-editsection">
    <w:name w:val="mw-editsection"/>
    <w:basedOn w:val="DefaultParagraphFont"/>
    <w:rsid w:val="00705062"/>
  </w:style>
  <w:style w:type="character" w:customStyle="1" w:styleId="mw-editsection-bracket">
    <w:name w:val="mw-editsection-bracket"/>
    <w:basedOn w:val="DefaultParagraphFont"/>
    <w:rsid w:val="00705062"/>
  </w:style>
  <w:style w:type="character" w:customStyle="1" w:styleId="chemf">
    <w:name w:val="chemf"/>
    <w:basedOn w:val="DefaultParagraphFont"/>
    <w:rsid w:val="00705062"/>
  </w:style>
  <w:style w:type="character" w:customStyle="1" w:styleId="plainlinks">
    <w:name w:val="plainlinks"/>
    <w:basedOn w:val="DefaultParagraphFont"/>
    <w:rsid w:val="00705062"/>
  </w:style>
  <w:style w:type="character" w:customStyle="1" w:styleId="binomial">
    <w:name w:val="binomial"/>
    <w:basedOn w:val="DefaultParagraphFont"/>
    <w:rsid w:val="00705062"/>
  </w:style>
  <w:style w:type="paragraph" w:customStyle="1" w:styleId="p">
    <w:name w:val="p"/>
    <w:basedOn w:val="Normal"/>
    <w:rsid w:val="007050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705062"/>
    <w:rPr>
      <w:i/>
      <w:iCs/>
    </w:rPr>
  </w:style>
  <w:style w:type="character" w:styleId="Strong">
    <w:name w:val="Strong"/>
    <w:basedOn w:val="DefaultParagraphFont"/>
    <w:uiPriority w:val="22"/>
    <w:qFormat/>
    <w:rsid w:val="00705062"/>
    <w:rPr>
      <w:b/>
      <w:bCs/>
    </w:rPr>
  </w:style>
  <w:style w:type="character" w:customStyle="1" w:styleId="BalloonTextChar">
    <w:name w:val="Balloon Text Char"/>
    <w:basedOn w:val="DefaultParagraphFont"/>
    <w:link w:val="BalloonText"/>
    <w:uiPriority w:val="99"/>
    <w:semiHidden/>
    <w:rsid w:val="00705062"/>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705062"/>
    <w:pPr>
      <w:spacing w:after="0" w:line="240" w:lineRule="auto"/>
    </w:pPr>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705062"/>
    <w:rPr>
      <w:rFonts w:ascii="Segoe UI" w:eastAsiaTheme="minorEastAsia" w:hAnsi="Segoe UI" w:cs="Segoe UI"/>
      <w:kern w:val="0"/>
      <w:sz w:val="18"/>
      <w:szCs w:val="18"/>
      <w14:ligatures w14:val="none"/>
    </w:rPr>
  </w:style>
  <w:style w:type="character" w:customStyle="1" w:styleId="tocnumber">
    <w:name w:val="tocnumber"/>
    <w:basedOn w:val="DefaultParagraphFont"/>
    <w:rsid w:val="00705062"/>
  </w:style>
  <w:style w:type="character" w:customStyle="1" w:styleId="toctext">
    <w:name w:val="toctext"/>
    <w:basedOn w:val="DefaultParagraphFont"/>
    <w:rsid w:val="00705062"/>
  </w:style>
  <w:style w:type="character" w:styleId="HTMLCite">
    <w:name w:val="HTML Cite"/>
    <w:basedOn w:val="DefaultParagraphFont"/>
    <w:uiPriority w:val="99"/>
    <w:semiHidden/>
    <w:unhideWhenUsed/>
    <w:rsid w:val="00705062"/>
    <w:rPr>
      <w:i/>
      <w:iCs/>
    </w:rPr>
  </w:style>
  <w:style w:type="character" w:customStyle="1" w:styleId="metadata">
    <w:name w:val="metadata"/>
    <w:basedOn w:val="DefaultParagraphFont"/>
    <w:rsid w:val="00705062"/>
  </w:style>
  <w:style w:type="character" w:customStyle="1" w:styleId="mw-cite-backlink">
    <w:name w:val="mw-cite-backlink"/>
    <w:basedOn w:val="DefaultParagraphFont"/>
    <w:rsid w:val="00705062"/>
  </w:style>
  <w:style w:type="character" w:customStyle="1" w:styleId="reference-text">
    <w:name w:val="reference-text"/>
    <w:basedOn w:val="DefaultParagraphFont"/>
    <w:rsid w:val="00705062"/>
  </w:style>
  <w:style w:type="character" w:customStyle="1" w:styleId="cs1-lock-free">
    <w:name w:val="cs1-lock-free"/>
    <w:basedOn w:val="DefaultParagraphFont"/>
    <w:rsid w:val="00705062"/>
  </w:style>
  <w:style w:type="character" w:customStyle="1" w:styleId="z3988">
    <w:name w:val="z3988"/>
    <w:basedOn w:val="DefaultParagraphFont"/>
    <w:rsid w:val="00705062"/>
  </w:style>
  <w:style w:type="character" w:customStyle="1" w:styleId="cite-accessibility-label">
    <w:name w:val="cite-accessibility-label"/>
    <w:basedOn w:val="DefaultParagraphFont"/>
    <w:rsid w:val="00705062"/>
  </w:style>
  <w:style w:type="character" w:customStyle="1" w:styleId="cs1-kern-right">
    <w:name w:val="cs1-kern-right"/>
    <w:basedOn w:val="DefaultParagraphFont"/>
    <w:rsid w:val="00705062"/>
  </w:style>
  <w:style w:type="character" w:customStyle="1" w:styleId="reference-accessdate">
    <w:name w:val="reference-accessdate"/>
    <w:basedOn w:val="DefaultParagraphFont"/>
    <w:rsid w:val="00705062"/>
  </w:style>
  <w:style w:type="character" w:customStyle="1" w:styleId="cs1-lock-registration">
    <w:name w:val="cs1-lock-registration"/>
    <w:basedOn w:val="DefaultParagraphFont"/>
    <w:rsid w:val="00705062"/>
  </w:style>
  <w:style w:type="character" w:customStyle="1" w:styleId="cs1-format">
    <w:name w:val="cs1-format"/>
    <w:basedOn w:val="DefaultParagraphFont"/>
    <w:rsid w:val="00705062"/>
  </w:style>
  <w:style w:type="paragraph" w:styleId="Header">
    <w:name w:val="header"/>
    <w:basedOn w:val="Normal"/>
    <w:link w:val="HeaderChar"/>
    <w:uiPriority w:val="99"/>
    <w:unhideWhenUsed/>
    <w:rsid w:val="0070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062"/>
    <w:rPr>
      <w:rFonts w:eastAsiaTheme="minorEastAsia"/>
      <w:kern w:val="0"/>
      <w:sz w:val="22"/>
      <w:szCs w:val="22"/>
      <w14:ligatures w14:val="none"/>
    </w:rPr>
  </w:style>
  <w:style w:type="paragraph" w:styleId="Footer">
    <w:name w:val="footer"/>
    <w:basedOn w:val="Normal"/>
    <w:link w:val="FooterChar"/>
    <w:uiPriority w:val="99"/>
    <w:unhideWhenUsed/>
    <w:rsid w:val="0070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062"/>
    <w:rPr>
      <w:rFonts w:eastAsiaTheme="minorEastAsia"/>
      <w:kern w:val="0"/>
      <w:sz w:val="22"/>
      <w:szCs w:val="22"/>
      <w14:ligatures w14:val="none"/>
    </w:rPr>
  </w:style>
  <w:style w:type="paragraph" w:customStyle="1" w:styleId="TableParagraph">
    <w:name w:val="Table Paragraph"/>
    <w:basedOn w:val="Normal"/>
    <w:uiPriority w:val="1"/>
    <w:qFormat/>
    <w:rsid w:val="00705062"/>
    <w:pPr>
      <w:widowControl w:val="0"/>
      <w:autoSpaceDE w:val="0"/>
      <w:autoSpaceDN w:val="0"/>
      <w:spacing w:after="0" w:line="240" w:lineRule="auto"/>
    </w:pPr>
    <w:rPr>
      <w:rFonts w:ascii="Roboto" w:eastAsia="Roboto" w:hAnsi="Roboto" w:cs="Roboto"/>
    </w:rPr>
  </w:style>
  <w:style w:type="paragraph" w:customStyle="1" w:styleId="ListParagraph2">
    <w:name w:val="List Paragraph2"/>
    <w:basedOn w:val="Normal"/>
    <w:uiPriority w:val="99"/>
    <w:unhideWhenUsed/>
    <w:qFormat/>
    <w:rsid w:val="00705062"/>
    <w:pPr>
      <w:widowControl w:val="0"/>
      <w:ind w:left="720"/>
      <w:contextualSpacing/>
      <w:jc w:val="both"/>
    </w:pPr>
    <w:rPr>
      <w:kern w:val="2"/>
      <w:sz w:val="21"/>
      <w:szCs w:val="24"/>
      <w:lang w:eastAsia="zh-CN"/>
    </w:rPr>
  </w:style>
  <w:style w:type="table" w:styleId="TableGrid">
    <w:name w:val="Table Grid"/>
    <w:basedOn w:val="TableNormal"/>
    <w:uiPriority w:val="39"/>
    <w:qFormat/>
    <w:rsid w:val="00705062"/>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705062"/>
  </w:style>
  <w:style w:type="paragraph" w:customStyle="1" w:styleId="FIGURES">
    <w:name w:val="FIGURES"/>
    <w:basedOn w:val="Caption"/>
    <w:next w:val="Caption"/>
    <w:qFormat/>
    <w:rsid w:val="00705062"/>
    <w:pPr>
      <w:shd w:val="clear" w:color="auto" w:fill="FFFFFF" w:themeFill="background1"/>
      <w:spacing w:line="360" w:lineRule="auto"/>
      <w:jc w:val="both"/>
      <w:textAlignment w:val="top"/>
    </w:pPr>
    <w:rPr>
      <w:rFonts w:ascii="Times New Roman" w:hAnsi="Times New Roman" w:cs="Times New Roman"/>
      <w:b/>
      <w:i w:val="0"/>
      <w:color w:val="auto"/>
      <w:sz w:val="24"/>
      <w:szCs w:val="24"/>
    </w:rPr>
  </w:style>
  <w:style w:type="paragraph" w:styleId="TOC1">
    <w:name w:val="toc 1"/>
    <w:basedOn w:val="Normal"/>
    <w:next w:val="Normal"/>
    <w:autoRedefine/>
    <w:uiPriority w:val="39"/>
    <w:unhideWhenUsed/>
    <w:rsid w:val="00705062"/>
    <w:pPr>
      <w:spacing w:after="100"/>
      <w:jc w:val="both"/>
    </w:pPr>
    <w:rPr>
      <w:rFonts w:ascii="Times New Roman" w:hAnsi="Times New Roman"/>
      <w:sz w:val="24"/>
    </w:rPr>
  </w:style>
  <w:style w:type="paragraph" w:styleId="TOC2">
    <w:name w:val="toc 2"/>
    <w:basedOn w:val="Normal"/>
    <w:next w:val="Normal"/>
    <w:autoRedefine/>
    <w:uiPriority w:val="39"/>
    <w:unhideWhenUsed/>
    <w:rsid w:val="00705062"/>
    <w:pPr>
      <w:spacing w:after="100"/>
      <w:ind w:left="220"/>
    </w:pPr>
  </w:style>
  <w:style w:type="paragraph" w:styleId="TOC3">
    <w:name w:val="toc 3"/>
    <w:basedOn w:val="Normal"/>
    <w:next w:val="Normal"/>
    <w:autoRedefine/>
    <w:uiPriority w:val="39"/>
    <w:unhideWhenUsed/>
    <w:rsid w:val="00705062"/>
    <w:pPr>
      <w:spacing w:after="100"/>
      <w:ind w:left="440"/>
    </w:pPr>
  </w:style>
  <w:style w:type="paragraph" w:styleId="TOC4">
    <w:name w:val="toc 4"/>
    <w:basedOn w:val="Normal"/>
    <w:next w:val="Normal"/>
    <w:autoRedefine/>
    <w:uiPriority w:val="39"/>
    <w:unhideWhenUsed/>
    <w:rsid w:val="00705062"/>
    <w:pPr>
      <w:spacing w:after="100" w:line="259" w:lineRule="auto"/>
      <w:ind w:left="660"/>
    </w:pPr>
    <w:rPr>
      <w:kern w:val="2"/>
      <w14:ligatures w14:val="standardContextual"/>
    </w:rPr>
  </w:style>
  <w:style w:type="paragraph" w:styleId="TOC5">
    <w:name w:val="toc 5"/>
    <w:basedOn w:val="Normal"/>
    <w:next w:val="Normal"/>
    <w:autoRedefine/>
    <w:uiPriority w:val="39"/>
    <w:unhideWhenUsed/>
    <w:rsid w:val="00705062"/>
    <w:pPr>
      <w:spacing w:after="100" w:line="259" w:lineRule="auto"/>
      <w:ind w:left="880"/>
    </w:pPr>
    <w:rPr>
      <w:kern w:val="2"/>
      <w14:ligatures w14:val="standardContextual"/>
    </w:rPr>
  </w:style>
  <w:style w:type="paragraph" w:styleId="TOC6">
    <w:name w:val="toc 6"/>
    <w:basedOn w:val="Normal"/>
    <w:next w:val="Normal"/>
    <w:autoRedefine/>
    <w:uiPriority w:val="39"/>
    <w:unhideWhenUsed/>
    <w:rsid w:val="00705062"/>
    <w:pPr>
      <w:spacing w:after="100" w:line="259" w:lineRule="auto"/>
      <w:ind w:left="1100"/>
    </w:pPr>
    <w:rPr>
      <w:kern w:val="2"/>
      <w14:ligatures w14:val="standardContextual"/>
    </w:rPr>
  </w:style>
  <w:style w:type="paragraph" w:styleId="TOC7">
    <w:name w:val="toc 7"/>
    <w:basedOn w:val="Normal"/>
    <w:next w:val="Normal"/>
    <w:autoRedefine/>
    <w:uiPriority w:val="39"/>
    <w:unhideWhenUsed/>
    <w:rsid w:val="00705062"/>
    <w:pPr>
      <w:spacing w:after="100" w:line="259" w:lineRule="auto"/>
      <w:ind w:left="1320"/>
    </w:pPr>
    <w:rPr>
      <w:kern w:val="2"/>
      <w14:ligatures w14:val="standardContextual"/>
    </w:rPr>
  </w:style>
  <w:style w:type="paragraph" w:styleId="TOC8">
    <w:name w:val="toc 8"/>
    <w:basedOn w:val="Normal"/>
    <w:next w:val="Normal"/>
    <w:autoRedefine/>
    <w:uiPriority w:val="39"/>
    <w:unhideWhenUsed/>
    <w:rsid w:val="00705062"/>
    <w:pPr>
      <w:spacing w:after="100" w:line="259" w:lineRule="auto"/>
      <w:ind w:left="1540"/>
    </w:pPr>
    <w:rPr>
      <w:kern w:val="2"/>
      <w14:ligatures w14:val="standardContextual"/>
    </w:rPr>
  </w:style>
  <w:style w:type="paragraph" w:styleId="TOC9">
    <w:name w:val="toc 9"/>
    <w:basedOn w:val="Normal"/>
    <w:next w:val="Normal"/>
    <w:autoRedefine/>
    <w:uiPriority w:val="39"/>
    <w:unhideWhenUsed/>
    <w:rsid w:val="00705062"/>
    <w:pPr>
      <w:spacing w:after="100" w:line="259" w:lineRule="auto"/>
      <w:ind w:left="1760"/>
    </w:pPr>
    <w:rPr>
      <w:kern w:val="2"/>
      <w14:ligatures w14:val="standardContextual"/>
    </w:rPr>
  </w:style>
  <w:style w:type="paragraph" w:styleId="TableofFigures">
    <w:name w:val="table of figures"/>
    <w:basedOn w:val="Normal"/>
    <w:next w:val="Normal"/>
    <w:uiPriority w:val="99"/>
    <w:unhideWhenUsed/>
    <w:rsid w:val="00705062"/>
    <w:pPr>
      <w:spacing w:after="0"/>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5224">
      <w:bodyDiv w:val="1"/>
      <w:marLeft w:val="0"/>
      <w:marRight w:val="0"/>
      <w:marTop w:val="0"/>
      <w:marBottom w:val="0"/>
      <w:divBdr>
        <w:top w:val="none" w:sz="0" w:space="0" w:color="auto"/>
        <w:left w:val="none" w:sz="0" w:space="0" w:color="auto"/>
        <w:bottom w:val="none" w:sz="0" w:space="0" w:color="auto"/>
        <w:right w:val="none" w:sz="0" w:space="0" w:color="auto"/>
      </w:divBdr>
    </w:div>
    <w:div w:id="195699778">
      <w:bodyDiv w:val="1"/>
      <w:marLeft w:val="0"/>
      <w:marRight w:val="0"/>
      <w:marTop w:val="0"/>
      <w:marBottom w:val="0"/>
      <w:divBdr>
        <w:top w:val="none" w:sz="0" w:space="0" w:color="auto"/>
        <w:left w:val="none" w:sz="0" w:space="0" w:color="auto"/>
        <w:bottom w:val="none" w:sz="0" w:space="0" w:color="auto"/>
        <w:right w:val="none" w:sz="0" w:space="0" w:color="auto"/>
      </w:divBdr>
      <w:divsChild>
        <w:div w:id="486628322">
          <w:marLeft w:val="0"/>
          <w:marRight w:val="0"/>
          <w:marTop w:val="0"/>
          <w:marBottom w:val="0"/>
          <w:divBdr>
            <w:top w:val="none" w:sz="0" w:space="0" w:color="auto"/>
            <w:left w:val="none" w:sz="0" w:space="0" w:color="auto"/>
            <w:bottom w:val="none" w:sz="0" w:space="0" w:color="auto"/>
            <w:right w:val="none" w:sz="0" w:space="0" w:color="auto"/>
          </w:divBdr>
          <w:divsChild>
            <w:div w:id="2124109203">
              <w:marLeft w:val="0"/>
              <w:marRight w:val="0"/>
              <w:marTop w:val="0"/>
              <w:marBottom w:val="0"/>
              <w:divBdr>
                <w:top w:val="none" w:sz="0" w:space="0" w:color="auto"/>
                <w:left w:val="none" w:sz="0" w:space="0" w:color="auto"/>
                <w:bottom w:val="none" w:sz="0" w:space="0" w:color="auto"/>
                <w:right w:val="none" w:sz="0" w:space="0" w:color="auto"/>
              </w:divBdr>
              <w:divsChild>
                <w:div w:id="295837651">
                  <w:marLeft w:val="0"/>
                  <w:marRight w:val="0"/>
                  <w:marTop w:val="0"/>
                  <w:marBottom w:val="0"/>
                  <w:divBdr>
                    <w:top w:val="none" w:sz="0" w:space="0" w:color="auto"/>
                    <w:left w:val="none" w:sz="0" w:space="0" w:color="auto"/>
                    <w:bottom w:val="none" w:sz="0" w:space="0" w:color="auto"/>
                    <w:right w:val="none" w:sz="0" w:space="0" w:color="auto"/>
                  </w:divBdr>
                  <w:divsChild>
                    <w:div w:id="1412047501">
                      <w:marLeft w:val="0"/>
                      <w:marRight w:val="0"/>
                      <w:marTop w:val="0"/>
                      <w:marBottom w:val="0"/>
                      <w:divBdr>
                        <w:top w:val="none" w:sz="0" w:space="0" w:color="auto"/>
                        <w:left w:val="none" w:sz="0" w:space="0" w:color="auto"/>
                        <w:bottom w:val="none" w:sz="0" w:space="0" w:color="auto"/>
                        <w:right w:val="none" w:sz="0" w:space="0" w:color="auto"/>
                      </w:divBdr>
                      <w:divsChild>
                        <w:div w:id="1565336737">
                          <w:marLeft w:val="0"/>
                          <w:marRight w:val="0"/>
                          <w:marTop w:val="0"/>
                          <w:marBottom w:val="0"/>
                          <w:divBdr>
                            <w:top w:val="none" w:sz="0" w:space="0" w:color="auto"/>
                            <w:left w:val="none" w:sz="0" w:space="0" w:color="auto"/>
                            <w:bottom w:val="none" w:sz="0" w:space="0" w:color="auto"/>
                            <w:right w:val="none" w:sz="0" w:space="0" w:color="auto"/>
                          </w:divBdr>
                          <w:divsChild>
                            <w:div w:id="67858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58543">
                  <w:marLeft w:val="0"/>
                  <w:marRight w:val="0"/>
                  <w:marTop w:val="0"/>
                  <w:marBottom w:val="0"/>
                  <w:divBdr>
                    <w:top w:val="none" w:sz="0" w:space="0" w:color="auto"/>
                    <w:left w:val="none" w:sz="0" w:space="0" w:color="auto"/>
                    <w:bottom w:val="none" w:sz="0" w:space="0" w:color="auto"/>
                    <w:right w:val="none" w:sz="0" w:space="0" w:color="auto"/>
                  </w:divBdr>
                  <w:divsChild>
                    <w:div w:id="17439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20089">
      <w:bodyDiv w:val="1"/>
      <w:marLeft w:val="0"/>
      <w:marRight w:val="0"/>
      <w:marTop w:val="0"/>
      <w:marBottom w:val="0"/>
      <w:divBdr>
        <w:top w:val="none" w:sz="0" w:space="0" w:color="auto"/>
        <w:left w:val="none" w:sz="0" w:space="0" w:color="auto"/>
        <w:bottom w:val="none" w:sz="0" w:space="0" w:color="auto"/>
        <w:right w:val="none" w:sz="0" w:space="0" w:color="auto"/>
      </w:divBdr>
    </w:div>
    <w:div w:id="407852514">
      <w:bodyDiv w:val="1"/>
      <w:marLeft w:val="0"/>
      <w:marRight w:val="0"/>
      <w:marTop w:val="0"/>
      <w:marBottom w:val="0"/>
      <w:divBdr>
        <w:top w:val="none" w:sz="0" w:space="0" w:color="auto"/>
        <w:left w:val="none" w:sz="0" w:space="0" w:color="auto"/>
        <w:bottom w:val="none" w:sz="0" w:space="0" w:color="auto"/>
        <w:right w:val="none" w:sz="0" w:space="0" w:color="auto"/>
      </w:divBdr>
    </w:div>
    <w:div w:id="431248944">
      <w:bodyDiv w:val="1"/>
      <w:marLeft w:val="0"/>
      <w:marRight w:val="0"/>
      <w:marTop w:val="0"/>
      <w:marBottom w:val="0"/>
      <w:divBdr>
        <w:top w:val="none" w:sz="0" w:space="0" w:color="auto"/>
        <w:left w:val="none" w:sz="0" w:space="0" w:color="auto"/>
        <w:bottom w:val="none" w:sz="0" w:space="0" w:color="auto"/>
        <w:right w:val="none" w:sz="0" w:space="0" w:color="auto"/>
      </w:divBdr>
      <w:divsChild>
        <w:div w:id="856432637">
          <w:marLeft w:val="0"/>
          <w:marRight w:val="0"/>
          <w:marTop w:val="0"/>
          <w:marBottom w:val="0"/>
          <w:divBdr>
            <w:top w:val="none" w:sz="0" w:space="0" w:color="auto"/>
            <w:left w:val="none" w:sz="0" w:space="0" w:color="auto"/>
            <w:bottom w:val="none" w:sz="0" w:space="0" w:color="auto"/>
            <w:right w:val="none" w:sz="0" w:space="0" w:color="auto"/>
          </w:divBdr>
          <w:divsChild>
            <w:div w:id="1026640379">
              <w:marLeft w:val="0"/>
              <w:marRight w:val="0"/>
              <w:marTop w:val="0"/>
              <w:marBottom w:val="0"/>
              <w:divBdr>
                <w:top w:val="none" w:sz="0" w:space="0" w:color="auto"/>
                <w:left w:val="none" w:sz="0" w:space="0" w:color="auto"/>
                <w:bottom w:val="none" w:sz="0" w:space="0" w:color="auto"/>
                <w:right w:val="none" w:sz="0" w:space="0" w:color="auto"/>
              </w:divBdr>
              <w:divsChild>
                <w:div w:id="2025745704">
                  <w:marLeft w:val="0"/>
                  <w:marRight w:val="0"/>
                  <w:marTop w:val="0"/>
                  <w:marBottom w:val="0"/>
                  <w:divBdr>
                    <w:top w:val="none" w:sz="0" w:space="0" w:color="auto"/>
                    <w:left w:val="none" w:sz="0" w:space="0" w:color="auto"/>
                    <w:bottom w:val="none" w:sz="0" w:space="0" w:color="auto"/>
                    <w:right w:val="none" w:sz="0" w:space="0" w:color="auto"/>
                  </w:divBdr>
                  <w:divsChild>
                    <w:div w:id="334304070">
                      <w:marLeft w:val="0"/>
                      <w:marRight w:val="0"/>
                      <w:marTop w:val="0"/>
                      <w:marBottom w:val="0"/>
                      <w:divBdr>
                        <w:top w:val="none" w:sz="0" w:space="0" w:color="auto"/>
                        <w:left w:val="none" w:sz="0" w:space="0" w:color="auto"/>
                        <w:bottom w:val="none" w:sz="0" w:space="0" w:color="auto"/>
                        <w:right w:val="none" w:sz="0" w:space="0" w:color="auto"/>
                      </w:divBdr>
                      <w:divsChild>
                        <w:div w:id="2073304413">
                          <w:marLeft w:val="0"/>
                          <w:marRight w:val="0"/>
                          <w:marTop w:val="0"/>
                          <w:marBottom w:val="0"/>
                          <w:divBdr>
                            <w:top w:val="none" w:sz="0" w:space="0" w:color="auto"/>
                            <w:left w:val="none" w:sz="0" w:space="0" w:color="auto"/>
                            <w:bottom w:val="none" w:sz="0" w:space="0" w:color="auto"/>
                            <w:right w:val="none" w:sz="0" w:space="0" w:color="auto"/>
                          </w:divBdr>
                          <w:divsChild>
                            <w:div w:id="728965646">
                              <w:marLeft w:val="0"/>
                              <w:marRight w:val="0"/>
                              <w:marTop w:val="0"/>
                              <w:marBottom w:val="0"/>
                              <w:divBdr>
                                <w:top w:val="none" w:sz="0" w:space="0" w:color="auto"/>
                                <w:left w:val="none" w:sz="0" w:space="0" w:color="auto"/>
                                <w:bottom w:val="none" w:sz="0" w:space="0" w:color="auto"/>
                                <w:right w:val="none" w:sz="0" w:space="0" w:color="auto"/>
                              </w:divBdr>
                              <w:divsChild>
                                <w:div w:id="821312317">
                                  <w:marLeft w:val="0"/>
                                  <w:marRight w:val="0"/>
                                  <w:marTop w:val="0"/>
                                  <w:marBottom w:val="0"/>
                                  <w:divBdr>
                                    <w:top w:val="none" w:sz="0" w:space="0" w:color="auto"/>
                                    <w:left w:val="none" w:sz="0" w:space="0" w:color="auto"/>
                                    <w:bottom w:val="none" w:sz="0" w:space="0" w:color="auto"/>
                                    <w:right w:val="none" w:sz="0" w:space="0" w:color="auto"/>
                                  </w:divBdr>
                                  <w:divsChild>
                                    <w:div w:id="993410771">
                                      <w:marLeft w:val="0"/>
                                      <w:marRight w:val="0"/>
                                      <w:marTop w:val="0"/>
                                      <w:marBottom w:val="0"/>
                                      <w:divBdr>
                                        <w:top w:val="none" w:sz="0" w:space="0" w:color="auto"/>
                                        <w:left w:val="none" w:sz="0" w:space="0" w:color="auto"/>
                                        <w:bottom w:val="none" w:sz="0" w:space="0" w:color="auto"/>
                                        <w:right w:val="none" w:sz="0" w:space="0" w:color="auto"/>
                                      </w:divBdr>
                                      <w:divsChild>
                                        <w:div w:id="841042037">
                                          <w:marLeft w:val="0"/>
                                          <w:marRight w:val="0"/>
                                          <w:marTop w:val="0"/>
                                          <w:marBottom w:val="0"/>
                                          <w:divBdr>
                                            <w:top w:val="none" w:sz="0" w:space="0" w:color="auto"/>
                                            <w:left w:val="none" w:sz="0" w:space="0" w:color="auto"/>
                                            <w:bottom w:val="none" w:sz="0" w:space="0" w:color="auto"/>
                                            <w:right w:val="none" w:sz="0" w:space="0" w:color="auto"/>
                                          </w:divBdr>
                                          <w:divsChild>
                                            <w:div w:id="18733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48423">
                                  <w:marLeft w:val="0"/>
                                  <w:marRight w:val="0"/>
                                  <w:marTop w:val="0"/>
                                  <w:marBottom w:val="0"/>
                                  <w:divBdr>
                                    <w:top w:val="none" w:sz="0" w:space="0" w:color="auto"/>
                                    <w:left w:val="none" w:sz="0" w:space="0" w:color="auto"/>
                                    <w:bottom w:val="none" w:sz="0" w:space="0" w:color="auto"/>
                                    <w:right w:val="none" w:sz="0" w:space="0" w:color="auto"/>
                                  </w:divBdr>
                                  <w:divsChild>
                                    <w:div w:id="8086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618463">
          <w:marLeft w:val="0"/>
          <w:marRight w:val="0"/>
          <w:marTop w:val="0"/>
          <w:marBottom w:val="0"/>
          <w:divBdr>
            <w:top w:val="none" w:sz="0" w:space="0" w:color="auto"/>
            <w:left w:val="none" w:sz="0" w:space="0" w:color="auto"/>
            <w:bottom w:val="none" w:sz="0" w:space="0" w:color="auto"/>
            <w:right w:val="none" w:sz="0" w:space="0" w:color="auto"/>
          </w:divBdr>
          <w:divsChild>
            <w:div w:id="1118795352">
              <w:marLeft w:val="0"/>
              <w:marRight w:val="0"/>
              <w:marTop w:val="0"/>
              <w:marBottom w:val="0"/>
              <w:divBdr>
                <w:top w:val="none" w:sz="0" w:space="0" w:color="auto"/>
                <w:left w:val="none" w:sz="0" w:space="0" w:color="auto"/>
                <w:bottom w:val="none" w:sz="0" w:space="0" w:color="auto"/>
                <w:right w:val="none" w:sz="0" w:space="0" w:color="auto"/>
              </w:divBdr>
              <w:divsChild>
                <w:div w:id="407457659">
                  <w:marLeft w:val="0"/>
                  <w:marRight w:val="0"/>
                  <w:marTop w:val="0"/>
                  <w:marBottom w:val="0"/>
                  <w:divBdr>
                    <w:top w:val="none" w:sz="0" w:space="0" w:color="auto"/>
                    <w:left w:val="none" w:sz="0" w:space="0" w:color="auto"/>
                    <w:bottom w:val="none" w:sz="0" w:space="0" w:color="auto"/>
                    <w:right w:val="none" w:sz="0" w:space="0" w:color="auto"/>
                  </w:divBdr>
                  <w:divsChild>
                    <w:div w:id="782728682">
                      <w:marLeft w:val="0"/>
                      <w:marRight w:val="0"/>
                      <w:marTop w:val="0"/>
                      <w:marBottom w:val="0"/>
                      <w:divBdr>
                        <w:top w:val="none" w:sz="0" w:space="0" w:color="auto"/>
                        <w:left w:val="none" w:sz="0" w:space="0" w:color="auto"/>
                        <w:bottom w:val="none" w:sz="0" w:space="0" w:color="auto"/>
                        <w:right w:val="none" w:sz="0" w:space="0" w:color="auto"/>
                      </w:divBdr>
                      <w:divsChild>
                        <w:div w:id="13759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733789">
      <w:bodyDiv w:val="1"/>
      <w:marLeft w:val="0"/>
      <w:marRight w:val="0"/>
      <w:marTop w:val="0"/>
      <w:marBottom w:val="0"/>
      <w:divBdr>
        <w:top w:val="none" w:sz="0" w:space="0" w:color="auto"/>
        <w:left w:val="none" w:sz="0" w:space="0" w:color="auto"/>
        <w:bottom w:val="none" w:sz="0" w:space="0" w:color="auto"/>
        <w:right w:val="none" w:sz="0" w:space="0" w:color="auto"/>
      </w:divBdr>
    </w:div>
    <w:div w:id="481238773">
      <w:bodyDiv w:val="1"/>
      <w:marLeft w:val="0"/>
      <w:marRight w:val="0"/>
      <w:marTop w:val="0"/>
      <w:marBottom w:val="0"/>
      <w:divBdr>
        <w:top w:val="none" w:sz="0" w:space="0" w:color="auto"/>
        <w:left w:val="none" w:sz="0" w:space="0" w:color="auto"/>
        <w:bottom w:val="none" w:sz="0" w:space="0" w:color="auto"/>
        <w:right w:val="none" w:sz="0" w:space="0" w:color="auto"/>
      </w:divBdr>
    </w:div>
    <w:div w:id="503008756">
      <w:bodyDiv w:val="1"/>
      <w:marLeft w:val="0"/>
      <w:marRight w:val="0"/>
      <w:marTop w:val="0"/>
      <w:marBottom w:val="0"/>
      <w:divBdr>
        <w:top w:val="none" w:sz="0" w:space="0" w:color="auto"/>
        <w:left w:val="none" w:sz="0" w:space="0" w:color="auto"/>
        <w:bottom w:val="none" w:sz="0" w:space="0" w:color="auto"/>
        <w:right w:val="none" w:sz="0" w:space="0" w:color="auto"/>
      </w:divBdr>
    </w:div>
    <w:div w:id="666788379">
      <w:bodyDiv w:val="1"/>
      <w:marLeft w:val="0"/>
      <w:marRight w:val="0"/>
      <w:marTop w:val="0"/>
      <w:marBottom w:val="0"/>
      <w:divBdr>
        <w:top w:val="none" w:sz="0" w:space="0" w:color="auto"/>
        <w:left w:val="none" w:sz="0" w:space="0" w:color="auto"/>
        <w:bottom w:val="none" w:sz="0" w:space="0" w:color="auto"/>
        <w:right w:val="none" w:sz="0" w:space="0" w:color="auto"/>
      </w:divBdr>
    </w:div>
    <w:div w:id="666909202">
      <w:bodyDiv w:val="1"/>
      <w:marLeft w:val="0"/>
      <w:marRight w:val="0"/>
      <w:marTop w:val="0"/>
      <w:marBottom w:val="0"/>
      <w:divBdr>
        <w:top w:val="none" w:sz="0" w:space="0" w:color="auto"/>
        <w:left w:val="none" w:sz="0" w:space="0" w:color="auto"/>
        <w:bottom w:val="none" w:sz="0" w:space="0" w:color="auto"/>
        <w:right w:val="none" w:sz="0" w:space="0" w:color="auto"/>
      </w:divBdr>
    </w:div>
    <w:div w:id="667636026">
      <w:bodyDiv w:val="1"/>
      <w:marLeft w:val="0"/>
      <w:marRight w:val="0"/>
      <w:marTop w:val="0"/>
      <w:marBottom w:val="0"/>
      <w:divBdr>
        <w:top w:val="none" w:sz="0" w:space="0" w:color="auto"/>
        <w:left w:val="none" w:sz="0" w:space="0" w:color="auto"/>
        <w:bottom w:val="none" w:sz="0" w:space="0" w:color="auto"/>
        <w:right w:val="none" w:sz="0" w:space="0" w:color="auto"/>
      </w:divBdr>
      <w:divsChild>
        <w:div w:id="1656640025">
          <w:marLeft w:val="0"/>
          <w:marRight w:val="0"/>
          <w:marTop w:val="0"/>
          <w:marBottom w:val="0"/>
          <w:divBdr>
            <w:top w:val="none" w:sz="0" w:space="0" w:color="auto"/>
            <w:left w:val="none" w:sz="0" w:space="0" w:color="auto"/>
            <w:bottom w:val="none" w:sz="0" w:space="0" w:color="auto"/>
            <w:right w:val="none" w:sz="0" w:space="0" w:color="auto"/>
          </w:divBdr>
        </w:div>
      </w:divsChild>
    </w:div>
    <w:div w:id="716899667">
      <w:bodyDiv w:val="1"/>
      <w:marLeft w:val="0"/>
      <w:marRight w:val="0"/>
      <w:marTop w:val="0"/>
      <w:marBottom w:val="0"/>
      <w:divBdr>
        <w:top w:val="none" w:sz="0" w:space="0" w:color="auto"/>
        <w:left w:val="none" w:sz="0" w:space="0" w:color="auto"/>
        <w:bottom w:val="none" w:sz="0" w:space="0" w:color="auto"/>
        <w:right w:val="none" w:sz="0" w:space="0" w:color="auto"/>
      </w:divBdr>
    </w:div>
    <w:div w:id="792796465">
      <w:bodyDiv w:val="1"/>
      <w:marLeft w:val="0"/>
      <w:marRight w:val="0"/>
      <w:marTop w:val="0"/>
      <w:marBottom w:val="0"/>
      <w:divBdr>
        <w:top w:val="none" w:sz="0" w:space="0" w:color="auto"/>
        <w:left w:val="none" w:sz="0" w:space="0" w:color="auto"/>
        <w:bottom w:val="none" w:sz="0" w:space="0" w:color="auto"/>
        <w:right w:val="none" w:sz="0" w:space="0" w:color="auto"/>
      </w:divBdr>
      <w:divsChild>
        <w:div w:id="281232977">
          <w:marLeft w:val="0"/>
          <w:marRight w:val="0"/>
          <w:marTop w:val="0"/>
          <w:marBottom w:val="0"/>
          <w:divBdr>
            <w:top w:val="none" w:sz="0" w:space="0" w:color="auto"/>
            <w:left w:val="none" w:sz="0" w:space="0" w:color="auto"/>
            <w:bottom w:val="none" w:sz="0" w:space="0" w:color="auto"/>
            <w:right w:val="none" w:sz="0" w:space="0" w:color="auto"/>
          </w:divBdr>
          <w:divsChild>
            <w:div w:id="1373917600">
              <w:marLeft w:val="0"/>
              <w:marRight w:val="0"/>
              <w:marTop w:val="0"/>
              <w:marBottom w:val="0"/>
              <w:divBdr>
                <w:top w:val="none" w:sz="0" w:space="0" w:color="auto"/>
                <w:left w:val="none" w:sz="0" w:space="0" w:color="auto"/>
                <w:bottom w:val="none" w:sz="0" w:space="0" w:color="auto"/>
                <w:right w:val="none" w:sz="0" w:space="0" w:color="auto"/>
              </w:divBdr>
              <w:divsChild>
                <w:div w:id="1448967868">
                  <w:marLeft w:val="0"/>
                  <w:marRight w:val="0"/>
                  <w:marTop w:val="0"/>
                  <w:marBottom w:val="0"/>
                  <w:divBdr>
                    <w:top w:val="none" w:sz="0" w:space="0" w:color="auto"/>
                    <w:left w:val="none" w:sz="0" w:space="0" w:color="auto"/>
                    <w:bottom w:val="none" w:sz="0" w:space="0" w:color="auto"/>
                    <w:right w:val="none" w:sz="0" w:space="0" w:color="auto"/>
                  </w:divBdr>
                  <w:divsChild>
                    <w:div w:id="830367446">
                      <w:marLeft w:val="0"/>
                      <w:marRight w:val="0"/>
                      <w:marTop w:val="0"/>
                      <w:marBottom w:val="0"/>
                      <w:divBdr>
                        <w:top w:val="none" w:sz="0" w:space="0" w:color="auto"/>
                        <w:left w:val="none" w:sz="0" w:space="0" w:color="auto"/>
                        <w:bottom w:val="none" w:sz="0" w:space="0" w:color="auto"/>
                        <w:right w:val="none" w:sz="0" w:space="0" w:color="auto"/>
                      </w:divBdr>
                      <w:divsChild>
                        <w:div w:id="877545245">
                          <w:marLeft w:val="0"/>
                          <w:marRight w:val="0"/>
                          <w:marTop w:val="0"/>
                          <w:marBottom w:val="0"/>
                          <w:divBdr>
                            <w:top w:val="none" w:sz="0" w:space="0" w:color="auto"/>
                            <w:left w:val="none" w:sz="0" w:space="0" w:color="auto"/>
                            <w:bottom w:val="none" w:sz="0" w:space="0" w:color="auto"/>
                            <w:right w:val="none" w:sz="0" w:space="0" w:color="auto"/>
                          </w:divBdr>
                          <w:divsChild>
                            <w:div w:id="12184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12881">
                  <w:marLeft w:val="0"/>
                  <w:marRight w:val="0"/>
                  <w:marTop w:val="0"/>
                  <w:marBottom w:val="0"/>
                  <w:divBdr>
                    <w:top w:val="none" w:sz="0" w:space="0" w:color="auto"/>
                    <w:left w:val="none" w:sz="0" w:space="0" w:color="auto"/>
                    <w:bottom w:val="none" w:sz="0" w:space="0" w:color="auto"/>
                    <w:right w:val="none" w:sz="0" w:space="0" w:color="auto"/>
                  </w:divBdr>
                  <w:divsChild>
                    <w:div w:id="6988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59928">
      <w:bodyDiv w:val="1"/>
      <w:marLeft w:val="0"/>
      <w:marRight w:val="0"/>
      <w:marTop w:val="0"/>
      <w:marBottom w:val="0"/>
      <w:divBdr>
        <w:top w:val="none" w:sz="0" w:space="0" w:color="auto"/>
        <w:left w:val="none" w:sz="0" w:space="0" w:color="auto"/>
        <w:bottom w:val="none" w:sz="0" w:space="0" w:color="auto"/>
        <w:right w:val="none" w:sz="0" w:space="0" w:color="auto"/>
      </w:divBdr>
    </w:div>
    <w:div w:id="1123577674">
      <w:bodyDiv w:val="1"/>
      <w:marLeft w:val="0"/>
      <w:marRight w:val="0"/>
      <w:marTop w:val="0"/>
      <w:marBottom w:val="0"/>
      <w:divBdr>
        <w:top w:val="none" w:sz="0" w:space="0" w:color="auto"/>
        <w:left w:val="none" w:sz="0" w:space="0" w:color="auto"/>
        <w:bottom w:val="none" w:sz="0" w:space="0" w:color="auto"/>
        <w:right w:val="none" w:sz="0" w:space="0" w:color="auto"/>
      </w:divBdr>
    </w:div>
    <w:div w:id="1146051295">
      <w:bodyDiv w:val="1"/>
      <w:marLeft w:val="0"/>
      <w:marRight w:val="0"/>
      <w:marTop w:val="0"/>
      <w:marBottom w:val="0"/>
      <w:divBdr>
        <w:top w:val="none" w:sz="0" w:space="0" w:color="auto"/>
        <w:left w:val="none" w:sz="0" w:space="0" w:color="auto"/>
        <w:bottom w:val="none" w:sz="0" w:space="0" w:color="auto"/>
        <w:right w:val="none" w:sz="0" w:space="0" w:color="auto"/>
      </w:divBdr>
    </w:div>
    <w:div w:id="1179000702">
      <w:bodyDiv w:val="1"/>
      <w:marLeft w:val="0"/>
      <w:marRight w:val="0"/>
      <w:marTop w:val="0"/>
      <w:marBottom w:val="0"/>
      <w:divBdr>
        <w:top w:val="none" w:sz="0" w:space="0" w:color="auto"/>
        <w:left w:val="none" w:sz="0" w:space="0" w:color="auto"/>
        <w:bottom w:val="none" w:sz="0" w:space="0" w:color="auto"/>
        <w:right w:val="none" w:sz="0" w:space="0" w:color="auto"/>
      </w:divBdr>
    </w:div>
    <w:div w:id="1298103801">
      <w:bodyDiv w:val="1"/>
      <w:marLeft w:val="0"/>
      <w:marRight w:val="0"/>
      <w:marTop w:val="0"/>
      <w:marBottom w:val="0"/>
      <w:divBdr>
        <w:top w:val="none" w:sz="0" w:space="0" w:color="auto"/>
        <w:left w:val="none" w:sz="0" w:space="0" w:color="auto"/>
        <w:bottom w:val="none" w:sz="0" w:space="0" w:color="auto"/>
        <w:right w:val="none" w:sz="0" w:space="0" w:color="auto"/>
      </w:divBdr>
    </w:div>
    <w:div w:id="1363365313">
      <w:bodyDiv w:val="1"/>
      <w:marLeft w:val="0"/>
      <w:marRight w:val="0"/>
      <w:marTop w:val="0"/>
      <w:marBottom w:val="0"/>
      <w:divBdr>
        <w:top w:val="none" w:sz="0" w:space="0" w:color="auto"/>
        <w:left w:val="none" w:sz="0" w:space="0" w:color="auto"/>
        <w:bottom w:val="none" w:sz="0" w:space="0" w:color="auto"/>
        <w:right w:val="none" w:sz="0" w:space="0" w:color="auto"/>
      </w:divBdr>
      <w:divsChild>
        <w:div w:id="867568766">
          <w:marLeft w:val="0"/>
          <w:marRight w:val="0"/>
          <w:marTop w:val="0"/>
          <w:marBottom w:val="0"/>
          <w:divBdr>
            <w:top w:val="none" w:sz="0" w:space="0" w:color="auto"/>
            <w:left w:val="none" w:sz="0" w:space="0" w:color="auto"/>
            <w:bottom w:val="none" w:sz="0" w:space="0" w:color="auto"/>
            <w:right w:val="none" w:sz="0" w:space="0" w:color="auto"/>
          </w:divBdr>
          <w:divsChild>
            <w:div w:id="1390496791">
              <w:marLeft w:val="0"/>
              <w:marRight w:val="0"/>
              <w:marTop w:val="0"/>
              <w:marBottom w:val="0"/>
              <w:divBdr>
                <w:top w:val="none" w:sz="0" w:space="0" w:color="auto"/>
                <w:left w:val="none" w:sz="0" w:space="0" w:color="auto"/>
                <w:bottom w:val="none" w:sz="0" w:space="0" w:color="auto"/>
                <w:right w:val="none" w:sz="0" w:space="0" w:color="auto"/>
              </w:divBdr>
              <w:divsChild>
                <w:div w:id="67925914">
                  <w:marLeft w:val="0"/>
                  <w:marRight w:val="0"/>
                  <w:marTop w:val="0"/>
                  <w:marBottom w:val="0"/>
                  <w:divBdr>
                    <w:top w:val="none" w:sz="0" w:space="0" w:color="auto"/>
                    <w:left w:val="none" w:sz="0" w:space="0" w:color="auto"/>
                    <w:bottom w:val="none" w:sz="0" w:space="0" w:color="auto"/>
                    <w:right w:val="none" w:sz="0" w:space="0" w:color="auto"/>
                  </w:divBdr>
                  <w:divsChild>
                    <w:div w:id="130176346">
                      <w:marLeft w:val="0"/>
                      <w:marRight w:val="0"/>
                      <w:marTop w:val="0"/>
                      <w:marBottom w:val="0"/>
                      <w:divBdr>
                        <w:top w:val="none" w:sz="0" w:space="0" w:color="auto"/>
                        <w:left w:val="none" w:sz="0" w:space="0" w:color="auto"/>
                        <w:bottom w:val="none" w:sz="0" w:space="0" w:color="auto"/>
                        <w:right w:val="none" w:sz="0" w:space="0" w:color="auto"/>
                      </w:divBdr>
                      <w:divsChild>
                        <w:div w:id="1212225214">
                          <w:marLeft w:val="0"/>
                          <w:marRight w:val="0"/>
                          <w:marTop w:val="0"/>
                          <w:marBottom w:val="0"/>
                          <w:divBdr>
                            <w:top w:val="none" w:sz="0" w:space="0" w:color="auto"/>
                            <w:left w:val="none" w:sz="0" w:space="0" w:color="auto"/>
                            <w:bottom w:val="none" w:sz="0" w:space="0" w:color="auto"/>
                            <w:right w:val="none" w:sz="0" w:space="0" w:color="auto"/>
                          </w:divBdr>
                          <w:divsChild>
                            <w:div w:id="15655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46437">
                  <w:marLeft w:val="0"/>
                  <w:marRight w:val="0"/>
                  <w:marTop w:val="0"/>
                  <w:marBottom w:val="0"/>
                  <w:divBdr>
                    <w:top w:val="none" w:sz="0" w:space="0" w:color="auto"/>
                    <w:left w:val="none" w:sz="0" w:space="0" w:color="auto"/>
                    <w:bottom w:val="none" w:sz="0" w:space="0" w:color="auto"/>
                    <w:right w:val="none" w:sz="0" w:space="0" w:color="auto"/>
                  </w:divBdr>
                  <w:divsChild>
                    <w:div w:id="204533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50777">
      <w:bodyDiv w:val="1"/>
      <w:marLeft w:val="0"/>
      <w:marRight w:val="0"/>
      <w:marTop w:val="0"/>
      <w:marBottom w:val="0"/>
      <w:divBdr>
        <w:top w:val="none" w:sz="0" w:space="0" w:color="auto"/>
        <w:left w:val="none" w:sz="0" w:space="0" w:color="auto"/>
        <w:bottom w:val="none" w:sz="0" w:space="0" w:color="auto"/>
        <w:right w:val="none" w:sz="0" w:space="0" w:color="auto"/>
      </w:divBdr>
    </w:div>
    <w:div w:id="1476950063">
      <w:bodyDiv w:val="1"/>
      <w:marLeft w:val="0"/>
      <w:marRight w:val="0"/>
      <w:marTop w:val="0"/>
      <w:marBottom w:val="0"/>
      <w:divBdr>
        <w:top w:val="none" w:sz="0" w:space="0" w:color="auto"/>
        <w:left w:val="none" w:sz="0" w:space="0" w:color="auto"/>
        <w:bottom w:val="none" w:sz="0" w:space="0" w:color="auto"/>
        <w:right w:val="none" w:sz="0" w:space="0" w:color="auto"/>
      </w:divBdr>
      <w:divsChild>
        <w:div w:id="1027752316">
          <w:marLeft w:val="0"/>
          <w:marRight w:val="0"/>
          <w:marTop w:val="0"/>
          <w:marBottom w:val="0"/>
          <w:divBdr>
            <w:top w:val="none" w:sz="0" w:space="0" w:color="auto"/>
            <w:left w:val="none" w:sz="0" w:space="0" w:color="auto"/>
            <w:bottom w:val="none" w:sz="0" w:space="0" w:color="auto"/>
            <w:right w:val="none" w:sz="0" w:space="0" w:color="auto"/>
          </w:divBdr>
        </w:div>
      </w:divsChild>
    </w:div>
    <w:div w:id="1493449769">
      <w:bodyDiv w:val="1"/>
      <w:marLeft w:val="0"/>
      <w:marRight w:val="0"/>
      <w:marTop w:val="0"/>
      <w:marBottom w:val="0"/>
      <w:divBdr>
        <w:top w:val="none" w:sz="0" w:space="0" w:color="auto"/>
        <w:left w:val="none" w:sz="0" w:space="0" w:color="auto"/>
        <w:bottom w:val="none" w:sz="0" w:space="0" w:color="auto"/>
        <w:right w:val="none" w:sz="0" w:space="0" w:color="auto"/>
      </w:divBdr>
      <w:divsChild>
        <w:div w:id="1250038614">
          <w:marLeft w:val="0"/>
          <w:marRight w:val="0"/>
          <w:marTop w:val="0"/>
          <w:marBottom w:val="0"/>
          <w:divBdr>
            <w:top w:val="none" w:sz="0" w:space="0" w:color="auto"/>
            <w:left w:val="none" w:sz="0" w:space="0" w:color="auto"/>
            <w:bottom w:val="none" w:sz="0" w:space="0" w:color="auto"/>
            <w:right w:val="none" w:sz="0" w:space="0" w:color="auto"/>
          </w:divBdr>
          <w:divsChild>
            <w:div w:id="2080327747">
              <w:marLeft w:val="0"/>
              <w:marRight w:val="0"/>
              <w:marTop w:val="0"/>
              <w:marBottom w:val="0"/>
              <w:divBdr>
                <w:top w:val="none" w:sz="0" w:space="0" w:color="auto"/>
                <w:left w:val="none" w:sz="0" w:space="0" w:color="auto"/>
                <w:bottom w:val="none" w:sz="0" w:space="0" w:color="auto"/>
                <w:right w:val="none" w:sz="0" w:space="0" w:color="auto"/>
              </w:divBdr>
              <w:divsChild>
                <w:div w:id="795563047">
                  <w:marLeft w:val="0"/>
                  <w:marRight w:val="0"/>
                  <w:marTop w:val="0"/>
                  <w:marBottom w:val="0"/>
                  <w:divBdr>
                    <w:top w:val="none" w:sz="0" w:space="0" w:color="auto"/>
                    <w:left w:val="none" w:sz="0" w:space="0" w:color="auto"/>
                    <w:bottom w:val="none" w:sz="0" w:space="0" w:color="auto"/>
                    <w:right w:val="none" w:sz="0" w:space="0" w:color="auto"/>
                  </w:divBdr>
                  <w:divsChild>
                    <w:div w:id="930434034">
                      <w:marLeft w:val="0"/>
                      <w:marRight w:val="0"/>
                      <w:marTop w:val="0"/>
                      <w:marBottom w:val="0"/>
                      <w:divBdr>
                        <w:top w:val="none" w:sz="0" w:space="0" w:color="auto"/>
                        <w:left w:val="none" w:sz="0" w:space="0" w:color="auto"/>
                        <w:bottom w:val="none" w:sz="0" w:space="0" w:color="auto"/>
                        <w:right w:val="none" w:sz="0" w:space="0" w:color="auto"/>
                      </w:divBdr>
                      <w:divsChild>
                        <w:div w:id="252931965">
                          <w:marLeft w:val="0"/>
                          <w:marRight w:val="0"/>
                          <w:marTop w:val="0"/>
                          <w:marBottom w:val="0"/>
                          <w:divBdr>
                            <w:top w:val="none" w:sz="0" w:space="0" w:color="auto"/>
                            <w:left w:val="none" w:sz="0" w:space="0" w:color="auto"/>
                            <w:bottom w:val="none" w:sz="0" w:space="0" w:color="auto"/>
                            <w:right w:val="none" w:sz="0" w:space="0" w:color="auto"/>
                          </w:divBdr>
                          <w:divsChild>
                            <w:div w:id="5999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67289">
                  <w:marLeft w:val="0"/>
                  <w:marRight w:val="0"/>
                  <w:marTop w:val="0"/>
                  <w:marBottom w:val="0"/>
                  <w:divBdr>
                    <w:top w:val="none" w:sz="0" w:space="0" w:color="auto"/>
                    <w:left w:val="none" w:sz="0" w:space="0" w:color="auto"/>
                    <w:bottom w:val="none" w:sz="0" w:space="0" w:color="auto"/>
                    <w:right w:val="none" w:sz="0" w:space="0" w:color="auto"/>
                  </w:divBdr>
                  <w:divsChild>
                    <w:div w:id="21131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32969">
      <w:bodyDiv w:val="1"/>
      <w:marLeft w:val="0"/>
      <w:marRight w:val="0"/>
      <w:marTop w:val="0"/>
      <w:marBottom w:val="0"/>
      <w:divBdr>
        <w:top w:val="none" w:sz="0" w:space="0" w:color="auto"/>
        <w:left w:val="none" w:sz="0" w:space="0" w:color="auto"/>
        <w:bottom w:val="none" w:sz="0" w:space="0" w:color="auto"/>
        <w:right w:val="none" w:sz="0" w:space="0" w:color="auto"/>
      </w:divBdr>
    </w:div>
    <w:div w:id="1675260411">
      <w:bodyDiv w:val="1"/>
      <w:marLeft w:val="0"/>
      <w:marRight w:val="0"/>
      <w:marTop w:val="0"/>
      <w:marBottom w:val="0"/>
      <w:divBdr>
        <w:top w:val="none" w:sz="0" w:space="0" w:color="auto"/>
        <w:left w:val="none" w:sz="0" w:space="0" w:color="auto"/>
        <w:bottom w:val="none" w:sz="0" w:space="0" w:color="auto"/>
        <w:right w:val="none" w:sz="0" w:space="0" w:color="auto"/>
      </w:divBdr>
    </w:div>
    <w:div w:id="1890074295">
      <w:bodyDiv w:val="1"/>
      <w:marLeft w:val="0"/>
      <w:marRight w:val="0"/>
      <w:marTop w:val="0"/>
      <w:marBottom w:val="0"/>
      <w:divBdr>
        <w:top w:val="none" w:sz="0" w:space="0" w:color="auto"/>
        <w:left w:val="none" w:sz="0" w:space="0" w:color="auto"/>
        <w:bottom w:val="none" w:sz="0" w:space="0" w:color="auto"/>
        <w:right w:val="none" w:sz="0" w:space="0" w:color="auto"/>
      </w:divBdr>
    </w:div>
    <w:div w:id="1921792625">
      <w:bodyDiv w:val="1"/>
      <w:marLeft w:val="0"/>
      <w:marRight w:val="0"/>
      <w:marTop w:val="0"/>
      <w:marBottom w:val="0"/>
      <w:divBdr>
        <w:top w:val="none" w:sz="0" w:space="0" w:color="auto"/>
        <w:left w:val="none" w:sz="0" w:space="0" w:color="auto"/>
        <w:bottom w:val="none" w:sz="0" w:space="0" w:color="auto"/>
        <w:right w:val="none" w:sz="0" w:space="0" w:color="auto"/>
      </w:divBdr>
      <w:divsChild>
        <w:div w:id="879247586">
          <w:marLeft w:val="0"/>
          <w:marRight w:val="0"/>
          <w:marTop w:val="0"/>
          <w:marBottom w:val="0"/>
          <w:divBdr>
            <w:top w:val="none" w:sz="0" w:space="0" w:color="auto"/>
            <w:left w:val="none" w:sz="0" w:space="0" w:color="auto"/>
            <w:bottom w:val="none" w:sz="0" w:space="0" w:color="auto"/>
            <w:right w:val="none" w:sz="0" w:space="0" w:color="auto"/>
          </w:divBdr>
          <w:divsChild>
            <w:div w:id="862135633">
              <w:marLeft w:val="0"/>
              <w:marRight w:val="0"/>
              <w:marTop w:val="0"/>
              <w:marBottom w:val="0"/>
              <w:divBdr>
                <w:top w:val="none" w:sz="0" w:space="0" w:color="auto"/>
                <w:left w:val="none" w:sz="0" w:space="0" w:color="auto"/>
                <w:bottom w:val="none" w:sz="0" w:space="0" w:color="auto"/>
                <w:right w:val="none" w:sz="0" w:space="0" w:color="auto"/>
              </w:divBdr>
              <w:divsChild>
                <w:div w:id="1876112032">
                  <w:marLeft w:val="0"/>
                  <w:marRight w:val="0"/>
                  <w:marTop w:val="0"/>
                  <w:marBottom w:val="0"/>
                  <w:divBdr>
                    <w:top w:val="none" w:sz="0" w:space="0" w:color="auto"/>
                    <w:left w:val="none" w:sz="0" w:space="0" w:color="auto"/>
                    <w:bottom w:val="none" w:sz="0" w:space="0" w:color="auto"/>
                    <w:right w:val="none" w:sz="0" w:space="0" w:color="auto"/>
                  </w:divBdr>
                  <w:divsChild>
                    <w:div w:id="322390047">
                      <w:marLeft w:val="0"/>
                      <w:marRight w:val="0"/>
                      <w:marTop w:val="0"/>
                      <w:marBottom w:val="0"/>
                      <w:divBdr>
                        <w:top w:val="none" w:sz="0" w:space="0" w:color="auto"/>
                        <w:left w:val="none" w:sz="0" w:space="0" w:color="auto"/>
                        <w:bottom w:val="none" w:sz="0" w:space="0" w:color="auto"/>
                        <w:right w:val="none" w:sz="0" w:space="0" w:color="auto"/>
                      </w:divBdr>
                      <w:divsChild>
                        <w:div w:id="386298999">
                          <w:marLeft w:val="0"/>
                          <w:marRight w:val="0"/>
                          <w:marTop w:val="0"/>
                          <w:marBottom w:val="0"/>
                          <w:divBdr>
                            <w:top w:val="none" w:sz="0" w:space="0" w:color="auto"/>
                            <w:left w:val="none" w:sz="0" w:space="0" w:color="auto"/>
                            <w:bottom w:val="none" w:sz="0" w:space="0" w:color="auto"/>
                            <w:right w:val="none" w:sz="0" w:space="0" w:color="auto"/>
                          </w:divBdr>
                          <w:divsChild>
                            <w:div w:id="2044674680">
                              <w:marLeft w:val="0"/>
                              <w:marRight w:val="0"/>
                              <w:marTop w:val="0"/>
                              <w:marBottom w:val="0"/>
                              <w:divBdr>
                                <w:top w:val="none" w:sz="0" w:space="0" w:color="auto"/>
                                <w:left w:val="none" w:sz="0" w:space="0" w:color="auto"/>
                                <w:bottom w:val="none" w:sz="0" w:space="0" w:color="auto"/>
                                <w:right w:val="none" w:sz="0" w:space="0" w:color="auto"/>
                              </w:divBdr>
                              <w:divsChild>
                                <w:div w:id="1275867155">
                                  <w:marLeft w:val="0"/>
                                  <w:marRight w:val="0"/>
                                  <w:marTop w:val="0"/>
                                  <w:marBottom w:val="0"/>
                                  <w:divBdr>
                                    <w:top w:val="none" w:sz="0" w:space="0" w:color="auto"/>
                                    <w:left w:val="none" w:sz="0" w:space="0" w:color="auto"/>
                                    <w:bottom w:val="none" w:sz="0" w:space="0" w:color="auto"/>
                                    <w:right w:val="none" w:sz="0" w:space="0" w:color="auto"/>
                                  </w:divBdr>
                                  <w:divsChild>
                                    <w:div w:id="1537229030">
                                      <w:marLeft w:val="0"/>
                                      <w:marRight w:val="0"/>
                                      <w:marTop w:val="0"/>
                                      <w:marBottom w:val="0"/>
                                      <w:divBdr>
                                        <w:top w:val="none" w:sz="0" w:space="0" w:color="auto"/>
                                        <w:left w:val="none" w:sz="0" w:space="0" w:color="auto"/>
                                        <w:bottom w:val="none" w:sz="0" w:space="0" w:color="auto"/>
                                        <w:right w:val="none" w:sz="0" w:space="0" w:color="auto"/>
                                      </w:divBdr>
                                      <w:divsChild>
                                        <w:div w:id="689913889">
                                          <w:marLeft w:val="0"/>
                                          <w:marRight w:val="0"/>
                                          <w:marTop w:val="0"/>
                                          <w:marBottom w:val="0"/>
                                          <w:divBdr>
                                            <w:top w:val="none" w:sz="0" w:space="0" w:color="auto"/>
                                            <w:left w:val="none" w:sz="0" w:space="0" w:color="auto"/>
                                            <w:bottom w:val="none" w:sz="0" w:space="0" w:color="auto"/>
                                            <w:right w:val="none" w:sz="0" w:space="0" w:color="auto"/>
                                          </w:divBdr>
                                          <w:divsChild>
                                            <w:div w:id="3173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12724">
                                  <w:marLeft w:val="0"/>
                                  <w:marRight w:val="0"/>
                                  <w:marTop w:val="0"/>
                                  <w:marBottom w:val="0"/>
                                  <w:divBdr>
                                    <w:top w:val="none" w:sz="0" w:space="0" w:color="auto"/>
                                    <w:left w:val="none" w:sz="0" w:space="0" w:color="auto"/>
                                    <w:bottom w:val="none" w:sz="0" w:space="0" w:color="auto"/>
                                    <w:right w:val="none" w:sz="0" w:space="0" w:color="auto"/>
                                  </w:divBdr>
                                  <w:divsChild>
                                    <w:div w:id="14674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179892">
          <w:marLeft w:val="0"/>
          <w:marRight w:val="0"/>
          <w:marTop w:val="0"/>
          <w:marBottom w:val="0"/>
          <w:divBdr>
            <w:top w:val="none" w:sz="0" w:space="0" w:color="auto"/>
            <w:left w:val="none" w:sz="0" w:space="0" w:color="auto"/>
            <w:bottom w:val="none" w:sz="0" w:space="0" w:color="auto"/>
            <w:right w:val="none" w:sz="0" w:space="0" w:color="auto"/>
          </w:divBdr>
          <w:divsChild>
            <w:div w:id="185826036">
              <w:marLeft w:val="0"/>
              <w:marRight w:val="0"/>
              <w:marTop w:val="0"/>
              <w:marBottom w:val="0"/>
              <w:divBdr>
                <w:top w:val="none" w:sz="0" w:space="0" w:color="auto"/>
                <w:left w:val="none" w:sz="0" w:space="0" w:color="auto"/>
                <w:bottom w:val="none" w:sz="0" w:space="0" w:color="auto"/>
                <w:right w:val="none" w:sz="0" w:space="0" w:color="auto"/>
              </w:divBdr>
              <w:divsChild>
                <w:div w:id="248120160">
                  <w:marLeft w:val="0"/>
                  <w:marRight w:val="0"/>
                  <w:marTop w:val="0"/>
                  <w:marBottom w:val="0"/>
                  <w:divBdr>
                    <w:top w:val="none" w:sz="0" w:space="0" w:color="auto"/>
                    <w:left w:val="none" w:sz="0" w:space="0" w:color="auto"/>
                    <w:bottom w:val="none" w:sz="0" w:space="0" w:color="auto"/>
                    <w:right w:val="none" w:sz="0" w:space="0" w:color="auto"/>
                  </w:divBdr>
                  <w:divsChild>
                    <w:div w:id="590167061">
                      <w:marLeft w:val="0"/>
                      <w:marRight w:val="0"/>
                      <w:marTop w:val="0"/>
                      <w:marBottom w:val="0"/>
                      <w:divBdr>
                        <w:top w:val="none" w:sz="0" w:space="0" w:color="auto"/>
                        <w:left w:val="none" w:sz="0" w:space="0" w:color="auto"/>
                        <w:bottom w:val="none" w:sz="0" w:space="0" w:color="auto"/>
                        <w:right w:val="none" w:sz="0" w:space="0" w:color="auto"/>
                      </w:divBdr>
                      <w:divsChild>
                        <w:div w:id="189762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0702">
      <w:bodyDiv w:val="1"/>
      <w:marLeft w:val="0"/>
      <w:marRight w:val="0"/>
      <w:marTop w:val="0"/>
      <w:marBottom w:val="0"/>
      <w:divBdr>
        <w:top w:val="none" w:sz="0" w:space="0" w:color="auto"/>
        <w:left w:val="none" w:sz="0" w:space="0" w:color="auto"/>
        <w:bottom w:val="none" w:sz="0" w:space="0" w:color="auto"/>
        <w:right w:val="none" w:sz="0" w:space="0" w:color="auto"/>
      </w:divBdr>
    </w:div>
    <w:div w:id="214585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10787-023-01377-9" TargetMode="External"/><Relationship Id="rId3" Type="http://schemas.openxmlformats.org/officeDocument/2006/relationships/styles" Target="styles.xml"/><Relationship Id="rId21" Type="http://schemas.openxmlformats.org/officeDocument/2006/relationships/hyperlink" Target="https://doi.org/10.9734/ajocs/2023/v13i424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fphar.2022.1002037" TargetMode="External"/><Relationship Id="rId2" Type="http://schemas.openxmlformats.org/officeDocument/2006/relationships/numbering" Target="numbering.xml"/><Relationship Id="rId16" Type="http://schemas.openxmlformats.org/officeDocument/2006/relationships/hyperlink" Target="https://doi.org/10.1515/jcim-2025-0256" TargetMode="External"/><Relationship Id="rId20" Type="http://schemas.openxmlformats.org/officeDocument/2006/relationships/hyperlink" Target="https://doi.org/10.9734/air/2023/v24i59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55/2022/9022135"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j.jep.2024.11915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47/JIR.S30407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03E8D-0FC9-4F7F-B272-52646B8E9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4573</TotalTime>
  <Pages>15</Pages>
  <Words>5333</Words>
  <Characters>30404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otayemichael027@gmail.com</dc:creator>
  <cp:keywords/>
  <dc:description/>
  <cp:lastModifiedBy>Editor Manisha</cp:lastModifiedBy>
  <cp:revision>54</cp:revision>
  <cp:lastPrinted>2026-02-26T15:56:00Z</cp:lastPrinted>
  <dcterms:created xsi:type="dcterms:W3CDTF">2025-07-16T20:26:00Z</dcterms:created>
  <dcterms:modified xsi:type="dcterms:W3CDTF">2026-02-26T16:13:00Z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7ec28339-e746-465c-ba28-b74f458a2dc9</vt:lpwstr>
  </property>
</Properties>
</file>