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3B726" w14:textId="61C5ACC9" w:rsidR="00754C9A" w:rsidRDefault="003D4952" w:rsidP="00441B6F">
      <w:pPr>
        <w:pStyle w:val="Title"/>
        <w:spacing w:after="0"/>
        <w:jc w:val="both"/>
        <w:rPr>
          <w:rFonts w:ascii="Arial" w:hAnsi="Arial" w:cs="Arial"/>
          <w:u w:val="single"/>
        </w:rPr>
      </w:pPr>
      <w:r w:rsidRPr="003D4952">
        <w:rPr>
          <w:rFonts w:ascii="Arial" w:hAnsi="Arial" w:cs="Arial"/>
          <w:u w:val="single"/>
        </w:rPr>
        <w:t>Original Research Article</w:t>
      </w:r>
    </w:p>
    <w:p w14:paraId="6B2C1510" w14:textId="77777777" w:rsidR="003D4952" w:rsidRPr="003D4952" w:rsidRDefault="003D4952" w:rsidP="00441B6F">
      <w:pPr>
        <w:pStyle w:val="Title"/>
        <w:spacing w:after="0"/>
        <w:jc w:val="both"/>
        <w:rPr>
          <w:rFonts w:ascii="Arial" w:hAnsi="Arial" w:cs="Arial"/>
          <w:u w:val="single"/>
        </w:rPr>
      </w:pPr>
    </w:p>
    <w:p w14:paraId="7340C228" w14:textId="77777777" w:rsidR="00C65356" w:rsidRPr="00A5099D" w:rsidRDefault="00C65356" w:rsidP="00C65356">
      <w:pPr>
        <w:jc w:val="right"/>
        <w:rPr>
          <w:rFonts w:ascii="Arial" w:hAnsi="Arial" w:cs="Arial"/>
          <w:b/>
          <w:bCs/>
          <w:sz w:val="36"/>
          <w:szCs w:val="36"/>
        </w:rPr>
      </w:pPr>
      <w:r w:rsidRPr="00A5099D">
        <w:rPr>
          <w:rFonts w:ascii="Arial" w:hAnsi="Arial" w:cs="Arial"/>
          <w:b/>
          <w:bCs/>
          <w:sz w:val="36"/>
          <w:szCs w:val="36"/>
        </w:rPr>
        <w:t>Effect of Sorghum Forage Biofortification with Trace Minerals on Forage Quality and Udder Health of Dairy Cattle</w:t>
      </w:r>
    </w:p>
    <w:p w14:paraId="03A8D5AA" w14:textId="77777777" w:rsidR="00A258C3" w:rsidRPr="00790ADA" w:rsidRDefault="00A258C3" w:rsidP="00441B6F">
      <w:pPr>
        <w:pStyle w:val="Author"/>
        <w:spacing w:line="240" w:lineRule="auto"/>
        <w:jc w:val="both"/>
        <w:rPr>
          <w:rFonts w:ascii="Arial" w:hAnsi="Arial" w:cs="Arial"/>
          <w:sz w:val="36"/>
        </w:rPr>
      </w:pPr>
    </w:p>
    <w:p w14:paraId="556A0CF8" w14:textId="77777777" w:rsidR="00790ADA" w:rsidRDefault="00790ADA" w:rsidP="00441B6F">
      <w:pPr>
        <w:pStyle w:val="Affiliation"/>
        <w:spacing w:after="0" w:line="240" w:lineRule="auto"/>
        <w:jc w:val="both"/>
        <w:rPr>
          <w:rFonts w:ascii="Arial" w:hAnsi="Arial" w:cs="Arial"/>
        </w:rPr>
      </w:pPr>
    </w:p>
    <w:p w14:paraId="608064BA" w14:textId="77777777" w:rsidR="002C57D2" w:rsidRPr="00FB3A86" w:rsidRDefault="002C57D2" w:rsidP="00441B6F">
      <w:pPr>
        <w:pStyle w:val="Affiliation"/>
        <w:spacing w:after="0" w:line="240" w:lineRule="auto"/>
        <w:jc w:val="both"/>
        <w:rPr>
          <w:rFonts w:ascii="Arial" w:hAnsi="Arial" w:cs="Arial"/>
        </w:rPr>
      </w:pPr>
    </w:p>
    <w:p w14:paraId="38A51D38" w14:textId="44508FC5" w:rsidR="00B01FCD" w:rsidRPr="00FB3A86" w:rsidRDefault="00140ACB" w:rsidP="00441B6F">
      <w:pPr>
        <w:pStyle w:val="Copyright"/>
        <w:spacing w:after="0" w:line="240" w:lineRule="auto"/>
        <w:jc w:val="both"/>
        <w:rPr>
          <w:rFonts w:ascii="Arial" w:hAnsi="Arial" w:cs="Arial"/>
        </w:rPr>
        <w:sectPr w:rsidR="00B01FCD" w:rsidRPr="00FB3A86" w:rsidSect="00E756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FB3BEB1" wp14:editId="22377357">
                <wp:extent cx="5303520" cy="635"/>
                <wp:effectExtent l="13335" t="13335" r="17145" b="15240"/>
                <wp:docPr id="20316682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AE0C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5ECB88" w14:textId="58EAD43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B2E0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60A886" w14:textId="77777777" w:rsidTr="001E44FE">
        <w:tc>
          <w:tcPr>
            <w:tcW w:w="9576" w:type="dxa"/>
            <w:shd w:val="clear" w:color="auto" w:fill="F2F2F2"/>
          </w:tcPr>
          <w:p w14:paraId="4B275346" w14:textId="49F56FD5" w:rsidR="005C7BDB" w:rsidRDefault="00BA1B01" w:rsidP="007978E7">
            <w:pPr>
              <w:pStyle w:val="Body"/>
              <w:spacing w:after="0"/>
              <w:rPr>
                <w:rFonts w:ascii="Arial" w:eastAsia="Calibri" w:hAnsi="Arial" w:cs="Arial"/>
                <w:b/>
                <w:szCs w:val="22"/>
              </w:rPr>
            </w:pPr>
            <w:r w:rsidRPr="00BA1B01">
              <w:rPr>
                <w:rFonts w:ascii="Arial" w:eastAsia="Calibri" w:hAnsi="Arial" w:cs="Arial"/>
                <w:b/>
                <w:szCs w:val="22"/>
              </w:rPr>
              <w:t xml:space="preserve">Aims: </w:t>
            </w:r>
            <w:r w:rsidR="007B188A" w:rsidRPr="007B188A">
              <w:rPr>
                <w:rFonts w:ascii="Arial" w:eastAsia="Calibri" w:hAnsi="Arial" w:cs="Arial"/>
                <w:bCs/>
                <w:szCs w:val="22"/>
              </w:rPr>
              <w:t>To evaluate the effect of foliar application of zinc (Zn), copper (Cu) and selenium (Se) on the yield, nutritive value, mineral composition of sorghum fodder and its impact on udder health status of dairy cattle.</w:t>
            </w:r>
            <w:r w:rsidR="005C7BDB" w:rsidRPr="00BA1B01">
              <w:rPr>
                <w:rFonts w:ascii="Arial" w:eastAsia="Calibri" w:hAnsi="Arial" w:cs="Arial"/>
                <w:b/>
                <w:szCs w:val="22"/>
              </w:rPr>
              <w:t xml:space="preserve"> </w:t>
            </w:r>
          </w:p>
          <w:p w14:paraId="59AB7B59" w14:textId="79927ED5"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B188A" w:rsidRPr="007B188A">
              <w:rPr>
                <w:rFonts w:ascii="Arial" w:eastAsia="Calibri" w:hAnsi="Arial" w:cs="Arial"/>
                <w:szCs w:val="22"/>
              </w:rPr>
              <w:t xml:space="preserve">Multi-cut forage sorghum hybrid </w:t>
            </w:r>
            <w:proofErr w:type="spellStart"/>
            <w:r w:rsidR="007B188A" w:rsidRPr="007B188A">
              <w:rPr>
                <w:rFonts w:ascii="Arial" w:eastAsia="Calibri" w:hAnsi="Arial" w:cs="Arial"/>
                <w:szCs w:val="22"/>
              </w:rPr>
              <w:t>Raseela</w:t>
            </w:r>
            <w:proofErr w:type="spellEnd"/>
            <w:r w:rsidR="007B188A" w:rsidRPr="007B188A">
              <w:rPr>
                <w:rFonts w:ascii="Arial" w:eastAsia="Calibri" w:hAnsi="Arial" w:cs="Arial"/>
                <w:szCs w:val="22"/>
              </w:rPr>
              <w:t xml:space="preserve"> was cultivated in two plots. One plot served as control other received foliar application of zinc @ 0.5%, copper @ 0.2% and selenium @ 10 g/ha at 45 days after sowing</w:t>
            </w:r>
            <w:r w:rsidR="00BD6B95">
              <w:rPr>
                <w:rFonts w:ascii="Arial" w:eastAsia="Calibri" w:hAnsi="Arial" w:cs="Arial"/>
                <w:szCs w:val="22"/>
              </w:rPr>
              <w:t xml:space="preserve"> and the fortified fodder fed to dairy cattle and compared its effect with control and the minerals supplemented through concentrate feed.  </w:t>
            </w:r>
          </w:p>
          <w:p w14:paraId="22A7F9C6" w14:textId="19827E4D" w:rsidR="00BA1B01" w:rsidRPr="00BA1B01" w:rsidRDefault="00BA1B01" w:rsidP="007978E7">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E7954">
              <w:rPr>
                <w:rFonts w:ascii="Arial" w:eastAsia="Calibri" w:hAnsi="Arial" w:cs="Arial"/>
                <w:szCs w:val="22"/>
              </w:rPr>
              <w:t>The study was conducted on Livestock Farm Complex</w:t>
            </w:r>
            <w:r w:rsidR="007978E7">
              <w:rPr>
                <w:rFonts w:ascii="Arial" w:eastAsia="Calibri" w:hAnsi="Arial" w:cs="Arial"/>
                <w:szCs w:val="22"/>
              </w:rPr>
              <w:t xml:space="preserve"> unit of</w:t>
            </w:r>
            <w:r w:rsidR="008E7954" w:rsidRPr="00545C80">
              <w:rPr>
                <w:rFonts w:ascii="Arial" w:hAnsi="Arial" w:cs="Arial"/>
              </w:rPr>
              <w:t xml:space="preserve">, College of Veterinary Science and Animal Husbandry, Acharya Narendra Deva University of Agriculture &amp; Technology, Kumarganj, Ayodhya (U.P.), India, for a period of </w:t>
            </w:r>
            <w:r w:rsidR="00BD6B95">
              <w:rPr>
                <w:rFonts w:ascii="Arial" w:hAnsi="Arial" w:cs="Arial"/>
              </w:rPr>
              <w:t>six months</w:t>
            </w:r>
            <w:r w:rsidR="008E7954" w:rsidRPr="00545C80">
              <w:rPr>
                <w:rFonts w:ascii="Arial" w:hAnsi="Arial" w:cs="Arial"/>
              </w:rPr>
              <w:t>.</w:t>
            </w:r>
            <w:r w:rsidR="007978E7">
              <w:rPr>
                <w:rFonts w:ascii="Arial" w:hAnsi="Arial" w:cs="Arial"/>
              </w:rPr>
              <w:t xml:space="preserve"> </w:t>
            </w:r>
          </w:p>
          <w:p w14:paraId="530C320A" w14:textId="0CC930A1" w:rsidR="007978E7" w:rsidRPr="00545C80" w:rsidRDefault="00BA1B01" w:rsidP="007978E7">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067931">
              <w:rPr>
                <w:rFonts w:ascii="Arial" w:eastAsia="Calibri" w:hAnsi="Arial" w:cs="Arial"/>
                <w:szCs w:val="22"/>
              </w:rPr>
              <w:t>S</w:t>
            </w:r>
            <w:r w:rsidR="00BD6B95" w:rsidRPr="00BD6B95">
              <w:rPr>
                <w:rFonts w:ascii="Arial" w:eastAsia="Calibri" w:hAnsi="Arial" w:cs="Arial"/>
                <w:szCs w:val="22"/>
              </w:rPr>
              <w:t>orghum was cultivated in two plots. One plot served as control while the other plot received foliar application of zinc @ 0.5%, copper @ 0.2% and selenium @ 10 g/ha. First cut was harvested at 60 days after sowing. Fifteen crossbred cows were randomly divided into three groups (T1, T2 and T3). T1 received basal diet without trace mineral supplementation, T2 received inorganic Zn, Cu and Se supplementation through concentrate, while T3 was fed biofortified sorghum fodder. Udder health was evaluated using Modified California Mastitis Test (MCMT) and somatic cell count (SCC). Statistical analysis was performed using ANOVA</w:t>
            </w:r>
            <w:r w:rsidR="00BD6B95">
              <w:rPr>
                <w:rFonts w:ascii="Arial" w:eastAsia="Calibri" w:hAnsi="Arial" w:cs="Arial"/>
                <w:szCs w:val="22"/>
              </w:rPr>
              <w:t>.</w:t>
            </w:r>
            <w:r w:rsidR="00BD6B95" w:rsidRPr="00BD6B95">
              <w:rPr>
                <w:rFonts w:ascii="Arial" w:eastAsia="Calibri" w:hAnsi="Arial" w:cs="Arial"/>
                <w:szCs w:val="22"/>
              </w:rPr>
              <w:t xml:space="preserve"> </w:t>
            </w:r>
          </w:p>
          <w:p w14:paraId="44DF199B" w14:textId="60524158" w:rsidR="00BA1B01" w:rsidRPr="00BA1B01" w:rsidRDefault="00BA1B01" w:rsidP="007978E7">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D6B95" w:rsidRPr="00BD6B95">
              <w:rPr>
                <w:rFonts w:ascii="Arial" w:eastAsia="Calibri" w:hAnsi="Arial" w:cs="Arial"/>
                <w:szCs w:val="22"/>
              </w:rPr>
              <w:t>Foliar application of Zn, Cu and Se significantly improved green fodder and dry matter yield in the biofortified group compared to control. Crude protein content increased significantly in biofortified fodder, while NDF and ADF decreased significantly. Concentrations of Ca, P, Mg, Zn, Cu and Se were significantly higher in biofortified fodder. Somatic cell count decreased significantly in treatment groups by day 15 and day 30 compared to control. The incidence of subclinical mastitis was highest in control cows and markedly reduced in T2 and T3 groups. MCMT scores were also lower in T2 and T3 compared to control.</w:t>
            </w:r>
            <w:r w:rsidR="00BD6B95">
              <w:rPr>
                <w:rFonts w:ascii="Arial" w:eastAsia="Calibri" w:hAnsi="Arial" w:cs="Arial"/>
                <w:szCs w:val="22"/>
              </w:rPr>
              <w:t xml:space="preserve"> </w:t>
            </w:r>
          </w:p>
          <w:p w14:paraId="42B6DD9D" w14:textId="70E361E7" w:rsidR="00505F06" w:rsidRPr="00BD6B95" w:rsidRDefault="00BA1B01" w:rsidP="00BD6B95">
            <w:pPr>
              <w:jc w:val="both"/>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BD6B95" w:rsidRPr="00BD6B95">
              <w:rPr>
                <w:rFonts w:ascii="Arial" w:eastAsia="Calibri" w:hAnsi="Arial" w:cs="Arial"/>
                <w:szCs w:val="22"/>
                <w:lang w:val="en-IN"/>
              </w:rPr>
              <w:t>Foliar biofortification of sorghum fodder with zinc, copper and selenium significantly enhances fodder yield, nutritive quality and mineral composition, while also improving udder health and reducing somatic cell count and subclinical mastitis incidence in dairy cattle.</w:t>
            </w:r>
          </w:p>
        </w:tc>
      </w:tr>
    </w:tbl>
    <w:p w14:paraId="232E0A60" w14:textId="77777777" w:rsidR="00636EB2" w:rsidRDefault="00636EB2" w:rsidP="00441B6F">
      <w:pPr>
        <w:pStyle w:val="Body"/>
        <w:spacing w:after="0"/>
        <w:rPr>
          <w:rFonts w:ascii="Arial" w:hAnsi="Arial" w:cs="Arial"/>
          <w:i/>
        </w:rPr>
      </w:pPr>
    </w:p>
    <w:p w14:paraId="3850DBB8" w14:textId="61B296DE" w:rsidR="00A24E7E" w:rsidRPr="00E964EC" w:rsidRDefault="00A24E7E" w:rsidP="00441B6F">
      <w:pPr>
        <w:pStyle w:val="Body"/>
        <w:spacing w:after="0"/>
        <w:rPr>
          <w:rFonts w:ascii="Arial" w:hAnsi="Arial" w:cs="Arial"/>
          <w:iCs/>
        </w:rPr>
      </w:pPr>
      <w:r>
        <w:rPr>
          <w:rFonts w:ascii="Arial" w:hAnsi="Arial" w:cs="Arial"/>
          <w:i/>
        </w:rPr>
        <w:t xml:space="preserve">Keywords: </w:t>
      </w:r>
      <w:r w:rsidR="00BD6B95">
        <w:rPr>
          <w:rFonts w:ascii="Arial" w:hAnsi="Arial" w:cs="Arial"/>
          <w:iCs/>
        </w:rPr>
        <w:t>Biofortification, Fodder</w:t>
      </w:r>
      <w:r w:rsidR="00BD6B95" w:rsidRPr="00E964EC">
        <w:rPr>
          <w:rFonts w:ascii="Arial" w:hAnsi="Arial" w:cs="Arial"/>
          <w:iCs/>
        </w:rPr>
        <w:t>,</w:t>
      </w:r>
      <w:r w:rsidR="00BD6B95">
        <w:rPr>
          <w:rFonts w:ascii="Arial" w:hAnsi="Arial" w:cs="Arial"/>
          <w:iCs/>
        </w:rPr>
        <w:t xml:space="preserve"> Dairy cattle</w:t>
      </w:r>
      <w:r w:rsidR="00E964EC" w:rsidRPr="00E964EC">
        <w:rPr>
          <w:rFonts w:ascii="Arial" w:hAnsi="Arial" w:cs="Arial"/>
          <w:iCs/>
        </w:rPr>
        <w:t xml:space="preserve">, </w:t>
      </w:r>
      <w:r w:rsidR="00F02473">
        <w:rPr>
          <w:rFonts w:ascii="Arial" w:hAnsi="Arial" w:cs="Arial"/>
          <w:iCs/>
        </w:rPr>
        <w:t xml:space="preserve">Trace </w:t>
      </w:r>
      <w:r w:rsidR="00BD6B95">
        <w:rPr>
          <w:rFonts w:ascii="Arial" w:hAnsi="Arial" w:cs="Arial"/>
          <w:iCs/>
        </w:rPr>
        <w:t>Minerals</w:t>
      </w:r>
      <w:r w:rsidR="00E964EC" w:rsidRPr="00E964EC">
        <w:rPr>
          <w:rFonts w:ascii="Arial" w:hAnsi="Arial" w:cs="Arial"/>
          <w:iCs/>
        </w:rPr>
        <w:t xml:space="preserve">, </w:t>
      </w:r>
      <w:r w:rsidR="00BD6B95">
        <w:rPr>
          <w:rFonts w:ascii="Arial" w:hAnsi="Arial" w:cs="Arial"/>
          <w:iCs/>
        </w:rPr>
        <w:t>Sorghum</w:t>
      </w:r>
      <w:r w:rsidR="00E964EC" w:rsidRPr="00E964EC">
        <w:rPr>
          <w:rFonts w:ascii="Arial" w:hAnsi="Arial" w:cs="Arial"/>
          <w:iCs/>
        </w:rPr>
        <w:t xml:space="preserve"> </w:t>
      </w:r>
    </w:p>
    <w:p w14:paraId="1109E954" w14:textId="77777777" w:rsidR="00790ADA" w:rsidRDefault="00790ADA" w:rsidP="00441B6F">
      <w:pPr>
        <w:pStyle w:val="Body"/>
        <w:spacing w:after="0"/>
        <w:rPr>
          <w:rFonts w:ascii="Arial" w:hAnsi="Arial" w:cs="Arial"/>
          <w:i/>
        </w:rPr>
      </w:pPr>
    </w:p>
    <w:p w14:paraId="5D5FA64F" w14:textId="75792CD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97C0941" w14:textId="77777777" w:rsidR="00790ADA" w:rsidRPr="00FB3A86" w:rsidRDefault="00790ADA" w:rsidP="00441B6F">
      <w:pPr>
        <w:pStyle w:val="AbstHead"/>
        <w:spacing w:after="0"/>
        <w:jc w:val="both"/>
        <w:rPr>
          <w:rFonts w:ascii="Arial" w:hAnsi="Arial" w:cs="Arial"/>
        </w:rPr>
      </w:pPr>
    </w:p>
    <w:p w14:paraId="3B44159E" w14:textId="77777777" w:rsidR="00B74869" w:rsidRPr="00A5099D" w:rsidRDefault="00B74869" w:rsidP="00B74869">
      <w:pPr>
        <w:jc w:val="both"/>
        <w:rPr>
          <w:rFonts w:ascii="Arial" w:hAnsi="Arial" w:cs="Arial"/>
        </w:rPr>
      </w:pPr>
      <w:r w:rsidRPr="00A5099D">
        <w:rPr>
          <w:rFonts w:ascii="Arial" w:hAnsi="Arial" w:cs="Arial"/>
          <w:lang w:eastAsia="en-GB"/>
        </w:rPr>
        <w:t xml:space="preserve">Sorghum is one of the most important fodder crops cultivated across India. It provides high biomass yield, which is critical to sustaining livestock-based rural livelihoods. </w:t>
      </w:r>
      <w:r w:rsidRPr="00A5099D">
        <w:rPr>
          <w:rFonts w:ascii="Arial" w:hAnsi="Arial" w:cs="Arial"/>
        </w:rPr>
        <w:t>The cultivation of sorghum is particularly important for ensuring year-round green fodder supply to dairy animals, especially during the lean summer and early monsoon periods.</w:t>
      </w:r>
      <w:r w:rsidRPr="00A5099D">
        <w:rPr>
          <w:rFonts w:ascii="Arial" w:hAnsi="Arial" w:cs="Arial"/>
          <w:lang w:eastAsia="en-GB"/>
        </w:rPr>
        <w:t xml:space="preserve"> However, the nutritional quality and biomass yield of sorghum forage are often limited by imbalanced or insufficient micronutrient availability in Indian soils as well as due to continuous cropping, imbalanced fertilizer use, and minimal organic matter inputs, which affects livestock productivity in terms of milk yield, growth, and reproduction. (</w:t>
      </w:r>
      <w:proofErr w:type="spellStart"/>
      <w:r w:rsidRPr="00A5099D">
        <w:rPr>
          <w:rFonts w:ascii="Arial" w:hAnsi="Arial" w:cs="Arial"/>
          <w:lang w:eastAsia="en-GB"/>
        </w:rPr>
        <w:t>Blummel</w:t>
      </w:r>
      <w:proofErr w:type="spellEnd"/>
      <w:r w:rsidRPr="00A5099D">
        <w:rPr>
          <w:rFonts w:ascii="Arial" w:hAnsi="Arial" w:cs="Arial"/>
          <w:lang w:eastAsia="en-GB"/>
        </w:rPr>
        <w:t xml:space="preserve"> </w:t>
      </w:r>
      <w:r w:rsidRPr="00A5099D">
        <w:rPr>
          <w:rFonts w:ascii="Arial" w:hAnsi="Arial" w:cs="Arial"/>
          <w:i/>
          <w:iCs/>
          <w:lang w:eastAsia="en-GB"/>
        </w:rPr>
        <w:t>et al.</w:t>
      </w:r>
      <w:r w:rsidRPr="00A5099D">
        <w:rPr>
          <w:rFonts w:ascii="Arial" w:hAnsi="Arial" w:cs="Arial"/>
          <w:lang w:eastAsia="en-GB"/>
        </w:rPr>
        <w:t>, 2012). Among the essential micronutrients, zinc (Zn), copper (Cu), and selenium (Se) play critical roles in plant metabolism and forage quality (Kumar and Singh, 2016). Enhancing the trace mineral content of forage crops such as sorghum could provide a dual benefit: improving crop productivity and contributing to better animal health and performance. For small and marginal farmers, this could translate to increased milk yield, better reproductive outcomes, and reduced dependence on costly commercial mineral supplements. Moreover, it supports broader goals of sustainable agriculture and nutritional security in mixed crop-livestock farming systems.</w:t>
      </w:r>
    </w:p>
    <w:p w14:paraId="3DFE14FB" w14:textId="77777777" w:rsidR="00B74869" w:rsidRPr="00A5099D" w:rsidRDefault="00B74869" w:rsidP="00B74869">
      <w:pPr>
        <w:jc w:val="both"/>
        <w:rPr>
          <w:rFonts w:ascii="Arial" w:hAnsi="Arial" w:cs="Arial"/>
          <w:lang w:eastAsia="en-GB"/>
        </w:rPr>
      </w:pPr>
      <w:r w:rsidRPr="00A5099D">
        <w:rPr>
          <w:rFonts w:ascii="Arial" w:hAnsi="Arial" w:cs="Arial"/>
          <w:lang w:eastAsia="en-GB"/>
        </w:rPr>
        <w:t xml:space="preserve">The traditional approach to micronutrient application in crops has been via soil amendments. However, in many Indian soils, especially those with alkaline pH, micronutrient availability is significantly reduced due to fixation and low mobility in the soil matrix. As a result, foliar application has gained attention as a more efficient delivery method, allowing for rapid correction of deficiencies and better uptake efficiency with smaller nutrient quantities. </w:t>
      </w:r>
      <w:r w:rsidRPr="00A5099D">
        <w:rPr>
          <w:rFonts w:ascii="Arial" w:hAnsi="Arial" w:cs="Arial"/>
        </w:rPr>
        <w:t xml:space="preserve">Foliar sprays allow nutrients to bypass the soil matrix and directly enter the plant through stomata and cuticle, leading to faster absorption and response. In forage crops, not only yield but also quality parameters such as crude protein, fiber fractions, mineral content, and digestibility are of significant concern. Micronutrients influence these factors by affecting protein metabolism, carbohydrate synthesis, and structural composition. </w:t>
      </w:r>
      <w:r w:rsidRPr="00A5099D">
        <w:rPr>
          <w:rFonts w:ascii="Arial" w:hAnsi="Arial" w:cs="Arial"/>
          <w:lang w:eastAsia="en-GB"/>
        </w:rPr>
        <w:t xml:space="preserve">Biofortification of fodder crops through foliar micronutrient applications aligns with this goal by enhancing both the yield and mineral content of the forage (Kumar </w:t>
      </w:r>
      <w:r w:rsidRPr="00A5099D">
        <w:rPr>
          <w:rFonts w:ascii="Arial" w:hAnsi="Arial" w:cs="Arial"/>
          <w:i/>
          <w:iCs/>
          <w:lang w:eastAsia="en-GB"/>
        </w:rPr>
        <w:t>et al.</w:t>
      </w:r>
      <w:r w:rsidRPr="00A5099D">
        <w:rPr>
          <w:rFonts w:ascii="Arial" w:hAnsi="Arial" w:cs="Arial"/>
          <w:lang w:eastAsia="en-GB"/>
        </w:rPr>
        <w:t>, 2012). This strategy is especially significant in India, where livestock nutrition is often mineral-deficient due to reliance on locally grown forages.</w:t>
      </w:r>
    </w:p>
    <w:p w14:paraId="5777BF11" w14:textId="77777777" w:rsidR="00B74869" w:rsidRPr="00A5099D" w:rsidRDefault="00B74869" w:rsidP="00B74869">
      <w:pPr>
        <w:jc w:val="both"/>
        <w:rPr>
          <w:rFonts w:ascii="Arial" w:hAnsi="Arial" w:cs="Arial"/>
        </w:rPr>
      </w:pPr>
      <w:r w:rsidRPr="00A5099D">
        <w:rPr>
          <w:rFonts w:ascii="Arial" w:hAnsi="Arial" w:cs="Arial"/>
          <w:lang w:eastAsia="en-GB"/>
        </w:rPr>
        <w:t xml:space="preserve">In plants zinc is necessary for enzyme activation, protein synthesis and hormone regulation (Ceylan </w:t>
      </w:r>
      <w:r w:rsidRPr="00A5099D">
        <w:rPr>
          <w:rFonts w:ascii="Arial" w:hAnsi="Arial" w:cs="Arial"/>
          <w:i/>
          <w:iCs/>
          <w:lang w:eastAsia="en-GB"/>
        </w:rPr>
        <w:t>et al.</w:t>
      </w:r>
      <w:r w:rsidRPr="00A5099D">
        <w:rPr>
          <w:rFonts w:ascii="Arial" w:hAnsi="Arial" w:cs="Arial"/>
          <w:lang w:eastAsia="en-GB"/>
        </w:rPr>
        <w:t xml:space="preserve">, 2006) and it is deficient most widely across Indian soils, particularly in the Indo-Gangetic plain. Copper is another essential trace element required for lignin synthesis, photosynthetic electron transport and cell wall integrity. </w:t>
      </w:r>
      <w:r w:rsidRPr="00A5099D">
        <w:rPr>
          <w:rFonts w:ascii="Arial" w:hAnsi="Arial" w:cs="Arial"/>
        </w:rPr>
        <w:t xml:space="preserve">Though copper requirements are relatively low, its availability in many Indian soils is limited due to high pH and excessive phosphorus application. </w:t>
      </w:r>
      <w:r w:rsidRPr="00A5099D">
        <w:rPr>
          <w:rFonts w:ascii="Arial" w:hAnsi="Arial" w:cs="Arial"/>
          <w:lang w:eastAsia="en-GB"/>
        </w:rPr>
        <w:t xml:space="preserve">Copper deficient plants are prone to lodging and have reduced leaf area and dry matter content. In forage crops, adequate Cu is also important to enhance structural </w:t>
      </w:r>
      <w:proofErr w:type="spellStart"/>
      <w:r w:rsidRPr="00A5099D">
        <w:rPr>
          <w:rFonts w:ascii="Arial" w:hAnsi="Arial" w:cs="Arial"/>
          <w:lang w:eastAsia="en-GB"/>
        </w:rPr>
        <w:t>fibre</w:t>
      </w:r>
      <w:proofErr w:type="spellEnd"/>
      <w:r w:rsidRPr="00A5099D">
        <w:rPr>
          <w:rFonts w:ascii="Arial" w:hAnsi="Arial" w:cs="Arial"/>
          <w:lang w:eastAsia="en-GB"/>
        </w:rPr>
        <w:t xml:space="preserve"> content and improve the digestibility of plant biomass. Selenium contributes to the antioxidative properties of the plant and provides a critical trace element for livestock health. In dairy animals, </w:t>
      </w:r>
      <w:r w:rsidRPr="00A5099D">
        <w:rPr>
          <w:rFonts w:ascii="Arial" w:hAnsi="Arial" w:cs="Arial"/>
        </w:rPr>
        <w:t xml:space="preserve">zinc plays a vital role in maintaining epithelial integrity of the teat canal and supports neutrophil function, thereby reducing pathogen invasion and somatic cell count (SCC), while copper is involved in the activity of antioxidant enzymes such as superoxide dismutase and contributes to effective immune responses against intramammary infections (NRC, 2001; Spears, 2000). Selenium, an integral component of glutathione peroxidase, protects mammary tissue from oxidative damage and has been consistently associated with lower incidence of clinical and subclinical mastitis and reduced SCC in dairy cows (Weiss </w:t>
      </w:r>
      <w:r w:rsidRPr="00A5099D">
        <w:rPr>
          <w:rFonts w:ascii="Arial" w:hAnsi="Arial" w:cs="Arial"/>
          <w:i/>
          <w:iCs/>
        </w:rPr>
        <w:t>et al.</w:t>
      </w:r>
      <w:r w:rsidRPr="00A5099D">
        <w:rPr>
          <w:rFonts w:ascii="Arial" w:hAnsi="Arial" w:cs="Arial"/>
        </w:rPr>
        <w:t xml:space="preserve">, 1997; Smith </w:t>
      </w:r>
      <w:r w:rsidRPr="00A5099D">
        <w:rPr>
          <w:rFonts w:ascii="Arial" w:hAnsi="Arial" w:cs="Arial"/>
          <w:i/>
          <w:iCs/>
        </w:rPr>
        <w:t>et al.</w:t>
      </w:r>
      <w:r w:rsidRPr="00A5099D">
        <w:rPr>
          <w:rFonts w:ascii="Arial" w:hAnsi="Arial" w:cs="Arial"/>
        </w:rPr>
        <w:t xml:space="preserve">, 1984). Biofortification of forages through soil or foliar application of these trace minerals enhances their concentration and bioavailability in the basal diet, ensuring a more uniform and sustained mineral intake compared to conventional supplementation alone, particularly under field conditions where mineral deficiencies in forages are common (White and Broadley, 2009). Improved dietary supply of Zn, Cu and Se through biofortified forages therefore supports mammary immune defence mechanisms, </w:t>
      </w:r>
      <w:r w:rsidRPr="00A5099D">
        <w:rPr>
          <w:rFonts w:ascii="Arial" w:hAnsi="Arial" w:cs="Arial"/>
        </w:rPr>
        <w:lastRenderedPageBreak/>
        <w:t>mitigates oxidative stress during early and peak lactation, and contributes to better udder health and milk quality in dairy cattle (Spears and Weiss, 2008).</w:t>
      </w:r>
    </w:p>
    <w:p w14:paraId="27E9DFDF" w14:textId="77777777" w:rsidR="00B74869" w:rsidRPr="00A5099D" w:rsidRDefault="00B74869" w:rsidP="00B74869">
      <w:pPr>
        <w:jc w:val="both"/>
        <w:rPr>
          <w:rFonts w:ascii="Arial" w:hAnsi="Arial" w:cs="Arial"/>
        </w:rPr>
      </w:pPr>
      <w:r w:rsidRPr="00A5099D">
        <w:rPr>
          <w:rFonts w:ascii="Arial" w:hAnsi="Arial" w:cs="Arial"/>
        </w:rPr>
        <w:t xml:space="preserve">Research has shown that foliar application of individual micronutrients like zinc or copper can significantly improve the vegetative growth and dry matter accumulation in cereals and forage crops. </w:t>
      </w:r>
      <w:r w:rsidRPr="00A5099D">
        <w:rPr>
          <w:rFonts w:ascii="Arial" w:hAnsi="Arial" w:cs="Arial"/>
          <w:lang w:eastAsia="en-GB"/>
        </w:rPr>
        <w:t>However, sorghum has received relatively less attention in this regard, and even fewer studies have evaluated the combined effects of Zn, Cu and Se foliar sprays on its forage attributes and their impact on udder health of dairy animals. Therefore, the present study was undertaken to evaluate the effect of sorghum forage biofortification with zinc, copper and selenium through foliar application on forage quality and udder health of dairy cattle.</w:t>
      </w:r>
    </w:p>
    <w:p w14:paraId="421A4517" w14:textId="77777777" w:rsidR="00807C29" w:rsidRPr="00A70B46" w:rsidRDefault="00807C29" w:rsidP="00A70B46">
      <w:pPr>
        <w:jc w:val="both"/>
        <w:rPr>
          <w:rFonts w:ascii="Arial" w:hAnsi="Arial" w:cs="Arial"/>
        </w:rPr>
      </w:pPr>
    </w:p>
    <w:p w14:paraId="7E0E198C" w14:textId="1B8377C4"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6DF1E0" w14:textId="77777777" w:rsidR="00807C29" w:rsidRPr="00FB3A86" w:rsidRDefault="00807C29" w:rsidP="00441B6F">
      <w:pPr>
        <w:pStyle w:val="AbstHead"/>
        <w:spacing w:after="0"/>
        <w:jc w:val="both"/>
        <w:rPr>
          <w:rFonts w:ascii="Arial" w:hAnsi="Arial" w:cs="Arial"/>
        </w:rPr>
      </w:pPr>
    </w:p>
    <w:p w14:paraId="55E03F84" w14:textId="77777777" w:rsidR="00A440FC" w:rsidRPr="00A5099D" w:rsidRDefault="00A440FC" w:rsidP="00A440FC">
      <w:pPr>
        <w:jc w:val="both"/>
        <w:rPr>
          <w:rFonts w:ascii="Arial" w:hAnsi="Arial" w:cs="Arial"/>
        </w:rPr>
      </w:pPr>
      <w:r w:rsidRPr="00A5099D">
        <w:rPr>
          <w:rFonts w:ascii="Arial" w:hAnsi="Arial" w:cs="Arial"/>
          <w:bCs/>
        </w:rPr>
        <w:t xml:space="preserve">The </w:t>
      </w:r>
      <w:r w:rsidRPr="00A5099D">
        <w:rPr>
          <w:rFonts w:ascii="Arial" w:hAnsi="Arial" w:cs="Arial"/>
        </w:rPr>
        <w:t xml:space="preserve">study was conducted at the fodder growing farm of LFC (Livestock Farm Complex), College of Veterinary Science &amp; Animal Husbandry, Acharya Narendra Deva University of Agriculture and Technology, Kumarganj, Ayodhya, Uttar Pradesh. Multi-cut forage sorghum hybrid </w:t>
      </w:r>
      <w:proofErr w:type="spellStart"/>
      <w:r w:rsidRPr="00A5099D">
        <w:rPr>
          <w:rFonts w:ascii="Arial" w:hAnsi="Arial" w:cs="Arial"/>
        </w:rPr>
        <w:t>Raseela</w:t>
      </w:r>
      <w:proofErr w:type="spellEnd"/>
      <w:r w:rsidRPr="00A5099D">
        <w:rPr>
          <w:rFonts w:ascii="Arial" w:hAnsi="Arial" w:cs="Arial"/>
        </w:rPr>
        <w:t xml:space="preserve"> was shown in a plot divided into two similar plots. In one plot only distilled water (Control group) and in another plots zinc @ 0.5%, copper @0.2% and selenium 10 g per hectare (Biofortified group) sprinkles after 45 days of sowing and first cut was taken at 60 days after sowing. </w:t>
      </w:r>
    </w:p>
    <w:p w14:paraId="16F181CC" w14:textId="00E4051B" w:rsidR="00A440FC" w:rsidRPr="00A5099D" w:rsidRDefault="00A440FC" w:rsidP="00A440FC">
      <w:pPr>
        <w:jc w:val="both"/>
        <w:rPr>
          <w:rFonts w:ascii="Arial" w:hAnsi="Arial" w:cs="Arial"/>
        </w:rPr>
      </w:pPr>
      <w:r w:rsidRPr="00A5099D">
        <w:rPr>
          <w:rFonts w:ascii="Arial" w:hAnsi="Arial" w:cs="Arial"/>
        </w:rPr>
        <w:t>The crop was harvested in 1mx1m area at 8-10 cm above ground level randomly from different location of plots and green fodder yield was recorded. For dry fodder yield, a random sample of 500g fresh green fodder was taken from each plot at the time of harvesting, chopped into small pieces and put into the paper bag. These paper bags were aerated by making small hole all over. The samples were first dried at room temperature for a week and then in hot air oven at 60</w:t>
      </w:r>
      <w:r w:rsidRPr="00A5099D">
        <w:rPr>
          <w:rFonts w:ascii="Arial" w:hAnsi="Arial" w:cs="Arial"/>
          <w:vertAlign w:val="superscript"/>
        </w:rPr>
        <w:t>0</w:t>
      </w:r>
      <w:r w:rsidRPr="00A5099D">
        <w:rPr>
          <w:rFonts w:ascii="Arial" w:hAnsi="Arial" w:cs="Arial"/>
        </w:rPr>
        <w:t xml:space="preserve">C till constant weight was attained. On the basis of dry matter (DM) content, the yield of dry fodder was calculated. Then these samples were ground and used for proximate, </w:t>
      </w:r>
      <w:r w:rsidR="006F3584" w:rsidRPr="00A5099D">
        <w:rPr>
          <w:rFonts w:ascii="Arial" w:hAnsi="Arial" w:cs="Arial"/>
        </w:rPr>
        <w:t>fiber</w:t>
      </w:r>
      <w:r w:rsidRPr="00A5099D">
        <w:rPr>
          <w:rFonts w:ascii="Arial" w:hAnsi="Arial" w:cs="Arial"/>
        </w:rPr>
        <w:t xml:space="preserve"> fraction and mineral analysis. Fodders were analyzed for proximate principles viz., dry matter, organic matter, crude protein, ether extract and total ash as per the procedure of AOAC (2005) and neutral detergent </w:t>
      </w:r>
      <w:r w:rsidR="006F3584" w:rsidRPr="00A5099D">
        <w:rPr>
          <w:rFonts w:ascii="Arial" w:hAnsi="Arial" w:cs="Arial"/>
        </w:rPr>
        <w:t>fiber</w:t>
      </w:r>
      <w:r w:rsidRPr="00A5099D">
        <w:rPr>
          <w:rFonts w:ascii="Arial" w:hAnsi="Arial" w:cs="Arial"/>
        </w:rPr>
        <w:t xml:space="preserve"> and acid detergent </w:t>
      </w:r>
      <w:r w:rsidR="006F3584" w:rsidRPr="00A5099D">
        <w:rPr>
          <w:rFonts w:ascii="Arial" w:hAnsi="Arial" w:cs="Arial"/>
        </w:rPr>
        <w:t>fiber</w:t>
      </w:r>
      <w:r w:rsidRPr="00A5099D">
        <w:rPr>
          <w:rFonts w:ascii="Arial" w:hAnsi="Arial" w:cs="Arial"/>
        </w:rPr>
        <w:t xml:space="preserve"> as per the procedure of Van Soest </w:t>
      </w:r>
      <w:r w:rsidRPr="00A5099D">
        <w:rPr>
          <w:rFonts w:ascii="Arial" w:hAnsi="Arial" w:cs="Arial"/>
          <w:i/>
          <w:iCs/>
        </w:rPr>
        <w:t>et al</w:t>
      </w:r>
      <w:r w:rsidRPr="00A5099D">
        <w:rPr>
          <w:rFonts w:ascii="Arial" w:hAnsi="Arial" w:cs="Arial"/>
        </w:rPr>
        <w:t xml:space="preserve">. (1991). The major and micro-minerals in fodder samples were assessed by using Agilent-ICP -OES (inductively coupled plasma-optical emission spectrometry). </w:t>
      </w:r>
    </w:p>
    <w:p w14:paraId="4A0D3697" w14:textId="644B2D43" w:rsidR="00A440FC" w:rsidRPr="00A5099D" w:rsidRDefault="00A440FC" w:rsidP="00A440FC">
      <w:pPr>
        <w:jc w:val="both"/>
        <w:rPr>
          <w:rFonts w:ascii="Arial" w:hAnsi="Arial" w:cs="Arial"/>
        </w:rPr>
      </w:pPr>
      <w:r w:rsidRPr="00A5099D">
        <w:rPr>
          <w:rFonts w:ascii="Arial" w:hAnsi="Arial" w:cs="Arial"/>
        </w:rPr>
        <w:t>Fifteen crossbred cows were randomly divided into three groups and kept on diets consisted of concentrate, wheat straw and green fodder according to ICAR (2013) feeding standard. The feed was offered to the animals twice a day. The basal diet without any trace mineral supplement was given to group-1 (T</w:t>
      </w:r>
      <w:r w:rsidRPr="00A5099D">
        <w:rPr>
          <w:rFonts w:ascii="Arial" w:hAnsi="Arial" w:cs="Arial"/>
          <w:b/>
          <w:vertAlign w:val="subscript"/>
        </w:rPr>
        <w:t>1</w:t>
      </w:r>
      <w:r w:rsidRPr="00A5099D">
        <w:rPr>
          <w:rFonts w:ascii="Arial" w:hAnsi="Arial" w:cs="Arial"/>
        </w:rPr>
        <w:t>) cows and cows of groups T</w:t>
      </w:r>
      <w:r w:rsidRPr="00A5099D">
        <w:rPr>
          <w:rFonts w:ascii="Arial" w:hAnsi="Arial" w:cs="Arial"/>
          <w:vertAlign w:val="subscript"/>
        </w:rPr>
        <w:t>2</w:t>
      </w:r>
      <w:r w:rsidRPr="00A5099D">
        <w:rPr>
          <w:rFonts w:ascii="Arial" w:hAnsi="Arial" w:cs="Arial"/>
        </w:rPr>
        <w:t xml:space="preserve"> was supplemented with Zinc @ 0.0075%, copper @0.0015% and selenium @ 0.00002% of concentrate in the form of ZnSO</w:t>
      </w:r>
      <w:r w:rsidRPr="00A5099D">
        <w:rPr>
          <w:rFonts w:ascii="Arial" w:hAnsi="Arial" w:cs="Arial"/>
          <w:vertAlign w:val="subscript"/>
        </w:rPr>
        <w:t>4</w:t>
      </w:r>
      <w:r w:rsidRPr="00A5099D">
        <w:rPr>
          <w:rFonts w:ascii="Arial" w:hAnsi="Arial" w:cs="Arial"/>
        </w:rPr>
        <w:t>.7H</w:t>
      </w:r>
      <w:r w:rsidRPr="00A5099D">
        <w:rPr>
          <w:rFonts w:ascii="Arial" w:hAnsi="Arial" w:cs="Arial"/>
          <w:vertAlign w:val="subscript"/>
        </w:rPr>
        <w:t>2</w:t>
      </w:r>
      <w:r w:rsidRPr="00A5099D">
        <w:rPr>
          <w:rFonts w:ascii="Arial" w:hAnsi="Arial" w:cs="Arial"/>
        </w:rPr>
        <w:t>O, CuSO</w:t>
      </w:r>
      <w:r w:rsidRPr="00A5099D">
        <w:rPr>
          <w:rFonts w:ascii="Arial" w:hAnsi="Arial" w:cs="Arial"/>
          <w:vertAlign w:val="subscript"/>
        </w:rPr>
        <w:t>4</w:t>
      </w:r>
      <w:r w:rsidRPr="00A5099D">
        <w:rPr>
          <w:rFonts w:ascii="Arial" w:hAnsi="Arial" w:cs="Arial"/>
        </w:rPr>
        <w:t>.7H</w:t>
      </w:r>
      <w:r w:rsidRPr="00A5099D">
        <w:rPr>
          <w:rFonts w:ascii="Arial" w:hAnsi="Arial" w:cs="Arial"/>
          <w:vertAlign w:val="subscript"/>
        </w:rPr>
        <w:t>2</w:t>
      </w:r>
      <w:r w:rsidRPr="00A5099D">
        <w:rPr>
          <w:rFonts w:ascii="Arial" w:hAnsi="Arial" w:cs="Arial"/>
        </w:rPr>
        <w:t>O and sodium selenate (Thomas Baker Pvt. Ltd.), respectively along with basal diet. T</w:t>
      </w:r>
      <w:r w:rsidRPr="00A5099D">
        <w:rPr>
          <w:rFonts w:ascii="Arial" w:hAnsi="Arial" w:cs="Arial"/>
          <w:vertAlign w:val="subscript"/>
        </w:rPr>
        <w:t>3</w:t>
      </w:r>
      <w:r w:rsidRPr="00A5099D">
        <w:rPr>
          <w:rFonts w:ascii="Arial" w:hAnsi="Arial" w:cs="Arial"/>
        </w:rPr>
        <w:t xml:space="preserve"> group cows were fed basal diet and biofortified fodder that produce with foliar application of zinc @ 0.5%, copper @0.2% and selenium 10 g per hectare. All the cows were kept on uniform management conditions. Cows were milked two times a day by hand milking. </w:t>
      </w:r>
      <w:r w:rsidRPr="00A5099D">
        <w:rPr>
          <w:rFonts w:ascii="Arial" w:hAnsi="Arial" w:cs="Arial"/>
          <w:bCs/>
        </w:rPr>
        <w:t xml:space="preserve">Udder health status was assessed through Modified California mastitis test and somatic cell count. </w:t>
      </w:r>
      <w:r w:rsidRPr="00A5099D">
        <w:rPr>
          <w:rFonts w:ascii="Arial" w:hAnsi="Arial" w:cs="Arial"/>
        </w:rPr>
        <w:t xml:space="preserve">The data were analyzed statistically by using </w:t>
      </w:r>
      <w:r w:rsidR="00915B96">
        <w:rPr>
          <w:rFonts w:ascii="Arial" w:hAnsi="Arial" w:cs="Arial"/>
        </w:rPr>
        <w:t xml:space="preserve">t-test and </w:t>
      </w:r>
      <w:r w:rsidRPr="00A5099D">
        <w:rPr>
          <w:rFonts w:ascii="Arial" w:hAnsi="Arial" w:cs="Arial"/>
        </w:rPr>
        <w:t xml:space="preserve">ANOVA through SPSS version 11.5. </w:t>
      </w:r>
    </w:p>
    <w:p w14:paraId="4C9A150A" w14:textId="77777777" w:rsidR="005C4C2E" w:rsidRPr="00F00B17" w:rsidRDefault="005C4C2E" w:rsidP="005C4C2E">
      <w:pPr>
        <w:jc w:val="both"/>
        <w:rPr>
          <w:rFonts w:ascii="Arial" w:hAnsi="Arial" w:cs="Arial"/>
        </w:rPr>
      </w:pPr>
    </w:p>
    <w:p w14:paraId="42579D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2ED8BA" w14:textId="77777777" w:rsidR="00790ADA" w:rsidRPr="00FB3A86" w:rsidRDefault="00790ADA" w:rsidP="00441B6F">
      <w:pPr>
        <w:pStyle w:val="Head1"/>
        <w:spacing w:after="0"/>
        <w:jc w:val="both"/>
        <w:rPr>
          <w:rFonts w:ascii="Arial" w:hAnsi="Arial" w:cs="Arial"/>
        </w:rPr>
      </w:pPr>
    </w:p>
    <w:p w14:paraId="2210406F" w14:textId="2A886355" w:rsidR="002C64F4" w:rsidRPr="00A5099D" w:rsidRDefault="002C64F4" w:rsidP="002C64F4">
      <w:pPr>
        <w:jc w:val="both"/>
        <w:rPr>
          <w:rFonts w:ascii="Arial" w:hAnsi="Arial" w:cs="Arial"/>
        </w:rPr>
      </w:pPr>
      <w:r w:rsidRPr="00A5099D">
        <w:rPr>
          <w:rFonts w:ascii="Arial" w:hAnsi="Arial" w:cs="Arial"/>
        </w:rPr>
        <w:t xml:space="preserve">The effect of foliar application of zinc, copper and selenium on fodder yield and its nutritive value data are presented in Table-1. Datal revealed that the green fodder yield was significantly (P&lt;0.01) higher in the biofortified group (29.34 t/ha) than in the control group (24.98 t/ha), indicating enhanced biomass production due to improved nutrient uptake and physiological efficiency. Similarly, dry matter (DM) yield was also significantly (P&lt;0.05) improved in the biofortified fodder (5.02 t/ha) compared to control (4.51 t/ha).  The DM percentage for biofortified fodder (17.12%) was significantly (P&lt;0.05) lower than control group </w:t>
      </w:r>
      <w:r w:rsidRPr="00A5099D">
        <w:rPr>
          <w:rFonts w:ascii="Arial" w:hAnsi="Arial" w:cs="Arial"/>
        </w:rPr>
        <w:lastRenderedPageBreak/>
        <w:t xml:space="preserve">(18.06%). The nutritional analysis revealed that crude protein (CP) content was markedly higher in the biofortified group (13.53%) compared to the control (9.1%), highlighting its superior nutritive value. Ether extract (EE) and ash content also showed significant (P&lt;0.05) increases in the biofortified fodder compared to control group fodder, indicating enhanced fat and mineral composition. Importantly, the </w:t>
      </w:r>
      <w:r w:rsidR="006F3584" w:rsidRPr="00A5099D">
        <w:rPr>
          <w:rFonts w:ascii="Arial" w:hAnsi="Arial" w:cs="Arial"/>
        </w:rPr>
        <w:t>fiber</w:t>
      </w:r>
      <w:r w:rsidRPr="00A5099D">
        <w:rPr>
          <w:rFonts w:ascii="Arial" w:hAnsi="Arial" w:cs="Arial"/>
        </w:rPr>
        <w:t xml:space="preserve"> fractions neutral detergent </w:t>
      </w:r>
      <w:r w:rsidR="006F3584" w:rsidRPr="00A5099D">
        <w:rPr>
          <w:rFonts w:ascii="Arial" w:hAnsi="Arial" w:cs="Arial"/>
        </w:rPr>
        <w:t>fiber</w:t>
      </w:r>
      <w:r w:rsidRPr="00A5099D">
        <w:rPr>
          <w:rFonts w:ascii="Arial" w:hAnsi="Arial" w:cs="Arial"/>
        </w:rPr>
        <w:t xml:space="preserve"> (NDF) and acid detergent </w:t>
      </w:r>
      <w:r w:rsidR="006F3584" w:rsidRPr="00A5099D">
        <w:rPr>
          <w:rFonts w:ascii="Arial" w:hAnsi="Arial" w:cs="Arial"/>
        </w:rPr>
        <w:t>fiber</w:t>
      </w:r>
      <w:r w:rsidRPr="00A5099D">
        <w:rPr>
          <w:rFonts w:ascii="Arial" w:hAnsi="Arial" w:cs="Arial"/>
        </w:rPr>
        <w:t xml:space="preserve"> (ADF) were significantly reduced in the biofortified group (49.94% and 33.76%, respectively) compared to the control (54.84% and 36.85%), suggesting better digestibility and palatability. </w:t>
      </w:r>
    </w:p>
    <w:p w14:paraId="6484B186" w14:textId="77777777" w:rsidR="002C64F4" w:rsidRPr="00A5099D" w:rsidRDefault="002C64F4" w:rsidP="002C64F4">
      <w:pPr>
        <w:jc w:val="both"/>
        <w:rPr>
          <w:rFonts w:ascii="Arial" w:hAnsi="Arial" w:cs="Arial"/>
        </w:rPr>
      </w:pPr>
      <w:r w:rsidRPr="00A5099D">
        <w:rPr>
          <w:rFonts w:ascii="Arial" w:hAnsi="Arial" w:cs="Arial"/>
        </w:rPr>
        <w:t xml:space="preserve">The present study demonstrates that foliar application of zinc (Zn), copper (Cu), and selenium (Se) significantly enhances both the yield and quality parameters of sorghum fodder. Foliar substrates penetrate the cuticle and cellulose wall via free diffusion and then these penetrated substances absorbed to plasma membrane surfaces and finally absorbed substances are taken into cytoplasm. Beside these foliar substrates also absorbed through stomata (Eichert and Burkhardt, 2001). The enhancement in biomass yield can be attributed to the positive roles of Zn and Cu in photosynthesis, enzyme activation, and structural development, while Se appears to boost plant vigor by enhancing antioxidant defence mechanisms. </w:t>
      </w:r>
    </w:p>
    <w:p w14:paraId="519B3B4B" w14:textId="475FB255" w:rsidR="002C64F4" w:rsidRPr="00A5099D" w:rsidRDefault="002C64F4" w:rsidP="002C64F4">
      <w:pPr>
        <w:jc w:val="both"/>
        <w:rPr>
          <w:rFonts w:ascii="Arial" w:hAnsi="Arial" w:cs="Arial"/>
        </w:rPr>
      </w:pPr>
      <w:r w:rsidRPr="00A5099D">
        <w:rPr>
          <w:rFonts w:ascii="Arial" w:hAnsi="Arial" w:cs="Arial"/>
        </w:rPr>
        <w:t xml:space="preserve">Zinc plays a key role in enzyme activation, auxin synthesis, and membrane integrity. Its foliar supplementation in the current trial improved leaf chlorophyll content, plant height, and ultimately the green biomass yield. These results support the earlier observations by Tiwari and Yadav (2010), who noted that Zn application increased dry matter production and crude protein content in fodder crops. Improved Zn status also enhances nitrate reductase activity and protein synthesis, leading to superior nutritional quality of the harvested forage. Copper application also had a significant effect, especially on structural traits like stem rigidity and leaf expansion. Cu is essential for lignin biosynthesis, which supports cell wall strength and reduces lodging, a common problem in Cu-deficient soils (Sarker and Karmoker, 2011). Furthermore, the treated plants showed improved </w:t>
      </w:r>
      <w:r w:rsidR="006F3584" w:rsidRPr="00A5099D">
        <w:rPr>
          <w:rFonts w:ascii="Arial" w:hAnsi="Arial" w:cs="Arial"/>
        </w:rPr>
        <w:t>fiber</w:t>
      </w:r>
      <w:r w:rsidRPr="00A5099D">
        <w:rPr>
          <w:rFonts w:ascii="Arial" w:hAnsi="Arial" w:cs="Arial"/>
        </w:rPr>
        <w:t xml:space="preserve"> content and digestibility, suggesting that Cu foliar feeding not only supports plant structure but also contributes to better rumen fermentation when fed to livestock. Selenium, although not essential for plants, influenced several growth and stress-resilience parameters. Its inclusion improved antioxidant activity and reduced signs of oxidative stress in the foliage, indicating enhanced plant vigor. </w:t>
      </w:r>
    </w:p>
    <w:p w14:paraId="4B3E8F60" w14:textId="77777777" w:rsidR="002C64F4" w:rsidRPr="00A5099D" w:rsidRDefault="002C64F4" w:rsidP="002C64F4">
      <w:pPr>
        <w:jc w:val="both"/>
        <w:rPr>
          <w:rFonts w:ascii="Arial" w:hAnsi="Arial" w:cs="Arial"/>
        </w:rPr>
      </w:pPr>
      <w:r w:rsidRPr="00A5099D">
        <w:rPr>
          <w:rFonts w:ascii="Arial" w:hAnsi="Arial" w:cs="Arial"/>
        </w:rPr>
        <w:t xml:space="preserve">Similar to the present findings, Adesh </w:t>
      </w:r>
      <w:r w:rsidRPr="00A5099D">
        <w:rPr>
          <w:rFonts w:ascii="Arial" w:hAnsi="Arial" w:cs="Arial"/>
          <w:i/>
          <w:iCs/>
        </w:rPr>
        <w:t>et al.</w:t>
      </w:r>
      <w:r w:rsidRPr="00A5099D">
        <w:rPr>
          <w:rFonts w:ascii="Arial" w:hAnsi="Arial" w:cs="Arial"/>
        </w:rPr>
        <w:t xml:space="preserve"> (2021) found that the combine spray of zinc sulphate and ferrous sulphate had higher yields of sorghum green fodder and dry fodder. Selenium foliar spray increased the stalk and grain yield of wheat due to the increased activity of antioxidant enzymes (Nawaz </w:t>
      </w:r>
      <w:r w:rsidRPr="00A5099D">
        <w:rPr>
          <w:rFonts w:ascii="Arial" w:hAnsi="Arial" w:cs="Arial"/>
          <w:i/>
          <w:iCs/>
        </w:rPr>
        <w:t>et al.</w:t>
      </w:r>
      <w:r w:rsidRPr="00A5099D">
        <w:rPr>
          <w:rFonts w:ascii="Arial" w:hAnsi="Arial" w:cs="Arial"/>
        </w:rPr>
        <w:t xml:space="preserve">, 2015). Similar results have been achieved in the experiment with maize (Nawaz </w:t>
      </w:r>
      <w:r w:rsidRPr="00A5099D">
        <w:rPr>
          <w:rFonts w:ascii="Arial" w:hAnsi="Arial" w:cs="Arial"/>
          <w:i/>
          <w:iCs/>
        </w:rPr>
        <w:t>et al</w:t>
      </w:r>
      <w:r w:rsidRPr="00A5099D">
        <w:rPr>
          <w:rFonts w:ascii="Arial" w:hAnsi="Arial" w:cs="Arial"/>
        </w:rPr>
        <w:t xml:space="preserve">., 2016) grown under water deficit conditions. The present results are also in agreement with those of Choudhary and Prabhu (2014) and Kumawat </w:t>
      </w:r>
      <w:r w:rsidRPr="00A5099D">
        <w:rPr>
          <w:rFonts w:ascii="Arial" w:hAnsi="Arial" w:cs="Arial"/>
          <w:i/>
          <w:iCs/>
        </w:rPr>
        <w:t>et al.</w:t>
      </w:r>
      <w:r w:rsidRPr="00A5099D">
        <w:rPr>
          <w:rFonts w:ascii="Arial" w:hAnsi="Arial" w:cs="Arial"/>
        </w:rPr>
        <w:t xml:space="preserve"> (2016) who reported that, the different foliar nutrient management treatment had significant influence on green forage yield. Our findings are in alignment with previous reports indicating that sorghum productivity in Indian </w:t>
      </w:r>
      <w:proofErr w:type="spellStart"/>
      <w:r w:rsidRPr="00A5099D">
        <w:rPr>
          <w:rFonts w:ascii="Arial" w:hAnsi="Arial" w:cs="Arial"/>
        </w:rPr>
        <w:t>agro</w:t>
      </w:r>
      <w:proofErr w:type="spellEnd"/>
      <w:r w:rsidRPr="00A5099D">
        <w:rPr>
          <w:rFonts w:ascii="Arial" w:hAnsi="Arial" w:cs="Arial"/>
        </w:rPr>
        <w:t xml:space="preserve">-ecological conditions is often limited by micronutrient deficiencies, particularly in Zn and Cu due to continuous cropping and imbalanced fertilization (Shukla </w:t>
      </w:r>
      <w:r w:rsidRPr="00A5099D">
        <w:rPr>
          <w:rFonts w:ascii="Arial" w:hAnsi="Arial" w:cs="Arial"/>
          <w:i/>
          <w:iCs/>
        </w:rPr>
        <w:t>et al.</w:t>
      </w:r>
      <w:r w:rsidRPr="00A5099D">
        <w:rPr>
          <w:rFonts w:ascii="Arial" w:hAnsi="Arial" w:cs="Arial"/>
        </w:rPr>
        <w:t>, 2014; Ghosh and Wanjari, 2012).</w:t>
      </w:r>
    </w:p>
    <w:p w14:paraId="3A0F3BA1" w14:textId="77777777" w:rsidR="002C64F4" w:rsidRPr="00A5099D" w:rsidRDefault="002C64F4" w:rsidP="002C64F4">
      <w:pPr>
        <w:jc w:val="both"/>
        <w:rPr>
          <w:rFonts w:ascii="Arial" w:hAnsi="Arial" w:cs="Arial"/>
        </w:rPr>
      </w:pPr>
      <w:r w:rsidRPr="00A5099D">
        <w:rPr>
          <w:rFonts w:ascii="Arial" w:hAnsi="Arial" w:cs="Arial"/>
        </w:rPr>
        <w:t xml:space="preserve">The foliar application of zinc (Zn), copper (Cu), and selenium (Se) significantly influenced the mineral composition of sorghum fodder. As shown in Table-2, the concentrations of macro-minerals such as calcium (Ca), phosphorus (P) and magnesium (Mg) were significantly (P&lt;0.01) higher in the biofortified as compared to the control group fodder. Specifically, Ca content increased from 0.76% in the control group to 0.89% in the biofortified group, while P and Mg levels increased from 0.69% to 0.79% and from 0.25% to 0.30%, respectively. In addition to the macronutrients, the application of Zn, Cu, and Se resulted in a significant (P&lt;0.01) increase in their respective concentrations in the fodder. Zinc content increased from 23.22 ppm to 28.43 ppm, Cu increased from 3.96 ppm to 4.71 ppm, and Se content improved from 0.06 ppm to 0.07 ppm from control group to biofortified group fodder. However, no statistically significant differences were observed in the concentrations of iron (Fe) and manganese (Mn) between the control and biofortified group fodders. </w:t>
      </w:r>
    </w:p>
    <w:p w14:paraId="756F5C96" w14:textId="77777777" w:rsidR="002C64F4" w:rsidRPr="00A5099D" w:rsidRDefault="002C64F4" w:rsidP="002C64F4">
      <w:pPr>
        <w:jc w:val="both"/>
        <w:rPr>
          <w:rFonts w:ascii="Arial" w:hAnsi="Arial" w:cs="Arial"/>
        </w:rPr>
      </w:pPr>
      <w:r w:rsidRPr="00A5099D">
        <w:rPr>
          <w:rFonts w:ascii="Arial" w:hAnsi="Arial" w:cs="Arial"/>
        </w:rPr>
        <w:lastRenderedPageBreak/>
        <w:t xml:space="preserve">The results of the present study indicate a significant enhancement in the concentrations of essential minerals calcium (Ca), phosphorus (P), magnesium (Mg) zinc (Zn), copper (Cu), and selenium (Se) in sorghum fodder following foliar application of Zn, Cu, and Se. The increase in fodder Ca, P, and Mg levels suggests that foliar-applied trace elements may also enhance macro-mineral uptake either by stimulating root growth or by improving the physiological efficiency of nutrient translocation. The results align with earlier findings by Kumar </w:t>
      </w:r>
      <w:r w:rsidRPr="00A5099D">
        <w:rPr>
          <w:rFonts w:ascii="Arial" w:hAnsi="Arial" w:cs="Arial"/>
          <w:i/>
          <w:iCs/>
        </w:rPr>
        <w:t>et al.</w:t>
      </w:r>
      <w:r w:rsidRPr="00A5099D">
        <w:rPr>
          <w:rFonts w:ascii="Arial" w:hAnsi="Arial" w:cs="Arial"/>
        </w:rPr>
        <w:t xml:space="preserve"> (2009), who reported enhanced mineral content in forage crops and subsequent improvement in animal mineral status when biofortified fodders were used in livestock diets.</w:t>
      </w:r>
    </w:p>
    <w:p w14:paraId="4C3FE32C" w14:textId="77777777" w:rsidR="002C64F4" w:rsidRPr="00A5099D" w:rsidRDefault="002C64F4" w:rsidP="002C64F4">
      <w:pPr>
        <w:jc w:val="both"/>
        <w:rPr>
          <w:rFonts w:ascii="Arial" w:hAnsi="Arial" w:cs="Arial"/>
        </w:rPr>
      </w:pPr>
      <w:r w:rsidRPr="00A5099D">
        <w:rPr>
          <w:rFonts w:ascii="Arial" w:hAnsi="Arial" w:cs="Arial"/>
        </w:rPr>
        <w:t>Zinc application, in particular, is known to improve root vigor and membrane integrity, which in turn enhances the uptake and translocation of other nutrients like phosphorus and magnesium (Alloway, 2008). The synergistic effect observed between Zn and P may be attributed to Zn’s role in enhancing phosphorus mobilization and utilization within plant tissues (</w:t>
      </w:r>
      <w:proofErr w:type="spellStart"/>
      <w:r w:rsidRPr="00A5099D">
        <w:rPr>
          <w:rFonts w:ascii="Arial" w:hAnsi="Arial" w:cs="Arial"/>
        </w:rPr>
        <w:t>Fageria</w:t>
      </w:r>
      <w:proofErr w:type="spellEnd"/>
      <w:r w:rsidRPr="00A5099D">
        <w:rPr>
          <w:rFonts w:ascii="Arial" w:hAnsi="Arial" w:cs="Arial"/>
        </w:rPr>
        <w:t xml:space="preserve"> </w:t>
      </w:r>
      <w:r w:rsidRPr="00A5099D">
        <w:rPr>
          <w:rFonts w:ascii="Arial" w:hAnsi="Arial" w:cs="Arial"/>
          <w:i/>
          <w:iCs/>
        </w:rPr>
        <w:t>et al.</w:t>
      </w:r>
      <w:r w:rsidRPr="00A5099D">
        <w:rPr>
          <w:rFonts w:ascii="Arial" w:hAnsi="Arial" w:cs="Arial"/>
        </w:rPr>
        <w:t xml:space="preserve">, 2011). The increased Ca and Mg content could also be linked to better root development and nutrient absorption under improved metabolic conditions induced by Zn and Cu supplementation. Copper plays a key role in lignin biosynthesis and cell wall formation, which likely contributed to the improved structural capacity of plants to accumulate and retain essential minerals. Additionally, Cu enhances enzymatic activities that support mineral uptake and assimilation (Sarker and Karmoker, 2011). The elevation of Cu content in the fodder is a direct result of foliar application, while its positive effect on other elements suggests an indirect influence through enhanced plant metabolism. Selenium presence in plant tissues primarily depends on the form and availability of selenium in the environment and its uptake through foliar routes. The use of sodium selenate or selenite in foliar spray is highly effective in directly increasing plant Se content (Surai, 2006). </w:t>
      </w:r>
    </w:p>
    <w:p w14:paraId="49FAF26A" w14:textId="77777777" w:rsidR="002C64F4" w:rsidRPr="00A5099D" w:rsidRDefault="002C64F4" w:rsidP="002C64F4">
      <w:pPr>
        <w:jc w:val="both"/>
        <w:rPr>
          <w:rFonts w:ascii="Arial" w:hAnsi="Arial" w:cs="Arial"/>
        </w:rPr>
      </w:pPr>
      <w:r w:rsidRPr="00A5099D">
        <w:rPr>
          <w:rFonts w:ascii="Arial" w:hAnsi="Arial" w:cs="Arial"/>
        </w:rPr>
        <w:t xml:space="preserve">Table 3 illustrates the effect of zinc, copper and selenium biofortified fodder on somatic cell count (SCC) in the milk of crossbred cows. On day 0, the SCC values were significantly (P&lt;0.01) higher in the control group (T1: 3.25×10⁵/ml) compared to the treatment groups (T2: 3.02×10⁵/ml, T3: 2.99×10⁵/ml). By the 15th day, SCC significantly (P&lt;0.01) decreased in the treatment groups (T2: 1.64×10⁵/ml, T3: 1.63×10⁵/ml) compared to the control (T1: 2.56×10⁵/ml). A similar trend was observed on day 30, where T2 and T3 maintained significantly (P&lt;0.01) lower SCC levels than T1. </w:t>
      </w:r>
    </w:p>
    <w:p w14:paraId="3B32A7C5" w14:textId="77777777" w:rsidR="002C64F4" w:rsidRPr="00A5099D" w:rsidRDefault="002C64F4" w:rsidP="002C64F4">
      <w:pPr>
        <w:jc w:val="both"/>
        <w:rPr>
          <w:rFonts w:ascii="Arial" w:hAnsi="Arial" w:cs="Arial"/>
        </w:rPr>
      </w:pPr>
      <w:r w:rsidRPr="00A5099D">
        <w:rPr>
          <w:rFonts w:ascii="Arial" w:hAnsi="Arial" w:cs="Arial"/>
        </w:rPr>
        <w:t xml:space="preserve">Somatic cell count (SCC) is a critical indicator of mammary gland health and subclinical mastitis in dairy animals. Elevated SCCs reflect an immune response to intramammary infection, often resulting in decreased milk yield and quality (Sharma </w:t>
      </w:r>
      <w:r w:rsidRPr="00A5099D">
        <w:rPr>
          <w:rFonts w:ascii="Arial" w:hAnsi="Arial" w:cs="Arial"/>
          <w:i/>
        </w:rPr>
        <w:t>et al</w:t>
      </w:r>
      <w:r w:rsidRPr="00A5099D">
        <w:rPr>
          <w:rFonts w:ascii="Arial" w:hAnsi="Arial" w:cs="Arial"/>
        </w:rPr>
        <w:t>., 2011). In this study, supplementation with zinc, copper, and selenium led to a significant and consistent reduction in SCC compared to the control group. These findings are consistent with the known biological roles of zinc, copper and selenium in enhancing immune function, antioxidant defence, and epithelial integrity. Zinc is critical for neutrophil function and maintaining tight junctions in mammary tissues (Spears, 2000), while selenium, through the glutathione peroxidase system, helps to neutralize free radicals, reducing oxidative stress and inflammatory damage (Weiss and Hogan, 2005). Copper supports the activity of superoxide dismutase and phagocytic cells, crucial for bacterial clearance (McDowell, 1992).</w:t>
      </w:r>
    </w:p>
    <w:p w14:paraId="215B138D" w14:textId="77777777" w:rsidR="002C64F4" w:rsidRPr="00A5099D" w:rsidRDefault="002C64F4" w:rsidP="002C64F4">
      <w:pPr>
        <w:jc w:val="both"/>
        <w:rPr>
          <w:rFonts w:ascii="Arial" w:hAnsi="Arial" w:cs="Arial"/>
        </w:rPr>
      </w:pPr>
      <w:r w:rsidRPr="00A5099D">
        <w:rPr>
          <w:rFonts w:ascii="Arial" w:hAnsi="Arial" w:cs="Arial"/>
        </w:rPr>
        <w:t xml:space="preserve">The significant reduction in SCC in T2 and T3 groups suggests that mineral biofortification of fodder can be an effective nutritional strategy for preventing subclinical mastitis. These results are corroborated by studies such as those by Kumar </w:t>
      </w:r>
      <w:r w:rsidRPr="00A5099D">
        <w:rPr>
          <w:rFonts w:ascii="Arial" w:hAnsi="Arial" w:cs="Arial"/>
          <w:i/>
        </w:rPr>
        <w:t>et al</w:t>
      </w:r>
      <w:r w:rsidRPr="00A5099D">
        <w:rPr>
          <w:rFonts w:ascii="Arial" w:hAnsi="Arial" w:cs="Arial"/>
        </w:rPr>
        <w:t xml:space="preserve">. (2021) and Singh </w:t>
      </w:r>
      <w:r w:rsidRPr="00A5099D">
        <w:rPr>
          <w:rFonts w:ascii="Arial" w:hAnsi="Arial" w:cs="Arial"/>
          <w:i/>
        </w:rPr>
        <w:t>et al</w:t>
      </w:r>
      <w:r w:rsidRPr="00A5099D">
        <w:rPr>
          <w:rFonts w:ascii="Arial" w:hAnsi="Arial" w:cs="Arial"/>
        </w:rPr>
        <w:t>. (2018), they also reported reductions in SCC following trace mineral supplementation. The improvement in SCC indicates the sustained impact of micronutrient support. Between T2 and T3, no significant difference was detected, indicating that both fortified and biofortified strategies were effective. Thus, biofortification of fodder with essential trace minerals not only improves the mineral profile of feed but also significantly contributes to mammary health, udder immunity and milk hygiene, which are central to both animal welfare and dairy profitability.</w:t>
      </w:r>
    </w:p>
    <w:p w14:paraId="3E09B9AD" w14:textId="77777777" w:rsidR="002C64F4" w:rsidRPr="00A5099D" w:rsidRDefault="002C64F4" w:rsidP="002C64F4">
      <w:pPr>
        <w:jc w:val="both"/>
        <w:rPr>
          <w:rFonts w:ascii="Arial" w:hAnsi="Arial" w:cs="Arial"/>
        </w:rPr>
      </w:pPr>
      <w:r w:rsidRPr="00A5099D">
        <w:rPr>
          <w:rFonts w:ascii="Arial" w:hAnsi="Arial" w:cs="Arial"/>
        </w:rPr>
        <w:t xml:space="preserve">The impact of feeding zinc, copper and selenium biofortified fodder on the incidence of subclinical mastitis and post-parturient disorders in experimental crossbred cows was assessed and is presented in Table 4. The results revealed that cows in the T1 group (control) </w:t>
      </w:r>
      <w:r w:rsidRPr="00A5099D">
        <w:rPr>
          <w:rFonts w:ascii="Arial" w:hAnsi="Arial" w:cs="Arial"/>
        </w:rPr>
        <w:lastRenderedPageBreak/>
        <w:t xml:space="preserve">had the highest incidence of subclinical mastitis, with 30% of teats and 60% of animals infected. The average MCMT score per teat was 0.40, indicating a higher level of subclinical inflammation in the mammary gland. In comparison, cows in the T2 and T3 groups, which received zinc, copper and selenium biofortified fodder, showed a substantial reduction in mastitis incidence, with only 10% teat infection and 40% cattle infection. The average MCMT scores were significantly lower at 0.15 in T2 and 0.10 in T3 indicating that trace mineral supplementation contributed to better udder health outcomes. However, no post-parturient disorders were observed in any of the groups, including the control. </w:t>
      </w:r>
    </w:p>
    <w:p w14:paraId="1624F732" w14:textId="77777777" w:rsidR="002C64F4" w:rsidRPr="00A5099D" w:rsidRDefault="002C64F4" w:rsidP="002C64F4">
      <w:pPr>
        <w:jc w:val="both"/>
        <w:rPr>
          <w:rFonts w:ascii="Arial" w:hAnsi="Arial" w:cs="Arial"/>
        </w:rPr>
      </w:pPr>
      <w:r w:rsidRPr="00A5099D">
        <w:rPr>
          <w:rFonts w:ascii="Arial" w:hAnsi="Arial" w:cs="Arial"/>
        </w:rPr>
        <w:t xml:space="preserve">These findings align with previous studies that have demonstrated the beneficial effects of trace minerals on udder health and immunity. Selenium, a vital component of the antioxidant enzyme glutathione peroxidase, reduces oxidative stress and supports immune cell function (Weiss and Hogan, 2005). Zinc plays a key role in maintaining epithelial barrier integrity and modulating immune responses (Kumar </w:t>
      </w:r>
      <w:r w:rsidRPr="00A5099D">
        <w:rPr>
          <w:rFonts w:ascii="Arial" w:hAnsi="Arial" w:cs="Arial"/>
          <w:i/>
        </w:rPr>
        <w:t>et al</w:t>
      </w:r>
      <w:r w:rsidRPr="00A5099D">
        <w:rPr>
          <w:rFonts w:ascii="Arial" w:hAnsi="Arial" w:cs="Arial"/>
        </w:rPr>
        <w:t>., 2011), while copper is essential for enzyme systems involved in tissue repair and immune defence (Spears, 2003). The observed decrease in mastitis incidence in the biofortified groups confirms the synergistic role of these trace minerals in mastitis control.</w:t>
      </w:r>
    </w:p>
    <w:p w14:paraId="03FDA68C" w14:textId="190146DB" w:rsidR="00231920" w:rsidRDefault="00231920" w:rsidP="00AA5B3B">
      <w:pPr>
        <w:pStyle w:val="Body"/>
        <w:spacing w:after="0"/>
        <w:rPr>
          <w:rFonts w:ascii="Arial" w:hAnsi="Arial" w:cs="Arial"/>
        </w:rPr>
      </w:pPr>
    </w:p>
    <w:p w14:paraId="25892B90" w14:textId="77777777" w:rsidR="00602234" w:rsidRDefault="00602234" w:rsidP="00602234">
      <w:pPr>
        <w:jc w:val="both"/>
        <w:rPr>
          <w:rFonts w:ascii="Arial" w:hAnsi="Arial" w:cs="Arial"/>
          <w:b/>
          <w:bCs/>
          <w:color w:val="000000" w:themeColor="text1"/>
        </w:rPr>
      </w:pPr>
      <w:r w:rsidRPr="00A5099D">
        <w:rPr>
          <w:rFonts w:ascii="Arial" w:hAnsi="Arial" w:cs="Arial"/>
          <w:b/>
          <w:bCs/>
        </w:rPr>
        <w:t xml:space="preserve">Table 1. Effect of zinc, copper and selenium foliar application on </w:t>
      </w:r>
      <w:r w:rsidRPr="00A5099D">
        <w:rPr>
          <w:rFonts w:ascii="Arial" w:hAnsi="Arial" w:cs="Arial"/>
          <w:b/>
          <w:bCs/>
          <w:color w:val="000000" w:themeColor="text1"/>
        </w:rPr>
        <w:t>yield and proximate composition of sorghum fodder</w:t>
      </w:r>
    </w:p>
    <w:p w14:paraId="78BE2BCD" w14:textId="77777777" w:rsidR="001949E5" w:rsidRPr="00A5099D" w:rsidRDefault="001949E5" w:rsidP="00602234">
      <w:pPr>
        <w:jc w:val="both"/>
        <w:rPr>
          <w:rFonts w:ascii="Arial" w:hAnsi="Arial" w:cs="Arial"/>
          <w:b/>
          <w:bCs/>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9"/>
        <w:gridCol w:w="1430"/>
        <w:gridCol w:w="2145"/>
        <w:gridCol w:w="1456"/>
        <w:gridCol w:w="1318"/>
      </w:tblGrid>
      <w:tr w:rsidR="00602234" w:rsidRPr="00A5099D" w14:paraId="03E4A731" w14:textId="77777777" w:rsidTr="00D30CC4">
        <w:trPr>
          <w:trHeight w:val="283"/>
        </w:trPr>
        <w:tc>
          <w:tcPr>
            <w:tcW w:w="1128" w:type="pct"/>
            <w:vMerge w:val="restart"/>
            <w:vAlign w:val="center"/>
          </w:tcPr>
          <w:p w14:paraId="1A58F7F3" w14:textId="77777777" w:rsidR="00602234" w:rsidRPr="00A5099D" w:rsidRDefault="00602234" w:rsidP="00D30CC4">
            <w:pPr>
              <w:rPr>
                <w:rFonts w:ascii="Arial" w:hAnsi="Arial" w:cs="Arial"/>
                <w:b/>
              </w:rPr>
            </w:pPr>
            <w:r w:rsidRPr="00A5099D">
              <w:rPr>
                <w:rFonts w:ascii="Arial" w:hAnsi="Arial" w:cs="Arial"/>
                <w:b/>
              </w:rPr>
              <w:t>Attributes</w:t>
            </w:r>
          </w:p>
        </w:tc>
        <w:tc>
          <w:tcPr>
            <w:tcW w:w="2180" w:type="pct"/>
            <w:gridSpan w:val="2"/>
          </w:tcPr>
          <w:p w14:paraId="622CE770"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Mean</w:t>
            </w:r>
          </w:p>
        </w:tc>
        <w:tc>
          <w:tcPr>
            <w:tcW w:w="888" w:type="pct"/>
            <w:vMerge w:val="restart"/>
            <w:vAlign w:val="center"/>
          </w:tcPr>
          <w:p w14:paraId="6FB79C6F"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rPr>
              <w:t>SEM</w:t>
            </w:r>
          </w:p>
        </w:tc>
        <w:tc>
          <w:tcPr>
            <w:tcW w:w="804" w:type="pct"/>
            <w:vMerge w:val="restart"/>
            <w:vAlign w:val="center"/>
          </w:tcPr>
          <w:p w14:paraId="71F94BFA"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rPr>
              <w:t>P-value</w:t>
            </w:r>
          </w:p>
        </w:tc>
      </w:tr>
      <w:tr w:rsidR="00602234" w:rsidRPr="00A5099D" w14:paraId="25D3F748" w14:textId="77777777" w:rsidTr="00D30CC4">
        <w:trPr>
          <w:trHeight w:val="283"/>
        </w:trPr>
        <w:tc>
          <w:tcPr>
            <w:tcW w:w="1128" w:type="pct"/>
            <w:vMerge/>
            <w:vAlign w:val="center"/>
          </w:tcPr>
          <w:p w14:paraId="75EEAF88" w14:textId="77777777" w:rsidR="00602234" w:rsidRPr="00A5099D" w:rsidRDefault="00602234" w:rsidP="00D30CC4">
            <w:pPr>
              <w:rPr>
                <w:rFonts w:ascii="Arial" w:hAnsi="Arial" w:cs="Arial"/>
                <w:b/>
              </w:rPr>
            </w:pPr>
          </w:p>
        </w:tc>
        <w:tc>
          <w:tcPr>
            <w:tcW w:w="872" w:type="pct"/>
          </w:tcPr>
          <w:p w14:paraId="60D0DF1A" w14:textId="77777777" w:rsidR="00602234" w:rsidRPr="00A5099D" w:rsidRDefault="00602234" w:rsidP="00D30CC4">
            <w:pPr>
              <w:autoSpaceDE w:val="0"/>
              <w:autoSpaceDN w:val="0"/>
              <w:adjustRightInd w:val="0"/>
              <w:ind w:left="60" w:right="60"/>
              <w:jc w:val="center"/>
              <w:rPr>
                <w:rFonts w:ascii="Arial" w:hAnsi="Arial" w:cs="Arial"/>
                <w:b/>
                <w:bCs/>
              </w:rPr>
            </w:pPr>
            <w:r w:rsidRPr="00A5099D">
              <w:rPr>
                <w:rFonts w:ascii="Arial" w:hAnsi="Arial" w:cs="Arial"/>
                <w:b/>
                <w:bCs/>
              </w:rPr>
              <w:t>Control</w:t>
            </w:r>
          </w:p>
        </w:tc>
        <w:tc>
          <w:tcPr>
            <w:tcW w:w="1308" w:type="pct"/>
          </w:tcPr>
          <w:p w14:paraId="480BDB76"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Biofortified</w:t>
            </w:r>
          </w:p>
          <w:p w14:paraId="09EF10BE" w14:textId="77777777" w:rsidR="00602234" w:rsidRPr="00A5099D" w:rsidRDefault="00602234" w:rsidP="00D30CC4">
            <w:pPr>
              <w:autoSpaceDE w:val="0"/>
              <w:autoSpaceDN w:val="0"/>
              <w:adjustRightInd w:val="0"/>
              <w:jc w:val="center"/>
              <w:rPr>
                <w:rFonts w:ascii="Arial" w:hAnsi="Arial" w:cs="Arial"/>
                <w:b/>
                <w:bCs/>
              </w:rPr>
            </w:pPr>
            <w:r w:rsidRPr="00A5099D">
              <w:rPr>
                <w:rFonts w:ascii="Arial" w:hAnsi="Arial" w:cs="Arial"/>
                <w:b/>
                <w:bCs/>
              </w:rPr>
              <w:t>fodder</w:t>
            </w:r>
          </w:p>
        </w:tc>
        <w:tc>
          <w:tcPr>
            <w:tcW w:w="888" w:type="pct"/>
            <w:vMerge/>
            <w:vAlign w:val="center"/>
          </w:tcPr>
          <w:p w14:paraId="3361F874" w14:textId="77777777" w:rsidR="00602234" w:rsidRPr="00A5099D" w:rsidRDefault="00602234" w:rsidP="00D30CC4">
            <w:pPr>
              <w:autoSpaceDE w:val="0"/>
              <w:autoSpaceDN w:val="0"/>
              <w:adjustRightInd w:val="0"/>
              <w:jc w:val="center"/>
              <w:rPr>
                <w:rFonts w:ascii="Arial" w:hAnsi="Arial" w:cs="Arial"/>
                <w:b/>
              </w:rPr>
            </w:pPr>
          </w:p>
        </w:tc>
        <w:tc>
          <w:tcPr>
            <w:tcW w:w="804" w:type="pct"/>
            <w:vMerge/>
            <w:vAlign w:val="center"/>
          </w:tcPr>
          <w:p w14:paraId="50855328" w14:textId="77777777" w:rsidR="00602234" w:rsidRPr="00A5099D" w:rsidRDefault="00602234" w:rsidP="00D30CC4">
            <w:pPr>
              <w:autoSpaceDE w:val="0"/>
              <w:autoSpaceDN w:val="0"/>
              <w:adjustRightInd w:val="0"/>
              <w:jc w:val="center"/>
              <w:rPr>
                <w:rFonts w:ascii="Arial" w:hAnsi="Arial" w:cs="Arial"/>
                <w:b/>
              </w:rPr>
            </w:pPr>
          </w:p>
        </w:tc>
      </w:tr>
      <w:tr w:rsidR="00602234" w:rsidRPr="00A5099D" w14:paraId="109E17D8" w14:textId="77777777" w:rsidTr="00D30CC4">
        <w:trPr>
          <w:trHeight w:val="283"/>
        </w:trPr>
        <w:tc>
          <w:tcPr>
            <w:tcW w:w="1128" w:type="pct"/>
            <w:vAlign w:val="center"/>
          </w:tcPr>
          <w:p w14:paraId="4FC23F26" w14:textId="77777777" w:rsidR="00602234" w:rsidRPr="00A5099D" w:rsidRDefault="00602234" w:rsidP="00D30CC4">
            <w:pPr>
              <w:rPr>
                <w:rFonts w:ascii="Arial" w:hAnsi="Arial" w:cs="Arial"/>
                <w:b/>
              </w:rPr>
            </w:pPr>
            <w:r w:rsidRPr="00A5099D">
              <w:rPr>
                <w:rFonts w:ascii="Arial" w:hAnsi="Arial" w:cs="Arial"/>
                <w:b/>
              </w:rPr>
              <w:t>Yield (t/ha)</w:t>
            </w:r>
          </w:p>
        </w:tc>
        <w:tc>
          <w:tcPr>
            <w:tcW w:w="872" w:type="pct"/>
          </w:tcPr>
          <w:p w14:paraId="69FD8545" w14:textId="77777777" w:rsidR="00602234" w:rsidRPr="00A5099D" w:rsidRDefault="00602234" w:rsidP="00D30CC4">
            <w:pPr>
              <w:jc w:val="center"/>
              <w:rPr>
                <w:rFonts w:ascii="Arial" w:hAnsi="Arial" w:cs="Arial"/>
                <w:vertAlign w:val="superscript"/>
              </w:rPr>
            </w:pPr>
            <w:r w:rsidRPr="00A5099D">
              <w:rPr>
                <w:rFonts w:ascii="Arial" w:hAnsi="Arial" w:cs="Arial"/>
              </w:rPr>
              <w:t>24.98</w:t>
            </w:r>
            <w:r w:rsidRPr="00A5099D">
              <w:rPr>
                <w:rFonts w:ascii="Arial" w:hAnsi="Arial" w:cs="Arial"/>
                <w:vertAlign w:val="superscript"/>
              </w:rPr>
              <w:t>b</w:t>
            </w:r>
          </w:p>
        </w:tc>
        <w:tc>
          <w:tcPr>
            <w:tcW w:w="1308" w:type="pct"/>
          </w:tcPr>
          <w:p w14:paraId="3DEE9A8F" w14:textId="77777777" w:rsidR="00602234" w:rsidRPr="00A5099D" w:rsidRDefault="00602234" w:rsidP="00D30CC4">
            <w:pPr>
              <w:autoSpaceDE w:val="0"/>
              <w:autoSpaceDN w:val="0"/>
              <w:adjustRightInd w:val="0"/>
              <w:jc w:val="center"/>
              <w:rPr>
                <w:rFonts w:ascii="Arial" w:hAnsi="Arial" w:cs="Arial"/>
                <w:vertAlign w:val="superscript"/>
              </w:rPr>
            </w:pPr>
            <w:r w:rsidRPr="00A5099D">
              <w:rPr>
                <w:rFonts w:ascii="Arial" w:hAnsi="Arial" w:cs="Arial"/>
              </w:rPr>
              <w:t>29.34</w:t>
            </w:r>
            <w:r w:rsidRPr="00A5099D">
              <w:rPr>
                <w:rFonts w:ascii="Arial" w:hAnsi="Arial" w:cs="Arial"/>
                <w:vertAlign w:val="superscript"/>
              </w:rPr>
              <w:t>a</w:t>
            </w:r>
          </w:p>
        </w:tc>
        <w:tc>
          <w:tcPr>
            <w:tcW w:w="888" w:type="pct"/>
          </w:tcPr>
          <w:p w14:paraId="05AC286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0.88</w:t>
            </w:r>
          </w:p>
        </w:tc>
        <w:tc>
          <w:tcPr>
            <w:tcW w:w="804" w:type="pct"/>
          </w:tcPr>
          <w:p w14:paraId="3896EA0F"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49274B5E" w14:textId="77777777" w:rsidTr="00D30CC4">
        <w:trPr>
          <w:trHeight w:val="374"/>
        </w:trPr>
        <w:tc>
          <w:tcPr>
            <w:tcW w:w="1128" w:type="pct"/>
            <w:vAlign w:val="center"/>
          </w:tcPr>
          <w:p w14:paraId="1C057D82" w14:textId="77777777" w:rsidR="00602234" w:rsidRPr="00A5099D" w:rsidRDefault="00602234" w:rsidP="00D30CC4">
            <w:pPr>
              <w:rPr>
                <w:rFonts w:ascii="Arial" w:hAnsi="Arial" w:cs="Arial"/>
                <w:b/>
              </w:rPr>
            </w:pPr>
            <w:r w:rsidRPr="00A5099D">
              <w:rPr>
                <w:rFonts w:ascii="Arial" w:hAnsi="Arial" w:cs="Arial"/>
                <w:b/>
              </w:rPr>
              <w:t>DM yield (t/ha)</w:t>
            </w:r>
          </w:p>
        </w:tc>
        <w:tc>
          <w:tcPr>
            <w:tcW w:w="872" w:type="pct"/>
          </w:tcPr>
          <w:p w14:paraId="19AC9502" w14:textId="77777777" w:rsidR="00602234" w:rsidRPr="00A5099D" w:rsidRDefault="00602234" w:rsidP="00D30CC4">
            <w:pPr>
              <w:autoSpaceDE w:val="0"/>
              <w:autoSpaceDN w:val="0"/>
              <w:adjustRightInd w:val="0"/>
              <w:ind w:right="60"/>
              <w:jc w:val="center"/>
              <w:rPr>
                <w:rFonts w:ascii="Arial" w:hAnsi="Arial" w:cs="Arial"/>
                <w:b/>
                <w:bCs/>
              </w:rPr>
            </w:pPr>
            <w:r w:rsidRPr="00A5099D">
              <w:rPr>
                <w:rFonts w:ascii="Arial" w:hAnsi="Arial" w:cs="Arial"/>
              </w:rPr>
              <w:t>4.51</w:t>
            </w:r>
            <w:r w:rsidRPr="00A5099D">
              <w:rPr>
                <w:rFonts w:ascii="Arial" w:hAnsi="Arial" w:cs="Arial"/>
                <w:vertAlign w:val="superscript"/>
              </w:rPr>
              <w:t>b</w:t>
            </w:r>
          </w:p>
        </w:tc>
        <w:tc>
          <w:tcPr>
            <w:tcW w:w="1308" w:type="pct"/>
          </w:tcPr>
          <w:p w14:paraId="0CDD2AB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5.02</w:t>
            </w:r>
            <w:r w:rsidRPr="00A5099D">
              <w:rPr>
                <w:rFonts w:ascii="Arial" w:hAnsi="Arial" w:cs="Arial"/>
                <w:vertAlign w:val="superscript"/>
              </w:rPr>
              <w:t xml:space="preserve"> a</w:t>
            </w:r>
          </w:p>
        </w:tc>
        <w:tc>
          <w:tcPr>
            <w:tcW w:w="888" w:type="pct"/>
          </w:tcPr>
          <w:p w14:paraId="1BBCA92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0.11</w:t>
            </w:r>
          </w:p>
        </w:tc>
        <w:tc>
          <w:tcPr>
            <w:tcW w:w="804" w:type="pct"/>
          </w:tcPr>
          <w:p w14:paraId="2FB18AD1"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0.01</w:t>
            </w:r>
          </w:p>
        </w:tc>
      </w:tr>
      <w:tr w:rsidR="00602234" w:rsidRPr="00A5099D" w14:paraId="7414DB71" w14:textId="77777777" w:rsidTr="00D30CC4">
        <w:trPr>
          <w:trHeight w:val="283"/>
        </w:trPr>
        <w:tc>
          <w:tcPr>
            <w:tcW w:w="1128" w:type="pct"/>
            <w:vAlign w:val="center"/>
          </w:tcPr>
          <w:p w14:paraId="03832E04" w14:textId="77777777" w:rsidR="00602234" w:rsidRPr="00A5099D" w:rsidRDefault="00602234" w:rsidP="00D30CC4">
            <w:pPr>
              <w:rPr>
                <w:rFonts w:ascii="Arial" w:hAnsi="Arial" w:cs="Arial"/>
                <w:b/>
              </w:rPr>
            </w:pPr>
            <w:r w:rsidRPr="00A5099D">
              <w:rPr>
                <w:rFonts w:ascii="Arial" w:hAnsi="Arial" w:cs="Arial"/>
                <w:b/>
              </w:rPr>
              <w:t>DM (%)</w:t>
            </w:r>
          </w:p>
        </w:tc>
        <w:tc>
          <w:tcPr>
            <w:tcW w:w="872" w:type="pct"/>
          </w:tcPr>
          <w:p w14:paraId="5A891343" w14:textId="77777777" w:rsidR="00602234" w:rsidRPr="00A5099D" w:rsidRDefault="00602234" w:rsidP="00D30CC4">
            <w:pPr>
              <w:jc w:val="center"/>
              <w:rPr>
                <w:rFonts w:ascii="Arial" w:hAnsi="Arial" w:cs="Arial"/>
              </w:rPr>
            </w:pPr>
            <w:r w:rsidRPr="00A5099D">
              <w:rPr>
                <w:rFonts w:ascii="Arial" w:hAnsi="Arial" w:cs="Arial"/>
              </w:rPr>
              <w:t>18.06</w:t>
            </w:r>
            <w:r w:rsidRPr="00A5099D">
              <w:rPr>
                <w:rFonts w:ascii="Arial" w:hAnsi="Arial" w:cs="Arial"/>
                <w:vertAlign w:val="superscript"/>
              </w:rPr>
              <w:t xml:space="preserve"> a</w:t>
            </w:r>
          </w:p>
        </w:tc>
        <w:tc>
          <w:tcPr>
            <w:tcW w:w="1308" w:type="pct"/>
          </w:tcPr>
          <w:p w14:paraId="57B4D9F0"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0.18</w:t>
            </w:r>
            <w:r w:rsidRPr="00A5099D">
              <w:rPr>
                <w:rFonts w:ascii="Arial" w:hAnsi="Arial" w:cs="Arial"/>
                <w:vertAlign w:val="superscript"/>
              </w:rPr>
              <w:t>b</w:t>
            </w:r>
          </w:p>
        </w:tc>
        <w:tc>
          <w:tcPr>
            <w:tcW w:w="888" w:type="pct"/>
          </w:tcPr>
          <w:p w14:paraId="5019BBE8"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0.18</w:t>
            </w:r>
          </w:p>
        </w:tc>
        <w:tc>
          <w:tcPr>
            <w:tcW w:w="804" w:type="pct"/>
          </w:tcPr>
          <w:p w14:paraId="064A8675"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4DA733CB" w14:textId="77777777" w:rsidTr="00D30CC4">
        <w:trPr>
          <w:trHeight w:val="283"/>
        </w:trPr>
        <w:tc>
          <w:tcPr>
            <w:tcW w:w="1128" w:type="pct"/>
            <w:vAlign w:val="center"/>
          </w:tcPr>
          <w:p w14:paraId="5F336CF1" w14:textId="77777777" w:rsidR="00602234" w:rsidRPr="00A5099D" w:rsidRDefault="00602234" w:rsidP="00D30CC4">
            <w:pPr>
              <w:rPr>
                <w:rFonts w:ascii="Arial" w:hAnsi="Arial" w:cs="Arial"/>
                <w:b/>
              </w:rPr>
            </w:pPr>
            <w:r w:rsidRPr="00A5099D">
              <w:rPr>
                <w:rFonts w:ascii="Arial" w:hAnsi="Arial" w:cs="Arial"/>
                <w:b/>
              </w:rPr>
              <w:t>CP (%)</w:t>
            </w:r>
          </w:p>
        </w:tc>
        <w:tc>
          <w:tcPr>
            <w:tcW w:w="872" w:type="pct"/>
          </w:tcPr>
          <w:p w14:paraId="52E75329" w14:textId="77777777" w:rsidR="00602234" w:rsidRPr="00A5099D" w:rsidRDefault="00602234" w:rsidP="00D30CC4">
            <w:pPr>
              <w:jc w:val="center"/>
              <w:rPr>
                <w:rFonts w:ascii="Arial" w:hAnsi="Arial" w:cs="Arial"/>
              </w:rPr>
            </w:pPr>
            <w:r w:rsidRPr="00A5099D">
              <w:rPr>
                <w:rFonts w:ascii="Arial" w:hAnsi="Arial" w:cs="Arial"/>
              </w:rPr>
              <w:t>9.1</w:t>
            </w:r>
            <w:r w:rsidRPr="00A5099D">
              <w:rPr>
                <w:rFonts w:ascii="Arial" w:hAnsi="Arial" w:cs="Arial"/>
                <w:vertAlign w:val="superscript"/>
              </w:rPr>
              <w:t>b</w:t>
            </w:r>
          </w:p>
        </w:tc>
        <w:tc>
          <w:tcPr>
            <w:tcW w:w="1308" w:type="pct"/>
          </w:tcPr>
          <w:p w14:paraId="0F6E1E2B"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13.53</w:t>
            </w:r>
            <w:r w:rsidRPr="00A5099D">
              <w:rPr>
                <w:rFonts w:ascii="Arial" w:hAnsi="Arial" w:cs="Arial"/>
                <w:vertAlign w:val="superscript"/>
              </w:rPr>
              <w:t>a</w:t>
            </w:r>
          </w:p>
        </w:tc>
        <w:tc>
          <w:tcPr>
            <w:tcW w:w="888" w:type="pct"/>
          </w:tcPr>
          <w:p w14:paraId="0E881C0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0.84</w:t>
            </w:r>
          </w:p>
        </w:tc>
        <w:tc>
          <w:tcPr>
            <w:tcW w:w="804" w:type="pct"/>
          </w:tcPr>
          <w:p w14:paraId="16A8328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3FAAB59B" w14:textId="77777777" w:rsidTr="00D30CC4">
        <w:trPr>
          <w:trHeight w:val="283"/>
        </w:trPr>
        <w:tc>
          <w:tcPr>
            <w:tcW w:w="1128" w:type="pct"/>
            <w:vAlign w:val="center"/>
          </w:tcPr>
          <w:p w14:paraId="227AC8EA" w14:textId="77777777" w:rsidR="00602234" w:rsidRPr="00A5099D" w:rsidRDefault="00602234" w:rsidP="00D30CC4">
            <w:pPr>
              <w:rPr>
                <w:rFonts w:ascii="Arial" w:hAnsi="Arial" w:cs="Arial"/>
                <w:b/>
              </w:rPr>
            </w:pPr>
            <w:r w:rsidRPr="00A5099D">
              <w:rPr>
                <w:rFonts w:ascii="Arial" w:hAnsi="Arial" w:cs="Arial"/>
                <w:b/>
              </w:rPr>
              <w:t>EE (%)</w:t>
            </w:r>
          </w:p>
        </w:tc>
        <w:tc>
          <w:tcPr>
            <w:tcW w:w="872" w:type="pct"/>
          </w:tcPr>
          <w:p w14:paraId="5B7A8E80" w14:textId="77777777" w:rsidR="00602234" w:rsidRPr="00A5099D" w:rsidRDefault="00602234" w:rsidP="00D30CC4">
            <w:pPr>
              <w:jc w:val="center"/>
              <w:rPr>
                <w:rFonts w:ascii="Arial" w:hAnsi="Arial" w:cs="Arial"/>
              </w:rPr>
            </w:pPr>
            <w:r w:rsidRPr="00A5099D">
              <w:rPr>
                <w:rFonts w:ascii="Arial" w:hAnsi="Arial" w:cs="Arial"/>
              </w:rPr>
              <w:t>1.72</w:t>
            </w:r>
            <w:r w:rsidRPr="00A5099D">
              <w:rPr>
                <w:rFonts w:ascii="Arial" w:hAnsi="Arial" w:cs="Arial"/>
                <w:vertAlign w:val="superscript"/>
              </w:rPr>
              <w:t>b</w:t>
            </w:r>
          </w:p>
        </w:tc>
        <w:tc>
          <w:tcPr>
            <w:tcW w:w="1308" w:type="pct"/>
          </w:tcPr>
          <w:p w14:paraId="07B9A802"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1.86</w:t>
            </w:r>
            <w:r w:rsidRPr="00A5099D">
              <w:rPr>
                <w:rFonts w:ascii="Arial" w:hAnsi="Arial" w:cs="Arial"/>
                <w:vertAlign w:val="superscript"/>
              </w:rPr>
              <w:t>a</w:t>
            </w:r>
          </w:p>
        </w:tc>
        <w:tc>
          <w:tcPr>
            <w:tcW w:w="888" w:type="pct"/>
          </w:tcPr>
          <w:p w14:paraId="786F109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0.03</w:t>
            </w:r>
          </w:p>
        </w:tc>
        <w:tc>
          <w:tcPr>
            <w:tcW w:w="804" w:type="pct"/>
          </w:tcPr>
          <w:p w14:paraId="57DC761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1FACD6CC" w14:textId="77777777" w:rsidTr="00D30CC4">
        <w:trPr>
          <w:trHeight w:val="283"/>
        </w:trPr>
        <w:tc>
          <w:tcPr>
            <w:tcW w:w="1128" w:type="pct"/>
            <w:vAlign w:val="center"/>
          </w:tcPr>
          <w:p w14:paraId="1305DB12" w14:textId="77777777" w:rsidR="00602234" w:rsidRPr="00A5099D" w:rsidRDefault="00602234" w:rsidP="00D30CC4">
            <w:pPr>
              <w:rPr>
                <w:rFonts w:ascii="Arial" w:hAnsi="Arial" w:cs="Arial"/>
                <w:b/>
              </w:rPr>
            </w:pPr>
            <w:r w:rsidRPr="00A5099D">
              <w:rPr>
                <w:rFonts w:ascii="Arial" w:hAnsi="Arial" w:cs="Arial"/>
                <w:b/>
              </w:rPr>
              <w:t>Ash (%)</w:t>
            </w:r>
          </w:p>
        </w:tc>
        <w:tc>
          <w:tcPr>
            <w:tcW w:w="872" w:type="pct"/>
          </w:tcPr>
          <w:p w14:paraId="62B1FA42" w14:textId="77777777" w:rsidR="00602234" w:rsidRPr="00A5099D" w:rsidRDefault="00602234" w:rsidP="00D30CC4">
            <w:pPr>
              <w:jc w:val="center"/>
              <w:rPr>
                <w:rFonts w:ascii="Arial" w:hAnsi="Arial" w:cs="Arial"/>
              </w:rPr>
            </w:pPr>
            <w:r w:rsidRPr="00A5099D">
              <w:rPr>
                <w:rFonts w:ascii="Arial" w:hAnsi="Arial" w:cs="Arial"/>
              </w:rPr>
              <w:t>9.67</w:t>
            </w:r>
            <w:r w:rsidRPr="00A5099D">
              <w:rPr>
                <w:rFonts w:ascii="Arial" w:hAnsi="Arial" w:cs="Arial"/>
                <w:vertAlign w:val="superscript"/>
              </w:rPr>
              <w:t>b</w:t>
            </w:r>
          </w:p>
        </w:tc>
        <w:tc>
          <w:tcPr>
            <w:tcW w:w="1308" w:type="pct"/>
          </w:tcPr>
          <w:p w14:paraId="60DAA312"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15.21</w:t>
            </w:r>
            <w:r w:rsidRPr="00A5099D">
              <w:rPr>
                <w:rFonts w:ascii="Arial" w:hAnsi="Arial" w:cs="Arial"/>
                <w:vertAlign w:val="superscript"/>
              </w:rPr>
              <w:t>a</w:t>
            </w:r>
          </w:p>
        </w:tc>
        <w:tc>
          <w:tcPr>
            <w:tcW w:w="888" w:type="pct"/>
          </w:tcPr>
          <w:p w14:paraId="3EAED55C"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1.05</w:t>
            </w:r>
          </w:p>
        </w:tc>
        <w:tc>
          <w:tcPr>
            <w:tcW w:w="804" w:type="pct"/>
          </w:tcPr>
          <w:p w14:paraId="543C12DF"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519DEBE8" w14:textId="77777777" w:rsidTr="00D30CC4">
        <w:trPr>
          <w:trHeight w:val="283"/>
        </w:trPr>
        <w:tc>
          <w:tcPr>
            <w:tcW w:w="1128" w:type="pct"/>
            <w:vAlign w:val="center"/>
          </w:tcPr>
          <w:p w14:paraId="44B90529" w14:textId="77777777" w:rsidR="00602234" w:rsidRPr="00A5099D" w:rsidRDefault="00602234" w:rsidP="00D30CC4">
            <w:pPr>
              <w:rPr>
                <w:rFonts w:ascii="Arial" w:hAnsi="Arial" w:cs="Arial"/>
                <w:b/>
              </w:rPr>
            </w:pPr>
            <w:r w:rsidRPr="00A5099D">
              <w:rPr>
                <w:rFonts w:ascii="Arial" w:hAnsi="Arial" w:cs="Arial"/>
                <w:b/>
              </w:rPr>
              <w:t>NDF (%)</w:t>
            </w:r>
          </w:p>
        </w:tc>
        <w:tc>
          <w:tcPr>
            <w:tcW w:w="872" w:type="pct"/>
          </w:tcPr>
          <w:p w14:paraId="0907C074" w14:textId="77777777" w:rsidR="00602234" w:rsidRPr="00A5099D" w:rsidRDefault="00602234" w:rsidP="00D30CC4">
            <w:pPr>
              <w:jc w:val="center"/>
              <w:rPr>
                <w:rFonts w:ascii="Arial" w:hAnsi="Arial" w:cs="Arial"/>
              </w:rPr>
            </w:pPr>
            <w:r w:rsidRPr="00A5099D">
              <w:rPr>
                <w:rFonts w:ascii="Arial" w:hAnsi="Arial" w:cs="Arial"/>
              </w:rPr>
              <w:t>54.84</w:t>
            </w:r>
            <w:r w:rsidRPr="00A5099D">
              <w:rPr>
                <w:rFonts w:ascii="Arial" w:hAnsi="Arial" w:cs="Arial"/>
                <w:vertAlign w:val="superscript"/>
              </w:rPr>
              <w:t>a</w:t>
            </w:r>
          </w:p>
        </w:tc>
        <w:tc>
          <w:tcPr>
            <w:tcW w:w="1308" w:type="pct"/>
          </w:tcPr>
          <w:p w14:paraId="096ECB5B"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49.94</w:t>
            </w:r>
            <w:r w:rsidRPr="00A5099D">
              <w:rPr>
                <w:rFonts w:ascii="Arial" w:hAnsi="Arial" w:cs="Arial"/>
                <w:vertAlign w:val="superscript"/>
              </w:rPr>
              <w:t>b</w:t>
            </w:r>
          </w:p>
        </w:tc>
        <w:tc>
          <w:tcPr>
            <w:tcW w:w="888" w:type="pct"/>
          </w:tcPr>
          <w:p w14:paraId="7A7C11C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0.93</w:t>
            </w:r>
          </w:p>
        </w:tc>
        <w:tc>
          <w:tcPr>
            <w:tcW w:w="804" w:type="pct"/>
          </w:tcPr>
          <w:p w14:paraId="04C340E9"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r w:rsidR="00602234" w:rsidRPr="00A5099D" w14:paraId="79BC05B1" w14:textId="77777777" w:rsidTr="00D30CC4">
        <w:trPr>
          <w:trHeight w:val="283"/>
        </w:trPr>
        <w:tc>
          <w:tcPr>
            <w:tcW w:w="1128" w:type="pct"/>
            <w:vAlign w:val="center"/>
          </w:tcPr>
          <w:p w14:paraId="32700524" w14:textId="77777777" w:rsidR="00602234" w:rsidRPr="00A5099D" w:rsidRDefault="00602234" w:rsidP="00D30CC4">
            <w:pPr>
              <w:rPr>
                <w:rFonts w:ascii="Arial" w:hAnsi="Arial" w:cs="Arial"/>
                <w:b/>
              </w:rPr>
            </w:pPr>
            <w:r w:rsidRPr="00A5099D">
              <w:rPr>
                <w:rFonts w:ascii="Arial" w:hAnsi="Arial" w:cs="Arial"/>
                <w:b/>
              </w:rPr>
              <w:t>ADF (%)</w:t>
            </w:r>
          </w:p>
        </w:tc>
        <w:tc>
          <w:tcPr>
            <w:tcW w:w="872" w:type="pct"/>
          </w:tcPr>
          <w:p w14:paraId="0E81F219" w14:textId="77777777" w:rsidR="00602234" w:rsidRPr="00A5099D" w:rsidRDefault="00602234" w:rsidP="00D30CC4">
            <w:pPr>
              <w:jc w:val="center"/>
              <w:rPr>
                <w:rFonts w:ascii="Arial" w:hAnsi="Arial" w:cs="Arial"/>
              </w:rPr>
            </w:pPr>
            <w:r w:rsidRPr="00A5099D">
              <w:rPr>
                <w:rFonts w:ascii="Arial" w:hAnsi="Arial" w:cs="Arial"/>
              </w:rPr>
              <w:t>36.85</w:t>
            </w:r>
            <w:r w:rsidRPr="00A5099D">
              <w:rPr>
                <w:rFonts w:ascii="Arial" w:hAnsi="Arial" w:cs="Arial"/>
                <w:vertAlign w:val="superscript"/>
              </w:rPr>
              <w:t>a</w:t>
            </w:r>
          </w:p>
        </w:tc>
        <w:tc>
          <w:tcPr>
            <w:tcW w:w="1308" w:type="pct"/>
          </w:tcPr>
          <w:p w14:paraId="2A316F84"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33.76</w:t>
            </w:r>
            <w:r w:rsidRPr="00A5099D">
              <w:rPr>
                <w:rFonts w:ascii="Arial" w:hAnsi="Arial" w:cs="Arial"/>
                <w:vertAlign w:val="superscript"/>
              </w:rPr>
              <w:t>b</w:t>
            </w:r>
          </w:p>
        </w:tc>
        <w:tc>
          <w:tcPr>
            <w:tcW w:w="888" w:type="pct"/>
          </w:tcPr>
          <w:p w14:paraId="458FEAE7"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35.30</w:t>
            </w:r>
          </w:p>
        </w:tc>
        <w:tc>
          <w:tcPr>
            <w:tcW w:w="804" w:type="pct"/>
          </w:tcPr>
          <w:p w14:paraId="3D33727D" w14:textId="77777777" w:rsidR="00602234" w:rsidRPr="00A5099D" w:rsidRDefault="00602234" w:rsidP="00D30CC4">
            <w:pPr>
              <w:autoSpaceDE w:val="0"/>
              <w:autoSpaceDN w:val="0"/>
              <w:adjustRightInd w:val="0"/>
              <w:jc w:val="center"/>
              <w:rPr>
                <w:rFonts w:ascii="Arial" w:hAnsi="Arial" w:cs="Arial"/>
              </w:rPr>
            </w:pPr>
            <w:r w:rsidRPr="00A5099D">
              <w:rPr>
                <w:rFonts w:ascii="Arial" w:hAnsi="Arial" w:cs="Arial"/>
              </w:rPr>
              <w:t>&lt;0.01</w:t>
            </w:r>
          </w:p>
        </w:tc>
      </w:tr>
    </w:tbl>
    <w:p w14:paraId="3D3340CD" w14:textId="77777777" w:rsidR="00602234" w:rsidRPr="00602234" w:rsidRDefault="00602234" w:rsidP="00602234">
      <w:pPr>
        <w:jc w:val="both"/>
        <w:rPr>
          <w:rFonts w:ascii="Arial" w:hAnsi="Arial" w:cs="Arial"/>
          <w:i/>
          <w:iCs/>
          <w:sz w:val="18"/>
          <w:szCs w:val="18"/>
        </w:rPr>
      </w:pPr>
      <w:r w:rsidRPr="00602234">
        <w:rPr>
          <w:rFonts w:ascii="Arial" w:hAnsi="Arial" w:cs="Arial"/>
          <w:i/>
          <w:iCs/>
          <w:sz w:val="18"/>
          <w:szCs w:val="18"/>
        </w:rPr>
        <w:t>Values with different small letter superscripts in a row differ between areas significantly: (P&lt;0.05)</w:t>
      </w:r>
    </w:p>
    <w:p w14:paraId="6669F79F" w14:textId="77777777" w:rsidR="00602234" w:rsidRDefault="00602234" w:rsidP="00F046EB">
      <w:pPr>
        <w:rPr>
          <w:rFonts w:ascii="Arial" w:hAnsi="Arial" w:cs="Arial"/>
          <w:b/>
          <w:bCs/>
        </w:rPr>
      </w:pPr>
    </w:p>
    <w:p w14:paraId="1774D95A" w14:textId="77777777" w:rsidR="001949E5" w:rsidRPr="00A5099D" w:rsidRDefault="001949E5" w:rsidP="001949E5">
      <w:pPr>
        <w:jc w:val="both"/>
        <w:rPr>
          <w:rFonts w:ascii="Arial" w:hAnsi="Arial" w:cs="Arial"/>
          <w:b/>
          <w:bCs/>
          <w:i/>
          <w:iCs/>
        </w:rPr>
      </w:pPr>
      <w:r w:rsidRPr="00A5099D">
        <w:rPr>
          <w:rFonts w:ascii="Arial" w:hAnsi="Arial" w:cs="Arial"/>
          <w:b/>
          <w:bCs/>
        </w:rPr>
        <w:t xml:space="preserve">Table 2. Effect of zinc, copper and selenium foliar application on minerals profile </w:t>
      </w:r>
      <w:r w:rsidRPr="00A5099D">
        <w:rPr>
          <w:rFonts w:ascii="Arial" w:hAnsi="Arial" w:cs="Arial"/>
          <w:b/>
          <w:bCs/>
          <w:color w:val="000000" w:themeColor="text1"/>
        </w:rPr>
        <w:t>of sorghum fodder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9"/>
        <w:gridCol w:w="1931"/>
        <w:gridCol w:w="1853"/>
        <w:gridCol w:w="1135"/>
        <w:gridCol w:w="1640"/>
      </w:tblGrid>
      <w:tr w:rsidR="001949E5" w:rsidRPr="00A5099D" w14:paraId="040BFB89" w14:textId="77777777" w:rsidTr="00D30CC4">
        <w:trPr>
          <w:trHeight w:val="283"/>
        </w:trPr>
        <w:tc>
          <w:tcPr>
            <w:tcW w:w="1000" w:type="pct"/>
            <w:vMerge w:val="restart"/>
            <w:vAlign w:val="center"/>
          </w:tcPr>
          <w:p w14:paraId="78C30B16" w14:textId="77777777" w:rsidR="001949E5" w:rsidRPr="00A5099D" w:rsidRDefault="001949E5" w:rsidP="00D30CC4">
            <w:pPr>
              <w:rPr>
                <w:rFonts w:ascii="Arial" w:hAnsi="Arial" w:cs="Arial"/>
                <w:b/>
              </w:rPr>
            </w:pPr>
            <w:r w:rsidRPr="00A5099D">
              <w:rPr>
                <w:rFonts w:ascii="Arial" w:hAnsi="Arial" w:cs="Arial"/>
                <w:b/>
              </w:rPr>
              <w:t>Attributes</w:t>
            </w:r>
          </w:p>
        </w:tc>
        <w:tc>
          <w:tcPr>
            <w:tcW w:w="2308" w:type="pct"/>
            <w:gridSpan w:val="2"/>
          </w:tcPr>
          <w:p w14:paraId="6D8D5070"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Mean</w:t>
            </w:r>
          </w:p>
        </w:tc>
        <w:tc>
          <w:tcPr>
            <w:tcW w:w="692" w:type="pct"/>
            <w:vMerge w:val="restart"/>
            <w:vAlign w:val="center"/>
          </w:tcPr>
          <w:p w14:paraId="6153C5DB"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rPr>
              <w:t>SEM</w:t>
            </w:r>
          </w:p>
        </w:tc>
        <w:tc>
          <w:tcPr>
            <w:tcW w:w="1000" w:type="pct"/>
            <w:vMerge w:val="restart"/>
            <w:vAlign w:val="center"/>
          </w:tcPr>
          <w:p w14:paraId="65DA556C"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rPr>
              <w:t>P-value</w:t>
            </w:r>
          </w:p>
        </w:tc>
      </w:tr>
      <w:tr w:rsidR="001949E5" w:rsidRPr="00A5099D" w14:paraId="41EAA10C" w14:textId="77777777" w:rsidTr="00D30CC4">
        <w:trPr>
          <w:trHeight w:val="283"/>
        </w:trPr>
        <w:tc>
          <w:tcPr>
            <w:tcW w:w="1000" w:type="pct"/>
            <w:vMerge/>
            <w:vAlign w:val="center"/>
          </w:tcPr>
          <w:p w14:paraId="5ABD6E71" w14:textId="77777777" w:rsidR="001949E5" w:rsidRPr="00A5099D" w:rsidRDefault="001949E5" w:rsidP="00D30CC4">
            <w:pPr>
              <w:rPr>
                <w:rFonts w:ascii="Arial" w:hAnsi="Arial" w:cs="Arial"/>
                <w:b/>
              </w:rPr>
            </w:pPr>
          </w:p>
        </w:tc>
        <w:tc>
          <w:tcPr>
            <w:tcW w:w="1178" w:type="pct"/>
          </w:tcPr>
          <w:p w14:paraId="3042BD51" w14:textId="77777777" w:rsidR="001949E5" w:rsidRPr="00A5099D" w:rsidRDefault="001949E5" w:rsidP="00D30CC4">
            <w:pPr>
              <w:autoSpaceDE w:val="0"/>
              <w:autoSpaceDN w:val="0"/>
              <w:adjustRightInd w:val="0"/>
              <w:ind w:left="60" w:right="60"/>
              <w:jc w:val="center"/>
              <w:rPr>
                <w:rFonts w:ascii="Arial" w:hAnsi="Arial" w:cs="Arial"/>
                <w:b/>
                <w:bCs/>
              </w:rPr>
            </w:pPr>
            <w:r w:rsidRPr="00A5099D">
              <w:rPr>
                <w:rFonts w:ascii="Arial" w:hAnsi="Arial" w:cs="Arial"/>
                <w:b/>
                <w:bCs/>
              </w:rPr>
              <w:t>Control</w:t>
            </w:r>
          </w:p>
        </w:tc>
        <w:tc>
          <w:tcPr>
            <w:tcW w:w="1130" w:type="pct"/>
          </w:tcPr>
          <w:p w14:paraId="0B65A538"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Biofortified</w:t>
            </w:r>
          </w:p>
          <w:p w14:paraId="5580122F" w14:textId="77777777" w:rsidR="001949E5" w:rsidRPr="00A5099D" w:rsidRDefault="001949E5" w:rsidP="00D30CC4">
            <w:pPr>
              <w:autoSpaceDE w:val="0"/>
              <w:autoSpaceDN w:val="0"/>
              <w:adjustRightInd w:val="0"/>
              <w:jc w:val="center"/>
              <w:rPr>
                <w:rFonts w:ascii="Arial" w:hAnsi="Arial" w:cs="Arial"/>
                <w:b/>
                <w:bCs/>
              </w:rPr>
            </w:pPr>
            <w:r w:rsidRPr="00A5099D">
              <w:rPr>
                <w:rFonts w:ascii="Arial" w:hAnsi="Arial" w:cs="Arial"/>
                <w:b/>
                <w:bCs/>
              </w:rPr>
              <w:t>fodder</w:t>
            </w:r>
          </w:p>
        </w:tc>
        <w:tc>
          <w:tcPr>
            <w:tcW w:w="692" w:type="pct"/>
            <w:vMerge/>
            <w:vAlign w:val="center"/>
          </w:tcPr>
          <w:p w14:paraId="2D4681CC" w14:textId="77777777" w:rsidR="001949E5" w:rsidRPr="00A5099D" w:rsidRDefault="001949E5" w:rsidP="00D30CC4">
            <w:pPr>
              <w:autoSpaceDE w:val="0"/>
              <w:autoSpaceDN w:val="0"/>
              <w:adjustRightInd w:val="0"/>
              <w:jc w:val="center"/>
              <w:rPr>
                <w:rFonts w:ascii="Arial" w:hAnsi="Arial" w:cs="Arial"/>
                <w:b/>
              </w:rPr>
            </w:pPr>
          </w:p>
        </w:tc>
        <w:tc>
          <w:tcPr>
            <w:tcW w:w="1000" w:type="pct"/>
            <w:vMerge/>
            <w:vAlign w:val="center"/>
          </w:tcPr>
          <w:p w14:paraId="04EE3818" w14:textId="77777777" w:rsidR="001949E5" w:rsidRPr="00A5099D" w:rsidRDefault="001949E5" w:rsidP="00D30CC4">
            <w:pPr>
              <w:autoSpaceDE w:val="0"/>
              <w:autoSpaceDN w:val="0"/>
              <w:adjustRightInd w:val="0"/>
              <w:jc w:val="center"/>
              <w:rPr>
                <w:rFonts w:ascii="Arial" w:hAnsi="Arial" w:cs="Arial"/>
                <w:b/>
              </w:rPr>
            </w:pPr>
          </w:p>
        </w:tc>
      </w:tr>
      <w:tr w:rsidR="001949E5" w:rsidRPr="00A5099D" w14:paraId="35B82AA4" w14:textId="77777777" w:rsidTr="00D30CC4">
        <w:trPr>
          <w:trHeight w:val="283"/>
        </w:trPr>
        <w:tc>
          <w:tcPr>
            <w:tcW w:w="1000" w:type="pct"/>
            <w:vAlign w:val="center"/>
          </w:tcPr>
          <w:p w14:paraId="61312944" w14:textId="77777777" w:rsidR="001949E5" w:rsidRPr="00A5099D" w:rsidRDefault="001949E5" w:rsidP="00D30CC4">
            <w:pPr>
              <w:rPr>
                <w:rFonts w:ascii="Arial" w:hAnsi="Arial" w:cs="Arial"/>
                <w:b/>
              </w:rPr>
            </w:pPr>
            <w:r w:rsidRPr="00A5099D">
              <w:rPr>
                <w:rFonts w:ascii="Arial" w:hAnsi="Arial" w:cs="Arial"/>
                <w:b/>
              </w:rPr>
              <w:t>Ca (%)</w:t>
            </w:r>
          </w:p>
        </w:tc>
        <w:tc>
          <w:tcPr>
            <w:tcW w:w="1178" w:type="pct"/>
          </w:tcPr>
          <w:p w14:paraId="360902BA" w14:textId="77777777" w:rsidR="001949E5" w:rsidRPr="00A5099D" w:rsidRDefault="001949E5" w:rsidP="00D30CC4">
            <w:pPr>
              <w:jc w:val="center"/>
              <w:rPr>
                <w:rFonts w:ascii="Arial" w:hAnsi="Arial" w:cs="Arial"/>
                <w:vertAlign w:val="superscript"/>
              </w:rPr>
            </w:pPr>
            <w:r w:rsidRPr="00A5099D">
              <w:rPr>
                <w:rFonts w:ascii="Arial" w:hAnsi="Arial" w:cs="Arial"/>
              </w:rPr>
              <w:t>0.76</w:t>
            </w:r>
            <w:r w:rsidRPr="00A5099D">
              <w:rPr>
                <w:rFonts w:ascii="Arial" w:hAnsi="Arial" w:cs="Arial"/>
                <w:vertAlign w:val="superscript"/>
              </w:rPr>
              <w:t>b</w:t>
            </w:r>
          </w:p>
        </w:tc>
        <w:tc>
          <w:tcPr>
            <w:tcW w:w="1130" w:type="pct"/>
          </w:tcPr>
          <w:p w14:paraId="12BA5810" w14:textId="77777777" w:rsidR="001949E5" w:rsidRPr="00A5099D" w:rsidRDefault="001949E5" w:rsidP="00D30CC4">
            <w:pPr>
              <w:autoSpaceDE w:val="0"/>
              <w:autoSpaceDN w:val="0"/>
              <w:adjustRightInd w:val="0"/>
              <w:jc w:val="center"/>
              <w:rPr>
                <w:rFonts w:ascii="Arial" w:hAnsi="Arial" w:cs="Arial"/>
                <w:vertAlign w:val="superscript"/>
              </w:rPr>
            </w:pPr>
            <w:r w:rsidRPr="00A5099D">
              <w:rPr>
                <w:rFonts w:ascii="Arial" w:hAnsi="Arial" w:cs="Arial"/>
              </w:rPr>
              <w:t>0.89</w:t>
            </w:r>
            <w:r w:rsidRPr="00A5099D">
              <w:rPr>
                <w:rFonts w:ascii="Arial" w:hAnsi="Arial" w:cs="Arial"/>
                <w:vertAlign w:val="superscript"/>
              </w:rPr>
              <w:t>a</w:t>
            </w:r>
          </w:p>
        </w:tc>
        <w:tc>
          <w:tcPr>
            <w:tcW w:w="692" w:type="pct"/>
          </w:tcPr>
          <w:p w14:paraId="11D1240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0.01</w:t>
            </w:r>
          </w:p>
        </w:tc>
        <w:tc>
          <w:tcPr>
            <w:tcW w:w="1000" w:type="pct"/>
          </w:tcPr>
          <w:p w14:paraId="1F5FB53A"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519509E2" w14:textId="77777777" w:rsidTr="00D30CC4">
        <w:trPr>
          <w:trHeight w:val="374"/>
        </w:trPr>
        <w:tc>
          <w:tcPr>
            <w:tcW w:w="1000" w:type="pct"/>
            <w:vAlign w:val="center"/>
          </w:tcPr>
          <w:p w14:paraId="7548B4BC" w14:textId="77777777" w:rsidR="001949E5" w:rsidRPr="00A5099D" w:rsidRDefault="001949E5" w:rsidP="00D30CC4">
            <w:pPr>
              <w:rPr>
                <w:rFonts w:ascii="Arial" w:hAnsi="Arial" w:cs="Arial"/>
                <w:b/>
              </w:rPr>
            </w:pPr>
            <w:r w:rsidRPr="00A5099D">
              <w:rPr>
                <w:rFonts w:ascii="Arial" w:hAnsi="Arial" w:cs="Arial"/>
                <w:b/>
              </w:rPr>
              <w:t>P (%)</w:t>
            </w:r>
          </w:p>
        </w:tc>
        <w:tc>
          <w:tcPr>
            <w:tcW w:w="1178" w:type="pct"/>
          </w:tcPr>
          <w:p w14:paraId="014A845D" w14:textId="77777777" w:rsidR="001949E5" w:rsidRPr="00A5099D" w:rsidRDefault="001949E5" w:rsidP="00D30CC4">
            <w:pPr>
              <w:autoSpaceDE w:val="0"/>
              <w:autoSpaceDN w:val="0"/>
              <w:adjustRightInd w:val="0"/>
              <w:ind w:right="60"/>
              <w:jc w:val="center"/>
              <w:rPr>
                <w:rFonts w:ascii="Arial" w:hAnsi="Arial" w:cs="Arial"/>
              </w:rPr>
            </w:pPr>
            <w:r w:rsidRPr="00A5099D">
              <w:rPr>
                <w:rFonts w:ascii="Arial" w:hAnsi="Arial" w:cs="Arial"/>
              </w:rPr>
              <w:t>0.69</w:t>
            </w:r>
            <w:r w:rsidRPr="00A5099D">
              <w:rPr>
                <w:rFonts w:ascii="Arial" w:hAnsi="Arial" w:cs="Arial"/>
                <w:vertAlign w:val="superscript"/>
              </w:rPr>
              <w:t>b</w:t>
            </w:r>
          </w:p>
        </w:tc>
        <w:tc>
          <w:tcPr>
            <w:tcW w:w="1130" w:type="pct"/>
          </w:tcPr>
          <w:p w14:paraId="22C4A533"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0.79</w:t>
            </w:r>
            <w:r w:rsidRPr="00A5099D">
              <w:rPr>
                <w:rFonts w:ascii="Arial" w:hAnsi="Arial" w:cs="Arial"/>
                <w:vertAlign w:val="superscript"/>
              </w:rPr>
              <w:t>a</w:t>
            </w:r>
          </w:p>
        </w:tc>
        <w:tc>
          <w:tcPr>
            <w:tcW w:w="692" w:type="pct"/>
          </w:tcPr>
          <w:p w14:paraId="6D025EF5"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0.02</w:t>
            </w:r>
          </w:p>
        </w:tc>
        <w:tc>
          <w:tcPr>
            <w:tcW w:w="1000" w:type="pct"/>
          </w:tcPr>
          <w:p w14:paraId="0F01C2A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4747B89E" w14:textId="77777777" w:rsidTr="00D30CC4">
        <w:trPr>
          <w:trHeight w:val="374"/>
        </w:trPr>
        <w:tc>
          <w:tcPr>
            <w:tcW w:w="1000" w:type="pct"/>
            <w:vAlign w:val="center"/>
          </w:tcPr>
          <w:p w14:paraId="5DA90A0D" w14:textId="77777777" w:rsidR="001949E5" w:rsidRPr="00A5099D" w:rsidRDefault="001949E5" w:rsidP="00D30CC4">
            <w:pPr>
              <w:rPr>
                <w:rFonts w:ascii="Arial" w:hAnsi="Arial" w:cs="Arial"/>
                <w:b/>
              </w:rPr>
            </w:pPr>
            <w:r w:rsidRPr="00A5099D">
              <w:rPr>
                <w:rFonts w:ascii="Arial" w:hAnsi="Arial" w:cs="Arial"/>
                <w:b/>
              </w:rPr>
              <w:t>Mg (%)</w:t>
            </w:r>
          </w:p>
        </w:tc>
        <w:tc>
          <w:tcPr>
            <w:tcW w:w="1178" w:type="pct"/>
          </w:tcPr>
          <w:p w14:paraId="38F38497" w14:textId="77777777" w:rsidR="001949E5" w:rsidRPr="00A5099D" w:rsidRDefault="001949E5" w:rsidP="00D30CC4">
            <w:pPr>
              <w:autoSpaceDE w:val="0"/>
              <w:autoSpaceDN w:val="0"/>
              <w:adjustRightInd w:val="0"/>
              <w:ind w:right="60"/>
              <w:jc w:val="center"/>
              <w:rPr>
                <w:rFonts w:ascii="Arial" w:hAnsi="Arial" w:cs="Arial"/>
              </w:rPr>
            </w:pPr>
            <w:r w:rsidRPr="00A5099D">
              <w:rPr>
                <w:rFonts w:ascii="Arial" w:hAnsi="Arial" w:cs="Arial"/>
              </w:rPr>
              <w:t>0.25</w:t>
            </w:r>
            <w:r w:rsidRPr="00A5099D">
              <w:rPr>
                <w:rFonts w:ascii="Arial" w:hAnsi="Arial" w:cs="Arial"/>
                <w:vertAlign w:val="superscript"/>
              </w:rPr>
              <w:t>b</w:t>
            </w:r>
          </w:p>
        </w:tc>
        <w:tc>
          <w:tcPr>
            <w:tcW w:w="1130" w:type="pct"/>
          </w:tcPr>
          <w:p w14:paraId="713275F6"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0.30</w:t>
            </w:r>
            <w:r w:rsidRPr="00A5099D">
              <w:rPr>
                <w:rFonts w:ascii="Arial" w:hAnsi="Arial" w:cs="Arial"/>
                <w:vertAlign w:val="superscript"/>
              </w:rPr>
              <w:t>a</w:t>
            </w:r>
          </w:p>
        </w:tc>
        <w:tc>
          <w:tcPr>
            <w:tcW w:w="692" w:type="pct"/>
          </w:tcPr>
          <w:p w14:paraId="37E447C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0.01</w:t>
            </w:r>
          </w:p>
        </w:tc>
        <w:tc>
          <w:tcPr>
            <w:tcW w:w="1000" w:type="pct"/>
          </w:tcPr>
          <w:p w14:paraId="4BA3001A"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2FF638A1" w14:textId="77777777" w:rsidTr="00D30CC4">
        <w:trPr>
          <w:trHeight w:val="283"/>
        </w:trPr>
        <w:tc>
          <w:tcPr>
            <w:tcW w:w="1000" w:type="pct"/>
            <w:vAlign w:val="center"/>
          </w:tcPr>
          <w:p w14:paraId="258250B4" w14:textId="77777777" w:rsidR="001949E5" w:rsidRPr="00A5099D" w:rsidRDefault="001949E5" w:rsidP="00D30CC4">
            <w:pPr>
              <w:rPr>
                <w:rFonts w:ascii="Arial" w:hAnsi="Arial" w:cs="Arial"/>
                <w:b/>
              </w:rPr>
            </w:pPr>
            <w:r w:rsidRPr="00A5099D">
              <w:rPr>
                <w:rFonts w:ascii="Arial" w:hAnsi="Arial" w:cs="Arial"/>
                <w:b/>
              </w:rPr>
              <w:t>Zn(ppm)</w:t>
            </w:r>
          </w:p>
        </w:tc>
        <w:tc>
          <w:tcPr>
            <w:tcW w:w="1178" w:type="pct"/>
          </w:tcPr>
          <w:p w14:paraId="135ED1ED" w14:textId="77777777" w:rsidR="001949E5" w:rsidRPr="00A5099D" w:rsidRDefault="001949E5" w:rsidP="00D30CC4">
            <w:pPr>
              <w:jc w:val="center"/>
              <w:rPr>
                <w:rFonts w:ascii="Arial" w:hAnsi="Arial" w:cs="Arial"/>
              </w:rPr>
            </w:pPr>
            <w:r w:rsidRPr="00A5099D">
              <w:rPr>
                <w:rFonts w:ascii="Arial" w:hAnsi="Arial" w:cs="Arial"/>
              </w:rPr>
              <w:t>23.22</w:t>
            </w:r>
            <w:r w:rsidRPr="00A5099D">
              <w:rPr>
                <w:rFonts w:ascii="Arial" w:hAnsi="Arial" w:cs="Arial"/>
                <w:vertAlign w:val="superscript"/>
              </w:rPr>
              <w:t>b</w:t>
            </w:r>
          </w:p>
        </w:tc>
        <w:tc>
          <w:tcPr>
            <w:tcW w:w="1130" w:type="pct"/>
          </w:tcPr>
          <w:p w14:paraId="37A81DF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28.43</w:t>
            </w:r>
            <w:r w:rsidRPr="00A5099D">
              <w:rPr>
                <w:rFonts w:ascii="Arial" w:hAnsi="Arial" w:cs="Arial"/>
                <w:vertAlign w:val="superscript"/>
              </w:rPr>
              <w:t>a</w:t>
            </w:r>
          </w:p>
        </w:tc>
        <w:tc>
          <w:tcPr>
            <w:tcW w:w="692" w:type="pct"/>
          </w:tcPr>
          <w:p w14:paraId="4792F874"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1.03</w:t>
            </w:r>
          </w:p>
        </w:tc>
        <w:tc>
          <w:tcPr>
            <w:tcW w:w="1000" w:type="pct"/>
          </w:tcPr>
          <w:p w14:paraId="6C5264E9"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18F22E9F" w14:textId="77777777" w:rsidTr="00D30CC4">
        <w:trPr>
          <w:trHeight w:val="283"/>
        </w:trPr>
        <w:tc>
          <w:tcPr>
            <w:tcW w:w="1000" w:type="pct"/>
            <w:vAlign w:val="center"/>
          </w:tcPr>
          <w:p w14:paraId="13E7473E" w14:textId="77777777" w:rsidR="001949E5" w:rsidRPr="00A5099D" w:rsidRDefault="001949E5" w:rsidP="00D30CC4">
            <w:pPr>
              <w:rPr>
                <w:rFonts w:ascii="Arial" w:hAnsi="Arial" w:cs="Arial"/>
                <w:b/>
              </w:rPr>
            </w:pPr>
            <w:r w:rsidRPr="00A5099D">
              <w:rPr>
                <w:rFonts w:ascii="Arial" w:hAnsi="Arial" w:cs="Arial"/>
                <w:b/>
              </w:rPr>
              <w:t>Cu(ppm)</w:t>
            </w:r>
          </w:p>
        </w:tc>
        <w:tc>
          <w:tcPr>
            <w:tcW w:w="1178" w:type="pct"/>
          </w:tcPr>
          <w:p w14:paraId="2AA4C554" w14:textId="77777777" w:rsidR="001949E5" w:rsidRPr="00A5099D" w:rsidRDefault="001949E5" w:rsidP="00D30CC4">
            <w:pPr>
              <w:jc w:val="center"/>
              <w:rPr>
                <w:rFonts w:ascii="Arial" w:hAnsi="Arial" w:cs="Arial"/>
              </w:rPr>
            </w:pPr>
            <w:r w:rsidRPr="00A5099D">
              <w:rPr>
                <w:rFonts w:ascii="Arial" w:hAnsi="Arial" w:cs="Arial"/>
              </w:rPr>
              <w:t>3.96</w:t>
            </w:r>
            <w:r w:rsidRPr="00A5099D">
              <w:rPr>
                <w:rFonts w:ascii="Arial" w:hAnsi="Arial" w:cs="Arial"/>
                <w:vertAlign w:val="superscript"/>
              </w:rPr>
              <w:t>b</w:t>
            </w:r>
          </w:p>
        </w:tc>
        <w:tc>
          <w:tcPr>
            <w:tcW w:w="1130" w:type="pct"/>
          </w:tcPr>
          <w:p w14:paraId="0E32FD03"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4.71</w:t>
            </w:r>
            <w:r w:rsidRPr="00A5099D">
              <w:rPr>
                <w:rFonts w:ascii="Arial" w:hAnsi="Arial" w:cs="Arial"/>
                <w:vertAlign w:val="superscript"/>
              </w:rPr>
              <w:t>a</w:t>
            </w:r>
          </w:p>
        </w:tc>
        <w:tc>
          <w:tcPr>
            <w:tcW w:w="692" w:type="pct"/>
          </w:tcPr>
          <w:p w14:paraId="5521193B"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0.14</w:t>
            </w:r>
          </w:p>
        </w:tc>
        <w:tc>
          <w:tcPr>
            <w:tcW w:w="1000" w:type="pct"/>
          </w:tcPr>
          <w:p w14:paraId="71D1CEA9"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2CFD385A" w14:textId="77777777" w:rsidTr="00D30CC4">
        <w:trPr>
          <w:trHeight w:val="283"/>
        </w:trPr>
        <w:tc>
          <w:tcPr>
            <w:tcW w:w="1000" w:type="pct"/>
            <w:vAlign w:val="center"/>
          </w:tcPr>
          <w:p w14:paraId="1DF33BBE" w14:textId="77777777" w:rsidR="001949E5" w:rsidRPr="00A5099D" w:rsidRDefault="001949E5" w:rsidP="00D30CC4">
            <w:pPr>
              <w:rPr>
                <w:rFonts w:ascii="Arial" w:hAnsi="Arial" w:cs="Arial"/>
                <w:b/>
              </w:rPr>
            </w:pPr>
            <w:r w:rsidRPr="00A5099D">
              <w:rPr>
                <w:rFonts w:ascii="Arial" w:hAnsi="Arial" w:cs="Arial"/>
                <w:b/>
              </w:rPr>
              <w:t>Se(ppm)</w:t>
            </w:r>
          </w:p>
        </w:tc>
        <w:tc>
          <w:tcPr>
            <w:tcW w:w="1178" w:type="pct"/>
          </w:tcPr>
          <w:p w14:paraId="1747A16C" w14:textId="77777777" w:rsidR="001949E5" w:rsidRPr="00A5099D" w:rsidRDefault="001949E5" w:rsidP="00D30CC4">
            <w:pPr>
              <w:jc w:val="center"/>
              <w:rPr>
                <w:rFonts w:ascii="Arial" w:hAnsi="Arial" w:cs="Arial"/>
              </w:rPr>
            </w:pPr>
            <w:r w:rsidRPr="00A5099D">
              <w:rPr>
                <w:rFonts w:ascii="Arial" w:hAnsi="Arial" w:cs="Arial"/>
              </w:rPr>
              <w:t>0.06</w:t>
            </w:r>
            <w:r w:rsidRPr="00A5099D">
              <w:rPr>
                <w:rFonts w:ascii="Arial" w:hAnsi="Arial" w:cs="Arial"/>
                <w:vertAlign w:val="superscript"/>
              </w:rPr>
              <w:t>b</w:t>
            </w:r>
          </w:p>
        </w:tc>
        <w:tc>
          <w:tcPr>
            <w:tcW w:w="1130" w:type="pct"/>
          </w:tcPr>
          <w:p w14:paraId="320864F5"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0.07</w:t>
            </w:r>
            <w:r w:rsidRPr="00A5099D">
              <w:rPr>
                <w:rFonts w:ascii="Arial" w:hAnsi="Arial" w:cs="Arial"/>
                <w:vertAlign w:val="superscript"/>
              </w:rPr>
              <w:t>a</w:t>
            </w:r>
          </w:p>
        </w:tc>
        <w:tc>
          <w:tcPr>
            <w:tcW w:w="692" w:type="pct"/>
          </w:tcPr>
          <w:p w14:paraId="0715D1BD"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0.00</w:t>
            </w:r>
          </w:p>
        </w:tc>
        <w:tc>
          <w:tcPr>
            <w:tcW w:w="1000" w:type="pct"/>
          </w:tcPr>
          <w:p w14:paraId="6B1C051E"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&lt;0.01</w:t>
            </w:r>
          </w:p>
        </w:tc>
      </w:tr>
      <w:tr w:rsidR="001949E5" w:rsidRPr="00A5099D" w14:paraId="5F418FA2" w14:textId="77777777" w:rsidTr="00D30CC4">
        <w:trPr>
          <w:trHeight w:val="283"/>
        </w:trPr>
        <w:tc>
          <w:tcPr>
            <w:tcW w:w="1000" w:type="pct"/>
            <w:vAlign w:val="center"/>
          </w:tcPr>
          <w:p w14:paraId="09679044" w14:textId="77777777" w:rsidR="001949E5" w:rsidRPr="00A5099D" w:rsidRDefault="001949E5" w:rsidP="00D30CC4">
            <w:pPr>
              <w:rPr>
                <w:rFonts w:ascii="Arial" w:hAnsi="Arial" w:cs="Arial"/>
                <w:b/>
              </w:rPr>
            </w:pPr>
            <w:r w:rsidRPr="00A5099D">
              <w:rPr>
                <w:rFonts w:ascii="Arial" w:hAnsi="Arial" w:cs="Arial"/>
                <w:b/>
              </w:rPr>
              <w:t>Fe(ppm)</w:t>
            </w:r>
          </w:p>
        </w:tc>
        <w:tc>
          <w:tcPr>
            <w:tcW w:w="1178" w:type="pct"/>
          </w:tcPr>
          <w:p w14:paraId="651643B0" w14:textId="77777777" w:rsidR="001949E5" w:rsidRPr="00A5099D" w:rsidRDefault="001949E5" w:rsidP="00D30CC4">
            <w:pPr>
              <w:jc w:val="center"/>
              <w:rPr>
                <w:rFonts w:ascii="Arial" w:hAnsi="Arial" w:cs="Arial"/>
              </w:rPr>
            </w:pPr>
            <w:r w:rsidRPr="00A5099D">
              <w:rPr>
                <w:rFonts w:ascii="Arial" w:hAnsi="Arial" w:cs="Arial"/>
              </w:rPr>
              <w:t>373.03</w:t>
            </w:r>
          </w:p>
        </w:tc>
        <w:tc>
          <w:tcPr>
            <w:tcW w:w="1130" w:type="pct"/>
          </w:tcPr>
          <w:p w14:paraId="222F9F9D"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387.88</w:t>
            </w:r>
          </w:p>
        </w:tc>
        <w:tc>
          <w:tcPr>
            <w:tcW w:w="692" w:type="pct"/>
          </w:tcPr>
          <w:p w14:paraId="180B1A5C"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380.46</w:t>
            </w:r>
          </w:p>
        </w:tc>
        <w:tc>
          <w:tcPr>
            <w:tcW w:w="1000" w:type="pct"/>
          </w:tcPr>
          <w:p w14:paraId="7CFF0A78"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0.14</w:t>
            </w:r>
          </w:p>
        </w:tc>
      </w:tr>
      <w:tr w:rsidR="001949E5" w:rsidRPr="00A5099D" w14:paraId="0D809133" w14:textId="77777777" w:rsidTr="00D30CC4">
        <w:trPr>
          <w:trHeight w:val="283"/>
        </w:trPr>
        <w:tc>
          <w:tcPr>
            <w:tcW w:w="1000" w:type="pct"/>
            <w:vAlign w:val="center"/>
          </w:tcPr>
          <w:p w14:paraId="7130255F" w14:textId="77777777" w:rsidR="001949E5" w:rsidRPr="00A5099D" w:rsidRDefault="001949E5" w:rsidP="00D30CC4">
            <w:pPr>
              <w:rPr>
                <w:rFonts w:ascii="Arial" w:hAnsi="Arial" w:cs="Arial"/>
                <w:b/>
              </w:rPr>
            </w:pPr>
            <w:r w:rsidRPr="00A5099D">
              <w:rPr>
                <w:rFonts w:ascii="Arial" w:hAnsi="Arial" w:cs="Arial"/>
                <w:b/>
              </w:rPr>
              <w:t>Mn(ppm)</w:t>
            </w:r>
          </w:p>
        </w:tc>
        <w:tc>
          <w:tcPr>
            <w:tcW w:w="1178" w:type="pct"/>
          </w:tcPr>
          <w:p w14:paraId="5F16A073" w14:textId="77777777" w:rsidR="001949E5" w:rsidRPr="00A5099D" w:rsidRDefault="001949E5" w:rsidP="00D30CC4">
            <w:pPr>
              <w:jc w:val="center"/>
              <w:rPr>
                <w:rFonts w:ascii="Arial" w:hAnsi="Arial" w:cs="Arial"/>
              </w:rPr>
            </w:pPr>
            <w:r w:rsidRPr="00A5099D">
              <w:rPr>
                <w:rFonts w:ascii="Arial" w:hAnsi="Arial" w:cs="Arial"/>
              </w:rPr>
              <w:t>24.52</w:t>
            </w:r>
          </w:p>
        </w:tc>
        <w:tc>
          <w:tcPr>
            <w:tcW w:w="1130" w:type="pct"/>
          </w:tcPr>
          <w:p w14:paraId="02164E32"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25.93</w:t>
            </w:r>
          </w:p>
        </w:tc>
        <w:tc>
          <w:tcPr>
            <w:tcW w:w="692" w:type="pct"/>
          </w:tcPr>
          <w:p w14:paraId="2CC295A7"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25.22</w:t>
            </w:r>
          </w:p>
        </w:tc>
        <w:tc>
          <w:tcPr>
            <w:tcW w:w="1000" w:type="pct"/>
          </w:tcPr>
          <w:p w14:paraId="3FF3F812" w14:textId="77777777" w:rsidR="001949E5" w:rsidRPr="00A5099D" w:rsidRDefault="001949E5" w:rsidP="00D30CC4">
            <w:pPr>
              <w:autoSpaceDE w:val="0"/>
              <w:autoSpaceDN w:val="0"/>
              <w:adjustRightInd w:val="0"/>
              <w:jc w:val="center"/>
              <w:rPr>
                <w:rFonts w:ascii="Arial" w:hAnsi="Arial" w:cs="Arial"/>
              </w:rPr>
            </w:pPr>
            <w:r w:rsidRPr="00A5099D">
              <w:rPr>
                <w:rFonts w:ascii="Arial" w:hAnsi="Arial" w:cs="Arial"/>
              </w:rPr>
              <w:t>0.20</w:t>
            </w:r>
          </w:p>
        </w:tc>
      </w:tr>
    </w:tbl>
    <w:p w14:paraId="041D7C48" w14:textId="77777777" w:rsidR="001949E5" w:rsidRPr="001949E5" w:rsidRDefault="001949E5" w:rsidP="00F046EB">
      <w:pPr>
        <w:rPr>
          <w:rFonts w:ascii="Arial" w:hAnsi="Arial" w:cs="Arial"/>
          <w:i/>
          <w:iCs/>
          <w:sz w:val="18"/>
          <w:szCs w:val="18"/>
        </w:rPr>
      </w:pPr>
      <w:r w:rsidRPr="001949E5">
        <w:rPr>
          <w:rFonts w:ascii="Arial" w:hAnsi="Arial" w:cs="Arial"/>
          <w:i/>
          <w:iCs/>
          <w:sz w:val="18"/>
          <w:szCs w:val="18"/>
        </w:rPr>
        <w:t>Values with different small letter superscripts in a row differ between areas significantly: (P&lt;0.05</w:t>
      </w:r>
    </w:p>
    <w:p w14:paraId="34B27EF3" w14:textId="77777777" w:rsidR="001949E5" w:rsidRDefault="001949E5" w:rsidP="00F046EB">
      <w:pPr>
        <w:rPr>
          <w:rFonts w:ascii="Arial" w:hAnsi="Arial" w:cs="Arial"/>
          <w:b/>
          <w:bCs/>
        </w:rPr>
      </w:pPr>
    </w:p>
    <w:p w14:paraId="6AA11BF7" w14:textId="77777777" w:rsidR="001949E5" w:rsidRPr="00A5099D" w:rsidRDefault="001949E5" w:rsidP="001949E5">
      <w:pPr>
        <w:tabs>
          <w:tab w:val="left" w:pos="1895"/>
        </w:tabs>
        <w:jc w:val="both"/>
        <w:rPr>
          <w:rFonts w:ascii="Arial" w:hAnsi="Arial" w:cs="Arial"/>
          <w:b/>
          <w:bCs/>
        </w:rPr>
      </w:pPr>
      <w:r w:rsidRPr="00A5099D">
        <w:rPr>
          <w:rFonts w:ascii="Arial" w:hAnsi="Arial" w:cs="Arial"/>
          <w:b/>
          <w:bCs/>
        </w:rPr>
        <w:t>Table 3. Effect of zinc, copper and selenium biofortified fodder on milk somatic cell count in crossbred cows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954"/>
        <w:gridCol w:w="1192"/>
        <w:gridCol w:w="982"/>
        <w:gridCol w:w="1044"/>
        <w:gridCol w:w="1048"/>
        <w:gridCol w:w="1156"/>
      </w:tblGrid>
      <w:tr w:rsidR="001949E5" w:rsidRPr="00A5099D" w14:paraId="2DE6680D" w14:textId="77777777" w:rsidTr="00D30CC4">
        <w:trPr>
          <w:trHeight w:val="283"/>
        </w:trPr>
        <w:tc>
          <w:tcPr>
            <w:tcW w:w="1111" w:type="pct"/>
            <w:vMerge w:val="restart"/>
            <w:vAlign w:val="center"/>
          </w:tcPr>
          <w:p w14:paraId="41BAC37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Days</w:t>
            </w:r>
          </w:p>
        </w:tc>
        <w:tc>
          <w:tcPr>
            <w:tcW w:w="3889" w:type="pct"/>
            <w:gridSpan w:val="6"/>
          </w:tcPr>
          <w:p w14:paraId="34EAC723"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Somatic cell count (x10</w:t>
            </w:r>
            <w:r w:rsidRPr="00A5099D">
              <w:rPr>
                <w:rFonts w:ascii="Arial" w:hAnsi="Arial" w:cs="Arial"/>
                <w:b/>
                <w:sz w:val="20"/>
                <w:szCs w:val="20"/>
                <w:vertAlign w:val="superscript"/>
              </w:rPr>
              <w:t>5</w:t>
            </w:r>
            <w:r w:rsidRPr="00A5099D">
              <w:rPr>
                <w:rFonts w:ascii="Arial" w:hAnsi="Arial" w:cs="Arial"/>
                <w:b/>
                <w:sz w:val="20"/>
                <w:szCs w:val="20"/>
              </w:rPr>
              <w:t>/ml)</w:t>
            </w:r>
          </w:p>
        </w:tc>
      </w:tr>
      <w:tr w:rsidR="001949E5" w:rsidRPr="00A5099D" w14:paraId="7C794F80" w14:textId="77777777" w:rsidTr="00D30CC4">
        <w:trPr>
          <w:trHeight w:val="283"/>
        </w:trPr>
        <w:tc>
          <w:tcPr>
            <w:tcW w:w="1111" w:type="pct"/>
            <w:vMerge/>
            <w:vAlign w:val="center"/>
          </w:tcPr>
          <w:p w14:paraId="7B32887F" w14:textId="77777777" w:rsidR="001949E5" w:rsidRPr="00A5099D" w:rsidRDefault="001949E5" w:rsidP="00D30CC4">
            <w:pPr>
              <w:pStyle w:val="NoSpacing"/>
              <w:rPr>
                <w:rFonts w:ascii="Arial" w:hAnsi="Arial" w:cs="Arial"/>
                <w:b/>
                <w:sz w:val="20"/>
                <w:szCs w:val="20"/>
              </w:rPr>
            </w:pPr>
          </w:p>
        </w:tc>
        <w:tc>
          <w:tcPr>
            <w:tcW w:w="582" w:type="pct"/>
            <w:vAlign w:val="center"/>
          </w:tcPr>
          <w:p w14:paraId="5CAB5ECE"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T1</w:t>
            </w:r>
          </w:p>
        </w:tc>
        <w:tc>
          <w:tcPr>
            <w:tcW w:w="727" w:type="pct"/>
            <w:vAlign w:val="center"/>
          </w:tcPr>
          <w:p w14:paraId="3560E99E"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T2</w:t>
            </w:r>
          </w:p>
        </w:tc>
        <w:tc>
          <w:tcPr>
            <w:tcW w:w="599" w:type="pct"/>
            <w:vAlign w:val="center"/>
          </w:tcPr>
          <w:p w14:paraId="61EF11A3"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T3</w:t>
            </w:r>
          </w:p>
        </w:tc>
        <w:tc>
          <w:tcPr>
            <w:tcW w:w="637" w:type="pct"/>
          </w:tcPr>
          <w:p w14:paraId="2B847FB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Period mean</w:t>
            </w:r>
          </w:p>
        </w:tc>
        <w:tc>
          <w:tcPr>
            <w:tcW w:w="639" w:type="pct"/>
            <w:vAlign w:val="center"/>
          </w:tcPr>
          <w:p w14:paraId="15257A96"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SEM</w:t>
            </w:r>
          </w:p>
        </w:tc>
        <w:tc>
          <w:tcPr>
            <w:tcW w:w="705" w:type="pct"/>
            <w:vAlign w:val="center"/>
          </w:tcPr>
          <w:p w14:paraId="59DC88CF" w14:textId="77777777" w:rsidR="001949E5" w:rsidRPr="00A5099D" w:rsidRDefault="001949E5" w:rsidP="00D30CC4">
            <w:pPr>
              <w:pStyle w:val="NoSpacing"/>
              <w:rPr>
                <w:rFonts w:ascii="Arial" w:hAnsi="Arial" w:cs="Arial"/>
                <w:b/>
                <w:sz w:val="20"/>
                <w:szCs w:val="20"/>
              </w:rPr>
            </w:pPr>
            <w:r w:rsidRPr="00A5099D">
              <w:rPr>
                <w:rFonts w:ascii="Arial" w:hAnsi="Arial" w:cs="Arial"/>
                <w:b/>
                <w:sz w:val="20"/>
                <w:szCs w:val="20"/>
              </w:rPr>
              <w:t>P-value</w:t>
            </w:r>
          </w:p>
        </w:tc>
      </w:tr>
      <w:tr w:rsidR="001949E5" w:rsidRPr="00A5099D" w14:paraId="3F64CFC8" w14:textId="77777777" w:rsidTr="00D30CC4">
        <w:trPr>
          <w:trHeight w:val="283"/>
        </w:trPr>
        <w:tc>
          <w:tcPr>
            <w:tcW w:w="1111" w:type="pct"/>
            <w:vAlign w:val="center"/>
          </w:tcPr>
          <w:p w14:paraId="54EBEDB1" w14:textId="77777777" w:rsidR="001949E5" w:rsidRPr="00A5099D" w:rsidRDefault="001949E5" w:rsidP="00D30CC4">
            <w:pPr>
              <w:rPr>
                <w:rFonts w:ascii="Arial" w:hAnsi="Arial" w:cs="Arial"/>
                <w:b/>
              </w:rPr>
            </w:pPr>
            <w:r w:rsidRPr="00A5099D">
              <w:rPr>
                <w:rFonts w:ascii="Arial" w:hAnsi="Arial" w:cs="Arial"/>
                <w:b/>
              </w:rPr>
              <w:t>0</w:t>
            </w:r>
          </w:p>
        </w:tc>
        <w:tc>
          <w:tcPr>
            <w:tcW w:w="582" w:type="pct"/>
            <w:vAlign w:val="center"/>
          </w:tcPr>
          <w:p w14:paraId="7A0A7371" w14:textId="77777777" w:rsidR="001949E5" w:rsidRPr="00A5099D" w:rsidRDefault="001949E5" w:rsidP="00D30CC4">
            <w:pPr>
              <w:autoSpaceDE w:val="0"/>
              <w:autoSpaceDN w:val="0"/>
              <w:adjustRightInd w:val="0"/>
              <w:ind w:left="60" w:right="60"/>
              <w:rPr>
                <w:rFonts w:ascii="Arial" w:hAnsi="Arial" w:cs="Arial"/>
                <w:vertAlign w:val="superscript"/>
              </w:rPr>
            </w:pPr>
            <w:r w:rsidRPr="00A5099D">
              <w:rPr>
                <w:rFonts w:ascii="Arial" w:hAnsi="Arial" w:cs="Arial"/>
              </w:rPr>
              <w:t>3.25</w:t>
            </w:r>
            <w:r w:rsidRPr="00A5099D">
              <w:rPr>
                <w:rFonts w:ascii="Arial" w:hAnsi="Arial" w:cs="Arial"/>
                <w:vertAlign w:val="superscript"/>
              </w:rPr>
              <w:t>a</w:t>
            </w:r>
          </w:p>
        </w:tc>
        <w:tc>
          <w:tcPr>
            <w:tcW w:w="727" w:type="pct"/>
            <w:vAlign w:val="center"/>
          </w:tcPr>
          <w:p w14:paraId="7DFBB593" w14:textId="77777777" w:rsidR="001949E5" w:rsidRPr="00A5099D" w:rsidRDefault="001949E5" w:rsidP="00D30CC4">
            <w:pPr>
              <w:autoSpaceDE w:val="0"/>
              <w:autoSpaceDN w:val="0"/>
              <w:adjustRightInd w:val="0"/>
              <w:rPr>
                <w:rFonts w:ascii="Arial" w:hAnsi="Arial" w:cs="Arial"/>
                <w:vertAlign w:val="superscript"/>
              </w:rPr>
            </w:pPr>
            <w:r w:rsidRPr="00A5099D">
              <w:rPr>
                <w:rFonts w:ascii="Arial" w:hAnsi="Arial" w:cs="Arial"/>
              </w:rPr>
              <w:t>3.02</w:t>
            </w:r>
            <w:r w:rsidRPr="00A5099D">
              <w:rPr>
                <w:rFonts w:ascii="Arial" w:hAnsi="Arial" w:cs="Arial"/>
                <w:vertAlign w:val="superscript"/>
              </w:rPr>
              <w:t>b</w:t>
            </w:r>
          </w:p>
        </w:tc>
        <w:tc>
          <w:tcPr>
            <w:tcW w:w="599" w:type="pct"/>
            <w:vAlign w:val="center"/>
          </w:tcPr>
          <w:p w14:paraId="3C71CE99" w14:textId="77777777" w:rsidR="001949E5" w:rsidRPr="00A5099D" w:rsidRDefault="001949E5" w:rsidP="00D30CC4">
            <w:pPr>
              <w:rPr>
                <w:rFonts w:ascii="Arial" w:hAnsi="Arial" w:cs="Arial"/>
                <w:vertAlign w:val="superscript"/>
              </w:rPr>
            </w:pPr>
            <w:r w:rsidRPr="00A5099D">
              <w:rPr>
                <w:rFonts w:ascii="Arial" w:hAnsi="Arial" w:cs="Arial"/>
              </w:rPr>
              <w:t>2.99</w:t>
            </w:r>
            <w:r w:rsidRPr="00A5099D">
              <w:rPr>
                <w:rFonts w:ascii="Arial" w:hAnsi="Arial" w:cs="Arial"/>
                <w:vertAlign w:val="superscript"/>
              </w:rPr>
              <w:t>b</w:t>
            </w:r>
          </w:p>
        </w:tc>
        <w:tc>
          <w:tcPr>
            <w:tcW w:w="637" w:type="pct"/>
          </w:tcPr>
          <w:p w14:paraId="750FA9B5"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 xml:space="preserve">3.09 </w:t>
            </w:r>
          </w:p>
        </w:tc>
        <w:tc>
          <w:tcPr>
            <w:tcW w:w="639" w:type="pct"/>
            <w:vAlign w:val="center"/>
          </w:tcPr>
          <w:p w14:paraId="74EE74B2"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0.04</w:t>
            </w:r>
          </w:p>
        </w:tc>
        <w:tc>
          <w:tcPr>
            <w:tcW w:w="705" w:type="pct"/>
          </w:tcPr>
          <w:p w14:paraId="7AFFB8E3"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7F5AD21" w14:textId="77777777" w:rsidTr="00D30CC4">
        <w:trPr>
          <w:trHeight w:val="283"/>
        </w:trPr>
        <w:tc>
          <w:tcPr>
            <w:tcW w:w="1111" w:type="pct"/>
            <w:vAlign w:val="center"/>
          </w:tcPr>
          <w:p w14:paraId="1983F41D" w14:textId="77777777" w:rsidR="001949E5" w:rsidRPr="00A5099D" w:rsidRDefault="001949E5" w:rsidP="00D30CC4">
            <w:pPr>
              <w:rPr>
                <w:rFonts w:ascii="Arial" w:hAnsi="Arial" w:cs="Arial"/>
                <w:b/>
              </w:rPr>
            </w:pPr>
            <w:r w:rsidRPr="00A5099D">
              <w:rPr>
                <w:rFonts w:ascii="Arial" w:hAnsi="Arial" w:cs="Arial"/>
                <w:b/>
              </w:rPr>
              <w:t>15</w:t>
            </w:r>
          </w:p>
        </w:tc>
        <w:tc>
          <w:tcPr>
            <w:tcW w:w="582" w:type="pct"/>
            <w:vAlign w:val="center"/>
          </w:tcPr>
          <w:p w14:paraId="7638C8CF"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2.56</w:t>
            </w:r>
            <w:r w:rsidRPr="00A5099D">
              <w:rPr>
                <w:rFonts w:ascii="Arial" w:hAnsi="Arial" w:cs="Arial"/>
                <w:vertAlign w:val="superscript"/>
              </w:rPr>
              <w:t>a</w:t>
            </w:r>
          </w:p>
        </w:tc>
        <w:tc>
          <w:tcPr>
            <w:tcW w:w="727" w:type="pct"/>
            <w:vAlign w:val="center"/>
          </w:tcPr>
          <w:p w14:paraId="7B7CA9F4"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1.64</w:t>
            </w:r>
            <w:r w:rsidRPr="00A5099D">
              <w:rPr>
                <w:rFonts w:ascii="Arial" w:hAnsi="Arial" w:cs="Arial"/>
                <w:vertAlign w:val="superscript"/>
              </w:rPr>
              <w:t>b</w:t>
            </w:r>
          </w:p>
        </w:tc>
        <w:tc>
          <w:tcPr>
            <w:tcW w:w="599" w:type="pct"/>
            <w:vAlign w:val="center"/>
          </w:tcPr>
          <w:p w14:paraId="7890E01C" w14:textId="77777777" w:rsidR="001949E5" w:rsidRPr="00A5099D" w:rsidRDefault="001949E5" w:rsidP="00D30CC4">
            <w:pPr>
              <w:rPr>
                <w:rFonts w:ascii="Arial" w:hAnsi="Arial" w:cs="Arial"/>
              </w:rPr>
            </w:pPr>
            <w:r w:rsidRPr="00A5099D">
              <w:rPr>
                <w:rFonts w:ascii="Arial" w:hAnsi="Arial" w:cs="Arial"/>
              </w:rPr>
              <w:t>1.63</w:t>
            </w:r>
            <w:r w:rsidRPr="00A5099D">
              <w:rPr>
                <w:rFonts w:ascii="Arial" w:hAnsi="Arial" w:cs="Arial"/>
                <w:vertAlign w:val="superscript"/>
              </w:rPr>
              <w:t>b</w:t>
            </w:r>
          </w:p>
        </w:tc>
        <w:tc>
          <w:tcPr>
            <w:tcW w:w="637" w:type="pct"/>
          </w:tcPr>
          <w:p w14:paraId="68F296B8"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1.94</w:t>
            </w:r>
          </w:p>
        </w:tc>
        <w:tc>
          <w:tcPr>
            <w:tcW w:w="639" w:type="pct"/>
            <w:vAlign w:val="center"/>
          </w:tcPr>
          <w:p w14:paraId="3D8CF71F"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0.13</w:t>
            </w:r>
          </w:p>
        </w:tc>
        <w:tc>
          <w:tcPr>
            <w:tcW w:w="705" w:type="pct"/>
          </w:tcPr>
          <w:p w14:paraId="63F137C7"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A6A4081" w14:textId="77777777" w:rsidTr="00D30CC4">
        <w:trPr>
          <w:trHeight w:val="374"/>
        </w:trPr>
        <w:tc>
          <w:tcPr>
            <w:tcW w:w="1111" w:type="pct"/>
            <w:vAlign w:val="center"/>
          </w:tcPr>
          <w:p w14:paraId="66FF8AAD" w14:textId="77777777" w:rsidR="001949E5" w:rsidRPr="00A5099D" w:rsidRDefault="001949E5" w:rsidP="00D30CC4">
            <w:pPr>
              <w:rPr>
                <w:rFonts w:ascii="Arial" w:hAnsi="Arial" w:cs="Arial"/>
                <w:b/>
              </w:rPr>
            </w:pPr>
            <w:r w:rsidRPr="00A5099D">
              <w:rPr>
                <w:rFonts w:ascii="Arial" w:hAnsi="Arial" w:cs="Arial"/>
                <w:b/>
              </w:rPr>
              <w:t>30</w:t>
            </w:r>
          </w:p>
        </w:tc>
        <w:tc>
          <w:tcPr>
            <w:tcW w:w="582" w:type="pct"/>
            <w:vAlign w:val="center"/>
          </w:tcPr>
          <w:p w14:paraId="7477F7D2" w14:textId="77777777" w:rsidR="001949E5" w:rsidRPr="00A5099D" w:rsidRDefault="001949E5" w:rsidP="00D30CC4">
            <w:pPr>
              <w:autoSpaceDE w:val="0"/>
              <w:autoSpaceDN w:val="0"/>
              <w:adjustRightInd w:val="0"/>
              <w:ind w:left="60" w:right="60"/>
              <w:rPr>
                <w:rFonts w:ascii="Arial" w:hAnsi="Arial" w:cs="Arial"/>
                <w:vertAlign w:val="superscript"/>
              </w:rPr>
            </w:pPr>
            <w:r w:rsidRPr="00A5099D">
              <w:rPr>
                <w:rFonts w:ascii="Arial" w:hAnsi="Arial" w:cs="Arial"/>
              </w:rPr>
              <w:t>2.15</w:t>
            </w:r>
            <w:r w:rsidRPr="00A5099D">
              <w:rPr>
                <w:rFonts w:ascii="Arial" w:hAnsi="Arial" w:cs="Arial"/>
                <w:vertAlign w:val="superscript"/>
              </w:rPr>
              <w:t>a</w:t>
            </w:r>
          </w:p>
        </w:tc>
        <w:tc>
          <w:tcPr>
            <w:tcW w:w="727" w:type="pct"/>
            <w:vAlign w:val="center"/>
          </w:tcPr>
          <w:p w14:paraId="396B1F7C"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1.59</w:t>
            </w:r>
            <w:r w:rsidRPr="00A5099D">
              <w:rPr>
                <w:rFonts w:ascii="Arial" w:hAnsi="Arial" w:cs="Arial"/>
                <w:vertAlign w:val="superscript"/>
              </w:rPr>
              <w:t>b</w:t>
            </w:r>
          </w:p>
        </w:tc>
        <w:tc>
          <w:tcPr>
            <w:tcW w:w="599" w:type="pct"/>
            <w:vAlign w:val="center"/>
          </w:tcPr>
          <w:p w14:paraId="5DA3BCF9" w14:textId="77777777" w:rsidR="001949E5" w:rsidRPr="00A5099D" w:rsidRDefault="001949E5" w:rsidP="00D30CC4">
            <w:pPr>
              <w:rPr>
                <w:rFonts w:ascii="Arial" w:hAnsi="Arial" w:cs="Arial"/>
                <w:vertAlign w:val="superscript"/>
              </w:rPr>
            </w:pPr>
            <w:r w:rsidRPr="00A5099D">
              <w:rPr>
                <w:rFonts w:ascii="Arial" w:hAnsi="Arial" w:cs="Arial"/>
              </w:rPr>
              <w:t>1.53</w:t>
            </w:r>
            <w:r w:rsidRPr="00A5099D">
              <w:rPr>
                <w:rFonts w:ascii="Arial" w:hAnsi="Arial" w:cs="Arial"/>
                <w:vertAlign w:val="superscript"/>
              </w:rPr>
              <w:t>b</w:t>
            </w:r>
          </w:p>
        </w:tc>
        <w:tc>
          <w:tcPr>
            <w:tcW w:w="637" w:type="pct"/>
          </w:tcPr>
          <w:p w14:paraId="6D958FFE"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1.77</w:t>
            </w:r>
          </w:p>
        </w:tc>
        <w:tc>
          <w:tcPr>
            <w:tcW w:w="639" w:type="pct"/>
            <w:vAlign w:val="center"/>
          </w:tcPr>
          <w:p w14:paraId="1DC206ED"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0.09</w:t>
            </w:r>
          </w:p>
        </w:tc>
        <w:tc>
          <w:tcPr>
            <w:tcW w:w="705" w:type="pct"/>
          </w:tcPr>
          <w:p w14:paraId="37906B1E"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&lt;0.01</w:t>
            </w:r>
          </w:p>
        </w:tc>
      </w:tr>
      <w:tr w:rsidR="001949E5" w:rsidRPr="00A5099D" w14:paraId="300950B6" w14:textId="77777777" w:rsidTr="00D30CC4">
        <w:trPr>
          <w:trHeight w:val="283"/>
        </w:trPr>
        <w:tc>
          <w:tcPr>
            <w:tcW w:w="1111" w:type="pct"/>
            <w:vAlign w:val="center"/>
          </w:tcPr>
          <w:p w14:paraId="19397034" w14:textId="77777777" w:rsidR="001949E5" w:rsidRPr="00A5099D" w:rsidRDefault="001949E5" w:rsidP="00D30CC4">
            <w:pPr>
              <w:rPr>
                <w:rFonts w:ascii="Arial" w:hAnsi="Arial" w:cs="Arial"/>
                <w:b/>
              </w:rPr>
            </w:pPr>
            <w:r w:rsidRPr="00A5099D">
              <w:rPr>
                <w:rFonts w:ascii="Arial" w:hAnsi="Arial" w:cs="Arial"/>
                <w:b/>
              </w:rPr>
              <w:t>Treatment mean</w:t>
            </w:r>
          </w:p>
        </w:tc>
        <w:tc>
          <w:tcPr>
            <w:tcW w:w="582" w:type="pct"/>
          </w:tcPr>
          <w:p w14:paraId="4B923E7A"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2.65</w:t>
            </w:r>
          </w:p>
        </w:tc>
        <w:tc>
          <w:tcPr>
            <w:tcW w:w="727" w:type="pct"/>
          </w:tcPr>
          <w:p w14:paraId="4473A204" w14:textId="77777777" w:rsidR="001949E5" w:rsidRPr="00A5099D" w:rsidRDefault="001949E5" w:rsidP="00D30CC4">
            <w:pPr>
              <w:autoSpaceDE w:val="0"/>
              <w:autoSpaceDN w:val="0"/>
              <w:adjustRightInd w:val="0"/>
              <w:rPr>
                <w:rFonts w:ascii="Arial" w:hAnsi="Arial" w:cs="Arial"/>
              </w:rPr>
            </w:pPr>
            <w:r w:rsidRPr="00A5099D">
              <w:rPr>
                <w:rFonts w:ascii="Arial" w:hAnsi="Arial" w:cs="Arial"/>
              </w:rPr>
              <w:t>2.09</w:t>
            </w:r>
          </w:p>
        </w:tc>
        <w:tc>
          <w:tcPr>
            <w:tcW w:w="599" w:type="pct"/>
          </w:tcPr>
          <w:p w14:paraId="231B492C" w14:textId="77777777" w:rsidR="001949E5" w:rsidRPr="00A5099D" w:rsidRDefault="001949E5" w:rsidP="00D30CC4">
            <w:pPr>
              <w:rPr>
                <w:rFonts w:ascii="Arial" w:hAnsi="Arial" w:cs="Arial"/>
              </w:rPr>
            </w:pPr>
            <w:r w:rsidRPr="00A5099D">
              <w:rPr>
                <w:rFonts w:ascii="Arial" w:hAnsi="Arial" w:cs="Arial"/>
              </w:rPr>
              <w:t>2.07</w:t>
            </w:r>
          </w:p>
        </w:tc>
        <w:tc>
          <w:tcPr>
            <w:tcW w:w="637" w:type="pct"/>
          </w:tcPr>
          <w:p w14:paraId="68D2EF07"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2.27</w:t>
            </w:r>
          </w:p>
        </w:tc>
        <w:tc>
          <w:tcPr>
            <w:tcW w:w="639" w:type="pct"/>
          </w:tcPr>
          <w:p w14:paraId="7F28DBC5"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0.10</w:t>
            </w:r>
          </w:p>
        </w:tc>
        <w:tc>
          <w:tcPr>
            <w:tcW w:w="705" w:type="pct"/>
            <w:vAlign w:val="center"/>
          </w:tcPr>
          <w:p w14:paraId="5D841AE9" w14:textId="77777777" w:rsidR="001949E5" w:rsidRPr="00A5099D" w:rsidRDefault="001949E5" w:rsidP="00D30CC4">
            <w:pPr>
              <w:autoSpaceDE w:val="0"/>
              <w:autoSpaceDN w:val="0"/>
              <w:adjustRightInd w:val="0"/>
              <w:ind w:left="60" w:right="60"/>
              <w:rPr>
                <w:rFonts w:ascii="Arial" w:hAnsi="Arial" w:cs="Arial"/>
              </w:rPr>
            </w:pPr>
            <w:r w:rsidRPr="00A5099D">
              <w:rPr>
                <w:rFonts w:ascii="Arial" w:hAnsi="Arial" w:cs="Arial"/>
              </w:rPr>
              <w:t>0.02</w:t>
            </w:r>
          </w:p>
        </w:tc>
      </w:tr>
    </w:tbl>
    <w:p w14:paraId="706A1774" w14:textId="77777777" w:rsidR="001949E5" w:rsidRPr="006F3584" w:rsidRDefault="001949E5" w:rsidP="001949E5">
      <w:pPr>
        <w:tabs>
          <w:tab w:val="left" w:pos="10980"/>
        </w:tabs>
        <w:jc w:val="both"/>
        <w:rPr>
          <w:rFonts w:ascii="Arial" w:hAnsi="Arial" w:cs="Arial"/>
          <w:i/>
          <w:iCs/>
          <w:sz w:val="18"/>
          <w:szCs w:val="18"/>
        </w:rPr>
      </w:pPr>
      <w:r w:rsidRPr="006F3584">
        <w:rPr>
          <w:rFonts w:ascii="Arial" w:hAnsi="Arial" w:cs="Arial"/>
          <w:i/>
          <w:iCs/>
          <w:sz w:val="18"/>
          <w:szCs w:val="18"/>
        </w:rPr>
        <w:t>Values with different small letter superscripts in a row differ between groups significantly (P&lt;0.05)</w:t>
      </w:r>
    </w:p>
    <w:p w14:paraId="4515C70C" w14:textId="77777777" w:rsidR="001949E5" w:rsidRPr="00A5099D" w:rsidRDefault="001949E5" w:rsidP="001949E5">
      <w:pPr>
        <w:tabs>
          <w:tab w:val="left" w:pos="10980"/>
        </w:tabs>
        <w:jc w:val="both"/>
        <w:rPr>
          <w:rFonts w:ascii="Arial" w:hAnsi="Arial" w:cs="Arial"/>
          <w:i/>
          <w:iCs/>
        </w:rPr>
      </w:pPr>
    </w:p>
    <w:p w14:paraId="53F6FAF6" w14:textId="77777777" w:rsidR="001949E5" w:rsidRPr="00A5099D" w:rsidRDefault="001949E5" w:rsidP="001949E5">
      <w:pPr>
        <w:jc w:val="both"/>
        <w:rPr>
          <w:rFonts w:ascii="Arial" w:hAnsi="Arial" w:cs="Arial"/>
        </w:rPr>
      </w:pPr>
      <w:r w:rsidRPr="00A5099D">
        <w:rPr>
          <w:rFonts w:ascii="Arial" w:hAnsi="Arial" w:cs="Arial"/>
          <w:b/>
          <w:bCs/>
        </w:rPr>
        <w:t>Table 4. Effect of zinc, copper and selenium biofortified fodder on incidence of subclinical mastitis (MCMT) and post parturient disorders in crossbred cows</w:t>
      </w:r>
    </w:p>
    <w:tbl>
      <w:tblPr>
        <w:tblStyle w:val="TableGrid"/>
        <w:tblW w:w="5000" w:type="pct"/>
        <w:tblLook w:val="04A0" w:firstRow="1" w:lastRow="0" w:firstColumn="1" w:lastColumn="0" w:noHBand="0" w:noVBand="1"/>
      </w:tblPr>
      <w:tblGrid>
        <w:gridCol w:w="1643"/>
        <w:gridCol w:w="1664"/>
        <w:gridCol w:w="1589"/>
        <w:gridCol w:w="1589"/>
        <w:gridCol w:w="1713"/>
      </w:tblGrid>
      <w:tr w:rsidR="001949E5" w:rsidRPr="00A5099D" w14:paraId="0E7FE69C" w14:textId="77777777" w:rsidTr="00D30CC4">
        <w:tc>
          <w:tcPr>
            <w:tcW w:w="1002" w:type="pct"/>
          </w:tcPr>
          <w:p w14:paraId="45069665"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Group</w:t>
            </w:r>
          </w:p>
        </w:tc>
        <w:tc>
          <w:tcPr>
            <w:tcW w:w="1015" w:type="pct"/>
          </w:tcPr>
          <w:p w14:paraId="28C4712B"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Teat infected (%)</w:t>
            </w:r>
          </w:p>
        </w:tc>
        <w:tc>
          <w:tcPr>
            <w:tcW w:w="969" w:type="pct"/>
          </w:tcPr>
          <w:p w14:paraId="1336353F"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Cattle infected (%)</w:t>
            </w:r>
          </w:p>
        </w:tc>
        <w:tc>
          <w:tcPr>
            <w:tcW w:w="969" w:type="pct"/>
          </w:tcPr>
          <w:p w14:paraId="21A57553"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Score/Teat</w:t>
            </w:r>
          </w:p>
        </w:tc>
        <w:tc>
          <w:tcPr>
            <w:tcW w:w="1046" w:type="pct"/>
          </w:tcPr>
          <w:p w14:paraId="6392B6E9"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Post parturient disorders (%)</w:t>
            </w:r>
          </w:p>
        </w:tc>
      </w:tr>
      <w:tr w:rsidR="001949E5" w:rsidRPr="00A5099D" w14:paraId="6A362ED9" w14:textId="77777777" w:rsidTr="00D30CC4">
        <w:tc>
          <w:tcPr>
            <w:tcW w:w="1002" w:type="pct"/>
          </w:tcPr>
          <w:p w14:paraId="5BBE999B" w14:textId="77777777" w:rsidR="001949E5" w:rsidRPr="00A5099D" w:rsidRDefault="001949E5" w:rsidP="00D30CC4">
            <w:pPr>
              <w:rPr>
                <w:rFonts w:ascii="Arial" w:hAnsi="Arial" w:cs="Arial"/>
                <w:sz w:val="20"/>
                <w:szCs w:val="20"/>
              </w:rPr>
            </w:pPr>
            <w:r w:rsidRPr="00A5099D">
              <w:rPr>
                <w:rFonts w:ascii="Arial" w:hAnsi="Arial" w:cs="Arial"/>
                <w:sz w:val="20"/>
                <w:szCs w:val="20"/>
              </w:rPr>
              <w:t>T1</w:t>
            </w:r>
          </w:p>
        </w:tc>
        <w:tc>
          <w:tcPr>
            <w:tcW w:w="1015" w:type="pct"/>
          </w:tcPr>
          <w:p w14:paraId="3A17AC38" w14:textId="77777777" w:rsidR="001949E5" w:rsidRPr="00A5099D" w:rsidRDefault="001949E5" w:rsidP="00D30CC4">
            <w:pPr>
              <w:rPr>
                <w:rFonts w:ascii="Arial" w:hAnsi="Arial" w:cs="Arial"/>
                <w:sz w:val="20"/>
                <w:szCs w:val="20"/>
              </w:rPr>
            </w:pPr>
            <w:r w:rsidRPr="00A5099D">
              <w:rPr>
                <w:rFonts w:ascii="Arial" w:hAnsi="Arial" w:cs="Arial"/>
                <w:sz w:val="20"/>
                <w:szCs w:val="20"/>
              </w:rPr>
              <w:t>30</w:t>
            </w:r>
          </w:p>
        </w:tc>
        <w:tc>
          <w:tcPr>
            <w:tcW w:w="969" w:type="pct"/>
          </w:tcPr>
          <w:p w14:paraId="3936C32D" w14:textId="77777777" w:rsidR="001949E5" w:rsidRPr="00A5099D" w:rsidRDefault="001949E5" w:rsidP="00D30CC4">
            <w:pPr>
              <w:rPr>
                <w:rFonts w:ascii="Arial" w:hAnsi="Arial" w:cs="Arial"/>
                <w:sz w:val="20"/>
                <w:szCs w:val="20"/>
              </w:rPr>
            </w:pPr>
            <w:r w:rsidRPr="00A5099D">
              <w:rPr>
                <w:rFonts w:ascii="Arial" w:hAnsi="Arial" w:cs="Arial"/>
                <w:sz w:val="20"/>
                <w:szCs w:val="20"/>
              </w:rPr>
              <w:t>60</w:t>
            </w:r>
          </w:p>
        </w:tc>
        <w:tc>
          <w:tcPr>
            <w:tcW w:w="969" w:type="pct"/>
          </w:tcPr>
          <w:p w14:paraId="04EA5F3B" w14:textId="77777777" w:rsidR="001949E5" w:rsidRPr="00A5099D" w:rsidRDefault="001949E5" w:rsidP="00D30CC4">
            <w:pPr>
              <w:rPr>
                <w:rFonts w:ascii="Arial" w:hAnsi="Arial" w:cs="Arial"/>
                <w:sz w:val="20"/>
                <w:szCs w:val="20"/>
              </w:rPr>
            </w:pPr>
            <w:r w:rsidRPr="00A5099D">
              <w:rPr>
                <w:rFonts w:ascii="Arial" w:hAnsi="Arial" w:cs="Arial"/>
                <w:sz w:val="20"/>
                <w:szCs w:val="20"/>
              </w:rPr>
              <w:t>0.40</w:t>
            </w:r>
          </w:p>
        </w:tc>
        <w:tc>
          <w:tcPr>
            <w:tcW w:w="1046" w:type="pct"/>
          </w:tcPr>
          <w:p w14:paraId="2E5411A8"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73F66890" w14:textId="77777777" w:rsidTr="00D30CC4">
        <w:tc>
          <w:tcPr>
            <w:tcW w:w="1002" w:type="pct"/>
          </w:tcPr>
          <w:p w14:paraId="3BB02C59" w14:textId="77777777" w:rsidR="001949E5" w:rsidRPr="00A5099D" w:rsidRDefault="001949E5" w:rsidP="00D30CC4">
            <w:pPr>
              <w:rPr>
                <w:rFonts w:ascii="Arial" w:hAnsi="Arial" w:cs="Arial"/>
                <w:sz w:val="20"/>
                <w:szCs w:val="20"/>
              </w:rPr>
            </w:pPr>
            <w:r w:rsidRPr="00A5099D">
              <w:rPr>
                <w:rFonts w:ascii="Arial" w:hAnsi="Arial" w:cs="Arial"/>
                <w:sz w:val="20"/>
                <w:szCs w:val="20"/>
              </w:rPr>
              <w:t>T2</w:t>
            </w:r>
          </w:p>
        </w:tc>
        <w:tc>
          <w:tcPr>
            <w:tcW w:w="1015" w:type="pct"/>
          </w:tcPr>
          <w:p w14:paraId="70A23349" w14:textId="77777777" w:rsidR="001949E5" w:rsidRPr="00A5099D" w:rsidRDefault="001949E5" w:rsidP="00D30CC4">
            <w:pPr>
              <w:rPr>
                <w:rFonts w:ascii="Arial" w:hAnsi="Arial" w:cs="Arial"/>
                <w:sz w:val="20"/>
                <w:szCs w:val="20"/>
              </w:rPr>
            </w:pPr>
            <w:r w:rsidRPr="00A5099D">
              <w:rPr>
                <w:rFonts w:ascii="Arial" w:hAnsi="Arial" w:cs="Arial"/>
                <w:sz w:val="20"/>
                <w:szCs w:val="20"/>
              </w:rPr>
              <w:t>10</w:t>
            </w:r>
          </w:p>
        </w:tc>
        <w:tc>
          <w:tcPr>
            <w:tcW w:w="969" w:type="pct"/>
          </w:tcPr>
          <w:p w14:paraId="1996795F" w14:textId="77777777" w:rsidR="001949E5" w:rsidRPr="00A5099D" w:rsidRDefault="001949E5" w:rsidP="00D30CC4">
            <w:pPr>
              <w:rPr>
                <w:rFonts w:ascii="Arial" w:hAnsi="Arial" w:cs="Arial"/>
                <w:sz w:val="20"/>
                <w:szCs w:val="20"/>
              </w:rPr>
            </w:pPr>
            <w:r w:rsidRPr="00A5099D">
              <w:rPr>
                <w:rFonts w:ascii="Arial" w:hAnsi="Arial" w:cs="Arial"/>
                <w:sz w:val="20"/>
                <w:szCs w:val="20"/>
              </w:rPr>
              <w:t>40</w:t>
            </w:r>
          </w:p>
        </w:tc>
        <w:tc>
          <w:tcPr>
            <w:tcW w:w="969" w:type="pct"/>
          </w:tcPr>
          <w:p w14:paraId="3CBB031C" w14:textId="77777777" w:rsidR="001949E5" w:rsidRPr="00A5099D" w:rsidRDefault="001949E5" w:rsidP="00D30CC4">
            <w:pPr>
              <w:rPr>
                <w:rFonts w:ascii="Arial" w:hAnsi="Arial" w:cs="Arial"/>
                <w:sz w:val="20"/>
                <w:szCs w:val="20"/>
              </w:rPr>
            </w:pPr>
            <w:r w:rsidRPr="00A5099D">
              <w:rPr>
                <w:rFonts w:ascii="Arial" w:hAnsi="Arial" w:cs="Arial"/>
                <w:sz w:val="20"/>
                <w:szCs w:val="20"/>
              </w:rPr>
              <w:t>0.15</w:t>
            </w:r>
          </w:p>
        </w:tc>
        <w:tc>
          <w:tcPr>
            <w:tcW w:w="1046" w:type="pct"/>
          </w:tcPr>
          <w:p w14:paraId="6D731B97"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20A7348B" w14:textId="77777777" w:rsidTr="00D30CC4">
        <w:tc>
          <w:tcPr>
            <w:tcW w:w="1002" w:type="pct"/>
          </w:tcPr>
          <w:p w14:paraId="4F164E21" w14:textId="77777777" w:rsidR="001949E5" w:rsidRPr="00A5099D" w:rsidRDefault="001949E5" w:rsidP="00D30CC4">
            <w:pPr>
              <w:rPr>
                <w:rFonts w:ascii="Arial" w:hAnsi="Arial" w:cs="Arial"/>
                <w:sz w:val="20"/>
                <w:szCs w:val="20"/>
              </w:rPr>
            </w:pPr>
            <w:r w:rsidRPr="00A5099D">
              <w:rPr>
                <w:rFonts w:ascii="Arial" w:hAnsi="Arial" w:cs="Arial"/>
                <w:sz w:val="20"/>
                <w:szCs w:val="20"/>
              </w:rPr>
              <w:t>T3</w:t>
            </w:r>
          </w:p>
        </w:tc>
        <w:tc>
          <w:tcPr>
            <w:tcW w:w="1015" w:type="pct"/>
          </w:tcPr>
          <w:p w14:paraId="25C01E88" w14:textId="77777777" w:rsidR="001949E5" w:rsidRPr="00A5099D" w:rsidRDefault="001949E5" w:rsidP="00D30CC4">
            <w:pPr>
              <w:rPr>
                <w:rFonts w:ascii="Arial" w:hAnsi="Arial" w:cs="Arial"/>
                <w:sz w:val="20"/>
                <w:szCs w:val="20"/>
              </w:rPr>
            </w:pPr>
            <w:r w:rsidRPr="00A5099D">
              <w:rPr>
                <w:rFonts w:ascii="Arial" w:hAnsi="Arial" w:cs="Arial"/>
                <w:sz w:val="20"/>
                <w:szCs w:val="20"/>
              </w:rPr>
              <w:t>10</w:t>
            </w:r>
          </w:p>
        </w:tc>
        <w:tc>
          <w:tcPr>
            <w:tcW w:w="969" w:type="pct"/>
          </w:tcPr>
          <w:p w14:paraId="56601960" w14:textId="77777777" w:rsidR="001949E5" w:rsidRPr="00A5099D" w:rsidRDefault="001949E5" w:rsidP="00D30CC4">
            <w:pPr>
              <w:rPr>
                <w:rFonts w:ascii="Arial" w:hAnsi="Arial" w:cs="Arial"/>
                <w:sz w:val="20"/>
                <w:szCs w:val="20"/>
              </w:rPr>
            </w:pPr>
            <w:r w:rsidRPr="00A5099D">
              <w:rPr>
                <w:rFonts w:ascii="Arial" w:hAnsi="Arial" w:cs="Arial"/>
                <w:sz w:val="20"/>
                <w:szCs w:val="20"/>
              </w:rPr>
              <w:t>40</w:t>
            </w:r>
          </w:p>
        </w:tc>
        <w:tc>
          <w:tcPr>
            <w:tcW w:w="969" w:type="pct"/>
          </w:tcPr>
          <w:p w14:paraId="3FBA6D23" w14:textId="77777777" w:rsidR="001949E5" w:rsidRPr="00A5099D" w:rsidRDefault="001949E5" w:rsidP="00D30CC4">
            <w:pPr>
              <w:rPr>
                <w:rFonts w:ascii="Arial" w:hAnsi="Arial" w:cs="Arial"/>
                <w:sz w:val="20"/>
                <w:szCs w:val="20"/>
              </w:rPr>
            </w:pPr>
            <w:r w:rsidRPr="00A5099D">
              <w:rPr>
                <w:rFonts w:ascii="Arial" w:hAnsi="Arial" w:cs="Arial"/>
                <w:sz w:val="20"/>
                <w:szCs w:val="20"/>
              </w:rPr>
              <w:t>0.10</w:t>
            </w:r>
          </w:p>
        </w:tc>
        <w:tc>
          <w:tcPr>
            <w:tcW w:w="1046" w:type="pct"/>
          </w:tcPr>
          <w:p w14:paraId="6DF9BBD1"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r w:rsidR="001949E5" w:rsidRPr="00A5099D" w14:paraId="66005D6D" w14:textId="77777777" w:rsidTr="00D30CC4">
        <w:tc>
          <w:tcPr>
            <w:tcW w:w="1002" w:type="pct"/>
          </w:tcPr>
          <w:p w14:paraId="49977676" w14:textId="77777777" w:rsidR="001949E5" w:rsidRPr="00A5099D" w:rsidRDefault="001949E5" w:rsidP="00D30CC4">
            <w:pPr>
              <w:rPr>
                <w:rFonts w:ascii="Arial" w:hAnsi="Arial" w:cs="Arial"/>
                <w:b/>
                <w:bCs/>
                <w:sz w:val="20"/>
                <w:szCs w:val="20"/>
              </w:rPr>
            </w:pPr>
            <w:r w:rsidRPr="00A5099D">
              <w:rPr>
                <w:rFonts w:ascii="Arial" w:hAnsi="Arial" w:cs="Arial"/>
                <w:b/>
                <w:bCs/>
                <w:sz w:val="20"/>
                <w:szCs w:val="20"/>
              </w:rPr>
              <w:t>Overall</w:t>
            </w:r>
          </w:p>
        </w:tc>
        <w:tc>
          <w:tcPr>
            <w:tcW w:w="1015" w:type="pct"/>
          </w:tcPr>
          <w:p w14:paraId="52A86F06" w14:textId="77777777" w:rsidR="001949E5" w:rsidRPr="00A5099D" w:rsidRDefault="001949E5" w:rsidP="00D30CC4">
            <w:pPr>
              <w:rPr>
                <w:rFonts w:ascii="Arial" w:hAnsi="Arial" w:cs="Arial"/>
                <w:sz w:val="20"/>
                <w:szCs w:val="20"/>
              </w:rPr>
            </w:pPr>
            <w:r w:rsidRPr="00A5099D">
              <w:rPr>
                <w:rFonts w:ascii="Arial" w:hAnsi="Arial" w:cs="Arial"/>
                <w:sz w:val="20"/>
                <w:szCs w:val="20"/>
              </w:rPr>
              <w:t>16.67</w:t>
            </w:r>
          </w:p>
        </w:tc>
        <w:tc>
          <w:tcPr>
            <w:tcW w:w="969" w:type="pct"/>
          </w:tcPr>
          <w:p w14:paraId="22B81113" w14:textId="77777777" w:rsidR="001949E5" w:rsidRPr="00A5099D" w:rsidRDefault="001949E5" w:rsidP="00D30CC4">
            <w:pPr>
              <w:rPr>
                <w:rFonts w:ascii="Arial" w:hAnsi="Arial" w:cs="Arial"/>
                <w:sz w:val="20"/>
                <w:szCs w:val="20"/>
              </w:rPr>
            </w:pPr>
            <w:r w:rsidRPr="00A5099D">
              <w:rPr>
                <w:rFonts w:ascii="Arial" w:hAnsi="Arial" w:cs="Arial"/>
                <w:sz w:val="20"/>
                <w:szCs w:val="20"/>
              </w:rPr>
              <w:t>46.67</w:t>
            </w:r>
          </w:p>
        </w:tc>
        <w:tc>
          <w:tcPr>
            <w:tcW w:w="969" w:type="pct"/>
          </w:tcPr>
          <w:p w14:paraId="0A73BBDB" w14:textId="77777777" w:rsidR="001949E5" w:rsidRPr="00A5099D" w:rsidRDefault="001949E5" w:rsidP="00D30CC4">
            <w:pPr>
              <w:rPr>
                <w:rFonts w:ascii="Arial" w:hAnsi="Arial" w:cs="Arial"/>
                <w:sz w:val="20"/>
                <w:szCs w:val="20"/>
              </w:rPr>
            </w:pPr>
            <w:r w:rsidRPr="00A5099D">
              <w:rPr>
                <w:rFonts w:ascii="Arial" w:hAnsi="Arial" w:cs="Arial"/>
                <w:sz w:val="20"/>
                <w:szCs w:val="20"/>
              </w:rPr>
              <w:t>0.22</w:t>
            </w:r>
          </w:p>
        </w:tc>
        <w:tc>
          <w:tcPr>
            <w:tcW w:w="1046" w:type="pct"/>
          </w:tcPr>
          <w:p w14:paraId="14FA6BA5" w14:textId="77777777" w:rsidR="001949E5" w:rsidRPr="00A5099D" w:rsidRDefault="001949E5" w:rsidP="00D30CC4">
            <w:pPr>
              <w:rPr>
                <w:rFonts w:ascii="Arial" w:hAnsi="Arial" w:cs="Arial"/>
                <w:sz w:val="20"/>
                <w:szCs w:val="20"/>
              </w:rPr>
            </w:pPr>
            <w:r w:rsidRPr="00A5099D">
              <w:rPr>
                <w:rFonts w:ascii="Arial" w:hAnsi="Arial" w:cs="Arial"/>
                <w:sz w:val="20"/>
                <w:szCs w:val="20"/>
              </w:rPr>
              <w:t>0.00</w:t>
            </w:r>
          </w:p>
        </w:tc>
      </w:tr>
    </w:tbl>
    <w:p w14:paraId="1C4C2492" w14:textId="77777777" w:rsidR="001949E5" w:rsidRDefault="001949E5" w:rsidP="00F046EB">
      <w:pPr>
        <w:rPr>
          <w:rFonts w:ascii="Arial" w:hAnsi="Arial" w:cs="Arial"/>
          <w:b/>
          <w:bCs/>
        </w:rPr>
      </w:pPr>
    </w:p>
    <w:p w14:paraId="045E19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0A127A" w14:textId="77777777" w:rsidR="00790ADA" w:rsidRPr="00FB3A86" w:rsidRDefault="00790ADA" w:rsidP="00441B6F">
      <w:pPr>
        <w:pStyle w:val="ConcHead"/>
        <w:spacing w:after="0"/>
        <w:jc w:val="both"/>
        <w:rPr>
          <w:rFonts w:ascii="Arial" w:hAnsi="Arial" w:cs="Arial"/>
        </w:rPr>
      </w:pPr>
    </w:p>
    <w:p w14:paraId="61CB0F8F" w14:textId="77777777" w:rsidR="001949E5" w:rsidRPr="00A5099D" w:rsidRDefault="001949E5" w:rsidP="001949E5">
      <w:pPr>
        <w:jc w:val="both"/>
        <w:rPr>
          <w:rFonts w:ascii="Arial" w:hAnsi="Arial" w:cs="Arial"/>
        </w:rPr>
      </w:pPr>
      <w:r w:rsidRPr="00A5099D">
        <w:rPr>
          <w:rFonts w:ascii="Arial" w:hAnsi="Arial" w:cs="Arial"/>
        </w:rPr>
        <w:t>The findings of this study clearly demonstrate that the foliar application of zinc (Zn), copper (Cu), and selenium (Se) significantly improves both the yield, nutritional quality and concentrations of essential macro and micro minerals, including Ca, P, Mg, Zn, Cu, and Se of sorghum fodder, and it could be an important agrotechnical measure for increasing the production of essential mineral enriched quality sorghum fodder that has the potential to improve udder health status of dairy animals.</w:t>
      </w:r>
    </w:p>
    <w:p w14:paraId="6D59F282" w14:textId="77777777" w:rsidR="00BA4B3A" w:rsidRDefault="00BA4B3A" w:rsidP="00441B6F">
      <w:pPr>
        <w:pStyle w:val="AcknHead"/>
        <w:spacing w:after="0"/>
        <w:jc w:val="both"/>
        <w:rPr>
          <w:rFonts w:ascii="Arial" w:hAnsi="Arial" w:cs="Arial"/>
        </w:rPr>
      </w:pPr>
    </w:p>
    <w:p w14:paraId="48D79397"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3D3CF858" w14:textId="11E5D93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102BC5" w14:textId="77777777" w:rsidR="005C784C" w:rsidRPr="002B685A" w:rsidRDefault="005C784C" w:rsidP="00441B6F">
      <w:pPr>
        <w:pStyle w:val="ReferHead"/>
        <w:spacing w:after="0"/>
        <w:jc w:val="both"/>
        <w:rPr>
          <w:rFonts w:ascii="Arial" w:hAnsi="Arial" w:cs="Arial"/>
          <w:bCs/>
        </w:rPr>
      </w:pPr>
    </w:p>
    <w:p w14:paraId="720D3D66" w14:textId="35BD03BB" w:rsidR="00860000" w:rsidRDefault="00793481" w:rsidP="00793481">
      <w:pPr>
        <w:pStyle w:val="ReferHead"/>
        <w:spacing w:after="0"/>
        <w:jc w:val="both"/>
        <w:rPr>
          <w:rFonts w:ascii="Arial" w:hAnsi="Arial" w:cs="Arial"/>
          <w:b w:val="0"/>
          <w:caps w:val="0"/>
          <w:sz w:val="20"/>
        </w:rPr>
      </w:pPr>
      <w:r w:rsidRPr="00793481">
        <w:rPr>
          <w:rFonts w:ascii="Arial" w:hAnsi="Arial" w:cs="Arial"/>
          <w:b w:val="0"/>
          <w:caps w:val="0"/>
          <w:sz w:val="20"/>
        </w:rPr>
        <w:t>Animal care procedures were approved (approval number: IAEC/</w:t>
      </w:r>
      <w:proofErr w:type="spellStart"/>
      <w:r w:rsidRPr="00793481">
        <w:rPr>
          <w:rFonts w:ascii="Arial" w:hAnsi="Arial" w:cs="Arial"/>
          <w:b w:val="0"/>
          <w:caps w:val="0"/>
          <w:sz w:val="20"/>
        </w:rPr>
        <w:t>CVSc</w:t>
      </w:r>
      <w:proofErr w:type="spellEnd"/>
      <w:r w:rsidRPr="00793481">
        <w:rPr>
          <w:rFonts w:ascii="Arial" w:hAnsi="Arial" w:cs="Arial"/>
          <w:b w:val="0"/>
          <w:caps w:val="0"/>
          <w:sz w:val="20"/>
        </w:rPr>
        <w:t>/P</w:t>
      </w:r>
      <w:r w:rsidR="00A06CE6">
        <w:rPr>
          <w:rFonts w:ascii="Arial" w:hAnsi="Arial" w:cs="Arial"/>
          <w:b w:val="0"/>
          <w:caps w:val="0"/>
          <w:sz w:val="20"/>
        </w:rPr>
        <w:t>21</w:t>
      </w:r>
      <w:r w:rsidRPr="00793481">
        <w:rPr>
          <w:rFonts w:ascii="Arial" w:hAnsi="Arial" w:cs="Arial"/>
          <w:b w:val="0"/>
          <w:caps w:val="0"/>
          <w:sz w:val="20"/>
        </w:rPr>
        <w:t>/202</w:t>
      </w:r>
      <w:r w:rsidR="00A06CE6">
        <w:rPr>
          <w:rFonts w:ascii="Arial" w:hAnsi="Arial" w:cs="Arial"/>
          <w:b w:val="0"/>
          <w:caps w:val="0"/>
          <w:sz w:val="20"/>
        </w:rPr>
        <w:t>3</w:t>
      </w:r>
      <w:r w:rsidRPr="00793481">
        <w:rPr>
          <w:rFonts w:ascii="Arial" w:hAnsi="Arial" w:cs="Arial"/>
          <w:b w:val="0"/>
          <w:caps w:val="0"/>
          <w:sz w:val="20"/>
        </w:rPr>
        <w:t xml:space="preserve">, dated </w:t>
      </w:r>
      <w:r w:rsidR="00A06CE6">
        <w:rPr>
          <w:rFonts w:ascii="Arial" w:hAnsi="Arial" w:cs="Arial"/>
          <w:b w:val="0"/>
          <w:caps w:val="0"/>
          <w:sz w:val="20"/>
        </w:rPr>
        <w:t>07</w:t>
      </w:r>
      <w:r w:rsidRPr="00793481">
        <w:rPr>
          <w:rFonts w:ascii="Arial" w:hAnsi="Arial" w:cs="Arial"/>
          <w:b w:val="0"/>
          <w:caps w:val="0"/>
          <w:sz w:val="20"/>
        </w:rPr>
        <w:t>/1</w:t>
      </w:r>
      <w:r w:rsidR="00A06CE6">
        <w:rPr>
          <w:rFonts w:ascii="Arial" w:hAnsi="Arial" w:cs="Arial"/>
          <w:b w:val="0"/>
          <w:caps w:val="0"/>
          <w:sz w:val="20"/>
        </w:rPr>
        <w:t>2</w:t>
      </w:r>
      <w:r w:rsidRPr="00793481">
        <w:rPr>
          <w:rFonts w:ascii="Arial" w:hAnsi="Arial" w:cs="Arial"/>
          <w:b w:val="0"/>
          <w:caps w:val="0"/>
          <w:sz w:val="20"/>
        </w:rPr>
        <w:t>/202</w:t>
      </w:r>
      <w:r w:rsidR="00A06CE6">
        <w:rPr>
          <w:rFonts w:ascii="Arial" w:hAnsi="Arial" w:cs="Arial"/>
          <w:b w:val="0"/>
          <w:caps w:val="0"/>
          <w:sz w:val="20"/>
        </w:rPr>
        <w:t>3</w:t>
      </w:r>
      <w:r w:rsidRPr="00793481">
        <w:rPr>
          <w:rFonts w:ascii="Arial" w:hAnsi="Arial" w:cs="Arial"/>
          <w:b w:val="0"/>
          <w:caps w:val="0"/>
          <w:sz w:val="20"/>
        </w:rPr>
        <w:t>) and conducted under the establishment standard of the institutional Animal Ethics Committee (IAEC) constituted as per the article number 13 of the committee for the purpose of control and supervision of Experiments on Animals (CPCSEA) rules laid down by the Government of India.</w:t>
      </w:r>
      <w:r>
        <w:rPr>
          <w:rFonts w:ascii="Arial" w:hAnsi="Arial" w:cs="Arial"/>
          <w:b w:val="0"/>
          <w:caps w:val="0"/>
          <w:sz w:val="20"/>
        </w:rPr>
        <w:t xml:space="preserve"> </w:t>
      </w:r>
    </w:p>
    <w:p w14:paraId="1EC06238" w14:textId="77777777" w:rsidR="00E04954" w:rsidRDefault="00E04954" w:rsidP="00793481">
      <w:pPr>
        <w:pStyle w:val="ReferHead"/>
        <w:spacing w:after="0"/>
        <w:jc w:val="both"/>
        <w:rPr>
          <w:rFonts w:ascii="Arial" w:hAnsi="Arial" w:cs="Arial"/>
          <w:b w:val="0"/>
          <w:caps w:val="0"/>
          <w:sz w:val="20"/>
        </w:rPr>
      </w:pPr>
    </w:p>
    <w:p w14:paraId="7946CFDA" w14:textId="77777777" w:rsidR="00E04954" w:rsidRPr="00E04954" w:rsidRDefault="00E04954" w:rsidP="00E04954">
      <w:pPr>
        <w:jc w:val="both"/>
        <w:rPr>
          <w:rFonts w:ascii="Arial" w:eastAsia="Calibri" w:hAnsi="Arial" w:cs="Arial"/>
          <w:b/>
          <w:bCs/>
          <w:caps/>
          <w:kern w:val="2"/>
        </w:rPr>
      </w:pPr>
      <w:bookmarkStart w:id="1" w:name="_Hlk198031404"/>
      <w:r w:rsidRPr="00E04954">
        <w:rPr>
          <w:rFonts w:ascii="Arial" w:eastAsia="Calibri" w:hAnsi="Arial" w:cs="Arial"/>
          <w:b/>
          <w:bCs/>
          <w:caps/>
          <w:kern w:val="2"/>
        </w:rPr>
        <w:t>Disclaimer (Artificial intelligence)</w:t>
      </w:r>
    </w:p>
    <w:p w14:paraId="2CA0DB2D" w14:textId="77777777" w:rsidR="00E04954" w:rsidRPr="00E04954" w:rsidRDefault="00E04954" w:rsidP="00E04954">
      <w:pPr>
        <w:jc w:val="both"/>
        <w:rPr>
          <w:rFonts w:ascii="Arial" w:eastAsia="Calibri" w:hAnsi="Arial" w:cs="Arial"/>
          <w:kern w:val="2"/>
        </w:rPr>
      </w:pPr>
    </w:p>
    <w:p w14:paraId="3205264A" w14:textId="77777777" w:rsidR="00E04954" w:rsidRDefault="00E04954" w:rsidP="00E04954">
      <w:pPr>
        <w:jc w:val="both"/>
        <w:rPr>
          <w:rFonts w:ascii="Arial" w:eastAsia="Calibri" w:hAnsi="Arial" w:cs="Arial"/>
          <w:kern w:val="2"/>
        </w:rPr>
      </w:pPr>
      <w:r w:rsidRPr="00E04954">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p w14:paraId="3D5BB14B" w14:textId="77777777" w:rsidR="00B64848" w:rsidRDefault="00B64848" w:rsidP="00E04954">
      <w:pPr>
        <w:jc w:val="both"/>
        <w:rPr>
          <w:rFonts w:ascii="Arial" w:eastAsia="Calibri" w:hAnsi="Arial" w:cs="Arial"/>
          <w:kern w:val="2"/>
        </w:rPr>
      </w:pPr>
    </w:p>
    <w:p w14:paraId="2E05B8EA" w14:textId="77777777" w:rsidR="00B64848" w:rsidRPr="00B64848" w:rsidRDefault="00B64848" w:rsidP="00B64848">
      <w:pPr>
        <w:jc w:val="both"/>
        <w:rPr>
          <w:rFonts w:ascii="Arial" w:eastAsia="Calibri" w:hAnsi="Arial" w:cs="Arial"/>
          <w:kern w:val="2"/>
        </w:rPr>
      </w:pPr>
      <w:r w:rsidRPr="00B64848">
        <w:rPr>
          <w:rFonts w:ascii="Arial" w:eastAsia="Calibri" w:hAnsi="Arial" w:cs="Arial"/>
          <w:kern w:val="2"/>
        </w:rPr>
        <w:t>COMPETING INTERESTS DISCLAIMER:</w:t>
      </w:r>
    </w:p>
    <w:p w14:paraId="2792530E" w14:textId="2C93B297" w:rsidR="00B64848" w:rsidRPr="00E04954" w:rsidRDefault="00B64848" w:rsidP="00B64848">
      <w:pPr>
        <w:jc w:val="both"/>
        <w:rPr>
          <w:rFonts w:ascii="Arial" w:eastAsia="Calibri" w:hAnsi="Arial" w:cs="Arial"/>
          <w:kern w:val="2"/>
        </w:rPr>
      </w:pPr>
      <w:r w:rsidRPr="00B64848">
        <w:rPr>
          <w:rFonts w:ascii="Arial" w:eastAsia="Calibri" w:hAnsi="Arial" w:cs="Arial"/>
          <w:kern w:val="2"/>
        </w:rPr>
        <w:t>Authors have declared that they have no known competing financial interests OR non-financial interests OR personal relationships that could have appeared to influence the work reported in this paper.</w:t>
      </w:r>
    </w:p>
    <w:bookmarkEnd w:id="1"/>
    <w:p w14:paraId="57D06470" w14:textId="77777777" w:rsidR="00E04954" w:rsidRPr="00E04954" w:rsidRDefault="00E04954" w:rsidP="00E04954">
      <w:pPr>
        <w:pStyle w:val="ReferHead"/>
        <w:spacing w:after="0"/>
        <w:jc w:val="both"/>
        <w:rPr>
          <w:rFonts w:ascii="Arial" w:hAnsi="Arial" w:cs="Arial"/>
          <w:b w:val="0"/>
          <w:caps w:val="0"/>
          <w:sz w:val="20"/>
        </w:rPr>
      </w:pPr>
    </w:p>
    <w:p w14:paraId="00F96E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70C480" w14:textId="77777777" w:rsidR="00896444" w:rsidRPr="004A192E" w:rsidRDefault="00896444" w:rsidP="00896444">
      <w:pPr>
        <w:jc w:val="both"/>
        <w:rPr>
          <w:rFonts w:ascii="Arial" w:hAnsi="Arial" w:cs="Arial"/>
        </w:rPr>
      </w:pPr>
      <w:r w:rsidRPr="004A192E">
        <w:rPr>
          <w:rFonts w:ascii="Arial" w:hAnsi="Arial" w:cs="Arial"/>
        </w:rPr>
        <w:t>Adesh, Singh, S., Pal, R. P., &amp; Verma, D. (2021). Effect of micronutrient application on growth, yield and quality of fodder maize (</w:t>
      </w:r>
      <w:r w:rsidRPr="004A192E">
        <w:rPr>
          <w:rFonts w:ascii="Arial" w:hAnsi="Arial" w:cs="Arial"/>
          <w:i/>
          <w:iCs/>
        </w:rPr>
        <w:t>Zea maize</w:t>
      </w:r>
      <w:r w:rsidRPr="004A192E">
        <w:rPr>
          <w:rFonts w:ascii="Arial" w:hAnsi="Arial" w:cs="Arial"/>
        </w:rPr>
        <w:t xml:space="preserve"> L.) and fodder sorghum (</w:t>
      </w:r>
      <w:r w:rsidRPr="004A192E">
        <w:rPr>
          <w:rFonts w:ascii="Arial" w:hAnsi="Arial" w:cs="Arial"/>
          <w:i/>
          <w:iCs/>
        </w:rPr>
        <w:t>Sorghum bicolor</w:t>
      </w:r>
      <w:r w:rsidRPr="004A192E">
        <w:rPr>
          <w:rFonts w:ascii="Arial" w:hAnsi="Arial" w:cs="Arial"/>
        </w:rPr>
        <w:t xml:space="preserve"> L.). </w:t>
      </w:r>
      <w:r w:rsidRPr="004A192E">
        <w:rPr>
          <w:rFonts w:ascii="Arial" w:hAnsi="Arial" w:cs="Arial"/>
          <w:i/>
          <w:iCs/>
        </w:rPr>
        <w:t>The Pharma Innovation Journal, 10</w:t>
      </w:r>
      <w:r w:rsidRPr="004A192E">
        <w:rPr>
          <w:rFonts w:ascii="Arial" w:hAnsi="Arial" w:cs="Arial"/>
        </w:rPr>
        <w:t>(10), 2356-2361.</w:t>
      </w:r>
    </w:p>
    <w:p w14:paraId="712F209D" w14:textId="77777777" w:rsidR="00896444" w:rsidRPr="004A192E" w:rsidRDefault="00896444" w:rsidP="00896444">
      <w:pPr>
        <w:jc w:val="both"/>
        <w:rPr>
          <w:rFonts w:ascii="Arial" w:hAnsi="Arial" w:cs="Arial"/>
        </w:rPr>
      </w:pPr>
      <w:r w:rsidRPr="004A192E">
        <w:rPr>
          <w:rFonts w:ascii="Arial" w:hAnsi="Arial" w:cs="Arial"/>
        </w:rPr>
        <w:t xml:space="preserve">Alloway, B. J. (2008). </w:t>
      </w:r>
      <w:r w:rsidRPr="004A192E">
        <w:rPr>
          <w:rFonts w:ascii="Arial" w:hAnsi="Arial" w:cs="Arial"/>
          <w:i/>
          <w:iCs/>
        </w:rPr>
        <w:t>Zinc in soils and crop nutrition</w:t>
      </w:r>
      <w:r w:rsidRPr="004A192E">
        <w:rPr>
          <w:rFonts w:ascii="Arial" w:hAnsi="Arial" w:cs="Arial"/>
        </w:rPr>
        <w:t xml:space="preserve"> (2nd ed.). International Zinc Association and International Fertilizer Industry Association.</w:t>
      </w:r>
    </w:p>
    <w:p w14:paraId="38031721" w14:textId="77777777" w:rsidR="00896444" w:rsidRPr="004A192E" w:rsidRDefault="00896444" w:rsidP="00896444">
      <w:pPr>
        <w:jc w:val="both"/>
        <w:rPr>
          <w:rFonts w:ascii="Arial" w:hAnsi="Arial" w:cs="Arial"/>
        </w:rPr>
      </w:pPr>
      <w:r w:rsidRPr="004A192E">
        <w:rPr>
          <w:rFonts w:ascii="Arial" w:hAnsi="Arial" w:cs="Arial"/>
        </w:rPr>
        <w:t xml:space="preserve">AOAC. (1995). </w:t>
      </w:r>
      <w:r w:rsidRPr="004A192E">
        <w:rPr>
          <w:rFonts w:ascii="Arial" w:hAnsi="Arial" w:cs="Arial"/>
          <w:i/>
          <w:iCs/>
        </w:rPr>
        <w:t>Official methods of analysis</w:t>
      </w:r>
      <w:r w:rsidRPr="004A192E">
        <w:rPr>
          <w:rFonts w:ascii="Arial" w:hAnsi="Arial" w:cs="Arial"/>
        </w:rPr>
        <w:t xml:space="preserve"> (16th ed., Vol. I). Association of Official Analytical Chemists.</w:t>
      </w:r>
    </w:p>
    <w:p w14:paraId="699B1CA3" w14:textId="77777777" w:rsidR="00896444" w:rsidRPr="004A192E" w:rsidRDefault="00896444" w:rsidP="00896444">
      <w:pPr>
        <w:jc w:val="both"/>
        <w:rPr>
          <w:rFonts w:ascii="Arial" w:hAnsi="Arial" w:cs="Arial"/>
        </w:rPr>
      </w:pPr>
      <w:proofErr w:type="spellStart"/>
      <w:r w:rsidRPr="004A192E">
        <w:rPr>
          <w:rFonts w:ascii="Arial" w:hAnsi="Arial" w:cs="Arial"/>
        </w:rPr>
        <w:t>Bl</w:t>
      </w:r>
      <w:r>
        <w:rPr>
          <w:rFonts w:ascii="Arial" w:hAnsi="Arial" w:cs="Arial"/>
        </w:rPr>
        <w:t>u</w:t>
      </w:r>
      <w:r w:rsidRPr="004A192E">
        <w:rPr>
          <w:rFonts w:ascii="Arial" w:hAnsi="Arial" w:cs="Arial"/>
        </w:rPr>
        <w:t>mmel</w:t>
      </w:r>
      <w:proofErr w:type="spellEnd"/>
      <w:r w:rsidRPr="004A192E">
        <w:rPr>
          <w:rFonts w:ascii="Arial" w:hAnsi="Arial" w:cs="Arial"/>
        </w:rPr>
        <w:t xml:space="preserve">, M., Rao, P. P., </w:t>
      </w:r>
      <w:proofErr w:type="spellStart"/>
      <w:r w:rsidRPr="004A192E">
        <w:rPr>
          <w:rFonts w:ascii="Arial" w:hAnsi="Arial" w:cs="Arial"/>
        </w:rPr>
        <w:t>Palaniswami</w:t>
      </w:r>
      <w:proofErr w:type="spellEnd"/>
      <w:r w:rsidRPr="004A192E">
        <w:rPr>
          <w:rFonts w:ascii="Arial" w:hAnsi="Arial" w:cs="Arial"/>
        </w:rPr>
        <w:t xml:space="preserve">, S., Anandan, S., &amp; Ravi, D. (2012). </w:t>
      </w:r>
      <w:r w:rsidRPr="004A192E">
        <w:rPr>
          <w:rFonts w:ascii="Arial" w:hAnsi="Arial" w:cs="Arial"/>
          <w:i/>
          <w:iCs/>
        </w:rPr>
        <w:t>Livestock feed and fodder value chains in India: A review of trends, issues and opportunities</w:t>
      </w:r>
      <w:r w:rsidRPr="004A192E">
        <w:rPr>
          <w:rFonts w:ascii="Arial" w:hAnsi="Arial" w:cs="Arial"/>
        </w:rPr>
        <w:t>. International Food Policy Research Institute (IFPRI).</w:t>
      </w:r>
    </w:p>
    <w:p w14:paraId="7EA67646" w14:textId="77777777" w:rsidR="00896444" w:rsidRPr="004A192E" w:rsidRDefault="00896444" w:rsidP="00896444">
      <w:pPr>
        <w:jc w:val="both"/>
        <w:rPr>
          <w:rFonts w:ascii="Arial" w:hAnsi="Arial" w:cs="Arial"/>
        </w:rPr>
      </w:pPr>
      <w:r w:rsidRPr="004A192E">
        <w:rPr>
          <w:rFonts w:ascii="Arial" w:hAnsi="Arial" w:cs="Arial"/>
        </w:rPr>
        <w:t xml:space="preserve">Ceylan, S., Soya, H., Budak, B., Akdemir, H., &amp; </w:t>
      </w:r>
      <w:proofErr w:type="spellStart"/>
      <w:r w:rsidRPr="004A192E">
        <w:rPr>
          <w:rFonts w:ascii="Arial" w:hAnsi="Arial" w:cs="Arial"/>
        </w:rPr>
        <w:t>Esetlili</w:t>
      </w:r>
      <w:proofErr w:type="spellEnd"/>
      <w:r w:rsidRPr="004A192E">
        <w:rPr>
          <w:rFonts w:ascii="Arial" w:hAnsi="Arial" w:cs="Arial"/>
        </w:rPr>
        <w:t xml:space="preserve">, B. C. (2009). Effect of zinc on yield and some related traits of alfalfa. </w:t>
      </w:r>
      <w:r w:rsidRPr="004A192E">
        <w:rPr>
          <w:rFonts w:ascii="Arial" w:hAnsi="Arial" w:cs="Arial"/>
          <w:i/>
          <w:iCs/>
        </w:rPr>
        <w:t>Turkish Journal of Field Crops, 14</w:t>
      </w:r>
      <w:r w:rsidRPr="004A192E">
        <w:rPr>
          <w:rFonts w:ascii="Arial" w:hAnsi="Arial" w:cs="Arial"/>
        </w:rPr>
        <w:t>, 136–143.</w:t>
      </w:r>
    </w:p>
    <w:p w14:paraId="53144C32" w14:textId="77777777" w:rsidR="00896444" w:rsidRPr="004A192E" w:rsidRDefault="00896444" w:rsidP="00896444">
      <w:pPr>
        <w:jc w:val="both"/>
        <w:rPr>
          <w:rFonts w:ascii="Arial" w:hAnsi="Arial" w:cs="Arial"/>
        </w:rPr>
      </w:pPr>
      <w:r w:rsidRPr="004A192E">
        <w:rPr>
          <w:rFonts w:ascii="Arial" w:hAnsi="Arial" w:cs="Arial"/>
        </w:rPr>
        <w:t>Choudhary, M., &amp; Prabhu, G. (2014). Quality fodder production and economics of dual-purpose pearl millet (</w:t>
      </w:r>
      <w:r w:rsidRPr="004A192E">
        <w:rPr>
          <w:rFonts w:ascii="Arial" w:hAnsi="Arial" w:cs="Arial"/>
          <w:i/>
          <w:iCs/>
        </w:rPr>
        <w:t>Pennisetum glaucum</w:t>
      </w:r>
      <w:r w:rsidRPr="004A192E">
        <w:rPr>
          <w:rFonts w:ascii="Arial" w:hAnsi="Arial" w:cs="Arial"/>
        </w:rPr>
        <w:t xml:space="preserve">) under different fertility levels and nitrogen scheduling. </w:t>
      </w:r>
      <w:r w:rsidRPr="004A192E">
        <w:rPr>
          <w:rFonts w:ascii="Arial" w:hAnsi="Arial" w:cs="Arial"/>
          <w:i/>
          <w:iCs/>
        </w:rPr>
        <w:t>Indian Journal of Agronomy, 59</w:t>
      </w:r>
      <w:r w:rsidRPr="004A192E">
        <w:rPr>
          <w:rFonts w:ascii="Arial" w:hAnsi="Arial" w:cs="Arial"/>
        </w:rPr>
        <w:t>, 410–414.</w:t>
      </w:r>
    </w:p>
    <w:p w14:paraId="4CBC023D" w14:textId="77777777" w:rsidR="00896444" w:rsidRPr="004A192E" w:rsidRDefault="00896444" w:rsidP="00896444">
      <w:pPr>
        <w:jc w:val="both"/>
        <w:rPr>
          <w:rFonts w:ascii="Arial" w:hAnsi="Arial" w:cs="Arial"/>
        </w:rPr>
      </w:pPr>
      <w:r w:rsidRPr="004A192E">
        <w:rPr>
          <w:rFonts w:ascii="Arial" w:hAnsi="Arial" w:cs="Arial"/>
        </w:rPr>
        <w:t xml:space="preserve">Eichert, T., &amp; Burkhardt, J. (2001). Quantification of stomatal uptake of ionic solutes using a new model system. </w:t>
      </w:r>
      <w:r w:rsidRPr="004A192E">
        <w:rPr>
          <w:rFonts w:ascii="Arial" w:hAnsi="Arial" w:cs="Arial"/>
          <w:i/>
          <w:iCs/>
        </w:rPr>
        <w:t>Journal of Experimental Botany, 52</w:t>
      </w:r>
      <w:r w:rsidRPr="004A192E">
        <w:rPr>
          <w:rFonts w:ascii="Arial" w:hAnsi="Arial" w:cs="Arial"/>
        </w:rPr>
        <w:t>, 771–781.</w:t>
      </w:r>
    </w:p>
    <w:p w14:paraId="63AEC376" w14:textId="77777777" w:rsidR="00896444" w:rsidRPr="004A192E" w:rsidRDefault="00896444" w:rsidP="00896444">
      <w:pPr>
        <w:jc w:val="both"/>
        <w:rPr>
          <w:rFonts w:ascii="Arial" w:hAnsi="Arial" w:cs="Arial"/>
        </w:rPr>
      </w:pPr>
      <w:proofErr w:type="spellStart"/>
      <w:r w:rsidRPr="004A192E">
        <w:rPr>
          <w:rFonts w:ascii="Arial" w:hAnsi="Arial" w:cs="Arial"/>
        </w:rPr>
        <w:t>Fageria</w:t>
      </w:r>
      <w:proofErr w:type="spellEnd"/>
      <w:r w:rsidRPr="004A192E">
        <w:rPr>
          <w:rFonts w:ascii="Arial" w:hAnsi="Arial" w:cs="Arial"/>
        </w:rPr>
        <w:t xml:space="preserve">, N. K., </w:t>
      </w:r>
      <w:proofErr w:type="spellStart"/>
      <w:r w:rsidRPr="004A192E">
        <w:rPr>
          <w:rFonts w:ascii="Arial" w:hAnsi="Arial" w:cs="Arial"/>
        </w:rPr>
        <w:t>Baligar</w:t>
      </w:r>
      <w:proofErr w:type="spellEnd"/>
      <w:r w:rsidRPr="004A192E">
        <w:rPr>
          <w:rFonts w:ascii="Arial" w:hAnsi="Arial" w:cs="Arial"/>
        </w:rPr>
        <w:t xml:space="preserve">, V. C., &amp; Jones, C. A. (2011). </w:t>
      </w:r>
      <w:r w:rsidRPr="004A192E">
        <w:rPr>
          <w:rFonts w:ascii="Arial" w:hAnsi="Arial" w:cs="Arial"/>
          <w:i/>
          <w:iCs/>
        </w:rPr>
        <w:t>Growth and mineral nutrition of field crops</w:t>
      </w:r>
      <w:r w:rsidRPr="004A192E">
        <w:rPr>
          <w:rFonts w:ascii="Arial" w:hAnsi="Arial" w:cs="Arial"/>
        </w:rPr>
        <w:t xml:space="preserve"> (3rd ed.). CRC Press.</w:t>
      </w:r>
    </w:p>
    <w:p w14:paraId="428D75E3" w14:textId="77777777" w:rsidR="00896444" w:rsidRPr="004A192E" w:rsidRDefault="00896444" w:rsidP="00896444">
      <w:pPr>
        <w:jc w:val="both"/>
        <w:rPr>
          <w:rFonts w:ascii="Arial" w:hAnsi="Arial" w:cs="Arial"/>
        </w:rPr>
      </w:pPr>
      <w:r w:rsidRPr="004A192E">
        <w:rPr>
          <w:rFonts w:ascii="Arial" w:hAnsi="Arial" w:cs="Arial"/>
        </w:rPr>
        <w:t xml:space="preserve">Ghosh, P. K., &amp; Wanjari, R. H. (2012). Micronutrient management in soils and crops of India. In </w:t>
      </w:r>
      <w:r w:rsidRPr="004A192E">
        <w:rPr>
          <w:rFonts w:ascii="Arial" w:hAnsi="Arial" w:cs="Arial"/>
          <w:i/>
          <w:iCs/>
        </w:rPr>
        <w:t>Soil Fertility and Nutrient Management</w:t>
      </w:r>
      <w:r w:rsidRPr="004A192E">
        <w:rPr>
          <w:rFonts w:ascii="Arial" w:hAnsi="Arial" w:cs="Arial"/>
        </w:rPr>
        <w:t xml:space="preserve"> (pp. 229–250). Indian Society of Soil Science.</w:t>
      </w:r>
    </w:p>
    <w:p w14:paraId="47F04E25" w14:textId="77777777" w:rsidR="00896444" w:rsidRPr="004A192E" w:rsidRDefault="00896444" w:rsidP="00896444">
      <w:pPr>
        <w:jc w:val="both"/>
        <w:rPr>
          <w:rFonts w:ascii="Arial" w:hAnsi="Arial" w:cs="Arial"/>
        </w:rPr>
      </w:pPr>
      <w:r w:rsidRPr="004A192E">
        <w:rPr>
          <w:rFonts w:ascii="Arial" w:hAnsi="Arial" w:cs="Arial"/>
        </w:rPr>
        <w:t xml:space="preserve">Kumar, N., Garg, A. K., Dass, R. S., Chaturvedi, V. K., Mudgal, V., &amp; Varshney Kumar, V. P. (2009). Selenium supplementation influences growth performance, antioxidant status and immune response in lambs. </w:t>
      </w:r>
      <w:r w:rsidRPr="004A192E">
        <w:rPr>
          <w:rFonts w:ascii="Arial" w:hAnsi="Arial" w:cs="Arial"/>
          <w:i/>
          <w:iCs/>
        </w:rPr>
        <w:t>Animal Feed Science and Technology, 153</w:t>
      </w:r>
      <w:r w:rsidRPr="004A192E">
        <w:rPr>
          <w:rFonts w:ascii="Arial" w:hAnsi="Arial" w:cs="Arial"/>
        </w:rPr>
        <w:t>(1–2), 77–87.</w:t>
      </w:r>
    </w:p>
    <w:p w14:paraId="68F2C29F" w14:textId="77777777" w:rsidR="00896444" w:rsidRPr="004A192E" w:rsidRDefault="00896444" w:rsidP="00896444">
      <w:pPr>
        <w:jc w:val="both"/>
        <w:rPr>
          <w:rFonts w:ascii="Arial" w:hAnsi="Arial" w:cs="Arial"/>
        </w:rPr>
      </w:pPr>
      <w:r w:rsidRPr="004A192E">
        <w:rPr>
          <w:rFonts w:ascii="Arial" w:hAnsi="Arial" w:cs="Arial"/>
        </w:rPr>
        <w:t xml:space="preserve">Kumar, P., &amp; Singh, M. (2016). </w:t>
      </w:r>
      <w:r w:rsidRPr="004A192E">
        <w:rPr>
          <w:rFonts w:ascii="Arial" w:hAnsi="Arial" w:cs="Arial"/>
          <w:i/>
          <w:iCs/>
        </w:rPr>
        <w:t>Micronutrient deficiencies in Indian soils and their correction</w:t>
      </w:r>
      <w:r w:rsidRPr="004A192E">
        <w:rPr>
          <w:rFonts w:ascii="Arial" w:hAnsi="Arial" w:cs="Arial"/>
        </w:rPr>
        <w:t xml:space="preserve"> (Bulletin). ICAR–Indian Institute of Soil Science.</w:t>
      </w:r>
    </w:p>
    <w:p w14:paraId="44213E27" w14:textId="77777777" w:rsidR="00896444" w:rsidRPr="004A192E" w:rsidRDefault="00896444" w:rsidP="00896444">
      <w:pPr>
        <w:jc w:val="both"/>
        <w:rPr>
          <w:rFonts w:ascii="Arial" w:hAnsi="Arial" w:cs="Arial"/>
        </w:rPr>
      </w:pPr>
      <w:r w:rsidRPr="004A192E">
        <w:rPr>
          <w:rFonts w:ascii="Arial" w:hAnsi="Arial" w:cs="Arial"/>
        </w:rPr>
        <w:t xml:space="preserve">Kumar, S., Chaturvedi, O. P., Sharma, R. S., &amp; Singh, B. (2012). Effect of foliar application of micronutrients on fodder quality and yield of </w:t>
      </w:r>
      <w:proofErr w:type="spellStart"/>
      <w:r w:rsidRPr="004A192E">
        <w:rPr>
          <w:rFonts w:ascii="Arial" w:hAnsi="Arial" w:cs="Arial"/>
        </w:rPr>
        <w:t>multicut</w:t>
      </w:r>
      <w:proofErr w:type="spellEnd"/>
      <w:r w:rsidRPr="004A192E">
        <w:rPr>
          <w:rFonts w:ascii="Arial" w:hAnsi="Arial" w:cs="Arial"/>
        </w:rPr>
        <w:t xml:space="preserve"> sorghum. </w:t>
      </w:r>
      <w:r w:rsidRPr="004A192E">
        <w:rPr>
          <w:rFonts w:ascii="Arial" w:hAnsi="Arial" w:cs="Arial"/>
          <w:i/>
          <w:iCs/>
        </w:rPr>
        <w:t>Forage Research, 38</w:t>
      </w:r>
      <w:r w:rsidRPr="004A192E">
        <w:rPr>
          <w:rFonts w:ascii="Arial" w:hAnsi="Arial" w:cs="Arial"/>
        </w:rPr>
        <w:t>(4), 213–216.</w:t>
      </w:r>
    </w:p>
    <w:p w14:paraId="4A5A49B1" w14:textId="77777777" w:rsidR="00896444" w:rsidRPr="004A192E" w:rsidRDefault="00896444" w:rsidP="00896444">
      <w:pPr>
        <w:jc w:val="both"/>
        <w:rPr>
          <w:rFonts w:ascii="Arial" w:hAnsi="Arial" w:cs="Arial"/>
        </w:rPr>
      </w:pPr>
      <w:r w:rsidRPr="004A192E">
        <w:rPr>
          <w:rFonts w:ascii="Arial" w:hAnsi="Arial" w:cs="Arial"/>
        </w:rPr>
        <w:t xml:space="preserve">Kumar, S., Yadav, P. S., Hooda, O. K., &amp; Sindhu, N. (2011). Effect of zinc supplementation on calcium status and milk production in transition Sahiwal cows. </w:t>
      </w:r>
      <w:r w:rsidRPr="004A192E">
        <w:rPr>
          <w:rFonts w:ascii="Arial" w:hAnsi="Arial" w:cs="Arial"/>
          <w:i/>
          <w:iCs/>
        </w:rPr>
        <w:t>Indian Journal of Animal Nutrition, 28</w:t>
      </w:r>
      <w:r w:rsidRPr="004A192E">
        <w:rPr>
          <w:rFonts w:ascii="Arial" w:hAnsi="Arial" w:cs="Arial"/>
        </w:rPr>
        <w:t>(3), 237–242.</w:t>
      </w:r>
    </w:p>
    <w:p w14:paraId="04C9D7E2" w14:textId="77777777" w:rsidR="00896444" w:rsidRPr="004A192E" w:rsidRDefault="00896444" w:rsidP="00896444">
      <w:pPr>
        <w:jc w:val="both"/>
        <w:rPr>
          <w:rFonts w:ascii="Arial" w:hAnsi="Arial" w:cs="Arial"/>
        </w:rPr>
      </w:pPr>
      <w:r w:rsidRPr="004A192E">
        <w:rPr>
          <w:rFonts w:ascii="Arial" w:hAnsi="Arial" w:cs="Arial"/>
        </w:rPr>
        <w:t xml:space="preserve">Kumar, S., Yadav, P. S., Hooda, O. K., &amp; Singh, M. (2021). Effect of dietary mineral supplementation on mineral profile and milk composition of lactating dairy cows. </w:t>
      </w:r>
      <w:r w:rsidRPr="004A192E">
        <w:rPr>
          <w:rFonts w:ascii="Arial" w:hAnsi="Arial" w:cs="Arial"/>
          <w:i/>
          <w:iCs/>
        </w:rPr>
        <w:t>Indian Journal of Animal Nutrition, 38</w:t>
      </w:r>
      <w:r w:rsidRPr="004A192E">
        <w:rPr>
          <w:rFonts w:ascii="Arial" w:hAnsi="Arial" w:cs="Arial"/>
        </w:rPr>
        <w:t>(2), 154–160.</w:t>
      </w:r>
    </w:p>
    <w:p w14:paraId="4E6B9EA4" w14:textId="77777777" w:rsidR="00896444" w:rsidRPr="004A192E" w:rsidRDefault="00896444" w:rsidP="00896444">
      <w:pPr>
        <w:jc w:val="both"/>
        <w:rPr>
          <w:rFonts w:ascii="Arial" w:hAnsi="Arial" w:cs="Arial"/>
        </w:rPr>
      </w:pPr>
      <w:r w:rsidRPr="004A192E">
        <w:rPr>
          <w:rFonts w:ascii="Arial" w:hAnsi="Arial" w:cs="Arial"/>
        </w:rPr>
        <w:t xml:space="preserve">Kumawat, S. M., Mohd, A., Shekhawat, S. S., &amp; </w:t>
      </w:r>
      <w:proofErr w:type="spellStart"/>
      <w:r w:rsidRPr="004A192E">
        <w:rPr>
          <w:rFonts w:ascii="Arial" w:hAnsi="Arial" w:cs="Arial"/>
        </w:rPr>
        <w:t>Kantwa</w:t>
      </w:r>
      <w:proofErr w:type="spellEnd"/>
      <w:r w:rsidRPr="004A192E">
        <w:rPr>
          <w:rFonts w:ascii="Arial" w:hAnsi="Arial" w:cs="Arial"/>
        </w:rPr>
        <w:t>, S. R. (2016). Effect of nitrogen and cutting management on growth, yield and quality of fodder pearl millet (</w:t>
      </w:r>
      <w:r w:rsidRPr="004A192E">
        <w:rPr>
          <w:rFonts w:ascii="Arial" w:hAnsi="Arial" w:cs="Arial"/>
          <w:i/>
          <w:iCs/>
        </w:rPr>
        <w:t>Pennisetum glaucum</w:t>
      </w:r>
      <w:r w:rsidRPr="004A192E">
        <w:rPr>
          <w:rFonts w:ascii="Arial" w:hAnsi="Arial" w:cs="Arial"/>
        </w:rPr>
        <w:t xml:space="preserve"> L.) cultivars. </w:t>
      </w:r>
      <w:r w:rsidRPr="004A192E">
        <w:rPr>
          <w:rFonts w:ascii="Arial" w:hAnsi="Arial" w:cs="Arial"/>
          <w:i/>
          <w:iCs/>
        </w:rPr>
        <w:t>Range Management and Agroforestry, 37</w:t>
      </w:r>
      <w:r w:rsidRPr="004A192E">
        <w:rPr>
          <w:rFonts w:ascii="Arial" w:hAnsi="Arial" w:cs="Arial"/>
        </w:rPr>
        <w:t>, 207–213.</w:t>
      </w:r>
    </w:p>
    <w:p w14:paraId="11B1D37F" w14:textId="77777777" w:rsidR="00896444" w:rsidRPr="004A192E" w:rsidRDefault="00896444" w:rsidP="00896444">
      <w:pPr>
        <w:jc w:val="both"/>
        <w:rPr>
          <w:rFonts w:ascii="Arial" w:hAnsi="Arial" w:cs="Arial"/>
        </w:rPr>
      </w:pPr>
      <w:r w:rsidRPr="004A192E">
        <w:rPr>
          <w:rFonts w:ascii="Arial" w:hAnsi="Arial" w:cs="Arial"/>
        </w:rPr>
        <w:t xml:space="preserve">McDowell, L. R. (1992). </w:t>
      </w:r>
      <w:r w:rsidRPr="004A192E">
        <w:rPr>
          <w:rFonts w:ascii="Arial" w:hAnsi="Arial" w:cs="Arial"/>
          <w:i/>
          <w:iCs/>
        </w:rPr>
        <w:t>Minerals in animal and human nutrition</w:t>
      </w:r>
      <w:r w:rsidRPr="004A192E">
        <w:rPr>
          <w:rFonts w:ascii="Arial" w:hAnsi="Arial" w:cs="Arial"/>
        </w:rPr>
        <w:t xml:space="preserve"> (1st ed.). Academic Press.</w:t>
      </w:r>
    </w:p>
    <w:p w14:paraId="6E0B6169" w14:textId="77777777" w:rsidR="00896444" w:rsidRPr="004A192E" w:rsidRDefault="00896444" w:rsidP="00896444">
      <w:pPr>
        <w:jc w:val="both"/>
        <w:rPr>
          <w:rFonts w:ascii="Arial" w:hAnsi="Arial" w:cs="Arial"/>
        </w:rPr>
      </w:pPr>
      <w:r w:rsidRPr="004A192E">
        <w:rPr>
          <w:rFonts w:ascii="Arial" w:hAnsi="Arial" w:cs="Arial"/>
        </w:rPr>
        <w:t xml:space="preserve">National Research Council. (2001). </w:t>
      </w:r>
      <w:r w:rsidRPr="004A192E">
        <w:rPr>
          <w:rFonts w:ascii="Arial" w:hAnsi="Arial" w:cs="Arial"/>
          <w:i/>
          <w:iCs/>
        </w:rPr>
        <w:t>Nutrient requirements of dairy cattle</w:t>
      </w:r>
      <w:r w:rsidRPr="004A192E">
        <w:rPr>
          <w:rFonts w:ascii="Arial" w:hAnsi="Arial" w:cs="Arial"/>
        </w:rPr>
        <w:t xml:space="preserve"> (7th rev. ed.). National Academies Press.</w:t>
      </w:r>
    </w:p>
    <w:p w14:paraId="45A4F4C7" w14:textId="77777777" w:rsidR="00896444" w:rsidRPr="004A192E" w:rsidRDefault="00896444" w:rsidP="00896444">
      <w:pPr>
        <w:jc w:val="both"/>
        <w:rPr>
          <w:rFonts w:ascii="Arial" w:hAnsi="Arial" w:cs="Arial"/>
        </w:rPr>
      </w:pPr>
      <w:r w:rsidRPr="004A192E">
        <w:rPr>
          <w:rFonts w:ascii="Arial" w:hAnsi="Arial" w:cs="Arial"/>
        </w:rPr>
        <w:t xml:space="preserve">Nawaz, F., Ashraf, M. Y., Ahmad, R., Waraich, E. A., Shabbir, R. N., &amp; Bukhari, M. A. (2015). Supplemental selenium improves wheat grain yield and quality through alterations in biochemical processes under normal and water deficit conditions. </w:t>
      </w:r>
      <w:r w:rsidRPr="004A192E">
        <w:rPr>
          <w:rFonts w:ascii="Arial" w:hAnsi="Arial" w:cs="Arial"/>
          <w:i/>
          <w:iCs/>
        </w:rPr>
        <w:t>Food Chemistry, 175</w:t>
      </w:r>
      <w:r w:rsidRPr="004A192E">
        <w:rPr>
          <w:rFonts w:ascii="Arial" w:hAnsi="Arial" w:cs="Arial"/>
        </w:rPr>
        <w:t>, 350–357.</w:t>
      </w:r>
    </w:p>
    <w:p w14:paraId="644F450A" w14:textId="77777777" w:rsidR="00896444" w:rsidRPr="004A192E" w:rsidRDefault="00896444" w:rsidP="00896444">
      <w:pPr>
        <w:jc w:val="both"/>
        <w:rPr>
          <w:rFonts w:ascii="Arial" w:hAnsi="Arial" w:cs="Arial"/>
        </w:rPr>
      </w:pPr>
      <w:r w:rsidRPr="004A192E">
        <w:rPr>
          <w:rFonts w:ascii="Arial" w:hAnsi="Arial" w:cs="Arial"/>
        </w:rPr>
        <w:t>Nawaz, F., Naeem, M., Ashraf, M. Y., Tahir, M. N., Zulfiqar, B., Salahuddin, M., &amp; Aslam, M. (2016). Selenium supplementation affects physiological and biochemical processes to improve fodder yield and quality of maize (</w:t>
      </w:r>
      <w:r w:rsidRPr="004A192E">
        <w:rPr>
          <w:rFonts w:ascii="Arial" w:hAnsi="Arial" w:cs="Arial"/>
          <w:i/>
          <w:iCs/>
        </w:rPr>
        <w:t>Zea mays</w:t>
      </w:r>
      <w:r w:rsidRPr="004A192E">
        <w:rPr>
          <w:rFonts w:ascii="Arial" w:hAnsi="Arial" w:cs="Arial"/>
        </w:rPr>
        <w:t xml:space="preserve"> L.) under water deficit conditions. </w:t>
      </w:r>
      <w:r w:rsidRPr="004A192E">
        <w:rPr>
          <w:rFonts w:ascii="Arial" w:hAnsi="Arial" w:cs="Arial"/>
          <w:i/>
          <w:iCs/>
        </w:rPr>
        <w:t>Frontiers in Plant Science, 7</w:t>
      </w:r>
      <w:r w:rsidRPr="004A192E">
        <w:rPr>
          <w:rFonts w:ascii="Arial" w:hAnsi="Arial" w:cs="Arial"/>
        </w:rPr>
        <w:t>, 1438.</w:t>
      </w:r>
    </w:p>
    <w:p w14:paraId="50188D2A" w14:textId="77777777" w:rsidR="00896444" w:rsidRPr="004A192E" w:rsidRDefault="00896444" w:rsidP="00896444">
      <w:pPr>
        <w:jc w:val="both"/>
        <w:rPr>
          <w:rFonts w:ascii="Arial" w:hAnsi="Arial" w:cs="Arial"/>
        </w:rPr>
      </w:pPr>
      <w:r w:rsidRPr="004A192E">
        <w:rPr>
          <w:rFonts w:ascii="Arial" w:hAnsi="Arial" w:cs="Arial"/>
        </w:rPr>
        <w:t xml:space="preserve">Pathak, R. K., &amp; Singh, M. (2010). Soil fertility and nutrient management in fodder crops. </w:t>
      </w:r>
      <w:r w:rsidRPr="004A192E">
        <w:rPr>
          <w:rFonts w:ascii="Arial" w:hAnsi="Arial" w:cs="Arial"/>
          <w:i/>
          <w:iCs/>
        </w:rPr>
        <w:t xml:space="preserve">Indian Journal of </w:t>
      </w:r>
      <w:proofErr w:type="spellStart"/>
      <w:r w:rsidRPr="004A192E">
        <w:rPr>
          <w:rFonts w:ascii="Arial" w:hAnsi="Arial" w:cs="Arial"/>
          <w:i/>
          <w:iCs/>
        </w:rPr>
        <w:t>Fertilisers</w:t>
      </w:r>
      <w:proofErr w:type="spellEnd"/>
      <w:r w:rsidRPr="004A192E">
        <w:rPr>
          <w:rFonts w:ascii="Arial" w:hAnsi="Arial" w:cs="Arial"/>
          <w:i/>
          <w:iCs/>
        </w:rPr>
        <w:t>, 6</w:t>
      </w:r>
      <w:r w:rsidRPr="004A192E">
        <w:rPr>
          <w:rFonts w:ascii="Arial" w:hAnsi="Arial" w:cs="Arial"/>
        </w:rPr>
        <w:t>(8), 90–95.</w:t>
      </w:r>
    </w:p>
    <w:p w14:paraId="58EC59C0" w14:textId="77777777" w:rsidR="00896444" w:rsidRPr="004A192E" w:rsidRDefault="00896444" w:rsidP="00896444">
      <w:pPr>
        <w:jc w:val="both"/>
        <w:rPr>
          <w:rFonts w:ascii="Arial" w:hAnsi="Arial" w:cs="Arial"/>
        </w:rPr>
      </w:pPr>
      <w:r w:rsidRPr="004A192E">
        <w:rPr>
          <w:rFonts w:ascii="Arial" w:hAnsi="Arial" w:cs="Arial"/>
        </w:rPr>
        <w:lastRenderedPageBreak/>
        <w:t xml:space="preserve">Sarker, B. C., &amp; Karmoker, J. L. (2011). Copper deficiency in plants: A review. </w:t>
      </w:r>
      <w:r w:rsidRPr="004A192E">
        <w:rPr>
          <w:rFonts w:ascii="Arial" w:hAnsi="Arial" w:cs="Arial"/>
          <w:i/>
          <w:iCs/>
        </w:rPr>
        <w:t>Bangladesh Journal of Agricultural Research, 36</w:t>
      </w:r>
      <w:r w:rsidRPr="004A192E">
        <w:rPr>
          <w:rFonts w:ascii="Arial" w:hAnsi="Arial" w:cs="Arial"/>
        </w:rPr>
        <w:t>(4).</w:t>
      </w:r>
    </w:p>
    <w:p w14:paraId="7E3BFE40" w14:textId="77777777" w:rsidR="00896444" w:rsidRPr="004A192E" w:rsidRDefault="00896444" w:rsidP="00896444">
      <w:pPr>
        <w:jc w:val="both"/>
        <w:rPr>
          <w:rFonts w:ascii="Arial" w:hAnsi="Arial" w:cs="Arial"/>
        </w:rPr>
      </w:pPr>
      <w:r w:rsidRPr="004A192E">
        <w:rPr>
          <w:rFonts w:ascii="Arial" w:hAnsi="Arial" w:cs="Arial"/>
        </w:rPr>
        <w:t xml:space="preserve">Sharma, M. C., Joshi, C., &amp; Sharma, R. S. (2011). Biochemical evaluation of macro minerals in bovine milk. </w:t>
      </w:r>
      <w:r w:rsidRPr="004A192E">
        <w:rPr>
          <w:rFonts w:ascii="Arial" w:hAnsi="Arial" w:cs="Arial"/>
          <w:i/>
          <w:iCs/>
        </w:rPr>
        <w:t>Indian Journal of Dairy Science, 64</w:t>
      </w:r>
      <w:r w:rsidRPr="004A192E">
        <w:rPr>
          <w:rFonts w:ascii="Arial" w:hAnsi="Arial" w:cs="Arial"/>
        </w:rPr>
        <w:t>(6), 521–524.</w:t>
      </w:r>
    </w:p>
    <w:p w14:paraId="5E95E5D8" w14:textId="77777777" w:rsidR="00896444" w:rsidRPr="004A192E" w:rsidRDefault="00896444" w:rsidP="00896444">
      <w:pPr>
        <w:jc w:val="both"/>
        <w:rPr>
          <w:rFonts w:ascii="Arial" w:hAnsi="Arial" w:cs="Arial"/>
        </w:rPr>
      </w:pPr>
      <w:r w:rsidRPr="004A192E">
        <w:rPr>
          <w:rFonts w:ascii="Arial" w:hAnsi="Arial" w:cs="Arial"/>
        </w:rPr>
        <w:t xml:space="preserve">Shukla, A. K., Tiwari, P. K., &amp; Pandey, P. (2014). Micronutrients deficiencies vis-à-vis food and nutritional security of India. </w:t>
      </w:r>
      <w:r w:rsidRPr="004A192E">
        <w:rPr>
          <w:rFonts w:ascii="Arial" w:hAnsi="Arial" w:cs="Arial"/>
          <w:i/>
          <w:iCs/>
        </w:rPr>
        <w:t xml:space="preserve">Indian Journal of </w:t>
      </w:r>
      <w:proofErr w:type="spellStart"/>
      <w:r w:rsidRPr="004A192E">
        <w:rPr>
          <w:rFonts w:ascii="Arial" w:hAnsi="Arial" w:cs="Arial"/>
          <w:i/>
          <w:iCs/>
        </w:rPr>
        <w:t>Fertilisers</w:t>
      </w:r>
      <w:proofErr w:type="spellEnd"/>
      <w:r w:rsidRPr="004A192E">
        <w:rPr>
          <w:rFonts w:ascii="Arial" w:hAnsi="Arial" w:cs="Arial"/>
          <w:i/>
          <w:iCs/>
        </w:rPr>
        <w:t>, 10</w:t>
      </w:r>
      <w:r w:rsidRPr="004A192E">
        <w:rPr>
          <w:rFonts w:ascii="Arial" w:hAnsi="Arial" w:cs="Arial"/>
        </w:rPr>
        <w:t>(12), 94–112.</w:t>
      </w:r>
    </w:p>
    <w:p w14:paraId="379F6E67" w14:textId="77777777" w:rsidR="00896444" w:rsidRPr="004A192E" w:rsidRDefault="00896444" w:rsidP="00896444">
      <w:pPr>
        <w:jc w:val="both"/>
        <w:rPr>
          <w:rFonts w:ascii="Arial" w:hAnsi="Arial" w:cs="Arial"/>
        </w:rPr>
      </w:pPr>
      <w:r w:rsidRPr="004A192E">
        <w:rPr>
          <w:rFonts w:ascii="Arial" w:hAnsi="Arial" w:cs="Arial"/>
        </w:rPr>
        <w:t xml:space="preserve">Singh, S. P., Hooda, O. K., &amp; Kundu, S. S. (2018). Effect of zinc and selenium supplementation on somatic cell count and milk composition in lactating cows. </w:t>
      </w:r>
      <w:r w:rsidRPr="004A192E">
        <w:rPr>
          <w:rFonts w:ascii="Arial" w:hAnsi="Arial" w:cs="Arial"/>
          <w:i/>
          <w:iCs/>
        </w:rPr>
        <w:t>Indian Journal of Animal Sciences, 88</w:t>
      </w:r>
      <w:r w:rsidRPr="004A192E">
        <w:rPr>
          <w:rFonts w:ascii="Arial" w:hAnsi="Arial" w:cs="Arial"/>
        </w:rPr>
        <w:t>(12), 1433–1437.</w:t>
      </w:r>
    </w:p>
    <w:p w14:paraId="7A5B4493" w14:textId="77777777" w:rsidR="00896444" w:rsidRPr="004A192E" w:rsidRDefault="00896444" w:rsidP="00896444">
      <w:pPr>
        <w:jc w:val="both"/>
        <w:rPr>
          <w:rFonts w:ascii="Arial" w:hAnsi="Arial" w:cs="Arial"/>
        </w:rPr>
      </w:pPr>
      <w:r w:rsidRPr="004A192E">
        <w:rPr>
          <w:rFonts w:ascii="Arial" w:hAnsi="Arial" w:cs="Arial"/>
        </w:rPr>
        <w:t xml:space="preserve">Spears, J. W. (2000). Micronutrients and immune function in cattle. </w:t>
      </w:r>
      <w:r w:rsidRPr="004A192E">
        <w:rPr>
          <w:rFonts w:ascii="Arial" w:hAnsi="Arial" w:cs="Arial"/>
          <w:i/>
          <w:iCs/>
        </w:rPr>
        <w:t>Proceedings of the Nutrition Society, 59</w:t>
      </w:r>
      <w:r w:rsidRPr="004A192E">
        <w:rPr>
          <w:rFonts w:ascii="Arial" w:hAnsi="Arial" w:cs="Arial"/>
        </w:rPr>
        <w:t>(4), 587–594.</w:t>
      </w:r>
    </w:p>
    <w:p w14:paraId="1A62AF78" w14:textId="77777777" w:rsidR="00896444" w:rsidRPr="004A192E" w:rsidRDefault="00896444" w:rsidP="00896444">
      <w:pPr>
        <w:jc w:val="both"/>
        <w:rPr>
          <w:rFonts w:ascii="Arial" w:hAnsi="Arial" w:cs="Arial"/>
        </w:rPr>
      </w:pPr>
      <w:r w:rsidRPr="004A192E">
        <w:rPr>
          <w:rFonts w:ascii="Arial" w:hAnsi="Arial" w:cs="Arial"/>
        </w:rPr>
        <w:t xml:space="preserve">Spears, J. W. (2003). Trace mineral bioavailability in ruminants. </w:t>
      </w:r>
      <w:r w:rsidRPr="004A192E">
        <w:rPr>
          <w:rFonts w:ascii="Arial" w:hAnsi="Arial" w:cs="Arial"/>
          <w:i/>
          <w:iCs/>
        </w:rPr>
        <w:t>The Journal of Nutrition, 133</w:t>
      </w:r>
      <w:r w:rsidRPr="004A192E">
        <w:rPr>
          <w:rFonts w:ascii="Arial" w:hAnsi="Arial" w:cs="Arial"/>
        </w:rPr>
        <w:t>(5 Suppl 1), 1506S–1509S.</w:t>
      </w:r>
    </w:p>
    <w:p w14:paraId="56F25001" w14:textId="77777777" w:rsidR="00896444" w:rsidRPr="004A192E" w:rsidRDefault="00896444" w:rsidP="00896444">
      <w:pPr>
        <w:jc w:val="both"/>
        <w:rPr>
          <w:rFonts w:ascii="Arial" w:hAnsi="Arial" w:cs="Arial"/>
        </w:rPr>
      </w:pPr>
      <w:r w:rsidRPr="004A192E">
        <w:rPr>
          <w:rFonts w:ascii="Arial" w:hAnsi="Arial" w:cs="Arial"/>
        </w:rPr>
        <w:t xml:space="preserve">Surai, P. F. (2006). </w:t>
      </w:r>
      <w:r w:rsidRPr="004A192E">
        <w:rPr>
          <w:rFonts w:ascii="Arial" w:hAnsi="Arial" w:cs="Arial"/>
          <w:i/>
          <w:iCs/>
        </w:rPr>
        <w:t>Selenium in nutrition and health</w:t>
      </w:r>
      <w:r w:rsidRPr="004A192E">
        <w:rPr>
          <w:rFonts w:ascii="Arial" w:hAnsi="Arial" w:cs="Arial"/>
        </w:rPr>
        <w:t>. Nottingham University Press.</w:t>
      </w:r>
    </w:p>
    <w:p w14:paraId="28F42628" w14:textId="77777777" w:rsidR="00896444" w:rsidRPr="004A192E" w:rsidRDefault="00896444" w:rsidP="00896444">
      <w:pPr>
        <w:jc w:val="both"/>
        <w:rPr>
          <w:rFonts w:ascii="Arial" w:hAnsi="Arial" w:cs="Arial"/>
        </w:rPr>
      </w:pPr>
      <w:r w:rsidRPr="004A192E">
        <w:rPr>
          <w:rFonts w:ascii="Arial" w:hAnsi="Arial" w:cs="Arial"/>
        </w:rPr>
        <w:t xml:space="preserve">Tiwari, S. P., &amp; Yadav, R. S. (2010). Role of micronutrients in improving yield and quality of fodder crops. </w:t>
      </w:r>
      <w:r w:rsidRPr="004A192E">
        <w:rPr>
          <w:rFonts w:ascii="Arial" w:hAnsi="Arial" w:cs="Arial"/>
          <w:i/>
          <w:iCs/>
        </w:rPr>
        <w:t>Indian Journal of Agronomy, 55</w:t>
      </w:r>
      <w:r w:rsidRPr="004A192E">
        <w:rPr>
          <w:rFonts w:ascii="Arial" w:hAnsi="Arial" w:cs="Arial"/>
        </w:rPr>
        <w:t>(4), 334–337.</w:t>
      </w:r>
    </w:p>
    <w:p w14:paraId="3968A6AC" w14:textId="77777777" w:rsidR="00896444" w:rsidRPr="004A192E" w:rsidRDefault="00896444" w:rsidP="00896444">
      <w:pPr>
        <w:jc w:val="both"/>
        <w:rPr>
          <w:rFonts w:ascii="Arial" w:hAnsi="Arial" w:cs="Arial"/>
        </w:rPr>
      </w:pPr>
      <w:r w:rsidRPr="004A192E">
        <w:rPr>
          <w:rFonts w:ascii="Arial" w:hAnsi="Arial" w:cs="Arial"/>
        </w:rPr>
        <w:t xml:space="preserve">Van Soest, P. J., Robertson, J. B., &amp; Lewis, B. A. (1991). Methods of dietary </w:t>
      </w:r>
      <w:proofErr w:type="spellStart"/>
      <w:r w:rsidRPr="004A192E">
        <w:rPr>
          <w:rFonts w:ascii="Arial" w:hAnsi="Arial" w:cs="Arial"/>
        </w:rPr>
        <w:t>fibre</w:t>
      </w:r>
      <w:proofErr w:type="spellEnd"/>
      <w:r w:rsidRPr="004A192E">
        <w:rPr>
          <w:rFonts w:ascii="Arial" w:hAnsi="Arial" w:cs="Arial"/>
        </w:rPr>
        <w:t xml:space="preserve">, neutral detergent </w:t>
      </w:r>
      <w:proofErr w:type="spellStart"/>
      <w:r w:rsidRPr="004A192E">
        <w:rPr>
          <w:rFonts w:ascii="Arial" w:hAnsi="Arial" w:cs="Arial"/>
        </w:rPr>
        <w:t>fibre</w:t>
      </w:r>
      <w:proofErr w:type="spellEnd"/>
      <w:r w:rsidRPr="004A192E">
        <w:rPr>
          <w:rFonts w:ascii="Arial" w:hAnsi="Arial" w:cs="Arial"/>
        </w:rPr>
        <w:t xml:space="preserve"> and non-starch polysaccharide in relation to animal nutrition. </w:t>
      </w:r>
      <w:r w:rsidRPr="004A192E">
        <w:rPr>
          <w:rFonts w:ascii="Arial" w:hAnsi="Arial" w:cs="Arial"/>
          <w:i/>
          <w:iCs/>
        </w:rPr>
        <w:t>Journal of Dairy Science, 74</w:t>
      </w:r>
      <w:r w:rsidRPr="004A192E">
        <w:rPr>
          <w:rFonts w:ascii="Arial" w:hAnsi="Arial" w:cs="Arial"/>
        </w:rPr>
        <w:t>, 3583-3597.</w:t>
      </w:r>
    </w:p>
    <w:p w14:paraId="7ECEDBAA" w14:textId="77777777" w:rsidR="00896444" w:rsidRPr="004A192E" w:rsidRDefault="00896444" w:rsidP="00896444">
      <w:pPr>
        <w:jc w:val="both"/>
        <w:rPr>
          <w:rFonts w:ascii="Arial" w:hAnsi="Arial" w:cs="Arial"/>
        </w:rPr>
      </w:pPr>
      <w:r w:rsidRPr="004A192E">
        <w:rPr>
          <w:rFonts w:ascii="Arial" w:hAnsi="Arial" w:cs="Arial"/>
        </w:rPr>
        <w:t xml:space="preserve">Weiss, W. P., &amp; Hogan, J. S. (2005). Effect of dietary fat and vitamin E on lipid peroxidation and neutrophil function in dairy cows. </w:t>
      </w:r>
      <w:r w:rsidRPr="004A192E">
        <w:rPr>
          <w:rFonts w:ascii="Arial" w:hAnsi="Arial" w:cs="Arial"/>
          <w:i/>
          <w:iCs/>
        </w:rPr>
        <w:t>Journal of Dairy Science, 88</w:t>
      </w:r>
      <w:r w:rsidRPr="004A192E">
        <w:rPr>
          <w:rFonts w:ascii="Arial" w:hAnsi="Arial" w:cs="Arial"/>
        </w:rPr>
        <w:t>(1), 393–399.</w:t>
      </w:r>
    </w:p>
    <w:sectPr w:rsidR="00896444" w:rsidRPr="004A192E" w:rsidSect="00E756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EE27" w14:textId="77777777" w:rsidR="00B75D2F" w:rsidRDefault="00B75D2F" w:rsidP="00C37E61">
      <w:r>
        <w:separator/>
      </w:r>
    </w:p>
  </w:endnote>
  <w:endnote w:type="continuationSeparator" w:id="0">
    <w:p w14:paraId="5DBF21BE" w14:textId="77777777" w:rsidR="00B75D2F" w:rsidRDefault="00B75D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2443" w14:textId="77777777" w:rsidR="00E75650" w:rsidRDefault="00E75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13D1" w14:textId="77777777" w:rsidR="00E75650" w:rsidRDefault="00E75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3D27" w14:textId="77777777" w:rsidR="009E048A" w:rsidRDefault="009E048A">
    <w:pPr>
      <w:pStyle w:val="Footer"/>
      <w:rPr>
        <w:rFonts w:ascii="Arial" w:hAnsi="Arial" w:cs="Arial"/>
        <w:sz w:val="16"/>
      </w:rPr>
    </w:pPr>
  </w:p>
  <w:p w14:paraId="61DDB9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2E46B1" w14:textId="77777777" w:rsidR="009E048A" w:rsidRDefault="009E048A">
    <w:pPr>
      <w:pStyle w:val="Footer"/>
      <w:rPr>
        <w:rFonts w:ascii="Arial" w:hAnsi="Arial" w:cs="Arial"/>
        <w:sz w:val="16"/>
      </w:rPr>
    </w:pPr>
  </w:p>
  <w:p w14:paraId="145ABDE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A618" w14:textId="77777777" w:rsidR="00B75D2F" w:rsidRDefault="00B75D2F" w:rsidP="00C37E61">
      <w:r>
        <w:separator/>
      </w:r>
    </w:p>
  </w:footnote>
  <w:footnote w:type="continuationSeparator" w:id="0">
    <w:p w14:paraId="29F36C50" w14:textId="77777777" w:rsidR="00B75D2F" w:rsidRDefault="00B75D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DDBE" w14:textId="229DC9BC" w:rsidR="00E75650" w:rsidRDefault="00E75650">
    <w:pPr>
      <w:pStyle w:val="Header"/>
    </w:pPr>
    <w:r>
      <w:rPr>
        <w:noProof/>
      </w:rPr>
      <w:pict w14:anchorId="44419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42FC" w14:textId="448AFA0C" w:rsidR="00E75650" w:rsidRDefault="00E75650">
    <w:pPr>
      <w:pStyle w:val="Header"/>
    </w:pPr>
    <w:r>
      <w:rPr>
        <w:noProof/>
      </w:rPr>
      <w:pict w14:anchorId="74BAF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3502" w14:textId="0A85A45B" w:rsidR="00296529" w:rsidRPr="00296529" w:rsidRDefault="00E75650" w:rsidP="00296529">
    <w:pPr>
      <w:ind w:left="2160"/>
      <w:jc w:val="center"/>
      <w:rPr>
        <w:rFonts w:ascii="Times New Roman" w:eastAsia="Calibri" w:hAnsi="Times New Roman"/>
        <w:i/>
        <w:sz w:val="18"/>
        <w:szCs w:val="22"/>
      </w:rPr>
    </w:pPr>
    <w:r>
      <w:rPr>
        <w:noProof/>
      </w:rPr>
      <w:pict w14:anchorId="7552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2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A76E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484B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7E62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97AC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970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19A08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564"/>
    <w:rsid w:val="0004579C"/>
    <w:rsid w:val="00067931"/>
    <w:rsid w:val="00071B27"/>
    <w:rsid w:val="0008647B"/>
    <w:rsid w:val="00087B34"/>
    <w:rsid w:val="000A47FA"/>
    <w:rsid w:val="000A65D3"/>
    <w:rsid w:val="000B1E33"/>
    <w:rsid w:val="000B473D"/>
    <w:rsid w:val="000C0C57"/>
    <w:rsid w:val="000D689F"/>
    <w:rsid w:val="000D7730"/>
    <w:rsid w:val="000E7B7B"/>
    <w:rsid w:val="000E7D62"/>
    <w:rsid w:val="00103357"/>
    <w:rsid w:val="00123C9F"/>
    <w:rsid w:val="00126190"/>
    <w:rsid w:val="00130F17"/>
    <w:rsid w:val="001320BF"/>
    <w:rsid w:val="00140ACB"/>
    <w:rsid w:val="00163BC4"/>
    <w:rsid w:val="00191062"/>
    <w:rsid w:val="00192B72"/>
    <w:rsid w:val="001949E5"/>
    <w:rsid w:val="001A29D8"/>
    <w:rsid w:val="001A5CAA"/>
    <w:rsid w:val="001B0427"/>
    <w:rsid w:val="001D2AFF"/>
    <w:rsid w:val="001D3A51"/>
    <w:rsid w:val="001E10D2"/>
    <w:rsid w:val="001E25B4"/>
    <w:rsid w:val="001E44FE"/>
    <w:rsid w:val="00200595"/>
    <w:rsid w:val="00204835"/>
    <w:rsid w:val="00231920"/>
    <w:rsid w:val="0023195C"/>
    <w:rsid w:val="0024282C"/>
    <w:rsid w:val="002460DC"/>
    <w:rsid w:val="00250985"/>
    <w:rsid w:val="00255531"/>
    <w:rsid w:val="002556F6"/>
    <w:rsid w:val="002578D9"/>
    <w:rsid w:val="00283105"/>
    <w:rsid w:val="00283655"/>
    <w:rsid w:val="00284C4C"/>
    <w:rsid w:val="00287E68"/>
    <w:rsid w:val="00296529"/>
    <w:rsid w:val="002B27FB"/>
    <w:rsid w:val="002B685A"/>
    <w:rsid w:val="002C57D2"/>
    <w:rsid w:val="002C64F4"/>
    <w:rsid w:val="002D0E47"/>
    <w:rsid w:val="002E0D56"/>
    <w:rsid w:val="002E6BF0"/>
    <w:rsid w:val="002F5D55"/>
    <w:rsid w:val="00307E47"/>
    <w:rsid w:val="003108D6"/>
    <w:rsid w:val="00315186"/>
    <w:rsid w:val="00333338"/>
    <w:rsid w:val="0033343E"/>
    <w:rsid w:val="00334BBF"/>
    <w:rsid w:val="00345920"/>
    <w:rsid w:val="003512C2"/>
    <w:rsid w:val="00371FB6"/>
    <w:rsid w:val="003763C1"/>
    <w:rsid w:val="00376BBE"/>
    <w:rsid w:val="00380A26"/>
    <w:rsid w:val="00382ACC"/>
    <w:rsid w:val="0039224F"/>
    <w:rsid w:val="003A2D8B"/>
    <w:rsid w:val="003A43A4"/>
    <w:rsid w:val="003A7E18"/>
    <w:rsid w:val="003C4C86"/>
    <w:rsid w:val="003C6258"/>
    <w:rsid w:val="003D4952"/>
    <w:rsid w:val="003E2904"/>
    <w:rsid w:val="003F5F67"/>
    <w:rsid w:val="00401927"/>
    <w:rsid w:val="0041027F"/>
    <w:rsid w:val="00412475"/>
    <w:rsid w:val="00423789"/>
    <w:rsid w:val="00440F43"/>
    <w:rsid w:val="00441B6F"/>
    <w:rsid w:val="00446221"/>
    <w:rsid w:val="00450E62"/>
    <w:rsid w:val="004539DB"/>
    <w:rsid w:val="00471A80"/>
    <w:rsid w:val="00484158"/>
    <w:rsid w:val="004D100D"/>
    <w:rsid w:val="004D305E"/>
    <w:rsid w:val="004D4277"/>
    <w:rsid w:val="00502516"/>
    <w:rsid w:val="00503C66"/>
    <w:rsid w:val="00505F06"/>
    <w:rsid w:val="00506828"/>
    <w:rsid w:val="00513094"/>
    <w:rsid w:val="005167E6"/>
    <w:rsid w:val="0053056E"/>
    <w:rsid w:val="00547E0C"/>
    <w:rsid w:val="00554FDA"/>
    <w:rsid w:val="005557DD"/>
    <w:rsid w:val="005740F4"/>
    <w:rsid w:val="005C4C2E"/>
    <w:rsid w:val="005C784C"/>
    <w:rsid w:val="005C7BDB"/>
    <w:rsid w:val="005D17F6"/>
    <w:rsid w:val="005E5539"/>
    <w:rsid w:val="00602234"/>
    <w:rsid w:val="00602BF5"/>
    <w:rsid w:val="00617FDD"/>
    <w:rsid w:val="00632449"/>
    <w:rsid w:val="00633614"/>
    <w:rsid w:val="00633F68"/>
    <w:rsid w:val="00636EB2"/>
    <w:rsid w:val="006375B8"/>
    <w:rsid w:val="0066510A"/>
    <w:rsid w:val="00666E22"/>
    <w:rsid w:val="006701F4"/>
    <w:rsid w:val="00673F9F"/>
    <w:rsid w:val="006818C8"/>
    <w:rsid w:val="00686953"/>
    <w:rsid w:val="00687DEA"/>
    <w:rsid w:val="00687E67"/>
    <w:rsid w:val="006967F7"/>
    <w:rsid w:val="006A250C"/>
    <w:rsid w:val="006B21D3"/>
    <w:rsid w:val="006B57D0"/>
    <w:rsid w:val="006C4903"/>
    <w:rsid w:val="006D30FF"/>
    <w:rsid w:val="006D6103"/>
    <w:rsid w:val="006D6940"/>
    <w:rsid w:val="006F11EC"/>
    <w:rsid w:val="006F3584"/>
    <w:rsid w:val="0070082C"/>
    <w:rsid w:val="007369E6"/>
    <w:rsid w:val="00746E59"/>
    <w:rsid w:val="00754C9A"/>
    <w:rsid w:val="0075599A"/>
    <w:rsid w:val="00761D52"/>
    <w:rsid w:val="00773EDF"/>
    <w:rsid w:val="0077749E"/>
    <w:rsid w:val="00790ADA"/>
    <w:rsid w:val="00793481"/>
    <w:rsid w:val="007978E7"/>
    <w:rsid w:val="007A5DFD"/>
    <w:rsid w:val="007B188A"/>
    <w:rsid w:val="007C6579"/>
    <w:rsid w:val="007D2288"/>
    <w:rsid w:val="007E088F"/>
    <w:rsid w:val="007F1BE0"/>
    <w:rsid w:val="007F7B32"/>
    <w:rsid w:val="00804BC2"/>
    <w:rsid w:val="00807C29"/>
    <w:rsid w:val="0081431A"/>
    <w:rsid w:val="00820DC3"/>
    <w:rsid w:val="0082389E"/>
    <w:rsid w:val="00830CB6"/>
    <w:rsid w:val="0083216F"/>
    <w:rsid w:val="00842E0C"/>
    <w:rsid w:val="00860000"/>
    <w:rsid w:val="00863362"/>
    <w:rsid w:val="00863BD3"/>
    <w:rsid w:val="008641ED"/>
    <w:rsid w:val="00866D66"/>
    <w:rsid w:val="008671C6"/>
    <w:rsid w:val="00875803"/>
    <w:rsid w:val="00896444"/>
    <w:rsid w:val="008B459E"/>
    <w:rsid w:val="008E13AE"/>
    <w:rsid w:val="008E1506"/>
    <w:rsid w:val="008E710C"/>
    <w:rsid w:val="008E7954"/>
    <w:rsid w:val="008F69D6"/>
    <w:rsid w:val="00901C62"/>
    <w:rsid w:val="00902823"/>
    <w:rsid w:val="00915B96"/>
    <w:rsid w:val="00915CA6"/>
    <w:rsid w:val="00927834"/>
    <w:rsid w:val="009500A6"/>
    <w:rsid w:val="00956770"/>
    <w:rsid w:val="00957C18"/>
    <w:rsid w:val="009659BA"/>
    <w:rsid w:val="00983040"/>
    <w:rsid w:val="00995EFB"/>
    <w:rsid w:val="009B3FB9"/>
    <w:rsid w:val="009C2465"/>
    <w:rsid w:val="009D35A0"/>
    <w:rsid w:val="009D7EB7"/>
    <w:rsid w:val="009E048A"/>
    <w:rsid w:val="009E08E9"/>
    <w:rsid w:val="009E3DB9"/>
    <w:rsid w:val="009E6E35"/>
    <w:rsid w:val="009F0EDA"/>
    <w:rsid w:val="00A03B96"/>
    <w:rsid w:val="00A05B19"/>
    <w:rsid w:val="00A06CE6"/>
    <w:rsid w:val="00A1134E"/>
    <w:rsid w:val="00A17F7D"/>
    <w:rsid w:val="00A24E7E"/>
    <w:rsid w:val="00A258C3"/>
    <w:rsid w:val="00A347C0"/>
    <w:rsid w:val="00A440FC"/>
    <w:rsid w:val="00A51431"/>
    <w:rsid w:val="00A539AD"/>
    <w:rsid w:val="00A67199"/>
    <w:rsid w:val="00A70B46"/>
    <w:rsid w:val="00A94063"/>
    <w:rsid w:val="00AA5B3B"/>
    <w:rsid w:val="00AA6219"/>
    <w:rsid w:val="00AA74E0"/>
    <w:rsid w:val="00AB703F"/>
    <w:rsid w:val="00AC6BB8"/>
    <w:rsid w:val="00AD7D80"/>
    <w:rsid w:val="00AE008F"/>
    <w:rsid w:val="00B01FCD"/>
    <w:rsid w:val="00B174C4"/>
    <w:rsid w:val="00B1776C"/>
    <w:rsid w:val="00B407D7"/>
    <w:rsid w:val="00B52583"/>
    <w:rsid w:val="00B52896"/>
    <w:rsid w:val="00B64612"/>
    <w:rsid w:val="00B64848"/>
    <w:rsid w:val="00B74869"/>
    <w:rsid w:val="00B75D2F"/>
    <w:rsid w:val="00B951C7"/>
    <w:rsid w:val="00B95236"/>
    <w:rsid w:val="00B96BD9"/>
    <w:rsid w:val="00BA1B01"/>
    <w:rsid w:val="00BA2641"/>
    <w:rsid w:val="00BA4B3A"/>
    <w:rsid w:val="00BB0FEA"/>
    <w:rsid w:val="00BB37AA"/>
    <w:rsid w:val="00BB504E"/>
    <w:rsid w:val="00BB5D74"/>
    <w:rsid w:val="00BC11AB"/>
    <w:rsid w:val="00BC53A0"/>
    <w:rsid w:val="00BD6B95"/>
    <w:rsid w:val="00BE62AD"/>
    <w:rsid w:val="00BF121F"/>
    <w:rsid w:val="00BF1F80"/>
    <w:rsid w:val="00C166EF"/>
    <w:rsid w:val="00C17EB0"/>
    <w:rsid w:val="00C27F5F"/>
    <w:rsid w:val="00C30A0F"/>
    <w:rsid w:val="00C32F16"/>
    <w:rsid w:val="00C37E61"/>
    <w:rsid w:val="00C65356"/>
    <w:rsid w:val="00C70F1B"/>
    <w:rsid w:val="00C71A47"/>
    <w:rsid w:val="00C7464C"/>
    <w:rsid w:val="00C85588"/>
    <w:rsid w:val="00CB4F9D"/>
    <w:rsid w:val="00CD6755"/>
    <w:rsid w:val="00CD6856"/>
    <w:rsid w:val="00CE0089"/>
    <w:rsid w:val="00CE068E"/>
    <w:rsid w:val="00CE6F7A"/>
    <w:rsid w:val="00CE793C"/>
    <w:rsid w:val="00CF193C"/>
    <w:rsid w:val="00D173F1"/>
    <w:rsid w:val="00D449AB"/>
    <w:rsid w:val="00D74CB0"/>
    <w:rsid w:val="00D8295D"/>
    <w:rsid w:val="00DB4B83"/>
    <w:rsid w:val="00DC2A65"/>
    <w:rsid w:val="00DD447A"/>
    <w:rsid w:val="00DE15F0"/>
    <w:rsid w:val="00DE5663"/>
    <w:rsid w:val="00DE78AA"/>
    <w:rsid w:val="00E04954"/>
    <w:rsid w:val="00E053D0"/>
    <w:rsid w:val="00E15994"/>
    <w:rsid w:val="00E3114E"/>
    <w:rsid w:val="00E31A70"/>
    <w:rsid w:val="00E35B02"/>
    <w:rsid w:val="00E40070"/>
    <w:rsid w:val="00E42F80"/>
    <w:rsid w:val="00E5023A"/>
    <w:rsid w:val="00E66496"/>
    <w:rsid w:val="00E66B35"/>
    <w:rsid w:val="00E66E10"/>
    <w:rsid w:val="00E75650"/>
    <w:rsid w:val="00E769F6"/>
    <w:rsid w:val="00E8407C"/>
    <w:rsid w:val="00E84F3C"/>
    <w:rsid w:val="00E964EC"/>
    <w:rsid w:val="00E969E8"/>
    <w:rsid w:val="00EA012C"/>
    <w:rsid w:val="00EC6A55"/>
    <w:rsid w:val="00EC6EE4"/>
    <w:rsid w:val="00ED0288"/>
    <w:rsid w:val="00EE52CB"/>
    <w:rsid w:val="00EF581D"/>
    <w:rsid w:val="00EF7FD8"/>
    <w:rsid w:val="00F02473"/>
    <w:rsid w:val="00F046EB"/>
    <w:rsid w:val="00F06F59"/>
    <w:rsid w:val="00F17988"/>
    <w:rsid w:val="00F35E8F"/>
    <w:rsid w:val="00F36CD3"/>
    <w:rsid w:val="00F469F0"/>
    <w:rsid w:val="00F470AF"/>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14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F046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F046EB"/>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F046EB"/>
    <w:pPr>
      <w:spacing w:after="120"/>
    </w:pPr>
  </w:style>
  <w:style w:type="character" w:customStyle="1" w:styleId="BodyTextChar">
    <w:name w:val="Body Text Char"/>
    <w:basedOn w:val="DefaultParagraphFont"/>
    <w:link w:val="BodyText"/>
    <w:semiHidden/>
    <w:rsid w:val="00F046EB"/>
    <w:rPr>
      <w:rFonts w:ascii="Helvetica" w:hAnsi="Helvetica"/>
    </w:rPr>
  </w:style>
  <w:style w:type="paragraph" w:customStyle="1" w:styleId="TableParagraph">
    <w:name w:val="Table Paragraph"/>
    <w:basedOn w:val="Normal"/>
    <w:uiPriority w:val="1"/>
    <w:qFormat/>
    <w:rsid w:val="00F046EB"/>
    <w:pPr>
      <w:widowControl w:val="0"/>
      <w:autoSpaceDE w:val="0"/>
      <w:autoSpaceDN w:val="0"/>
      <w:spacing w:line="263" w:lineRule="exact"/>
      <w:ind w:left="107"/>
      <w:jc w:val="center"/>
    </w:pPr>
    <w:rPr>
      <w:rFonts w:ascii="Times New Roman" w:hAnsi="Times New Roman"/>
      <w:sz w:val="22"/>
      <w:szCs w:val="22"/>
    </w:rPr>
  </w:style>
  <w:style w:type="paragraph" w:styleId="NoSpacing">
    <w:name w:val="No Spacing"/>
    <w:uiPriority w:val="99"/>
    <w:qFormat/>
    <w:rsid w:val="00F046EB"/>
    <w:pPr>
      <w:jc w:val="center"/>
    </w:pPr>
    <w:rPr>
      <w:rFonts w:ascii="Calibri" w:eastAsia="Calibri" w:hAnsi="Calibri" w:cs="Mangal"/>
      <w:sz w:val="22"/>
      <w:szCs w:val="22"/>
    </w:rPr>
  </w:style>
  <w:style w:type="paragraph" w:styleId="NormalWeb">
    <w:name w:val="Normal (Web)"/>
    <w:basedOn w:val="Normal"/>
    <w:semiHidden/>
    <w:unhideWhenUsed/>
    <w:rsid w:val="00BD6B95"/>
    <w:rPr>
      <w:rFonts w:ascii="Times New Roman" w:hAnsi="Times New Roman"/>
      <w:sz w:val="24"/>
      <w:szCs w:val="24"/>
    </w:rPr>
  </w:style>
  <w:style w:type="paragraph" w:styleId="ListParagraph">
    <w:name w:val="List Paragraph"/>
    <w:basedOn w:val="Normal"/>
    <w:uiPriority w:val="34"/>
    <w:qFormat/>
    <w:rsid w:val="00B64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DF7F-760F-4526-BB4E-21CE9EFD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359</TotalTime>
  <Pages>9</Pages>
  <Words>4597</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68</cp:revision>
  <cp:lastPrinted>2026-04-29T06:08:00Z</cp:lastPrinted>
  <dcterms:created xsi:type="dcterms:W3CDTF">2026-04-16T10:40:00Z</dcterms:created>
  <dcterms:modified xsi:type="dcterms:W3CDTF">2026-05-13T14:27:00Z</dcterms:modified>
</cp:coreProperties>
</file>