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50221" w14:textId="3096CD02" w:rsidR="00C97C29" w:rsidRDefault="00BC23C0" w:rsidP="003C19A1">
      <w:pPr>
        <w:spacing w:line="360" w:lineRule="auto"/>
        <w:jc w:val="center"/>
        <w:rPr>
          <w:rFonts w:ascii="Times New Roman" w:hAnsi="Times New Roman" w:cs="Times New Roman"/>
          <w:b/>
          <w:bCs/>
          <w:sz w:val="24"/>
          <w:szCs w:val="24"/>
        </w:rPr>
      </w:pPr>
      <w:r w:rsidRPr="00892964">
        <w:rPr>
          <w:rFonts w:ascii="Times New Roman" w:hAnsi="Times New Roman" w:cs="Times New Roman"/>
          <w:b/>
          <w:bCs/>
          <w:sz w:val="24"/>
          <w:szCs w:val="24"/>
        </w:rPr>
        <w:t>Effect</w:t>
      </w:r>
      <w:r w:rsidR="00892964" w:rsidRPr="00892964">
        <w:rPr>
          <w:rFonts w:ascii="Times New Roman" w:hAnsi="Times New Roman" w:cs="Times New Roman"/>
          <w:b/>
          <w:bCs/>
          <w:sz w:val="24"/>
          <w:szCs w:val="24"/>
        </w:rPr>
        <w:t xml:space="preserve"> OF </w:t>
      </w:r>
      <w:r w:rsidR="00892964" w:rsidRPr="00892964">
        <w:rPr>
          <w:rFonts w:ascii="Times New Roman" w:hAnsi="Times New Roman" w:cs="Times New Roman"/>
          <w:b/>
          <w:bCs/>
          <w:i/>
          <w:iCs/>
          <w:sz w:val="24"/>
          <w:szCs w:val="24"/>
          <w:lang w:val="en-US"/>
        </w:rPr>
        <w:t xml:space="preserve">Andrographis </w:t>
      </w:r>
      <w:proofErr w:type="spellStart"/>
      <w:r>
        <w:rPr>
          <w:rFonts w:ascii="Times New Roman" w:hAnsi="Times New Roman" w:cs="Times New Roman"/>
          <w:b/>
          <w:bCs/>
          <w:i/>
          <w:iCs/>
          <w:sz w:val="24"/>
          <w:szCs w:val="24"/>
          <w:lang w:val="en-US"/>
        </w:rPr>
        <w:t>p</w:t>
      </w:r>
      <w:r w:rsidRPr="00892964">
        <w:rPr>
          <w:rFonts w:ascii="Times New Roman" w:hAnsi="Times New Roman" w:cs="Times New Roman"/>
          <w:b/>
          <w:bCs/>
          <w:i/>
          <w:iCs/>
          <w:sz w:val="24"/>
          <w:szCs w:val="24"/>
          <w:lang w:val="en-US"/>
        </w:rPr>
        <w:t>aniculata</w:t>
      </w:r>
      <w:proofErr w:type="spellEnd"/>
      <w:r w:rsidRPr="00892964">
        <w:rPr>
          <w:rFonts w:ascii="Times New Roman" w:hAnsi="Times New Roman" w:cs="Times New Roman"/>
          <w:b/>
          <w:bCs/>
          <w:sz w:val="24"/>
          <w:szCs w:val="24"/>
          <w:lang w:val="en-US"/>
        </w:rPr>
        <w:t xml:space="preserve"> (</w:t>
      </w:r>
      <w:proofErr w:type="spellStart"/>
      <w:r w:rsidR="00892964" w:rsidRPr="00892964">
        <w:rPr>
          <w:rFonts w:ascii="Times New Roman" w:hAnsi="Times New Roman" w:cs="Times New Roman"/>
          <w:b/>
          <w:bCs/>
          <w:sz w:val="24"/>
          <w:szCs w:val="24"/>
          <w:lang w:val="en-US"/>
        </w:rPr>
        <w:t>Kalmegh</w:t>
      </w:r>
      <w:proofErr w:type="spellEnd"/>
      <w:r w:rsidRPr="00892964">
        <w:rPr>
          <w:rFonts w:ascii="Times New Roman" w:hAnsi="Times New Roman" w:cs="Times New Roman"/>
          <w:b/>
          <w:bCs/>
          <w:sz w:val="24"/>
          <w:szCs w:val="24"/>
          <w:lang w:val="en-US"/>
        </w:rPr>
        <w:t xml:space="preserve">) Extract </w:t>
      </w:r>
      <w:r w:rsidR="00F9136C" w:rsidRPr="00892964">
        <w:rPr>
          <w:rFonts w:ascii="Times New Roman" w:hAnsi="Times New Roman" w:cs="Times New Roman"/>
          <w:b/>
          <w:bCs/>
          <w:sz w:val="24"/>
          <w:szCs w:val="24"/>
          <w:lang w:val="en-US"/>
        </w:rPr>
        <w:t>as</w:t>
      </w:r>
      <w:r w:rsidRPr="00892964">
        <w:rPr>
          <w:rFonts w:ascii="Times New Roman" w:hAnsi="Times New Roman" w:cs="Times New Roman"/>
          <w:b/>
          <w:bCs/>
          <w:sz w:val="24"/>
          <w:szCs w:val="24"/>
          <w:lang w:val="en-US"/>
        </w:rPr>
        <w:t xml:space="preserve"> </w:t>
      </w:r>
      <w:r w:rsidR="00F9136C">
        <w:rPr>
          <w:rFonts w:ascii="Times New Roman" w:hAnsi="Times New Roman" w:cs="Times New Roman"/>
          <w:b/>
          <w:bCs/>
          <w:sz w:val="24"/>
          <w:szCs w:val="24"/>
          <w:lang w:val="en-US"/>
        </w:rPr>
        <w:t>a</w:t>
      </w:r>
      <w:r w:rsidRPr="00892964">
        <w:rPr>
          <w:rFonts w:ascii="Times New Roman" w:hAnsi="Times New Roman" w:cs="Times New Roman"/>
          <w:b/>
          <w:bCs/>
          <w:sz w:val="24"/>
          <w:szCs w:val="24"/>
          <w:lang w:val="en-US"/>
        </w:rPr>
        <w:t xml:space="preserve"> Feed Additive </w:t>
      </w:r>
      <w:r w:rsidR="008E766B" w:rsidRPr="00892964">
        <w:rPr>
          <w:rFonts w:ascii="Times New Roman" w:hAnsi="Times New Roman" w:cs="Times New Roman"/>
          <w:b/>
          <w:bCs/>
          <w:sz w:val="24"/>
          <w:szCs w:val="24"/>
          <w:lang w:val="en-US"/>
        </w:rPr>
        <w:t>on</w:t>
      </w:r>
      <w:r w:rsidRPr="00892964">
        <w:rPr>
          <w:rFonts w:ascii="Times New Roman" w:hAnsi="Times New Roman" w:cs="Times New Roman"/>
          <w:b/>
          <w:bCs/>
          <w:sz w:val="24"/>
          <w:szCs w:val="24"/>
          <w:lang w:val="en-US"/>
        </w:rPr>
        <w:t xml:space="preserve"> </w:t>
      </w:r>
      <w:r w:rsidRPr="00892964">
        <w:rPr>
          <w:rFonts w:ascii="Times New Roman" w:hAnsi="Times New Roman" w:cs="Times New Roman"/>
          <w:b/>
          <w:bCs/>
          <w:sz w:val="24"/>
          <w:szCs w:val="24"/>
        </w:rPr>
        <w:t>Growth</w:t>
      </w:r>
      <w:r>
        <w:rPr>
          <w:rFonts w:ascii="Times New Roman" w:hAnsi="Times New Roman" w:cs="Times New Roman"/>
          <w:b/>
          <w:bCs/>
          <w:sz w:val="24"/>
          <w:szCs w:val="24"/>
        </w:rPr>
        <w:t xml:space="preserve"> </w:t>
      </w:r>
      <w:r w:rsidR="008E766B">
        <w:rPr>
          <w:rFonts w:ascii="Times New Roman" w:hAnsi="Times New Roman" w:cs="Times New Roman"/>
          <w:b/>
          <w:bCs/>
          <w:sz w:val="24"/>
          <w:szCs w:val="24"/>
        </w:rPr>
        <w:t>and</w:t>
      </w:r>
      <w:r>
        <w:rPr>
          <w:rFonts w:ascii="Times New Roman" w:hAnsi="Times New Roman" w:cs="Times New Roman"/>
          <w:b/>
          <w:bCs/>
          <w:sz w:val="24"/>
          <w:szCs w:val="24"/>
        </w:rPr>
        <w:t xml:space="preserve"> </w:t>
      </w:r>
      <w:r w:rsidRPr="00892964">
        <w:rPr>
          <w:rFonts w:ascii="Times New Roman" w:hAnsi="Times New Roman" w:cs="Times New Roman"/>
          <w:b/>
          <w:bCs/>
          <w:sz w:val="24"/>
          <w:szCs w:val="24"/>
        </w:rPr>
        <w:t>Surviva</w:t>
      </w:r>
      <w:r>
        <w:rPr>
          <w:rFonts w:ascii="Times New Roman" w:hAnsi="Times New Roman" w:cs="Times New Roman"/>
          <w:b/>
          <w:bCs/>
          <w:sz w:val="24"/>
          <w:szCs w:val="24"/>
        </w:rPr>
        <w:t xml:space="preserve">l </w:t>
      </w:r>
      <w:r w:rsidR="00F9136C">
        <w:rPr>
          <w:rFonts w:ascii="Times New Roman" w:hAnsi="Times New Roman" w:cs="Times New Roman"/>
          <w:b/>
          <w:bCs/>
          <w:sz w:val="24"/>
          <w:szCs w:val="24"/>
        </w:rPr>
        <w:t>OF</w:t>
      </w:r>
      <w:r w:rsidRPr="00892964">
        <w:rPr>
          <w:rFonts w:ascii="Times New Roman" w:hAnsi="Times New Roman" w:cs="Times New Roman"/>
          <w:b/>
          <w:bCs/>
          <w:sz w:val="24"/>
          <w:szCs w:val="24"/>
        </w:rPr>
        <w:t xml:space="preserve"> Nile Tilapia </w:t>
      </w:r>
      <w:r w:rsidRPr="00892964">
        <w:rPr>
          <w:rFonts w:ascii="Times New Roman" w:hAnsi="Times New Roman" w:cs="Times New Roman"/>
          <w:b/>
          <w:bCs/>
          <w:i/>
          <w:iCs/>
          <w:sz w:val="24"/>
          <w:szCs w:val="24"/>
        </w:rPr>
        <w:t>(</w:t>
      </w:r>
      <w:r w:rsidR="00892964" w:rsidRPr="00892964">
        <w:rPr>
          <w:rFonts w:ascii="Times New Roman" w:hAnsi="Times New Roman" w:cs="Times New Roman"/>
          <w:b/>
          <w:bCs/>
          <w:i/>
          <w:iCs/>
          <w:sz w:val="24"/>
          <w:szCs w:val="24"/>
        </w:rPr>
        <w:t xml:space="preserve">Oreochromis </w:t>
      </w:r>
      <w:r w:rsidR="00430156" w:rsidRPr="00892964">
        <w:rPr>
          <w:rFonts w:ascii="Times New Roman" w:hAnsi="Times New Roman" w:cs="Times New Roman"/>
          <w:b/>
          <w:bCs/>
          <w:i/>
          <w:iCs/>
          <w:sz w:val="24"/>
          <w:szCs w:val="24"/>
        </w:rPr>
        <w:t>Niloticus</w:t>
      </w:r>
      <w:r w:rsidRPr="00892964">
        <w:rPr>
          <w:rFonts w:ascii="Times New Roman" w:hAnsi="Times New Roman" w:cs="Times New Roman"/>
          <w:b/>
          <w:bCs/>
          <w:i/>
          <w:iCs/>
          <w:sz w:val="24"/>
          <w:szCs w:val="24"/>
        </w:rPr>
        <w:t>)</w:t>
      </w:r>
    </w:p>
    <w:p w14:paraId="415ECFE4" w14:textId="77777777" w:rsidR="00C97C29" w:rsidRDefault="00C97C29" w:rsidP="00836438">
      <w:pPr>
        <w:spacing w:line="360" w:lineRule="auto"/>
        <w:jc w:val="both"/>
        <w:rPr>
          <w:rFonts w:ascii="Times New Roman" w:hAnsi="Times New Roman" w:cs="Times New Roman"/>
          <w:b/>
          <w:bCs/>
          <w:sz w:val="24"/>
          <w:szCs w:val="24"/>
        </w:rPr>
      </w:pPr>
    </w:p>
    <w:p w14:paraId="3A5E1E0D" w14:textId="77777777" w:rsidR="00C97C29" w:rsidRDefault="00C97C29" w:rsidP="00836438">
      <w:pPr>
        <w:spacing w:line="360" w:lineRule="auto"/>
        <w:jc w:val="both"/>
        <w:rPr>
          <w:rFonts w:ascii="Times New Roman" w:hAnsi="Times New Roman" w:cs="Times New Roman"/>
          <w:b/>
          <w:bCs/>
          <w:sz w:val="24"/>
          <w:szCs w:val="24"/>
        </w:rPr>
      </w:pPr>
    </w:p>
    <w:p w14:paraId="525AA10E" w14:textId="56163364" w:rsidR="00C97C29" w:rsidRDefault="008E766B" w:rsidP="008364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5986DDA5" w14:textId="4669628E" w:rsidR="00C97C29" w:rsidRPr="001E0497" w:rsidRDefault="001E0497" w:rsidP="00836438">
      <w:pPr>
        <w:spacing w:line="360" w:lineRule="auto"/>
        <w:jc w:val="both"/>
        <w:rPr>
          <w:rFonts w:ascii="Times New Roman" w:hAnsi="Times New Roman" w:cs="Times New Roman"/>
          <w:b/>
          <w:bCs/>
          <w:sz w:val="24"/>
          <w:szCs w:val="24"/>
        </w:rPr>
      </w:pPr>
      <w:r w:rsidRPr="001E0497">
        <w:rPr>
          <w:rFonts w:ascii="Times New Roman" w:hAnsi="Times New Roman" w:cs="Times New Roman"/>
          <w:b/>
          <w:bCs/>
          <w:sz w:val="24"/>
          <w:szCs w:val="24"/>
        </w:rPr>
        <w:t>Abstract</w:t>
      </w:r>
    </w:p>
    <w:p w14:paraId="64633A3C" w14:textId="123A23DF" w:rsidR="003C1A5D" w:rsidRPr="000031E4" w:rsidRDefault="003C1A5D" w:rsidP="00B929FE">
      <w:pPr>
        <w:spacing w:line="360" w:lineRule="auto"/>
        <w:ind w:firstLine="720"/>
        <w:jc w:val="both"/>
        <w:rPr>
          <w:rFonts w:ascii="Times New Roman" w:hAnsi="Times New Roman" w:cs="Times New Roman"/>
          <w:sz w:val="24"/>
          <w:szCs w:val="24"/>
        </w:rPr>
      </w:pPr>
      <w:r w:rsidRPr="000031E4">
        <w:rPr>
          <w:rFonts w:ascii="Times New Roman" w:hAnsi="Times New Roman" w:cs="Times New Roman"/>
          <w:sz w:val="24"/>
          <w:szCs w:val="24"/>
        </w:rPr>
        <w:t xml:space="preserve">This study evaluated the effect of dietary supplementation of </w:t>
      </w:r>
      <w:r w:rsidRPr="00644B44">
        <w:rPr>
          <w:rFonts w:ascii="Times New Roman" w:hAnsi="Times New Roman" w:cs="Times New Roman"/>
          <w:i/>
          <w:iCs/>
          <w:sz w:val="24"/>
          <w:szCs w:val="24"/>
        </w:rPr>
        <w:t xml:space="preserve">Andrographis </w:t>
      </w:r>
      <w:proofErr w:type="spellStart"/>
      <w:r w:rsidRPr="00644B44">
        <w:rPr>
          <w:rFonts w:ascii="Times New Roman" w:hAnsi="Times New Roman" w:cs="Times New Roman"/>
          <w:i/>
          <w:iCs/>
          <w:sz w:val="24"/>
          <w:szCs w:val="24"/>
        </w:rPr>
        <w:t>paniculata</w:t>
      </w:r>
      <w:proofErr w:type="spellEnd"/>
      <w:r w:rsidRPr="000031E4">
        <w:rPr>
          <w:rFonts w:ascii="Times New Roman" w:hAnsi="Times New Roman" w:cs="Times New Roman"/>
          <w:sz w:val="24"/>
          <w:szCs w:val="24"/>
        </w:rPr>
        <w:t xml:space="preserve"> (</w:t>
      </w:r>
      <w:proofErr w:type="spellStart"/>
      <w:r w:rsidRPr="000031E4">
        <w:rPr>
          <w:rFonts w:ascii="Times New Roman" w:hAnsi="Times New Roman" w:cs="Times New Roman"/>
          <w:sz w:val="24"/>
          <w:szCs w:val="24"/>
        </w:rPr>
        <w:t>Kalmegh</w:t>
      </w:r>
      <w:proofErr w:type="spellEnd"/>
      <w:r w:rsidRPr="000031E4">
        <w:rPr>
          <w:rFonts w:ascii="Times New Roman" w:hAnsi="Times New Roman" w:cs="Times New Roman"/>
          <w:sz w:val="24"/>
          <w:szCs w:val="24"/>
        </w:rPr>
        <w:t>) extract on the growth performance, feed utilization, and survival of Nile tilapia (</w:t>
      </w:r>
      <w:r w:rsidRPr="00644B44">
        <w:rPr>
          <w:rFonts w:ascii="Times New Roman" w:hAnsi="Times New Roman" w:cs="Times New Roman"/>
          <w:i/>
          <w:iCs/>
          <w:sz w:val="24"/>
          <w:szCs w:val="24"/>
        </w:rPr>
        <w:t>Oreochromis niloticus</w:t>
      </w:r>
      <w:r w:rsidRPr="000031E4">
        <w:rPr>
          <w:rFonts w:ascii="Times New Roman" w:hAnsi="Times New Roman" w:cs="Times New Roman"/>
          <w:sz w:val="24"/>
          <w:szCs w:val="24"/>
        </w:rPr>
        <w:t xml:space="preserve">) fry. A total of 300 fry </w:t>
      </w:r>
      <w:r w:rsidR="00AF1DE5" w:rsidRPr="000031E4">
        <w:rPr>
          <w:rFonts w:ascii="Times New Roman" w:hAnsi="Times New Roman" w:cs="Times New Roman"/>
          <w:sz w:val="24"/>
          <w:szCs w:val="24"/>
        </w:rPr>
        <w:t>was</w:t>
      </w:r>
      <w:r w:rsidRPr="000031E4">
        <w:rPr>
          <w:rFonts w:ascii="Times New Roman" w:hAnsi="Times New Roman" w:cs="Times New Roman"/>
          <w:sz w:val="24"/>
          <w:szCs w:val="24"/>
        </w:rPr>
        <w:t xml:space="preserve"> randomly distributed into five treatment groups with four replicates each and fed diets containing different levels of </w:t>
      </w:r>
      <w:proofErr w:type="spellStart"/>
      <w:r w:rsidRPr="000031E4">
        <w:rPr>
          <w:rFonts w:ascii="Times New Roman" w:hAnsi="Times New Roman" w:cs="Times New Roman"/>
          <w:sz w:val="24"/>
          <w:szCs w:val="24"/>
        </w:rPr>
        <w:t>Kalmegh</w:t>
      </w:r>
      <w:proofErr w:type="spellEnd"/>
      <w:r w:rsidRPr="000031E4">
        <w:rPr>
          <w:rFonts w:ascii="Times New Roman" w:hAnsi="Times New Roman" w:cs="Times New Roman"/>
          <w:sz w:val="24"/>
          <w:szCs w:val="24"/>
        </w:rPr>
        <w:t xml:space="preserve"> extract: 0% (T0), 0.5% (T1), 1.0% (T2), 1.5% (T3), and 2.0% (T4) for 60 days. The experimental diets were formulated to contain 30% crude protein. Fish were fed at 5% of their body weight per day, and growth parameters were recorded at regular intervals. The results indicated that </w:t>
      </w:r>
      <w:proofErr w:type="spellStart"/>
      <w:r w:rsidRPr="000031E4">
        <w:rPr>
          <w:rFonts w:ascii="Times New Roman" w:hAnsi="Times New Roman" w:cs="Times New Roman"/>
          <w:sz w:val="24"/>
          <w:szCs w:val="24"/>
        </w:rPr>
        <w:t>Kalmegh</w:t>
      </w:r>
      <w:proofErr w:type="spellEnd"/>
      <w:r w:rsidR="00087689">
        <w:rPr>
          <w:rFonts w:ascii="Times New Roman" w:hAnsi="Times New Roman" w:cs="Times New Roman"/>
          <w:sz w:val="24"/>
          <w:szCs w:val="24"/>
        </w:rPr>
        <w:t xml:space="preserve"> extract</w:t>
      </w:r>
      <w:r w:rsidR="00AB3BF1">
        <w:rPr>
          <w:rFonts w:ascii="Times New Roman" w:hAnsi="Times New Roman" w:cs="Times New Roman"/>
          <w:sz w:val="24"/>
          <w:szCs w:val="24"/>
        </w:rPr>
        <w:t xml:space="preserve"> </w:t>
      </w:r>
      <w:r w:rsidRPr="000031E4">
        <w:rPr>
          <w:rFonts w:ascii="Times New Roman" w:hAnsi="Times New Roman" w:cs="Times New Roman"/>
          <w:sz w:val="24"/>
          <w:szCs w:val="24"/>
        </w:rPr>
        <w:t xml:space="preserve">supplementation significantly improved growth performance and feed utilization compared to the control. The highest final body weight, specific growth rate (SGR), protein efficiency ratio (PER), and survival, along with the lowest feed conversion ratio (FCR), were observed in T3, followed by T4. These findings suggest improved nutrient utilization and overall performance of fish in the supplemented groups. In conclusion, dietary inclusion of </w:t>
      </w:r>
      <w:proofErr w:type="spellStart"/>
      <w:r w:rsidRPr="000031E4">
        <w:rPr>
          <w:rFonts w:ascii="Times New Roman" w:hAnsi="Times New Roman" w:cs="Times New Roman"/>
          <w:sz w:val="24"/>
          <w:szCs w:val="24"/>
        </w:rPr>
        <w:t>Kalmegh</w:t>
      </w:r>
      <w:proofErr w:type="spellEnd"/>
      <w:r w:rsidRPr="000031E4">
        <w:rPr>
          <w:rFonts w:ascii="Times New Roman" w:hAnsi="Times New Roman" w:cs="Times New Roman"/>
          <w:sz w:val="24"/>
          <w:szCs w:val="24"/>
        </w:rPr>
        <w:t xml:space="preserve"> extract at 1.5–2.0% can be considered an effective and eco-friendly approach to enhance growth performance and survival of Nile tilapia.</w:t>
      </w:r>
    </w:p>
    <w:p w14:paraId="4EFF84AB" w14:textId="77777777" w:rsidR="00C97C29" w:rsidRPr="003C1A5D" w:rsidRDefault="00C97C29" w:rsidP="00836438">
      <w:pPr>
        <w:spacing w:line="360" w:lineRule="auto"/>
        <w:jc w:val="both"/>
        <w:rPr>
          <w:rFonts w:ascii="Times New Roman" w:hAnsi="Times New Roman" w:cs="Times New Roman"/>
          <w:sz w:val="24"/>
          <w:szCs w:val="24"/>
        </w:rPr>
      </w:pPr>
    </w:p>
    <w:p w14:paraId="53B3195E" w14:textId="77777777" w:rsidR="00C97C29" w:rsidRDefault="00C97C29" w:rsidP="00836438">
      <w:pPr>
        <w:spacing w:line="360" w:lineRule="auto"/>
        <w:jc w:val="both"/>
        <w:rPr>
          <w:rFonts w:ascii="Times New Roman" w:hAnsi="Times New Roman" w:cs="Times New Roman"/>
          <w:b/>
          <w:bCs/>
          <w:sz w:val="24"/>
          <w:szCs w:val="24"/>
        </w:rPr>
      </w:pPr>
    </w:p>
    <w:p w14:paraId="0DBC963D" w14:textId="77777777" w:rsidR="00C97C29" w:rsidRDefault="00C97C29" w:rsidP="00836438">
      <w:pPr>
        <w:spacing w:line="360" w:lineRule="auto"/>
        <w:jc w:val="both"/>
        <w:rPr>
          <w:rFonts w:ascii="Times New Roman" w:hAnsi="Times New Roman" w:cs="Times New Roman"/>
          <w:b/>
          <w:bCs/>
          <w:sz w:val="24"/>
          <w:szCs w:val="24"/>
        </w:rPr>
      </w:pPr>
    </w:p>
    <w:p w14:paraId="1D6C6449" w14:textId="52219B0D" w:rsidR="00C97C29" w:rsidRDefault="00C97C29" w:rsidP="00836438">
      <w:pPr>
        <w:spacing w:line="360" w:lineRule="auto"/>
        <w:jc w:val="both"/>
        <w:rPr>
          <w:rFonts w:ascii="Times New Roman" w:hAnsi="Times New Roman" w:cs="Times New Roman"/>
          <w:b/>
          <w:bCs/>
          <w:sz w:val="24"/>
          <w:szCs w:val="24"/>
        </w:rPr>
      </w:pPr>
    </w:p>
    <w:p w14:paraId="6E462F57" w14:textId="159312D8" w:rsidR="00C91011" w:rsidRDefault="00C91011" w:rsidP="00836438">
      <w:pPr>
        <w:spacing w:line="360" w:lineRule="auto"/>
        <w:jc w:val="both"/>
        <w:rPr>
          <w:rFonts w:ascii="Times New Roman" w:hAnsi="Times New Roman" w:cs="Times New Roman"/>
          <w:b/>
          <w:bCs/>
          <w:sz w:val="24"/>
          <w:szCs w:val="24"/>
        </w:rPr>
      </w:pPr>
    </w:p>
    <w:p w14:paraId="4646B439" w14:textId="217CBAB0" w:rsidR="00C91011" w:rsidRDefault="00C91011" w:rsidP="00836438">
      <w:pPr>
        <w:spacing w:line="360" w:lineRule="auto"/>
        <w:jc w:val="both"/>
        <w:rPr>
          <w:rFonts w:ascii="Times New Roman" w:hAnsi="Times New Roman" w:cs="Times New Roman"/>
          <w:b/>
          <w:bCs/>
          <w:sz w:val="24"/>
          <w:szCs w:val="24"/>
        </w:rPr>
      </w:pPr>
    </w:p>
    <w:p w14:paraId="4912AC75" w14:textId="6C6ED905" w:rsidR="00C91011" w:rsidRDefault="00C91011" w:rsidP="00836438">
      <w:pPr>
        <w:spacing w:line="360" w:lineRule="auto"/>
        <w:jc w:val="both"/>
        <w:rPr>
          <w:rFonts w:ascii="Times New Roman" w:hAnsi="Times New Roman" w:cs="Times New Roman"/>
          <w:b/>
          <w:bCs/>
          <w:sz w:val="24"/>
          <w:szCs w:val="24"/>
        </w:rPr>
      </w:pPr>
    </w:p>
    <w:p w14:paraId="738890D2" w14:textId="5928B9CE" w:rsidR="00C91011" w:rsidRDefault="00C91011" w:rsidP="00836438">
      <w:pPr>
        <w:spacing w:line="360" w:lineRule="auto"/>
        <w:jc w:val="both"/>
        <w:rPr>
          <w:rFonts w:ascii="Times New Roman" w:hAnsi="Times New Roman" w:cs="Times New Roman"/>
          <w:b/>
          <w:bCs/>
          <w:sz w:val="24"/>
          <w:szCs w:val="24"/>
        </w:rPr>
      </w:pPr>
    </w:p>
    <w:p w14:paraId="0A6CF4DF" w14:textId="77777777" w:rsidR="00C91011" w:rsidRDefault="00C91011" w:rsidP="00836438">
      <w:pPr>
        <w:spacing w:line="360" w:lineRule="auto"/>
        <w:jc w:val="both"/>
        <w:rPr>
          <w:rFonts w:ascii="Times New Roman" w:hAnsi="Times New Roman" w:cs="Times New Roman"/>
          <w:b/>
          <w:bCs/>
          <w:sz w:val="24"/>
          <w:szCs w:val="24"/>
        </w:rPr>
      </w:pPr>
      <w:bookmarkStart w:id="0" w:name="_GoBack"/>
      <w:bookmarkEnd w:id="0"/>
    </w:p>
    <w:p w14:paraId="7AB5E5E0" w14:textId="77777777" w:rsidR="003909C5" w:rsidRDefault="003909C5" w:rsidP="00836438">
      <w:pPr>
        <w:spacing w:line="360" w:lineRule="auto"/>
        <w:jc w:val="both"/>
        <w:rPr>
          <w:rFonts w:ascii="Times New Roman" w:hAnsi="Times New Roman" w:cs="Times New Roman"/>
          <w:b/>
          <w:bCs/>
          <w:sz w:val="24"/>
          <w:szCs w:val="24"/>
        </w:rPr>
      </w:pPr>
    </w:p>
    <w:p w14:paraId="674BE72C" w14:textId="63EF9F0F" w:rsidR="00281BEB" w:rsidRDefault="00281BEB" w:rsidP="00836438">
      <w:pPr>
        <w:spacing w:line="360" w:lineRule="auto"/>
        <w:jc w:val="both"/>
        <w:rPr>
          <w:rFonts w:ascii="Times New Roman" w:hAnsi="Times New Roman" w:cs="Times New Roman"/>
          <w:b/>
          <w:bCs/>
          <w:sz w:val="24"/>
          <w:szCs w:val="24"/>
        </w:rPr>
      </w:pPr>
      <w:r w:rsidRPr="00281BEB">
        <w:rPr>
          <w:rFonts w:ascii="Times New Roman" w:hAnsi="Times New Roman" w:cs="Times New Roman"/>
          <w:b/>
          <w:bCs/>
          <w:sz w:val="24"/>
          <w:szCs w:val="24"/>
        </w:rPr>
        <w:t>Introduction</w:t>
      </w:r>
    </w:p>
    <w:p w14:paraId="7DC329A7" w14:textId="77777777" w:rsidR="00C46541" w:rsidRPr="00C46541" w:rsidRDefault="00C46541" w:rsidP="00C46541">
      <w:pPr>
        <w:spacing w:line="360" w:lineRule="auto"/>
        <w:ind w:firstLine="720"/>
        <w:jc w:val="both"/>
        <w:rPr>
          <w:rFonts w:ascii="Times New Roman" w:hAnsi="Times New Roman" w:cs="Times New Roman"/>
          <w:sz w:val="24"/>
          <w:szCs w:val="24"/>
        </w:rPr>
      </w:pPr>
      <w:r w:rsidRPr="00C46541">
        <w:rPr>
          <w:rFonts w:ascii="Times New Roman" w:hAnsi="Times New Roman" w:cs="Times New Roman"/>
          <w:sz w:val="24"/>
          <w:szCs w:val="24"/>
        </w:rPr>
        <w:t>Aquaculture, the farming of aquatic organisms such as fish, crustaceans, molluscs, and aquatic plants under controlled or semi-controlled conditions, is one of the fastest-growing sectors in global food production and plays a vital role in food and nutritional security by providing affordable, high-quality protein to a large population (Prabu et al., 2019; Barria et al., 2021). Aquatic foods contribute significantly to global animal protein supply and support the livelihoods of billions of people worldwide (FAO, 2022). India has emerged as the second-largest fish-producing country, with total production reaching approximately 18.40 million tonnes, largely driven by inland aquaculture, technological advancements, and government initiatives such as PMMSY (DOF, 2025).</w:t>
      </w:r>
    </w:p>
    <w:p w14:paraId="4321D877" w14:textId="77777777" w:rsidR="00C46541" w:rsidRPr="00C46541" w:rsidRDefault="00C46541" w:rsidP="00C46541">
      <w:pPr>
        <w:spacing w:line="360" w:lineRule="auto"/>
        <w:ind w:firstLine="720"/>
        <w:jc w:val="both"/>
        <w:rPr>
          <w:rFonts w:ascii="Times New Roman" w:hAnsi="Times New Roman" w:cs="Times New Roman"/>
          <w:sz w:val="24"/>
          <w:szCs w:val="24"/>
        </w:rPr>
      </w:pPr>
      <w:r w:rsidRPr="00C46541">
        <w:rPr>
          <w:rFonts w:ascii="Times New Roman" w:hAnsi="Times New Roman" w:cs="Times New Roman"/>
          <w:sz w:val="24"/>
          <w:szCs w:val="24"/>
        </w:rPr>
        <w:t>With the rapid intensification of aquaculture, the demand for nutritionally balanced and high-quality feed has increased, as feed plays a crucial role in growth performance, feed efficiency, and overall fish health (</w:t>
      </w:r>
      <w:proofErr w:type="spellStart"/>
      <w:r w:rsidRPr="00C46541">
        <w:rPr>
          <w:rFonts w:ascii="Times New Roman" w:hAnsi="Times New Roman" w:cs="Times New Roman"/>
          <w:sz w:val="24"/>
          <w:szCs w:val="24"/>
        </w:rPr>
        <w:t>Kolkovski</w:t>
      </w:r>
      <w:proofErr w:type="spellEnd"/>
      <w:r w:rsidRPr="00C46541">
        <w:rPr>
          <w:rFonts w:ascii="Times New Roman" w:hAnsi="Times New Roman" w:cs="Times New Roman"/>
          <w:sz w:val="24"/>
          <w:szCs w:val="24"/>
        </w:rPr>
        <w:t xml:space="preserve"> &amp; </w:t>
      </w:r>
      <w:proofErr w:type="spellStart"/>
      <w:r w:rsidRPr="00C46541">
        <w:rPr>
          <w:rFonts w:ascii="Times New Roman" w:hAnsi="Times New Roman" w:cs="Times New Roman"/>
          <w:sz w:val="24"/>
          <w:szCs w:val="24"/>
        </w:rPr>
        <w:t>Kolkovski</w:t>
      </w:r>
      <w:proofErr w:type="spellEnd"/>
      <w:r w:rsidRPr="00C46541">
        <w:rPr>
          <w:rFonts w:ascii="Times New Roman" w:hAnsi="Times New Roman" w:cs="Times New Roman"/>
          <w:sz w:val="24"/>
          <w:szCs w:val="24"/>
        </w:rPr>
        <w:t>, 2011). Among commercially important species, Nile tilapia (</w:t>
      </w:r>
      <w:r w:rsidRPr="00C46541">
        <w:rPr>
          <w:rFonts w:ascii="Times New Roman" w:hAnsi="Times New Roman" w:cs="Times New Roman"/>
          <w:i/>
          <w:iCs/>
          <w:sz w:val="24"/>
          <w:szCs w:val="24"/>
        </w:rPr>
        <w:t>Oreochromis niloticus</w:t>
      </w:r>
      <w:r w:rsidRPr="00C46541">
        <w:rPr>
          <w:rFonts w:ascii="Times New Roman" w:hAnsi="Times New Roman" w:cs="Times New Roman"/>
          <w:sz w:val="24"/>
          <w:szCs w:val="24"/>
        </w:rPr>
        <w:t>) is widely cultured due to its fast growth, adaptability to diverse environmental conditions, efficient feed utilization, and high consumer acceptance (Prabu et al., 2019). However, intensive culture practices can induce stress, which negatively affects growth performance and weakens the immune system of fish (Bilen et al., 2016).</w:t>
      </w:r>
    </w:p>
    <w:p w14:paraId="3D626D93" w14:textId="4FA15560" w:rsidR="00C46541" w:rsidRDefault="00C46541" w:rsidP="00C46541">
      <w:pPr>
        <w:spacing w:line="360" w:lineRule="auto"/>
        <w:ind w:firstLine="720"/>
        <w:jc w:val="both"/>
        <w:rPr>
          <w:rFonts w:ascii="Times New Roman" w:hAnsi="Times New Roman" w:cs="Times New Roman"/>
          <w:sz w:val="24"/>
          <w:szCs w:val="24"/>
        </w:rPr>
      </w:pPr>
      <w:r w:rsidRPr="00C46541">
        <w:rPr>
          <w:rFonts w:ascii="Times New Roman" w:hAnsi="Times New Roman" w:cs="Times New Roman"/>
          <w:sz w:val="24"/>
          <w:szCs w:val="24"/>
        </w:rPr>
        <w:t xml:space="preserve">In recent years, the use of medicinal plants as natural feed additives has gained considerable attention as an eco-friendly approach to enhance fish performance (Hardi et al., 2016). </w:t>
      </w:r>
      <w:r w:rsidRPr="00C46541">
        <w:rPr>
          <w:rFonts w:ascii="Times New Roman" w:hAnsi="Times New Roman" w:cs="Times New Roman"/>
          <w:i/>
          <w:iCs/>
          <w:sz w:val="24"/>
          <w:szCs w:val="24"/>
        </w:rPr>
        <w:t xml:space="preserve">Andrographis </w:t>
      </w:r>
      <w:proofErr w:type="spellStart"/>
      <w:r w:rsidRPr="00C46541">
        <w:rPr>
          <w:rFonts w:ascii="Times New Roman" w:hAnsi="Times New Roman" w:cs="Times New Roman"/>
          <w:i/>
          <w:iCs/>
          <w:sz w:val="24"/>
          <w:szCs w:val="24"/>
        </w:rPr>
        <w:t>paniculata</w:t>
      </w:r>
      <w:proofErr w:type="spellEnd"/>
      <w:r w:rsidRPr="00C46541">
        <w:rPr>
          <w:rFonts w:ascii="Times New Roman" w:hAnsi="Times New Roman" w:cs="Times New Roman"/>
          <w:sz w:val="24"/>
          <w:szCs w:val="24"/>
        </w:rPr>
        <w:t xml:space="preserve"> (</w:t>
      </w:r>
      <w:proofErr w:type="spellStart"/>
      <w:r w:rsidRPr="00C46541">
        <w:rPr>
          <w:rFonts w:ascii="Times New Roman" w:hAnsi="Times New Roman" w:cs="Times New Roman"/>
          <w:sz w:val="24"/>
          <w:szCs w:val="24"/>
        </w:rPr>
        <w:t>Kalmegh</w:t>
      </w:r>
      <w:proofErr w:type="spellEnd"/>
      <w:r w:rsidRPr="00C46541">
        <w:rPr>
          <w:rFonts w:ascii="Times New Roman" w:hAnsi="Times New Roman" w:cs="Times New Roman"/>
          <w:sz w:val="24"/>
          <w:szCs w:val="24"/>
        </w:rPr>
        <w:t xml:space="preserve">) is a well-known medicinal plant containing bioactive compounds such as andrographolide, flavonoids, and phenolic compounds, which exhibit antioxidant, anti-inflammatory, and immunostimulatory properties (Sharma et al., 2013; Hossain et al., 2014). These compounds play an important role in improving growth performance, enhancing feed utilization, and strengthening the immune response of fish (Sivananthan &amp; Elamaran, 2013; Karthi et al., 2018). Therefore, the incorporation of </w:t>
      </w:r>
      <w:proofErr w:type="spellStart"/>
      <w:r w:rsidRPr="00C46541">
        <w:rPr>
          <w:rFonts w:ascii="Times New Roman" w:hAnsi="Times New Roman" w:cs="Times New Roman"/>
          <w:sz w:val="24"/>
          <w:szCs w:val="24"/>
        </w:rPr>
        <w:t>Kalmegh</w:t>
      </w:r>
      <w:proofErr w:type="spellEnd"/>
      <w:r w:rsidRPr="00C46541">
        <w:rPr>
          <w:rFonts w:ascii="Times New Roman" w:hAnsi="Times New Roman" w:cs="Times New Roman"/>
          <w:sz w:val="24"/>
          <w:szCs w:val="24"/>
        </w:rPr>
        <w:t xml:space="preserve"> in fish diets represents a promising and sustainable strategy for improving growth and immunity in aquaculture species.</w:t>
      </w:r>
    </w:p>
    <w:p w14:paraId="0E13A81E" w14:textId="77777777" w:rsidR="00C46541" w:rsidRDefault="00C46541" w:rsidP="00C46541">
      <w:pPr>
        <w:spacing w:line="360" w:lineRule="auto"/>
        <w:ind w:firstLine="720"/>
        <w:jc w:val="both"/>
        <w:rPr>
          <w:rFonts w:ascii="Times New Roman" w:hAnsi="Times New Roman" w:cs="Times New Roman"/>
          <w:sz w:val="24"/>
          <w:szCs w:val="24"/>
        </w:rPr>
      </w:pPr>
    </w:p>
    <w:p w14:paraId="6773B894" w14:textId="77777777" w:rsidR="00C46541" w:rsidRDefault="00C46541" w:rsidP="00C46541">
      <w:pPr>
        <w:spacing w:line="360" w:lineRule="auto"/>
        <w:ind w:firstLine="720"/>
        <w:jc w:val="both"/>
        <w:rPr>
          <w:rFonts w:ascii="Times New Roman" w:hAnsi="Times New Roman" w:cs="Times New Roman"/>
          <w:sz w:val="24"/>
          <w:szCs w:val="24"/>
        </w:rPr>
      </w:pPr>
    </w:p>
    <w:p w14:paraId="1CD43560" w14:textId="77777777" w:rsidR="00C46541" w:rsidRPr="00C46541" w:rsidRDefault="00C46541" w:rsidP="00C46541">
      <w:pPr>
        <w:spacing w:line="360" w:lineRule="auto"/>
        <w:ind w:firstLine="720"/>
        <w:jc w:val="both"/>
        <w:rPr>
          <w:rFonts w:ascii="Times New Roman" w:hAnsi="Times New Roman" w:cs="Times New Roman"/>
          <w:sz w:val="24"/>
          <w:szCs w:val="24"/>
        </w:rPr>
      </w:pPr>
    </w:p>
    <w:p w14:paraId="0101AA53" w14:textId="77777777" w:rsidR="00FB4C32" w:rsidRPr="00FB4C32" w:rsidRDefault="00FB4C32" w:rsidP="00FB4C32">
      <w:pPr>
        <w:spacing w:line="360" w:lineRule="auto"/>
        <w:jc w:val="both"/>
        <w:rPr>
          <w:rFonts w:ascii="Times New Roman" w:hAnsi="Times New Roman" w:cs="Times New Roman"/>
          <w:vanish/>
          <w:sz w:val="24"/>
          <w:szCs w:val="24"/>
        </w:rPr>
      </w:pPr>
      <w:r w:rsidRPr="00FB4C32">
        <w:rPr>
          <w:rFonts w:ascii="Times New Roman" w:hAnsi="Times New Roman" w:cs="Times New Roman"/>
          <w:vanish/>
          <w:sz w:val="24"/>
          <w:szCs w:val="24"/>
        </w:rPr>
        <w:t>Top of Form</w:t>
      </w:r>
    </w:p>
    <w:p w14:paraId="37EFEB06" w14:textId="77777777" w:rsidR="00FB4C32" w:rsidRPr="00FB4C32" w:rsidRDefault="00FB4C32" w:rsidP="00FB4C32">
      <w:pPr>
        <w:spacing w:line="360" w:lineRule="auto"/>
        <w:jc w:val="both"/>
        <w:rPr>
          <w:rFonts w:ascii="Times New Roman" w:hAnsi="Times New Roman" w:cs="Times New Roman"/>
          <w:vanish/>
          <w:sz w:val="24"/>
          <w:szCs w:val="24"/>
        </w:rPr>
      </w:pPr>
      <w:r w:rsidRPr="00FB4C32">
        <w:rPr>
          <w:rFonts w:ascii="Times New Roman" w:hAnsi="Times New Roman" w:cs="Times New Roman"/>
          <w:vanish/>
          <w:sz w:val="24"/>
          <w:szCs w:val="24"/>
        </w:rPr>
        <w:t>Bottom of Form</w:t>
      </w:r>
    </w:p>
    <w:p w14:paraId="5940BBFF" w14:textId="15B9C318" w:rsidR="0081679B" w:rsidRDefault="0081679B" w:rsidP="00836438">
      <w:pPr>
        <w:spacing w:line="360" w:lineRule="auto"/>
        <w:jc w:val="both"/>
        <w:rPr>
          <w:rFonts w:ascii="Times New Roman" w:hAnsi="Times New Roman" w:cs="Times New Roman"/>
          <w:b/>
          <w:bCs/>
          <w:sz w:val="24"/>
          <w:szCs w:val="24"/>
        </w:rPr>
      </w:pPr>
      <w:r w:rsidRPr="0081679B">
        <w:rPr>
          <w:rFonts w:ascii="Times New Roman" w:hAnsi="Times New Roman" w:cs="Times New Roman"/>
          <w:b/>
          <w:bCs/>
          <w:sz w:val="24"/>
          <w:szCs w:val="24"/>
        </w:rPr>
        <w:t>Material and method</w:t>
      </w:r>
    </w:p>
    <w:p w14:paraId="6E16D56E" w14:textId="040D62CB" w:rsidR="0081679B" w:rsidRDefault="0081679B" w:rsidP="008364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Location/ Place of Work</w:t>
      </w:r>
    </w:p>
    <w:p w14:paraId="6D070908" w14:textId="4F655544" w:rsidR="00FB4C32" w:rsidRPr="00C46541" w:rsidRDefault="00EF403D" w:rsidP="00C46541">
      <w:pPr>
        <w:spacing w:before="120" w:after="120" w:line="360" w:lineRule="auto"/>
        <w:ind w:firstLine="720"/>
        <w:jc w:val="both"/>
        <w:rPr>
          <w:rFonts w:ascii="Times New Roman" w:eastAsia="Times New Roman" w:hAnsi="Times New Roman" w:cs="Mangal"/>
          <w:sz w:val="24"/>
          <w:szCs w:val="24"/>
        </w:rPr>
      </w:pPr>
      <w:r w:rsidRPr="00EF403D">
        <w:rPr>
          <w:rFonts w:ascii="Times New Roman" w:eastAsia="Times New Roman" w:hAnsi="Times New Roman" w:cs="Mangal"/>
          <w:sz w:val="24"/>
          <w:szCs w:val="24"/>
        </w:rPr>
        <w:t xml:space="preserve">The experiment on </w:t>
      </w:r>
      <w:proofErr w:type="spellStart"/>
      <w:r w:rsidRPr="00EF403D">
        <w:rPr>
          <w:rFonts w:ascii="Times New Roman" w:eastAsia="Times New Roman" w:hAnsi="Times New Roman" w:cs="Mangal"/>
          <w:sz w:val="24"/>
          <w:szCs w:val="24"/>
        </w:rPr>
        <w:t>Kalmegh</w:t>
      </w:r>
      <w:proofErr w:type="spellEnd"/>
      <w:r w:rsidRPr="00EF403D">
        <w:rPr>
          <w:rFonts w:ascii="Times New Roman" w:eastAsia="Times New Roman" w:hAnsi="Times New Roman" w:cs="Mangal"/>
          <w:sz w:val="24"/>
          <w:szCs w:val="24"/>
        </w:rPr>
        <w:t xml:space="preserve"> as a feed additive to study its effects on growth</w:t>
      </w:r>
      <w:r w:rsidR="00991C40">
        <w:rPr>
          <w:rFonts w:ascii="Times New Roman" w:eastAsia="Times New Roman" w:hAnsi="Times New Roman" w:cs="Mangal"/>
          <w:sz w:val="24"/>
          <w:szCs w:val="24"/>
        </w:rPr>
        <w:t xml:space="preserve"> </w:t>
      </w:r>
      <w:proofErr w:type="gramStart"/>
      <w:r w:rsidR="00991C40">
        <w:rPr>
          <w:rFonts w:ascii="Times New Roman" w:eastAsia="Times New Roman" w:hAnsi="Times New Roman" w:cs="Mangal"/>
          <w:sz w:val="24"/>
          <w:szCs w:val="24"/>
        </w:rPr>
        <w:t xml:space="preserve">and </w:t>
      </w:r>
      <w:r w:rsidRPr="00EF403D">
        <w:rPr>
          <w:rFonts w:ascii="Times New Roman" w:eastAsia="Times New Roman" w:hAnsi="Times New Roman" w:cs="Mangal"/>
          <w:sz w:val="24"/>
          <w:szCs w:val="24"/>
        </w:rPr>
        <w:t xml:space="preserve"> survival</w:t>
      </w:r>
      <w:proofErr w:type="gramEnd"/>
      <w:r w:rsidRPr="00EF403D">
        <w:rPr>
          <w:rFonts w:ascii="Times New Roman" w:eastAsia="Times New Roman" w:hAnsi="Times New Roman" w:cs="Mangal"/>
          <w:sz w:val="24"/>
          <w:szCs w:val="24"/>
        </w:rPr>
        <w:t xml:space="preserve"> in Nile tilapia was carried out at the Department of Aquaculture, College of Fisheries Science, Kamdhenu University, Veraval</w:t>
      </w:r>
    </w:p>
    <w:p w14:paraId="0BEE0BA3" w14:textId="40649077" w:rsidR="0081679B" w:rsidRPr="0081679B" w:rsidRDefault="0081679B" w:rsidP="00836438">
      <w:pPr>
        <w:spacing w:line="360" w:lineRule="auto"/>
        <w:jc w:val="both"/>
        <w:rPr>
          <w:rFonts w:ascii="Times New Roman" w:hAnsi="Times New Roman" w:cs="Times New Roman"/>
          <w:b/>
          <w:bCs/>
          <w:sz w:val="24"/>
          <w:szCs w:val="24"/>
        </w:rPr>
      </w:pPr>
      <w:r w:rsidRPr="0081679B">
        <w:rPr>
          <w:rFonts w:ascii="Times New Roman" w:hAnsi="Times New Roman" w:cs="Times New Roman"/>
          <w:b/>
          <w:bCs/>
          <w:sz w:val="24"/>
          <w:szCs w:val="24"/>
        </w:rPr>
        <w:t>Collection and Acclimatization of Experimental Fish</w:t>
      </w:r>
    </w:p>
    <w:p w14:paraId="6B3B595F" w14:textId="6E7E1B83" w:rsidR="00A20E7A" w:rsidRDefault="00D44C84" w:rsidP="008364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44C84">
        <w:rPr>
          <w:rFonts w:ascii="Times New Roman" w:hAnsi="Times New Roman" w:cs="Times New Roman"/>
          <w:sz w:val="24"/>
          <w:szCs w:val="24"/>
        </w:rPr>
        <w:t xml:space="preserve">This experiment was conducted on Nile tilapia fry at the College of Fisheries Science, Veraval. The fry </w:t>
      </w:r>
      <w:proofErr w:type="gramStart"/>
      <w:r w:rsidRPr="00D44C84">
        <w:rPr>
          <w:rFonts w:ascii="Times New Roman" w:hAnsi="Times New Roman" w:cs="Times New Roman"/>
          <w:sz w:val="24"/>
          <w:szCs w:val="24"/>
        </w:rPr>
        <w:t>were</w:t>
      </w:r>
      <w:proofErr w:type="gramEnd"/>
      <w:r w:rsidRPr="00D44C84">
        <w:rPr>
          <w:rFonts w:ascii="Times New Roman" w:hAnsi="Times New Roman" w:cs="Times New Roman"/>
          <w:sz w:val="24"/>
          <w:szCs w:val="24"/>
        </w:rPr>
        <w:t xml:space="preserve"> procured from a certified hatchery in oxygen-filled polythene bags and acclimatized in a 500 L</w:t>
      </w:r>
      <w:r>
        <w:rPr>
          <w:rFonts w:ascii="Times New Roman" w:hAnsi="Times New Roman" w:cs="Times New Roman"/>
          <w:sz w:val="24"/>
          <w:szCs w:val="24"/>
        </w:rPr>
        <w:t xml:space="preserve"> plastic</w:t>
      </w:r>
      <w:r w:rsidRPr="00D44C84">
        <w:rPr>
          <w:rFonts w:ascii="Times New Roman" w:hAnsi="Times New Roman" w:cs="Times New Roman"/>
          <w:sz w:val="24"/>
          <w:szCs w:val="24"/>
        </w:rPr>
        <w:t xml:space="preserve"> tank with continuous aeration to minimize stress. During the acclimatization period, fish were fed twice daily for 7 days. A total of 300 fry were stocked at a density of 15 fish per tank. The experimental design consisted of five treatments, including a control diet without </w:t>
      </w:r>
      <w:proofErr w:type="spellStart"/>
      <w:r w:rsidRPr="00D44C84">
        <w:rPr>
          <w:rFonts w:ascii="Times New Roman" w:hAnsi="Times New Roman" w:cs="Times New Roman"/>
          <w:sz w:val="24"/>
          <w:szCs w:val="24"/>
        </w:rPr>
        <w:t>Kalmegh</w:t>
      </w:r>
      <w:proofErr w:type="spellEnd"/>
      <w:r w:rsidRPr="00D44C84">
        <w:rPr>
          <w:rFonts w:ascii="Times New Roman" w:hAnsi="Times New Roman" w:cs="Times New Roman"/>
          <w:sz w:val="24"/>
          <w:szCs w:val="24"/>
        </w:rPr>
        <w:t xml:space="preserve"> extract (T0) and four diets supplemented with graded levels of the extract: 0.5% (T1), 1.0% (T2), 1.5% (T3), and 2.0% (T4), to evaluate its effects under experimental conditions.</w:t>
      </w:r>
    </w:p>
    <w:p w14:paraId="113A9813" w14:textId="1190C612" w:rsidR="00D44C84" w:rsidRDefault="00D44C84" w:rsidP="00836438">
      <w:pPr>
        <w:spacing w:line="360" w:lineRule="auto"/>
        <w:jc w:val="both"/>
        <w:rPr>
          <w:rFonts w:ascii="Times New Roman" w:hAnsi="Times New Roman" w:cs="Times New Roman"/>
          <w:b/>
          <w:bCs/>
          <w:sz w:val="24"/>
          <w:szCs w:val="24"/>
        </w:rPr>
      </w:pPr>
      <w:r w:rsidRPr="00D44C84">
        <w:rPr>
          <w:rFonts w:ascii="Times New Roman" w:hAnsi="Times New Roman" w:cs="Times New Roman"/>
          <w:b/>
          <w:bCs/>
          <w:sz w:val="24"/>
          <w:szCs w:val="24"/>
        </w:rPr>
        <w:t>Formulation of Experimental Diets and Feed Preparation</w:t>
      </w:r>
    </w:p>
    <w:p w14:paraId="52A3509D" w14:textId="76F26DF1" w:rsidR="00D44C84" w:rsidRDefault="00D44C84" w:rsidP="0083643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3D6AEF" w:rsidRPr="003D6AEF">
        <w:rPr>
          <w:rFonts w:ascii="Times New Roman" w:hAnsi="Times New Roman" w:cs="Times New Roman"/>
          <w:sz w:val="24"/>
          <w:szCs w:val="24"/>
        </w:rPr>
        <w:t xml:space="preserve">Five treatment-specific experimental diets were prepared for the study using commonly available feed ingredients. Fish meal, groundnut oil cake, wheat flour, tapioca powder, plant oil, fish oil, and vitamin–mineral premix were procured from local and commercial sources. </w:t>
      </w:r>
      <w:proofErr w:type="spellStart"/>
      <w:r w:rsidR="003D6AEF" w:rsidRPr="003D6AEF">
        <w:rPr>
          <w:rFonts w:ascii="Times New Roman" w:hAnsi="Times New Roman" w:cs="Times New Roman"/>
          <w:sz w:val="24"/>
          <w:szCs w:val="24"/>
        </w:rPr>
        <w:t>Kalmegh</w:t>
      </w:r>
      <w:proofErr w:type="spellEnd"/>
      <w:r w:rsidR="003D6AEF" w:rsidRPr="003D6AEF">
        <w:rPr>
          <w:rFonts w:ascii="Times New Roman" w:hAnsi="Times New Roman" w:cs="Times New Roman"/>
          <w:sz w:val="24"/>
          <w:szCs w:val="24"/>
        </w:rPr>
        <w:t xml:space="preserve"> extract used in the study was prepared by the solvent extraction method using ethanol as the solvent. Proximate analysis of all feed ingredients was carried out using standard analytical procedures. The experimental diets were formulated using the Pearson square method to maintain a uniform crude protein level of 30% across all treatments. Five diets were prepared, including a control diet (T0) without </w:t>
      </w:r>
      <w:proofErr w:type="spellStart"/>
      <w:r w:rsidR="003D6AEF" w:rsidRPr="003D6AEF">
        <w:rPr>
          <w:rFonts w:ascii="Times New Roman" w:hAnsi="Times New Roman" w:cs="Times New Roman"/>
          <w:sz w:val="24"/>
          <w:szCs w:val="24"/>
        </w:rPr>
        <w:t>Kalmegh</w:t>
      </w:r>
      <w:proofErr w:type="spellEnd"/>
      <w:r w:rsidR="003D6AEF" w:rsidRPr="003D6AEF">
        <w:rPr>
          <w:rFonts w:ascii="Times New Roman" w:hAnsi="Times New Roman" w:cs="Times New Roman"/>
          <w:sz w:val="24"/>
          <w:szCs w:val="24"/>
        </w:rPr>
        <w:t xml:space="preserve"> extract supplementation and four experimental diets supplemented with </w:t>
      </w:r>
      <w:proofErr w:type="spellStart"/>
      <w:r w:rsidR="003D6AEF" w:rsidRPr="003D6AEF">
        <w:rPr>
          <w:rFonts w:ascii="Times New Roman" w:hAnsi="Times New Roman" w:cs="Times New Roman"/>
          <w:sz w:val="24"/>
          <w:szCs w:val="24"/>
        </w:rPr>
        <w:t>Kalmegh</w:t>
      </w:r>
      <w:proofErr w:type="spellEnd"/>
      <w:r w:rsidR="003D6AEF" w:rsidRPr="003D6AEF">
        <w:rPr>
          <w:rFonts w:ascii="Times New Roman" w:hAnsi="Times New Roman" w:cs="Times New Roman"/>
          <w:sz w:val="24"/>
          <w:szCs w:val="24"/>
        </w:rPr>
        <w:t xml:space="preserve"> extract at 0.5% (T1), 1.0% (T2), 1.5% (T3), and 2.0% (T4). All ingredients were accurately weighed and thoroughly mixed, and water was added to form a homogeneous dough. The mixture was then covered with a cotton cloth and sterilized at 121 °C and 15 psi for 15 minutes. After cooling, the vitamin–mineral premix and </w:t>
      </w:r>
      <w:proofErr w:type="spellStart"/>
      <w:r w:rsidR="003D6AEF" w:rsidRPr="003D6AEF">
        <w:rPr>
          <w:rFonts w:ascii="Times New Roman" w:hAnsi="Times New Roman" w:cs="Times New Roman"/>
          <w:sz w:val="24"/>
          <w:szCs w:val="24"/>
        </w:rPr>
        <w:t>Kalmegh</w:t>
      </w:r>
      <w:proofErr w:type="spellEnd"/>
      <w:r w:rsidR="003D6AEF" w:rsidRPr="003D6AEF">
        <w:rPr>
          <w:rFonts w:ascii="Times New Roman" w:hAnsi="Times New Roman" w:cs="Times New Roman"/>
          <w:sz w:val="24"/>
          <w:szCs w:val="24"/>
        </w:rPr>
        <w:t xml:space="preserve"> extract were incorporated according to treatment levels and mixed uniformly. The prepared dough was pelleted using a pelleting machine, and the pellets were tray-dried under </w:t>
      </w:r>
      <w:r w:rsidR="003D6AEF" w:rsidRPr="003D6AEF">
        <w:rPr>
          <w:rFonts w:ascii="Times New Roman" w:hAnsi="Times New Roman" w:cs="Times New Roman"/>
          <w:sz w:val="24"/>
          <w:szCs w:val="24"/>
        </w:rPr>
        <w:lastRenderedPageBreak/>
        <w:t>sunlight until the moisture content was reduced below 10%. Finally, the dried feed was ground to the required size and stored in labelled airtight containers for further use.</w:t>
      </w:r>
    </w:p>
    <w:p w14:paraId="5F714D6C" w14:textId="18638F0D" w:rsidR="00BA1115" w:rsidRPr="00BA1115" w:rsidRDefault="00BA1115" w:rsidP="00836438">
      <w:pPr>
        <w:spacing w:line="360" w:lineRule="auto"/>
        <w:jc w:val="both"/>
        <w:rPr>
          <w:rFonts w:ascii="Times New Roman" w:hAnsi="Times New Roman" w:cs="Times New Roman"/>
          <w:b/>
          <w:bCs/>
          <w:sz w:val="24"/>
          <w:szCs w:val="24"/>
        </w:rPr>
      </w:pPr>
      <w:r w:rsidRPr="00BA1115">
        <w:rPr>
          <w:rFonts w:ascii="Times New Roman" w:hAnsi="Times New Roman" w:cs="Times New Roman"/>
          <w:b/>
          <w:bCs/>
          <w:sz w:val="24"/>
          <w:szCs w:val="24"/>
        </w:rPr>
        <w:t xml:space="preserve">Table 1. Ingredients and composition of experimental diets </w:t>
      </w:r>
      <w:proofErr w:type="spellStart"/>
      <w:r w:rsidR="0027667C">
        <w:rPr>
          <w:rFonts w:ascii="Times New Roman" w:hAnsi="Times New Roman" w:cs="Times New Roman"/>
          <w:b/>
          <w:bCs/>
          <w:sz w:val="24"/>
          <w:szCs w:val="24"/>
        </w:rPr>
        <w:t>F</w:t>
      </w:r>
      <w:r w:rsidRPr="00BA1115">
        <w:rPr>
          <w:rFonts w:ascii="Times New Roman" w:hAnsi="Times New Roman" w:cs="Times New Roman"/>
          <w:b/>
          <w:bCs/>
          <w:sz w:val="24"/>
          <w:szCs w:val="24"/>
        </w:rPr>
        <w:t>lemented</w:t>
      </w:r>
      <w:proofErr w:type="spellEnd"/>
      <w:r w:rsidRPr="00BA1115">
        <w:rPr>
          <w:rFonts w:ascii="Times New Roman" w:hAnsi="Times New Roman" w:cs="Times New Roman"/>
          <w:b/>
          <w:bCs/>
          <w:sz w:val="24"/>
          <w:szCs w:val="24"/>
        </w:rPr>
        <w:t xml:space="preserve"> with </w:t>
      </w:r>
      <w:proofErr w:type="spellStart"/>
      <w:r w:rsidRPr="00BA1115">
        <w:rPr>
          <w:rFonts w:ascii="Times New Roman" w:hAnsi="Times New Roman" w:cs="Times New Roman"/>
          <w:b/>
          <w:bCs/>
          <w:sz w:val="24"/>
          <w:szCs w:val="24"/>
        </w:rPr>
        <w:t>Kalmegh</w:t>
      </w:r>
      <w:proofErr w:type="spellEnd"/>
      <w:r w:rsidRPr="00BA1115">
        <w:rPr>
          <w:rFonts w:ascii="Times New Roman" w:hAnsi="Times New Roman" w:cs="Times New Roman"/>
          <w:b/>
          <w:bCs/>
          <w:sz w:val="24"/>
          <w:szCs w:val="24"/>
        </w:rPr>
        <w:t xml:space="preserve"> extract</w:t>
      </w:r>
    </w:p>
    <w:tbl>
      <w:tblPr>
        <w:tblStyle w:val="TableGrid"/>
        <w:tblW w:w="8788" w:type="dxa"/>
        <w:tblLook w:val="04A0" w:firstRow="1" w:lastRow="0" w:firstColumn="1" w:lastColumn="0" w:noHBand="0" w:noVBand="1"/>
      </w:tblPr>
      <w:tblGrid>
        <w:gridCol w:w="2614"/>
        <w:gridCol w:w="1090"/>
        <w:gridCol w:w="1271"/>
        <w:gridCol w:w="1271"/>
        <w:gridCol w:w="1271"/>
        <w:gridCol w:w="1271"/>
      </w:tblGrid>
      <w:tr w:rsidR="003D6AEF" w:rsidRPr="003D6AEF" w14:paraId="4CF5EC9A" w14:textId="77777777" w:rsidTr="003D6AEF">
        <w:trPr>
          <w:trHeight w:val="446"/>
        </w:trPr>
        <w:tc>
          <w:tcPr>
            <w:tcW w:w="0" w:type="auto"/>
            <w:hideMark/>
          </w:tcPr>
          <w:p w14:paraId="3683A3A1" w14:textId="77777777" w:rsidR="003D6AEF" w:rsidRPr="003D6AEF" w:rsidRDefault="003D6AEF" w:rsidP="00836438">
            <w:pPr>
              <w:spacing w:after="160" w:line="360" w:lineRule="auto"/>
              <w:jc w:val="both"/>
              <w:rPr>
                <w:rFonts w:ascii="Times New Roman" w:hAnsi="Times New Roman" w:cs="Times New Roman"/>
                <w:b/>
                <w:bCs/>
                <w:sz w:val="24"/>
                <w:szCs w:val="24"/>
              </w:rPr>
            </w:pPr>
            <w:r w:rsidRPr="003D6AEF">
              <w:rPr>
                <w:rFonts w:ascii="Times New Roman" w:hAnsi="Times New Roman" w:cs="Times New Roman"/>
                <w:b/>
                <w:bCs/>
                <w:sz w:val="24"/>
                <w:szCs w:val="24"/>
              </w:rPr>
              <w:t>Ingredients (g)</w:t>
            </w:r>
          </w:p>
        </w:tc>
        <w:tc>
          <w:tcPr>
            <w:tcW w:w="0" w:type="auto"/>
            <w:hideMark/>
          </w:tcPr>
          <w:p w14:paraId="732938AB" w14:textId="77777777" w:rsidR="003D6AEF" w:rsidRPr="003D6AEF" w:rsidRDefault="003D6AEF" w:rsidP="00836438">
            <w:pPr>
              <w:spacing w:after="160" w:line="360" w:lineRule="auto"/>
              <w:jc w:val="center"/>
              <w:rPr>
                <w:rFonts w:ascii="Times New Roman" w:hAnsi="Times New Roman" w:cs="Times New Roman"/>
                <w:b/>
                <w:bCs/>
                <w:sz w:val="24"/>
                <w:szCs w:val="24"/>
              </w:rPr>
            </w:pPr>
            <w:r w:rsidRPr="003D6AEF">
              <w:rPr>
                <w:rFonts w:ascii="Times New Roman" w:hAnsi="Times New Roman" w:cs="Times New Roman"/>
                <w:b/>
                <w:bCs/>
                <w:sz w:val="24"/>
                <w:szCs w:val="24"/>
              </w:rPr>
              <w:t>T0 (0%)</w:t>
            </w:r>
          </w:p>
        </w:tc>
        <w:tc>
          <w:tcPr>
            <w:tcW w:w="0" w:type="auto"/>
            <w:hideMark/>
          </w:tcPr>
          <w:p w14:paraId="0F6FE884" w14:textId="77777777" w:rsidR="003D6AEF" w:rsidRPr="003D6AEF" w:rsidRDefault="003D6AEF" w:rsidP="00836438">
            <w:pPr>
              <w:spacing w:after="160" w:line="360" w:lineRule="auto"/>
              <w:jc w:val="center"/>
              <w:rPr>
                <w:rFonts w:ascii="Times New Roman" w:hAnsi="Times New Roman" w:cs="Times New Roman"/>
                <w:b/>
                <w:bCs/>
                <w:sz w:val="24"/>
                <w:szCs w:val="24"/>
              </w:rPr>
            </w:pPr>
            <w:r w:rsidRPr="003D6AEF">
              <w:rPr>
                <w:rFonts w:ascii="Times New Roman" w:hAnsi="Times New Roman" w:cs="Times New Roman"/>
                <w:b/>
                <w:bCs/>
                <w:sz w:val="24"/>
                <w:szCs w:val="24"/>
              </w:rPr>
              <w:t>T1 (0.5%)</w:t>
            </w:r>
          </w:p>
        </w:tc>
        <w:tc>
          <w:tcPr>
            <w:tcW w:w="0" w:type="auto"/>
            <w:hideMark/>
          </w:tcPr>
          <w:p w14:paraId="5337D51C" w14:textId="77777777" w:rsidR="003D6AEF" w:rsidRPr="003D6AEF" w:rsidRDefault="003D6AEF" w:rsidP="00836438">
            <w:pPr>
              <w:spacing w:after="160" w:line="360" w:lineRule="auto"/>
              <w:jc w:val="center"/>
              <w:rPr>
                <w:rFonts w:ascii="Times New Roman" w:hAnsi="Times New Roman" w:cs="Times New Roman"/>
                <w:b/>
                <w:bCs/>
                <w:sz w:val="24"/>
                <w:szCs w:val="24"/>
              </w:rPr>
            </w:pPr>
            <w:r w:rsidRPr="003D6AEF">
              <w:rPr>
                <w:rFonts w:ascii="Times New Roman" w:hAnsi="Times New Roman" w:cs="Times New Roman"/>
                <w:b/>
                <w:bCs/>
                <w:sz w:val="24"/>
                <w:szCs w:val="24"/>
              </w:rPr>
              <w:t>T2 (1.0%)</w:t>
            </w:r>
          </w:p>
        </w:tc>
        <w:tc>
          <w:tcPr>
            <w:tcW w:w="0" w:type="auto"/>
            <w:hideMark/>
          </w:tcPr>
          <w:p w14:paraId="1FF7861D" w14:textId="77777777" w:rsidR="003D6AEF" w:rsidRPr="003D6AEF" w:rsidRDefault="003D6AEF" w:rsidP="00836438">
            <w:pPr>
              <w:spacing w:after="160" w:line="360" w:lineRule="auto"/>
              <w:jc w:val="center"/>
              <w:rPr>
                <w:rFonts w:ascii="Times New Roman" w:hAnsi="Times New Roman" w:cs="Times New Roman"/>
                <w:b/>
                <w:bCs/>
                <w:sz w:val="24"/>
                <w:szCs w:val="24"/>
              </w:rPr>
            </w:pPr>
            <w:r w:rsidRPr="003D6AEF">
              <w:rPr>
                <w:rFonts w:ascii="Times New Roman" w:hAnsi="Times New Roman" w:cs="Times New Roman"/>
                <w:b/>
                <w:bCs/>
                <w:sz w:val="24"/>
                <w:szCs w:val="24"/>
              </w:rPr>
              <w:t>T3 (1.5%)</w:t>
            </w:r>
          </w:p>
        </w:tc>
        <w:tc>
          <w:tcPr>
            <w:tcW w:w="0" w:type="auto"/>
            <w:hideMark/>
          </w:tcPr>
          <w:p w14:paraId="75E0D26F" w14:textId="77777777" w:rsidR="003D6AEF" w:rsidRPr="003D6AEF" w:rsidRDefault="003D6AEF" w:rsidP="00836438">
            <w:pPr>
              <w:spacing w:after="160" w:line="360" w:lineRule="auto"/>
              <w:jc w:val="center"/>
              <w:rPr>
                <w:rFonts w:ascii="Times New Roman" w:hAnsi="Times New Roman" w:cs="Times New Roman"/>
                <w:b/>
                <w:bCs/>
                <w:sz w:val="24"/>
                <w:szCs w:val="24"/>
              </w:rPr>
            </w:pPr>
            <w:r w:rsidRPr="003D6AEF">
              <w:rPr>
                <w:rFonts w:ascii="Times New Roman" w:hAnsi="Times New Roman" w:cs="Times New Roman"/>
                <w:b/>
                <w:bCs/>
                <w:sz w:val="24"/>
                <w:szCs w:val="24"/>
              </w:rPr>
              <w:t>T4 (2.0%)</w:t>
            </w:r>
          </w:p>
        </w:tc>
      </w:tr>
      <w:tr w:rsidR="003D6AEF" w:rsidRPr="003D6AEF" w14:paraId="3BA9EA67" w14:textId="77777777" w:rsidTr="003D6AEF">
        <w:trPr>
          <w:trHeight w:val="446"/>
        </w:trPr>
        <w:tc>
          <w:tcPr>
            <w:tcW w:w="0" w:type="auto"/>
            <w:hideMark/>
          </w:tcPr>
          <w:p w14:paraId="1182A897"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Fish meal</w:t>
            </w:r>
          </w:p>
        </w:tc>
        <w:tc>
          <w:tcPr>
            <w:tcW w:w="0" w:type="auto"/>
            <w:hideMark/>
          </w:tcPr>
          <w:p w14:paraId="5C8A57C2"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37.00</w:t>
            </w:r>
          </w:p>
        </w:tc>
        <w:tc>
          <w:tcPr>
            <w:tcW w:w="0" w:type="auto"/>
            <w:hideMark/>
          </w:tcPr>
          <w:p w14:paraId="4255A271"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37.00</w:t>
            </w:r>
          </w:p>
        </w:tc>
        <w:tc>
          <w:tcPr>
            <w:tcW w:w="0" w:type="auto"/>
            <w:hideMark/>
          </w:tcPr>
          <w:p w14:paraId="6A459148"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37.00</w:t>
            </w:r>
          </w:p>
        </w:tc>
        <w:tc>
          <w:tcPr>
            <w:tcW w:w="0" w:type="auto"/>
            <w:hideMark/>
          </w:tcPr>
          <w:p w14:paraId="09E354E5"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37.00</w:t>
            </w:r>
          </w:p>
        </w:tc>
        <w:tc>
          <w:tcPr>
            <w:tcW w:w="0" w:type="auto"/>
            <w:hideMark/>
          </w:tcPr>
          <w:p w14:paraId="713C9195"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37.00</w:t>
            </w:r>
          </w:p>
        </w:tc>
      </w:tr>
      <w:tr w:rsidR="003D6AEF" w:rsidRPr="003D6AEF" w14:paraId="42427451" w14:textId="77777777" w:rsidTr="003D6AEF">
        <w:trPr>
          <w:trHeight w:val="446"/>
        </w:trPr>
        <w:tc>
          <w:tcPr>
            <w:tcW w:w="0" w:type="auto"/>
            <w:hideMark/>
          </w:tcPr>
          <w:p w14:paraId="00925334"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Groundnut oil cake</w:t>
            </w:r>
          </w:p>
        </w:tc>
        <w:tc>
          <w:tcPr>
            <w:tcW w:w="0" w:type="auto"/>
            <w:hideMark/>
          </w:tcPr>
          <w:p w14:paraId="088EA6F2"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28.00</w:t>
            </w:r>
          </w:p>
        </w:tc>
        <w:tc>
          <w:tcPr>
            <w:tcW w:w="0" w:type="auto"/>
            <w:hideMark/>
          </w:tcPr>
          <w:p w14:paraId="63A7361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28.00</w:t>
            </w:r>
          </w:p>
        </w:tc>
        <w:tc>
          <w:tcPr>
            <w:tcW w:w="0" w:type="auto"/>
            <w:hideMark/>
          </w:tcPr>
          <w:p w14:paraId="20D384E3"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28.00</w:t>
            </w:r>
          </w:p>
        </w:tc>
        <w:tc>
          <w:tcPr>
            <w:tcW w:w="0" w:type="auto"/>
            <w:hideMark/>
          </w:tcPr>
          <w:p w14:paraId="6D9DB6CD"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28.00</w:t>
            </w:r>
          </w:p>
        </w:tc>
        <w:tc>
          <w:tcPr>
            <w:tcW w:w="0" w:type="auto"/>
            <w:hideMark/>
          </w:tcPr>
          <w:p w14:paraId="567ADB78"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28.00</w:t>
            </w:r>
          </w:p>
        </w:tc>
      </w:tr>
      <w:tr w:rsidR="003D6AEF" w:rsidRPr="003D6AEF" w14:paraId="6DDBDF35" w14:textId="77777777" w:rsidTr="003D6AEF">
        <w:trPr>
          <w:trHeight w:val="446"/>
        </w:trPr>
        <w:tc>
          <w:tcPr>
            <w:tcW w:w="0" w:type="auto"/>
            <w:hideMark/>
          </w:tcPr>
          <w:p w14:paraId="0A752C95"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Wheat flour</w:t>
            </w:r>
          </w:p>
        </w:tc>
        <w:tc>
          <w:tcPr>
            <w:tcW w:w="0" w:type="auto"/>
            <w:hideMark/>
          </w:tcPr>
          <w:p w14:paraId="4C3C0BD9"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18.00</w:t>
            </w:r>
          </w:p>
        </w:tc>
        <w:tc>
          <w:tcPr>
            <w:tcW w:w="0" w:type="auto"/>
            <w:hideMark/>
          </w:tcPr>
          <w:p w14:paraId="369F54C1"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18.00</w:t>
            </w:r>
          </w:p>
        </w:tc>
        <w:tc>
          <w:tcPr>
            <w:tcW w:w="0" w:type="auto"/>
            <w:hideMark/>
          </w:tcPr>
          <w:p w14:paraId="1983508C"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18.00</w:t>
            </w:r>
          </w:p>
        </w:tc>
        <w:tc>
          <w:tcPr>
            <w:tcW w:w="0" w:type="auto"/>
            <w:hideMark/>
          </w:tcPr>
          <w:p w14:paraId="5DB5DBEE"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18.00</w:t>
            </w:r>
          </w:p>
        </w:tc>
        <w:tc>
          <w:tcPr>
            <w:tcW w:w="0" w:type="auto"/>
            <w:hideMark/>
          </w:tcPr>
          <w:p w14:paraId="24C327D5"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18.00</w:t>
            </w:r>
          </w:p>
        </w:tc>
      </w:tr>
      <w:tr w:rsidR="003D6AEF" w:rsidRPr="003D6AEF" w14:paraId="25638D38" w14:textId="77777777" w:rsidTr="003D6AEF">
        <w:trPr>
          <w:trHeight w:val="446"/>
        </w:trPr>
        <w:tc>
          <w:tcPr>
            <w:tcW w:w="0" w:type="auto"/>
            <w:hideMark/>
          </w:tcPr>
          <w:p w14:paraId="270EE360"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Tapioca powder</w:t>
            </w:r>
          </w:p>
        </w:tc>
        <w:tc>
          <w:tcPr>
            <w:tcW w:w="0" w:type="auto"/>
            <w:hideMark/>
          </w:tcPr>
          <w:p w14:paraId="01359BBE"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11.00</w:t>
            </w:r>
          </w:p>
        </w:tc>
        <w:tc>
          <w:tcPr>
            <w:tcW w:w="0" w:type="auto"/>
            <w:hideMark/>
          </w:tcPr>
          <w:p w14:paraId="00A46E8A"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11.00</w:t>
            </w:r>
          </w:p>
        </w:tc>
        <w:tc>
          <w:tcPr>
            <w:tcW w:w="0" w:type="auto"/>
            <w:hideMark/>
          </w:tcPr>
          <w:p w14:paraId="3F31658C"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11.00</w:t>
            </w:r>
          </w:p>
        </w:tc>
        <w:tc>
          <w:tcPr>
            <w:tcW w:w="0" w:type="auto"/>
            <w:hideMark/>
          </w:tcPr>
          <w:p w14:paraId="651180C9"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11.00</w:t>
            </w:r>
          </w:p>
        </w:tc>
        <w:tc>
          <w:tcPr>
            <w:tcW w:w="0" w:type="auto"/>
            <w:hideMark/>
          </w:tcPr>
          <w:p w14:paraId="6B869734"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11.00</w:t>
            </w:r>
          </w:p>
        </w:tc>
      </w:tr>
      <w:tr w:rsidR="003D6AEF" w:rsidRPr="003D6AEF" w14:paraId="3F6061CC" w14:textId="77777777" w:rsidTr="003D6AEF">
        <w:trPr>
          <w:trHeight w:val="460"/>
        </w:trPr>
        <w:tc>
          <w:tcPr>
            <w:tcW w:w="0" w:type="auto"/>
            <w:hideMark/>
          </w:tcPr>
          <w:p w14:paraId="772D6366"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Fish oil</w:t>
            </w:r>
          </w:p>
        </w:tc>
        <w:tc>
          <w:tcPr>
            <w:tcW w:w="0" w:type="auto"/>
            <w:hideMark/>
          </w:tcPr>
          <w:p w14:paraId="234B39E4"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17F8A0C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383D51B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23753F70"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640F709F"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r>
      <w:tr w:rsidR="003D6AEF" w:rsidRPr="003D6AEF" w14:paraId="32C90C1A" w14:textId="77777777" w:rsidTr="003D6AEF">
        <w:trPr>
          <w:trHeight w:val="446"/>
        </w:trPr>
        <w:tc>
          <w:tcPr>
            <w:tcW w:w="0" w:type="auto"/>
            <w:hideMark/>
          </w:tcPr>
          <w:p w14:paraId="6F94A75F"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Sunflower oil</w:t>
            </w:r>
          </w:p>
        </w:tc>
        <w:tc>
          <w:tcPr>
            <w:tcW w:w="0" w:type="auto"/>
            <w:hideMark/>
          </w:tcPr>
          <w:p w14:paraId="34E5E6A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72CEEB09"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071BABF6"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4BA0C13A"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7121A522"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r>
      <w:tr w:rsidR="003D6AEF" w:rsidRPr="003D6AEF" w14:paraId="068A7F99" w14:textId="77777777" w:rsidTr="003D6AEF">
        <w:trPr>
          <w:trHeight w:val="446"/>
        </w:trPr>
        <w:tc>
          <w:tcPr>
            <w:tcW w:w="0" w:type="auto"/>
            <w:hideMark/>
          </w:tcPr>
          <w:p w14:paraId="65E219EF"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Vitamin–mineral premix</w:t>
            </w:r>
          </w:p>
        </w:tc>
        <w:tc>
          <w:tcPr>
            <w:tcW w:w="0" w:type="auto"/>
            <w:hideMark/>
          </w:tcPr>
          <w:p w14:paraId="2E09D385"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4A046C28"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26B62861"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3537CFA8"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39261F45"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r>
      <w:tr w:rsidR="003D6AEF" w:rsidRPr="003D6AEF" w14:paraId="769DA770" w14:textId="77777777" w:rsidTr="003D6AEF">
        <w:trPr>
          <w:trHeight w:val="446"/>
        </w:trPr>
        <w:tc>
          <w:tcPr>
            <w:tcW w:w="0" w:type="auto"/>
            <w:hideMark/>
          </w:tcPr>
          <w:p w14:paraId="0A4DC8C8"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b/>
                <w:bCs/>
                <w:sz w:val="24"/>
                <w:szCs w:val="24"/>
              </w:rPr>
              <w:t>Total</w:t>
            </w:r>
          </w:p>
        </w:tc>
        <w:tc>
          <w:tcPr>
            <w:tcW w:w="0" w:type="auto"/>
            <w:hideMark/>
          </w:tcPr>
          <w:p w14:paraId="651C5CF9"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100</w:t>
            </w:r>
          </w:p>
        </w:tc>
        <w:tc>
          <w:tcPr>
            <w:tcW w:w="0" w:type="auto"/>
            <w:hideMark/>
          </w:tcPr>
          <w:p w14:paraId="0C279EC4"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100</w:t>
            </w:r>
          </w:p>
        </w:tc>
        <w:tc>
          <w:tcPr>
            <w:tcW w:w="0" w:type="auto"/>
            <w:hideMark/>
          </w:tcPr>
          <w:p w14:paraId="670284AA"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100</w:t>
            </w:r>
          </w:p>
        </w:tc>
        <w:tc>
          <w:tcPr>
            <w:tcW w:w="0" w:type="auto"/>
            <w:hideMark/>
          </w:tcPr>
          <w:p w14:paraId="66A86830"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100</w:t>
            </w:r>
          </w:p>
        </w:tc>
        <w:tc>
          <w:tcPr>
            <w:tcW w:w="0" w:type="auto"/>
            <w:hideMark/>
          </w:tcPr>
          <w:p w14:paraId="65B1F1FF"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100</w:t>
            </w:r>
          </w:p>
        </w:tc>
      </w:tr>
      <w:tr w:rsidR="003D6AEF" w:rsidRPr="003D6AEF" w14:paraId="4D9A787F" w14:textId="77777777" w:rsidTr="003D6AEF">
        <w:trPr>
          <w:trHeight w:val="446"/>
        </w:trPr>
        <w:tc>
          <w:tcPr>
            <w:tcW w:w="0" w:type="auto"/>
            <w:hideMark/>
          </w:tcPr>
          <w:p w14:paraId="192D71CB"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b/>
                <w:bCs/>
                <w:sz w:val="24"/>
                <w:szCs w:val="24"/>
              </w:rPr>
              <w:t>Crude Protein (%)</w:t>
            </w:r>
          </w:p>
        </w:tc>
        <w:tc>
          <w:tcPr>
            <w:tcW w:w="0" w:type="auto"/>
            <w:hideMark/>
          </w:tcPr>
          <w:p w14:paraId="7F734731"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30</w:t>
            </w:r>
          </w:p>
        </w:tc>
        <w:tc>
          <w:tcPr>
            <w:tcW w:w="0" w:type="auto"/>
            <w:hideMark/>
          </w:tcPr>
          <w:p w14:paraId="047F29D3"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30</w:t>
            </w:r>
          </w:p>
        </w:tc>
        <w:tc>
          <w:tcPr>
            <w:tcW w:w="0" w:type="auto"/>
            <w:hideMark/>
          </w:tcPr>
          <w:p w14:paraId="1D74436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30</w:t>
            </w:r>
          </w:p>
        </w:tc>
        <w:tc>
          <w:tcPr>
            <w:tcW w:w="0" w:type="auto"/>
            <w:hideMark/>
          </w:tcPr>
          <w:p w14:paraId="104B2974"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30</w:t>
            </w:r>
          </w:p>
        </w:tc>
        <w:tc>
          <w:tcPr>
            <w:tcW w:w="0" w:type="auto"/>
            <w:hideMark/>
          </w:tcPr>
          <w:p w14:paraId="2E8208D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30</w:t>
            </w:r>
          </w:p>
        </w:tc>
      </w:tr>
    </w:tbl>
    <w:p w14:paraId="44E7D946" w14:textId="2CB4332C" w:rsidR="003D6AEF" w:rsidRDefault="003D6AEF" w:rsidP="008364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Experimental Design </w:t>
      </w:r>
    </w:p>
    <w:p w14:paraId="21E11776" w14:textId="514B402A" w:rsidR="003D6AEF" w:rsidRDefault="003138C3" w:rsidP="00836438">
      <w:pPr>
        <w:spacing w:line="360" w:lineRule="auto"/>
        <w:ind w:firstLine="720"/>
        <w:jc w:val="both"/>
        <w:rPr>
          <w:rFonts w:ascii="Times New Roman" w:hAnsi="Times New Roman" w:cs="Times New Roman"/>
          <w:i/>
          <w:iCs/>
          <w:sz w:val="24"/>
          <w:szCs w:val="24"/>
        </w:rPr>
      </w:pPr>
      <w:r w:rsidRPr="003138C3">
        <w:rPr>
          <w:rFonts w:ascii="Times New Roman" w:hAnsi="Times New Roman" w:cs="Times New Roman"/>
          <w:sz w:val="24"/>
          <w:szCs w:val="24"/>
        </w:rPr>
        <w:t xml:space="preserve">A total of 300 Nile tilapia fry were used for the present study and randomly distributed into five experimental groups, namely T0 (control), T1, T2, T3, and T4, with four replicates per treatment and 15 fish in each tank. The experiment was conducted following a completely randomized design. </w:t>
      </w:r>
      <w:proofErr w:type="spellStart"/>
      <w:r w:rsidRPr="003138C3">
        <w:rPr>
          <w:rFonts w:ascii="Times New Roman" w:hAnsi="Times New Roman" w:cs="Times New Roman"/>
          <w:sz w:val="24"/>
          <w:szCs w:val="24"/>
        </w:rPr>
        <w:t>Kalmegh</w:t>
      </w:r>
      <w:proofErr w:type="spellEnd"/>
      <w:r w:rsidRPr="003138C3">
        <w:rPr>
          <w:rFonts w:ascii="Times New Roman" w:hAnsi="Times New Roman" w:cs="Times New Roman"/>
          <w:sz w:val="24"/>
          <w:szCs w:val="24"/>
        </w:rPr>
        <w:t xml:space="preserve"> extract was used as the test component, and the experimental diets were formulated with graded levels of </w:t>
      </w:r>
      <w:proofErr w:type="spellStart"/>
      <w:r w:rsidRPr="003138C3">
        <w:rPr>
          <w:rFonts w:ascii="Times New Roman" w:hAnsi="Times New Roman" w:cs="Times New Roman"/>
          <w:sz w:val="24"/>
          <w:szCs w:val="24"/>
        </w:rPr>
        <w:t>Kalmegh</w:t>
      </w:r>
      <w:proofErr w:type="spellEnd"/>
      <w:r w:rsidRPr="003138C3">
        <w:rPr>
          <w:rFonts w:ascii="Times New Roman" w:hAnsi="Times New Roman" w:cs="Times New Roman"/>
          <w:sz w:val="24"/>
          <w:szCs w:val="24"/>
        </w:rPr>
        <w:t xml:space="preserve"> extract. The control group (T0) received a basal diet without supplementation, while T1, T2, T3, and T4 were fed diets supplemented with 0.5%, 1.0%, 1.5%, and 2.0% </w:t>
      </w:r>
      <w:proofErr w:type="spellStart"/>
      <w:r w:rsidRPr="003138C3">
        <w:rPr>
          <w:rFonts w:ascii="Times New Roman" w:hAnsi="Times New Roman" w:cs="Times New Roman"/>
          <w:sz w:val="24"/>
          <w:szCs w:val="24"/>
        </w:rPr>
        <w:t>Kalmegh</w:t>
      </w:r>
      <w:proofErr w:type="spellEnd"/>
      <w:r w:rsidRPr="003138C3">
        <w:rPr>
          <w:rFonts w:ascii="Times New Roman" w:hAnsi="Times New Roman" w:cs="Times New Roman"/>
          <w:sz w:val="24"/>
          <w:szCs w:val="24"/>
        </w:rPr>
        <w:t xml:space="preserve"> extract, respectively. The feeding trial was conducted for a period of 60 days, after which growth performance and survival were recorded</w:t>
      </w:r>
      <w:r w:rsidR="00497303">
        <w:rPr>
          <w:rFonts w:ascii="Times New Roman" w:hAnsi="Times New Roman" w:cs="Times New Roman"/>
          <w:sz w:val="24"/>
          <w:szCs w:val="24"/>
        </w:rPr>
        <w:t>.</w:t>
      </w:r>
    </w:p>
    <w:p w14:paraId="4C78E575" w14:textId="4FC7FE51" w:rsidR="009662AB" w:rsidRPr="00DE7E99" w:rsidRDefault="00213B6A" w:rsidP="0083643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Feeding </w:t>
      </w:r>
      <w:r w:rsidR="0054019A">
        <w:rPr>
          <w:rFonts w:ascii="Times New Roman" w:hAnsi="Times New Roman" w:cs="Times New Roman"/>
          <w:b/>
          <w:bCs/>
          <w:sz w:val="24"/>
          <w:szCs w:val="24"/>
        </w:rPr>
        <w:t xml:space="preserve">Procedure </w:t>
      </w:r>
    </w:p>
    <w:p w14:paraId="2B90DE0D" w14:textId="43E4A70B" w:rsidR="00D17D10" w:rsidRPr="005A1D5F" w:rsidRDefault="00CB59B4" w:rsidP="005A1D5F">
      <w:pPr>
        <w:spacing w:line="360" w:lineRule="auto"/>
        <w:ind w:firstLine="720"/>
        <w:jc w:val="both"/>
        <w:rPr>
          <w:rFonts w:ascii="Times New Roman" w:hAnsi="Times New Roman" w:cs="Times New Roman"/>
          <w:sz w:val="24"/>
          <w:szCs w:val="24"/>
        </w:rPr>
      </w:pPr>
      <w:r w:rsidRPr="00DE7E99">
        <w:rPr>
          <w:rFonts w:ascii="Times New Roman" w:hAnsi="Times New Roman" w:cs="Times New Roman"/>
          <w:sz w:val="24"/>
          <w:szCs w:val="24"/>
        </w:rPr>
        <w:t xml:space="preserve">The experimental fish were fed their respective diets at a rate of 5% of their live body weight per day, divided into two equal feedings. Growth performance was monitored by </w:t>
      </w:r>
      <w:r w:rsidRPr="00DE7E99">
        <w:rPr>
          <w:rFonts w:ascii="Times New Roman" w:hAnsi="Times New Roman" w:cs="Times New Roman"/>
          <w:sz w:val="24"/>
          <w:szCs w:val="24"/>
        </w:rPr>
        <w:lastRenderedPageBreak/>
        <w:t>sampling and weighing the fish at 15-day intervals throughout the experimental period. Survival was recorded daily by counting and removing any dead fish from each tank.</w:t>
      </w:r>
    </w:p>
    <w:p w14:paraId="43B1C3E4" w14:textId="3D6D7792" w:rsidR="00D44C84" w:rsidRDefault="00776C62" w:rsidP="00836438">
      <w:pPr>
        <w:spacing w:line="360" w:lineRule="auto"/>
        <w:jc w:val="both"/>
        <w:rPr>
          <w:rFonts w:ascii="Times New Roman" w:hAnsi="Times New Roman" w:cs="Times New Roman"/>
          <w:b/>
          <w:bCs/>
          <w:sz w:val="24"/>
          <w:szCs w:val="24"/>
        </w:rPr>
      </w:pPr>
      <w:r w:rsidRPr="00776C62">
        <w:rPr>
          <w:rFonts w:ascii="Times New Roman" w:hAnsi="Times New Roman" w:cs="Times New Roman"/>
          <w:b/>
          <w:bCs/>
          <w:sz w:val="24"/>
          <w:szCs w:val="24"/>
        </w:rPr>
        <w:t>Growth Performance Analysis</w:t>
      </w:r>
    </w:p>
    <w:p w14:paraId="6BE284BD" w14:textId="77777777" w:rsidR="00EA733F" w:rsidRPr="00EA733F" w:rsidRDefault="007B70D7" w:rsidP="00836438">
      <w:pPr>
        <w:spacing w:line="360" w:lineRule="auto"/>
        <w:jc w:val="both"/>
      </w:pPr>
      <w:r>
        <w:rPr>
          <w:rFonts w:ascii="Times New Roman" w:hAnsi="Times New Roman" w:cs="Times New Roman"/>
          <w:b/>
          <w:bCs/>
          <w:sz w:val="24"/>
          <w:szCs w:val="24"/>
        </w:rPr>
        <w:tab/>
      </w:r>
      <w:r w:rsidR="00EA733F" w:rsidRPr="0060766B">
        <w:rPr>
          <w:rFonts w:ascii="Times New Roman" w:hAnsi="Times New Roman" w:cs="Times New Roman"/>
        </w:rPr>
        <w:t>During the experimental period, all fish in each tank were collectively weighed at 15-day intervals using a digital weighing balance to assess growth performance. Growth parameters were evaluated based on standard indices, including weight gain, specific growth rate (SGR), feed conversion ratio (FCR), protein efficiency ratio (PER), and survival rate.</w:t>
      </w:r>
    </w:p>
    <w:p w14:paraId="3BE830B9" w14:textId="77777777" w:rsidR="0068411E"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 xml:space="preserve">Mean weight gain (g) was calculated as the difference between the mean final weight and mean initial weight of the fish. </w:t>
      </w:r>
    </w:p>
    <w:p w14:paraId="6C0B3122" w14:textId="458289AB" w:rsidR="00EA733F" w:rsidRPr="00EA733F"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Specific growth rate (SGR, %) was calculated using the formula:</w:t>
      </w:r>
    </w:p>
    <w:p w14:paraId="0468C38A" w14:textId="6FA37388" w:rsidR="00EA733F" w:rsidRPr="00D17D10" w:rsidRDefault="00EA733F" w:rsidP="00836438">
      <w:pPr>
        <w:spacing w:line="36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SGR=</m:t>
          </m:r>
          <m:f>
            <m:fPr>
              <m:ctrlPr>
                <w:rPr>
                  <w:rFonts w:ascii="Cambria Math" w:hAnsi="Cambria Math" w:cs="Times New Roman"/>
                  <w:sz w:val="24"/>
                  <w:szCs w:val="24"/>
                </w:rPr>
              </m:ctrlPr>
            </m:fPr>
            <m:num>
              <m:r>
                <m:rPr>
                  <m:sty m:val="p"/>
                </m:rPr>
                <w:rPr>
                  <w:rFonts w:ascii="Cambria Math" w:hAnsi="Cambria Math" w:cs="Times New Roman"/>
                  <w:sz w:val="24"/>
                  <w:szCs w:val="24"/>
                </w:rPr>
                <m:t>ln⁡</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f</m:t>
                  </m:r>
                </m:sub>
              </m:sSub>
              <m:r>
                <m:rPr>
                  <m:sty m:val="p"/>
                </m:rPr>
                <w:rPr>
                  <w:rFonts w:ascii="Cambria Math" w:hAnsi="Cambria Math" w:cs="Times New Roman"/>
                  <w:sz w:val="24"/>
                  <w:szCs w:val="24"/>
                </w:rPr>
                <m:t>-ln⁡</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m:t>
                  </m:r>
                </m:sub>
              </m:sSub>
            </m:num>
            <m:den>
              <m:r>
                <m:rPr>
                  <m:sty m:val="p"/>
                </m:rPr>
                <w:rPr>
                  <w:rFonts w:ascii="Cambria Math" w:hAnsi="Cambria Math" w:cs="Times New Roman"/>
                  <w:sz w:val="24"/>
                  <w:szCs w:val="24"/>
                </w:rPr>
                <m:t>t</m:t>
              </m:r>
            </m:den>
          </m:f>
          <m:r>
            <m:rPr>
              <m:sty m:val="p"/>
            </m:rPr>
            <w:rPr>
              <w:rFonts w:ascii="Cambria Math" w:hAnsi="Cambria Math" w:cs="Times New Roman"/>
              <w:sz w:val="24"/>
              <w:szCs w:val="24"/>
            </w:rPr>
            <m:t>×100</m:t>
          </m:r>
        </m:oMath>
      </m:oMathPara>
    </w:p>
    <w:p w14:paraId="0BC13098" w14:textId="77777777" w:rsidR="00D17D10" w:rsidRPr="00EA733F" w:rsidRDefault="00D17D10" w:rsidP="00836438">
      <w:pPr>
        <w:spacing w:line="360" w:lineRule="auto"/>
        <w:jc w:val="both"/>
        <w:rPr>
          <w:rFonts w:ascii="Times New Roman" w:hAnsi="Times New Roman" w:cs="Times New Roman"/>
          <w:sz w:val="24"/>
          <w:szCs w:val="24"/>
        </w:rPr>
      </w:pPr>
    </w:p>
    <w:p w14:paraId="4222450C" w14:textId="61C4CD5C" w:rsidR="00EA733F" w:rsidRPr="00EA733F"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f</m:t>
            </m:r>
          </m:sub>
        </m:sSub>
      </m:oMath>
      <w:r w:rsidRPr="00EA733F">
        <w:rPr>
          <w:rFonts w:ascii="Times New Roman" w:hAnsi="Times New Roman" w:cs="Times New Roman"/>
          <w:sz w:val="24"/>
          <w:szCs w:val="24"/>
        </w:rPr>
        <w:t xml:space="preserve">is the final weight,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m:t>
            </m:r>
          </m:sub>
        </m:sSub>
      </m:oMath>
      <w:r w:rsidRPr="00EA733F">
        <w:rPr>
          <w:rFonts w:ascii="Times New Roman" w:hAnsi="Times New Roman" w:cs="Times New Roman"/>
          <w:sz w:val="24"/>
          <w:szCs w:val="24"/>
        </w:rPr>
        <w:t xml:space="preserve">is the initial weight, and </w:t>
      </w:r>
      <m:oMath>
        <m:r>
          <m:rPr>
            <m:sty m:val="p"/>
          </m:rPr>
          <w:rPr>
            <w:rFonts w:ascii="Cambria Math" w:hAnsi="Cambria Math" w:cs="Times New Roman"/>
            <w:sz w:val="24"/>
            <w:szCs w:val="24"/>
          </w:rPr>
          <m:t>t</m:t>
        </m:r>
      </m:oMath>
      <w:r w:rsidRPr="00EA733F">
        <w:rPr>
          <w:rFonts w:ascii="Times New Roman" w:hAnsi="Times New Roman" w:cs="Times New Roman"/>
          <w:sz w:val="24"/>
          <w:szCs w:val="24"/>
        </w:rPr>
        <w:t>is the culture period in days.</w:t>
      </w:r>
    </w:p>
    <w:p w14:paraId="37BFB4E0" w14:textId="77777777" w:rsidR="00EA733F" w:rsidRPr="00EA733F"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Feed conversion ratio (FCR) was calculated as:</w:t>
      </w:r>
    </w:p>
    <w:p w14:paraId="508AD535" w14:textId="55A20D9C" w:rsidR="00EA733F" w:rsidRPr="00EA733F" w:rsidRDefault="00EA733F" w:rsidP="00836438">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FCR=</m:t>
          </m:r>
          <m:f>
            <m:fPr>
              <m:ctrlPr>
                <w:rPr>
                  <w:rFonts w:ascii="Cambria Math" w:hAnsi="Cambria Math" w:cs="Times New Roman"/>
                  <w:sz w:val="24"/>
                  <w:szCs w:val="24"/>
                </w:rPr>
              </m:ctrlPr>
            </m:fPr>
            <m:num>
              <m:r>
                <m:rPr>
                  <m:nor/>
                </m:rPr>
                <w:rPr>
                  <w:rFonts w:ascii="Times New Roman" w:hAnsi="Times New Roman" w:cs="Times New Roman"/>
                  <w:sz w:val="24"/>
                  <w:szCs w:val="24"/>
                </w:rPr>
                <m:t>Feed intake </m:t>
              </m:r>
            </m:num>
            <m:den>
              <m:r>
                <m:rPr>
                  <m:nor/>
                </m:rPr>
                <w:rPr>
                  <w:rFonts w:ascii="Times New Roman" w:hAnsi="Times New Roman" w:cs="Times New Roman"/>
                  <w:sz w:val="24"/>
                  <w:szCs w:val="24"/>
                </w:rPr>
                <m:t>Live weight gain</m:t>
              </m:r>
            </m:den>
          </m:f>
          <m:r>
            <m:rPr>
              <m:sty m:val="p"/>
            </m:rPr>
            <w:rPr>
              <w:rFonts w:ascii="Times New Roman" w:hAnsi="Times New Roman" w:cs="Times New Roman"/>
              <w:sz w:val="24"/>
              <w:szCs w:val="24"/>
            </w:rPr>
            <w:br/>
          </m:r>
        </m:oMath>
      </m:oMathPara>
    </w:p>
    <w:p w14:paraId="7922384E" w14:textId="77777777" w:rsidR="00EA733F" w:rsidRPr="00EA733F"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Protein efficiency ratio (PER) was calculated as:</w:t>
      </w:r>
    </w:p>
    <w:p w14:paraId="30D6F150" w14:textId="123712AF" w:rsidR="00EA733F" w:rsidRPr="00EA733F" w:rsidRDefault="00EA733F" w:rsidP="00836438">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PER=</m:t>
          </m:r>
          <m:f>
            <m:fPr>
              <m:ctrlPr>
                <w:rPr>
                  <w:rFonts w:ascii="Cambria Math" w:hAnsi="Cambria Math" w:cs="Times New Roman"/>
                  <w:sz w:val="24"/>
                  <w:szCs w:val="24"/>
                </w:rPr>
              </m:ctrlPr>
            </m:fPr>
            <m:num>
              <m:r>
                <m:rPr>
                  <m:nor/>
                </m:rPr>
                <w:rPr>
                  <w:rFonts w:ascii="Times New Roman" w:hAnsi="Times New Roman" w:cs="Times New Roman"/>
                  <w:sz w:val="24"/>
                  <w:szCs w:val="24"/>
                </w:rPr>
                <m:t>Weight gain (g)</m:t>
              </m:r>
            </m:num>
            <m:den>
              <m:r>
                <m:rPr>
                  <m:nor/>
                </m:rPr>
                <w:rPr>
                  <w:rFonts w:ascii="Times New Roman" w:hAnsi="Times New Roman" w:cs="Times New Roman"/>
                  <w:sz w:val="24"/>
                  <w:szCs w:val="24"/>
                </w:rPr>
                <m:t>Protein intake (g)</m:t>
              </m:r>
            </m:den>
          </m:f>
          <m:r>
            <m:rPr>
              <m:sty m:val="p"/>
            </m:rPr>
            <w:rPr>
              <w:rFonts w:ascii="Times New Roman" w:hAnsi="Times New Roman" w:cs="Times New Roman"/>
              <w:sz w:val="24"/>
              <w:szCs w:val="24"/>
            </w:rPr>
            <w:br/>
          </m:r>
        </m:oMath>
      </m:oMathPara>
    </w:p>
    <w:p w14:paraId="40F44FF9" w14:textId="77777777" w:rsidR="00EA733F" w:rsidRPr="00EA733F"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Survival rate (%) was determined using the formula:</w:t>
      </w:r>
    </w:p>
    <w:p w14:paraId="23C500AC" w14:textId="53ABCBA9" w:rsidR="007B70D7" w:rsidRDefault="00EA733F" w:rsidP="00836438">
      <w:pPr>
        <w:spacing w:line="360" w:lineRule="auto"/>
        <w:jc w:val="both"/>
        <w:rPr>
          <w:rFonts w:ascii="Times New Roman" w:hAnsi="Times New Roman" w:cs="Times New Roman"/>
          <w:b/>
          <w:bCs/>
          <w:sz w:val="24"/>
          <w:szCs w:val="24"/>
        </w:rPr>
      </w:pPr>
      <m:oMathPara>
        <m:oMath>
          <m:r>
            <m:rPr>
              <m:sty m:val="p"/>
            </m:rPr>
            <w:rPr>
              <w:rFonts w:ascii="Cambria Math" w:hAnsi="Cambria Math" w:cs="Times New Roman"/>
              <w:sz w:val="24"/>
              <w:szCs w:val="24"/>
            </w:rPr>
            <m:t>Survival(%)=</m:t>
          </m:r>
          <m:f>
            <m:fPr>
              <m:ctrlPr>
                <w:rPr>
                  <w:rFonts w:ascii="Cambria Math" w:hAnsi="Cambria Math" w:cs="Times New Roman"/>
                  <w:sz w:val="24"/>
                  <w:szCs w:val="24"/>
                </w:rPr>
              </m:ctrlPr>
            </m:fPr>
            <m:num>
              <m:r>
                <m:rPr>
                  <m:nor/>
                </m:rPr>
                <w:rPr>
                  <w:rFonts w:ascii="Times New Roman" w:hAnsi="Times New Roman" w:cs="Times New Roman"/>
                  <w:sz w:val="24"/>
                  <w:szCs w:val="24"/>
                </w:rPr>
                <m:t>Number of fish survived</m:t>
              </m:r>
            </m:num>
            <m:den>
              <m:r>
                <m:rPr>
                  <m:nor/>
                </m:rPr>
                <w:rPr>
                  <w:rFonts w:ascii="Times New Roman" w:hAnsi="Times New Roman" w:cs="Times New Roman"/>
                  <w:sz w:val="24"/>
                  <w:szCs w:val="24"/>
                </w:rPr>
                <m:t>Number of fish stocked</m:t>
              </m:r>
            </m:den>
          </m:f>
          <m:r>
            <m:rPr>
              <m:sty m:val="p"/>
            </m:rPr>
            <w:rPr>
              <w:rFonts w:ascii="Cambria Math" w:hAnsi="Cambria Math" w:cs="Times New Roman"/>
              <w:sz w:val="24"/>
              <w:szCs w:val="24"/>
            </w:rPr>
            <m:t>×100</m:t>
          </m:r>
          <m:r>
            <m:rPr>
              <m:sty m:val="p"/>
            </m:rPr>
            <w:rPr>
              <w:rFonts w:ascii="Times New Roman" w:hAnsi="Times New Roman" w:cs="Times New Roman"/>
              <w:sz w:val="24"/>
              <w:szCs w:val="24"/>
            </w:rPr>
            <w:br/>
          </m:r>
        </m:oMath>
      </m:oMathPara>
      <w:r w:rsidR="000874D0" w:rsidRPr="000874D0">
        <w:rPr>
          <w:rFonts w:ascii="Times New Roman" w:hAnsi="Times New Roman" w:cs="Times New Roman"/>
          <w:b/>
          <w:bCs/>
          <w:sz w:val="24"/>
          <w:szCs w:val="24"/>
        </w:rPr>
        <w:t>Analysis of physic-chemical water quality parameters</w:t>
      </w:r>
    </w:p>
    <w:p w14:paraId="54B94147" w14:textId="38BA2E04" w:rsidR="00DE6404" w:rsidRPr="005A1D5F" w:rsidRDefault="00EC1A8F" w:rsidP="005A1D5F">
      <w:pPr>
        <w:spacing w:line="360" w:lineRule="auto"/>
        <w:jc w:val="both"/>
        <w:rPr>
          <w:rFonts w:ascii="Times New Roman" w:hAnsi="Times New Roman" w:cs="Times New Roman"/>
          <w:sz w:val="24"/>
          <w:szCs w:val="24"/>
        </w:rPr>
      </w:pPr>
      <w:r w:rsidRPr="00EC1A8F">
        <w:rPr>
          <w:rFonts w:ascii="Times New Roman" w:hAnsi="Times New Roman" w:cs="Times New Roman"/>
          <w:sz w:val="24"/>
          <w:szCs w:val="24"/>
        </w:rPr>
        <w:t xml:space="preserve">Throughout the experiment period, physio-chemical parameters including temperature, dissolved oxygen (DO), pH and alkalinity were monitored weekly. The DO levels in the water samples were determined using the Winkler method (Fi et al., 2014). Alkalinity was measured </w:t>
      </w:r>
      <w:r w:rsidRPr="00EC1A8F">
        <w:rPr>
          <w:rFonts w:ascii="Times New Roman" w:hAnsi="Times New Roman" w:cs="Times New Roman"/>
          <w:sz w:val="24"/>
          <w:szCs w:val="24"/>
        </w:rPr>
        <w:lastRenderedPageBreak/>
        <w:t>using the EDTA method (Summerfelt 2000). Temperature was recorded by thermometer and pH was measured using a standard digital pH meter and pH indicator solution</w:t>
      </w:r>
      <w:r>
        <w:rPr>
          <w:rFonts w:ascii="Times New Roman" w:hAnsi="Times New Roman" w:cs="Times New Roman"/>
          <w:sz w:val="24"/>
          <w:szCs w:val="24"/>
        </w:rPr>
        <w:t>.</w:t>
      </w:r>
    </w:p>
    <w:p w14:paraId="3FDDCBBD" w14:textId="41FE52BF" w:rsidR="009F55CD" w:rsidRDefault="009F55CD" w:rsidP="00836438">
      <w:pPr>
        <w:tabs>
          <w:tab w:val="right" w:pos="8666"/>
        </w:tabs>
        <w:spacing w:before="120" w:after="120" w:line="360" w:lineRule="auto"/>
        <w:jc w:val="both"/>
        <w:rPr>
          <w:rFonts w:ascii="Times New Roman" w:hAnsi="Times New Roman" w:cs="Times New Roman"/>
          <w:b/>
          <w:bCs/>
          <w:sz w:val="24"/>
          <w:szCs w:val="24"/>
        </w:rPr>
      </w:pPr>
      <w:r w:rsidRPr="006B01F1">
        <w:rPr>
          <w:rFonts w:ascii="Times New Roman" w:hAnsi="Times New Roman" w:cs="Times New Roman"/>
          <w:b/>
          <w:bCs/>
          <w:sz w:val="24"/>
          <w:szCs w:val="24"/>
        </w:rPr>
        <w:t>S</w:t>
      </w:r>
      <w:r w:rsidRPr="00940D7F">
        <w:rPr>
          <w:rFonts w:ascii="Times New Roman" w:hAnsi="Times New Roman" w:cs="Times New Roman"/>
          <w:b/>
          <w:bCs/>
          <w:sz w:val="24"/>
          <w:szCs w:val="24"/>
        </w:rPr>
        <w:t>tatistical</w:t>
      </w:r>
      <w:r w:rsidRPr="006B01F1">
        <w:rPr>
          <w:rFonts w:ascii="Times New Roman" w:hAnsi="Times New Roman" w:cs="Times New Roman"/>
          <w:b/>
          <w:bCs/>
          <w:sz w:val="24"/>
          <w:szCs w:val="24"/>
        </w:rPr>
        <w:t xml:space="preserve"> Analysis</w:t>
      </w:r>
    </w:p>
    <w:p w14:paraId="67068830" w14:textId="607A625C" w:rsidR="00282D12" w:rsidRDefault="00282D12" w:rsidP="00836438">
      <w:pPr>
        <w:tabs>
          <w:tab w:val="right" w:pos="8666"/>
        </w:tabs>
        <w:spacing w:before="120" w:after="120" w:line="360" w:lineRule="auto"/>
        <w:ind w:firstLine="540"/>
        <w:jc w:val="both"/>
        <w:rPr>
          <w:rFonts w:ascii="Times New Roman" w:hAnsi="Times New Roman" w:cs="Times New Roman"/>
          <w:sz w:val="24"/>
          <w:szCs w:val="24"/>
          <w:lang w:val="en-US"/>
        </w:rPr>
      </w:pPr>
      <w:r w:rsidRPr="00AE33D8">
        <w:rPr>
          <w:rFonts w:ascii="Times New Roman" w:hAnsi="Times New Roman" w:cs="Times New Roman"/>
          <w:sz w:val="24"/>
          <w:szCs w:val="24"/>
          <w:lang w:val="en-US"/>
        </w:rPr>
        <w:t>Statistical analysis was carried out using completely randomized design with five treatments and Four replications in experiment (Snedecor &amp; Cochran, 2014). The statistical analysis was performed using the one-way analysis of variance (ANOVA), SPSS with descriptive values mean ± standard error. The level of significance was set at P &lt; 0.05, and the Duncan's Multiple Range Test (DMRT) was used to compare the mean values.</w:t>
      </w:r>
    </w:p>
    <w:p w14:paraId="20AEE1C8" w14:textId="3AB6A595" w:rsidR="00497E9C" w:rsidRDefault="004477DC" w:rsidP="00836438">
      <w:pPr>
        <w:tabs>
          <w:tab w:val="right" w:pos="8666"/>
        </w:tabs>
        <w:spacing w:before="120" w:after="120" w:line="360" w:lineRule="auto"/>
        <w:jc w:val="both"/>
        <w:rPr>
          <w:rFonts w:ascii="Times New Roman" w:hAnsi="Times New Roman" w:cs="Times New Roman"/>
          <w:b/>
          <w:bCs/>
          <w:sz w:val="24"/>
          <w:szCs w:val="24"/>
        </w:rPr>
      </w:pPr>
      <w:r w:rsidRPr="004477DC">
        <w:rPr>
          <w:rFonts w:ascii="Times New Roman" w:hAnsi="Times New Roman" w:cs="Times New Roman"/>
          <w:b/>
          <w:bCs/>
          <w:sz w:val="24"/>
          <w:szCs w:val="24"/>
        </w:rPr>
        <w:t>Results And Discussion</w:t>
      </w:r>
    </w:p>
    <w:p w14:paraId="7E627AA8" w14:textId="77777777" w:rsidR="00AB6B88" w:rsidRDefault="00173C9F" w:rsidP="0041049F">
      <w:pPr>
        <w:tabs>
          <w:tab w:val="right" w:pos="8666"/>
        </w:tabs>
        <w:spacing w:before="120" w:after="120" w:line="360" w:lineRule="auto"/>
        <w:ind w:firstLine="630"/>
        <w:jc w:val="both"/>
        <w:rPr>
          <w:rFonts w:ascii="Times New Roman" w:hAnsi="Times New Roman" w:cs="Times New Roman"/>
          <w:sz w:val="24"/>
          <w:szCs w:val="24"/>
        </w:rPr>
      </w:pPr>
      <w:r w:rsidRPr="00643D91">
        <w:rPr>
          <w:rFonts w:ascii="Times New Roman" w:hAnsi="Times New Roman" w:cs="Times New Roman"/>
          <w:sz w:val="24"/>
          <w:szCs w:val="24"/>
        </w:rPr>
        <w:t xml:space="preserve">Growth performance of Nile tilapia fed with </w:t>
      </w:r>
      <w:proofErr w:type="spellStart"/>
      <w:r w:rsidRPr="00643D91">
        <w:rPr>
          <w:rFonts w:ascii="Times New Roman" w:hAnsi="Times New Roman" w:cs="Times New Roman"/>
          <w:sz w:val="24"/>
          <w:szCs w:val="24"/>
        </w:rPr>
        <w:t>Kalmegh</w:t>
      </w:r>
      <w:proofErr w:type="spellEnd"/>
      <w:r w:rsidRPr="00643D91">
        <w:rPr>
          <w:rFonts w:ascii="Times New Roman" w:hAnsi="Times New Roman" w:cs="Times New Roman"/>
          <w:sz w:val="24"/>
          <w:szCs w:val="24"/>
        </w:rPr>
        <w:t xml:space="preserve"> extract supplemented diets is presented in Table </w:t>
      </w:r>
      <w:r w:rsidR="008D46B4">
        <w:rPr>
          <w:rFonts w:ascii="Times New Roman" w:hAnsi="Times New Roman" w:cs="Times New Roman"/>
          <w:sz w:val="24"/>
          <w:szCs w:val="24"/>
        </w:rPr>
        <w:t>2.</w:t>
      </w:r>
    </w:p>
    <w:p w14:paraId="70874674" w14:textId="5FDC2ED5" w:rsidR="003D4F4E" w:rsidRDefault="00C15E79" w:rsidP="00C15E79">
      <w:pPr>
        <w:tabs>
          <w:tab w:val="right" w:pos="8666"/>
        </w:tabs>
        <w:spacing w:before="120" w:after="120" w:line="360" w:lineRule="auto"/>
        <w:ind w:firstLine="810"/>
        <w:jc w:val="both"/>
        <w:rPr>
          <w:rFonts w:ascii="Times New Roman" w:hAnsi="Times New Roman" w:cs="Times New Roman"/>
          <w:sz w:val="24"/>
          <w:szCs w:val="24"/>
        </w:rPr>
      </w:pPr>
      <w:r>
        <w:rPr>
          <w:rFonts w:ascii="Times New Roman" w:hAnsi="Times New Roman" w:cs="Times New Roman"/>
          <w:sz w:val="24"/>
          <w:szCs w:val="24"/>
        </w:rPr>
        <w:tab/>
      </w:r>
      <w:r w:rsidRPr="00C15E79">
        <w:rPr>
          <w:rFonts w:ascii="Times New Roman" w:hAnsi="Times New Roman" w:cs="Times New Roman"/>
          <w:sz w:val="24"/>
          <w:szCs w:val="24"/>
        </w:rPr>
        <w:t xml:space="preserve">The growth performance of Nile tilapia fed with </w:t>
      </w:r>
      <w:proofErr w:type="spellStart"/>
      <w:r w:rsidRPr="00C15E79">
        <w:rPr>
          <w:rFonts w:ascii="Times New Roman" w:hAnsi="Times New Roman" w:cs="Times New Roman"/>
          <w:sz w:val="24"/>
          <w:szCs w:val="24"/>
        </w:rPr>
        <w:t>Kalmegh</w:t>
      </w:r>
      <w:proofErr w:type="spellEnd"/>
      <w:r w:rsidRPr="00C15E79">
        <w:rPr>
          <w:rFonts w:ascii="Times New Roman" w:hAnsi="Times New Roman" w:cs="Times New Roman"/>
          <w:sz w:val="24"/>
          <w:szCs w:val="24"/>
        </w:rPr>
        <w:t xml:space="preserve"> extract supplemented diets is presented in Table 2, and the graphical representation is shown in Fig. 1. Fish were sampled at 15-day intervals to record body weight and monitor growth throughout the experimental period. The initial mean body weight of fish in treatments T0, T1, T2, T3, and T4 was recorded as 0.79±0.044, 0.79±0.035, 0.79±0.035, 0.83±0.018, and 0.83±0.022 g, respectively. After 60 days of the feeding trial, the mean body weight increased to 9.10±0.234, 10.55±0.350, 11.98±0.608, 13.14±0.138, and 12.19±0.155 g in T0, T1, T2, T3, and T4, respectively. Among the treatments, the highest growth was observed in T3, followed by T4, T2, T1, and T0, indicating that </w:t>
      </w:r>
      <w:proofErr w:type="spellStart"/>
      <w:r w:rsidRPr="00C15E79">
        <w:rPr>
          <w:rFonts w:ascii="Times New Roman" w:hAnsi="Times New Roman" w:cs="Times New Roman"/>
          <w:sz w:val="24"/>
          <w:szCs w:val="24"/>
        </w:rPr>
        <w:t>Kalmegh</w:t>
      </w:r>
      <w:proofErr w:type="spellEnd"/>
      <w:r w:rsidRPr="00C15E79">
        <w:rPr>
          <w:rFonts w:ascii="Times New Roman" w:hAnsi="Times New Roman" w:cs="Times New Roman"/>
          <w:sz w:val="24"/>
          <w:szCs w:val="24"/>
        </w:rPr>
        <w:t xml:space="preserve"> extract supplementation positively influenced growth performance at optimal inclusion levels.</w:t>
      </w:r>
      <w:r w:rsidR="001A70F8">
        <w:rPr>
          <w:rFonts w:ascii="Times New Roman" w:hAnsi="Times New Roman" w:cs="Times New Roman"/>
          <w:sz w:val="24"/>
          <w:szCs w:val="24"/>
        </w:rPr>
        <w:tab/>
      </w:r>
      <w:r w:rsidR="00836438">
        <w:rPr>
          <w:rFonts w:ascii="Times New Roman" w:hAnsi="Times New Roman" w:cs="Times New Roman"/>
          <w:sz w:val="24"/>
          <w:szCs w:val="24"/>
        </w:rPr>
        <w:t xml:space="preserve">          </w:t>
      </w:r>
    </w:p>
    <w:p w14:paraId="569CD7CD" w14:textId="07C33D13" w:rsidR="001C2975" w:rsidRDefault="00E329C6" w:rsidP="00E227D3">
      <w:pPr>
        <w:tabs>
          <w:tab w:val="right" w:pos="8666"/>
        </w:tabs>
        <w:spacing w:before="120" w:after="120" w:line="360" w:lineRule="auto"/>
        <w:ind w:firstLine="810"/>
        <w:jc w:val="both"/>
        <w:rPr>
          <w:rFonts w:ascii="Times New Roman" w:hAnsi="Times New Roman" w:cs="Times New Roman"/>
          <w:sz w:val="24"/>
          <w:szCs w:val="24"/>
        </w:rPr>
      </w:pPr>
      <w:r>
        <w:rPr>
          <w:rFonts w:ascii="Times New Roman" w:hAnsi="Times New Roman" w:cs="Times New Roman"/>
          <w:sz w:val="24"/>
          <w:szCs w:val="24"/>
        </w:rPr>
        <w:tab/>
      </w:r>
      <w:r w:rsidR="001C2975" w:rsidRPr="001C2975">
        <w:rPr>
          <w:rFonts w:ascii="Times New Roman" w:hAnsi="Times New Roman" w:cs="Times New Roman"/>
          <w:sz w:val="24"/>
          <w:szCs w:val="24"/>
        </w:rPr>
        <w:t xml:space="preserve">The specific growth rate (SGR) of Nile tilapia fry in different treatments is presented in </w:t>
      </w:r>
      <w:r w:rsidR="001C2975" w:rsidRPr="009F056F">
        <w:rPr>
          <w:rFonts w:ascii="Times New Roman" w:hAnsi="Times New Roman" w:cs="Times New Roman"/>
          <w:sz w:val="24"/>
          <w:szCs w:val="24"/>
        </w:rPr>
        <w:t>Table 2</w:t>
      </w:r>
      <w:r w:rsidR="001C2975" w:rsidRPr="001C2975">
        <w:rPr>
          <w:rFonts w:ascii="Times New Roman" w:hAnsi="Times New Roman" w:cs="Times New Roman"/>
          <w:sz w:val="24"/>
          <w:szCs w:val="24"/>
        </w:rPr>
        <w:t xml:space="preserve"> and illustrated in Figure</w:t>
      </w:r>
      <w:r w:rsidR="009F056F">
        <w:rPr>
          <w:rFonts w:ascii="Times New Roman" w:hAnsi="Times New Roman" w:cs="Times New Roman"/>
          <w:sz w:val="24"/>
          <w:szCs w:val="24"/>
        </w:rPr>
        <w:t xml:space="preserve"> 2</w:t>
      </w:r>
      <w:r w:rsidR="001C2975" w:rsidRPr="001C2975">
        <w:rPr>
          <w:rFonts w:ascii="Times New Roman" w:hAnsi="Times New Roman" w:cs="Times New Roman"/>
          <w:sz w:val="24"/>
          <w:szCs w:val="24"/>
        </w:rPr>
        <w:t xml:space="preserve">. The results showed that treatment T3 recorded the highest SGR (4.69±0.041), followed by T4 (4.55±0.050), T2 (4.51±0.141), T1 (4.31±0.045), while the control group T0 (4.06±0.055) exhibited the lowest value. The increased SGR in </w:t>
      </w:r>
      <w:proofErr w:type="spellStart"/>
      <w:r w:rsidR="001C2975" w:rsidRPr="001C2975">
        <w:rPr>
          <w:rFonts w:ascii="Times New Roman" w:hAnsi="Times New Roman" w:cs="Times New Roman"/>
          <w:sz w:val="24"/>
          <w:szCs w:val="24"/>
        </w:rPr>
        <w:t>Kalmegh</w:t>
      </w:r>
      <w:proofErr w:type="spellEnd"/>
      <w:r w:rsidR="001C2975" w:rsidRPr="001C2975">
        <w:rPr>
          <w:rFonts w:ascii="Times New Roman" w:hAnsi="Times New Roman" w:cs="Times New Roman"/>
          <w:sz w:val="24"/>
          <w:szCs w:val="24"/>
        </w:rPr>
        <w:t xml:space="preserve"> extract supplemented diets indicates improved growth performance compared to the control. Similar trends have been reported in previous studies, where dietary supplementation enhanced the specific growth rate of fish compared to untreated groups.</w:t>
      </w:r>
    </w:p>
    <w:p w14:paraId="6C824469" w14:textId="16E54418" w:rsidR="007C4F3D" w:rsidRDefault="007C4F3D" w:rsidP="007C4F3D">
      <w:pPr>
        <w:tabs>
          <w:tab w:val="right" w:pos="8666"/>
        </w:tabs>
        <w:spacing w:before="120" w:after="120" w:line="360" w:lineRule="auto"/>
        <w:ind w:firstLine="810"/>
        <w:jc w:val="both"/>
        <w:rPr>
          <w:rFonts w:ascii="Times New Roman" w:hAnsi="Times New Roman" w:cs="Times New Roman"/>
          <w:sz w:val="24"/>
          <w:szCs w:val="24"/>
        </w:rPr>
      </w:pPr>
      <w:r w:rsidRPr="007C4F3D">
        <w:rPr>
          <w:rFonts w:ascii="Times New Roman" w:hAnsi="Times New Roman" w:cs="Times New Roman"/>
          <w:sz w:val="24"/>
          <w:szCs w:val="24"/>
        </w:rPr>
        <w:t>The survival rate of Nile tilapia fry in different treatments is presented in Table 2 and the graphical representation is shown in Fig. 3. The survival rate recorded after 60 days was (78.33±1.66), (83.33±1.92), (90.00±1.92), (96.66±1.92), and (93.33±2.72) for T0, T1, T2, T</w:t>
      </w:r>
      <w:proofErr w:type="gramStart"/>
      <w:r w:rsidRPr="007C4F3D">
        <w:rPr>
          <w:rFonts w:ascii="Times New Roman" w:hAnsi="Times New Roman" w:cs="Times New Roman"/>
          <w:sz w:val="24"/>
          <w:szCs w:val="24"/>
        </w:rPr>
        <w:t xml:space="preserve">3, </w:t>
      </w:r>
      <w:r w:rsidR="00513468">
        <w:rPr>
          <w:rFonts w:ascii="Times New Roman" w:hAnsi="Times New Roman" w:cs="Times New Roman"/>
          <w:sz w:val="24"/>
          <w:szCs w:val="24"/>
        </w:rPr>
        <w:t xml:space="preserve">  </w:t>
      </w:r>
      <w:proofErr w:type="gramEnd"/>
      <w:r w:rsidR="00513468">
        <w:rPr>
          <w:rFonts w:ascii="Times New Roman" w:hAnsi="Times New Roman" w:cs="Times New Roman"/>
          <w:sz w:val="24"/>
          <w:szCs w:val="24"/>
        </w:rPr>
        <w:t xml:space="preserve">               </w:t>
      </w:r>
      <w:r w:rsidRPr="007C4F3D">
        <w:rPr>
          <w:rFonts w:ascii="Times New Roman" w:hAnsi="Times New Roman" w:cs="Times New Roman"/>
          <w:sz w:val="24"/>
          <w:szCs w:val="24"/>
        </w:rPr>
        <w:lastRenderedPageBreak/>
        <w:t xml:space="preserve">and T4, respectively. The highest survival was observed in T3, followed by T4, T2, T1, and T0, indicating that </w:t>
      </w:r>
      <w:proofErr w:type="spellStart"/>
      <w:r w:rsidRPr="007C4F3D">
        <w:rPr>
          <w:rFonts w:ascii="Times New Roman" w:hAnsi="Times New Roman" w:cs="Times New Roman"/>
          <w:sz w:val="24"/>
          <w:szCs w:val="24"/>
        </w:rPr>
        <w:t>Kalmegh</w:t>
      </w:r>
      <w:proofErr w:type="spellEnd"/>
      <w:r w:rsidRPr="007C4F3D">
        <w:rPr>
          <w:rFonts w:ascii="Times New Roman" w:hAnsi="Times New Roman" w:cs="Times New Roman"/>
          <w:sz w:val="24"/>
          <w:szCs w:val="24"/>
        </w:rPr>
        <w:t xml:space="preserve"> extract supplementation improved survival under experimental conditions.</w:t>
      </w:r>
    </w:p>
    <w:p w14:paraId="42CB8AB3" w14:textId="17D798FF" w:rsidR="00330E51" w:rsidRDefault="00330E51" w:rsidP="00E6083E">
      <w:pPr>
        <w:tabs>
          <w:tab w:val="right" w:pos="8666"/>
        </w:tabs>
        <w:spacing w:before="120" w:after="120" w:line="360" w:lineRule="auto"/>
        <w:ind w:firstLine="900"/>
        <w:jc w:val="both"/>
        <w:rPr>
          <w:rFonts w:ascii="Times New Roman" w:hAnsi="Times New Roman" w:cs="Times New Roman"/>
          <w:sz w:val="24"/>
          <w:szCs w:val="24"/>
        </w:rPr>
      </w:pPr>
      <w:r w:rsidRPr="00330E51">
        <w:rPr>
          <w:rFonts w:ascii="Times New Roman" w:hAnsi="Times New Roman" w:cs="Times New Roman"/>
          <w:sz w:val="24"/>
          <w:szCs w:val="24"/>
        </w:rPr>
        <w:t>The feed conversion ratio (FCR) of Nile tilapia fry in different treatments is presented in Table 2</w:t>
      </w:r>
      <w:r w:rsidR="007C4F3D">
        <w:rPr>
          <w:rFonts w:ascii="Times New Roman" w:hAnsi="Times New Roman" w:cs="Times New Roman"/>
          <w:sz w:val="24"/>
          <w:szCs w:val="24"/>
        </w:rPr>
        <w:t xml:space="preserve"> </w:t>
      </w:r>
      <w:r w:rsidR="007C4F3D" w:rsidRPr="007C4F3D">
        <w:rPr>
          <w:rFonts w:ascii="Times New Roman" w:hAnsi="Times New Roman" w:cs="Times New Roman"/>
          <w:sz w:val="24"/>
          <w:szCs w:val="24"/>
        </w:rPr>
        <w:t xml:space="preserve">and the graphical representation is shown in Fig. </w:t>
      </w:r>
      <w:r w:rsidR="007C4F3D">
        <w:rPr>
          <w:rFonts w:ascii="Times New Roman" w:hAnsi="Times New Roman" w:cs="Times New Roman"/>
          <w:sz w:val="24"/>
          <w:szCs w:val="24"/>
        </w:rPr>
        <w:t>4</w:t>
      </w:r>
      <w:r w:rsidR="007C4F3D" w:rsidRPr="007C4F3D">
        <w:rPr>
          <w:rFonts w:ascii="Times New Roman" w:hAnsi="Times New Roman" w:cs="Times New Roman"/>
          <w:sz w:val="24"/>
          <w:szCs w:val="24"/>
        </w:rPr>
        <w:t xml:space="preserve">. </w:t>
      </w:r>
      <w:r w:rsidRPr="00330E51">
        <w:rPr>
          <w:rFonts w:ascii="Times New Roman" w:hAnsi="Times New Roman" w:cs="Times New Roman"/>
          <w:sz w:val="24"/>
          <w:szCs w:val="24"/>
        </w:rPr>
        <w:t xml:space="preserve"> The lowest FCR was recorded in treatment T3 (1.97±0.051), followed by T4 (1.99±0.033), T2 (2.08±0.059), T1 (2.13±0.033), and T0 (2.43±0.029). The results indicate improved feed utilization in </w:t>
      </w:r>
      <w:proofErr w:type="spellStart"/>
      <w:r w:rsidRPr="00330E51">
        <w:rPr>
          <w:rFonts w:ascii="Times New Roman" w:hAnsi="Times New Roman" w:cs="Times New Roman"/>
          <w:sz w:val="24"/>
          <w:szCs w:val="24"/>
        </w:rPr>
        <w:t>Kalmegh</w:t>
      </w:r>
      <w:proofErr w:type="spellEnd"/>
      <w:r w:rsidRPr="00330E51">
        <w:rPr>
          <w:rFonts w:ascii="Times New Roman" w:hAnsi="Times New Roman" w:cs="Times New Roman"/>
          <w:sz w:val="24"/>
          <w:szCs w:val="24"/>
        </w:rPr>
        <w:t xml:space="preserve"> extract supplemented diets, with the best performance observed in T3.</w:t>
      </w:r>
    </w:p>
    <w:p w14:paraId="70A5BB8E" w14:textId="3A79D187" w:rsidR="005D354D" w:rsidRDefault="004C6AD1" w:rsidP="00E6083E">
      <w:pPr>
        <w:tabs>
          <w:tab w:val="right" w:pos="8666"/>
        </w:tabs>
        <w:spacing w:before="120" w:after="120" w:line="360" w:lineRule="auto"/>
        <w:ind w:firstLine="900"/>
        <w:jc w:val="both"/>
        <w:rPr>
          <w:rFonts w:ascii="Times New Roman" w:hAnsi="Times New Roman" w:cs="Times New Roman"/>
          <w:sz w:val="24"/>
          <w:szCs w:val="24"/>
        </w:rPr>
      </w:pPr>
      <w:r w:rsidRPr="004C6AD1">
        <w:rPr>
          <w:rFonts w:ascii="Times New Roman" w:hAnsi="Times New Roman" w:cs="Times New Roman"/>
          <w:sz w:val="24"/>
          <w:szCs w:val="24"/>
        </w:rPr>
        <w:t>The protein efficiency ratio (PER) of Nile tilapia fry in different treatments is presented in Table 2</w:t>
      </w:r>
      <w:r w:rsidR="00964BE6">
        <w:rPr>
          <w:rFonts w:ascii="Times New Roman" w:hAnsi="Times New Roman" w:cs="Times New Roman"/>
          <w:sz w:val="24"/>
          <w:szCs w:val="24"/>
        </w:rPr>
        <w:t xml:space="preserve"> </w:t>
      </w:r>
      <w:r w:rsidR="00964BE6" w:rsidRPr="007C4F3D">
        <w:rPr>
          <w:rFonts w:ascii="Times New Roman" w:hAnsi="Times New Roman" w:cs="Times New Roman"/>
          <w:sz w:val="24"/>
          <w:szCs w:val="24"/>
        </w:rPr>
        <w:t xml:space="preserve">and the graphical representation is shown in Fig. </w:t>
      </w:r>
      <w:r w:rsidR="00F2357A">
        <w:rPr>
          <w:rFonts w:ascii="Times New Roman" w:hAnsi="Times New Roman" w:cs="Times New Roman"/>
          <w:sz w:val="24"/>
          <w:szCs w:val="24"/>
        </w:rPr>
        <w:t>5</w:t>
      </w:r>
      <w:r w:rsidR="00964BE6" w:rsidRPr="007C4F3D">
        <w:rPr>
          <w:rFonts w:ascii="Times New Roman" w:hAnsi="Times New Roman" w:cs="Times New Roman"/>
          <w:sz w:val="24"/>
          <w:szCs w:val="24"/>
        </w:rPr>
        <w:t xml:space="preserve">. </w:t>
      </w:r>
      <w:r w:rsidRPr="004C6AD1">
        <w:rPr>
          <w:rFonts w:ascii="Times New Roman" w:hAnsi="Times New Roman" w:cs="Times New Roman"/>
          <w:sz w:val="24"/>
          <w:szCs w:val="24"/>
        </w:rPr>
        <w:t xml:space="preserve"> The highest PER was observed in treatment T3 (1.68±0.044), followed by T4 (1.66±0.011), T2 (1.60±0.046), T1 (1.55±0.024), and T0 (1.37±0.016). The results indicate that PER increased with the inclusion of </w:t>
      </w:r>
      <w:proofErr w:type="spellStart"/>
      <w:r w:rsidRPr="004C6AD1">
        <w:rPr>
          <w:rFonts w:ascii="Times New Roman" w:hAnsi="Times New Roman" w:cs="Times New Roman"/>
          <w:sz w:val="24"/>
          <w:szCs w:val="24"/>
        </w:rPr>
        <w:t>Kalmegh</w:t>
      </w:r>
      <w:proofErr w:type="spellEnd"/>
      <w:r w:rsidRPr="004C6AD1">
        <w:rPr>
          <w:rFonts w:ascii="Times New Roman" w:hAnsi="Times New Roman" w:cs="Times New Roman"/>
          <w:sz w:val="24"/>
          <w:szCs w:val="24"/>
        </w:rPr>
        <w:t xml:space="preserve"> extract in the diet, with better protein utilization observed in T3 and T4 compared to the control group.</w:t>
      </w:r>
    </w:p>
    <w:p w14:paraId="124BCECF" w14:textId="099E358E" w:rsidR="007D7BF6" w:rsidRPr="00E6083E" w:rsidRDefault="007D7BF6" w:rsidP="00836438">
      <w:pPr>
        <w:tabs>
          <w:tab w:val="right" w:pos="8666"/>
        </w:tabs>
        <w:spacing w:before="120" w:after="120" w:line="360" w:lineRule="auto"/>
        <w:jc w:val="both"/>
        <w:rPr>
          <w:rFonts w:ascii="Times New Roman" w:hAnsi="Times New Roman" w:cs="Times New Roman"/>
          <w:b/>
          <w:bCs/>
          <w:sz w:val="24"/>
          <w:szCs w:val="24"/>
        </w:rPr>
      </w:pPr>
      <w:r w:rsidRPr="00E6083E">
        <w:rPr>
          <w:rFonts w:ascii="Times New Roman" w:hAnsi="Times New Roman" w:cs="Times New Roman"/>
          <w:b/>
          <w:bCs/>
          <w:sz w:val="24"/>
          <w:szCs w:val="24"/>
        </w:rPr>
        <w:t xml:space="preserve">Table 2. Growth performance of Nile tilapia fry fed with different levels of </w:t>
      </w:r>
      <w:proofErr w:type="spellStart"/>
      <w:r w:rsidRPr="00E6083E">
        <w:rPr>
          <w:rFonts w:ascii="Times New Roman" w:hAnsi="Times New Roman" w:cs="Times New Roman"/>
          <w:b/>
          <w:bCs/>
          <w:sz w:val="24"/>
          <w:szCs w:val="24"/>
        </w:rPr>
        <w:t>Kalmegh</w:t>
      </w:r>
      <w:proofErr w:type="spellEnd"/>
      <w:r w:rsidRPr="00E6083E">
        <w:rPr>
          <w:rFonts w:ascii="Times New Roman" w:hAnsi="Times New Roman" w:cs="Times New Roman"/>
          <w:b/>
          <w:bCs/>
          <w:sz w:val="24"/>
          <w:szCs w:val="24"/>
        </w:rPr>
        <w:t xml:space="preserve"> extract supplemented diets</w:t>
      </w:r>
    </w:p>
    <w:tbl>
      <w:tblPr>
        <w:tblStyle w:val="TableGrid"/>
        <w:tblW w:w="9020" w:type="dxa"/>
        <w:tblLook w:val="04A0" w:firstRow="1" w:lastRow="0" w:firstColumn="1" w:lastColumn="0" w:noHBand="0" w:noVBand="1"/>
      </w:tblPr>
      <w:tblGrid>
        <w:gridCol w:w="2564"/>
        <w:gridCol w:w="1198"/>
        <w:gridCol w:w="1306"/>
        <w:gridCol w:w="1288"/>
        <w:gridCol w:w="1299"/>
        <w:gridCol w:w="1365"/>
      </w:tblGrid>
      <w:tr w:rsidR="00900498" w:rsidRPr="00E10F90" w14:paraId="4EA6218D" w14:textId="77777777" w:rsidTr="009D6407">
        <w:trPr>
          <w:trHeight w:val="19"/>
        </w:trPr>
        <w:tc>
          <w:tcPr>
            <w:tcW w:w="0" w:type="auto"/>
            <w:hideMark/>
          </w:tcPr>
          <w:p w14:paraId="7B4D656D" w14:textId="77777777"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Growth parameters</w:t>
            </w:r>
          </w:p>
        </w:tc>
        <w:tc>
          <w:tcPr>
            <w:tcW w:w="0" w:type="auto"/>
            <w:hideMark/>
          </w:tcPr>
          <w:p w14:paraId="6338F834" w14:textId="5BE167C2"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T0 (</w:t>
            </w:r>
            <w:r w:rsidR="007471B9">
              <w:rPr>
                <w:rFonts w:ascii="Times New Roman" w:hAnsi="Times New Roman" w:cs="Times New Roman"/>
                <w:sz w:val="20"/>
                <w:szCs w:val="20"/>
              </w:rPr>
              <w:t>0%</w:t>
            </w:r>
            <w:r w:rsidRPr="00E10F90">
              <w:rPr>
                <w:rFonts w:ascii="Times New Roman" w:hAnsi="Times New Roman" w:cs="Times New Roman"/>
                <w:b/>
                <w:bCs/>
                <w:sz w:val="20"/>
                <w:szCs w:val="20"/>
              </w:rPr>
              <w:t>)</w:t>
            </w:r>
          </w:p>
        </w:tc>
        <w:tc>
          <w:tcPr>
            <w:tcW w:w="0" w:type="auto"/>
            <w:hideMark/>
          </w:tcPr>
          <w:p w14:paraId="1B96C6EC" w14:textId="77777777"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T1 (0.5%)</w:t>
            </w:r>
          </w:p>
        </w:tc>
        <w:tc>
          <w:tcPr>
            <w:tcW w:w="0" w:type="auto"/>
            <w:hideMark/>
          </w:tcPr>
          <w:p w14:paraId="025A1205" w14:textId="77777777"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T2 (1.0%)</w:t>
            </w:r>
          </w:p>
        </w:tc>
        <w:tc>
          <w:tcPr>
            <w:tcW w:w="0" w:type="auto"/>
            <w:hideMark/>
          </w:tcPr>
          <w:p w14:paraId="54720BD4" w14:textId="77777777"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T3 (1.5%)</w:t>
            </w:r>
          </w:p>
        </w:tc>
        <w:tc>
          <w:tcPr>
            <w:tcW w:w="0" w:type="auto"/>
            <w:hideMark/>
          </w:tcPr>
          <w:p w14:paraId="363C9ED5" w14:textId="77777777"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T4 (2.0%)</w:t>
            </w:r>
          </w:p>
        </w:tc>
      </w:tr>
      <w:tr w:rsidR="00900498" w:rsidRPr="00E10F90" w14:paraId="5601DDEB" w14:textId="77777777" w:rsidTr="009D6407">
        <w:trPr>
          <w:trHeight w:val="19"/>
        </w:trPr>
        <w:tc>
          <w:tcPr>
            <w:tcW w:w="0" w:type="auto"/>
            <w:hideMark/>
          </w:tcPr>
          <w:p w14:paraId="566205B3"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Mean Initial body weight (g)</w:t>
            </w:r>
          </w:p>
        </w:tc>
        <w:tc>
          <w:tcPr>
            <w:tcW w:w="0" w:type="auto"/>
            <w:hideMark/>
          </w:tcPr>
          <w:p w14:paraId="098177F3"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0.79±0.044ᵃ</w:t>
            </w:r>
          </w:p>
        </w:tc>
        <w:tc>
          <w:tcPr>
            <w:tcW w:w="0" w:type="auto"/>
            <w:hideMark/>
          </w:tcPr>
          <w:p w14:paraId="46E36989"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0.79±0.035ᵃ</w:t>
            </w:r>
          </w:p>
        </w:tc>
        <w:tc>
          <w:tcPr>
            <w:tcW w:w="0" w:type="auto"/>
            <w:hideMark/>
          </w:tcPr>
          <w:p w14:paraId="1D5498D2"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0.79±0.035ᵃ</w:t>
            </w:r>
          </w:p>
        </w:tc>
        <w:tc>
          <w:tcPr>
            <w:tcW w:w="0" w:type="auto"/>
            <w:hideMark/>
          </w:tcPr>
          <w:p w14:paraId="517760EB"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0.83±0.018ᵃ</w:t>
            </w:r>
          </w:p>
        </w:tc>
        <w:tc>
          <w:tcPr>
            <w:tcW w:w="0" w:type="auto"/>
            <w:hideMark/>
          </w:tcPr>
          <w:p w14:paraId="6BCDECC9"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0.83±0.022ᵃ</w:t>
            </w:r>
          </w:p>
        </w:tc>
      </w:tr>
      <w:tr w:rsidR="00900498" w:rsidRPr="00E10F90" w14:paraId="4186D178" w14:textId="77777777" w:rsidTr="009D6407">
        <w:trPr>
          <w:trHeight w:val="19"/>
        </w:trPr>
        <w:tc>
          <w:tcPr>
            <w:tcW w:w="0" w:type="auto"/>
            <w:hideMark/>
          </w:tcPr>
          <w:p w14:paraId="20AB66CD"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Mean Final body weight (g)</w:t>
            </w:r>
          </w:p>
        </w:tc>
        <w:tc>
          <w:tcPr>
            <w:tcW w:w="0" w:type="auto"/>
            <w:hideMark/>
          </w:tcPr>
          <w:p w14:paraId="6A93858F"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9.10±0.234ᵉ</w:t>
            </w:r>
          </w:p>
        </w:tc>
        <w:tc>
          <w:tcPr>
            <w:tcW w:w="0" w:type="auto"/>
            <w:hideMark/>
          </w:tcPr>
          <w:p w14:paraId="3877BCE8"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10.55±0.350ᵈ</w:t>
            </w:r>
          </w:p>
        </w:tc>
        <w:tc>
          <w:tcPr>
            <w:tcW w:w="0" w:type="auto"/>
            <w:hideMark/>
          </w:tcPr>
          <w:p w14:paraId="6496D0B8"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11.98±0.608ᶜ</w:t>
            </w:r>
          </w:p>
        </w:tc>
        <w:tc>
          <w:tcPr>
            <w:tcW w:w="0" w:type="auto"/>
            <w:hideMark/>
          </w:tcPr>
          <w:p w14:paraId="08D204C7"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13.14±0.138ᵃ</w:t>
            </w:r>
          </w:p>
        </w:tc>
        <w:tc>
          <w:tcPr>
            <w:tcW w:w="0" w:type="auto"/>
            <w:hideMark/>
          </w:tcPr>
          <w:p w14:paraId="7C0E0947" w14:textId="0D040681"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12.19±0.155</w:t>
            </w:r>
            <w:r w:rsidR="00F91EBA" w:rsidRPr="009662A8">
              <w:rPr>
                <w:rFonts w:ascii="Times New Roman" w:hAnsi="Times New Roman" w:cs="Times New Roman"/>
                <w:sz w:val="20"/>
                <w:szCs w:val="20"/>
                <w:vertAlign w:val="superscript"/>
              </w:rPr>
              <w:t>a</w:t>
            </w:r>
            <w:r w:rsidRPr="00E10F90">
              <w:rPr>
                <w:rFonts w:ascii="Times New Roman" w:hAnsi="Times New Roman" w:cs="Times New Roman"/>
                <w:sz w:val="20"/>
                <w:szCs w:val="20"/>
              </w:rPr>
              <w:t>ᵇ</w:t>
            </w:r>
          </w:p>
        </w:tc>
      </w:tr>
      <w:tr w:rsidR="00900498" w:rsidRPr="00E10F90" w14:paraId="1F8EF1E7" w14:textId="77777777" w:rsidTr="009D6407">
        <w:trPr>
          <w:trHeight w:val="19"/>
        </w:trPr>
        <w:tc>
          <w:tcPr>
            <w:tcW w:w="0" w:type="auto"/>
            <w:hideMark/>
          </w:tcPr>
          <w:p w14:paraId="6C1EB8FD"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Specific growth rate (%)</w:t>
            </w:r>
          </w:p>
        </w:tc>
        <w:tc>
          <w:tcPr>
            <w:tcW w:w="0" w:type="auto"/>
            <w:hideMark/>
          </w:tcPr>
          <w:p w14:paraId="71ABBE4A"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4.06±0.055ᵉ</w:t>
            </w:r>
          </w:p>
        </w:tc>
        <w:tc>
          <w:tcPr>
            <w:tcW w:w="0" w:type="auto"/>
            <w:hideMark/>
          </w:tcPr>
          <w:p w14:paraId="64B00ACD"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4.31±0.045ᵈ</w:t>
            </w:r>
          </w:p>
        </w:tc>
        <w:tc>
          <w:tcPr>
            <w:tcW w:w="0" w:type="auto"/>
            <w:hideMark/>
          </w:tcPr>
          <w:p w14:paraId="509B464B"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4.51±0.141ᶜ</w:t>
            </w:r>
          </w:p>
        </w:tc>
        <w:tc>
          <w:tcPr>
            <w:tcW w:w="0" w:type="auto"/>
            <w:hideMark/>
          </w:tcPr>
          <w:p w14:paraId="6FE493B2"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4.69±0.041ᵃ</w:t>
            </w:r>
          </w:p>
        </w:tc>
        <w:tc>
          <w:tcPr>
            <w:tcW w:w="0" w:type="auto"/>
            <w:hideMark/>
          </w:tcPr>
          <w:p w14:paraId="2F02F572" w14:textId="3B3004AB"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4.55±0.050</w:t>
            </w:r>
            <w:r w:rsidR="009662A8" w:rsidRPr="009662A8">
              <w:rPr>
                <w:rFonts w:ascii="Times New Roman" w:hAnsi="Times New Roman" w:cs="Times New Roman"/>
                <w:sz w:val="20"/>
                <w:szCs w:val="20"/>
                <w:vertAlign w:val="superscript"/>
              </w:rPr>
              <w:t>a</w:t>
            </w:r>
            <w:r w:rsidRPr="00E10F90">
              <w:rPr>
                <w:rFonts w:ascii="Times New Roman" w:hAnsi="Times New Roman" w:cs="Times New Roman"/>
                <w:sz w:val="20"/>
                <w:szCs w:val="20"/>
              </w:rPr>
              <w:t>ᵇ</w:t>
            </w:r>
          </w:p>
        </w:tc>
      </w:tr>
      <w:tr w:rsidR="00900498" w:rsidRPr="00E10F90" w14:paraId="77ED37EF" w14:textId="77777777" w:rsidTr="009D6407">
        <w:trPr>
          <w:trHeight w:val="19"/>
        </w:trPr>
        <w:tc>
          <w:tcPr>
            <w:tcW w:w="0" w:type="auto"/>
            <w:hideMark/>
          </w:tcPr>
          <w:p w14:paraId="49E2FC71"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Feed conversion ratio</w:t>
            </w:r>
          </w:p>
        </w:tc>
        <w:tc>
          <w:tcPr>
            <w:tcW w:w="0" w:type="auto"/>
            <w:hideMark/>
          </w:tcPr>
          <w:p w14:paraId="23FB4681"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2.43±0.029ᵃ</w:t>
            </w:r>
          </w:p>
        </w:tc>
        <w:tc>
          <w:tcPr>
            <w:tcW w:w="0" w:type="auto"/>
            <w:hideMark/>
          </w:tcPr>
          <w:p w14:paraId="79CC9954"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2.13±0.033ᵇ</w:t>
            </w:r>
          </w:p>
        </w:tc>
        <w:tc>
          <w:tcPr>
            <w:tcW w:w="0" w:type="auto"/>
            <w:hideMark/>
          </w:tcPr>
          <w:p w14:paraId="39231CE2"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2.08±0.059ᶜ</w:t>
            </w:r>
          </w:p>
        </w:tc>
        <w:tc>
          <w:tcPr>
            <w:tcW w:w="0" w:type="auto"/>
            <w:hideMark/>
          </w:tcPr>
          <w:p w14:paraId="1317DD33"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1.97±0.051ᵉ</w:t>
            </w:r>
          </w:p>
        </w:tc>
        <w:tc>
          <w:tcPr>
            <w:tcW w:w="0" w:type="auto"/>
            <w:hideMark/>
          </w:tcPr>
          <w:p w14:paraId="158DB1DD"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1.99±0.033ᵈ</w:t>
            </w:r>
          </w:p>
        </w:tc>
      </w:tr>
      <w:tr w:rsidR="00900498" w:rsidRPr="00E10F90" w14:paraId="0EC17362" w14:textId="77777777" w:rsidTr="009D6407">
        <w:trPr>
          <w:trHeight w:val="19"/>
        </w:trPr>
        <w:tc>
          <w:tcPr>
            <w:tcW w:w="0" w:type="auto"/>
            <w:hideMark/>
          </w:tcPr>
          <w:p w14:paraId="6287C50E"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Protein Efficiency Ratio</w:t>
            </w:r>
          </w:p>
        </w:tc>
        <w:tc>
          <w:tcPr>
            <w:tcW w:w="0" w:type="auto"/>
            <w:hideMark/>
          </w:tcPr>
          <w:p w14:paraId="0D9FA665"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1.37±0.016ᵉ</w:t>
            </w:r>
          </w:p>
        </w:tc>
        <w:tc>
          <w:tcPr>
            <w:tcW w:w="0" w:type="auto"/>
            <w:hideMark/>
          </w:tcPr>
          <w:p w14:paraId="40BF3148"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1.55±0.024ᵈ</w:t>
            </w:r>
          </w:p>
        </w:tc>
        <w:tc>
          <w:tcPr>
            <w:tcW w:w="0" w:type="auto"/>
            <w:hideMark/>
          </w:tcPr>
          <w:p w14:paraId="01D260AA"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1.60±0.046ᶜ</w:t>
            </w:r>
          </w:p>
        </w:tc>
        <w:tc>
          <w:tcPr>
            <w:tcW w:w="0" w:type="auto"/>
            <w:hideMark/>
          </w:tcPr>
          <w:p w14:paraId="7ED31480"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1.68±0.044ᵃ</w:t>
            </w:r>
          </w:p>
        </w:tc>
        <w:tc>
          <w:tcPr>
            <w:tcW w:w="0" w:type="auto"/>
            <w:hideMark/>
          </w:tcPr>
          <w:p w14:paraId="02C65BEE"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1.66±0.011ᵇ</w:t>
            </w:r>
          </w:p>
        </w:tc>
      </w:tr>
      <w:tr w:rsidR="00900498" w:rsidRPr="00E10F90" w14:paraId="325280C2" w14:textId="77777777" w:rsidTr="009D6407">
        <w:trPr>
          <w:trHeight w:val="19"/>
        </w:trPr>
        <w:tc>
          <w:tcPr>
            <w:tcW w:w="0" w:type="auto"/>
            <w:hideMark/>
          </w:tcPr>
          <w:p w14:paraId="2E7439BE"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Survival Rate (%)</w:t>
            </w:r>
          </w:p>
        </w:tc>
        <w:tc>
          <w:tcPr>
            <w:tcW w:w="0" w:type="auto"/>
            <w:hideMark/>
          </w:tcPr>
          <w:p w14:paraId="3BD7EEE9"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78.33±1.66ᵉ</w:t>
            </w:r>
          </w:p>
        </w:tc>
        <w:tc>
          <w:tcPr>
            <w:tcW w:w="0" w:type="auto"/>
            <w:hideMark/>
          </w:tcPr>
          <w:p w14:paraId="65F54605"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83.33±1.92ᵈ</w:t>
            </w:r>
          </w:p>
        </w:tc>
        <w:tc>
          <w:tcPr>
            <w:tcW w:w="0" w:type="auto"/>
            <w:hideMark/>
          </w:tcPr>
          <w:p w14:paraId="0D8C24CE"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90.00±1.92ᶜ</w:t>
            </w:r>
          </w:p>
        </w:tc>
        <w:tc>
          <w:tcPr>
            <w:tcW w:w="0" w:type="auto"/>
            <w:hideMark/>
          </w:tcPr>
          <w:p w14:paraId="546CB765"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96.66±1.92ᵃ</w:t>
            </w:r>
          </w:p>
        </w:tc>
        <w:tc>
          <w:tcPr>
            <w:tcW w:w="0" w:type="auto"/>
            <w:hideMark/>
          </w:tcPr>
          <w:p w14:paraId="69C47F3F"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93.33±2.72ᵇ</w:t>
            </w:r>
          </w:p>
        </w:tc>
      </w:tr>
    </w:tbl>
    <w:p w14:paraId="749122EB" w14:textId="281AEB24" w:rsidR="00BA0A0B" w:rsidRPr="00BA0A0B" w:rsidRDefault="008E0048" w:rsidP="008E0048">
      <w:pPr>
        <w:tabs>
          <w:tab w:val="right" w:pos="8666"/>
        </w:tabs>
        <w:spacing w:before="120" w:after="120" w:line="360" w:lineRule="auto"/>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14:anchorId="6979CFB4" wp14:editId="706A2421">
            <wp:simplePos x="0" y="0"/>
            <wp:positionH relativeFrom="column">
              <wp:posOffset>533400</wp:posOffset>
            </wp:positionH>
            <wp:positionV relativeFrom="paragraph">
              <wp:posOffset>3435350</wp:posOffset>
            </wp:positionV>
            <wp:extent cx="4654550" cy="2604135"/>
            <wp:effectExtent l="0" t="0" r="12700" b="5715"/>
            <wp:wrapThrough wrapText="bothSides">
              <wp:wrapPolygon edited="0">
                <wp:start x="0" y="0"/>
                <wp:lineTo x="0" y="21489"/>
                <wp:lineTo x="21571" y="21489"/>
                <wp:lineTo x="21571" y="0"/>
                <wp:lineTo x="0" y="0"/>
              </wp:wrapPolygon>
            </wp:wrapThrough>
            <wp:docPr id="1971759909" name="Chart 1">
              <a:extLst xmlns:a="http://schemas.openxmlformats.org/drawingml/2006/main">
                <a:ext uri="{FF2B5EF4-FFF2-40B4-BE49-F238E27FC236}">
                  <a16:creationId xmlns:a16="http://schemas.microsoft.com/office/drawing/2014/main" id="{8EF20ACF-FEDF-3F44-FC03-AC3760E12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6A60BC">
        <w:rPr>
          <w:noProof/>
        </w:rPr>
        <w:drawing>
          <wp:anchor distT="0" distB="0" distL="114300" distR="114300" simplePos="0" relativeHeight="251659264" behindDoc="0" locked="0" layoutInCell="1" allowOverlap="1" wp14:anchorId="30FB2A0C" wp14:editId="479D466B">
            <wp:simplePos x="0" y="0"/>
            <wp:positionH relativeFrom="column">
              <wp:posOffset>186690</wp:posOffset>
            </wp:positionH>
            <wp:positionV relativeFrom="paragraph">
              <wp:posOffset>560</wp:posOffset>
            </wp:positionV>
            <wp:extent cx="5274310" cy="2933700"/>
            <wp:effectExtent l="0" t="0" r="2540" b="0"/>
            <wp:wrapThrough wrapText="bothSides">
              <wp:wrapPolygon edited="0">
                <wp:start x="0" y="0"/>
                <wp:lineTo x="0" y="21460"/>
                <wp:lineTo x="21532" y="21460"/>
                <wp:lineTo x="21532" y="0"/>
                <wp:lineTo x="0" y="0"/>
              </wp:wrapPolygon>
            </wp:wrapThrough>
            <wp:docPr id="1041116058" name="Chart 1">
              <a:extLst xmlns:a="http://schemas.openxmlformats.org/drawingml/2006/main">
                <a:ext uri="{FF2B5EF4-FFF2-40B4-BE49-F238E27FC236}">
                  <a16:creationId xmlns:a16="http://schemas.microsoft.com/office/drawing/2014/main" id="{10931B78-D05D-B562-A9DE-8D3416F3F6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BA0A0B" w:rsidRPr="00BA0A0B">
        <w:rPr>
          <w:rFonts w:ascii="Times New Roman" w:hAnsi="Times New Roman" w:cs="Times New Roman"/>
          <w:b/>
          <w:bCs/>
          <w:sz w:val="24"/>
          <w:szCs w:val="24"/>
        </w:rPr>
        <w:t>Fig. 1. Mean body weight (g) of Nile tilapia fry under different treatment groups</w:t>
      </w:r>
    </w:p>
    <w:p w14:paraId="675CD925" w14:textId="628EE2CD" w:rsidR="00A62FE6" w:rsidRPr="00330E51" w:rsidRDefault="00A62FE6" w:rsidP="00836438">
      <w:pPr>
        <w:tabs>
          <w:tab w:val="right" w:pos="8666"/>
        </w:tabs>
        <w:spacing w:before="120" w:after="120" w:line="360" w:lineRule="auto"/>
        <w:jc w:val="both"/>
        <w:rPr>
          <w:rFonts w:ascii="Times New Roman" w:hAnsi="Times New Roman" w:cs="Times New Roman"/>
          <w:sz w:val="24"/>
          <w:szCs w:val="24"/>
        </w:rPr>
      </w:pPr>
    </w:p>
    <w:p w14:paraId="6396ECA6" w14:textId="1F58AE14" w:rsidR="00EA7EFB" w:rsidRPr="00F016F5" w:rsidRDefault="00EA7EFB" w:rsidP="00836438">
      <w:pPr>
        <w:tabs>
          <w:tab w:val="right" w:pos="8666"/>
        </w:tabs>
        <w:spacing w:before="120" w:after="120" w:line="360" w:lineRule="auto"/>
        <w:jc w:val="both"/>
        <w:rPr>
          <w:rFonts w:ascii="Times New Roman" w:hAnsi="Times New Roman" w:cs="Times New Roman"/>
          <w:sz w:val="24"/>
          <w:szCs w:val="24"/>
        </w:rPr>
      </w:pPr>
    </w:p>
    <w:p w14:paraId="2D42B564" w14:textId="23D04FFA" w:rsidR="00F016F5" w:rsidRPr="001C2975" w:rsidRDefault="00F016F5" w:rsidP="00836438">
      <w:pPr>
        <w:tabs>
          <w:tab w:val="right" w:pos="8666"/>
        </w:tabs>
        <w:spacing w:before="120" w:after="120" w:line="360" w:lineRule="auto"/>
        <w:jc w:val="both"/>
        <w:rPr>
          <w:rFonts w:ascii="Times New Roman" w:hAnsi="Times New Roman" w:cs="Times New Roman"/>
          <w:sz w:val="24"/>
          <w:szCs w:val="24"/>
        </w:rPr>
      </w:pPr>
    </w:p>
    <w:p w14:paraId="1056245E" w14:textId="2DC3DB4F" w:rsidR="001A70F8" w:rsidRPr="003D4F4E" w:rsidRDefault="001A70F8" w:rsidP="00836438">
      <w:pPr>
        <w:tabs>
          <w:tab w:val="right" w:pos="8666"/>
        </w:tabs>
        <w:spacing w:before="120" w:after="120" w:line="360" w:lineRule="auto"/>
        <w:jc w:val="both"/>
        <w:rPr>
          <w:rFonts w:ascii="Times New Roman" w:hAnsi="Times New Roman" w:cs="Times New Roman"/>
          <w:sz w:val="24"/>
          <w:szCs w:val="24"/>
        </w:rPr>
      </w:pPr>
    </w:p>
    <w:p w14:paraId="2FF1B32B" w14:textId="21F2E5B1" w:rsidR="008D46B4" w:rsidRDefault="008D46B4" w:rsidP="00836438">
      <w:pPr>
        <w:tabs>
          <w:tab w:val="right" w:pos="8666"/>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92EFEA4" w14:textId="2A5A9EEF" w:rsidR="004477DC" w:rsidRPr="00643D91" w:rsidRDefault="004477DC" w:rsidP="00836438">
      <w:pPr>
        <w:tabs>
          <w:tab w:val="right" w:pos="8666"/>
        </w:tabs>
        <w:spacing w:before="120" w:after="120" w:line="360" w:lineRule="auto"/>
        <w:jc w:val="both"/>
        <w:rPr>
          <w:rFonts w:ascii="Times New Roman" w:hAnsi="Times New Roman" w:cs="Times New Roman"/>
          <w:sz w:val="24"/>
          <w:szCs w:val="24"/>
          <w:lang w:val="en-US"/>
        </w:rPr>
      </w:pPr>
      <w:r w:rsidRPr="00643D91">
        <w:rPr>
          <w:rFonts w:ascii="Times New Roman" w:hAnsi="Times New Roman" w:cs="Times New Roman"/>
          <w:sz w:val="24"/>
          <w:szCs w:val="24"/>
        </w:rPr>
        <w:tab/>
      </w:r>
    </w:p>
    <w:p w14:paraId="75439AFA" w14:textId="6EF8A9C2" w:rsidR="00497E9C" w:rsidRPr="004477DC" w:rsidRDefault="00497E9C" w:rsidP="00836438">
      <w:pPr>
        <w:tabs>
          <w:tab w:val="right" w:pos="8666"/>
        </w:tabs>
        <w:spacing w:before="120" w:after="120" w:line="360" w:lineRule="auto"/>
        <w:jc w:val="both"/>
        <w:rPr>
          <w:rFonts w:ascii="Times New Roman" w:hAnsi="Times New Roman" w:cs="Times New Roman"/>
          <w:b/>
          <w:bCs/>
          <w:sz w:val="24"/>
          <w:szCs w:val="24"/>
          <w:lang w:val="en-US"/>
        </w:rPr>
      </w:pPr>
    </w:p>
    <w:p w14:paraId="00A37EBF" w14:textId="63AA1E68" w:rsidR="00282D12" w:rsidRPr="002B65D1" w:rsidRDefault="00282D12" w:rsidP="00836438">
      <w:pPr>
        <w:tabs>
          <w:tab w:val="right" w:pos="8666"/>
        </w:tabs>
        <w:spacing w:before="120" w:after="120" w:line="360" w:lineRule="auto"/>
        <w:jc w:val="both"/>
        <w:rPr>
          <w:rFonts w:ascii="Times New Roman" w:hAnsi="Times New Roman" w:cs="Times New Roman"/>
          <w:sz w:val="24"/>
          <w:szCs w:val="24"/>
        </w:rPr>
      </w:pPr>
    </w:p>
    <w:p w14:paraId="638F0B47" w14:textId="47D43D23" w:rsidR="00FC4D99" w:rsidRPr="00FC4D99" w:rsidRDefault="00FC4D99" w:rsidP="00836438">
      <w:pPr>
        <w:tabs>
          <w:tab w:val="right" w:pos="8666"/>
        </w:tabs>
        <w:spacing w:before="120" w:after="120" w:line="360" w:lineRule="auto"/>
        <w:jc w:val="both"/>
        <w:rPr>
          <w:rFonts w:ascii="Times New Roman" w:hAnsi="Times New Roman" w:cs="Times New Roman"/>
          <w:b/>
          <w:bCs/>
          <w:sz w:val="24"/>
          <w:szCs w:val="24"/>
        </w:rPr>
      </w:pPr>
      <w:r w:rsidRPr="00FC4D99">
        <w:rPr>
          <w:rFonts w:ascii="Times New Roman" w:hAnsi="Times New Roman" w:cs="Times New Roman"/>
          <w:b/>
          <w:bCs/>
          <w:sz w:val="24"/>
          <w:szCs w:val="24"/>
        </w:rPr>
        <w:t>Fig. 2. Specific growth rate (SGR) of Nile tilapia fry under different treatment groups</w:t>
      </w:r>
    </w:p>
    <w:p w14:paraId="48D03589" w14:textId="61CED342" w:rsidR="00264D3B" w:rsidRPr="00264D3B" w:rsidRDefault="005E390C" w:rsidP="00836438">
      <w:pPr>
        <w:pStyle w:val="NormalWeb"/>
        <w:spacing w:line="360" w:lineRule="auto"/>
        <w:rPr>
          <w:rFonts w:eastAsia="Times New Roman"/>
          <w:kern w:val="0"/>
          <w:lang w:eastAsia="en-IN" w:bidi="hi-IN"/>
          <w14:ligatures w14:val="none"/>
        </w:rPr>
      </w:pPr>
      <w:r>
        <w:rPr>
          <w:b/>
          <w:bCs/>
        </w:rPr>
        <w:lastRenderedPageBreak/>
        <w:tab/>
      </w:r>
      <w:r w:rsidR="003739A9" w:rsidRPr="008F61FC">
        <w:rPr>
          <w:b/>
          <w:bCs/>
          <w:noProof/>
          <w:color w:val="000000" w:themeColor="text1"/>
        </w:rPr>
        <w:drawing>
          <wp:inline distT="0" distB="0" distL="0" distR="0" wp14:anchorId="6FB41B4D" wp14:editId="6B88397A">
            <wp:extent cx="5045710" cy="2842260"/>
            <wp:effectExtent l="0" t="0" r="2540" b="15240"/>
            <wp:docPr id="1409443572" name="Chart 1">
              <a:extLst xmlns:a="http://schemas.openxmlformats.org/drawingml/2006/main">
                <a:ext uri="{FF2B5EF4-FFF2-40B4-BE49-F238E27FC236}">
                  <a16:creationId xmlns:a16="http://schemas.microsoft.com/office/drawing/2014/main" id="{411B039E-C2B8-A280-E0BC-73F23DFB9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roofErr w:type="spellStart"/>
      <w:r w:rsidR="00264D3B" w:rsidRPr="00264D3B">
        <w:rPr>
          <w:rFonts w:eastAsia="Times New Roman"/>
          <w:b/>
          <w:bCs/>
          <w:kern w:val="0"/>
          <w:lang w:eastAsia="en-IN" w:bidi="hi-IN"/>
          <w14:ligatures w14:val="none"/>
        </w:rPr>
        <w:t>ig</w:t>
      </w:r>
      <w:proofErr w:type="spellEnd"/>
      <w:r w:rsidR="00264D3B" w:rsidRPr="00264D3B">
        <w:rPr>
          <w:rFonts w:eastAsia="Times New Roman"/>
          <w:b/>
          <w:bCs/>
          <w:kern w:val="0"/>
          <w:lang w:eastAsia="en-IN" w:bidi="hi-IN"/>
          <w14:ligatures w14:val="none"/>
        </w:rPr>
        <w:t xml:space="preserve">. </w:t>
      </w:r>
      <w:r w:rsidR="00264D3B">
        <w:rPr>
          <w:rFonts w:eastAsia="Times New Roman"/>
          <w:b/>
          <w:bCs/>
          <w:kern w:val="0"/>
          <w:lang w:eastAsia="en-IN" w:bidi="hi-IN"/>
          <w14:ligatures w14:val="none"/>
        </w:rPr>
        <w:t>Fig</w:t>
      </w:r>
      <w:r w:rsidR="0025792D">
        <w:rPr>
          <w:rFonts w:eastAsia="Times New Roman"/>
          <w:b/>
          <w:bCs/>
          <w:kern w:val="0"/>
          <w:lang w:eastAsia="en-IN" w:bidi="hi-IN"/>
          <w14:ligatures w14:val="none"/>
        </w:rPr>
        <w:t xml:space="preserve">. </w:t>
      </w:r>
      <w:r w:rsidR="00264D3B" w:rsidRPr="00264D3B">
        <w:rPr>
          <w:rFonts w:eastAsia="Times New Roman"/>
          <w:b/>
          <w:bCs/>
          <w:kern w:val="0"/>
          <w:lang w:eastAsia="en-IN" w:bidi="hi-IN"/>
          <w14:ligatures w14:val="none"/>
        </w:rPr>
        <w:t>3. Survival rate (%) of Nile tilapia fry under different treatment groups</w:t>
      </w:r>
    </w:p>
    <w:p w14:paraId="49A7E0C5" w14:textId="77777777" w:rsidR="00953EF2" w:rsidRDefault="00953EF2" w:rsidP="00836438">
      <w:pPr>
        <w:pStyle w:val="NormalWeb"/>
        <w:spacing w:line="360" w:lineRule="auto"/>
        <w:rPr>
          <w:rFonts w:eastAsia="Times New Roman"/>
          <w:b/>
          <w:bCs/>
          <w:kern w:val="0"/>
          <w:lang w:eastAsia="en-IN" w:bidi="hi-IN"/>
          <w14:ligatures w14:val="none"/>
        </w:rPr>
      </w:pPr>
    </w:p>
    <w:p w14:paraId="5E17DDBF" w14:textId="67118B11" w:rsidR="00B7488A" w:rsidRPr="00B7488A" w:rsidRDefault="00597ABD" w:rsidP="00836438">
      <w:pPr>
        <w:pStyle w:val="NormalWeb"/>
        <w:spacing w:line="360" w:lineRule="auto"/>
        <w:rPr>
          <w:rFonts w:eastAsia="Times New Roman"/>
          <w:kern w:val="0"/>
          <w:lang w:eastAsia="en-IN" w:bidi="hi-IN"/>
          <w14:ligatures w14:val="none"/>
        </w:rPr>
      </w:pPr>
      <w:r>
        <w:rPr>
          <w:noProof/>
        </w:rPr>
        <w:drawing>
          <wp:anchor distT="0" distB="0" distL="114300" distR="114300" simplePos="0" relativeHeight="251662336" behindDoc="0" locked="0" layoutInCell="1" allowOverlap="1" wp14:anchorId="0CFC43B9" wp14:editId="6ACE343F">
            <wp:simplePos x="0" y="0"/>
            <wp:positionH relativeFrom="column">
              <wp:posOffset>0</wp:posOffset>
            </wp:positionH>
            <wp:positionV relativeFrom="paragraph">
              <wp:posOffset>0</wp:posOffset>
            </wp:positionV>
            <wp:extent cx="5143500" cy="2857500"/>
            <wp:effectExtent l="0" t="0" r="0" b="0"/>
            <wp:wrapTopAndBottom/>
            <wp:docPr id="1092419338" name="Chart 1">
              <a:extLst xmlns:a="http://schemas.openxmlformats.org/drawingml/2006/main">
                <a:ext uri="{FF2B5EF4-FFF2-40B4-BE49-F238E27FC236}">
                  <a16:creationId xmlns:a16="http://schemas.microsoft.com/office/drawing/2014/main" id="{F488A57B-5050-D38B-B4A6-517B92215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B7488A" w:rsidRPr="00B7488A">
        <w:rPr>
          <w:rFonts w:eastAsia="Times New Roman"/>
          <w:b/>
          <w:bCs/>
          <w:kern w:val="0"/>
          <w:lang w:eastAsia="en-IN" w:bidi="hi-IN"/>
          <w14:ligatures w14:val="none"/>
        </w:rPr>
        <w:t xml:space="preserve">Fig. 4. Feed conversion ratio (FCR) of Nile tilapia fry under different treatment </w:t>
      </w:r>
      <w:proofErr w:type="spellStart"/>
      <w:r w:rsidR="00B7488A" w:rsidRPr="00B7488A">
        <w:rPr>
          <w:rFonts w:eastAsia="Times New Roman"/>
          <w:b/>
          <w:bCs/>
          <w:kern w:val="0"/>
          <w:lang w:eastAsia="en-IN" w:bidi="hi-IN"/>
          <w14:ligatures w14:val="none"/>
        </w:rPr>
        <w:t>gro</w:t>
      </w:r>
      <w:proofErr w:type="spellEnd"/>
      <w:r w:rsidR="003E50FE">
        <w:rPr>
          <w:rFonts w:eastAsia="Times New Roman"/>
          <w:b/>
          <w:bCs/>
          <w:kern w:val="0"/>
          <w:lang w:eastAsia="en-IN" w:bidi="hi-IN"/>
          <w14:ligatures w14:val="none"/>
        </w:rPr>
        <w:t xml:space="preserve"> </w:t>
      </w:r>
      <w:r w:rsidR="00B7488A" w:rsidRPr="00B7488A">
        <w:rPr>
          <w:rFonts w:eastAsia="Times New Roman"/>
          <w:b/>
          <w:bCs/>
          <w:kern w:val="0"/>
          <w:lang w:eastAsia="en-IN" w:bidi="hi-IN"/>
          <w14:ligatures w14:val="none"/>
        </w:rPr>
        <w:t>ups</w:t>
      </w:r>
    </w:p>
    <w:p w14:paraId="1E01619E" w14:textId="5D601460" w:rsidR="009B2239" w:rsidRPr="006B01F1" w:rsidRDefault="00953EF2" w:rsidP="00836438">
      <w:pPr>
        <w:tabs>
          <w:tab w:val="right" w:pos="8666"/>
        </w:tabs>
        <w:spacing w:before="120" w:after="120" w:line="360" w:lineRule="auto"/>
        <w:jc w:val="both"/>
        <w:rPr>
          <w:rFonts w:ascii="Times New Roman" w:hAnsi="Times New Roman" w:cs="Times New Roman"/>
          <w:b/>
          <w:bCs/>
          <w:sz w:val="24"/>
          <w:szCs w:val="24"/>
        </w:rPr>
      </w:pPr>
      <w:r w:rsidRPr="0070793A">
        <w:rPr>
          <w:noProof/>
          <w:sz w:val="24"/>
          <w:szCs w:val="24"/>
        </w:rPr>
        <w:lastRenderedPageBreak/>
        <w:drawing>
          <wp:anchor distT="0" distB="0" distL="114300" distR="114300" simplePos="0" relativeHeight="251664384" behindDoc="1" locked="0" layoutInCell="1" allowOverlap="1" wp14:anchorId="24A7B50C" wp14:editId="0E12CC68">
            <wp:simplePos x="0" y="0"/>
            <wp:positionH relativeFrom="column">
              <wp:posOffset>0</wp:posOffset>
            </wp:positionH>
            <wp:positionV relativeFrom="paragraph">
              <wp:posOffset>3175</wp:posOffset>
            </wp:positionV>
            <wp:extent cx="5201285" cy="3124200"/>
            <wp:effectExtent l="0" t="0" r="18415" b="0"/>
            <wp:wrapSquare wrapText="bothSides"/>
            <wp:docPr id="1072202376" name="Chart 1">
              <a:extLst xmlns:a="http://schemas.openxmlformats.org/drawingml/2006/main">
                <a:ext uri="{FF2B5EF4-FFF2-40B4-BE49-F238E27FC236}">
                  <a16:creationId xmlns:a16="http://schemas.microsoft.com/office/drawing/2014/main" id="{60C798A2-C4B0-7BE6-E506-606766719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5E390C">
        <w:rPr>
          <w:rFonts w:ascii="Times New Roman" w:hAnsi="Times New Roman" w:cs="Times New Roman"/>
          <w:b/>
          <w:bCs/>
          <w:sz w:val="24"/>
          <w:szCs w:val="24"/>
        </w:rPr>
        <w:tab/>
      </w:r>
      <w:r w:rsidR="005E390C">
        <w:rPr>
          <w:rFonts w:ascii="Times New Roman" w:hAnsi="Times New Roman" w:cs="Times New Roman"/>
          <w:b/>
          <w:bCs/>
          <w:sz w:val="24"/>
          <w:szCs w:val="24"/>
        </w:rPr>
        <w:tab/>
      </w:r>
      <w:r w:rsidR="009F55CD">
        <w:rPr>
          <w:rFonts w:ascii="Times New Roman" w:hAnsi="Times New Roman" w:cs="Times New Roman"/>
          <w:b/>
          <w:bCs/>
          <w:sz w:val="24"/>
          <w:szCs w:val="24"/>
        </w:rPr>
        <w:tab/>
      </w:r>
      <w:r w:rsidR="009F55CD">
        <w:rPr>
          <w:rFonts w:ascii="Times New Roman" w:hAnsi="Times New Roman" w:cs="Times New Roman"/>
          <w:b/>
          <w:bCs/>
          <w:sz w:val="24"/>
          <w:szCs w:val="24"/>
        </w:rPr>
        <w:tab/>
      </w:r>
      <w:r w:rsidR="009F55CD" w:rsidRPr="006B01F1">
        <w:rPr>
          <w:rFonts w:ascii="Times New Roman" w:hAnsi="Times New Roman" w:cs="Times New Roman"/>
          <w:b/>
          <w:bCs/>
          <w:sz w:val="24"/>
          <w:szCs w:val="24"/>
        </w:rPr>
        <w:t xml:space="preserve"> </w:t>
      </w:r>
    </w:p>
    <w:p w14:paraId="685C5073" w14:textId="77777777" w:rsidR="002420D5" w:rsidRDefault="002420D5" w:rsidP="00836438">
      <w:pPr>
        <w:spacing w:line="360" w:lineRule="auto"/>
        <w:jc w:val="both"/>
        <w:rPr>
          <w:rFonts w:ascii="Times New Roman" w:hAnsi="Times New Roman" w:cs="Times New Roman"/>
          <w:sz w:val="24"/>
          <w:szCs w:val="24"/>
        </w:rPr>
      </w:pPr>
    </w:p>
    <w:p w14:paraId="4D1C6EDD" w14:textId="0F9ACC9C" w:rsidR="002420D5" w:rsidRPr="005F73C3" w:rsidRDefault="002420D5" w:rsidP="00836438">
      <w:pPr>
        <w:spacing w:line="360" w:lineRule="auto"/>
        <w:jc w:val="both"/>
        <w:rPr>
          <w:rFonts w:ascii="Times New Roman" w:hAnsi="Times New Roman" w:cs="Times New Roman"/>
          <w:sz w:val="24"/>
          <w:szCs w:val="24"/>
        </w:rPr>
      </w:pPr>
    </w:p>
    <w:p w14:paraId="5E701FD4" w14:textId="77777777" w:rsidR="005F73C3" w:rsidRDefault="005F73C3" w:rsidP="00836438">
      <w:pPr>
        <w:spacing w:line="360" w:lineRule="auto"/>
        <w:jc w:val="both"/>
        <w:rPr>
          <w:rFonts w:ascii="Times New Roman" w:hAnsi="Times New Roman" w:cs="Times New Roman"/>
          <w:sz w:val="24"/>
          <w:szCs w:val="24"/>
        </w:rPr>
      </w:pPr>
    </w:p>
    <w:p w14:paraId="78D5247F" w14:textId="354F350F" w:rsidR="00953EF2" w:rsidRDefault="00953EF2" w:rsidP="00836438">
      <w:pPr>
        <w:spacing w:line="360" w:lineRule="auto"/>
        <w:jc w:val="both"/>
        <w:rPr>
          <w:rFonts w:ascii="Times New Roman" w:hAnsi="Times New Roman" w:cs="Times New Roman"/>
          <w:sz w:val="24"/>
          <w:szCs w:val="24"/>
        </w:rPr>
      </w:pPr>
    </w:p>
    <w:p w14:paraId="1CB45D60" w14:textId="77777777" w:rsidR="00953EF2" w:rsidRDefault="00953EF2" w:rsidP="00836438">
      <w:pPr>
        <w:spacing w:line="360" w:lineRule="auto"/>
        <w:jc w:val="both"/>
        <w:rPr>
          <w:rFonts w:ascii="Times New Roman" w:hAnsi="Times New Roman" w:cs="Times New Roman"/>
          <w:sz w:val="24"/>
          <w:szCs w:val="24"/>
        </w:rPr>
      </w:pPr>
    </w:p>
    <w:p w14:paraId="0EA94F4D" w14:textId="4B2DAA65" w:rsidR="00953EF2" w:rsidRDefault="00953EF2" w:rsidP="00836438">
      <w:pPr>
        <w:spacing w:line="360" w:lineRule="auto"/>
        <w:jc w:val="both"/>
        <w:rPr>
          <w:rFonts w:ascii="Times New Roman" w:hAnsi="Times New Roman" w:cs="Times New Roman"/>
          <w:sz w:val="24"/>
          <w:szCs w:val="24"/>
        </w:rPr>
      </w:pPr>
    </w:p>
    <w:p w14:paraId="159701D5" w14:textId="7A2C8184" w:rsidR="00953EF2" w:rsidRDefault="00965DAD" w:rsidP="00836438">
      <w:pPr>
        <w:spacing w:line="360" w:lineRule="auto"/>
        <w:jc w:val="both"/>
        <w:rPr>
          <w:rFonts w:ascii="Times New Roman" w:hAnsi="Times New Roman" w:cs="Times New Roman"/>
          <w:b/>
          <w:bCs/>
          <w:sz w:val="24"/>
          <w:szCs w:val="24"/>
        </w:rPr>
      </w:pPr>
      <w:r w:rsidRPr="00965DAD">
        <w:rPr>
          <w:rFonts w:ascii="Times New Roman" w:hAnsi="Times New Roman" w:cs="Times New Roman"/>
          <w:b/>
          <w:bCs/>
          <w:sz w:val="24"/>
          <w:szCs w:val="24"/>
        </w:rPr>
        <w:t>Fig. 5. Protein efficiency ratio (PER) of Nile tilapia fry under different treatment groups</w:t>
      </w:r>
    </w:p>
    <w:p w14:paraId="61924C36" w14:textId="68A7CE1E" w:rsidR="00142DE3" w:rsidRPr="00513468" w:rsidRDefault="00836438" w:rsidP="00836438">
      <w:pPr>
        <w:spacing w:line="360" w:lineRule="auto"/>
        <w:jc w:val="both"/>
        <w:rPr>
          <w:rFonts w:ascii="Times New Roman" w:hAnsi="Times New Roman" w:cs="Times New Roman"/>
          <w:b/>
          <w:bCs/>
          <w:sz w:val="24"/>
          <w:szCs w:val="24"/>
        </w:rPr>
      </w:pPr>
      <w:r w:rsidRPr="00513468">
        <w:rPr>
          <w:rFonts w:ascii="Times New Roman" w:hAnsi="Times New Roman" w:cs="Times New Roman"/>
          <w:b/>
          <w:bCs/>
          <w:sz w:val="24"/>
          <w:szCs w:val="24"/>
        </w:rPr>
        <w:t xml:space="preserve">Conclusion </w:t>
      </w:r>
    </w:p>
    <w:p w14:paraId="488A2A39" w14:textId="7522AED7" w:rsidR="00836438" w:rsidRDefault="0072113A" w:rsidP="00836438">
      <w:pPr>
        <w:spacing w:line="360" w:lineRule="auto"/>
        <w:ind w:firstLine="720"/>
        <w:jc w:val="both"/>
        <w:rPr>
          <w:rFonts w:ascii="Times New Roman" w:hAnsi="Times New Roman" w:cs="Times New Roman"/>
          <w:sz w:val="24"/>
          <w:szCs w:val="24"/>
        </w:rPr>
      </w:pPr>
      <w:r w:rsidRPr="0072113A">
        <w:rPr>
          <w:rFonts w:ascii="Times New Roman" w:hAnsi="Times New Roman" w:cs="Times New Roman"/>
          <w:sz w:val="24"/>
          <w:szCs w:val="24"/>
        </w:rPr>
        <w:t xml:space="preserve">The present study clearly demonstrates that dietary supplementation of </w:t>
      </w:r>
      <w:proofErr w:type="spellStart"/>
      <w:r w:rsidRPr="0072113A">
        <w:rPr>
          <w:rFonts w:ascii="Times New Roman" w:hAnsi="Times New Roman" w:cs="Times New Roman"/>
          <w:sz w:val="24"/>
          <w:szCs w:val="24"/>
        </w:rPr>
        <w:t>Kalmegh</w:t>
      </w:r>
      <w:proofErr w:type="spellEnd"/>
      <w:r w:rsidRPr="0072113A">
        <w:rPr>
          <w:rFonts w:ascii="Times New Roman" w:hAnsi="Times New Roman" w:cs="Times New Roman"/>
          <w:sz w:val="24"/>
          <w:szCs w:val="24"/>
        </w:rPr>
        <w:t xml:space="preserve"> extract significantly improved the growth performance, feed utilization, survival, and overall health of Nile tilapia fry. Among all treatments, T3 (1.5% </w:t>
      </w:r>
      <w:proofErr w:type="spellStart"/>
      <w:r w:rsidRPr="0072113A">
        <w:rPr>
          <w:rFonts w:ascii="Times New Roman" w:hAnsi="Times New Roman" w:cs="Times New Roman"/>
          <w:sz w:val="24"/>
          <w:szCs w:val="24"/>
        </w:rPr>
        <w:t>Kalmegh</w:t>
      </w:r>
      <w:proofErr w:type="spellEnd"/>
      <w:r w:rsidRPr="0072113A">
        <w:rPr>
          <w:rFonts w:ascii="Times New Roman" w:hAnsi="Times New Roman" w:cs="Times New Roman"/>
          <w:sz w:val="24"/>
          <w:szCs w:val="24"/>
        </w:rPr>
        <w:t xml:space="preserve"> extract) showed the best overall performance, followed by T4 (2.0% </w:t>
      </w:r>
      <w:proofErr w:type="spellStart"/>
      <w:r w:rsidRPr="0072113A">
        <w:rPr>
          <w:rFonts w:ascii="Times New Roman" w:hAnsi="Times New Roman" w:cs="Times New Roman"/>
          <w:sz w:val="24"/>
          <w:szCs w:val="24"/>
        </w:rPr>
        <w:t>Kalmegh</w:t>
      </w:r>
      <w:proofErr w:type="spellEnd"/>
      <w:r w:rsidRPr="0072113A">
        <w:rPr>
          <w:rFonts w:ascii="Times New Roman" w:hAnsi="Times New Roman" w:cs="Times New Roman"/>
          <w:sz w:val="24"/>
          <w:szCs w:val="24"/>
        </w:rPr>
        <w:t xml:space="preserve"> extract), in terms of final body weight, specific growth rate (SGR), feed conversion ratio (FCR), protein efficiency ratio (PER), and survival, indicating efficient nutrient utilization and improved physiological condition of the fish. The improved results in these treatments suggest that </w:t>
      </w:r>
      <w:proofErr w:type="spellStart"/>
      <w:r w:rsidRPr="0072113A">
        <w:rPr>
          <w:rFonts w:ascii="Times New Roman" w:hAnsi="Times New Roman" w:cs="Times New Roman"/>
          <w:sz w:val="24"/>
          <w:szCs w:val="24"/>
        </w:rPr>
        <w:t>Kalmegh</w:t>
      </w:r>
      <w:proofErr w:type="spellEnd"/>
      <w:r w:rsidRPr="0072113A">
        <w:rPr>
          <w:rFonts w:ascii="Times New Roman" w:hAnsi="Times New Roman" w:cs="Times New Roman"/>
          <w:sz w:val="24"/>
          <w:szCs w:val="24"/>
        </w:rPr>
        <w:t xml:space="preserve"> extract acts as an effective natural growth promoter and immunostimulant. However, beyond this optimal range, no additional benefits were observed, indicating that inclusion levels between 1.5% and 2.0% are most suitable under the present experimental conditions. Overall, the study concludes that </w:t>
      </w:r>
      <w:proofErr w:type="spellStart"/>
      <w:r w:rsidRPr="0072113A">
        <w:rPr>
          <w:rFonts w:ascii="Times New Roman" w:hAnsi="Times New Roman" w:cs="Times New Roman"/>
          <w:sz w:val="24"/>
          <w:szCs w:val="24"/>
        </w:rPr>
        <w:t>Kalmegh</w:t>
      </w:r>
      <w:proofErr w:type="spellEnd"/>
      <w:r w:rsidRPr="0072113A">
        <w:rPr>
          <w:rFonts w:ascii="Times New Roman" w:hAnsi="Times New Roman" w:cs="Times New Roman"/>
          <w:sz w:val="24"/>
          <w:szCs w:val="24"/>
        </w:rPr>
        <w:t xml:space="preserve"> extract can be successfully incorporated into the diet of Nile tilapia as a safe and eco-friendly alternative to synthetic additives, enhancing growth performance and strengthening the immune response.</w:t>
      </w:r>
    </w:p>
    <w:p w14:paraId="1ADDE778" w14:textId="77777777" w:rsidR="00AB3BF1" w:rsidRDefault="00AB3BF1" w:rsidP="003162A0">
      <w:pPr>
        <w:spacing w:line="360" w:lineRule="auto"/>
        <w:jc w:val="both"/>
        <w:rPr>
          <w:rFonts w:ascii="Times New Roman" w:hAnsi="Times New Roman" w:cs="Times New Roman"/>
          <w:b/>
          <w:bCs/>
          <w:sz w:val="24"/>
          <w:szCs w:val="24"/>
        </w:rPr>
      </w:pPr>
    </w:p>
    <w:p w14:paraId="52139E09" w14:textId="77777777" w:rsidR="00F71E98" w:rsidRPr="00F71E98" w:rsidRDefault="00F71E98" w:rsidP="00F71E98">
      <w:pPr>
        <w:spacing w:after="200" w:line="276" w:lineRule="auto"/>
        <w:rPr>
          <w:rFonts w:ascii="Arial" w:eastAsia="Times New Roman" w:hAnsi="Arial" w:cs="Arial"/>
          <w:b/>
          <w:bCs/>
          <w:kern w:val="0"/>
          <w:lang w:val="en-GB" w:eastAsia="en-GB"/>
          <w14:ligatures w14:val="none"/>
        </w:rPr>
      </w:pPr>
      <w:r w:rsidRPr="00F71E98">
        <w:rPr>
          <w:rFonts w:ascii="Arial" w:eastAsia="Times New Roman" w:hAnsi="Arial" w:cs="Arial"/>
          <w:b/>
          <w:bCs/>
          <w:kern w:val="0"/>
          <w:lang w:val="en-GB" w:eastAsia="en-GB"/>
          <w14:ligatures w14:val="none"/>
        </w:rPr>
        <w:t>COMPETING INTERESTS DISCLAIMER:</w:t>
      </w:r>
    </w:p>
    <w:p w14:paraId="55A2ACE3" w14:textId="77777777" w:rsidR="00F71E98" w:rsidRPr="00F71E98" w:rsidRDefault="00F71E98" w:rsidP="00F71E98">
      <w:pPr>
        <w:spacing w:after="200" w:line="276" w:lineRule="auto"/>
        <w:rPr>
          <w:rFonts w:ascii="Calibri" w:eastAsia="Times New Roman" w:hAnsi="Calibri" w:cs="Times New Roman"/>
          <w:kern w:val="0"/>
          <w:lang w:val="en-GB" w:eastAsia="en-GB"/>
          <w14:ligatures w14:val="none"/>
        </w:rPr>
      </w:pPr>
      <w:r w:rsidRPr="00F71E98">
        <w:rPr>
          <w:rFonts w:ascii="Arial" w:eastAsia="Times New Roman" w:hAnsi="Arial" w:cs="Arial"/>
          <w:b/>
          <w:bCs/>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7E8F6BA" w14:textId="77777777" w:rsidR="00AB3BF1" w:rsidRDefault="00AB3BF1" w:rsidP="003162A0">
      <w:pPr>
        <w:spacing w:line="360" w:lineRule="auto"/>
        <w:jc w:val="both"/>
        <w:rPr>
          <w:rFonts w:ascii="Times New Roman" w:hAnsi="Times New Roman" w:cs="Times New Roman"/>
          <w:b/>
          <w:bCs/>
          <w:sz w:val="24"/>
          <w:szCs w:val="24"/>
        </w:rPr>
      </w:pPr>
    </w:p>
    <w:p w14:paraId="044C0D25" w14:textId="77777777" w:rsidR="00AB3BF1" w:rsidRDefault="00AB3BF1" w:rsidP="003162A0">
      <w:pPr>
        <w:spacing w:line="360" w:lineRule="auto"/>
        <w:jc w:val="both"/>
        <w:rPr>
          <w:rFonts w:ascii="Times New Roman" w:hAnsi="Times New Roman" w:cs="Times New Roman"/>
          <w:b/>
          <w:bCs/>
          <w:sz w:val="24"/>
          <w:szCs w:val="24"/>
        </w:rPr>
      </w:pPr>
    </w:p>
    <w:p w14:paraId="5E53C40B" w14:textId="77777777" w:rsidR="00AB3BF1" w:rsidRDefault="00AB3BF1" w:rsidP="003162A0">
      <w:pPr>
        <w:spacing w:line="360" w:lineRule="auto"/>
        <w:jc w:val="both"/>
        <w:rPr>
          <w:rFonts w:ascii="Times New Roman" w:hAnsi="Times New Roman" w:cs="Times New Roman"/>
          <w:b/>
          <w:bCs/>
          <w:sz w:val="24"/>
          <w:szCs w:val="24"/>
        </w:rPr>
      </w:pPr>
    </w:p>
    <w:p w14:paraId="36D62DD8" w14:textId="74A0F7EA" w:rsidR="003162A0" w:rsidRPr="00B7186B" w:rsidRDefault="003162A0" w:rsidP="003162A0">
      <w:pPr>
        <w:spacing w:line="360" w:lineRule="auto"/>
        <w:jc w:val="both"/>
        <w:rPr>
          <w:rFonts w:ascii="Times New Roman" w:hAnsi="Times New Roman" w:cs="Times New Roman"/>
          <w:b/>
          <w:bCs/>
          <w:sz w:val="24"/>
          <w:szCs w:val="24"/>
        </w:rPr>
      </w:pPr>
      <w:r w:rsidRPr="00B7186B">
        <w:rPr>
          <w:rFonts w:ascii="Times New Roman" w:hAnsi="Times New Roman" w:cs="Times New Roman"/>
          <w:b/>
          <w:bCs/>
          <w:sz w:val="24"/>
          <w:szCs w:val="24"/>
        </w:rPr>
        <w:t>References</w:t>
      </w:r>
    </w:p>
    <w:p w14:paraId="6FE6FAD5" w14:textId="5D7D45F8" w:rsidR="000D0457" w:rsidRDefault="000D0457" w:rsidP="003162A0">
      <w:pPr>
        <w:spacing w:line="360" w:lineRule="auto"/>
        <w:jc w:val="both"/>
        <w:rPr>
          <w:rFonts w:ascii="Times New Roman" w:hAnsi="Times New Roman" w:cs="Times New Roman"/>
          <w:sz w:val="24"/>
          <w:szCs w:val="24"/>
        </w:rPr>
      </w:pPr>
      <w:r w:rsidRPr="000D0457">
        <w:rPr>
          <w:rFonts w:ascii="Times New Roman" w:hAnsi="Times New Roman" w:cs="Times New Roman"/>
          <w:sz w:val="24"/>
          <w:szCs w:val="24"/>
        </w:rPr>
        <w:t xml:space="preserve">AOAC 2019. </w:t>
      </w:r>
      <w:proofErr w:type="spellStart"/>
      <w:r w:rsidRPr="000D0457">
        <w:rPr>
          <w:rFonts w:ascii="Times New Roman" w:hAnsi="Times New Roman" w:cs="Times New Roman"/>
          <w:sz w:val="24"/>
          <w:szCs w:val="24"/>
        </w:rPr>
        <w:t>Asssociation</w:t>
      </w:r>
      <w:proofErr w:type="spellEnd"/>
      <w:r w:rsidRPr="000D0457">
        <w:rPr>
          <w:rFonts w:ascii="Times New Roman" w:hAnsi="Times New Roman" w:cs="Times New Roman"/>
          <w:sz w:val="24"/>
          <w:szCs w:val="24"/>
        </w:rPr>
        <w:t xml:space="preserve"> of Official Analytical Chemist. AOAC Washington DC USA.</w:t>
      </w:r>
    </w:p>
    <w:p w14:paraId="7D4576D4" w14:textId="5F022233" w:rsidR="002C2B1B" w:rsidRPr="00BE11AC" w:rsidRDefault="002C2B1B" w:rsidP="003162A0">
      <w:pPr>
        <w:spacing w:line="360" w:lineRule="auto"/>
        <w:jc w:val="both"/>
        <w:rPr>
          <w:rFonts w:ascii="Times New Roman" w:hAnsi="Times New Roman" w:cs="Times New Roman"/>
          <w:sz w:val="24"/>
          <w:szCs w:val="24"/>
        </w:rPr>
      </w:pPr>
      <w:r w:rsidRPr="00BE11AC">
        <w:rPr>
          <w:rFonts w:ascii="Times New Roman" w:hAnsi="Times New Roman" w:cs="Times New Roman"/>
          <w:sz w:val="24"/>
          <w:szCs w:val="24"/>
        </w:rPr>
        <w:t xml:space="preserve">Barria, A., Trịnh, T. Q., </w:t>
      </w:r>
      <w:proofErr w:type="spellStart"/>
      <w:r w:rsidRPr="00BE11AC">
        <w:rPr>
          <w:rFonts w:ascii="Times New Roman" w:hAnsi="Times New Roman" w:cs="Times New Roman"/>
          <w:sz w:val="24"/>
          <w:szCs w:val="24"/>
        </w:rPr>
        <w:t>Mahmuddin</w:t>
      </w:r>
      <w:proofErr w:type="spellEnd"/>
      <w:r w:rsidRPr="00BE11AC">
        <w:rPr>
          <w:rFonts w:ascii="Times New Roman" w:hAnsi="Times New Roman" w:cs="Times New Roman"/>
          <w:sz w:val="24"/>
          <w:szCs w:val="24"/>
        </w:rPr>
        <w:t>, M., Penaloza, C., Papadopoulou, A., Gervais, O., &amp; Houston, R. D. (2021). A major quantitative trait locus affecting resistance to Tilapia Lake virus in farmed Nile tilapia (</w:t>
      </w:r>
      <w:r w:rsidRPr="00BE11AC">
        <w:rPr>
          <w:rStyle w:val="Emphasis"/>
          <w:rFonts w:ascii="Times New Roman" w:eastAsiaTheme="majorEastAsia" w:hAnsi="Times New Roman" w:cs="Times New Roman"/>
          <w:sz w:val="24"/>
          <w:szCs w:val="24"/>
        </w:rPr>
        <w:t>Oreochromis niloticus</w:t>
      </w:r>
      <w:r w:rsidRPr="00BE11AC">
        <w:rPr>
          <w:rFonts w:ascii="Times New Roman" w:hAnsi="Times New Roman" w:cs="Times New Roman"/>
          <w:sz w:val="24"/>
          <w:szCs w:val="24"/>
        </w:rPr>
        <w:t xml:space="preserve">). </w:t>
      </w:r>
      <w:r w:rsidRPr="00BE11AC">
        <w:rPr>
          <w:rStyle w:val="Emphasis"/>
          <w:rFonts w:ascii="Times New Roman" w:eastAsiaTheme="majorEastAsia" w:hAnsi="Times New Roman" w:cs="Times New Roman"/>
          <w:sz w:val="24"/>
          <w:szCs w:val="24"/>
        </w:rPr>
        <w:t>Heredity, 127</w:t>
      </w:r>
      <w:r w:rsidRPr="00BE11AC">
        <w:rPr>
          <w:rFonts w:ascii="Times New Roman" w:hAnsi="Times New Roman" w:cs="Times New Roman"/>
          <w:sz w:val="24"/>
          <w:szCs w:val="24"/>
        </w:rPr>
        <w:t>(3), 334–343.</w:t>
      </w:r>
    </w:p>
    <w:p w14:paraId="6CECA982" w14:textId="77777777" w:rsidR="002C2B1B" w:rsidRPr="00BE11AC" w:rsidRDefault="002C2B1B" w:rsidP="008139B0">
      <w:pPr>
        <w:pStyle w:val="NormalWeb"/>
        <w:spacing w:after="0" w:line="360" w:lineRule="auto"/>
        <w:ind w:left="720" w:hanging="720"/>
        <w:jc w:val="both"/>
      </w:pPr>
      <w:r w:rsidRPr="00BE11AC">
        <w:t xml:space="preserve">Bilen, S., Bilen, A. M., &amp; Şahin, T. (2016). The impact of poor water quality and stress on fish health in aquaculture. </w:t>
      </w:r>
      <w:r w:rsidRPr="00BE11AC">
        <w:rPr>
          <w:rStyle w:val="Emphasis"/>
          <w:rFonts w:eastAsiaTheme="majorEastAsia"/>
        </w:rPr>
        <w:t>Aquatic Sciences and Engineering, 31</w:t>
      </w:r>
      <w:r w:rsidRPr="00BE11AC">
        <w:t>(3), 121–126.</w:t>
      </w:r>
    </w:p>
    <w:p w14:paraId="4E2FE23A" w14:textId="77777777" w:rsidR="002C2B1B" w:rsidRPr="00BE11AC" w:rsidRDefault="002C2B1B" w:rsidP="00996166">
      <w:pPr>
        <w:pStyle w:val="NormalWeb"/>
        <w:spacing w:after="0" w:line="360" w:lineRule="auto"/>
        <w:ind w:left="720" w:hanging="720"/>
        <w:jc w:val="both"/>
      </w:pPr>
      <w:r w:rsidRPr="00BE11AC">
        <w:t>Department of fisheries (2025). Annual report 2024–25. Ministry of Fisheries, Animal Husbandry and Dairying, Government of India</w:t>
      </w:r>
    </w:p>
    <w:p w14:paraId="1E06AA9B" w14:textId="77777777" w:rsidR="002C2B1B" w:rsidRPr="00BE11AC" w:rsidRDefault="002C2B1B" w:rsidP="00D60297">
      <w:pPr>
        <w:pStyle w:val="NormalWeb"/>
        <w:spacing w:after="0" w:line="360" w:lineRule="auto"/>
        <w:ind w:left="720" w:hanging="720"/>
        <w:jc w:val="both"/>
      </w:pPr>
      <w:r w:rsidRPr="00BE11AC">
        <w:t xml:space="preserve">Food and Agriculture Organization. (2022). </w:t>
      </w:r>
      <w:r w:rsidRPr="00BE11AC">
        <w:rPr>
          <w:rStyle w:val="Emphasis"/>
          <w:rFonts w:eastAsiaTheme="majorEastAsia"/>
        </w:rPr>
        <w:t>The state of world fisheries and aquaculture 2022: Towards blue transformation</w:t>
      </w:r>
      <w:r w:rsidRPr="00BE11AC">
        <w:t>. FAO.</w:t>
      </w:r>
    </w:p>
    <w:p w14:paraId="00CBC67E" w14:textId="77777777" w:rsidR="002C2B1B" w:rsidRPr="00BE11AC" w:rsidRDefault="002C2B1B" w:rsidP="00072000">
      <w:pPr>
        <w:pStyle w:val="NormalWeb"/>
        <w:spacing w:after="0" w:line="360" w:lineRule="auto"/>
        <w:ind w:left="720" w:hanging="720"/>
        <w:jc w:val="both"/>
      </w:pPr>
      <w:r w:rsidRPr="00BE11AC">
        <w:t xml:space="preserve">Hardi, E. H., </w:t>
      </w:r>
      <w:proofErr w:type="spellStart"/>
      <w:r w:rsidRPr="00BE11AC">
        <w:t>Saptiani</w:t>
      </w:r>
      <w:proofErr w:type="spellEnd"/>
      <w:r w:rsidRPr="00BE11AC">
        <w:t xml:space="preserve">, G., &amp; </w:t>
      </w:r>
      <w:proofErr w:type="spellStart"/>
      <w:r w:rsidRPr="00BE11AC">
        <w:t>Meidyawati</w:t>
      </w:r>
      <w:proofErr w:type="spellEnd"/>
      <w:r w:rsidRPr="00BE11AC">
        <w:t xml:space="preserve">, A. (2016). Effect of herbal immunostimulant on growth performance and disease resistance in tilapia. </w:t>
      </w:r>
      <w:r w:rsidRPr="00BE11AC">
        <w:rPr>
          <w:rStyle w:val="Emphasis"/>
          <w:rFonts w:eastAsiaTheme="majorEastAsia"/>
        </w:rPr>
        <w:t>Aquaculture Studies, 16</w:t>
      </w:r>
      <w:r w:rsidRPr="00BE11AC">
        <w:t xml:space="preserve">(2), 49–55. </w:t>
      </w:r>
    </w:p>
    <w:p w14:paraId="248A7C82" w14:textId="77777777" w:rsidR="002C2B1B" w:rsidRPr="00BE11AC" w:rsidRDefault="002C2B1B" w:rsidP="00E81B15">
      <w:pPr>
        <w:pStyle w:val="NormalWeb"/>
        <w:spacing w:after="0" w:line="360" w:lineRule="auto"/>
        <w:ind w:left="720" w:hanging="720"/>
        <w:jc w:val="both"/>
      </w:pPr>
      <w:r w:rsidRPr="00BE11AC">
        <w:t xml:space="preserve">Hossain, M. S., Urbi, Z., Sule, A., &amp; Rahman, K. H. (2014). Andrographis paniculata (Burm. f.) Wall. ex </w:t>
      </w:r>
      <w:proofErr w:type="spellStart"/>
      <w:r w:rsidRPr="00BE11AC">
        <w:t>Nees</w:t>
      </w:r>
      <w:proofErr w:type="spellEnd"/>
      <w:r w:rsidRPr="00BE11AC">
        <w:t>: a review of ethnobotany, phytochemistry, and pharmacology. </w:t>
      </w:r>
      <w:r w:rsidRPr="00BE11AC">
        <w:rPr>
          <w:i/>
          <w:iCs/>
        </w:rPr>
        <w:t>The Scientific World Journal</w:t>
      </w:r>
      <w:r w:rsidRPr="00BE11AC">
        <w:t>, </w:t>
      </w:r>
      <w:r w:rsidRPr="00BE11AC">
        <w:rPr>
          <w:i/>
          <w:iCs/>
        </w:rPr>
        <w:t>2014</w:t>
      </w:r>
      <w:r w:rsidRPr="00BE11AC">
        <w:t>(1), 274905.</w:t>
      </w:r>
    </w:p>
    <w:p w14:paraId="6FD74B8F" w14:textId="77777777" w:rsidR="002C2B1B" w:rsidRPr="00BE11AC" w:rsidRDefault="002C2B1B" w:rsidP="009A627E">
      <w:pPr>
        <w:spacing w:after="0" w:line="360" w:lineRule="auto"/>
        <w:ind w:left="720" w:hanging="720"/>
        <w:rPr>
          <w:rFonts w:ascii="Times New Roman" w:hAnsi="Times New Roman" w:cs="Times New Roman"/>
          <w:sz w:val="24"/>
          <w:szCs w:val="24"/>
        </w:rPr>
      </w:pPr>
      <w:r w:rsidRPr="00BE11AC">
        <w:rPr>
          <w:rFonts w:ascii="Times New Roman" w:hAnsi="Times New Roman" w:cs="Times New Roman"/>
          <w:sz w:val="24"/>
          <w:szCs w:val="24"/>
        </w:rPr>
        <w:t xml:space="preserve">Karthi, S., Sankari, R., &amp; Shivakumar, M. S. (2018). Herbal immunostimulants and their role in aquaculture health management. </w:t>
      </w:r>
      <w:r w:rsidRPr="00BE11AC">
        <w:rPr>
          <w:rFonts w:ascii="Times New Roman" w:hAnsi="Times New Roman" w:cs="Times New Roman"/>
          <w:i/>
          <w:iCs/>
          <w:sz w:val="24"/>
          <w:szCs w:val="24"/>
        </w:rPr>
        <w:t>Journal of Aquatic Biology &amp; Fisheries, 6</w:t>
      </w:r>
      <w:r w:rsidRPr="00BE11AC">
        <w:rPr>
          <w:rFonts w:ascii="Times New Roman" w:hAnsi="Times New Roman" w:cs="Times New Roman"/>
          <w:sz w:val="24"/>
          <w:szCs w:val="24"/>
        </w:rPr>
        <w:t>(1), 62–69.</w:t>
      </w:r>
    </w:p>
    <w:p w14:paraId="317AAB78" w14:textId="77777777" w:rsidR="002C2B1B" w:rsidRPr="00BE11AC" w:rsidRDefault="002C2B1B" w:rsidP="00F46112">
      <w:pPr>
        <w:pStyle w:val="NormalWeb"/>
        <w:spacing w:after="0" w:line="360" w:lineRule="auto"/>
        <w:ind w:left="720" w:hanging="720"/>
        <w:jc w:val="both"/>
      </w:pPr>
      <w:r w:rsidRPr="00BE11AC">
        <w:t xml:space="preserve">Kolkovski, S., &amp; </w:t>
      </w:r>
      <w:proofErr w:type="spellStart"/>
      <w:r w:rsidRPr="00BE11AC">
        <w:t>Kolkovski</w:t>
      </w:r>
      <w:proofErr w:type="spellEnd"/>
      <w:r w:rsidRPr="00BE11AC">
        <w:t xml:space="preserve">, J. (2011). Herbal medicine in aquaculture. </w:t>
      </w:r>
      <w:r w:rsidRPr="00BE11AC">
        <w:rPr>
          <w:rStyle w:val="Emphasis"/>
          <w:rFonts w:eastAsiaTheme="majorEastAsia"/>
        </w:rPr>
        <w:t>International Aquafeed, 14</w:t>
      </w:r>
      <w:r w:rsidRPr="00BE11AC">
        <w:t>(2), 28–31.</w:t>
      </w:r>
    </w:p>
    <w:p w14:paraId="4A10D5DD" w14:textId="77777777" w:rsidR="002C2B1B" w:rsidRPr="00BE11AC" w:rsidRDefault="002C2B1B" w:rsidP="00171617">
      <w:pPr>
        <w:pStyle w:val="NormalWeb"/>
        <w:spacing w:after="0" w:line="360" w:lineRule="auto"/>
        <w:ind w:left="720" w:hanging="720"/>
        <w:jc w:val="both"/>
      </w:pPr>
      <w:r w:rsidRPr="00BE11AC">
        <w:t xml:space="preserve">Prabu, E., </w:t>
      </w:r>
      <w:proofErr w:type="spellStart"/>
      <w:r w:rsidRPr="00BE11AC">
        <w:t>Rajagopalsamy</w:t>
      </w:r>
      <w:proofErr w:type="spellEnd"/>
      <w:r w:rsidRPr="00BE11AC">
        <w:t xml:space="preserve">, C. B. T., Ahilan, B., Jeevagan, I. J. M. A., &amp; </w:t>
      </w:r>
      <w:proofErr w:type="spellStart"/>
      <w:r w:rsidRPr="00BE11AC">
        <w:t>Renuhadevi</w:t>
      </w:r>
      <w:proofErr w:type="spellEnd"/>
      <w:r w:rsidRPr="00BE11AC">
        <w:t xml:space="preserve">, M. (2019). Tilapia—An excellent candidate species for world aquaculture: A review. </w:t>
      </w:r>
      <w:r w:rsidRPr="00BE11AC">
        <w:rPr>
          <w:rStyle w:val="Emphasis"/>
          <w:rFonts w:eastAsiaTheme="majorEastAsia"/>
        </w:rPr>
        <w:t>Annual Research &amp; Review in Biology, 31</w:t>
      </w:r>
      <w:r w:rsidRPr="00BE11AC">
        <w:t>(3), 1–14.</w:t>
      </w:r>
    </w:p>
    <w:p w14:paraId="02E94CC4" w14:textId="77777777" w:rsidR="002C2B1B" w:rsidRPr="00BE11AC" w:rsidRDefault="002C2B1B" w:rsidP="00BE11AC">
      <w:pPr>
        <w:pStyle w:val="NormalWeb"/>
        <w:spacing w:after="0" w:line="360" w:lineRule="auto"/>
        <w:ind w:left="720" w:hanging="720"/>
        <w:jc w:val="both"/>
      </w:pPr>
      <w:r w:rsidRPr="00BE11AC">
        <w:t xml:space="preserve">Sharma, M., &amp; Sharma, R. (2013). Identification, purification and quantification of andrographolide from </w:t>
      </w:r>
      <w:r w:rsidRPr="00BE11AC">
        <w:rPr>
          <w:rStyle w:val="Emphasis"/>
          <w:rFonts w:eastAsiaTheme="majorEastAsia"/>
        </w:rPr>
        <w:t>Andrographis paniculata</w:t>
      </w:r>
      <w:r w:rsidRPr="00BE11AC">
        <w:t xml:space="preserve"> by HPTLC. </w:t>
      </w:r>
      <w:r w:rsidRPr="00BE11AC">
        <w:rPr>
          <w:rStyle w:val="Emphasis"/>
          <w:rFonts w:eastAsiaTheme="majorEastAsia"/>
        </w:rPr>
        <w:t>Journal of Current Chemical and Pharmaceutical Sciences, 3</w:t>
      </w:r>
      <w:r w:rsidRPr="00BE11AC">
        <w:t>(1), 23–32.</w:t>
      </w:r>
    </w:p>
    <w:p w14:paraId="4B32A7A3" w14:textId="77777777" w:rsidR="002C2B1B" w:rsidRPr="00BE11AC" w:rsidRDefault="002C2B1B" w:rsidP="003162A0">
      <w:pPr>
        <w:spacing w:line="360" w:lineRule="auto"/>
        <w:jc w:val="both"/>
        <w:rPr>
          <w:rFonts w:ascii="Times New Roman" w:hAnsi="Times New Roman" w:cs="Times New Roman"/>
          <w:sz w:val="24"/>
          <w:szCs w:val="24"/>
        </w:rPr>
      </w:pPr>
      <w:r w:rsidRPr="00BE11AC">
        <w:rPr>
          <w:rFonts w:ascii="Times New Roman" w:hAnsi="Times New Roman" w:cs="Times New Roman"/>
          <w:sz w:val="24"/>
          <w:szCs w:val="24"/>
        </w:rPr>
        <w:lastRenderedPageBreak/>
        <w:t xml:space="preserve">Sivananthan, M., &amp; Elamaran, M. (2013). Medicinal and pharmacological properties of </w:t>
      </w:r>
      <w:r w:rsidRPr="00BE11AC">
        <w:rPr>
          <w:rFonts w:ascii="Times New Roman" w:hAnsi="Times New Roman" w:cs="Times New Roman"/>
          <w:i/>
          <w:iCs/>
          <w:sz w:val="24"/>
          <w:szCs w:val="24"/>
        </w:rPr>
        <w:t>Andrographis paniculata</w:t>
      </w:r>
      <w:r w:rsidRPr="00BE11AC">
        <w:rPr>
          <w:rFonts w:ascii="Times New Roman" w:hAnsi="Times New Roman" w:cs="Times New Roman"/>
          <w:sz w:val="24"/>
          <w:szCs w:val="24"/>
        </w:rPr>
        <w:t xml:space="preserve">. </w:t>
      </w:r>
      <w:r w:rsidRPr="00BE11AC">
        <w:rPr>
          <w:rFonts w:ascii="Times New Roman" w:hAnsi="Times New Roman" w:cs="Times New Roman"/>
          <w:i/>
          <w:iCs/>
          <w:sz w:val="24"/>
          <w:szCs w:val="24"/>
        </w:rPr>
        <w:t xml:space="preserve">International Journal of Biomolecules and Biomedicine, 3, </w:t>
      </w:r>
      <w:r w:rsidRPr="00BE11AC">
        <w:rPr>
          <w:rFonts w:ascii="Times New Roman" w:hAnsi="Times New Roman" w:cs="Times New Roman"/>
          <w:sz w:val="24"/>
          <w:szCs w:val="24"/>
        </w:rPr>
        <w:t>1-12.</w:t>
      </w:r>
    </w:p>
    <w:p w14:paraId="7155E70A" w14:textId="77777777" w:rsidR="002C2B1B" w:rsidRPr="00042698" w:rsidRDefault="002C2B1B" w:rsidP="00042698">
      <w:pPr>
        <w:spacing w:after="0" w:line="360" w:lineRule="auto"/>
        <w:ind w:left="720" w:hanging="720"/>
        <w:rPr>
          <w:rFonts w:ascii="Times New Roman" w:hAnsi="Times New Roman" w:cs="Times New Roman"/>
          <w:sz w:val="24"/>
          <w:szCs w:val="28"/>
        </w:rPr>
      </w:pPr>
      <w:r w:rsidRPr="00042698">
        <w:rPr>
          <w:rFonts w:ascii="Times New Roman" w:hAnsi="Times New Roman" w:cs="Times New Roman"/>
          <w:sz w:val="24"/>
          <w:szCs w:val="28"/>
        </w:rPr>
        <w:t>Snedecor, G. W., &amp; Cochran, W. G. (1989). Statistical methods, 8thEdn. </w:t>
      </w:r>
      <w:r w:rsidRPr="00042698">
        <w:rPr>
          <w:rFonts w:ascii="Times New Roman" w:hAnsi="Times New Roman" w:cs="Times New Roman"/>
          <w:i/>
          <w:iCs/>
          <w:sz w:val="24"/>
          <w:szCs w:val="28"/>
        </w:rPr>
        <w:t>Ames: Iowa State Univ. Press Iowa</w:t>
      </w:r>
      <w:r w:rsidRPr="00042698">
        <w:rPr>
          <w:rFonts w:ascii="Times New Roman" w:hAnsi="Times New Roman" w:cs="Times New Roman"/>
          <w:sz w:val="24"/>
          <w:szCs w:val="28"/>
        </w:rPr>
        <w:t>, </w:t>
      </w:r>
      <w:r w:rsidRPr="00042698">
        <w:rPr>
          <w:rFonts w:ascii="Times New Roman" w:hAnsi="Times New Roman" w:cs="Times New Roman"/>
          <w:i/>
          <w:iCs/>
          <w:sz w:val="24"/>
          <w:szCs w:val="28"/>
        </w:rPr>
        <w:t>54</w:t>
      </w:r>
      <w:r w:rsidRPr="00042698">
        <w:rPr>
          <w:rFonts w:ascii="Times New Roman" w:hAnsi="Times New Roman" w:cs="Times New Roman"/>
          <w:sz w:val="24"/>
          <w:szCs w:val="28"/>
        </w:rPr>
        <w:t>, 71-82.</w:t>
      </w:r>
    </w:p>
    <w:p w14:paraId="4211EBAB" w14:textId="77777777" w:rsidR="00CF448F" w:rsidRPr="00042698" w:rsidRDefault="00CF448F" w:rsidP="00CF448F">
      <w:pPr>
        <w:spacing w:line="360" w:lineRule="auto"/>
        <w:jc w:val="both"/>
        <w:rPr>
          <w:rFonts w:ascii="Times New Roman" w:hAnsi="Times New Roman" w:cs="Times New Roman"/>
          <w:sz w:val="28"/>
          <w:szCs w:val="28"/>
        </w:rPr>
      </w:pPr>
    </w:p>
    <w:sectPr w:rsidR="00CF448F" w:rsidRPr="0004269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B59BD" w14:textId="77777777" w:rsidR="00FD3943" w:rsidRDefault="00FD3943" w:rsidP="00C91011">
      <w:pPr>
        <w:spacing w:after="0" w:line="240" w:lineRule="auto"/>
      </w:pPr>
      <w:r>
        <w:separator/>
      </w:r>
    </w:p>
  </w:endnote>
  <w:endnote w:type="continuationSeparator" w:id="0">
    <w:p w14:paraId="3866DF2F" w14:textId="77777777" w:rsidR="00FD3943" w:rsidRDefault="00FD3943" w:rsidP="00C9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FB3B1" w14:textId="77777777" w:rsidR="00C91011" w:rsidRDefault="00C91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3713" w14:textId="77777777" w:rsidR="00C91011" w:rsidRDefault="00C91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2075" w14:textId="77777777" w:rsidR="00C91011" w:rsidRDefault="00C91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DC58A" w14:textId="77777777" w:rsidR="00FD3943" w:rsidRDefault="00FD3943" w:rsidP="00C91011">
      <w:pPr>
        <w:spacing w:after="0" w:line="240" w:lineRule="auto"/>
      </w:pPr>
      <w:r>
        <w:separator/>
      </w:r>
    </w:p>
  </w:footnote>
  <w:footnote w:type="continuationSeparator" w:id="0">
    <w:p w14:paraId="3354E294" w14:textId="77777777" w:rsidR="00FD3943" w:rsidRDefault="00FD3943" w:rsidP="00C91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88C9" w14:textId="0B91B4E3" w:rsidR="00C91011" w:rsidRDefault="00C91011">
    <w:pPr>
      <w:pStyle w:val="Header"/>
    </w:pPr>
    <w:r>
      <w:rPr>
        <w:noProof/>
      </w:rPr>
      <w:pict w14:anchorId="4A3FC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5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05CA" w14:textId="2D283CFD" w:rsidR="00C91011" w:rsidRDefault="00C91011">
    <w:pPr>
      <w:pStyle w:val="Header"/>
    </w:pPr>
    <w:r>
      <w:rPr>
        <w:noProof/>
      </w:rPr>
      <w:pict w14:anchorId="5B963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5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C238" w14:textId="35F8214E" w:rsidR="00C91011" w:rsidRDefault="00C91011">
    <w:pPr>
      <w:pStyle w:val="Header"/>
    </w:pPr>
    <w:r>
      <w:rPr>
        <w:noProof/>
      </w:rPr>
      <w:pict w14:anchorId="05FC2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5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C8"/>
    <w:rsid w:val="000031E4"/>
    <w:rsid w:val="00042698"/>
    <w:rsid w:val="00072000"/>
    <w:rsid w:val="000874D0"/>
    <w:rsid w:val="00087689"/>
    <w:rsid w:val="000929DB"/>
    <w:rsid w:val="000D0457"/>
    <w:rsid w:val="00142DE3"/>
    <w:rsid w:val="001554D8"/>
    <w:rsid w:val="00171617"/>
    <w:rsid w:val="00171C76"/>
    <w:rsid w:val="00173C9F"/>
    <w:rsid w:val="00192825"/>
    <w:rsid w:val="001A70F8"/>
    <w:rsid w:val="001C2975"/>
    <w:rsid w:val="001E0497"/>
    <w:rsid w:val="001E60A1"/>
    <w:rsid w:val="00211A77"/>
    <w:rsid w:val="00213B6A"/>
    <w:rsid w:val="0022551B"/>
    <w:rsid w:val="002420D5"/>
    <w:rsid w:val="0025792D"/>
    <w:rsid w:val="00264D3B"/>
    <w:rsid w:val="0027508F"/>
    <w:rsid w:val="0027667C"/>
    <w:rsid w:val="00281BEB"/>
    <w:rsid w:val="00282D12"/>
    <w:rsid w:val="00283C0C"/>
    <w:rsid w:val="002A7523"/>
    <w:rsid w:val="002B1D1C"/>
    <w:rsid w:val="002B4DE9"/>
    <w:rsid w:val="002C2B1B"/>
    <w:rsid w:val="003024AC"/>
    <w:rsid w:val="003138C3"/>
    <w:rsid w:val="0031462C"/>
    <w:rsid w:val="003162A0"/>
    <w:rsid w:val="00330E51"/>
    <w:rsid w:val="003739A9"/>
    <w:rsid w:val="00382AC8"/>
    <w:rsid w:val="003909C5"/>
    <w:rsid w:val="003925C2"/>
    <w:rsid w:val="003C0152"/>
    <w:rsid w:val="003C19A1"/>
    <w:rsid w:val="003C1A5D"/>
    <w:rsid w:val="003C2F9F"/>
    <w:rsid w:val="003D4F4E"/>
    <w:rsid w:val="003D6AEF"/>
    <w:rsid w:val="003E50FE"/>
    <w:rsid w:val="004024AC"/>
    <w:rsid w:val="0041049F"/>
    <w:rsid w:val="004220BC"/>
    <w:rsid w:val="00430156"/>
    <w:rsid w:val="004477DC"/>
    <w:rsid w:val="0048435A"/>
    <w:rsid w:val="00487228"/>
    <w:rsid w:val="00497303"/>
    <w:rsid w:val="00497E9C"/>
    <w:rsid w:val="004A679A"/>
    <w:rsid w:val="004C6AD1"/>
    <w:rsid w:val="005036DD"/>
    <w:rsid w:val="00513468"/>
    <w:rsid w:val="0054019A"/>
    <w:rsid w:val="00597ABD"/>
    <w:rsid w:val="005A1D5F"/>
    <w:rsid w:val="005A4B94"/>
    <w:rsid w:val="005A5BF6"/>
    <w:rsid w:val="005D225B"/>
    <w:rsid w:val="005D354D"/>
    <w:rsid w:val="005E390C"/>
    <w:rsid w:val="005F73C3"/>
    <w:rsid w:val="0060766B"/>
    <w:rsid w:val="00614BFF"/>
    <w:rsid w:val="00641AE6"/>
    <w:rsid w:val="00643D91"/>
    <w:rsid w:val="00644B44"/>
    <w:rsid w:val="0068411E"/>
    <w:rsid w:val="00690C35"/>
    <w:rsid w:val="006A60BC"/>
    <w:rsid w:val="006D52E1"/>
    <w:rsid w:val="006E1B2E"/>
    <w:rsid w:val="006E7CF9"/>
    <w:rsid w:val="00705725"/>
    <w:rsid w:val="0072113A"/>
    <w:rsid w:val="007471B9"/>
    <w:rsid w:val="00776C62"/>
    <w:rsid w:val="00792DB2"/>
    <w:rsid w:val="007B70D7"/>
    <w:rsid w:val="007C4F3D"/>
    <w:rsid w:val="007D7BF6"/>
    <w:rsid w:val="007E6556"/>
    <w:rsid w:val="008058D3"/>
    <w:rsid w:val="00810900"/>
    <w:rsid w:val="008139B0"/>
    <w:rsid w:val="0081679B"/>
    <w:rsid w:val="00836438"/>
    <w:rsid w:val="0084369C"/>
    <w:rsid w:val="00875D86"/>
    <w:rsid w:val="00892964"/>
    <w:rsid w:val="00895940"/>
    <w:rsid w:val="008D46B4"/>
    <w:rsid w:val="008E0048"/>
    <w:rsid w:val="008E766B"/>
    <w:rsid w:val="008F7805"/>
    <w:rsid w:val="00900498"/>
    <w:rsid w:val="009406F9"/>
    <w:rsid w:val="00940D7F"/>
    <w:rsid w:val="00953EF2"/>
    <w:rsid w:val="00964BE6"/>
    <w:rsid w:val="00965DAD"/>
    <w:rsid w:val="009662A8"/>
    <w:rsid w:val="009662AB"/>
    <w:rsid w:val="0097583C"/>
    <w:rsid w:val="009849AF"/>
    <w:rsid w:val="00991C40"/>
    <w:rsid w:val="00996166"/>
    <w:rsid w:val="009A627E"/>
    <w:rsid w:val="009B2239"/>
    <w:rsid w:val="009D2EC1"/>
    <w:rsid w:val="009D6407"/>
    <w:rsid w:val="009F056F"/>
    <w:rsid w:val="009F55CD"/>
    <w:rsid w:val="00A20E7A"/>
    <w:rsid w:val="00A248F3"/>
    <w:rsid w:val="00A34713"/>
    <w:rsid w:val="00A62FE6"/>
    <w:rsid w:val="00AA5044"/>
    <w:rsid w:val="00AB3131"/>
    <w:rsid w:val="00AB3BF1"/>
    <w:rsid w:val="00AB6B88"/>
    <w:rsid w:val="00AF1DE5"/>
    <w:rsid w:val="00B7186B"/>
    <w:rsid w:val="00B7488A"/>
    <w:rsid w:val="00B929FE"/>
    <w:rsid w:val="00BA0A0B"/>
    <w:rsid w:val="00BA1115"/>
    <w:rsid w:val="00BC23C0"/>
    <w:rsid w:val="00BE0759"/>
    <w:rsid w:val="00BE11AC"/>
    <w:rsid w:val="00BF3FEA"/>
    <w:rsid w:val="00C15E79"/>
    <w:rsid w:val="00C46541"/>
    <w:rsid w:val="00C91011"/>
    <w:rsid w:val="00C97C29"/>
    <w:rsid w:val="00CB59B4"/>
    <w:rsid w:val="00CC23EE"/>
    <w:rsid w:val="00CF448F"/>
    <w:rsid w:val="00D17D10"/>
    <w:rsid w:val="00D33268"/>
    <w:rsid w:val="00D403F2"/>
    <w:rsid w:val="00D44C84"/>
    <w:rsid w:val="00D60297"/>
    <w:rsid w:val="00D72CBE"/>
    <w:rsid w:val="00D861F7"/>
    <w:rsid w:val="00D9077C"/>
    <w:rsid w:val="00DA46B6"/>
    <w:rsid w:val="00DC05AF"/>
    <w:rsid w:val="00DD3D4F"/>
    <w:rsid w:val="00DE6404"/>
    <w:rsid w:val="00DE7E99"/>
    <w:rsid w:val="00E05BBD"/>
    <w:rsid w:val="00E10F90"/>
    <w:rsid w:val="00E22096"/>
    <w:rsid w:val="00E227D3"/>
    <w:rsid w:val="00E329C6"/>
    <w:rsid w:val="00E6083E"/>
    <w:rsid w:val="00E81B15"/>
    <w:rsid w:val="00E850F0"/>
    <w:rsid w:val="00E93233"/>
    <w:rsid w:val="00EA733F"/>
    <w:rsid w:val="00EA7EFB"/>
    <w:rsid w:val="00EC1A8F"/>
    <w:rsid w:val="00EF403D"/>
    <w:rsid w:val="00F016F5"/>
    <w:rsid w:val="00F2357A"/>
    <w:rsid w:val="00F46112"/>
    <w:rsid w:val="00F71E98"/>
    <w:rsid w:val="00F9136C"/>
    <w:rsid w:val="00F91EBA"/>
    <w:rsid w:val="00FB4C32"/>
    <w:rsid w:val="00FC4D99"/>
    <w:rsid w:val="00FD3943"/>
    <w:rsid w:val="00FD70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69FE5E"/>
  <w15:chartTrackingRefBased/>
  <w15:docId w15:val="{BE071331-FDB8-4EF8-842F-D4C2A66C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2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2A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2A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2A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2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A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2A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2A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2A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2A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AC8"/>
    <w:rPr>
      <w:rFonts w:eastAsiaTheme="majorEastAsia" w:cstheme="majorBidi"/>
      <w:color w:val="272727" w:themeColor="text1" w:themeTint="D8"/>
    </w:rPr>
  </w:style>
  <w:style w:type="paragraph" w:styleId="Title">
    <w:name w:val="Title"/>
    <w:basedOn w:val="Normal"/>
    <w:next w:val="Normal"/>
    <w:link w:val="TitleChar"/>
    <w:uiPriority w:val="10"/>
    <w:qFormat/>
    <w:rsid w:val="0038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AC8"/>
    <w:pPr>
      <w:spacing w:before="160"/>
      <w:jc w:val="center"/>
    </w:pPr>
    <w:rPr>
      <w:i/>
      <w:iCs/>
      <w:color w:val="404040" w:themeColor="text1" w:themeTint="BF"/>
    </w:rPr>
  </w:style>
  <w:style w:type="character" w:customStyle="1" w:styleId="QuoteChar">
    <w:name w:val="Quote Char"/>
    <w:basedOn w:val="DefaultParagraphFont"/>
    <w:link w:val="Quote"/>
    <w:uiPriority w:val="29"/>
    <w:rsid w:val="00382AC8"/>
    <w:rPr>
      <w:i/>
      <w:iCs/>
      <w:color w:val="404040" w:themeColor="text1" w:themeTint="BF"/>
    </w:rPr>
  </w:style>
  <w:style w:type="paragraph" w:styleId="ListParagraph">
    <w:name w:val="List Paragraph"/>
    <w:basedOn w:val="Normal"/>
    <w:uiPriority w:val="34"/>
    <w:qFormat/>
    <w:rsid w:val="00382AC8"/>
    <w:pPr>
      <w:ind w:left="720"/>
      <w:contextualSpacing/>
    </w:pPr>
  </w:style>
  <w:style w:type="character" w:styleId="IntenseEmphasis">
    <w:name w:val="Intense Emphasis"/>
    <w:basedOn w:val="DefaultParagraphFont"/>
    <w:uiPriority w:val="21"/>
    <w:qFormat/>
    <w:rsid w:val="00382AC8"/>
    <w:rPr>
      <w:i/>
      <w:iCs/>
      <w:color w:val="2F5496" w:themeColor="accent1" w:themeShade="BF"/>
    </w:rPr>
  </w:style>
  <w:style w:type="paragraph" w:styleId="IntenseQuote">
    <w:name w:val="Intense Quote"/>
    <w:basedOn w:val="Normal"/>
    <w:next w:val="Normal"/>
    <w:link w:val="IntenseQuoteChar"/>
    <w:uiPriority w:val="30"/>
    <w:qFormat/>
    <w:rsid w:val="00382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2AC8"/>
    <w:rPr>
      <w:i/>
      <w:iCs/>
      <w:color w:val="2F5496" w:themeColor="accent1" w:themeShade="BF"/>
    </w:rPr>
  </w:style>
  <w:style w:type="character" w:styleId="IntenseReference">
    <w:name w:val="Intense Reference"/>
    <w:basedOn w:val="DefaultParagraphFont"/>
    <w:uiPriority w:val="32"/>
    <w:qFormat/>
    <w:rsid w:val="00382AC8"/>
    <w:rPr>
      <w:b/>
      <w:bCs/>
      <w:smallCaps/>
      <w:color w:val="2F5496" w:themeColor="accent1" w:themeShade="BF"/>
      <w:spacing w:val="5"/>
    </w:rPr>
  </w:style>
  <w:style w:type="table" w:styleId="TableGrid">
    <w:name w:val="Table Grid"/>
    <w:basedOn w:val="TableNormal"/>
    <w:uiPriority w:val="39"/>
    <w:rsid w:val="003D6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733F"/>
    <w:rPr>
      <w:rFonts w:ascii="Times New Roman" w:hAnsi="Times New Roman" w:cs="Times New Roman"/>
      <w:sz w:val="24"/>
      <w:szCs w:val="24"/>
    </w:rPr>
  </w:style>
  <w:style w:type="table" w:styleId="ListTable1Light-Accent3">
    <w:name w:val="List Table 1 Light Accent 3"/>
    <w:basedOn w:val="TableNormal"/>
    <w:uiPriority w:val="46"/>
    <w:rsid w:val="00E10F9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2B1D1C"/>
    <w:rPr>
      <w:i/>
      <w:iCs/>
    </w:rPr>
  </w:style>
  <w:style w:type="paragraph" w:customStyle="1" w:styleId="Author">
    <w:name w:val="Author"/>
    <w:basedOn w:val="Normal"/>
    <w:rsid w:val="00D403F2"/>
    <w:pPr>
      <w:spacing w:after="0" w:line="280" w:lineRule="exact"/>
      <w:jc w:val="right"/>
    </w:pPr>
    <w:rPr>
      <w:rFonts w:ascii="Helvetica" w:eastAsia="Times New Roman" w:hAnsi="Helvetica" w:cs="Times New Roman"/>
      <w:b/>
      <w:kern w:val="0"/>
      <w:sz w:val="24"/>
      <w:szCs w:val="20"/>
      <w:lang w:val="en-US"/>
      <w14:ligatures w14:val="none"/>
    </w:rPr>
  </w:style>
  <w:style w:type="character" w:styleId="Hyperlink">
    <w:name w:val="Hyperlink"/>
    <w:basedOn w:val="DefaultParagraphFont"/>
    <w:uiPriority w:val="99"/>
    <w:unhideWhenUsed/>
    <w:rsid w:val="00D403F2"/>
    <w:rPr>
      <w:color w:val="0563C1" w:themeColor="hyperlink"/>
      <w:u w:val="single"/>
    </w:rPr>
  </w:style>
  <w:style w:type="character" w:styleId="UnresolvedMention">
    <w:name w:val="Unresolved Mention"/>
    <w:basedOn w:val="DefaultParagraphFont"/>
    <w:uiPriority w:val="99"/>
    <w:semiHidden/>
    <w:unhideWhenUsed/>
    <w:rsid w:val="00F71E98"/>
    <w:rPr>
      <w:color w:val="605E5C"/>
      <w:shd w:val="clear" w:color="auto" w:fill="E1DFDD"/>
    </w:rPr>
  </w:style>
  <w:style w:type="paragraph" w:styleId="Header">
    <w:name w:val="header"/>
    <w:basedOn w:val="Normal"/>
    <w:link w:val="HeaderChar"/>
    <w:uiPriority w:val="99"/>
    <w:unhideWhenUsed/>
    <w:rsid w:val="00C91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011"/>
  </w:style>
  <w:style w:type="paragraph" w:styleId="Footer">
    <w:name w:val="footer"/>
    <w:basedOn w:val="Normal"/>
    <w:link w:val="FooterChar"/>
    <w:uiPriority w:val="99"/>
    <w:unhideWhenUsed/>
    <w:rsid w:val="00C91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5bc8bc92fd9e7ac/Desktop/data%20final%20file/thesis%20data%20fi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5bc8bc92fd9e7ac/Desktop/data%20final%20file/thesis%20data%20fi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5bc8bc92fd9e7ac/Desktop/data%20final%20file/thesis%20data%20fi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5bc8bc92fd9e7ac/Desktop/data%20final%20file/thesis%20data%20fil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5bc8bc92fd9e7ac/Desktop/data%20final%20file/thesis%20data%20fil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SGR %</a:t>
            </a:r>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439127801332525"/>
          <c:y val="0.16775746120247692"/>
          <c:w val="0.80946825392332766"/>
          <c:h val="0.61866198986894727"/>
        </c:manualLayout>
      </c:layout>
      <c:barChart>
        <c:barDir val="col"/>
        <c:grouping val="clustered"/>
        <c:varyColors val="0"/>
        <c:ser>
          <c:idx val="0"/>
          <c:order val="0"/>
          <c:spPr>
            <a:solidFill>
              <a:schemeClr val="accent1"/>
            </a:solidFill>
            <a:ln>
              <a:noFill/>
            </a:ln>
            <a:effectLst/>
          </c:spPr>
          <c:invertIfNegative val="0"/>
          <c:dLbls>
            <c:dLbl>
              <c:idx val="0"/>
              <c:layout>
                <c:manualLayout>
                  <c:x val="1.0945014436474042E-7"/>
                  <c:y val="-3.2439217517907334E-2"/>
                </c:manualLayout>
              </c:layout>
              <c:tx>
                <c:rich>
                  <a:bodyPr/>
                  <a:lstStyle/>
                  <a:p>
                    <a:fld id="{E67F9972-0A97-4220-9C9E-1122F4C561A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manualLayout>
                      <c:w val="3.1483771827095032E-2"/>
                      <c:h val="7.7854122042977397E-2"/>
                    </c:manualLayout>
                  </c15:layout>
                  <c15:dlblFieldTable/>
                  <c15:showDataLabelsRange val="1"/>
                </c:ext>
                <c:ext xmlns:c16="http://schemas.microsoft.com/office/drawing/2014/chart" uri="{C3380CC4-5D6E-409C-BE32-E72D297353CC}">
                  <c16:uniqueId val="{00000000-ECCA-4740-A2F1-DD13B1CE6B1E}"/>
                </c:ext>
              </c:extLst>
            </c:dLbl>
            <c:dLbl>
              <c:idx val="1"/>
              <c:tx>
                <c:rich>
                  <a:bodyPr/>
                  <a:lstStyle/>
                  <a:p>
                    <a:fld id="{A55462D1-950B-4DE9-B113-83188D2817E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CCA-4740-A2F1-DD13B1CE6B1E}"/>
                </c:ext>
              </c:extLst>
            </c:dLbl>
            <c:dLbl>
              <c:idx val="2"/>
              <c:layout>
                <c:manualLayout>
                  <c:x val="0"/>
                  <c:y val="-7.8659081703770464E-2"/>
                </c:manualLayout>
              </c:layout>
              <c:tx>
                <c:rich>
                  <a:bodyPr/>
                  <a:lstStyle/>
                  <a:p>
                    <a:r>
                      <a:rPr lang="en-US"/>
                      <a:t>b</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CA-4740-A2F1-DD13B1CE6B1E}"/>
                </c:ext>
              </c:extLst>
            </c:dLbl>
            <c:dLbl>
              <c:idx val="3"/>
              <c:tx>
                <c:rich>
                  <a:bodyPr/>
                  <a:lstStyle/>
                  <a:p>
                    <a:fld id="{F7CC9F0C-4639-47D7-8359-15B1CC19163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CCA-4740-A2F1-DD13B1CE6B1E}"/>
                </c:ext>
              </c:extLst>
            </c:dLbl>
            <c:dLbl>
              <c:idx val="4"/>
              <c:tx>
                <c:rich>
                  <a:bodyPr/>
                  <a:lstStyle/>
                  <a:p>
                    <a:r>
                      <a:rPr lang="en-US"/>
                      <a:t>ab</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CA-4740-A2F1-DD13B1CE6B1E}"/>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SGR!$M$4:$M$8</c:f>
                <c:numCache>
                  <c:formatCode>General</c:formatCode>
                  <c:ptCount val="5"/>
                  <c:pt idx="0">
                    <c:v>5.5611070371705582E-2</c:v>
                  </c:pt>
                  <c:pt idx="1">
                    <c:v>4.538700711288484E-2</c:v>
                  </c:pt>
                  <c:pt idx="2">
                    <c:v>0.14166482548244533</c:v>
                  </c:pt>
                  <c:pt idx="3">
                    <c:v>4.1803880936121994E-2</c:v>
                  </c:pt>
                  <c:pt idx="4">
                    <c:v>5.0258997367534287E-2</c:v>
                  </c:pt>
                </c:numCache>
              </c:numRef>
            </c:plus>
            <c:minus>
              <c:numRef>
                <c:f>SGR!$M$4:$M$8</c:f>
                <c:numCache>
                  <c:formatCode>General</c:formatCode>
                  <c:ptCount val="5"/>
                  <c:pt idx="0">
                    <c:v>5.5611070371705582E-2</c:v>
                  </c:pt>
                  <c:pt idx="1">
                    <c:v>4.538700711288484E-2</c:v>
                  </c:pt>
                  <c:pt idx="2">
                    <c:v>0.14166482548244533</c:v>
                  </c:pt>
                  <c:pt idx="3">
                    <c:v>4.1803880936121994E-2</c:v>
                  </c:pt>
                  <c:pt idx="4">
                    <c:v>5.0258997367534287E-2</c:v>
                  </c:pt>
                </c:numCache>
              </c:numRef>
            </c:minus>
            <c:spPr>
              <a:noFill/>
              <a:ln w="9525" cap="flat" cmpd="sng" algn="ctr">
                <a:solidFill>
                  <a:schemeClr val="tx1">
                    <a:lumMod val="65000"/>
                    <a:lumOff val="35000"/>
                  </a:schemeClr>
                </a:solidFill>
                <a:round/>
              </a:ln>
              <a:effectLst/>
            </c:spPr>
          </c:errBars>
          <c:cat>
            <c:strRef>
              <c:f>SGR!$K$4:$K$8</c:f>
              <c:strCache>
                <c:ptCount val="5"/>
                <c:pt idx="0">
                  <c:v>T0</c:v>
                </c:pt>
                <c:pt idx="1">
                  <c:v>T1</c:v>
                </c:pt>
                <c:pt idx="2">
                  <c:v>T2</c:v>
                </c:pt>
                <c:pt idx="3">
                  <c:v>T3</c:v>
                </c:pt>
                <c:pt idx="4">
                  <c:v>T4</c:v>
                </c:pt>
              </c:strCache>
            </c:strRef>
          </c:cat>
          <c:val>
            <c:numRef>
              <c:f>SGR!$L$4:$L$8</c:f>
              <c:numCache>
                <c:formatCode>###0.00000</c:formatCode>
                <c:ptCount val="5"/>
                <c:pt idx="0">
                  <c:v>4.0649062015000004</c:v>
                </c:pt>
                <c:pt idx="1">
                  <c:v>4.3127008012499992</c:v>
                </c:pt>
                <c:pt idx="2">
                  <c:v>4.5154759494999999</c:v>
                </c:pt>
                <c:pt idx="3">
                  <c:v>4.6972714240000002</c:v>
                </c:pt>
                <c:pt idx="4">
                  <c:v>4.5585167114999994</c:v>
                </c:pt>
              </c:numCache>
            </c:numRef>
          </c:val>
          <c:extLst>
            <c:ext xmlns:c15="http://schemas.microsoft.com/office/drawing/2012/chart" uri="{02D57815-91ED-43cb-92C2-25804820EDAC}">
              <c15:datalabelsRange>
                <c15:f>SGR!$N$4:$N$8</c15:f>
                <c15:dlblRangeCache>
                  <c:ptCount val="5"/>
                  <c:pt idx="0">
                    <c:v>c</c:v>
                  </c:pt>
                  <c:pt idx="1">
                    <c:v>bc</c:v>
                  </c:pt>
                  <c:pt idx="2">
                    <c:v>ab</c:v>
                  </c:pt>
                  <c:pt idx="3">
                    <c:v>a</c:v>
                  </c:pt>
                  <c:pt idx="4">
                    <c:v>a</c:v>
                  </c:pt>
                </c15:dlblRangeCache>
              </c15:datalabelsRange>
            </c:ext>
            <c:ext xmlns:c16="http://schemas.microsoft.com/office/drawing/2014/chart" uri="{C3380CC4-5D6E-409C-BE32-E72D297353CC}">
              <c16:uniqueId val="{00000005-ECCA-4740-A2F1-DD13B1CE6B1E}"/>
            </c:ext>
          </c:extLst>
        </c:ser>
        <c:dLbls>
          <c:dLblPos val="outEnd"/>
          <c:showLegendKey val="0"/>
          <c:showVal val="1"/>
          <c:showCatName val="0"/>
          <c:showSerName val="0"/>
          <c:showPercent val="0"/>
          <c:showBubbleSize val="0"/>
        </c:dLbls>
        <c:gapWidth val="219"/>
        <c:overlap val="-27"/>
        <c:axId val="972136208"/>
        <c:axId val="972133328"/>
      </c:barChart>
      <c:catAx>
        <c:axId val="972136208"/>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Treatment</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2133328"/>
        <c:crosses val="autoZero"/>
        <c:auto val="1"/>
        <c:lblAlgn val="ctr"/>
        <c:lblOffset val="100"/>
        <c:noMultiLvlLbl val="0"/>
      </c:catAx>
      <c:valAx>
        <c:axId val="972133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SGR (%)</a:t>
                </a:r>
              </a:p>
            </c:rich>
          </c:tx>
          <c:overlay val="0"/>
          <c:spPr>
            <a:noFill/>
            <a:ln>
              <a:noFill/>
            </a:ln>
            <a:effectLst/>
          </c:spPr>
          <c:txPr>
            <a:bodyPr rot="-540000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2136208"/>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 Body weight gain (g)</a:t>
            </a:r>
          </a:p>
        </c:rich>
      </c:tx>
      <c:overlay val="0"/>
      <c:spPr>
        <a:noFill/>
        <a:ln>
          <a:noFill/>
        </a:ln>
        <a:effectLst/>
      </c:spPr>
      <c:txPr>
        <a:bodyPr rot="0" spcFirstLastPara="1" vertOverflow="ellipsis" vert="horz" wrap="square" anchor="ctr" anchorCtr="1"/>
        <a:lstStyle/>
        <a:p>
          <a:pPr algn="ctr" rtl="0">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WG!$AH$28</c:f>
              <c:strCache>
                <c:ptCount val="1"/>
                <c:pt idx="0">
                  <c:v>T0</c:v>
                </c:pt>
              </c:strCache>
            </c:strRef>
          </c:tx>
          <c:spPr>
            <a:solidFill>
              <a:schemeClr val="accent1"/>
            </a:solidFill>
            <a:ln>
              <a:noFill/>
            </a:ln>
            <a:effectLst/>
          </c:spPr>
          <c:invertIfNegative val="0"/>
          <c:dLbls>
            <c:dLbl>
              <c:idx val="0"/>
              <c:tx>
                <c:rich>
                  <a:bodyPr/>
                  <a:lstStyle/>
                  <a:p>
                    <a:fld id="{EA2B5FEE-7D18-41B0-A25E-CA612ABE68A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325-4FF4-BE07-4C9C6B25EDB9}"/>
                </c:ext>
              </c:extLst>
            </c:dLbl>
            <c:dLbl>
              <c:idx val="1"/>
              <c:tx>
                <c:rich>
                  <a:bodyPr/>
                  <a:lstStyle/>
                  <a:p>
                    <a:fld id="{8DDAB794-9A14-4465-A0FE-F02A915EF1B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325-4FF4-BE07-4C9C6B25EDB9}"/>
                </c:ext>
              </c:extLst>
            </c:dLbl>
            <c:dLbl>
              <c:idx val="2"/>
              <c:tx>
                <c:rich>
                  <a:bodyPr/>
                  <a:lstStyle/>
                  <a:p>
                    <a:fld id="{2FFF93F4-B29E-49B9-9616-BDEC5842178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325-4FF4-BE07-4C9C6B25EDB9}"/>
                </c:ext>
              </c:extLst>
            </c:dLbl>
            <c:dLbl>
              <c:idx val="3"/>
              <c:tx>
                <c:rich>
                  <a:bodyPr/>
                  <a:lstStyle/>
                  <a:p>
                    <a:fld id="{C910076A-F5FA-4BB2-9B9D-A704D0A4627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325-4FF4-BE07-4C9C6B25EDB9}"/>
                </c:ext>
              </c:extLst>
            </c:dLbl>
            <c:dLbl>
              <c:idx val="4"/>
              <c:tx>
                <c:rich>
                  <a:bodyPr/>
                  <a:lstStyle/>
                  <a:p>
                    <a:fld id="{97712601-9B59-4B81-8B80-81FE8CB48BD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325-4FF4-BE07-4C9C6B25EDB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WG!$AO$28:$AS$28</c:f>
                <c:numCache>
                  <c:formatCode>General</c:formatCode>
                  <c:ptCount val="5"/>
                  <c:pt idx="0">
                    <c:v>4.4417526570788075E-2</c:v>
                  </c:pt>
                  <c:pt idx="1">
                    <c:v>0.13161655164403405</c:v>
                  </c:pt>
                  <c:pt idx="2">
                    <c:v>9.5262794416288238E-2</c:v>
                  </c:pt>
                  <c:pt idx="3">
                    <c:v>0.31049355870935563</c:v>
                  </c:pt>
                  <c:pt idx="4">
                    <c:v>0.23411179665564338</c:v>
                  </c:pt>
                </c:numCache>
              </c:numRef>
            </c:plus>
            <c:minus>
              <c:numRef>
                <c:f>WG!$AO$28:$AS$28</c:f>
                <c:numCache>
                  <c:formatCode>General</c:formatCode>
                  <c:ptCount val="5"/>
                  <c:pt idx="0">
                    <c:v>4.4417526570788075E-2</c:v>
                  </c:pt>
                  <c:pt idx="1">
                    <c:v>0.13161655164403405</c:v>
                  </c:pt>
                  <c:pt idx="2">
                    <c:v>9.5262794416288238E-2</c:v>
                  </c:pt>
                  <c:pt idx="3">
                    <c:v>0.31049355870935563</c:v>
                  </c:pt>
                  <c:pt idx="4">
                    <c:v>0.23411179665564338</c:v>
                  </c:pt>
                </c:numCache>
              </c:numRef>
            </c:minus>
            <c:spPr>
              <a:noFill/>
              <a:ln w="9525" cap="flat" cmpd="sng" algn="ctr">
                <a:solidFill>
                  <a:schemeClr val="tx1">
                    <a:lumMod val="65000"/>
                    <a:lumOff val="35000"/>
                  </a:schemeClr>
                </a:solidFill>
                <a:round/>
              </a:ln>
              <a:effectLst/>
            </c:spPr>
          </c:errBars>
          <c:val>
            <c:numRef>
              <c:f>WG!$AI$28:$AM$28</c:f>
              <c:numCache>
                <c:formatCode>###0.00000</c:formatCode>
                <c:ptCount val="5"/>
                <c:pt idx="0">
                  <c:v>0.79749999999999999</c:v>
                </c:pt>
                <c:pt idx="1">
                  <c:v>2.3675000000000002</c:v>
                </c:pt>
                <c:pt idx="2">
                  <c:v>5.0949999999999998</c:v>
                </c:pt>
                <c:pt idx="3">
                  <c:v>7.8925000000000001</c:v>
                </c:pt>
                <c:pt idx="4">
                  <c:v>9.1050000000000004</c:v>
                </c:pt>
              </c:numCache>
            </c:numRef>
          </c:val>
          <c:extLst>
            <c:ext xmlns:c15="http://schemas.microsoft.com/office/drawing/2012/chart" uri="{02D57815-91ED-43cb-92C2-25804820EDAC}">
              <c15:datalabelsRange>
                <c15:f>WG!$AI$35:$AM$35</c15:f>
                <c15:dlblRangeCache>
                  <c:ptCount val="5"/>
                  <c:pt idx="0">
                    <c:v>a</c:v>
                  </c:pt>
                  <c:pt idx="1">
                    <c:v>c</c:v>
                  </c:pt>
                  <c:pt idx="2">
                    <c:v>c</c:v>
                  </c:pt>
                  <c:pt idx="3">
                    <c:v>d</c:v>
                  </c:pt>
                  <c:pt idx="4">
                    <c:v>d</c:v>
                  </c:pt>
                </c15:dlblRangeCache>
              </c15:datalabelsRange>
            </c:ext>
            <c:ext xmlns:c16="http://schemas.microsoft.com/office/drawing/2014/chart" uri="{C3380CC4-5D6E-409C-BE32-E72D297353CC}">
              <c16:uniqueId val="{00000005-B325-4FF4-BE07-4C9C6B25EDB9}"/>
            </c:ext>
          </c:extLst>
        </c:ser>
        <c:ser>
          <c:idx val="1"/>
          <c:order val="1"/>
          <c:tx>
            <c:strRef>
              <c:f>WG!$AH$29</c:f>
              <c:strCache>
                <c:ptCount val="1"/>
                <c:pt idx="0">
                  <c:v>T1</c:v>
                </c:pt>
              </c:strCache>
            </c:strRef>
          </c:tx>
          <c:spPr>
            <a:solidFill>
              <a:schemeClr val="accent3"/>
            </a:solidFill>
            <a:ln>
              <a:noFill/>
            </a:ln>
            <a:effectLst/>
          </c:spPr>
          <c:invertIfNegative val="0"/>
          <c:dLbls>
            <c:dLbl>
              <c:idx val="0"/>
              <c:tx>
                <c:rich>
                  <a:bodyPr/>
                  <a:lstStyle/>
                  <a:p>
                    <a:fld id="{3CEF4FFE-14A3-40BA-97C2-3377BCBFCB5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325-4FF4-BE07-4C9C6B25EDB9}"/>
                </c:ext>
              </c:extLst>
            </c:dLbl>
            <c:dLbl>
              <c:idx val="1"/>
              <c:tx>
                <c:rich>
                  <a:bodyPr/>
                  <a:lstStyle/>
                  <a:p>
                    <a:fld id="{DC998F34-A1FE-4446-A503-8FE4A1CD435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325-4FF4-BE07-4C9C6B25EDB9}"/>
                </c:ext>
              </c:extLst>
            </c:dLbl>
            <c:dLbl>
              <c:idx val="2"/>
              <c:tx>
                <c:rich>
                  <a:bodyPr/>
                  <a:lstStyle/>
                  <a:p>
                    <a:fld id="{B1B42ECA-F438-4680-9167-DDCDC9CAF27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325-4FF4-BE07-4C9C6B25EDB9}"/>
                </c:ext>
              </c:extLst>
            </c:dLbl>
            <c:dLbl>
              <c:idx val="3"/>
              <c:tx>
                <c:rich>
                  <a:bodyPr/>
                  <a:lstStyle/>
                  <a:p>
                    <a:fld id="{7B1C4C58-0020-4AA3-9AF3-326383A4CFF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325-4FF4-BE07-4C9C6B25EDB9}"/>
                </c:ext>
              </c:extLst>
            </c:dLbl>
            <c:dLbl>
              <c:idx val="4"/>
              <c:tx>
                <c:rich>
                  <a:bodyPr/>
                  <a:lstStyle/>
                  <a:p>
                    <a:fld id="{55A3043F-EA71-4084-BABC-C1AD1E23E90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325-4FF4-BE07-4C9C6B25EDB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WG!$AO$29:$AS$29</c:f>
                <c:numCache>
                  <c:formatCode>General</c:formatCode>
                  <c:ptCount val="5"/>
                  <c:pt idx="0">
                    <c:v>3.5707142142714261E-2</c:v>
                  </c:pt>
                  <c:pt idx="1">
                    <c:v>0.14947129044290308</c:v>
                  </c:pt>
                  <c:pt idx="2">
                    <c:v>8.602325267042614E-2</c:v>
                  </c:pt>
                  <c:pt idx="3">
                    <c:v>0.39590613365628319</c:v>
                  </c:pt>
                  <c:pt idx="4">
                    <c:v>0.35034209472076466</c:v>
                  </c:pt>
                </c:numCache>
              </c:numRef>
            </c:plus>
            <c:minus>
              <c:numRef>
                <c:f>WG!$AO$29:$AS$29</c:f>
                <c:numCache>
                  <c:formatCode>General</c:formatCode>
                  <c:ptCount val="5"/>
                  <c:pt idx="0">
                    <c:v>3.5707142142714261E-2</c:v>
                  </c:pt>
                  <c:pt idx="1">
                    <c:v>0.14947129044290308</c:v>
                  </c:pt>
                  <c:pt idx="2">
                    <c:v>8.602325267042614E-2</c:v>
                  </c:pt>
                  <c:pt idx="3">
                    <c:v>0.39590613365628319</c:v>
                  </c:pt>
                  <c:pt idx="4">
                    <c:v>0.35034209472076466</c:v>
                  </c:pt>
                </c:numCache>
              </c:numRef>
            </c:minus>
            <c:spPr>
              <a:noFill/>
              <a:ln w="9525" cap="flat" cmpd="sng" algn="ctr">
                <a:solidFill>
                  <a:schemeClr val="tx1">
                    <a:lumMod val="65000"/>
                    <a:lumOff val="35000"/>
                  </a:schemeClr>
                </a:solidFill>
                <a:round/>
              </a:ln>
              <a:effectLst/>
            </c:spPr>
          </c:errBars>
          <c:val>
            <c:numRef>
              <c:f>WG!$AI$29:$AM$29</c:f>
              <c:numCache>
                <c:formatCode>###0.00000</c:formatCode>
                <c:ptCount val="5"/>
                <c:pt idx="0">
                  <c:v>0.79500000000000004</c:v>
                </c:pt>
                <c:pt idx="1">
                  <c:v>2.6149999999999998</c:v>
                </c:pt>
                <c:pt idx="2">
                  <c:v>5.38</c:v>
                </c:pt>
                <c:pt idx="3">
                  <c:v>8.875</c:v>
                </c:pt>
                <c:pt idx="4">
                  <c:v>10.557500000000001</c:v>
                </c:pt>
              </c:numCache>
            </c:numRef>
          </c:val>
          <c:extLst>
            <c:ext xmlns:c15="http://schemas.microsoft.com/office/drawing/2012/chart" uri="{02D57815-91ED-43cb-92C2-25804820EDAC}">
              <c15:datalabelsRange>
                <c15:f>WG!$AI$36:$AM$36</c15:f>
                <c15:dlblRangeCache>
                  <c:ptCount val="5"/>
                  <c:pt idx="0">
                    <c:v>a</c:v>
                  </c:pt>
                  <c:pt idx="1">
                    <c:v>bc</c:v>
                  </c:pt>
                  <c:pt idx="2">
                    <c:v>c</c:v>
                  </c:pt>
                  <c:pt idx="3">
                    <c:v>c</c:v>
                  </c:pt>
                  <c:pt idx="4">
                    <c:v>c</c:v>
                  </c:pt>
                </c15:dlblRangeCache>
              </c15:datalabelsRange>
            </c:ext>
            <c:ext xmlns:c16="http://schemas.microsoft.com/office/drawing/2014/chart" uri="{C3380CC4-5D6E-409C-BE32-E72D297353CC}">
              <c16:uniqueId val="{0000000B-B325-4FF4-BE07-4C9C6B25EDB9}"/>
            </c:ext>
          </c:extLst>
        </c:ser>
        <c:ser>
          <c:idx val="2"/>
          <c:order val="2"/>
          <c:tx>
            <c:strRef>
              <c:f>WG!$AH$30</c:f>
              <c:strCache>
                <c:ptCount val="1"/>
                <c:pt idx="0">
                  <c:v>T2</c:v>
                </c:pt>
              </c:strCache>
            </c:strRef>
          </c:tx>
          <c:spPr>
            <a:solidFill>
              <a:schemeClr val="accent5"/>
            </a:solidFill>
            <a:ln>
              <a:noFill/>
            </a:ln>
            <a:effectLst/>
          </c:spPr>
          <c:invertIfNegative val="0"/>
          <c:dLbls>
            <c:dLbl>
              <c:idx val="0"/>
              <c:tx>
                <c:rich>
                  <a:bodyPr/>
                  <a:lstStyle/>
                  <a:p>
                    <a:fld id="{71015494-6A7C-456D-AF83-682FA761DC7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B325-4FF4-BE07-4C9C6B25EDB9}"/>
                </c:ext>
              </c:extLst>
            </c:dLbl>
            <c:dLbl>
              <c:idx val="1"/>
              <c:tx>
                <c:rich>
                  <a:bodyPr/>
                  <a:lstStyle/>
                  <a:p>
                    <a:fld id="{2DAC6C4D-3FA9-402F-99A7-C080445F8E4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325-4FF4-BE07-4C9C6B25EDB9}"/>
                </c:ext>
              </c:extLst>
            </c:dLbl>
            <c:dLbl>
              <c:idx val="2"/>
              <c:tx>
                <c:rich>
                  <a:bodyPr/>
                  <a:lstStyle/>
                  <a:p>
                    <a:fld id="{FD87904C-5BBD-45D1-B892-5B897BD9D21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325-4FF4-BE07-4C9C6B25EDB9}"/>
                </c:ext>
              </c:extLst>
            </c:dLbl>
            <c:dLbl>
              <c:idx val="3"/>
              <c:tx>
                <c:rich>
                  <a:bodyPr/>
                  <a:lstStyle/>
                  <a:p>
                    <a:fld id="{975C6A5A-85EE-4AEF-A0E8-DE3B7090B23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325-4FF4-BE07-4C9C6B25EDB9}"/>
                </c:ext>
              </c:extLst>
            </c:dLbl>
            <c:dLbl>
              <c:idx val="4"/>
              <c:tx>
                <c:rich>
                  <a:bodyPr/>
                  <a:lstStyle/>
                  <a:p>
                    <a:fld id="{07333EC3-FDD7-48C9-859A-3D4CED4F6BA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325-4FF4-BE07-4C9C6B25EDB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WG!$AO$30:$AS$30</c:f>
                <c:numCache>
                  <c:formatCode>General</c:formatCode>
                  <c:ptCount val="5"/>
                  <c:pt idx="0">
                    <c:v>3.591076904402541E-2</c:v>
                  </c:pt>
                  <c:pt idx="1">
                    <c:v>9.6641519717631449E-2</c:v>
                  </c:pt>
                  <c:pt idx="2">
                    <c:v>0.12254250963101201</c:v>
                  </c:pt>
                  <c:pt idx="3">
                    <c:v>0.24308349045818262</c:v>
                  </c:pt>
                  <c:pt idx="4">
                    <c:v>0.60881544822712896</c:v>
                  </c:pt>
                </c:numCache>
              </c:numRef>
            </c:plus>
            <c:minus>
              <c:numRef>
                <c:f>WG!$AO$30:$AS$30</c:f>
                <c:numCache>
                  <c:formatCode>General</c:formatCode>
                  <c:ptCount val="5"/>
                  <c:pt idx="0">
                    <c:v>3.591076904402541E-2</c:v>
                  </c:pt>
                  <c:pt idx="1">
                    <c:v>9.6641519717631449E-2</c:v>
                  </c:pt>
                  <c:pt idx="2">
                    <c:v>0.12254250963101201</c:v>
                  </c:pt>
                  <c:pt idx="3">
                    <c:v>0.24308349045818262</c:v>
                  </c:pt>
                  <c:pt idx="4">
                    <c:v>0.60881544822712896</c:v>
                  </c:pt>
                </c:numCache>
              </c:numRef>
            </c:minus>
            <c:spPr>
              <a:noFill/>
              <a:ln w="9525" cap="flat" cmpd="sng" algn="ctr">
                <a:solidFill>
                  <a:schemeClr val="tx1">
                    <a:lumMod val="65000"/>
                    <a:lumOff val="35000"/>
                  </a:schemeClr>
                </a:solidFill>
                <a:round/>
              </a:ln>
              <a:effectLst/>
            </c:spPr>
          </c:errBars>
          <c:val>
            <c:numRef>
              <c:f>WG!$AI$30:$AM$30</c:f>
              <c:numCache>
                <c:formatCode>###0.00000</c:formatCode>
                <c:ptCount val="5"/>
                <c:pt idx="0">
                  <c:v>0.79749999999999999</c:v>
                </c:pt>
                <c:pt idx="1">
                  <c:v>3.0274999999999999</c:v>
                </c:pt>
                <c:pt idx="2">
                  <c:v>5.31</c:v>
                </c:pt>
                <c:pt idx="3">
                  <c:v>9.5124999999999993</c:v>
                </c:pt>
                <c:pt idx="4">
                  <c:v>11.987500000000001</c:v>
                </c:pt>
              </c:numCache>
            </c:numRef>
          </c:val>
          <c:extLst>
            <c:ext xmlns:c15="http://schemas.microsoft.com/office/drawing/2012/chart" uri="{02D57815-91ED-43cb-92C2-25804820EDAC}">
              <c15:datalabelsRange>
                <c15:f>WG!$AI$37:$AM$37</c15:f>
                <c15:dlblRangeCache>
                  <c:ptCount val="5"/>
                  <c:pt idx="0">
                    <c:v>a</c:v>
                  </c:pt>
                  <c:pt idx="1">
                    <c:v>ab</c:v>
                  </c:pt>
                  <c:pt idx="2">
                    <c:v>bc</c:v>
                  </c:pt>
                  <c:pt idx="3">
                    <c:v>bc</c:v>
                  </c:pt>
                  <c:pt idx="4">
                    <c:v>b</c:v>
                  </c:pt>
                </c15:dlblRangeCache>
              </c15:datalabelsRange>
            </c:ext>
            <c:ext xmlns:c16="http://schemas.microsoft.com/office/drawing/2014/chart" uri="{C3380CC4-5D6E-409C-BE32-E72D297353CC}">
              <c16:uniqueId val="{00000011-B325-4FF4-BE07-4C9C6B25EDB9}"/>
            </c:ext>
          </c:extLst>
        </c:ser>
        <c:ser>
          <c:idx val="3"/>
          <c:order val="3"/>
          <c:tx>
            <c:strRef>
              <c:f>WG!$AH$31</c:f>
              <c:strCache>
                <c:ptCount val="1"/>
                <c:pt idx="0">
                  <c:v>T3</c:v>
                </c:pt>
              </c:strCache>
            </c:strRef>
          </c:tx>
          <c:spPr>
            <a:solidFill>
              <a:schemeClr val="accent1">
                <a:lumMod val="60000"/>
              </a:schemeClr>
            </a:solidFill>
            <a:ln>
              <a:noFill/>
            </a:ln>
            <a:effectLst/>
          </c:spPr>
          <c:invertIfNegative val="0"/>
          <c:dLbls>
            <c:dLbl>
              <c:idx val="0"/>
              <c:tx>
                <c:rich>
                  <a:bodyPr/>
                  <a:lstStyle/>
                  <a:p>
                    <a:fld id="{46043FB3-4E4A-4CCB-B087-0997D8FEBD1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B325-4FF4-BE07-4C9C6B25EDB9}"/>
                </c:ext>
              </c:extLst>
            </c:dLbl>
            <c:dLbl>
              <c:idx val="1"/>
              <c:tx>
                <c:rich>
                  <a:bodyPr/>
                  <a:lstStyle/>
                  <a:p>
                    <a:fld id="{BB24990E-8213-4283-927F-C68E8F624B7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325-4FF4-BE07-4C9C6B25EDB9}"/>
                </c:ext>
              </c:extLst>
            </c:dLbl>
            <c:dLbl>
              <c:idx val="2"/>
              <c:tx>
                <c:rich>
                  <a:bodyPr/>
                  <a:lstStyle/>
                  <a:p>
                    <a:fld id="{9689A08A-5B9F-4ACA-AD16-788C5A68BAD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325-4FF4-BE07-4C9C6B25EDB9}"/>
                </c:ext>
              </c:extLst>
            </c:dLbl>
            <c:dLbl>
              <c:idx val="3"/>
              <c:tx>
                <c:rich>
                  <a:bodyPr/>
                  <a:lstStyle/>
                  <a:p>
                    <a:fld id="{B7BD86C5-00F3-46FC-A3AB-9C92488C24C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325-4FF4-BE07-4C9C6B25EDB9}"/>
                </c:ext>
              </c:extLst>
            </c:dLbl>
            <c:dLbl>
              <c:idx val="4"/>
              <c:tx>
                <c:rich>
                  <a:bodyPr/>
                  <a:lstStyle/>
                  <a:p>
                    <a:fld id="{D63942C9-B525-4F48-8F54-F97F7306983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325-4FF4-BE07-4C9C6B25EDB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WG!$AO$31:$AS$31</c:f>
                <c:numCache>
                  <c:formatCode>General</c:formatCode>
                  <c:ptCount val="5"/>
                  <c:pt idx="0">
                    <c:v>1.8484227510682346E-2</c:v>
                  </c:pt>
                  <c:pt idx="1">
                    <c:v>0.11654755824698056</c:v>
                  </c:pt>
                  <c:pt idx="2">
                    <c:v>0.16234608095054215</c:v>
                  </c:pt>
                  <c:pt idx="3">
                    <c:v>0.1577643284565094</c:v>
                  </c:pt>
                  <c:pt idx="4">
                    <c:v>0.13530059127734823</c:v>
                  </c:pt>
                </c:numCache>
              </c:numRef>
            </c:plus>
            <c:minus>
              <c:numRef>
                <c:f>WG!$AO$31:$AS$31</c:f>
                <c:numCache>
                  <c:formatCode>General</c:formatCode>
                  <c:ptCount val="5"/>
                  <c:pt idx="0">
                    <c:v>1.8484227510682346E-2</c:v>
                  </c:pt>
                  <c:pt idx="1">
                    <c:v>0.11654755824698056</c:v>
                  </c:pt>
                  <c:pt idx="2">
                    <c:v>0.16234608095054215</c:v>
                  </c:pt>
                  <c:pt idx="3">
                    <c:v>0.1577643284565094</c:v>
                  </c:pt>
                  <c:pt idx="4">
                    <c:v>0.13530059127734823</c:v>
                  </c:pt>
                </c:numCache>
              </c:numRef>
            </c:minus>
            <c:spPr>
              <a:noFill/>
              <a:ln w="9525" cap="flat" cmpd="sng" algn="ctr">
                <a:solidFill>
                  <a:schemeClr val="tx1">
                    <a:lumMod val="65000"/>
                    <a:lumOff val="35000"/>
                  </a:schemeClr>
                </a:solidFill>
                <a:round/>
              </a:ln>
              <a:effectLst/>
            </c:spPr>
          </c:errBars>
          <c:val>
            <c:numRef>
              <c:f>WG!$AI$31:$AM$31</c:f>
              <c:numCache>
                <c:formatCode>###0.00000</c:formatCode>
                <c:ptCount val="5"/>
                <c:pt idx="0">
                  <c:v>0.83500000000000008</c:v>
                </c:pt>
                <c:pt idx="1">
                  <c:v>3.22</c:v>
                </c:pt>
                <c:pt idx="2">
                  <c:v>6.0925000000000002</c:v>
                </c:pt>
                <c:pt idx="3">
                  <c:v>10.6775</c:v>
                </c:pt>
                <c:pt idx="4">
                  <c:v>13.9175</c:v>
                </c:pt>
              </c:numCache>
            </c:numRef>
          </c:val>
          <c:extLst>
            <c:ext xmlns:c15="http://schemas.microsoft.com/office/drawing/2012/chart" uri="{02D57815-91ED-43cb-92C2-25804820EDAC}">
              <c15:datalabelsRange>
                <c15:f>WG!$AI$38:$AM$38</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17-B325-4FF4-BE07-4C9C6B25EDB9}"/>
            </c:ext>
          </c:extLst>
        </c:ser>
        <c:ser>
          <c:idx val="4"/>
          <c:order val="4"/>
          <c:tx>
            <c:strRef>
              <c:f>WG!$AH$32</c:f>
              <c:strCache>
                <c:ptCount val="1"/>
                <c:pt idx="0">
                  <c:v>T4</c:v>
                </c:pt>
              </c:strCache>
            </c:strRef>
          </c:tx>
          <c:spPr>
            <a:solidFill>
              <a:schemeClr val="accent3">
                <a:lumMod val="60000"/>
              </a:schemeClr>
            </a:solidFill>
            <a:ln>
              <a:noFill/>
            </a:ln>
            <a:effectLst/>
          </c:spPr>
          <c:invertIfNegative val="0"/>
          <c:dLbls>
            <c:dLbl>
              <c:idx val="0"/>
              <c:tx>
                <c:rich>
                  <a:bodyPr/>
                  <a:lstStyle/>
                  <a:p>
                    <a:fld id="{22CA6359-5848-489A-8E25-A582EDF94B0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B325-4FF4-BE07-4C9C6B25EDB9}"/>
                </c:ext>
              </c:extLst>
            </c:dLbl>
            <c:dLbl>
              <c:idx val="1"/>
              <c:tx>
                <c:rich>
                  <a:bodyPr/>
                  <a:lstStyle/>
                  <a:p>
                    <a:fld id="{80AAC9CB-8F08-4AD8-A6FF-CAC4D630957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325-4FF4-BE07-4C9C6B25EDB9}"/>
                </c:ext>
              </c:extLst>
            </c:dLbl>
            <c:dLbl>
              <c:idx val="2"/>
              <c:tx>
                <c:rich>
                  <a:bodyPr/>
                  <a:lstStyle/>
                  <a:p>
                    <a:fld id="{56F2DB7C-1EFC-45D5-B543-6C1CA19A5D8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325-4FF4-BE07-4C9C6B25EDB9}"/>
                </c:ext>
              </c:extLst>
            </c:dLbl>
            <c:dLbl>
              <c:idx val="3"/>
              <c:tx>
                <c:rich>
                  <a:bodyPr/>
                  <a:lstStyle/>
                  <a:p>
                    <a:fld id="{D0290D1D-341B-46D8-8B75-9C6FABE5058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325-4FF4-BE07-4C9C6B25EDB9}"/>
                </c:ext>
              </c:extLst>
            </c:dLbl>
            <c:dLbl>
              <c:idx val="4"/>
              <c:tx>
                <c:rich>
                  <a:bodyPr/>
                  <a:lstStyle/>
                  <a:p>
                    <a:fld id="{C2A8AF0F-EF3D-4E1C-AF6D-36555EB8AD7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325-4FF4-BE07-4C9C6B25EDB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WG!$AO$32:$AS$32</c:f>
                <c:numCache>
                  <c:formatCode>General</c:formatCode>
                  <c:ptCount val="5"/>
                  <c:pt idx="0">
                    <c:v>2.2173557826083445E-2</c:v>
                  </c:pt>
                  <c:pt idx="1">
                    <c:v>0.1132475165290612</c:v>
                  </c:pt>
                  <c:pt idx="2">
                    <c:v>0.16046806535881211</c:v>
                  </c:pt>
                  <c:pt idx="3">
                    <c:v>0.12126932835634925</c:v>
                  </c:pt>
                  <c:pt idx="4">
                    <c:v>0.15200740113560218</c:v>
                  </c:pt>
                </c:numCache>
              </c:numRef>
            </c:plus>
            <c:minus>
              <c:numRef>
                <c:f>WG!$AO$32:$AS$32</c:f>
                <c:numCache>
                  <c:formatCode>General</c:formatCode>
                  <c:ptCount val="5"/>
                  <c:pt idx="0">
                    <c:v>2.2173557826083445E-2</c:v>
                  </c:pt>
                  <c:pt idx="1">
                    <c:v>0.1132475165290612</c:v>
                  </c:pt>
                  <c:pt idx="2">
                    <c:v>0.16046806535881211</c:v>
                  </c:pt>
                  <c:pt idx="3">
                    <c:v>0.12126932835634925</c:v>
                  </c:pt>
                  <c:pt idx="4">
                    <c:v>0.15200740113560218</c:v>
                  </c:pt>
                </c:numCache>
              </c:numRef>
            </c:minus>
            <c:spPr>
              <a:noFill/>
              <a:ln w="9525" cap="flat" cmpd="sng" algn="ctr">
                <a:solidFill>
                  <a:schemeClr val="tx1">
                    <a:lumMod val="65000"/>
                    <a:lumOff val="35000"/>
                  </a:schemeClr>
                </a:solidFill>
                <a:round/>
              </a:ln>
              <a:effectLst/>
            </c:spPr>
          </c:errBars>
          <c:val>
            <c:numRef>
              <c:f>WG!$AI$32:$AM$32</c:f>
              <c:numCache>
                <c:formatCode>###0.00000</c:formatCode>
                <c:ptCount val="5"/>
                <c:pt idx="0">
                  <c:v>0.83499999999999996</c:v>
                </c:pt>
                <c:pt idx="1">
                  <c:v>2.9750000000000001</c:v>
                </c:pt>
                <c:pt idx="2">
                  <c:v>5.75</c:v>
                </c:pt>
                <c:pt idx="3">
                  <c:v>10.202500000000001</c:v>
                </c:pt>
                <c:pt idx="4">
                  <c:v>13.025</c:v>
                </c:pt>
              </c:numCache>
            </c:numRef>
          </c:val>
          <c:extLst>
            <c:ext xmlns:c15="http://schemas.microsoft.com/office/drawing/2012/chart" uri="{02D57815-91ED-43cb-92C2-25804820EDAC}">
              <c15:datalabelsRange>
                <c15:f>WG!$AI$39:$AM$39</c15:f>
                <c15:dlblRangeCache>
                  <c:ptCount val="5"/>
                  <c:pt idx="0">
                    <c:v>a</c:v>
                  </c:pt>
                  <c:pt idx="1">
                    <c:v>a</c:v>
                  </c:pt>
                  <c:pt idx="2">
                    <c:v>ab</c:v>
                  </c:pt>
                  <c:pt idx="3">
                    <c:v>ab</c:v>
                  </c:pt>
                  <c:pt idx="4">
                    <c:v>ab</c:v>
                  </c:pt>
                </c15:dlblRangeCache>
              </c15:datalabelsRange>
            </c:ext>
            <c:ext xmlns:c16="http://schemas.microsoft.com/office/drawing/2014/chart" uri="{C3380CC4-5D6E-409C-BE32-E72D297353CC}">
              <c16:uniqueId val="{0000001D-B325-4FF4-BE07-4C9C6B25EDB9}"/>
            </c:ext>
          </c:extLst>
        </c:ser>
        <c:dLbls>
          <c:dLblPos val="outEnd"/>
          <c:showLegendKey val="0"/>
          <c:showVal val="1"/>
          <c:showCatName val="0"/>
          <c:showSerName val="0"/>
          <c:showPercent val="0"/>
          <c:showBubbleSize val="0"/>
        </c:dLbls>
        <c:gapWidth val="219"/>
        <c:overlap val="-27"/>
        <c:axId val="982528592"/>
        <c:axId val="982530992"/>
      </c:barChart>
      <c:catAx>
        <c:axId val="982528592"/>
        <c:scaling>
          <c:orientation val="minMax"/>
        </c:scaling>
        <c:delete val="0"/>
        <c:axPos val="b"/>
        <c:title>
          <c:tx>
            <c:rich>
              <a:bodyPr rot="0" spcFirstLastPara="1" vertOverflow="ellipsis" vert="horz" wrap="square" anchor="ctr" anchorCtr="1"/>
              <a:lstStyle/>
              <a:p>
                <a:pPr algn="ctr" rtl="0">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Treatment</a:t>
                </a:r>
              </a:p>
            </c:rich>
          </c:tx>
          <c:overlay val="0"/>
          <c:spPr>
            <a:noFill/>
            <a:ln>
              <a:noFill/>
            </a:ln>
            <a:effectLst/>
          </c:spPr>
          <c:txPr>
            <a:bodyPr rot="0" spcFirstLastPara="1" vertOverflow="ellipsis" vert="horz" wrap="square" anchor="ctr" anchorCtr="1"/>
            <a:lstStyle/>
            <a:p>
              <a:pPr algn="ctr" rtl="0">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82530992"/>
        <c:crosses val="autoZero"/>
        <c:auto val="1"/>
        <c:lblAlgn val="ctr"/>
        <c:lblOffset val="100"/>
        <c:noMultiLvlLbl val="0"/>
      </c:catAx>
      <c:valAx>
        <c:axId val="98253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Weight (g)</a:t>
                </a:r>
              </a:p>
            </c:rich>
          </c:tx>
          <c:overlay val="0"/>
          <c:spPr>
            <a:noFill/>
            <a:ln>
              <a:noFill/>
            </a:ln>
            <a:effectLst/>
          </c:spPr>
          <c:txPr>
            <a:bodyPr rot="-5400000" spcFirstLastPara="1" vertOverflow="ellipsis" vert="horz" wrap="square" anchor="ctr" anchorCtr="1"/>
            <a:lstStyle/>
            <a:p>
              <a:pPr algn="ctr" rtl="0">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8252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Survival Rate (%)</a:t>
            </a:r>
            <a:endParaRPr lang="en-IN"/>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2890-487E-86B8-D9F2DEEA24BC}"/>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2890-487E-86B8-D9F2DEEA24BC}"/>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2890-487E-86B8-D9F2DEEA24BC}"/>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7-2890-487E-86B8-D9F2DEEA24BC}"/>
              </c:ext>
            </c:extLst>
          </c:dPt>
          <c:errBars>
            <c:errBarType val="both"/>
            <c:errValType val="cust"/>
            <c:noEndCap val="0"/>
            <c:plus>
              <c:numRef>
                <c:f>SR!$AK$33:$AK$37</c:f>
                <c:numCache>
                  <c:formatCode>General</c:formatCode>
                  <c:ptCount val="5"/>
                  <c:pt idx="0">
                    <c:v>1.6666666674999988</c:v>
                  </c:pt>
                  <c:pt idx="1">
                    <c:v>1.9245008982610017</c:v>
                  </c:pt>
                  <c:pt idx="2">
                    <c:v>1.9245008953742542</c:v>
                  </c:pt>
                  <c:pt idx="3">
                    <c:v>1.924500898261001</c:v>
                  </c:pt>
                  <c:pt idx="4">
                    <c:v>2.7216552690786733</c:v>
                  </c:pt>
                </c:numCache>
              </c:numRef>
            </c:plus>
            <c:minus>
              <c:numRef>
                <c:f>SR!$AK$33:$AK$37</c:f>
                <c:numCache>
                  <c:formatCode>General</c:formatCode>
                  <c:ptCount val="5"/>
                  <c:pt idx="0">
                    <c:v>1.6666666674999988</c:v>
                  </c:pt>
                  <c:pt idx="1">
                    <c:v>1.9245008982610017</c:v>
                  </c:pt>
                  <c:pt idx="2">
                    <c:v>1.9245008953742542</c:v>
                  </c:pt>
                  <c:pt idx="3">
                    <c:v>1.924500898261001</c:v>
                  </c:pt>
                  <c:pt idx="4">
                    <c:v>2.7216552690786733</c:v>
                  </c:pt>
                </c:numCache>
              </c:numRef>
            </c:minus>
            <c:spPr>
              <a:noFill/>
              <a:ln w="9525" cap="flat" cmpd="sng" algn="ctr">
                <a:solidFill>
                  <a:schemeClr val="tx1">
                    <a:lumMod val="65000"/>
                    <a:lumOff val="35000"/>
                  </a:schemeClr>
                </a:solidFill>
                <a:round/>
              </a:ln>
              <a:effectLst/>
            </c:spPr>
          </c:errBars>
          <c:cat>
            <c:strRef>
              <c:f>SR!$M$3:$M$7</c:f>
              <c:strCache>
                <c:ptCount val="5"/>
                <c:pt idx="0">
                  <c:v>T0</c:v>
                </c:pt>
                <c:pt idx="1">
                  <c:v>T1</c:v>
                </c:pt>
                <c:pt idx="2">
                  <c:v>T2</c:v>
                </c:pt>
                <c:pt idx="3">
                  <c:v>T3</c:v>
                </c:pt>
                <c:pt idx="4">
                  <c:v>T4</c:v>
                </c:pt>
              </c:strCache>
            </c:strRef>
          </c:cat>
          <c:val>
            <c:numRef>
              <c:f>SR!$N$3:$N$7</c:f>
              <c:numCache>
                <c:formatCode>###0.00000</c:formatCode>
                <c:ptCount val="5"/>
                <c:pt idx="0">
                  <c:v>78.333333332500004</c:v>
                </c:pt>
                <c:pt idx="1">
                  <c:v>83.333333334999992</c:v>
                </c:pt>
                <c:pt idx="2">
                  <c:v>90</c:v>
                </c:pt>
                <c:pt idx="3">
                  <c:v>96.666666665000008</c:v>
                </c:pt>
                <c:pt idx="4">
                  <c:v>93.333333332500004</c:v>
                </c:pt>
              </c:numCache>
            </c:numRef>
          </c:val>
          <c:extLst>
            <c:ext xmlns:c16="http://schemas.microsoft.com/office/drawing/2014/chart" uri="{C3380CC4-5D6E-409C-BE32-E72D297353CC}">
              <c16:uniqueId val="{00000008-2890-487E-86B8-D9F2DEEA24BC}"/>
            </c:ext>
          </c:extLst>
        </c:ser>
        <c:dLbls>
          <c:showLegendKey val="0"/>
          <c:showVal val="0"/>
          <c:showCatName val="0"/>
          <c:showSerName val="0"/>
          <c:showPercent val="0"/>
          <c:showBubbleSize val="0"/>
        </c:dLbls>
        <c:gapWidth val="219"/>
        <c:overlap val="-27"/>
        <c:axId val="1008158512"/>
        <c:axId val="1008158992"/>
      </c:barChart>
      <c:catAx>
        <c:axId val="100815851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endParaRPr lang="en-IN"/>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8158992"/>
        <c:crosses val="autoZero"/>
        <c:auto val="1"/>
        <c:lblAlgn val="ctr"/>
        <c:lblOffset val="100"/>
        <c:noMultiLvlLbl val="0"/>
      </c:catAx>
      <c:valAx>
        <c:axId val="10081589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Survival rate</a:t>
                </a:r>
                <a:endParaRPr lang="en-IN"/>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8158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rPr>
              <a:t>Feed Conversion Ratio</a:t>
            </a:r>
          </a:p>
        </c:rich>
      </c:tx>
      <c:layout>
        <c:manualLayout>
          <c:xMode val="edge"/>
          <c:yMode val="edge"/>
          <c:x val="0.30227536872121663"/>
          <c:y val="2.9462312791554136E-2"/>
        </c:manualLayout>
      </c:layout>
      <c:overlay val="0"/>
      <c:spPr>
        <a:noFill/>
        <a:ln>
          <a:noFill/>
        </a:ln>
        <a:effectLst/>
      </c:spPr>
      <c:txPr>
        <a:bodyPr rot="0" spcFirstLastPara="1" vertOverflow="ellipsis" vert="horz" wrap="square" anchor="ctr" anchorCtr="1"/>
        <a:lstStyle/>
        <a:p>
          <a:pPr algn="ctr" rtl="0">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890003582945184"/>
          <c:y val="0.20211941722443619"/>
          <c:w val="0.80482503284366413"/>
          <c:h val="0.613582837597623"/>
        </c:manualLayout>
      </c:layout>
      <c:barChart>
        <c:barDir val="col"/>
        <c:grouping val="clustered"/>
        <c:varyColors val="0"/>
        <c:ser>
          <c:idx val="0"/>
          <c:order val="0"/>
          <c:spPr>
            <a:solidFill>
              <a:schemeClr val="accent1"/>
            </a:solidFill>
            <a:ln>
              <a:noFill/>
            </a:ln>
            <a:effectLst/>
          </c:spPr>
          <c:invertIfNegative val="0"/>
          <c:dLbls>
            <c:dLbl>
              <c:idx val="0"/>
              <c:tx>
                <c:rich>
                  <a:bodyPr/>
                  <a:lstStyle/>
                  <a:p>
                    <a:fld id="{CF2CCC6B-FD6F-461B-8859-1B12BBE3AA3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41B-48A5-BDEF-262963D96E48}"/>
                </c:ext>
              </c:extLst>
            </c:dLbl>
            <c:dLbl>
              <c:idx val="1"/>
              <c:tx>
                <c:rich>
                  <a:bodyPr/>
                  <a:lstStyle/>
                  <a:p>
                    <a:fld id="{078AD6CB-B0AA-43AD-A9B3-B15B807D211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41B-48A5-BDEF-262963D96E48}"/>
                </c:ext>
              </c:extLst>
            </c:dLbl>
            <c:dLbl>
              <c:idx val="2"/>
              <c:tx>
                <c:rich>
                  <a:bodyPr/>
                  <a:lstStyle/>
                  <a:p>
                    <a:fld id="{030B0A11-8E00-475B-976F-7CC014C8BA0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41B-48A5-BDEF-262963D96E48}"/>
                </c:ext>
              </c:extLst>
            </c:dLbl>
            <c:dLbl>
              <c:idx val="3"/>
              <c:tx>
                <c:rich>
                  <a:bodyPr/>
                  <a:lstStyle/>
                  <a:p>
                    <a:fld id="{F70F4E77-C090-4E84-B00F-B0F18D17A1D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41B-48A5-BDEF-262963D96E48}"/>
                </c:ext>
              </c:extLst>
            </c:dLbl>
            <c:dLbl>
              <c:idx val="4"/>
              <c:tx>
                <c:rich>
                  <a:bodyPr/>
                  <a:lstStyle/>
                  <a:p>
                    <a:fld id="{413902A4-6AC9-4ED8-9DC7-936F5269E43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41B-48A5-BDEF-262963D96E48}"/>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FCR!$L$4:$L$8</c:f>
                <c:numCache>
                  <c:formatCode>General</c:formatCode>
                  <c:ptCount val="5"/>
                  <c:pt idx="0">
                    <c:v>2.955399769433751E-2</c:v>
                  </c:pt>
                  <c:pt idx="1">
                    <c:v>3.3149193859428668E-2</c:v>
                  </c:pt>
                  <c:pt idx="2">
                    <c:v>5.935261620868832E-2</c:v>
                  </c:pt>
                  <c:pt idx="3">
                    <c:v>5.1681901195487864E-2</c:v>
                  </c:pt>
                  <c:pt idx="4">
                    <c:v>3.3819283765069895E-2</c:v>
                  </c:pt>
                </c:numCache>
              </c:numRef>
            </c:plus>
            <c:minus>
              <c:numRef>
                <c:f>FCR!$L$4:$L$8</c:f>
                <c:numCache>
                  <c:formatCode>General</c:formatCode>
                  <c:ptCount val="5"/>
                  <c:pt idx="0">
                    <c:v>2.955399769433751E-2</c:v>
                  </c:pt>
                  <c:pt idx="1">
                    <c:v>3.3149193859428668E-2</c:v>
                  </c:pt>
                  <c:pt idx="2">
                    <c:v>5.935261620868832E-2</c:v>
                  </c:pt>
                  <c:pt idx="3">
                    <c:v>5.1681901195487864E-2</c:v>
                  </c:pt>
                  <c:pt idx="4">
                    <c:v>3.3819283765069895E-2</c:v>
                  </c:pt>
                </c:numCache>
              </c:numRef>
            </c:minus>
            <c:spPr>
              <a:noFill/>
              <a:ln w="9525" cap="flat" cmpd="sng" algn="ctr">
                <a:solidFill>
                  <a:schemeClr val="tx1">
                    <a:lumMod val="65000"/>
                    <a:lumOff val="35000"/>
                  </a:schemeClr>
                </a:solidFill>
                <a:round/>
              </a:ln>
              <a:effectLst/>
            </c:spPr>
          </c:errBars>
          <c:cat>
            <c:strRef>
              <c:f>FCR!$J$4:$J$8</c:f>
              <c:strCache>
                <c:ptCount val="5"/>
                <c:pt idx="0">
                  <c:v>T0</c:v>
                </c:pt>
                <c:pt idx="1">
                  <c:v>T1</c:v>
                </c:pt>
                <c:pt idx="2">
                  <c:v>T2</c:v>
                </c:pt>
                <c:pt idx="3">
                  <c:v>T3</c:v>
                </c:pt>
                <c:pt idx="4">
                  <c:v>T4</c:v>
                </c:pt>
              </c:strCache>
            </c:strRef>
          </c:cat>
          <c:val>
            <c:numRef>
              <c:f>FCR!$K$4:$K$8</c:f>
              <c:numCache>
                <c:formatCode>###0.00000</c:formatCode>
                <c:ptCount val="5"/>
                <c:pt idx="0">
                  <c:v>2.4319306259999998</c:v>
                </c:pt>
                <c:pt idx="1">
                  <c:v>2.13973806575</c:v>
                </c:pt>
                <c:pt idx="2">
                  <c:v>2.0764044742499999</c:v>
                </c:pt>
                <c:pt idx="3">
                  <c:v>1.9771433384999999</c:v>
                </c:pt>
                <c:pt idx="4">
                  <c:v>1.9963354417499999</c:v>
                </c:pt>
              </c:numCache>
            </c:numRef>
          </c:val>
          <c:extLst>
            <c:ext xmlns:c15="http://schemas.microsoft.com/office/drawing/2012/chart" uri="{02D57815-91ED-43cb-92C2-25804820EDAC}">
              <c15:datalabelsRange>
                <c15:f>FCR!$M$4:$M$8</c15:f>
                <c15:dlblRangeCache>
                  <c:ptCount val="5"/>
                  <c:pt idx="0">
                    <c:v>a</c:v>
                  </c:pt>
                  <c:pt idx="1">
                    <c:v>b</c:v>
                  </c:pt>
                  <c:pt idx="2">
                    <c:v>bc</c:v>
                  </c:pt>
                  <c:pt idx="3">
                    <c:v>c</c:v>
                  </c:pt>
                  <c:pt idx="4">
                    <c:v>c</c:v>
                  </c:pt>
                </c15:dlblRangeCache>
              </c15:datalabelsRange>
            </c:ext>
            <c:ext xmlns:c16="http://schemas.microsoft.com/office/drawing/2014/chart" uri="{C3380CC4-5D6E-409C-BE32-E72D297353CC}">
              <c16:uniqueId val="{00000005-541B-48A5-BDEF-262963D96E48}"/>
            </c:ext>
          </c:extLst>
        </c:ser>
        <c:dLbls>
          <c:dLblPos val="outEnd"/>
          <c:showLegendKey val="0"/>
          <c:showVal val="1"/>
          <c:showCatName val="0"/>
          <c:showSerName val="0"/>
          <c:showPercent val="0"/>
          <c:showBubbleSize val="0"/>
        </c:dLbls>
        <c:gapWidth val="219"/>
        <c:overlap val="-27"/>
        <c:axId val="1021983264"/>
        <c:axId val="1021993824"/>
      </c:barChart>
      <c:catAx>
        <c:axId val="102198326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Treatment</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1993824"/>
        <c:crosses val="autoZero"/>
        <c:auto val="1"/>
        <c:lblAlgn val="ctr"/>
        <c:lblOffset val="100"/>
        <c:noMultiLvlLbl val="0"/>
      </c:catAx>
      <c:valAx>
        <c:axId val="1021993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FCR</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1983264"/>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440" b="1" i="0" u="none" strike="noStrike" baseline="0">
                <a:solidFill>
                  <a:schemeClr val="tx1"/>
                </a:solidFill>
                <a:effectLst/>
              </a:rPr>
              <a:t>Protein Efficiency Ratio (PER) </a:t>
            </a:r>
            <a:endParaRPr lang="en-IN">
              <a:solidFill>
                <a:schemeClr val="tx1"/>
              </a:solidFill>
            </a:endParaRP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87491313412091"/>
          <c:y val="0.15073815546041988"/>
          <c:w val="0.78676858929812377"/>
          <c:h val="0.64077149266670841"/>
        </c:manualLayout>
      </c:layout>
      <c:barChart>
        <c:barDir val="col"/>
        <c:grouping val="clustered"/>
        <c:varyColors val="0"/>
        <c:ser>
          <c:idx val="0"/>
          <c:order val="0"/>
          <c:spPr>
            <a:solidFill>
              <a:schemeClr val="accent1"/>
            </a:solidFill>
            <a:ln>
              <a:noFill/>
            </a:ln>
            <a:effectLst/>
          </c:spPr>
          <c:invertIfNegative val="0"/>
          <c:dLbls>
            <c:dLbl>
              <c:idx val="0"/>
              <c:tx>
                <c:rich>
                  <a:bodyPr/>
                  <a:lstStyle/>
                  <a:p>
                    <a:fld id="{59286E83-D398-4DFF-B7AC-2F8A0141AA7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B4B-4355-B702-D1379371D7FB}"/>
                </c:ext>
              </c:extLst>
            </c:dLbl>
            <c:dLbl>
              <c:idx val="1"/>
              <c:tx>
                <c:rich>
                  <a:bodyPr/>
                  <a:lstStyle/>
                  <a:p>
                    <a:fld id="{80B75875-E466-4099-BF81-F4ED4922E59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B4B-4355-B702-D1379371D7FB}"/>
                </c:ext>
              </c:extLst>
            </c:dLbl>
            <c:dLbl>
              <c:idx val="2"/>
              <c:tx>
                <c:rich>
                  <a:bodyPr/>
                  <a:lstStyle/>
                  <a:p>
                    <a:fld id="{C87DF9AC-7139-4A44-9784-3CDD9181CD7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B4B-4355-B702-D1379371D7FB}"/>
                </c:ext>
              </c:extLst>
            </c:dLbl>
            <c:dLbl>
              <c:idx val="3"/>
              <c:tx>
                <c:rich>
                  <a:bodyPr/>
                  <a:lstStyle/>
                  <a:p>
                    <a:fld id="{3DE91C72-AA62-4597-9CA6-0B063ECF45A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B4B-4355-B702-D1379371D7FB}"/>
                </c:ext>
              </c:extLst>
            </c:dLbl>
            <c:dLbl>
              <c:idx val="4"/>
              <c:tx>
                <c:rich>
                  <a:bodyPr/>
                  <a:lstStyle/>
                  <a:p>
                    <a:fld id="{E4CA5394-52F5-471F-BC28-E98A17505A4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B4B-4355-B702-D1379371D7F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'PER    fce'!$E$4:$E$8</c:f>
                <c:numCache>
                  <c:formatCode>General</c:formatCode>
                  <c:ptCount val="5"/>
                  <c:pt idx="0">
                    <c:v>1.659964920823525E-2</c:v>
                  </c:pt>
                  <c:pt idx="1">
                    <c:v>2.4131194747623021E-2</c:v>
                  </c:pt>
                  <c:pt idx="2">
                    <c:v>4.649568064541619E-2</c:v>
                  </c:pt>
                  <c:pt idx="3">
                    <c:v>4.4095929220628494E-2</c:v>
                  </c:pt>
                  <c:pt idx="4">
                    <c:v>1.1000992821900559E-2</c:v>
                  </c:pt>
                </c:numCache>
              </c:numRef>
            </c:plus>
            <c:minus>
              <c:numRef>
                <c:f>'PER    fce'!$E$4:$E$8</c:f>
                <c:numCache>
                  <c:formatCode>General</c:formatCode>
                  <c:ptCount val="5"/>
                  <c:pt idx="0">
                    <c:v>1.659964920823525E-2</c:v>
                  </c:pt>
                  <c:pt idx="1">
                    <c:v>2.4131194747623021E-2</c:v>
                  </c:pt>
                  <c:pt idx="2">
                    <c:v>4.649568064541619E-2</c:v>
                  </c:pt>
                  <c:pt idx="3">
                    <c:v>4.4095929220628494E-2</c:v>
                  </c:pt>
                  <c:pt idx="4">
                    <c:v>1.1000992821900559E-2</c:v>
                  </c:pt>
                </c:numCache>
              </c:numRef>
            </c:minus>
            <c:spPr>
              <a:noFill/>
              <a:ln w="9525" cap="flat" cmpd="sng" algn="ctr">
                <a:solidFill>
                  <a:schemeClr val="tx1">
                    <a:lumMod val="65000"/>
                    <a:lumOff val="35000"/>
                  </a:schemeClr>
                </a:solidFill>
                <a:round/>
              </a:ln>
              <a:effectLst/>
            </c:spPr>
          </c:errBars>
          <c:cat>
            <c:strRef>
              <c:f>'PER    fce'!$C$4:$C$8</c:f>
              <c:strCache>
                <c:ptCount val="5"/>
                <c:pt idx="0">
                  <c:v>T0</c:v>
                </c:pt>
                <c:pt idx="1">
                  <c:v>T1</c:v>
                </c:pt>
                <c:pt idx="2">
                  <c:v>T2</c:v>
                </c:pt>
                <c:pt idx="3">
                  <c:v>T3</c:v>
                </c:pt>
                <c:pt idx="4">
                  <c:v>T4</c:v>
                </c:pt>
              </c:strCache>
            </c:strRef>
          </c:cat>
          <c:val>
            <c:numRef>
              <c:f>'PER    fce'!$D$4:$D$8</c:f>
              <c:numCache>
                <c:formatCode>###0.00000</c:formatCode>
                <c:ptCount val="5"/>
                <c:pt idx="0">
                  <c:v>1.3712582862499998</c:v>
                </c:pt>
                <c:pt idx="1">
                  <c:v>1.55894424875</c:v>
                </c:pt>
                <c:pt idx="2">
                  <c:v>1.609325103</c:v>
                </c:pt>
                <c:pt idx="3">
                  <c:v>1.68939046475</c:v>
                </c:pt>
                <c:pt idx="4">
                  <c:v>1.6699430074999999</c:v>
                </c:pt>
              </c:numCache>
            </c:numRef>
          </c:val>
          <c:extLst>
            <c:ext xmlns:c15="http://schemas.microsoft.com/office/drawing/2012/chart" uri="{02D57815-91ED-43cb-92C2-25804820EDAC}">
              <c15:datalabelsRange>
                <c15:f>'PER    fce'!$F$4:$F$8</c15:f>
                <c15:dlblRangeCache>
                  <c:ptCount val="5"/>
                  <c:pt idx="0">
                    <c:v>c</c:v>
                  </c:pt>
                  <c:pt idx="1">
                    <c:v>b</c:v>
                  </c:pt>
                  <c:pt idx="2">
                    <c:v>ab</c:v>
                  </c:pt>
                  <c:pt idx="3">
                    <c:v>a </c:v>
                  </c:pt>
                  <c:pt idx="4">
                    <c:v>a </c:v>
                  </c:pt>
                </c15:dlblRangeCache>
              </c15:datalabelsRange>
            </c:ext>
            <c:ext xmlns:c16="http://schemas.microsoft.com/office/drawing/2014/chart" uri="{C3380CC4-5D6E-409C-BE32-E72D297353CC}">
              <c16:uniqueId val="{00000005-5B4B-4355-B702-D1379371D7FB}"/>
            </c:ext>
          </c:extLst>
        </c:ser>
        <c:dLbls>
          <c:showLegendKey val="0"/>
          <c:showVal val="0"/>
          <c:showCatName val="0"/>
          <c:showSerName val="0"/>
          <c:showPercent val="0"/>
          <c:showBubbleSize val="0"/>
        </c:dLbls>
        <c:gapWidth val="219"/>
        <c:overlap val="-27"/>
        <c:axId val="972106928"/>
        <c:axId val="972103568"/>
      </c:barChart>
      <c:catAx>
        <c:axId val="9721069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rPr>
                  <a:t>Treatment</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2103568"/>
        <c:crosses val="autoZero"/>
        <c:auto val="1"/>
        <c:lblAlgn val="ctr"/>
        <c:lblOffset val="100"/>
        <c:noMultiLvlLbl val="0"/>
      </c:catAx>
      <c:valAx>
        <c:axId val="972103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rPr>
                  <a:t>PER</a:t>
                </a:r>
              </a:p>
            </c:rich>
          </c:tx>
          <c:layout>
            <c:manualLayout>
              <c:xMode val="edge"/>
              <c:yMode val="edge"/>
              <c:x val="3.4569149738958735E-2"/>
              <c:y val="0.4042715088326143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2106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3105</TotalTime>
  <Pages>12</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nenujiviral2103@outlook.com</dc:creator>
  <cp:keywords/>
  <dc:description/>
  <cp:lastModifiedBy>SDI 1084</cp:lastModifiedBy>
  <cp:revision>171</cp:revision>
  <dcterms:created xsi:type="dcterms:W3CDTF">2026-05-04T07:59:00Z</dcterms:created>
  <dcterms:modified xsi:type="dcterms:W3CDTF">2026-05-07T13:46:00Z</dcterms:modified>
</cp:coreProperties>
</file>