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3E7A2" w14:textId="050FFA7C" w:rsidR="00081415" w:rsidRDefault="00081415" w:rsidP="003C35DC">
      <w:pPr>
        <w:spacing w:after="0" w:line="240" w:lineRule="auto"/>
        <w:jc w:val="center"/>
        <w:rPr>
          <w:rFonts w:ascii="Times New Roman" w:hAnsi="Times New Roman" w:cs="Times New Roman"/>
        </w:rPr>
      </w:pPr>
      <w:r w:rsidRPr="00AE16C5">
        <w:rPr>
          <w:rFonts w:ascii="Times New Roman" w:hAnsi="Times New Roman" w:cs="Times New Roman"/>
        </w:rPr>
        <w:t>PCR-Based Detection of Mixed Plasmodium Infections in Asymptomatic Carriers</w:t>
      </w:r>
    </w:p>
    <w:p w14:paraId="517A26CC" w14:textId="77777777" w:rsidR="00F239DA" w:rsidRPr="00AE16C5" w:rsidRDefault="00F239DA" w:rsidP="003C35DC">
      <w:pPr>
        <w:spacing w:after="0" w:line="240" w:lineRule="auto"/>
        <w:jc w:val="center"/>
        <w:rPr>
          <w:rFonts w:ascii="Times New Roman" w:hAnsi="Times New Roman" w:cs="Times New Roman"/>
        </w:rPr>
      </w:pPr>
    </w:p>
    <w:p w14:paraId="61AF2151" w14:textId="32B20221" w:rsidR="00535FD1" w:rsidRDefault="00535FD1" w:rsidP="003C35DC">
      <w:pPr>
        <w:spacing w:after="0" w:line="240" w:lineRule="auto"/>
        <w:jc w:val="center"/>
        <w:rPr>
          <w:rFonts w:ascii="Times New Roman" w:hAnsi="Times New Roman" w:cs="Times New Roman"/>
        </w:rPr>
      </w:pPr>
    </w:p>
    <w:p w14:paraId="2CCFB4D6" w14:textId="77777777" w:rsidR="00F34642" w:rsidRDefault="00F34642" w:rsidP="003C35DC">
      <w:pPr>
        <w:spacing w:after="0" w:line="240" w:lineRule="auto"/>
        <w:jc w:val="center"/>
        <w:rPr>
          <w:rFonts w:ascii="Times New Roman" w:hAnsi="Times New Roman" w:cs="Times New Roman"/>
        </w:rPr>
      </w:pPr>
    </w:p>
    <w:p w14:paraId="72088945" w14:textId="77777777" w:rsidR="00F34642" w:rsidRDefault="00F34642" w:rsidP="003C35DC">
      <w:pPr>
        <w:spacing w:after="0" w:line="240" w:lineRule="auto"/>
        <w:jc w:val="center"/>
        <w:rPr>
          <w:rFonts w:ascii="Times New Roman" w:hAnsi="Times New Roman" w:cs="Times New Roman"/>
        </w:rPr>
      </w:pPr>
      <w:bookmarkStart w:id="0" w:name="_GoBack"/>
      <w:bookmarkEnd w:id="0"/>
    </w:p>
    <w:p w14:paraId="401C0167" w14:textId="77777777" w:rsidR="007C2B44" w:rsidRDefault="007C2B44" w:rsidP="003C35DC">
      <w:pPr>
        <w:spacing w:after="0" w:line="240" w:lineRule="auto"/>
        <w:jc w:val="both"/>
        <w:rPr>
          <w:rFonts w:ascii="Times New Roman" w:hAnsi="Times New Roman" w:cs="Times New Roman"/>
        </w:rPr>
      </w:pPr>
    </w:p>
    <w:p w14:paraId="0DAA14DF" w14:textId="7F24C163" w:rsidR="00081415" w:rsidRPr="00AE16C5" w:rsidRDefault="00081415" w:rsidP="003C35DC">
      <w:pPr>
        <w:spacing w:after="0" w:line="240" w:lineRule="auto"/>
        <w:jc w:val="both"/>
        <w:rPr>
          <w:rFonts w:ascii="Times New Roman" w:hAnsi="Times New Roman" w:cs="Times New Roman"/>
        </w:rPr>
      </w:pPr>
      <w:r w:rsidRPr="00AE16C5">
        <w:rPr>
          <w:rFonts w:ascii="Times New Roman" w:hAnsi="Times New Roman" w:cs="Times New Roman"/>
        </w:rPr>
        <w:t>Abstract</w:t>
      </w:r>
    </w:p>
    <w:p w14:paraId="0DB8A385" w14:textId="77777777" w:rsidR="00081415" w:rsidRPr="00AE16C5" w:rsidRDefault="00081415" w:rsidP="003C35DC">
      <w:pPr>
        <w:spacing w:after="0" w:line="240" w:lineRule="auto"/>
        <w:jc w:val="both"/>
        <w:rPr>
          <w:rFonts w:ascii="Times New Roman" w:hAnsi="Times New Roman" w:cs="Times New Roman"/>
        </w:rPr>
      </w:pPr>
      <w:r w:rsidRPr="00AE16C5">
        <w:rPr>
          <w:rFonts w:ascii="Times New Roman" w:hAnsi="Times New Roman" w:cs="Times New Roman"/>
        </w:rPr>
        <w:t>Mixed Plasmodium infections remain underdiagnosed in malaria-endemic regions due to the limited sensitivity of conventional microscopy and rapid diagnostic tests (RDTs). Asymptomatic carriers serve as hidden reservoirs that sustain transmission and complicate malaria elimination efforts. This study evaluated the performance of polymerase chain reaction (PCR) in detecting mixed Plasmodium infections among asymptomatic individuals in an endemic region. A total of 600 participants without clinical symptoms were screened using microscopy, RDT, and nested PCR targeting species-specific 18S rRNA genes. PCR detected malaria infection in 28.5% of participants, compared to 17.3% by microscopy and 19.1% by RDT. Mixed infections were identified in 9.8% of PCR-positive cases, predominantly involving Plasmodium falciparum and Plasmodium malariae. PCR demonstrated significantly higher sensitivity (94.2%) compared to microscopy (61.4%) and RDT (68.7%) (p &lt; 0.001). These findings highlight the importance of molecular diagnostics in identifying asymptomatic and mixed infections critical for malaria elimination strategies.</w:t>
      </w:r>
    </w:p>
    <w:p w14:paraId="7F65E9F2" w14:textId="77777777" w:rsidR="00081415" w:rsidRPr="00AE16C5" w:rsidRDefault="00081415" w:rsidP="003C35DC">
      <w:pPr>
        <w:spacing w:after="0" w:line="240" w:lineRule="auto"/>
        <w:jc w:val="both"/>
        <w:rPr>
          <w:rFonts w:ascii="Times New Roman" w:hAnsi="Times New Roman" w:cs="Times New Roman"/>
        </w:rPr>
      </w:pPr>
    </w:p>
    <w:p w14:paraId="2A29C037" w14:textId="03CCF7CE" w:rsidR="0020221A" w:rsidRPr="00AE16C5" w:rsidRDefault="00081415" w:rsidP="003C35DC">
      <w:pPr>
        <w:spacing w:after="0" w:line="240" w:lineRule="auto"/>
        <w:jc w:val="both"/>
        <w:rPr>
          <w:rFonts w:ascii="Times New Roman" w:hAnsi="Times New Roman" w:cs="Times New Roman"/>
        </w:rPr>
      </w:pPr>
      <w:r w:rsidRPr="00616929">
        <w:rPr>
          <w:rFonts w:ascii="Times New Roman" w:hAnsi="Times New Roman" w:cs="Times New Roman"/>
          <w:b/>
          <w:bCs/>
        </w:rPr>
        <w:t>Keywords:</w:t>
      </w:r>
      <w:r w:rsidRPr="00AE16C5">
        <w:rPr>
          <w:rFonts w:ascii="Times New Roman" w:hAnsi="Times New Roman" w:cs="Times New Roman"/>
        </w:rPr>
        <w:t xml:space="preserve"> Malaria, Mixed infections, PCR, Asymptomatic carriers, Molecular diagnosis, Plasmodium species</w:t>
      </w:r>
    </w:p>
    <w:p w14:paraId="08390791" w14:textId="77777777" w:rsidR="00081415" w:rsidRPr="00AE16C5" w:rsidRDefault="00081415" w:rsidP="003C35DC">
      <w:pPr>
        <w:spacing w:after="0" w:line="240" w:lineRule="auto"/>
        <w:jc w:val="both"/>
        <w:rPr>
          <w:rFonts w:ascii="Times New Roman" w:hAnsi="Times New Roman" w:cs="Times New Roman"/>
        </w:rPr>
      </w:pPr>
    </w:p>
    <w:p w14:paraId="590E3388" w14:textId="77777777" w:rsidR="00081415" w:rsidRPr="00AE16C5" w:rsidRDefault="00081415" w:rsidP="003C35DC">
      <w:pPr>
        <w:spacing w:after="0" w:line="240" w:lineRule="auto"/>
        <w:jc w:val="both"/>
        <w:rPr>
          <w:rFonts w:ascii="Times New Roman" w:hAnsi="Times New Roman" w:cs="Times New Roman"/>
        </w:rPr>
      </w:pPr>
    </w:p>
    <w:p w14:paraId="087857FC" w14:textId="77777777" w:rsidR="00081415" w:rsidRPr="001F20CA" w:rsidRDefault="00081415" w:rsidP="003C35DC">
      <w:pPr>
        <w:spacing w:after="0" w:line="240" w:lineRule="auto"/>
        <w:jc w:val="both"/>
        <w:rPr>
          <w:rFonts w:ascii="Times New Roman" w:hAnsi="Times New Roman" w:cs="Times New Roman"/>
          <w:b/>
          <w:bCs/>
        </w:rPr>
      </w:pPr>
      <w:r w:rsidRPr="001F20CA">
        <w:rPr>
          <w:rFonts w:ascii="Times New Roman" w:hAnsi="Times New Roman" w:cs="Times New Roman"/>
          <w:b/>
          <w:bCs/>
        </w:rPr>
        <w:t>1. Introduction</w:t>
      </w:r>
    </w:p>
    <w:p w14:paraId="3000CAE2" w14:textId="4001395A" w:rsidR="006F2223" w:rsidRPr="006F2223" w:rsidRDefault="006F2223" w:rsidP="003C35DC">
      <w:pPr>
        <w:spacing w:after="0" w:line="240" w:lineRule="auto"/>
        <w:jc w:val="both"/>
        <w:rPr>
          <w:rFonts w:ascii="Times New Roman" w:hAnsi="Times New Roman" w:cs="Times New Roman"/>
        </w:rPr>
      </w:pPr>
      <w:r w:rsidRPr="006F2223">
        <w:rPr>
          <w:rFonts w:ascii="Times New Roman" w:hAnsi="Times New Roman" w:cs="Times New Roman"/>
        </w:rPr>
        <w:t xml:space="preserve">Malaria remains one of the most significant parasitic diseases globally, with ongoing transmission in many tropical and subtropical regions [1,2]. Despite substantial reductions in morbidity and mortality over the past two decades, elimination efforts face persistent challenges [1,3]. One of the most critical obstacles is the presence of asymptomatic carriers—individuals who harbor </w:t>
      </w:r>
      <w:r w:rsidRPr="006F2223">
        <w:rPr>
          <w:rFonts w:ascii="Times New Roman" w:hAnsi="Times New Roman" w:cs="Times New Roman"/>
          <w:i/>
          <w:iCs/>
        </w:rPr>
        <w:t>Plasmodium</w:t>
      </w:r>
      <w:r w:rsidRPr="006F2223">
        <w:rPr>
          <w:rFonts w:ascii="Times New Roman" w:hAnsi="Times New Roman" w:cs="Times New Roman"/>
        </w:rPr>
        <w:t xml:space="preserve"> parasites without exhibiting clinical symptoms [4,5]. These carriers often maintain low-density parasitemia that escapes routine diagnostic detection yet contributes silently to sustained transmission within communities [6,7].</w:t>
      </w:r>
      <w:r w:rsidR="003C35DC">
        <w:rPr>
          <w:rFonts w:ascii="Times New Roman" w:hAnsi="Times New Roman" w:cs="Times New Roman"/>
        </w:rPr>
        <w:t xml:space="preserve"> </w:t>
      </w:r>
      <w:r w:rsidRPr="006F2223">
        <w:rPr>
          <w:rFonts w:ascii="Times New Roman" w:hAnsi="Times New Roman" w:cs="Times New Roman"/>
        </w:rPr>
        <w:t xml:space="preserve">Malaria is caused by protozoan parasites of the genus </w:t>
      </w:r>
      <w:r w:rsidRPr="006F2223">
        <w:rPr>
          <w:rFonts w:ascii="Times New Roman" w:hAnsi="Times New Roman" w:cs="Times New Roman"/>
          <w:i/>
          <w:iCs/>
        </w:rPr>
        <w:t>Plasmodium</w:t>
      </w:r>
      <w:r w:rsidRPr="006F2223">
        <w:rPr>
          <w:rFonts w:ascii="Times New Roman" w:hAnsi="Times New Roman" w:cs="Times New Roman"/>
        </w:rPr>
        <w:t xml:space="preserve">, with the most common human-infecting species including </w:t>
      </w:r>
      <w:r w:rsidRPr="006F2223">
        <w:rPr>
          <w:rFonts w:ascii="Times New Roman" w:hAnsi="Times New Roman" w:cs="Times New Roman"/>
          <w:i/>
          <w:iCs/>
        </w:rPr>
        <w:t>Plasmodium falciparum</w:t>
      </w:r>
      <w:r w:rsidRPr="006F2223">
        <w:rPr>
          <w:rFonts w:ascii="Times New Roman" w:hAnsi="Times New Roman" w:cs="Times New Roman"/>
        </w:rPr>
        <w:t xml:space="preserve">, </w:t>
      </w:r>
      <w:r w:rsidRPr="006F2223">
        <w:rPr>
          <w:rFonts w:ascii="Times New Roman" w:hAnsi="Times New Roman" w:cs="Times New Roman"/>
          <w:i/>
          <w:iCs/>
        </w:rPr>
        <w:t>Plasmodium vivax</w:t>
      </w:r>
      <w:r w:rsidRPr="006F2223">
        <w:rPr>
          <w:rFonts w:ascii="Times New Roman" w:hAnsi="Times New Roman" w:cs="Times New Roman"/>
        </w:rPr>
        <w:t xml:space="preserve">, </w:t>
      </w:r>
      <w:r w:rsidRPr="006F2223">
        <w:rPr>
          <w:rFonts w:ascii="Times New Roman" w:hAnsi="Times New Roman" w:cs="Times New Roman"/>
          <w:i/>
          <w:iCs/>
        </w:rPr>
        <w:t xml:space="preserve">Plasmodium </w:t>
      </w:r>
      <w:proofErr w:type="spellStart"/>
      <w:r w:rsidRPr="006F2223">
        <w:rPr>
          <w:rFonts w:ascii="Times New Roman" w:hAnsi="Times New Roman" w:cs="Times New Roman"/>
          <w:i/>
          <w:iCs/>
        </w:rPr>
        <w:t>malariae</w:t>
      </w:r>
      <w:proofErr w:type="spellEnd"/>
      <w:r w:rsidRPr="006F2223">
        <w:rPr>
          <w:rFonts w:ascii="Times New Roman" w:hAnsi="Times New Roman" w:cs="Times New Roman"/>
        </w:rPr>
        <w:t xml:space="preserve">, and </w:t>
      </w:r>
      <w:r w:rsidRPr="006F2223">
        <w:rPr>
          <w:rFonts w:ascii="Times New Roman" w:hAnsi="Times New Roman" w:cs="Times New Roman"/>
          <w:i/>
          <w:iCs/>
        </w:rPr>
        <w:t xml:space="preserve">Plasmodium </w:t>
      </w:r>
      <w:proofErr w:type="spellStart"/>
      <w:r w:rsidRPr="006F2223">
        <w:rPr>
          <w:rFonts w:ascii="Times New Roman" w:hAnsi="Times New Roman" w:cs="Times New Roman"/>
          <w:i/>
          <w:iCs/>
        </w:rPr>
        <w:t>ovale</w:t>
      </w:r>
      <w:proofErr w:type="spellEnd"/>
      <w:r w:rsidRPr="006F2223">
        <w:rPr>
          <w:rFonts w:ascii="Times New Roman" w:hAnsi="Times New Roman" w:cs="Times New Roman"/>
        </w:rPr>
        <w:t xml:space="preserve"> [8,9]. While </w:t>
      </w:r>
      <w:r w:rsidRPr="006F2223">
        <w:rPr>
          <w:rFonts w:ascii="Times New Roman" w:hAnsi="Times New Roman" w:cs="Times New Roman"/>
          <w:i/>
          <w:iCs/>
        </w:rPr>
        <w:t>P. falciparum</w:t>
      </w:r>
      <w:r w:rsidRPr="006F2223">
        <w:rPr>
          <w:rFonts w:ascii="Times New Roman" w:hAnsi="Times New Roman" w:cs="Times New Roman"/>
        </w:rPr>
        <w:t xml:space="preserve"> is responsible for the majority of severe cases and deaths, non-falciparum species contribute significantly to chronic and recurrent infections [10,11]. In endemic regions, simultaneous infection with more than one </w:t>
      </w:r>
      <w:r w:rsidRPr="006F2223">
        <w:rPr>
          <w:rFonts w:ascii="Times New Roman" w:hAnsi="Times New Roman" w:cs="Times New Roman"/>
          <w:i/>
          <w:iCs/>
        </w:rPr>
        <w:t>Plasmodium</w:t>
      </w:r>
      <w:r w:rsidRPr="006F2223">
        <w:rPr>
          <w:rFonts w:ascii="Times New Roman" w:hAnsi="Times New Roman" w:cs="Times New Roman"/>
        </w:rPr>
        <w:t xml:space="preserve"> species—referred to as mixed infection—is increasingly recognized as common rather than exceptional [12,13].</w:t>
      </w:r>
    </w:p>
    <w:p w14:paraId="0DB1EAB1" w14:textId="77777777" w:rsidR="003C35DC" w:rsidRDefault="003C35DC" w:rsidP="003C35DC">
      <w:pPr>
        <w:spacing w:after="0" w:line="240" w:lineRule="auto"/>
        <w:jc w:val="both"/>
        <w:rPr>
          <w:rFonts w:ascii="Times New Roman" w:hAnsi="Times New Roman" w:cs="Times New Roman"/>
        </w:rPr>
      </w:pPr>
    </w:p>
    <w:p w14:paraId="64145B3E" w14:textId="7A5BDE15" w:rsidR="006F2223" w:rsidRDefault="006F2223" w:rsidP="003C35DC">
      <w:pPr>
        <w:spacing w:after="0" w:line="240" w:lineRule="auto"/>
        <w:jc w:val="both"/>
        <w:rPr>
          <w:rFonts w:ascii="Times New Roman" w:hAnsi="Times New Roman" w:cs="Times New Roman"/>
        </w:rPr>
      </w:pPr>
      <w:r w:rsidRPr="006F2223">
        <w:rPr>
          <w:rFonts w:ascii="Times New Roman" w:hAnsi="Times New Roman" w:cs="Times New Roman"/>
        </w:rPr>
        <w:t xml:space="preserve">Mixed </w:t>
      </w:r>
      <w:r w:rsidRPr="006F2223">
        <w:rPr>
          <w:rFonts w:ascii="Times New Roman" w:hAnsi="Times New Roman" w:cs="Times New Roman"/>
          <w:i/>
          <w:iCs/>
        </w:rPr>
        <w:t>Plasmodium</w:t>
      </w:r>
      <w:r w:rsidRPr="006F2223">
        <w:rPr>
          <w:rFonts w:ascii="Times New Roman" w:hAnsi="Times New Roman" w:cs="Times New Roman"/>
        </w:rPr>
        <w:t xml:space="preserve"> infections are epidemiologically important for several reasons. First, species interactions within the host may influence parasite density, immune responses, and disease severity [14,15]. Second, mixed infections complicate treatment decisions, particularly in areas where species-specific drug regimens are required [11,16]. Third, undetected non-falciparum species may persist following treatment targeted primarily at </w:t>
      </w:r>
      <w:r w:rsidRPr="006F2223">
        <w:rPr>
          <w:rFonts w:ascii="Times New Roman" w:hAnsi="Times New Roman" w:cs="Times New Roman"/>
          <w:i/>
          <w:iCs/>
        </w:rPr>
        <w:t>P. falciparum</w:t>
      </w:r>
      <w:r w:rsidRPr="006F2223">
        <w:rPr>
          <w:rFonts w:ascii="Times New Roman" w:hAnsi="Times New Roman" w:cs="Times New Roman"/>
        </w:rPr>
        <w:t xml:space="preserve">, thereby sustaining transmission cycles [13,17]. Despite their importance, mixed infections are frequently underreported due to </w:t>
      </w:r>
      <w:r w:rsidRPr="006F2223">
        <w:rPr>
          <w:rFonts w:ascii="Times New Roman" w:hAnsi="Times New Roman" w:cs="Times New Roman"/>
        </w:rPr>
        <w:lastRenderedPageBreak/>
        <w:t>diagnostic limitations [6,12].</w:t>
      </w:r>
      <w:r w:rsidR="003C35DC">
        <w:rPr>
          <w:rFonts w:ascii="Times New Roman" w:hAnsi="Times New Roman" w:cs="Times New Roman"/>
        </w:rPr>
        <w:t xml:space="preserve"> </w:t>
      </w:r>
      <w:r w:rsidRPr="006F2223">
        <w:rPr>
          <w:rFonts w:ascii="Times New Roman" w:hAnsi="Times New Roman" w:cs="Times New Roman"/>
        </w:rPr>
        <w:t>Conventional malaria diagnosis relies heavily on light microscopy and rapid diagnostic tests (RDTs) [9,18]. Microscopy remains the traditional gold standard; however, its sensitivity is dependent on parasite density and technician expertise [18,19]. Submicroscopic infections—those with parasite densities below the detection threshold—are easily missed [5,6]. Additionally, morphological similarities between certain species can lead to misidentification, especially in cases of low parasitemia or mixed infection [15,20].</w:t>
      </w:r>
    </w:p>
    <w:p w14:paraId="5DDCED1F" w14:textId="77777777" w:rsidR="003C35DC" w:rsidRPr="006F2223" w:rsidRDefault="003C35DC" w:rsidP="003C35DC">
      <w:pPr>
        <w:spacing w:after="0" w:line="240" w:lineRule="auto"/>
        <w:jc w:val="both"/>
        <w:rPr>
          <w:rFonts w:ascii="Times New Roman" w:hAnsi="Times New Roman" w:cs="Times New Roman"/>
        </w:rPr>
      </w:pPr>
    </w:p>
    <w:p w14:paraId="3C494137" w14:textId="2DC8602C" w:rsidR="006F2223" w:rsidRDefault="006F2223" w:rsidP="003C35DC">
      <w:pPr>
        <w:spacing w:after="0" w:line="240" w:lineRule="auto"/>
        <w:jc w:val="both"/>
        <w:rPr>
          <w:rFonts w:ascii="Times New Roman" w:hAnsi="Times New Roman" w:cs="Times New Roman"/>
        </w:rPr>
      </w:pPr>
      <w:r w:rsidRPr="006F2223">
        <w:rPr>
          <w:rFonts w:ascii="Times New Roman" w:hAnsi="Times New Roman" w:cs="Times New Roman"/>
        </w:rPr>
        <w:t xml:space="preserve">RDTs, which detect parasite antigens such as histidine-rich protein 2 (HRP2), offer rapid and field-friendly diagnosis but have limitations [9,11]. Many RDTs are designed primarily to detect </w:t>
      </w:r>
      <w:r w:rsidRPr="006F2223">
        <w:rPr>
          <w:rFonts w:ascii="Times New Roman" w:hAnsi="Times New Roman" w:cs="Times New Roman"/>
          <w:i/>
          <w:iCs/>
        </w:rPr>
        <w:t>P. falciparum</w:t>
      </w:r>
      <w:r w:rsidRPr="006F2223">
        <w:rPr>
          <w:rFonts w:ascii="Times New Roman" w:hAnsi="Times New Roman" w:cs="Times New Roman"/>
        </w:rPr>
        <w:t xml:space="preserve"> and may not reliably identify non-falciparum species [10,11]. Furthermore, antigen persistence following treatment can lead to false-positive results, while gene deletions (e.g., HRP2 deletions) can result in false negatives [10,21].</w:t>
      </w:r>
      <w:r w:rsidR="003C35DC">
        <w:rPr>
          <w:rFonts w:ascii="Times New Roman" w:hAnsi="Times New Roman" w:cs="Times New Roman"/>
        </w:rPr>
        <w:t xml:space="preserve"> </w:t>
      </w:r>
      <w:r w:rsidRPr="006F2223">
        <w:rPr>
          <w:rFonts w:ascii="Times New Roman" w:hAnsi="Times New Roman" w:cs="Times New Roman"/>
        </w:rPr>
        <w:t>Polymerase chain reaction (PCR)–based molecular diagnostics provide enhanced sensitivity and specificity by amplifying parasite DNA [22,23]. PCR can detect parasitemia levels far below the threshold of microscopy and can differentiate species accurately using species-specific primers targeting conserved genetic regions such as the 18S rRNA gene [23,24]. Importantly, PCR enables detection of mixed infections that may be overlooked by conventional methods [6,12]. This is particularly relevant in elimination settings where residual transmission is often driven by asymptomatic individuals with low parasite densities [1,25].</w:t>
      </w:r>
    </w:p>
    <w:p w14:paraId="55301D95" w14:textId="77777777" w:rsidR="003C35DC" w:rsidRPr="006F2223" w:rsidRDefault="003C35DC" w:rsidP="003C35DC">
      <w:pPr>
        <w:spacing w:after="0" w:line="240" w:lineRule="auto"/>
        <w:jc w:val="both"/>
        <w:rPr>
          <w:rFonts w:ascii="Times New Roman" w:hAnsi="Times New Roman" w:cs="Times New Roman"/>
        </w:rPr>
      </w:pPr>
    </w:p>
    <w:p w14:paraId="6157B3EB" w14:textId="77777777" w:rsidR="006F2223" w:rsidRPr="006F2223" w:rsidRDefault="006F2223" w:rsidP="003C35DC">
      <w:pPr>
        <w:spacing w:after="0" w:line="240" w:lineRule="auto"/>
        <w:jc w:val="both"/>
        <w:rPr>
          <w:rFonts w:ascii="Times New Roman" w:hAnsi="Times New Roman" w:cs="Times New Roman"/>
        </w:rPr>
      </w:pPr>
      <w:r w:rsidRPr="006F2223">
        <w:rPr>
          <w:rFonts w:ascii="Times New Roman" w:hAnsi="Times New Roman" w:cs="Times New Roman"/>
        </w:rPr>
        <w:t>The role of asymptomatic carriers in malaria epidemiology has gained increasing attention [4,6]. These individuals may represent a substantial proportion of the infectious reservoir in endemic areas [1,25]. Because they do not seek treatment due to lack of symptoms, they remain undiagnosed and untreated, facilitating ongoing transmission via mosquito vectors [12,13]. As countries move from control to elimination phases, identifying and treating asymptomatic and mixed infections becomes essential for interrupting transmission [1,25].</w:t>
      </w:r>
    </w:p>
    <w:p w14:paraId="7C9E2F82" w14:textId="77777777" w:rsidR="006F2223" w:rsidRPr="006F2223" w:rsidRDefault="006F2223" w:rsidP="003C35DC">
      <w:pPr>
        <w:spacing w:after="0" w:line="240" w:lineRule="auto"/>
        <w:jc w:val="both"/>
        <w:rPr>
          <w:rFonts w:ascii="Times New Roman" w:hAnsi="Times New Roman" w:cs="Times New Roman"/>
        </w:rPr>
      </w:pPr>
      <w:r w:rsidRPr="006F2223">
        <w:rPr>
          <w:rFonts w:ascii="Times New Roman" w:hAnsi="Times New Roman" w:cs="Times New Roman"/>
        </w:rPr>
        <w:t>Despite the advantages of PCR, its routine implementation in endemic regions remains limited due to cost, technical expertise requirements, and laboratory infrastructure constraints [22,23]. Nevertheless, PCR serves as a critical reference standard in epidemiological studies and surveillance programs [24,26]. Comparative evaluation of PCR against microscopy and RDT in detecting mixed infections among asymptomatic individuals is therefore essential to quantify the extent of underdiagnosis and inform policy decisions [1,25].</w:t>
      </w:r>
    </w:p>
    <w:p w14:paraId="5B20420E" w14:textId="3216198D" w:rsidR="00081415" w:rsidRPr="00AE16C5" w:rsidRDefault="00081415" w:rsidP="003C35DC">
      <w:pPr>
        <w:spacing w:after="0" w:line="240" w:lineRule="auto"/>
        <w:jc w:val="both"/>
        <w:rPr>
          <w:rFonts w:ascii="Times New Roman" w:hAnsi="Times New Roman" w:cs="Times New Roman"/>
        </w:rPr>
      </w:pPr>
      <w:r w:rsidRPr="00AE16C5">
        <w:rPr>
          <w:rFonts w:ascii="Times New Roman" w:hAnsi="Times New Roman" w:cs="Times New Roman"/>
        </w:rPr>
        <w:t xml:space="preserve">The present study aims to evaluate PCR-based detection of mixed </w:t>
      </w:r>
      <w:r w:rsidRPr="00AE16C5">
        <w:rPr>
          <w:rFonts w:ascii="Times New Roman" w:hAnsi="Times New Roman" w:cs="Times New Roman"/>
          <w:i/>
          <w:iCs/>
        </w:rPr>
        <w:t>Plasmodium</w:t>
      </w:r>
      <w:r w:rsidRPr="00AE16C5">
        <w:rPr>
          <w:rFonts w:ascii="Times New Roman" w:hAnsi="Times New Roman" w:cs="Times New Roman"/>
        </w:rPr>
        <w:t xml:space="preserve"> infections in asymptomatic carriers within a malaria-endemic community. Specifically, the objectives are to:</w:t>
      </w:r>
    </w:p>
    <w:p w14:paraId="7F92EEDF" w14:textId="77777777" w:rsidR="00081415" w:rsidRPr="00AE16C5" w:rsidRDefault="00081415" w:rsidP="003C35DC">
      <w:pPr>
        <w:numPr>
          <w:ilvl w:val="0"/>
          <w:numId w:val="1"/>
        </w:numPr>
        <w:spacing w:after="0" w:line="240" w:lineRule="auto"/>
        <w:jc w:val="both"/>
        <w:rPr>
          <w:rFonts w:ascii="Times New Roman" w:hAnsi="Times New Roman" w:cs="Times New Roman"/>
        </w:rPr>
      </w:pPr>
      <w:r w:rsidRPr="00AE16C5">
        <w:rPr>
          <w:rFonts w:ascii="Times New Roman" w:hAnsi="Times New Roman" w:cs="Times New Roman"/>
        </w:rPr>
        <w:t>Determine the prevalence of asymptomatic malaria infections using PCR, microscopy, and RDT.</w:t>
      </w:r>
    </w:p>
    <w:p w14:paraId="42E2CE68" w14:textId="77777777" w:rsidR="00081415" w:rsidRPr="00AE16C5" w:rsidRDefault="00081415" w:rsidP="003C35DC">
      <w:pPr>
        <w:numPr>
          <w:ilvl w:val="0"/>
          <w:numId w:val="1"/>
        </w:numPr>
        <w:spacing w:after="0" w:line="240" w:lineRule="auto"/>
        <w:jc w:val="both"/>
        <w:rPr>
          <w:rFonts w:ascii="Times New Roman" w:hAnsi="Times New Roman" w:cs="Times New Roman"/>
        </w:rPr>
      </w:pPr>
      <w:r w:rsidRPr="00AE16C5">
        <w:rPr>
          <w:rFonts w:ascii="Times New Roman" w:hAnsi="Times New Roman" w:cs="Times New Roman"/>
        </w:rPr>
        <w:t>Assess the proportion of mixed-species infections detected by molecular methods.</w:t>
      </w:r>
    </w:p>
    <w:p w14:paraId="12154D1E" w14:textId="77777777" w:rsidR="00081415" w:rsidRPr="00AE16C5" w:rsidRDefault="00081415" w:rsidP="003C35DC">
      <w:pPr>
        <w:numPr>
          <w:ilvl w:val="0"/>
          <w:numId w:val="1"/>
        </w:numPr>
        <w:spacing w:after="0" w:line="240" w:lineRule="auto"/>
        <w:jc w:val="both"/>
        <w:rPr>
          <w:rFonts w:ascii="Times New Roman" w:hAnsi="Times New Roman" w:cs="Times New Roman"/>
        </w:rPr>
      </w:pPr>
      <w:r w:rsidRPr="00AE16C5">
        <w:rPr>
          <w:rFonts w:ascii="Times New Roman" w:hAnsi="Times New Roman" w:cs="Times New Roman"/>
        </w:rPr>
        <w:t>Compare the diagnostic performance of PCR with conventional methods.</w:t>
      </w:r>
    </w:p>
    <w:p w14:paraId="563C2980" w14:textId="77777777" w:rsidR="00081415" w:rsidRPr="00AE16C5" w:rsidRDefault="00081415" w:rsidP="003C35DC">
      <w:pPr>
        <w:numPr>
          <w:ilvl w:val="0"/>
          <w:numId w:val="1"/>
        </w:numPr>
        <w:spacing w:after="0" w:line="240" w:lineRule="auto"/>
        <w:jc w:val="both"/>
        <w:rPr>
          <w:rFonts w:ascii="Times New Roman" w:hAnsi="Times New Roman" w:cs="Times New Roman"/>
        </w:rPr>
      </w:pPr>
      <w:r w:rsidRPr="00AE16C5">
        <w:rPr>
          <w:rFonts w:ascii="Times New Roman" w:hAnsi="Times New Roman" w:cs="Times New Roman"/>
        </w:rPr>
        <w:t>Evaluate the implications of submicroscopic and mixed infections for malaria elimination strategies.</w:t>
      </w:r>
    </w:p>
    <w:p w14:paraId="5D10F6C7" w14:textId="77777777" w:rsidR="00081415" w:rsidRPr="00AE16C5" w:rsidRDefault="00081415" w:rsidP="003C35DC">
      <w:pPr>
        <w:spacing w:after="0" w:line="240" w:lineRule="auto"/>
        <w:jc w:val="both"/>
        <w:rPr>
          <w:rFonts w:ascii="Times New Roman" w:hAnsi="Times New Roman" w:cs="Times New Roman"/>
        </w:rPr>
      </w:pPr>
      <w:r w:rsidRPr="00AE16C5">
        <w:rPr>
          <w:rFonts w:ascii="Times New Roman" w:hAnsi="Times New Roman" w:cs="Times New Roman"/>
        </w:rPr>
        <w:t>By providing a comprehensive assessment of molecular detection in asymptomatic individuals, this study contributes to understanding hidden reservoirs of infection and highlights the importance of integrating advanced diagnostic tools into malaria surveillance frameworks.</w:t>
      </w:r>
    </w:p>
    <w:p w14:paraId="3E6A3695" w14:textId="77777777" w:rsidR="00081415" w:rsidRPr="00AE16C5" w:rsidRDefault="00081415" w:rsidP="003C35DC">
      <w:pPr>
        <w:spacing w:after="0" w:line="240" w:lineRule="auto"/>
        <w:jc w:val="both"/>
        <w:rPr>
          <w:rFonts w:ascii="Times New Roman" w:hAnsi="Times New Roman" w:cs="Times New Roman"/>
        </w:rPr>
      </w:pPr>
    </w:p>
    <w:p w14:paraId="71C01C32" w14:textId="77777777" w:rsidR="00170C4F" w:rsidRPr="00AE16C5" w:rsidRDefault="00170C4F" w:rsidP="003C35DC">
      <w:pPr>
        <w:spacing w:after="0" w:line="240" w:lineRule="auto"/>
        <w:jc w:val="both"/>
        <w:rPr>
          <w:rFonts w:ascii="Times New Roman" w:hAnsi="Times New Roman" w:cs="Times New Roman"/>
          <w:b/>
          <w:bCs/>
        </w:rPr>
      </w:pPr>
      <w:r w:rsidRPr="00AE16C5">
        <w:rPr>
          <w:rFonts w:ascii="Times New Roman" w:hAnsi="Times New Roman" w:cs="Times New Roman"/>
          <w:b/>
          <w:bCs/>
        </w:rPr>
        <w:t>2. Literature Review</w:t>
      </w:r>
    </w:p>
    <w:p w14:paraId="72069AC7" w14:textId="77777777" w:rsidR="00170C4F" w:rsidRPr="00AE16C5" w:rsidRDefault="00170C4F" w:rsidP="003C35DC">
      <w:pPr>
        <w:spacing w:after="0" w:line="240" w:lineRule="auto"/>
        <w:jc w:val="both"/>
        <w:rPr>
          <w:rFonts w:ascii="Times New Roman" w:hAnsi="Times New Roman" w:cs="Times New Roman"/>
        </w:rPr>
      </w:pPr>
      <w:r w:rsidRPr="00AE16C5">
        <w:rPr>
          <w:rFonts w:ascii="Times New Roman" w:hAnsi="Times New Roman" w:cs="Times New Roman"/>
        </w:rPr>
        <w:lastRenderedPageBreak/>
        <w:t xml:space="preserve">Understanding the epidemiological significance of mixed </w:t>
      </w:r>
      <w:r w:rsidRPr="00AE16C5">
        <w:rPr>
          <w:rFonts w:ascii="Times New Roman" w:hAnsi="Times New Roman" w:cs="Times New Roman"/>
          <w:i/>
          <w:iCs/>
        </w:rPr>
        <w:t>Plasmodium</w:t>
      </w:r>
      <w:r w:rsidRPr="00AE16C5">
        <w:rPr>
          <w:rFonts w:ascii="Times New Roman" w:hAnsi="Times New Roman" w:cs="Times New Roman"/>
        </w:rPr>
        <w:t xml:space="preserve"> infections in asymptomatic carriers requires examination of malaria transmission dynamics, diagnostic limitations, molecular detection advances, and elimination-phase challenges. This section reviews existing literature relevant to asymptomatic malaria, mixed-species infections, conventional and molecular diagnostic methods, and implications for malaria control programs.</w:t>
      </w:r>
    </w:p>
    <w:p w14:paraId="026CC4CD" w14:textId="77BCC4D5" w:rsidR="00170C4F" w:rsidRPr="00AE16C5" w:rsidRDefault="00170C4F" w:rsidP="003C35DC">
      <w:pPr>
        <w:spacing w:after="0" w:line="240" w:lineRule="auto"/>
        <w:jc w:val="both"/>
        <w:rPr>
          <w:rFonts w:ascii="Times New Roman" w:hAnsi="Times New Roman" w:cs="Times New Roman"/>
        </w:rPr>
      </w:pPr>
    </w:p>
    <w:p w14:paraId="21C68D5E" w14:textId="77777777" w:rsidR="00170C4F" w:rsidRPr="00AE16C5" w:rsidRDefault="00170C4F" w:rsidP="003C35DC">
      <w:pPr>
        <w:spacing w:after="0" w:line="240" w:lineRule="auto"/>
        <w:jc w:val="both"/>
        <w:rPr>
          <w:rFonts w:ascii="Times New Roman" w:hAnsi="Times New Roman" w:cs="Times New Roman"/>
          <w:b/>
          <w:bCs/>
        </w:rPr>
      </w:pPr>
      <w:r w:rsidRPr="00AE16C5">
        <w:rPr>
          <w:rFonts w:ascii="Times New Roman" w:hAnsi="Times New Roman" w:cs="Times New Roman"/>
          <w:b/>
          <w:bCs/>
        </w:rPr>
        <w:t>2.1 Asymptomatic Malaria as a Hidden Reservoir</w:t>
      </w:r>
    </w:p>
    <w:p w14:paraId="690A39F5" w14:textId="023D9EE6" w:rsidR="00171C08" w:rsidRPr="00171C08" w:rsidRDefault="00171C08" w:rsidP="003C35DC">
      <w:pPr>
        <w:spacing w:after="0" w:line="240" w:lineRule="auto"/>
        <w:jc w:val="both"/>
        <w:rPr>
          <w:rFonts w:ascii="Times New Roman" w:hAnsi="Times New Roman" w:cs="Times New Roman"/>
        </w:rPr>
      </w:pPr>
      <w:r w:rsidRPr="00171C08">
        <w:rPr>
          <w:rFonts w:ascii="Times New Roman" w:hAnsi="Times New Roman" w:cs="Times New Roman"/>
        </w:rPr>
        <w:t>In malaria-endemic regions, repeated exposure to infection often leads to partial immunity [27]. Individuals with partial immunity may harbor parasites without developing clinical symptoms [28]. These asymptomatic carriers typically maintain low-density parasitemia that is insufficient to trigger fever or severe disease but remains transmissible to mosquitoes [29].</w:t>
      </w:r>
      <w:r>
        <w:rPr>
          <w:rFonts w:ascii="Times New Roman" w:hAnsi="Times New Roman" w:cs="Times New Roman"/>
        </w:rPr>
        <w:t xml:space="preserve"> </w:t>
      </w:r>
      <w:r w:rsidRPr="00171C08">
        <w:rPr>
          <w:rFonts w:ascii="Times New Roman" w:hAnsi="Times New Roman" w:cs="Times New Roman"/>
        </w:rPr>
        <w:t>Epidemiological studies increasingly show that asymptomatic infections constitute a substantial proportion of total malaria cases in endemic settings [27]. In some regions, subclinical infections account for more than 50% of parasite carriage [28]. Because these individuals do not seek treatment, they represent a persistent and often overlooked reservoir that sustains transmission even when symptomatic cases decline [29].</w:t>
      </w:r>
      <w:r>
        <w:rPr>
          <w:rFonts w:ascii="Times New Roman" w:hAnsi="Times New Roman" w:cs="Times New Roman"/>
        </w:rPr>
        <w:t xml:space="preserve"> </w:t>
      </w:r>
      <w:r w:rsidRPr="00171C08">
        <w:rPr>
          <w:rFonts w:ascii="Times New Roman" w:hAnsi="Times New Roman" w:cs="Times New Roman"/>
        </w:rPr>
        <w:t>As malaria control programs reduce clinical incidence, the relative contribution of asymptomatic carriers to transmission becomes more pronounced [28]. Consequently, identifying and managing these infections is essential for achieving elimination goals [30].</w:t>
      </w:r>
    </w:p>
    <w:p w14:paraId="485E586D" w14:textId="6C92E7C8" w:rsidR="00171C08" w:rsidRPr="00171C08" w:rsidRDefault="00171C08" w:rsidP="003C35DC">
      <w:pPr>
        <w:spacing w:after="0" w:line="240" w:lineRule="auto"/>
        <w:jc w:val="both"/>
        <w:rPr>
          <w:rFonts w:ascii="Times New Roman" w:hAnsi="Times New Roman" w:cs="Times New Roman"/>
        </w:rPr>
      </w:pPr>
    </w:p>
    <w:p w14:paraId="66732111" w14:textId="77777777" w:rsidR="00171C08" w:rsidRPr="00171C08" w:rsidRDefault="00171C08" w:rsidP="003C35DC">
      <w:pPr>
        <w:spacing w:after="0" w:line="240" w:lineRule="auto"/>
        <w:jc w:val="both"/>
        <w:rPr>
          <w:rFonts w:ascii="Times New Roman" w:hAnsi="Times New Roman" w:cs="Times New Roman"/>
          <w:b/>
          <w:bCs/>
        </w:rPr>
      </w:pPr>
      <w:r w:rsidRPr="00171C08">
        <w:rPr>
          <w:rFonts w:ascii="Times New Roman" w:hAnsi="Times New Roman" w:cs="Times New Roman"/>
          <w:b/>
          <w:bCs/>
        </w:rPr>
        <w:t xml:space="preserve">2.2 Mixed </w:t>
      </w:r>
      <w:r w:rsidRPr="00171C08">
        <w:rPr>
          <w:rFonts w:ascii="Times New Roman" w:hAnsi="Times New Roman" w:cs="Times New Roman"/>
          <w:b/>
          <w:bCs/>
          <w:i/>
          <w:iCs/>
        </w:rPr>
        <w:t>Plasmodium</w:t>
      </w:r>
      <w:r w:rsidRPr="00171C08">
        <w:rPr>
          <w:rFonts w:ascii="Times New Roman" w:hAnsi="Times New Roman" w:cs="Times New Roman"/>
          <w:b/>
          <w:bCs/>
        </w:rPr>
        <w:t xml:space="preserve"> Infections</w:t>
      </w:r>
    </w:p>
    <w:p w14:paraId="498B0B1B" w14:textId="2A21B72E" w:rsidR="00171C08" w:rsidRPr="00171C08" w:rsidRDefault="00171C08" w:rsidP="003C35DC">
      <w:pPr>
        <w:spacing w:after="0" w:line="240" w:lineRule="auto"/>
        <w:jc w:val="both"/>
        <w:rPr>
          <w:rFonts w:ascii="Times New Roman" w:hAnsi="Times New Roman" w:cs="Times New Roman"/>
        </w:rPr>
      </w:pPr>
      <w:r w:rsidRPr="00171C08">
        <w:rPr>
          <w:rFonts w:ascii="Times New Roman" w:hAnsi="Times New Roman" w:cs="Times New Roman"/>
        </w:rPr>
        <w:t xml:space="preserve">Mixed infections occur when two or more </w:t>
      </w:r>
      <w:r w:rsidRPr="00171C08">
        <w:rPr>
          <w:rFonts w:ascii="Times New Roman" w:hAnsi="Times New Roman" w:cs="Times New Roman"/>
          <w:i/>
          <w:iCs/>
        </w:rPr>
        <w:t>Plasmodium</w:t>
      </w:r>
      <w:r w:rsidRPr="00171C08">
        <w:rPr>
          <w:rFonts w:ascii="Times New Roman" w:hAnsi="Times New Roman" w:cs="Times New Roman"/>
        </w:rPr>
        <w:t xml:space="preserve"> species simultaneously infect a host [27]. In areas where multiple species co-circulate, mixed infections are common [29]. The most frequently reported combinations involve </w:t>
      </w:r>
      <w:r w:rsidRPr="00171C08">
        <w:rPr>
          <w:rFonts w:ascii="Times New Roman" w:hAnsi="Times New Roman" w:cs="Times New Roman"/>
          <w:i/>
          <w:iCs/>
        </w:rPr>
        <w:t>P. falciparum</w:t>
      </w:r>
      <w:r w:rsidRPr="00171C08">
        <w:rPr>
          <w:rFonts w:ascii="Times New Roman" w:hAnsi="Times New Roman" w:cs="Times New Roman"/>
        </w:rPr>
        <w:t xml:space="preserve"> and </w:t>
      </w:r>
      <w:r w:rsidRPr="00171C08">
        <w:rPr>
          <w:rFonts w:ascii="Times New Roman" w:hAnsi="Times New Roman" w:cs="Times New Roman"/>
          <w:i/>
          <w:iCs/>
        </w:rPr>
        <w:t>P. malariae</w:t>
      </w:r>
      <w:r w:rsidRPr="00171C08">
        <w:rPr>
          <w:rFonts w:ascii="Times New Roman" w:hAnsi="Times New Roman" w:cs="Times New Roman"/>
        </w:rPr>
        <w:t xml:space="preserve"> or </w:t>
      </w:r>
      <w:r w:rsidRPr="00171C08">
        <w:rPr>
          <w:rFonts w:ascii="Times New Roman" w:hAnsi="Times New Roman" w:cs="Times New Roman"/>
          <w:i/>
          <w:iCs/>
        </w:rPr>
        <w:t>P. falciparum</w:t>
      </w:r>
      <w:r w:rsidRPr="00171C08">
        <w:rPr>
          <w:rFonts w:ascii="Times New Roman" w:hAnsi="Times New Roman" w:cs="Times New Roman"/>
        </w:rPr>
        <w:t xml:space="preserve"> and </w:t>
      </w:r>
      <w:r w:rsidRPr="00171C08">
        <w:rPr>
          <w:rFonts w:ascii="Times New Roman" w:hAnsi="Times New Roman" w:cs="Times New Roman"/>
          <w:i/>
          <w:iCs/>
        </w:rPr>
        <w:t>P. vivax</w:t>
      </w:r>
      <w:r w:rsidRPr="00171C08">
        <w:rPr>
          <w:rFonts w:ascii="Times New Roman" w:hAnsi="Times New Roman" w:cs="Times New Roman"/>
        </w:rPr>
        <w:t xml:space="preserve"> [31].</w:t>
      </w:r>
      <w:r>
        <w:rPr>
          <w:rFonts w:ascii="Times New Roman" w:hAnsi="Times New Roman" w:cs="Times New Roman"/>
        </w:rPr>
        <w:t xml:space="preserve"> </w:t>
      </w:r>
      <w:r w:rsidRPr="00171C08">
        <w:rPr>
          <w:rFonts w:ascii="Times New Roman" w:hAnsi="Times New Roman" w:cs="Times New Roman"/>
        </w:rPr>
        <w:t>Mixed infections may influence clinical outcomes in several ways. Species interactions may suppress or enhance parasite densities, and immune responses may differ compared to single-species infections [14,15]. Treatment responses may vary depending on species composition, while persistent non-falciparum infections may contribute to relapse or recrudescence [16]. Despite these implications, mixed infections are often underreported in routine surveillance data due to diagnostic challenges [27].</w:t>
      </w:r>
    </w:p>
    <w:p w14:paraId="7635DF8D" w14:textId="5AD2DC5D" w:rsidR="00171C08" w:rsidRPr="00171C08" w:rsidRDefault="00171C08" w:rsidP="003C35DC">
      <w:pPr>
        <w:spacing w:after="0" w:line="240" w:lineRule="auto"/>
        <w:jc w:val="both"/>
        <w:rPr>
          <w:rFonts w:ascii="Times New Roman" w:hAnsi="Times New Roman" w:cs="Times New Roman"/>
        </w:rPr>
      </w:pPr>
    </w:p>
    <w:p w14:paraId="0BCE0EC6" w14:textId="77777777" w:rsidR="00171C08" w:rsidRPr="00171C08" w:rsidRDefault="00171C08" w:rsidP="003C35DC">
      <w:pPr>
        <w:spacing w:after="0" w:line="240" w:lineRule="auto"/>
        <w:jc w:val="both"/>
        <w:rPr>
          <w:rFonts w:ascii="Times New Roman" w:hAnsi="Times New Roman" w:cs="Times New Roman"/>
          <w:b/>
          <w:bCs/>
        </w:rPr>
      </w:pPr>
      <w:r w:rsidRPr="00171C08">
        <w:rPr>
          <w:rFonts w:ascii="Times New Roman" w:hAnsi="Times New Roman" w:cs="Times New Roman"/>
          <w:b/>
          <w:bCs/>
        </w:rPr>
        <w:t>2.3 Limitations of Conventional Diagnostic Methods</w:t>
      </w:r>
    </w:p>
    <w:p w14:paraId="7B1980CB" w14:textId="77777777" w:rsidR="00171C08" w:rsidRPr="00171C08" w:rsidRDefault="00171C08" w:rsidP="003C35DC">
      <w:pPr>
        <w:spacing w:after="0" w:line="240" w:lineRule="auto"/>
        <w:jc w:val="both"/>
        <w:rPr>
          <w:rFonts w:ascii="Times New Roman" w:hAnsi="Times New Roman" w:cs="Times New Roman"/>
        </w:rPr>
      </w:pPr>
      <w:r w:rsidRPr="00171C08">
        <w:rPr>
          <w:rFonts w:ascii="Times New Roman" w:hAnsi="Times New Roman" w:cs="Times New Roman"/>
        </w:rPr>
        <w:t>2.3.1 Microscopy</w:t>
      </w:r>
    </w:p>
    <w:p w14:paraId="62E6630F" w14:textId="151D654C" w:rsidR="00171C08" w:rsidRPr="00171C08" w:rsidRDefault="00171C08" w:rsidP="003C35DC">
      <w:pPr>
        <w:spacing w:after="0" w:line="240" w:lineRule="auto"/>
        <w:jc w:val="both"/>
        <w:rPr>
          <w:rFonts w:ascii="Times New Roman" w:hAnsi="Times New Roman" w:cs="Times New Roman"/>
        </w:rPr>
      </w:pPr>
      <w:r w:rsidRPr="00171C08">
        <w:rPr>
          <w:rFonts w:ascii="Times New Roman" w:hAnsi="Times New Roman" w:cs="Times New Roman"/>
        </w:rPr>
        <w:t>Light microscopy of Giemsa-stained blood smears remains the traditional reference standard for malaria diagnosis [29]. It allows species identification and parasite quantification [29]. However, its performance depends heavily on technician expertise, quality of slide preparation, and parasite density [28].</w:t>
      </w:r>
      <w:r>
        <w:rPr>
          <w:rFonts w:ascii="Times New Roman" w:hAnsi="Times New Roman" w:cs="Times New Roman"/>
        </w:rPr>
        <w:t xml:space="preserve"> </w:t>
      </w:r>
      <w:r w:rsidRPr="00171C08">
        <w:rPr>
          <w:rFonts w:ascii="Times New Roman" w:hAnsi="Times New Roman" w:cs="Times New Roman"/>
        </w:rPr>
        <w:t>The detection threshold for microscopy is typically 50–100 parasites/µL under optimal conditions [29]. Asymptomatic infections often have parasite densities below this threshold, leading to false-negative results [27]. Additionally, distinguishing morphologically similar species in mixed infections can be difficult, particularly when one species predominates [29].</w:t>
      </w:r>
    </w:p>
    <w:p w14:paraId="3B732532" w14:textId="665CCD99" w:rsidR="00171C08" w:rsidRPr="00171C08" w:rsidRDefault="00171C08" w:rsidP="003C35DC">
      <w:pPr>
        <w:spacing w:after="0" w:line="240" w:lineRule="auto"/>
        <w:jc w:val="both"/>
        <w:rPr>
          <w:rFonts w:ascii="Times New Roman" w:hAnsi="Times New Roman" w:cs="Times New Roman"/>
        </w:rPr>
      </w:pPr>
    </w:p>
    <w:p w14:paraId="4B66B479" w14:textId="77777777" w:rsidR="00171C08" w:rsidRPr="00171C08" w:rsidRDefault="00171C08" w:rsidP="003C35DC">
      <w:pPr>
        <w:spacing w:after="0" w:line="240" w:lineRule="auto"/>
        <w:jc w:val="both"/>
        <w:rPr>
          <w:rFonts w:ascii="Times New Roman" w:hAnsi="Times New Roman" w:cs="Times New Roman"/>
          <w:b/>
          <w:bCs/>
        </w:rPr>
      </w:pPr>
      <w:r w:rsidRPr="00171C08">
        <w:rPr>
          <w:rFonts w:ascii="Times New Roman" w:hAnsi="Times New Roman" w:cs="Times New Roman"/>
          <w:b/>
          <w:bCs/>
        </w:rPr>
        <w:t>2.3.2 Rapid Diagnostic Tests (RDTs)</w:t>
      </w:r>
    </w:p>
    <w:p w14:paraId="614FC59E" w14:textId="4C252C67" w:rsidR="00171C08" w:rsidRPr="00171C08" w:rsidRDefault="00171C08" w:rsidP="003C35DC">
      <w:pPr>
        <w:spacing w:after="0" w:line="240" w:lineRule="auto"/>
        <w:jc w:val="both"/>
        <w:rPr>
          <w:rFonts w:ascii="Times New Roman" w:hAnsi="Times New Roman" w:cs="Times New Roman"/>
        </w:rPr>
      </w:pPr>
      <w:r w:rsidRPr="00171C08">
        <w:rPr>
          <w:rFonts w:ascii="Times New Roman" w:hAnsi="Times New Roman" w:cs="Times New Roman"/>
        </w:rPr>
        <w:t>RDTs detect parasite-specific antigens such as histidine-rich protein 2 (HRP2) or lactate dehydrogenase (</w:t>
      </w:r>
      <w:proofErr w:type="spellStart"/>
      <w:r w:rsidRPr="00171C08">
        <w:rPr>
          <w:rFonts w:ascii="Times New Roman" w:hAnsi="Times New Roman" w:cs="Times New Roman"/>
        </w:rPr>
        <w:t>pLDH</w:t>
      </w:r>
      <w:proofErr w:type="spellEnd"/>
      <w:r w:rsidRPr="00171C08">
        <w:rPr>
          <w:rFonts w:ascii="Times New Roman" w:hAnsi="Times New Roman" w:cs="Times New Roman"/>
        </w:rPr>
        <w:t>) [29]. These tests provide rapid, point-of-care diagnosis and are widely used in endemic regions [28].</w:t>
      </w:r>
      <w:r>
        <w:rPr>
          <w:rFonts w:ascii="Times New Roman" w:hAnsi="Times New Roman" w:cs="Times New Roman"/>
        </w:rPr>
        <w:t xml:space="preserve"> </w:t>
      </w:r>
      <w:r w:rsidRPr="00171C08">
        <w:rPr>
          <w:rFonts w:ascii="Times New Roman" w:hAnsi="Times New Roman" w:cs="Times New Roman"/>
        </w:rPr>
        <w:t xml:space="preserve">However, limitations include reduced sensitivity at low parasite densities and inability of some RDTs to differentiate species [29]. Persistence of HRP2 antigen </w:t>
      </w:r>
      <w:r w:rsidRPr="00171C08">
        <w:rPr>
          <w:rFonts w:ascii="Times New Roman" w:hAnsi="Times New Roman" w:cs="Times New Roman"/>
        </w:rPr>
        <w:lastRenderedPageBreak/>
        <w:t>after parasite clearance can lead to false-positive results, while emerging HRP2 gene deletions affect detection [30]. As a result, RDTs may underestimate infection prevalence and fail to detect mixed infections [27].</w:t>
      </w:r>
    </w:p>
    <w:p w14:paraId="4C5D1910" w14:textId="1148636A" w:rsidR="00171C08" w:rsidRPr="00171C08" w:rsidRDefault="00171C08" w:rsidP="003C35DC">
      <w:pPr>
        <w:spacing w:after="0" w:line="240" w:lineRule="auto"/>
        <w:jc w:val="both"/>
        <w:rPr>
          <w:rFonts w:ascii="Times New Roman" w:hAnsi="Times New Roman" w:cs="Times New Roman"/>
        </w:rPr>
      </w:pPr>
    </w:p>
    <w:p w14:paraId="2A974C69" w14:textId="77777777" w:rsidR="00171C08" w:rsidRPr="00171C08" w:rsidRDefault="00171C08" w:rsidP="003C35DC">
      <w:pPr>
        <w:spacing w:after="0" w:line="240" w:lineRule="auto"/>
        <w:jc w:val="both"/>
        <w:rPr>
          <w:rFonts w:ascii="Times New Roman" w:hAnsi="Times New Roman" w:cs="Times New Roman"/>
          <w:b/>
          <w:bCs/>
        </w:rPr>
      </w:pPr>
      <w:r w:rsidRPr="00171C08">
        <w:rPr>
          <w:rFonts w:ascii="Times New Roman" w:hAnsi="Times New Roman" w:cs="Times New Roman"/>
          <w:b/>
          <w:bCs/>
        </w:rPr>
        <w:t>2.4 Molecular Diagnostic Techniques</w:t>
      </w:r>
    </w:p>
    <w:p w14:paraId="00331174" w14:textId="103FEB6E" w:rsidR="00171C08" w:rsidRPr="00171C08" w:rsidRDefault="00171C08" w:rsidP="003C35DC">
      <w:pPr>
        <w:spacing w:after="0" w:line="240" w:lineRule="auto"/>
        <w:jc w:val="both"/>
        <w:rPr>
          <w:rFonts w:ascii="Times New Roman" w:hAnsi="Times New Roman" w:cs="Times New Roman"/>
        </w:rPr>
      </w:pPr>
      <w:r w:rsidRPr="00171C08">
        <w:rPr>
          <w:rFonts w:ascii="Times New Roman" w:hAnsi="Times New Roman" w:cs="Times New Roman"/>
        </w:rPr>
        <w:t>Polymerase chain reaction (PCR)–based assays amplify parasite DNA, enabling detection of very low parasite densities (as low as 1–5 parasites/µL) [23]. Nested PCR targeting conserved genetic regions such as the 18S rRNA gene allows species-specific identification [23,24].</w:t>
      </w:r>
      <w:r>
        <w:rPr>
          <w:rFonts w:ascii="Times New Roman" w:hAnsi="Times New Roman" w:cs="Times New Roman"/>
        </w:rPr>
        <w:t xml:space="preserve"> </w:t>
      </w:r>
      <w:r w:rsidRPr="00171C08">
        <w:rPr>
          <w:rFonts w:ascii="Times New Roman" w:hAnsi="Times New Roman" w:cs="Times New Roman"/>
        </w:rPr>
        <w:t>Advantages of PCR include high sensitivity for submicroscopic infections, accurate detection of mixed-species infections, and reliable species differentiation [29]. PCR is also widely used as a reference standard in research [24].</w:t>
      </w:r>
      <w:r>
        <w:rPr>
          <w:rFonts w:ascii="Times New Roman" w:hAnsi="Times New Roman" w:cs="Times New Roman"/>
        </w:rPr>
        <w:t xml:space="preserve"> </w:t>
      </w:r>
      <w:r w:rsidRPr="00171C08">
        <w:rPr>
          <w:rFonts w:ascii="Times New Roman" w:hAnsi="Times New Roman" w:cs="Times New Roman"/>
        </w:rPr>
        <w:t>Several studies have shown that PCR detects significantly more infections than microscopy or RDT, particularly among asymptomatic individuals [27]. In elimination settings, molecular methods reveal a substantial proportion of hidden infections that would otherwise remain undetected [28].</w:t>
      </w:r>
      <w:r>
        <w:rPr>
          <w:rFonts w:ascii="Times New Roman" w:hAnsi="Times New Roman" w:cs="Times New Roman"/>
        </w:rPr>
        <w:t xml:space="preserve"> </w:t>
      </w:r>
      <w:r w:rsidRPr="00171C08">
        <w:rPr>
          <w:rFonts w:ascii="Times New Roman" w:hAnsi="Times New Roman" w:cs="Times New Roman"/>
        </w:rPr>
        <w:t>However, PCR requires laboratory infrastructure, technical expertise, and higher cost, limiting its routine use in many endemic regions [29].</w:t>
      </w:r>
    </w:p>
    <w:p w14:paraId="423137E7" w14:textId="211AA483" w:rsidR="00171C08" w:rsidRPr="00171C08" w:rsidRDefault="00171C08" w:rsidP="003C35DC">
      <w:pPr>
        <w:spacing w:after="0" w:line="240" w:lineRule="auto"/>
        <w:jc w:val="both"/>
        <w:rPr>
          <w:rFonts w:ascii="Times New Roman" w:hAnsi="Times New Roman" w:cs="Times New Roman"/>
        </w:rPr>
      </w:pPr>
    </w:p>
    <w:p w14:paraId="753A6B90" w14:textId="77777777" w:rsidR="00171C08" w:rsidRPr="00171C08" w:rsidRDefault="00171C08" w:rsidP="003C35DC">
      <w:pPr>
        <w:spacing w:after="0" w:line="240" w:lineRule="auto"/>
        <w:jc w:val="both"/>
        <w:rPr>
          <w:rFonts w:ascii="Times New Roman" w:hAnsi="Times New Roman" w:cs="Times New Roman"/>
          <w:b/>
          <w:bCs/>
        </w:rPr>
      </w:pPr>
      <w:r w:rsidRPr="00171C08">
        <w:rPr>
          <w:rFonts w:ascii="Times New Roman" w:hAnsi="Times New Roman" w:cs="Times New Roman"/>
          <w:b/>
          <w:bCs/>
        </w:rPr>
        <w:t>2.5 Submicroscopic and Mixed Infections in Elimination Settings</w:t>
      </w:r>
    </w:p>
    <w:p w14:paraId="701620AB" w14:textId="269204F6" w:rsidR="00171C08" w:rsidRPr="00171C08" w:rsidRDefault="00171C08" w:rsidP="003C35DC">
      <w:pPr>
        <w:spacing w:after="0" w:line="240" w:lineRule="auto"/>
        <w:jc w:val="both"/>
        <w:rPr>
          <w:rFonts w:ascii="Times New Roman" w:hAnsi="Times New Roman" w:cs="Times New Roman"/>
        </w:rPr>
      </w:pPr>
      <w:r w:rsidRPr="00171C08">
        <w:rPr>
          <w:rFonts w:ascii="Times New Roman" w:hAnsi="Times New Roman" w:cs="Times New Roman"/>
        </w:rPr>
        <w:t>As malaria incidence declines, the epidemiological landscape shifts from high-density symptomatic cases to low-density asymptomatic infections [28]. These submicroscopic infections may still contribute to transmission because even low parasite densities can infect mosquitoes [27].</w:t>
      </w:r>
      <w:r>
        <w:rPr>
          <w:rFonts w:ascii="Times New Roman" w:hAnsi="Times New Roman" w:cs="Times New Roman"/>
        </w:rPr>
        <w:t xml:space="preserve"> </w:t>
      </w:r>
      <w:r w:rsidRPr="00171C08">
        <w:rPr>
          <w:rFonts w:ascii="Times New Roman" w:hAnsi="Times New Roman" w:cs="Times New Roman"/>
        </w:rPr>
        <w:t>Mixed infections may further complicate elimination efforts [29]. Undetected non-falciparum species can persist following falciparum-targeted treatment regimens, allowing continued transmission [16]. Additionally, incomplete species identification may hinder accurate surveillance and targeted intervention strategies [29].</w:t>
      </w:r>
      <w:r>
        <w:rPr>
          <w:rFonts w:ascii="Times New Roman" w:hAnsi="Times New Roman" w:cs="Times New Roman"/>
        </w:rPr>
        <w:t xml:space="preserve"> </w:t>
      </w:r>
      <w:r w:rsidRPr="00171C08">
        <w:rPr>
          <w:rFonts w:ascii="Times New Roman" w:hAnsi="Times New Roman" w:cs="Times New Roman"/>
        </w:rPr>
        <w:t>Recent elimination-phase studies emphasize the importance of incorporating molecular surveillance tools to detect hidden parasite reservoirs [28]. These tools enable accurate mapping of species distribution, monitoring of emerging trends, detection of recrudescence, and improved treatment policies [30].</w:t>
      </w:r>
    </w:p>
    <w:p w14:paraId="4CED3C1B" w14:textId="0FA3A64F" w:rsidR="001F20CA" w:rsidRPr="001F20CA" w:rsidRDefault="001F20CA" w:rsidP="003C35DC">
      <w:pPr>
        <w:spacing w:after="0" w:line="240" w:lineRule="auto"/>
        <w:jc w:val="both"/>
        <w:rPr>
          <w:rFonts w:ascii="Times New Roman" w:hAnsi="Times New Roman" w:cs="Times New Roman"/>
        </w:rPr>
      </w:pPr>
    </w:p>
    <w:p w14:paraId="4427C37B" w14:textId="77777777" w:rsidR="001F20CA" w:rsidRPr="001F20CA" w:rsidRDefault="001F20CA" w:rsidP="003C35DC">
      <w:pPr>
        <w:spacing w:after="0" w:line="240" w:lineRule="auto"/>
        <w:jc w:val="both"/>
        <w:rPr>
          <w:rFonts w:ascii="Times New Roman" w:hAnsi="Times New Roman" w:cs="Times New Roman"/>
          <w:b/>
          <w:bCs/>
        </w:rPr>
      </w:pPr>
      <w:r w:rsidRPr="001F20CA">
        <w:rPr>
          <w:rFonts w:ascii="Times New Roman" w:hAnsi="Times New Roman" w:cs="Times New Roman"/>
          <w:b/>
          <w:bCs/>
        </w:rPr>
        <w:t>2.6 Gaps in Current Knowledge</w:t>
      </w:r>
    </w:p>
    <w:p w14:paraId="5778A7E3" w14:textId="77F6D778" w:rsidR="001F20CA" w:rsidRPr="00EC2FD5" w:rsidRDefault="00EC2FD5" w:rsidP="003C35DC">
      <w:pPr>
        <w:spacing w:after="0" w:line="240" w:lineRule="auto"/>
        <w:jc w:val="both"/>
        <w:rPr>
          <w:rFonts w:ascii="Times New Roman" w:hAnsi="Times New Roman" w:cs="Times New Roman"/>
        </w:rPr>
      </w:pPr>
      <w:r w:rsidRPr="00EC2FD5">
        <w:rPr>
          <w:rFonts w:ascii="Times New Roman" w:hAnsi="Times New Roman" w:cs="Times New Roman"/>
        </w:rPr>
        <w:t>Although PCR-based detection of malaria is well established, several important gaps remain [29]. There is a lack of community-based studies specifically targeting asymptomatic carriers, who represent a significant but often overlooked reservoir of infection. In addition, comparative analyses between PCR, microscopy, and rapid diagnostic tests (RDTs) are still insufficient, limiting a clear understanding of their relative performance in different settings. Mixed infections are also frequently underestimated in routine surveillance systems, largely due to the limited sensitivity of conventional diagnostic methods. Furthermore, the integration of molecular diagnostics into national malaria elimination strategies remains limited [28]. Addressing these gaps is essential for refining malaria control policies and advancing toward global elimination targets [30].</w:t>
      </w:r>
    </w:p>
    <w:p w14:paraId="4ACD9AB0" w14:textId="77777777" w:rsidR="001F20CA" w:rsidRPr="001F20CA" w:rsidRDefault="001F20CA" w:rsidP="003C35DC">
      <w:pPr>
        <w:spacing w:after="0" w:line="240" w:lineRule="auto"/>
        <w:jc w:val="both"/>
        <w:rPr>
          <w:rFonts w:ascii="Times New Roman" w:hAnsi="Times New Roman" w:cs="Times New Roman"/>
          <w:b/>
          <w:bCs/>
        </w:rPr>
      </w:pPr>
      <w:r w:rsidRPr="001F20CA">
        <w:rPr>
          <w:rFonts w:ascii="Times New Roman" w:hAnsi="Times New Roman" w:cs="Times New Roman"/>
          <w:b/>
          <w:bCs/>
        </w:rPr>
        <w:t>2.7 Rationale for the Present Study</w:t>
      </w:r>
    </w:p>
    <w:p w14:paraId="1BE33AB5" w14:textId="2C835B58" w:rsidR="00171C08" w:rsidRPr="00171C08" w:rsidRDefault="00171C08" w:rsidP="003C35DC">
      <w:pPr>
        <w:spacing w:after="0" w:line="240" w:lineRule="auto"/>
        <w:jc w:val="both"/>
        <w:rPr>
          <w:rFonts w:ascii="Times New Roman" w:hAnsi="Times New Roman" w:cs="Times New Roman"/>
        </w:rPr>
      </w:pPr>
      <w:r w:rsidRPr="00171C08">
        <w:rPr>
          <w:rFonts w:ascii="Times New Roman" w:hAnsi="Times New Roman" w:cs="Times New Roman"/>
        </w:rPr>
        <w:t xml:space="preserve">The present study aims to contribute to the growing body of evidence supporting molecular diagnostics in malaria surveillance [23]. By evaluating PCR-based detection of mixed </w:t>
      </w:r>
      <w:r w:rsidRPr="00171C08">
        <w:rPr>
          <w:rFonts w:ascii="Times New Roman" w:hAnsi="Times New Roman" w:cs="Times New Roman"/>
          <w:i/>
          <w:iCs/>
        </w:rPr>
        <w:t>Plasmodium</w:t>
      </w:r>
      <w:r w:rsidRPr="00171C08">
        <w:rPr>
          <w:rFonts w:ascii="Times New Roman" w:hAnsi="Times New Roman" w:cs="Times New Roman"/>
        </w:rPr>
        <w:t xml:space="preserve"> infections among asymptomatic individuals and comparing its performance with microscopy and RDT, this research seeks to quantify the extent of underdiagnosis [27].</w:t>
      </w:r>
      <w:r>
        <w:rPr>
          <w:rFonts w:ascii="Times New Roman" w:hAnsi="Times New Roman" w:cs="Times New Roman"/>
        </w:rPr>
        <w:t xml:space="preserve"> </w:t>
      </w:r>
      <w:r w:rsidRPr="00171C08">
        <w:rPr>
          <w:rFonts w:ascii="Times New Roman" w:hAnsi="Times New Roman" w:cs="Times New Roman"/>
        </w:rPr>
        <w:t xml:space="preserve">Understanding the true prevalence of mixed and low-density infections is critical for designing effective elimination </w:t>
      </w:r>
      <w:r w:rsidRPr="00171C08">
        <w:rPr>
          <w:rFonts w:ascii="Times New Roman" w:hAnsi="Times New Roman" w:cs="Times New Roman"/>
        </w:rPr>
        <w:lastRenderedPageBreak/>
        <w:t>strategies, optimizing treatment protocols, and preventing sustained transmission in endemic communities [28].</w:t>
      </w:r>
    </w:p>
    <w:p w14:paraId="29444D3F" w14:textId="77777777" w:rsidR="001F20CA" w:rsidRDefault="001F20CA" w:rsidP="003C35DC">
      <w:pPr>
        <w:spacing w:after="0" w:line="240" w:lineRule="auto"/>
        <w:jc w:val="both"/>
        <w:rPr>
          <w:rFonts w:ascii="Times New Roman" w:hAnsi="Times New Roman" w:cs="Times New Roman"/>
        </w:rPr>
      </w:pPr>
    </w:p>
    <w:p w14:paraId="06A51D38" w14:textId="77777777" w:rsidR="00F2578B" w:rsidRPr="00AE16C5" w:rsidRDefault="00F2578B" w:rsidP="003C35DC">
      <w:pPr>
        <w:spacing w:after="0" w:line="240" w:lineRule="auto"/>
        <w:jc w:val="both"/>
        <w:rPr>
          <w:rFonts w:ascii="Times New Roman" w:hAnsi="Times New Roman" w:cs="Times New Roman"/>
          <w:b/>
          <w:bCs/>
        </w:rPr>
      </w:pPr>
      <w:r w:rsidRPr="00AE16C5">
        <w:rPr>
          <w:rFonts w:ascii="Times New Roman" w:hAnsi="Times New Roman" w:cs="Times New Roman"/>
          <w:b/>
          <w:bCs/>
        </w:rPr>
        <w:t>3. Materials and Methods</w:t>
      </w:r>
    </w:p>
    <w:p w14:paraId="075E92F6" w14:textId="77777777" w:rsidR="00F2578B" w:rsidRPr="00AE16C5" w:rsidRDefault="00F2578B" w:rsidP="003C35DC">
      <w:pPr>
        <w:spacing w:after="0" w:line="240" w:lineRule="auto"/>
        <w:jc w:val="both"/>
        <w:rPr>
          <w:rFonts w:ascii="Times New Roman" w:hAnsi="Times New Roman" w:cs="Times New Roman"/>
        </w:rPr>
      </w:pPr>
      <w:r w:rsidRPr="00AE16C5">
        <w:rPr>
          <w:rFonts w:ascii="Times New Roman" w:hAnsi="Times New Roman" w:cs="Times New Roman"/>
        </w:rPr>
        <w:t xml:space="preserve">This section provides a detailed description of the study design, sampling procedures, laboratory protocols, molecular techniques, quality assurance measures, and statistical analysis used to evaluate PCR-based detection of mixed </w:t>
      </w:r>
      <w:r w:rsidRPr="00AE16C5">
        <w:rPr>
          <w:rFonts w:ascii="Times New Roman" w:hAnsi="Times New Roman" w:cs="Times New Roman"/>
          <w:i/>
          <w:iCs/>
        </w:rPr>
        <w:t>Plasmodium</w:t>
      </w:r>
      <w:r w:rsidRPr="00AE16C5">
        <w:rPr>
          <w:rFonts w:ascii="Times New Roman" w:hAnsi="Times New Roman" w:cs="Times New Roman"/>
        </w:rPr>
        <w:t xml:space="preserve"> infections in asymptomatic carriers.</w:t>
      </w:r>
    </w:p>
    <w:p w14:paraId="5238A1E3" w14:textId="5FDDF2E4" w:rsidR="00F2578B" w:rsidRPr="00AE16C5" w:rsidRDefault="00F2578B" w:rsidP="003C35DC">
      <w:pPr>
        <w:spacing w:after="0" w:line="240" w:lineRule="auto"/>
        <w:jc w:val="both"/>
        <w:rPr>
          <w:rFonts w:ascii="Times New Roman" w:hAnsi="Times New Roman" w:cs="Times New Roman"/>
        </w:rPr>
      </w:pPr>
    </w:p>
    <w:p w14:paraId="61A755FB" w14:textId="77777777" w:rsidR="00F2578B" w:rsidRPr="00AE16C5" w:rsidRDefault="00F2578B" w:rsidP="003C35DC">
      <w:pPr>
        <w:spacing w:after="0" w:line="240" w:lineRule="auto"/>
        <w:jc w:val="both"/>
        <w:rPr>
          <w:rFonts w:ascii="Times New Roman" w:hAnsi="Times New Roman" w:cs="Times New Roman"/>
          <w:b/>
          <w:bCs/>
        </w:rPr>
      </w:pPr>
      <w:r w:rsidRPr="00AE16C5">
        <w:rPr>
          <w:rFonts w:ascii="Times New Roman" w:hAnsi="Times New Roman" w:cs="Times New Roman"/>
          <w:b/>
          <w:bCs/>
        </w:rPr>
        <w:t>3.1 Study Design</w:t>
      </w:r>
    </w:p>
    <w:p w14:paraId="592AA0CF" w14:textId="1A325B5B" w:rsidR="00EC2FD5" w:rsidRPr="00EC2FD5" w:rsidRDefault="00EC2FD5" w:rsidP="003C35DC">
      <w:pPr>
        <w:spacing w:after="0" w:line="240" w:lineRule="auto"/>
        <w:jc w:val="both"/>
        <w:rPr>
          <w:rFonts w:ascii="Times New Roman" w:hAnsi="Times New Roman" w:cs="Times New Roman"/>
        </w:rPr>
      </w:pPr>
      <w:r w:rsidRPr="00EC2FD5">
        <w:rPr>
          <w:rFonts w:ascii="Times New Roman" w:hAnsi="Times New Roman" w:cs="Times New Roman"/>
        </w:rPr>
        <w:t>A community-based cross-sectional molecular epidemiological study was conducted in a malaria-endemic region over a six-month period. The study focused exclusively on asymptomatic individuals in order to assess the prevalence of subclinical and mixed-species infections.</w:t>
      </w:r>
      <w:r>
        <w:rPr>
          <w:rFonts w:ascii="Times New Roman" w:hAnsi="Times New Roman" w:cs="Times New Roman"/>
        </w:rPr>
        <w:t xml:space="preserve"> </w:t>
      </w:r>
      <w:r w:rsidRPr="00EC2FD5">
        <w:rPr>
          <w:rFonts w:ascii="Times New Roman" w:hAnsi="Times New Roman" w:cs="Times New Roman"/>
        </w:rPr>
        <w:t>The diagnostic workflow followed a structured sequence beginning with clinical screening of participants, followed by blood sample collection. The collected samples were then analyzed using light microscopy and rapid diagnostic testing (RDT). Subsequently, DNA was extracted from the samples and subjected to nested PCR amplification. Finally, gel electrophoresis was performed to visualize and confirm the amplified products for species identification.</w:t>
      </w:r>
    </w:p>
    <w:p w14:paraId="05F0F80E" w14:textId="60BC019F" w:rsidR="00F2578B" w:rsidRPr="00AE16C5" w:rsidRDefault="00F2578B" w:rsidP="003C35DC">
      <w:pPr>
        <w:spacing w:after="0" w:line="240" w:lineRule="auto"/>
        <w:jc w:val="both"/>
        <w:rPr>
          <w:rFonts w:ascii="Times New Roman" w:hAnsi="Times New Roman" w:cs="Times New Roman"/>
        </w:rPr>
      </w:pPr>
    </w:p>
    <w:p w14:paraId="0868EE02" w14:textId="77777777" w:rsidR="00F2578B" w:rsidRPr="00AE16C5" w:rsidRDefault="00F2578B" w:rsidP="003C35DC">
      <w:pPr>
        <w:spacing w:after="0" w:line="240" w:lineRule="auto"/>
        <w:jc w:val="both"/>
        <w:rPr>
          <w:rFonts w:ascii="Times New Roman" w:hAnsi="Times New Roman" w:cs="Times New Roman"/>
          <w:b/>
          <w:bCs/>
        </w:rPr>
      </w:pPr>
      <w:r w:rsidRPr="00AE16C5">
        <w:rPr>
          <w:rFonts w:ascii="Times New Roman" w:hAnsi="Times New Roman" w:cs="Times New Roman"/>
          <w:b/>
          <w:bCs/>
        </w:rPr>
        <w:t>3.2 Study Population and Sampling</w:t>
      </w:r>
    </w:p>
    <w:p w14:paraId="351E690D" w14:textId="77777777" w:rsidR="00EC2FD5" w:rsidRPr="00EC2FD5" w:rsidRDefault="00EC2FD5" w:rsidP="003C35DC">
      <w:pPr>
        <w:spacing w:after="0" w:line="240" w:lineRule="auto"/>
        <w:jc w:val="both"/>
        <w:rPr>
          <w:rFonts w:ascii="Times New Roman" w:hAnsi="Times New Roman" w:cs="Times New Roman"/>
        </w:rPr>
      </w:pPr>
      <w:r w:rsidRPr="00EC2FD5">
        <w:rPr>
          <w:rFonts w:ascii="Times New Roman" w:hAnsi="Times New Roman" w:cs="Times New Roman"/>
        </w:rPr>
        <w:t>A total of 600 asymptomatic participants aged between 5 and 65 years were enrolled in the study. Participants were included if they had no fever (≥37.5°C) at the time of screening, had not experienced malaria-related symptoms within the previous 14 days, had resided in the study area for at least six months, and provided informed consent to participate.</w:t>
      </w:r>
    </w:p>
    <w:p w14:paraId="6AB0DD07" w14:textId="77777777" w:rsidR="00EC2FD5" w:rsidRPr="00EC2FD5" w:rsidRDefault="00EC2FD5" w:rsidP="003C35DC">
      <w:pPr>
        <w:spacing w:after="0" w:line="240" w:lineRule="auto"/>
        <w:jc w:val="both"/>
        <w:rPr>
          <w:rFonts w:ascii="Times New Roman" w:hAnsi="Times New Roman" w:cs="Times New Roman"/>
        </w:rPr>
      </w:pPr>
      <w:r w:rsidRPr="00EC2FD5">
        <w:rPr>
          <w:rFonts w:ascii="Times New Roman" w:hAnsi="Times New Roman" w:cs="Times New Roman"/>
        </w:rPr>
        <w:t>Individuals were excluded if they had received antimalarial therapy within the past four weeks or if they presented with severe illness at the time of enrollment.</w:t>
      </w:r>
    </w:p>
    <w:p w14:paraId="5638EA93" w14:textId="77777777" w:rsidR="00171C08" w:rsidRPr="00AE16C5" w:rsidRDefault="00171C08" w:rsidP="003C35DC">
      <w:pPr>
        <w:spacing w:after="0" w:line="240" w:lineRule="auto"/>
        <w:ind w:left="360"/>
        <w:jc w:val="both"/>
        <w:rPr>
          <w:rFonts w:ascii="Times New Roman" w:hAnsi="Times New Roman" w:cs="Times New Roman"/>
        </w:rPr>
      </w:pPr>
    </w:p>
    <w:p w14:paraId="478D08FB" w14:textId="3C206B84" w:rsidR="00F2578B" w:rsidRPr="00996DBC" w:rsidRDefault="00F2578B" w:rsidP="003C35DC">
      <w:pPr>
        <w:spacing w:after="0" w:line="240" w:lineRule="auto"/>
        <w:jc w:val="both"/>
        <w:rPr>
          <w:rFonts w:ascii="Times New Roman" w:hAnsi="Times New Roman" w:cs="Times New Roman"/>
          <w:b/>
          <w:bCs/>
          <w:sz w:val="32"/>
          <w:szCs w:val="32"/>
        </w:rPr>
      </w:pPr>
    </w:p>
    <w:p w14:paraId="3EB363D1" w14:textId="016850DC" w:rsidR="00996DBC" w:rsidRPr="00996DBC" w:rsidRDefault="00996DBC" w:rsidP="003C35DC">
      <w:pPr>
        <w:pStyle w:val="Caption"/>
        <w:keepNext/>
        <w:spacing w:after="0"/>
        <w:jc w:val="both"/>
        <w:rPr>
          <w:rFonts w:ascii="Times New Roman" w:hAnsi="Times New Roman" w:cs="Times New Roman"/>
          <w:i w:val="0"/>
          <w:iCs w:val="0"/>
          <w:sz w:val="22"/>
          <w:szCs w:val="22"/>
        </w:rPr>
      </w:pPr>
      <w:r w:rsidRPr="00996DBC">
        <w:rPr>
          <w:rFonts w:ascii="Times New Roman" w:hAnsi="Times New Roman" w:cs="Times New Roman"/>
          <w:i w:val="0"/>
          <w:iCs w:val="0"/>
          <w:sz w:val="22"/>
          <w:szCs w:val="22"/>
        </w:rPr>
        <w:t xml:space="preserve">Table </w:t>
      </w:r>
      <w:r w:rsidRPr="00996DBC">
        <w:rPr>
          <w:rFonts w:ascii="Times New Roman" w:hAnsi="Times New Roman" w:cs="Times New Roman"/>
          <w:i w:val="0"/>
          <w:iCs w:val="0"/>
          <w:sz w:val="22"/>
          <w:szCs w:val="22"/>
        </w:rPr>
        <w:fldChar w:fldCharType="begin"/>
      </w:r>
      <w:r w:rsidRPr="00996DBC">
        <w:rPr>
          <w:rFonts w:ascii="Times New Roman" w:hAnsi="Times New Roman" w:cs="Times New Roman"/>
          <w:i w:val="0"/>
          <w:iCs w:val="0"/>
          <w:sz w:val="22"/>
          <w:szCs w:val="22"/>
        </w:rPr>
        <w:instrText xml:space="preserve"> SEQ Table \* ARABIC </w:instrText>
      </w:r>
      <w:r w:rsidRPr="00996DBC">
        <w:rPr>
          <w:rFonts w:ascii="Times New Roman" w:hAnsi="Times New Roman" w:cs="Times New Roman"/>
          <w:i w:val="0"/>
          <w:iCs w:val="0"/>
          <w:sz w:val="22"/>
          <w:szCs w:val="22"/>
        </w:rPr>
        <w:fldChar w:fldCharType="separate"/>
      </w:r>
      <w:r>
        <w:rPr>
          <w:rFonts w:ascii="Times New Roman" w:hAnsi="Times New Roman" w:cs="Times New Roman"/>
          <w:i w:val="0"/>
          <w:iCs w:val="0"/>
          <w:noProof/>
          <w:sz w:val="22"/>
          <w:szCs w:val="22"/>
        </w:rPr>
        <w:t>1</w:t>
      </w:r>
      <w:r w:rsidRPr="00996DBC">
        <w:rPr>
          <w:rFonts w:ascii="Times New Roman" w:hAnsi="Times New Roman" w:cs="Times New Roman"/>
          <w:i w:val="0"/>
          <w:iCs w:val="0"/>
          <w:sz w:val="22"/>
          <w:szCs w:val="22"/>
        </w:rPr>
        <w:fldChar w:fldCharType="end"/>
      </w:r>
      <w:r w:rsidRPr="00996DBC">
        <w:rPr>
          <w:rFonts w:ascii="Times New Roman" w:hAnsi="Times New Roman" w:cs="Times New Roman"/>
          <w:i w:val="0"/>
          <w:iCs w:val="0"/>
          <w:sz w:val="22"/>
          <w:szCs w:val="22"/>
        </w:rPr>
        <w:t>: Demographic Characteristics of Participants</w:t>
      </w:r>
    </w:p>
    <w:tbl>
      <w:tblPr>
        <w:tblStyle w:val="TableGrid"/>
        <w:tblW w:w="0" w:type="auto"/>
        <w:tblLook w:val="04A0" w:firstRow="1" w:lastRow="0" w:firstColumn="1" w:lastColumn="0" w:noHBand="0" w:noVBand="1"/>
      </w:tblPr>
      <w:tblGrid>
        <w:gridCol w:w="1799"/>
        <w:gridCol w:w="1005"/>
        <w:gridCol w:w="1418"/>
        <w:gridCol w:w="1540"/>
      </w:tblGrid>
      <w:tr w:rsidR="00F2578B" w:rsidRPr="00D3060E" w14:paraId="504CD76F" w14:textId="77777777" w:rsidTr="00AE16C5">
        <w:tc>
          <w:tcPr>
            <w:tcW w:w="0" w:type="auto"/>
            <w:hideMark/>
          </w:tcPr>
          <w:p w14:paraId="089E6BFD" w14:textId="77777777" w:rsidR="00F2578B" w:rsidRPr="00D3060E" w:rsidRDefault="00F2578B" w:rsidP="003C35DC">
            <w:pPr>
              <w:jc w:val="both"/>
              <w:rPr>
                <w:rFonts w:ascii="Times New Roman" w:hAnsi="Times New Roman" w:cs="Times New Roman"/>
                <w:b/>
                <w:bCs/>
                <w:sz w:val="20"/>
                <w:szCs w:val="20"/>
              </w:rPr>
            </w:pPr>
            <w:r w:rsidRPr="00D3060E">
              <w:rPr>
                <w:rFonts w:ascii="Times New Roman" w:hAnsi="Times New Roman" w:cs="Times New Roman"/>
                <w:b/>
                <w:bCs/>
                <w:sz w:val="20"/>
                <w:szCs w:val="20"/>
              </w:rPr>
              <w:t>Variable</w:t>
            </w:r>
          </w:p>
        </w:tc>
        <w:tc>
          <w:tcPr>
            <w:tcW w:w="0" w:type="auto"/>
            <w:hideMark/>
          </w:tcPr>
          <w:p w14:paraId="40A1847A" w14:textId="77777777" w:rsidR="00F2578B" w:rsidRPr="00D3060E" w:rsidRDefault="00F2578B" w:rsidP="003C35DC">
            <w:pPr>
              <w:jc w:val="both"/>
              <w:rPr>
                <w:rFonts w:ascii="Times New Roman" w:hAnsi="Times New Roman" w:cs="Times New Roman"/>
                <w:b/>
                <w:bCs/>
                <w:sz w:val="20"/>
                <w:szCs w:val="20"/>
              </w:rPr>
            </w:pPr>
            <w:r w:rsidRPr="00D3060E">
              <w:rPr>
                <w:rFonts w:ascii="Times New Roman" w:hAnsi="Times New Roman" w:cs="Times New Roman"/>
                <w:b/>
                <w:bCs/>
                <w:sz w:val="20"/>
                <w:szCs w:val="20"/>
              </w:rPr>
              <w:t>Category</w:t>
            </w:r>
          </w:p>
        </w:tc>
        <w:tc>
          <w:tcPr>
            <w:tcW w:w="0" w:type="auto"/>
            <w:hideMark/>
          </w:tcPr>
          <w:p w14:paraId="0F6425AC" w14:textId="77777777" w:rsidR="00F2578B" w:rsidRPr="00D3060E" w:rsidRDefault="00F2578B" w:rsidP="003C35DC">
            <w:pPr>
              <w:jc w:val="both"/>
              <w:rPr>
                <w:rFonts w:ascii="Times New Roman" w:hAnsi="Times New Roman" w:cs="Times New Roman"/>
                <w:b/>
                <w:bCs/>
                <w:sz w:val="20"/>
                <w:szCs w:val="20"/>
              </w:rPr>
            </w:pPr>
            <w:r w:rsidRPr="00D3060E">
              <w:rPr>
                <w:rFonts w:ascii="Times New Roman" w:hAnsi="Times New Roman" w:cs="Times New Roman"/>
                <w:b/>
                <w:bCs/>
                <w:sz w:val="20"/>
                <w:szCs w:val="20"/>
              </w:rPr>
              <w:t>Frequency (n)</w:t>
            </w:r>
          </w:p>
        </w:tc>
        <w:tc>
          <w:tcPr>
            <w:tcW w:w="0" w:type="auto"/>
            <w:hideMark/>
          </w:tcPr>
          <w:p w14:paraId="1005F9CD" w14:textId="77777777" w:rsidR="00F2578B" w:rsidRPr="00D3060E" w:rsidRDefault="00F2578B" w:rsidP="003C35DC">
            <w:pPr>
              <w:jc w:val="both"/>
              <w:rPr>
                <w:rFonts w:ascii="Times New Roman" w:hAnsi="Times New Roman" w:cs="Times New Roman"/>
                <w:b/>
                <w:bCs/>
                <w:sz w:val="20"/>
                <w:szCs w:val="20"/>
              </w:rPr>
            </w:pPr>
            <w:r w:rsidRPr="00D3060E">
              <w:rPr>
                <w:rFonts w:ascii="Times New Roman" w:hAnsi="Times New Roman" w:cs="Times New Roman"/>
                <w:b/>
                <w:bCs/>
                <w:sz w:val="20"/>
                <w:szCs w:val="20"/>
              </w:rPr>
              <w:t>Percentage (%)</w:t>
            </w:r>
          </w:p>
        </w:tc>
      </w:tr>
      <w:tr w:rsidR="00F2578B" w:rsidRPr="00D3060E" w14:paraId="572978DA" w14:textId="77777777" w:rsidTr="00AE16C5">
        <w:tc>
          <w:tcPr>
            <w:tcW w:w="0" w:type="auto"/>
            <w:hideMark/>
          </w:tcPr>
          <w:p w14:paraId="2EF18C60"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Sex</w:t>
            </w:r>
          </w:p>
        </w:tc>
        <w:tc>
          <w:tcPr>
            <w:tcW w:w="0" w:type="auto"/>
            <w:hideMark/>
          </w:tcPr>
          <w:p w14:paraId="03A30A8E"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Male</w:t>
            </w:r>
          </w:p>
        </w:tc>
        <w:tc>
          <w:tcPr>
            <w:tcW w:w="0" w:type="auto"/>
            <w:hideMark/>
          </w:tcPr>
          <w:p w14:paraId="20D8AE99"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298</w:t>
            </w:r>
          </w:p>
        </w:tc>
        <w:tc>
          <w:tcPr>
            <w:tcW w:w="0" w:type="auto"/>
            <w:hideMark/>
          </w:tcPr>
          <w:p w14:paraId="33AEE239"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49.7</w:t>
            </w:r>
          </w:p>
        </w:tc>
      </w:tr>
      <w:tr w:rsidR="00F2578B" w:rsidRPr="00D3060E" w14:paraId="06C7799E" w14:textId="77777777" w:rsidTr="00AE16C5">
        <w:tc>
          <w:tcPr>
            <w:tcW w:w="0" w:type="auto"/>
            <w:hideMark/>
          </w:tcPr>
          <w:p w14:paraId="6D0E1C5C" w14:textId="77777777" w:rsidR="00F2578B" w:rsidRPr="00D3060E" w:rsidRDefault="00F2578B" w:rsidP="003C35DC">
            <w:pPr>
              <w:jc w:val="both"/>
              <w:rPr>
                <w:rFonts w:ascii="Times New Roman" w:hAnsi="Times New Roman" w:cs="Times New Roman"/>
                <w:sz w:val="20"/>
                <w:szCs w:val="20"/>
              </w:rPr>
            </w:pPr>
          </w:p>
        </w:tc>
        <w:tc>
          <w:tcPr>
            <w:tcW w:w="0" w:type="auto"/>
            <w:hideMark/>
          </w:tcPr>
          <w:p w14:paraId="5162D51B"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Female</w:t>
            </w:r>
          </w:p>
        </w:tc>
        <w:tc>
          <w:tcPr>
            <w:tcW w:w="0" w:type="auto"/>
            <w:hideMark/>
          </w:tcPr>
          <w:p w14:paraId="57964500"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302</w:t>
            </w:r>
          </w:p>
        </w:tc>
        <w:tc>
          <w:tcPr>
            <w:tcW w:w="0" w:type="auto"/>
            <w:hideMark/>
          </w:tcPr>
          <w:p w14:paraId="3AE1E2D3"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50.3</w:t>
            </w:r>
          </w:p>
        </w:tc>
      </w:tr>
      <w:tr w:rsidR="00F2578B" w:rsidRPr="00D3060E" w14:paraId="5EB856B7" w14:textId="77777777" w:rsidTr="00AE16C5">
        <w:tc>
          <w:tcPr>
            <w:tcW w:w="0" w:type="auto"/>
            <w:hideMark/>
          </w:tcPr>
          <w:p w14:paraId="2D916862"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Age Group</w:t>
            </w:r>
          </w:p>
        </w:tc>
        <w:tc>
          <w:tcPr>
            <w:tcW w:w="0" w:type="auto"/>
            <w:hideMark/>
          </w:tcPr>
          <w:p w14:paraId="3E5E441B"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5–14</w:t>
            </w:r>
          </w:p>
        </w:tc>
        <w:tc>
          <w:tcPr>
            <w:tcW w:w="0" w:type="auto"/>
            <w:hideMark/>
          </w:tcPr>
          <w:p w14:paraId="416784BE"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210</w:t>
            </w:r>
          </w:p>
        </w:tc>
        <w:tc>
          <w:tcPr>
            <w:tcW w:w="0" w:type="auto"/>
            <w:hideMark/>
          </w:tcPr>
          <w:p w14:paraId="3B5C4B0F"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35.0</w:t>
            </w:r>
          </w:p>
        </w:tc>
      </w:tr>
      <w:tr w:rsidR="00F2578B" w:rsidRPr="00D3060E" w14:paraId="4AC48C7A" w14:textId="77777777" w:rsidTr="00AE16C5">
        <w:tc>
          <w:tcPr>
            <w:tcW w:w="0" w:type="auto"/>
            <w:hideMark/>
          </w:tcPr>
          <w:p w14:paraId="60E38345" w14:textId="77777777" w:rsidR="00F2578B" w:rsidRPr="00D3060E" w:rsidRDefault="00F2578B" w:rsidP="003C35DC">
            <w:pPr>
              <w:jc w:val="both"/>
              <w:rPr>
                <w:rFonts w:ascii="Times New Roman" w:hAnsi="Times New Roman" w:cs="Times New Roman"/>
                <w:sz w:val="20"/>
                <w:szCs w:val="20"/>
              </w:rPr>
            </w:pPr>
          </w:p>
        </w:tc>
        <w:tc>
          <w:tcPr>
            <w:tcW w:w="0" w:type="auto"/>
            <w:hideMark/>
          </w:tcPr>
          <w:p w14:paraId="132FD146"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15–30</w:t>
            </w:r>
          </w:p>
        </w:tc>
        <w:tc>
          <w:tcPr>
            <w:tcW w:w="0" w:type="auto"/>
            <w:hideMark/>
          </w:tcPr>
          <w:p w14:paraId="2C7C30CA"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185</w:t>
            </w:r>
          </w:p>
        </w:tc>
        <w:tc>
          <w:tcPr>
            <w:tcW w:w="0" w:type="auto"/>
            <w:hideMark/>
          </w:tcPr>
          <w:p w14:paraId="33687E5D"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30.8</w:t>
            </w:r>
          </w:p>
        </w:tc>
      </w:tr>
      <w:tr w:rsidR="00F2578B" w:rsidRPr="00D3060E" w14:paraId="3B0DDBF3" w14:textId="77777777" w:rsidTr="00AE16C5">
        <w:tc>
          <w:tcPr>
            <w:tcW w:w="0" w:type="auto"/>
            <w:hideMark/>
          </w:tcPr>
          <w:p w14:paraId="714E043A" w14:textId="77777777" w:rsidR="00F2578B" w:rsidRPr="00D3060E" w:rsidRDefault="00F2578B" w:rsidP="003C35DC">
            <w:pPr>
              <w:jc w:val="both"/>
              <w:rPr>
                <w:rFonts w:ascii="Times New Roman" w:hAnsi="Times New Roman" w:cs="Times New Roman"/>
                <w:sz w:val="20"/>
                <w:szCs w:val="20"/>
              </w:rPr>
            </w:pPr>
          </w:p>
        </w:tc>
        <w:tc>
          <w:tcPr>
            <w:tcW w:w="0" w:type="auto"/>
            <w:hideMark/>
          </w:tcPr>
          <w:p w14:paraId="59051217"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31–65</w:t>
            </w:r>
          </w:p>
        </w:tc>
        <w:tc>
          <w:tcPr>
            <w:tcW w:w="0" w:type="auto"/>
            <w:hideMark/>
          </w:tcPr>
          <w:p w14:paraId="3293E149"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205</w:t>
            </w:r>
          </w:p>
        </w:tc>
        <w:tc>
          <w:tcPr>
            <w:tcW w:w="0" w:type="auto"/>
            <w:hideMark/>
          </w:tcPr>
          <w:p w14:paraId="6E367AB1"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34.2</w:t>
            </w:r>
          </w:p>
        </w:tc>
      </w:tr>
      <w:tr w:rsidR="00F2578B" w:rsidRPr="00D3060E" w14:paraId="25DAFD7F" w14:textId="77777777" w:rsidTr="00AE16C5">
        <w:tc>
          <w:tcPr>
            <w:tcW w:w="0" w:type="auto"/>
            <w:hideMark/>
          </w:tcPr>
          <w:p w14:paraId="1DBBD8AA"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Residence Duration</w:t>
            </w:r>
          </w:p>
        </w:tc>
        <w:tc>
          <w:tcPr>
            <w:tcW w:w="0" w:type="auto"/>
            <w:hideMark/>
          </w:tcPr>
          <w:p w14:paraId="4A73AE00"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≥1 year</w:t>
            </w:r>
          </w:p>
        </w:tc>
        <w:tc>
          <w:tcPr>
            <w:tcW w:w="0" w:type="auto"/>
            <w:hideMark/>
          </w:tcPr>
          <w:p w14:paraId="52E71156"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540</w:t>
            </w:r>
          </w:p>
        </w:tc>
        <w:tc>
          <w:tcPr>
            <w:tcW w:w="0" w:type="auto"/>
            <w:hideMark/>
          </w:tcPr>
          <w:p w14:paraId="0590FA32"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90.0</w:t>
            </w:r>
          </w:p>
        </w:tc>
      </w:tr>
      <w:tr w:rsidR="00F2578B" w:rsidRPr="00D3060E" w14:paraId="2C815582" w14:textId="77777777" w:rsidTr="00AE16C5">
        <w:tc>
          <w:tcPr>
            <w:tcW w:w="0" w:type="auto"/>
            <w:hideMark/>
          </w:tcPr>
          <w:p w14:paraId="5D3BC6DA" w14:textId="77777777" w:rsidR="00F2578B" w:rsidRPr="00D3060E" w:rsidRDefault="00F2578B" w:rsidP="003C35DC">
            <w:pPr>
              <w:jc w:val="both"/>
              <w:rPr>
                <w:rFonts w:ascii="Times New Roman" w:hAnsi="Times New Roman" w:cs="Times New Roman"/>
                <w:sz w:val="20"/>
                <w:szCs w:val="20"/>
              </w:rPr>
            </w:pPr>
          </w:p>
        </w:tc>
        <w:tc>
          <w:tcPr>
            <w:tcW w:w="0" w:type="auto"/>
            <w:hideMark/>
          </w:tcPr>
          <w:p w14:paraId="5948919B"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&lt;1 year</w:t>
            </w:r>
          </w:p>
        </w:tc>
        <w:tc>
          <w:tcPr>
            <w:tcW w:w="0" w:type="auto"/>
            <w:hideMark/>
          </w:tcPr>
          <w:p w14:paraId="5006BD2D"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60</w:t>
            </w:r>
          </w:p>
        </w:tc>
        <w:tc>
          <w:tcPr>
            <w:tcW w:w="0" w:type="auto"/>
            <w:hideMark/>
          </w:tcPr>
          <w:p w14:paraId="2D944755"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10.0</w:t>
            </w:r>
          </w:p>
        </w:tc>
      </w:tr>
    </w:tbl>
    <w:p w14:paraId="78BA1698" w14:textId="77777777" w:rsidR="00F2578B" w:rsidRPr="00AE16C5" w:rsidRDefault="00F2578B" w:rsidP="003C35DC">
      <w:pPr>
        <w:spacing w:after="0" w:line="240" w:lineRule="auto"/>
        <w:jc w:val="both"/>
        <w:rPr>
          <w:rFonts w:ascii="Times New Roman" w:hAnsi="Times New Roman" w:cs="Times New Roman"/>
        </w:rPr>
      </w:pPr>
      <w:r w:rsidRPr="00AE16C5">
        <w:rPr>
          <w:rFonts w:ascii="Times New Roman" w:hAnsi="Times New Roman" w:cs="Times New Roman"/>
        </w:rPr>
        <w:t>Sampling was performed using systematic household selection to ensure geographic representation.</w:t>
      </w:r>
    </w:p>
    <w:p w14:paraId="1601B22B" w14:textId="0CD54D46" w:rsidR="00F2578B" w:rsidRPr="00AE16C5" w:rsidRDefault="00F2578B" w:rsidP="003C35DC">
      <w:pPr>
        <w:spacing w:after="0" w:line="240" w:lineRule="auto"/>
        <w:jc w:val="both"/>
        <w:rPr>
          <w:rFonts w:ascii="Times New Roman" w:hAnsi="Times New Roman" w:cs="Times New Roman"/>
        </w:rPr>
      </w:pPr>
    </w:p>
    <w:p w14:paraId="5A1CD34B" w14:textId="77777777" w:rsidR="00F2578B" w:rsidRPr="00AE16C5" w:rsidRDefault="00F2578B" w:rsidP="003C35DC">
      <w:pPr>
        <w:spacing w:after="0" w:line="240" w:lineRule="auto"/>
        <w:jc w:val="both"/>
        <w:rPr>
          <w:rFonts w:ascii="Times New Roman" w:hAnsi="Times New Roman" w:cs="Times New Roman"/>
          <w:b/>
          <w:bCs/>
        </w:rPr>
      </w:pPr>
      <w:r w:rsidRPr="00AE16C5">
        <w:rPr>
          <w:rFonts w:ascii="Times New Roman" w:hAnsi="Times New Roman" w:cs="Times New Roman"/>
          <w:b/>
          <w:bCs/>
        </w:rPr>
        <w:t>3.3 Sample Collection</w:t>
      </w:r>
    </w:p>
    <w:p w14:paraId="1B23B527" w14:textId="0176C4EF" w:rsidR="00F2578B" w:rsidRPr="00AE16C5" w:rsidRDefault="00EC2FD5" w:rsidP="003C35DC">
      <w:pPr>
        <w:spacing w:after="0" w:line="240" w:lineRule="auto"/>
        <w:jc w:val="both"/>
        <w:rPr>
          <w:rFonts w:ascii="Times New Roman" w:hAnsi="Times New Roman" w:cs="Times New Roman"/>
        </w:rPr>
      </w:pPr>
      <w:r w:rsidRPr="00EC2FD5">
        <w:rPr>
          <w:rFonts w:ascii="Times New Roman" w:hAnsi="Times New Roman" w:cs="Times New Roman"/>
        </w:rPr>
        <w:t>Approximately 3 mL of venous blood was collected under aseptic conditions into EDTA tubes to preserve sample integrity. Each sample was then divided into portions for multiple diagnostic procedures, including thick and thin blood smear microscopy, rapid diagnostic testing, and DNA extraction for PCR analysis. All samples were carefully labeled with unique identification codes to ensure proper tracking and avoid mix-ups during laboratory processing.</w:t>
      </w:r>
    </w:p>
    <w:p w14:paraId="43E95FD3" w14:textId="77777777" w:rsidR="00F2578B" w:rsidRPr="00AE16C5" w:rsidRDefault="00F2578B" w:rsidP="003C35DC">
      <w:pPr>
        <w:spacing w:after="0" w:line="240" w:lineRule="auto"/>
        <w:jc w:val="both"/>
        <w:rPr>
          <w:rFonts w:ascii="Times New Roman" w:hAnsi="Times New Roman" w:cs="Times New Roman"/>
          <w:b/>
          <w:bCs/>
        </w:rPr>
      </w:pPr>
      <w:r w:rsidRPr="00AE16C5">
        <w:rPr>
          <w:rFonts w:ascii="Times New Roman" w:hAnsi="Times New Roman" w:cs="Times New Roman"/>
          <w:b/>
          <w:bCs/>
        </w:rPr>
        <w:t>3.4 Microscopy Protocol</w:t>
      </w:r>
    </w:p>
    <w:p w14:paraId="46AF2CFF" w14:textId="77777777" w:rsidR="00EC2FD5" w:rsidRPr="00EC2FD5" w:rsidRDefault="00EC2FD5" w:rsidP="003C35DC">
      <w:pPr>
        <w:spacing w:after="0" w:line="240" w:lineRule="auto"/>
        <w:jc w:val="both"/>
        <w:rPr>
          <w:rFonts w:ascii="Times New Roman" w:hAnsi="Times New Roman" w:cs="Times New Roman"/>
        </w:rPr>
      </w:pPr>
      <w:r w:rsidRPr="00EC2FD5">
        <w:rPr>
          <w:rFonts w:ascii="Times New Roman" w:hAnsi="Times New Roman" w:cs="Times New Roman"/>
        </w:rPr>
        <w:lastRenderedPageBreak/>
        <w:t>Thick and thin blood films were prepared and stained using 10% Giemsa solution for 10 minutes to allow clear visualization of malaria parasites. The stained slides were examined under oil immersion at 1000× magnification for detailed observation. For each slide, up to 200 white blood cells were counted before a sample was declared negative. Parasite density was then calculated and expressed as parasites per microliter (parasites/µL) of blood.</w:t>
      </w:r>
    </w:p>
    <w:p w14:paraId="495E1CCF" w14:textId="77777777" w:rsidR="00EC2FD5" w:rsidRPr="00EC2FD5" w:rsidRDefault="00EC2FD5" w:rsidP="003C35DC">
      <w:pPr>
        <w:spacing w:after="0" w:line="240" w:lineRule="auto"/>
        <w:jc w:val="both"/>
        <w:rPr>
          <w:rFonts w:ascii="Times New Roman" w:hAnsi="Times New Roman" w:cs="Times New Roman"/>
        </w:rPr>
      </w:pPr>
      <w:r w:rsidRPr="00EC2FD5">
        <w:rPr>
          <w:rFonts w:ascii="Times New Roman" w:hAnsi="Times New Roman" w:cs="Times New Roman"/>
        </w:rPr>
        <w:t>To ensure quality control and diagnostic accuracy, 10% of the slides were randomly selected and re-examined by a senior microscopist.</w:t>
      </w:r>
    </w:p>
    <w:p w14:paraId="41A70C2E" w14:textId="50A6D508" w:rsidR="00F2578B" w:rsidRPr="00AE16C5" w:rsidRDefault="00F2578B" w:rsidP="003C35DC">
      <w:pPr>
        <w:spacing w:after="0" w:line="240" w:lineRule="auto"/>
        <w:jc w:val="both"/>
        <w:rPr>
          <w:rFonts w:ascii="Times New Roman" w:hAnsi="Times New Roman" w:cs="Times New Roman"/>
        </w:rPr>
      </w:pPr>
    </w:p>
    <w:p w14:paraId="408B057F" w14:textId="77777777" w:rsidR="00F2578B" w:rsidRPr="00AE16C5" w:rsidRDefault="00F2578B" w:rsidP="003C35DC">
      <w:pPr>
        <w:spacing w:after="0" w:line="240" w:lineRule="auto"/>
        <w:jc w:val="both"/>
        <w:rPr>
          <w:rFonts w:ascii="Times New Roman" w:hAnsi="Times New Roman" w:cs="Times New Roman"/>
          <w:b/>
          <w:bCs/>
        </w:rPr>
      </w:pPr>
      <w:r w:rsidRPr="00AE16C5">
        <w:rPr>
          <w:rFonts w:ascii="Times New Roman" w:hAnsi="Times New Roman" w:cs="Times New Roman"/>
          <w:b/>
          <w:bCs/>
        </w:rPr>
        <w:t>3.5 Rapid Diagnostic Test (RDT)</w:t>
      </w:r>
    </w:p>
    <w:p w14:paraId="3C86EE26" w14:textId="77777777" w:rsidR="00EC2FD5" w:rsidRPr="00EC2FD5" w:rsidRDefault="00EC2FD5" w:rsidP="003C35DC">
      <w:pPr>
        <w:spacing w:after="0" w:line="240" w:lineRule="auto"/>
        <w:jc w:val="both"/>
        <w:rPr>
          <w:rFonts w:ascii="Times New Roman" w:hAnsi="Times New Roman" w:cs="Times New Roman"/>
        </w:rPr>
      </w:pPr>
      <w:r w:rsidRPr="00EC2FD5">
        <w:rPr>
          <w:rFonts w:ascii="Times New Roman" w:hAnsi="Times New Roman" w:cs="Times New Roman"/>
        </w:rPr>
        <w:t>HRP2-based rapid diagnostic test (RDT) kits were used in accordance with the manufacturer’s instructions. For each test, 5 µL of whole blood was applied to the test cassette, followed by the addition of the provided buffer solution. The results were then read after 15 minutes to determine the presence or absence of malaria infection.</w:t>
      </w:r>
    </w:p>
    <w:p w14:paraId="1F6AFC8D" w14:textId="77777777" w:rsidR="00EC2FD5" w:rsidRPr="00EC2FD5" w:rsidRDefault="00EC2FD5" w:rsidP="003C35DC">
      <w:pPr>
        <w:spacing w:after="0" w:line="240" w:lineRule="auto"/>
        <w:jc w:val="both"/>
        <w:rPr>
          <w:rFonts w:ascii="Times New Roman" w:hAnsi="Times New Roman" w:cs="Times New Roman"/>
        </w:rPr>
      </w:pPr>
      <w:r w:rsidRPr="00EC2FD5">
        <w:rPr>
          <w:rFonts w:ascii="Times New Roman" w:hAnsi="Times New Roman" w:cs="Times New Roman"/>
        </w:rPr>
        <w:t xml:space="preserve">A key limitation of HRP2-based RDTs is that they primarily detect </w:t>
      </w:r>
      <w:r w:rsidRPr="00EC2FD5">
        <w:rPr>
          <w:rFonts w:ascii="Times New Roman" w:hAnsi="Times New Roman" w:cs="Times New Roman"/>
          <w:i/>
          <w:iCs/>
        </w:rPr>
        <w:t>Plasmodium falciparum</w:t>
      </w:r>
      <w:r w:rsidRPr="00EC2FD5">
        <w:rPr>
          <w:rFonts w:ascii="Times New Roman" w:hAnsi="Times New Roman" w:cs="Times New Roman"/>
        </w:rPr>
        <w:t>, which may result in reduced sensitivity for non-falciparum species and mixed infections.</w:t>
      </w:r>
    </w:p>
    <w:p w14:paraId="75B66827" w14:textId="77777777" w:rsidR="00EC2FD5" w:rsidRDefault="00EC2FD5" w:rsidP="003C35DC">
      <w:pPr>
        <w:spacing w:after="0" w:line="240" w:lineRule="auto"/>
        <w:jc w:val="both"/>
        <w:rPr>
          <w:rFonts w:ascii="Times New Roman" w:hAnsi="Times New Roman" w:cs="Times New Roman"/>
          <w:b/>
          <w:bCs/>
        </w:rPr>
      </w:pPr>
    </w:p>
    <w:p w14:paraId="09D60E95" w14:textId="27B56A29" w:rsidR="00F2578B" w:rsidRPr="00AE16C5" w:rsidRDefault="00F2578B" w:rsidP="003C35DC">
      <w:pPr>
        <w:spacing w:after="0" w:line="240" w:lineRule="auto"/>
        <w:jc w:val="both"/>
        <w:rPr>
          <w:rFonts w:ascii="Times New Roman" w:hAnsi="Times New Roman" w:cs="Times New Roman"/>
          <w:b/>
          <w:bCs/>
        </w:rPr>
      </w:pPr>
      <w:r w:rsidRPr="00AE16C5">
        <w:rPr>
          <w:rFonts w:ascii="Times New Roman" w:hAnsi="Times New Roman" w:cs="Times New Roman"/>
          <w:b/>
          <w:bCs/>
        </w:rPr>
        <w:t>3.6 DNA Extraction</w:t>
      </w:r>
    </w:p>
    <w:p w14:paraId="6B1B80ED" w14:textId="3B0B7504" w:rsidR="00F2578B" w:rsidRPr="00AE16C5" w:rsidRDefault="00EC2FD5" w:rsidP="003C35DC">
      <w:pPr>
        <w:spacing w:after="0" w:line="240" w:lineRule="auto"/>
        <w:jc w:val="both"/>
        <w:rPr>
          <w:rFonts w:ascii="Times New Roman" w:hAnsi="Times New Roman" w:cs="Times New Roman"/>
        </w:rPr>
      </w:pPr>
      <w:r w:rsidRPr="00EC2FD5">
        <w:rPr>
          <w:rFonts w:ascii="Times New Roman" w:hAnsi="Times New Roman" w:cs="Times New Roman"/>
        </w:rPr>
        <w:t>Genomic DNA was extracted using commercial silica-column kits following standard laboratory protocols. The procedure involved initial cell lysis to release nucleic acids, followed by binding of DNA to a silica membrane under appropriate conditions. The bound DNA was then washed to remove contaminants and impurities, after which it was eluted to obtain purified DNA. The extracted DNA samples were subsequently stored at −20°C until further amplification was performed.</w:t>
      </w:r>
    </w:p>
    <w:p w14:paraId="192E0234" w14:textId="77777777" w:rsidR="00F2578B" w:rsidRPr="00AE16C5" w:rsidRDefault="00F2578B" w:rsidP="003C35DC">
      <w:pPr>
        <w:spacing w:after="0" w:line="240" w:lineRule="auto"/>
        <w:jc w:val="both"/>
        <w:rPr>
          <w:rFonts w:ascii="Times New Roman" w:hAnsi="Times New Roman" w:cs="Times New Roman"/>
          <w:b/>
          <w:bCs/>
        </w:rPr>
      </w:pPr>
      <w:r w:rsidRPr="00AE16C5">
        <w:rPr>
          <w:rFonts w:ascii="Times New Roman" w:hAnsi="Times New Roman" w:cs="Times New Roman"/>
          <w:b/>
          <w:bCs/>
        </w:rPr>
        <w:t>3.7 Nested PCR Amplification</w:t>
      </w:r>
    </w:p>
    <w:p w14:paraId="430271FF" w14:textId="77777777" w:rsidR="00EC2FD5" w:rsidRPr="00EC2FD5" w:rsidRDefault="00EC2FD5" w:rsidP="003C35DC">
      <w:pPr>
        <w:spacing w:after="0" w:line="240" w:lineRule="auto"/>
        <w:jc w:val="both"/>
        <w:rPr>
          <w:rFonts w:ascii="Times New Roman" w:hAnsi="Times New Roman" w:cs="Times New Roman"/>
        </w:rPr>
      </w:pPr>
      <w:r w:rsidRPr="00EC2FD5">
        <w:rPr>
          <w:rFonts w:ascii="Times New Roman" w:hAnsi="Times New Roman" w:cs="Times New Roman"/>
        </w:rPr>
        <w:t xml:space="preserve">Nested PCR targeted the 18S rRNA gene, a highly conserved region among </w:t>
      </w:r>
      <w:r w:rsidRPr="00EC2FD5">
        <w:rPr>
          <w:rFonts w:ascii="Times New Roman" w:hAnsi="Times New Roman" w:cs="Times New Roman"/>
          <w:i/>
          <w:iCs/>
        </w:rPr>
        <w:t>Plasmodium</w:t>
      </w:r>
      <w:r w:rsidRPr="00EC2FD5">
        <w:rPr>
          <w:rFonts w:ascii="Times New Roman" w:hAnsi="Times New Roman" w:cs="Times New Roman"/>
        </w:rPr>
        <w:t xml:space="preserve"> species, enabling sensitive and specific detection. The amplification process was carried out in two stages.</w:t>
      </w:r>
    </w:p>
    <w:p w14:paraId="4FDC09FE" w14:textId="77777777" w:rsidR="00EC2FD5" w:rsidRPr="00EC2FD5" w:rsidRDefault="00EC2FD5" w:rsidP="003C35DC">
      <w:pPr>
        <w:spacing w:after="0" w:line="240" w:lineRule="auto"/>
        <w:jc w:val="both"/>
        <w:rPr>
          <w:rFonts w:ascii="Times New Roman" w:hAnsi="Times New Roman" w:cs="Times New Roman"/>
        </w:rPr>
      </w:pPr>
      <w:r w:rsidRPr="00EC2FD5">
        <w:rPr>
          <w:rFonts w:ascii="Times New Roman" w:hAnsi="Times New Roman" w:cs="Times New Roman"/>
        </w:rPr>
        <w:t xml:space="preserve">In the primary PCR, genus-specific primers were used to amplify a conserved fragment common to all </w:t>
      </w:r>
      <w:r w:rsidRPr="00EC2FD5">
        <w:rPr>
          <w:rFonts w:ascii="Times New Roman" w:hAnsi="Times New Roman" w:cs="Times New Roman"/>
          <w:i/>
          <w:iCs/>
        </w:rPr>
        <w:t>Plasmodium</w:t>
      </w:r>
      <w:r w:rsidRPr="00EC2FD5">
        <w:rPr>
          <w:rFonts w:ascii="Times New Roman" w:hAnsi="Times New Roman" w:cs="Times New Roman"/>
        </w:rPr>
        <w:t xml:space="preserve"> species. This step ensured the initial detection of the parasite at the genus level.</w:t>
      </w:r>
    </w:p>
    <w:p w14:paraId="4778449E" w14:textId="77777777" w:rsidR="00EC2FD5" w:rsidRPr="00EC2FD5" w:rsidRDefault="00EC2FD5" w:rsidP="003C35DC">
      <w:pPr>
        <w:spacing w:after="0" w:line="240" w:lineRule="auto"/>
        <w:jc w:val="both"/>
        <w:rPr>
          <w:rFonts w:ascii="Times New Roman" w:hAnsi="Times New Roman" w:cs="Times New Roman"/>
        </w:rPr>
      </w:pPr>
      <w:r w:rsidRPr="00EC2FD5">
        <w:rPr>
          <w:rFonts w:ascii="Times New Roman" w:hAnsi="Times New Roman" w:cs="Times New Roman"/>
        </w:rPr>
        <w:t xml:space="preserve">The secondary (nested) PCR involved the use of species-specific primers to further amplify the DNA and differentiate between individual species. These primers targeted </w:t>
      </w:r>
      <w:r w:rsidRPr="00EC2FD5">
        <w:rPr>
          <w:rFonts w:ascii="Times New Roman" w:hAnsi="Times New Roman" w:cs="Times New Roman"/>
          <w:i/>
          <w:iCs/>
        </w:rPr>
        <w:t>Plasmodium falciparum</w:t>
      </w:r>
      <w:r w:rsidRPr="00EC2FD5">
        <w:rPr>
          <w:rFonts w:ascii="Times New Roman" w:hAnsi="Times New Roman" w:cs="Times New Roman"/>
        </w:rPr>
        <w:t xml:space="preserve">, </w:t>
      </w:r>
      <w:r w:rsidRPr="00EC2FD5">
        <w:rPr>
          <w:rFonts w:ascii="Times New Roman" w:hAnsi="Times New Roman" w:cs="Times New Roman"/>
          <w:i/>
          <w:iCs/>
        </w:rPr>
        <w:t>Plasmodium vivax</w:t>
      </w:r>
      <w:r w:rsidRPr="00EC2FD5">
        <w:rPr>
          <w:rFonts w:ascii="Times New Roman" w:hAnsi="Times New Roman" w:cs="Times New Roman"/>
        </w:rPr>
        <w:t xml:space="preserve">, </w:t>
      </w:r>
      <w:r w:rsidRPr="00EC2FD5">
        <w:rPr>
          <w:rFonts w:ascii="Times New Roman" w:hAnsi="Times New Roman" w:cs="Times New Roman"/>
          <w:i/>
          <w:iCs/>
        </w:rPr>
        <w:t xml:space="preserve">Plasmodium </w:t>
      </w:r>
      <w:proofErr w:type="spellStart"/>
      <w:r w:rsidRPr="00EC2FD5">
        <w:rPr>
          <w:rFonts w:ascii="Times New Roman" w:hAnsi="Times New Roman" w:cs="Times New Roman"/>
          <w:i/>
          <w:iCs/>
        </w:rPr>
        <w:t>malariae</w:t>
      </w:r>
      <w:proofErr w:type="spellEnd"/>
      <w:r w:rsidRPr="00EC2FD5">
        <w:rPr>
          <w:rFonts w:ascii="Times New Roman" w:hAnsi="Times New Roman" w:cs="Times New Roman"/>
        </w:rPr>
        <w:t xml:space="preserve">, and </w:t>
      </w:r>
      <w:r w:rsidRPr="00EC2FD5">
        <w:rPr>
          <w:rFonts w:ascii="Times New Roman" w:hAnsi="Times New Roman" w:cs="Times New Roman"/>
          <w:i/>
          <w:iCs/>
        </w:rPr>
        <w:t xml:space="preserve">Plasmodium </w:t>
      </w:r>
      <w:proofErr w:type="spellStart"/>
      <w:r w:rsidRPr="00EC2FD5">
        <w:rPr>
          <w:rFonts w:ascii="Times New Roman" w:hAnsi="Times New Roman" w:cs="Times New Roman"/>
          <w:i/>
          <w:iCs/>
        </w:rPr>
        <w:t>ovale</w:t>
      </w:r>
      <w:proofErr w:type="spellEnd"/>
      <w:r w:rsidRPr="00EC2FD5">
        <w:rPr>
          <w:rFonts w:ascii="Times New Roman" w:hAnsi="Times New Roman" w:cs="Times New Roman"/>
        </w:rPr>
        <w:t>, allowing precise identification of single and mixed infections.</w:t>
      </w:r>
    </w:p>
    <w:p w14:paraId="51145F6A" w14:textId="77777777" w:rsidR="00171C08" w:rsidRPr="00AE16C5" w:rsidRDefault="00171C08" w:rsidP="003C35DC">
      <w:pPr>
        <w:spacing w:after="0" w:line="240" w:lineRule="auto"/>
        <w:ind w:left="720"/>
        <w:jc w:val="both"/>
        <w:rPr>
          <w:rFonts w:ascii="Times New Roman" w:hAnsi="Times New Roman" w:cs="Times New Roman"/>
        </w:rPr>
      </w:pPr>
    </w:p>
    <w:p w14:paraId="236C2A83" w14:textId="55B84C5E" w:rsidR="00F2578B" w:rsidRPr="00AE16C5" w:rsidRDefault="00F2578B" w:rsidP="003C35DC">
      <w:pPr>
        <w:spacing w:after="0" w:line="240" w:lineRule="auto"/>
        <w:jc w:val="both"/>
        <w:rPr>
          <w:rFonts w:ascii="Times New Roman" w:hAnsi="Times New Roman" w:cs="Times New Roman"/>
          <w:b/>
          <w:bCs/>
        </w:rPr>
      </w:pPr>
    </w:p>
    <w:p w14:paraId="16BA53A8" w14:textId="33F0D8D1" w:rsidR="00996DBC" w:rsidRPr="00996DBC" w:rsidRDefault="00996DBC" w:rsidP="003C35DC">
      <w:pPr>
        <w:pStyle w:val="Caption"/>
        <w:keepNext/>
        <w:spacing w:after="0"/>
        <w:jc w:val="both"/>
        <w:rPr>
          <w:rFonts w:ascii="Times New Roman" w:hAnsi="Times New Roman" w:cs="Times New Roman"/>
          <w:i w:val="0"/>
          <w:iCs w:val="0"/>
          <w:color w:val="000000" w:themeColor="text1"/>
          <w:sz w:val="24"/>
          <w:szCs w:val="24"/>
        </w:rPr>
      </w:pPr>
      <w:r w:rsidRPr="00996DBC">
        <w:rPr>
          <w:rFonts w:ascii="Times New Roman" w:hAnsi="Times New Roman" w:cs="Times New Roman"/>
          <w:i w:val="0"/>
          <w:iCs w:val="0"/>
          <w:color w:val="000000" w:themeColor="text1"/>
          <w:sz w:val="24"/>
          <w:szCs w:val="24"/>
        </w:rPr>
        <w:t xml:space="preserve">Table </w:t>
      </w:r>
      <w:r w:rsidRPr="00996DBC">
        <w:rPr>
          <w:rFonts w:ascii="Times New Roman" w:hAnsi="Times New Roman" w:cs="Times New Roman"/>
          <w:i w:val="0"/>
          <w:iCs w:val="0"/>
          <w:color w:val="000000" w:themeColor="text1"/>
          <w:sz w:val="24"/>
          <w:szCs w:val="24"/>
        </w:rPr>
        <w:fldChar w:fldCharType="begin"/>
      </w:r>
      <w:r w:rsidRPr="00996DBC">
        <w:rPr>
          <w:rFonts w:ascii="Times New Roman" w:hAnsi="Times New Roman" w:cs="Times New Roman"/>
          <w:i w:val="0"/>
          <w:iCs w:val="0"/>
          <w:color w:val="000000" w:themeColor="text1"/>
          <w:sz w:val="24"/>
          <w:szCs w:val="24"/>
        </w:rPr>
        <w:instrText xml:space="preserve"> SEQ Table \* ARABIC </w:instrText>
      </w:r>
      <w:r w:rsidRPr="00996DBC">
        <w:rPr>
          <w:rFonts w:ascii="Times New Roman" w:hAnsi="Times New Roman" w:cs="Times New Roman"/>
          <w:i w:val="0"/>
          <w:iCs w:val="0"/>
          <w:color w:val="000000" w:themeColor="text1"/>
          <w:sz w:val="24"/>
          <w:szCs w:val="24"/>
        </w:rPr>
        <w:fldChar w:fldCharType="separate"/>
      </w:r>
      <w:r>
        <w:rPr>
          <w:rFonts w:ascii="Times New Roman" w:hAnsi="Times New Roman" w:cs="Times New Roman"/>
          <w:i w:val="0"/>
          <w:iCs w:val="0"/>
          <w:noProof/>
          <w:color w:val="000000" w:themeColor="text1"/>
          <w:sz w:val="24"/>
          <w:szCs w:val="24"/>
        </w:rPr>
        <w:t>2</w:t>
      </w:r>
      <w:r w:rsidRPr="00996DBC">
        <w:rPr>
          <w:rFonts w:ascii="Times New Roman" w:hAnsi="Times New Roman" w:cs="Times New Roman"/>
          <w:i w:val="0"/>
          <w:iCs w:val="0"/>
          <w:color w:val="000000" w:themeColor="text1"/>
          <w:sz w:val="24"/>
          <w:szCs w:val="24"/>
        </w:rPr>
        <w:fldChar w:fldCharType="end"/>
      </w:r>
      <w:r w:rsidRPr="00996DBC">
        <w:rPr>
          <w:rFonts w:ascii="Times New Roman" w:hAnsi="Times New Roman" w:cs="Times New Roman"/>
          <w:i w:val="0"/>
          <w:iCs w:val="0"/>
          <w:color w:val="000000" w:themeColor="text1"/>
          <w:sz w:val="24"/>
          <w:szCs w:val="24"/>
        </w:rPr>
        <w:t>: PCR Reaction Conditions</w:t>
      </w:r>
    </w:p>
    <w:tbl>
      <w:tblPr>
        <w:tblStyle w:val="TableGrid"/>
        <w:tblW w:w="0" w:type="auto"/>
        <w:tblLook w:val="04A0" w:firstRow="1" w:lastRow="0" w:firstColumn="1" w:lastColumn="0" w:noHBand="0" w:noVBand="1"/>
      </w:tblPr>
      <w:tblGrid>
        <w:gridCol w:w="2103"/>
        <w:gridCol w:w="1636"/>
        <w:gridCol w:w="1539"/>
      </w:tblGrid>
      <w:tr w:rsidR="00F2578B" w:rsidRPr="00AE16C5" w14:paraId="7E92D286" w14:textId="77777777" w:rsidTr="00AE16C5">
        <w:tc>
          <w:tcPr>
            <w:tcW w:w="0" w:type="auto"/>
            <w:hideMark/>
          </w:tcPr>
          <w:p w14:paraId="07A7A72E" w14:textId="77777777" w:rsidR="00F2578B" w:rsidRPr="00AE16C5" w:rsidRDefault="00F2578B" w:rsidP="003C35DC">
            <w:pPr>
              <w:jc w:val="both"/>
              <w:rPr>
                <w:rFonts w:ascii="Times New Roman" w:hAnsi="Times New Roman" w:cs="Times New Roman"/>
                <w:b/>
                <w:bCs/>
              </w:rPr>
            </w:pPr>
            <w:r w:rsidRPr="00AE16C5">
              <w:rPr>
                <w:rFonts w:ascii="Times New Roman" w:hAnsi="Times New Roman" w:cs="Times New Roman"/>
                <w:b/>
                <w:bCs/>
              </w:rPr>
              <w:t>Parameter</w:t>
            </w:r>
          </w:p>
        </w:tc>
        <w:tc>
          <w:tcPr>
            <w:tcW w:w="0" w:type="auto"/>
            <w:hideMark/>
          </w:tcPr>
          <w:p w14:paraId="45C53D0B" w14:textId="77777777" w:rsidR="00F2578B" w:rsidRPr="00AE16C5" w:rsidRDefault="00F2578B" w:rsidP="003C35DC">
            <w:pPr>
              <w:jc w:val="both"/>
              <w:rPr>
                <w:rFonts w:ascii="Times New Roman" w:hAnsi="Times New Roman" w:cs="Times New Roman"/>
                <w:b/>
                <w:bCs/>
              </w:rPr>
            </w:pPr>
            <w:r w:rsidRPr="00AE16C5">
              <w:rPr>
                <w:rFonts w:ascii="Times New Roman" w:hAnsi="Times New Roman" w:cs="Times New Roman"/>
                <w:b/>
                <w:bCs/>
              </w:rPr>
              <w:t>Primary PCR</w:t>
            </w:r>
          </w:p>
        </w:tc>
        <w:tc>
          <w:tcPr>
            <w:tcW w:w="0" w:type="auto"/>
            <w:hideMark/>
          </w:tcPr>
          <w:p w14:paraId="3AC3A4B7" w14:textId="77777777" w:rsidR="00F2578B" w:rsidRPr="00AE16C5" w:rsidRDefault="00F2578B" w:rsidP="003C35DC">
            <w:pPr>
              <w:jc w:val="both"/>
              <w:rPr>
                <w:rFonts w:ascii="Times New Roman" w:hAnsi="Times New Roman" w:cs="Times New Roman"/>
                <w:b/>
                <w:bCs/>
              </w:rPr>
            </w:pPr>
            <w:r w:rsidRPr="00AE16C5">
              <w:rPr>
                <w:rFonts w:ascii="Times New Roman" w:hAnsi="Times New Roman" w:cs="Times New Roman"/>
                <w:b/>
                <w:bCs/>
              </w:rPr>
              <w:t>Nested PCR</w:t>
            </w:r>
          </w:p>
        </w:tc>
      </w:tr>
      <w:tr w:rsidR="00F2578B" w:rsidRPr="00AE16C5" w14:paraId="5A84DF0C" w14:textId="77777777" w:rsidTr="00AE16C5">
        <w:tc>
          <w:tcPr>
            <w:tcW w:w="0" w:type="auto"/>
            <w:hideMark/>
          </w:tcPr>
          <w:p w14:paraId="61A35AE9" w14:textId="77777777" w:rsidR="00F2578B" w:rsidRPr="00AE16C5" w:rsidRDefault="00F2578B" w:rsidP="003C35DC">
            <w:pPr>
              <w:jc w:val="both"/>
              <w:rPr>
                <w:rFonts w:ascii="Times New Roman" w:hAnsi="Times New Roman" w:cs="Times New Roman"/>
              </w:rPr>
            </w:pPr>
            <w:r w:rsidRPr="00AE16C5">
              <w:rPr>
                <w:rFonts w:ascii="Times New Roman" w:hAnsi="Times New Roman" w:cs="Times New Roman"/>
              </w:rPr>
              <w:t>Initial Denaturation</w:t>
            </w:r>
          </w:p>
        </w:tc>
        <w:tc>
          <w:tcPr>
            <w:tcW w:w="0" w:type="auto"/>
            <w:hideMark/>
          </w:tcPr>
          <w:p w14:paraId="52E37CC7" w14:textId="77777777" w:rsidR="00F2578B" w:rsidRPr="00AE16C5" w:rsidRDefault="00F2578B" w:rsidP="003C35DC">
            <w:pPr>
              <w:jc w:val="both"/>
              <w:rPr>
                <w:rFonts w:ascii="Times New Roman" w:hAnsi="Times New Roman" w:cs="Times New Roman"/>
              </w:rPr>
            </w:pPr>
            <w:r w:rsidRPr="00AE16C5">
              <w:rPr>
                <w:rFonts w:ascii="Times New Roman" w:hAnsi="Times New Roman" w:cs="Times New Roman"/>
              </w:rPr>
              <w:t>94°C (5 min)</w:t>
            </w:r>
          </w:p>
        </w:tc>
        <w:tc>
          <w:tcPr>
            <w:tcW w:w="0" w:type="auto"/>
            <w:hideMark/>
          </w:tcPr>
          <w:p w14:paraId="7C36B9DA" w14:textId="77777777" w:rsidR="00F2578B" w:rsidRPr="00AE16C5" w:rsidRDefault="00F2578B" w:rsidP="003C35DC">
            <w:pPr>
              <w:jc w:val="both"/>
              <w:rPr>
                <w:rFonts w:ascii="Times New Roman" w:hAnsi="Times New Roman" w:cs="Times New Roman"/>
              </w:rPr>
            </w:pPr>
            <w:r w:rsidRPr="00AE16C5">
              <w:rPr>
                <w:rFonts w:ascii="Times New Roman" w:hAnsi="Times New Roman" w:cs="Times New Roman"/>
              </w:rPr>
              <w:t>94°C (5 min)</w:t>
            </w:r>
          </w:p>
        </w:tc>
      </w:tr>
      <w:tr w:rsidR="00F2578B" w:rsidRPr="00AE16C5" w14:paraId="58D5B788" w14:textId="77777777" w:rsidTr="00AE16C5">
        <w:tc>
          <w:tcPr>
            <w:tcW w:w="0" w:type="auto"/>
            <w:hideMark/>
          </w:tcPr>
          <w:p w14:paraId="366DBD21" w14:textId="77777777" w:rsidR="00F2578B" w:rsidRPr="00AE16C5" w:rsidRDefault="00F2578B" w:rsidP="003C35DC">
            <w:pPr>
              <w:jc w:val="both"/>
              <w:rPr>
                <w:rFonts w:ascii="Times New Roman" w:hAnsi="Times New Roman" w:cs="Times New Roman"/>
              </w:rPr>
            </w:pPr>
            <w:r w:rsidRPr="00AE16C5">
              <w:rPr>
                <w:rFonts w:ascii="Times New Roman" w:hAnsi="Times New Roman" w:cs="Times New Roman"/>
              </w:rPr>
              <w:t>Denaturation</w:t>
            </w:r>
          </w:p>
        </w:tc>
        <w:tc>
          <w:tcPr>
            <w:tcW w:w="0" w:type="auto"/>
            <w:hideMark/>
          </w:tcPr>
          <w:p w14:paraId="2AFD78CD" w14:textId="77777777" w:rsidR="00F2578B" w:rsidRPr="00AE16C5" w:rsidRDefault="00F2578B" w:rsidP="003C35DC">
            <w:pPr>
              <w:jc w:val="both"/>
              <w:rPr>
                <w:rFonts w:ascii="Times New Roman" w:hAnsi="Times New Roman" w:cs="Times New Roman"/>
              </w:rPr>
            </w:pPr>
            <w:r w:rsidRPr="00AE16C5">
              <w:rPr>
                <w:rFonts w:ascii="Times New Roman" w:hAnsi="Times New Roman" w:cs="Times New Roman"/>
              </w:rPr>
              <w:t>94°C (30 sec)</w:t>
            </w:r>
          </w:p>
        </w:tc>
        <w:tc>
          <w:tcPr>
            <w:tcW w:w="0" w:type="auto"/>
            <w:hideMark/>
          </w:tcPr>
          <w:p w14:paraId="591013D5" w14:textId="77777777" w:rsidR="00F2578B" w:rsidRPr="00AE16C5" w:rsidRDefault="00F2578B" w:rsidP="003C35DC">
            <w:pPr>
              <w:jc w:val="both"/>
              <w:rPr>
                <w:rFonts w:ascii="Times New Roman" w:hAnsi="Times New Roman" w:cs="Times New Roman"/>
              </w:rPr>
            </w:pPr>
            <w:r w:rsidRPr="00AE16C5">
              <w:rPr>
                <w:rFonts w:ascii="Times New Roman" w:hAnsi="Times New Roman" w:cs="Times New Roman"/>
              </w:rPr>
              <w:t>94°C (30 sec)</w:t>
            </w:r>
          </w:p>
        </w:tc>
      </w:tr>
      <w:tr w:rsidR="00F2578B" w:rsidRPr="00AE16C5" w14:paraId="6AEF7935" w14:textId="77777777" w:rsidTr="00AE16C5">
        <w:tc>
          <w:tcPr>
            <w:tcW w:w="0" w:type="auto"/>
            <w:hideMark/>
          </w:tcPr>
          <w:p w14:paraId="19EEBE7D" w14:textId="77777777" w:rsidR="00F2578B" w:rsidRPr="00AE16C5" w:rsidRDefault="00F2578B" w:rsidP="003C35DC">
            <w:pPr>
              <w:jc w:val="both"/>
              <w:rPr>
                <w:rFonts w:ascii="Times New Roman" w:hAnsi="Times New Roman" w:cs="Times New Roman"/>
              </w:rPr>
            </w:pPr>
            <w:r w:rsidRPr="00AE16C5">
              <w:rPr>
                <w:rFonts w:ascii="Times New Roman" w:hAnsi="Times New Roman" w:cs="Times New Roman"/>
              </w:rPr>
              <w:t>Annealing</w:t>
            </w:r>
          </w:p>
        </w:tc>
        <w:tc>
          <w:tcPr>
            <w:tcW w:w="0" w:type="auto"/>
            <w:hideMark/>
          </w:tcPr>
          <w:p w14:paraId="770E9254" w14:textId="77777777" w:rsidR="00F2578B" w:rsidRPr="00AE16C5" w:rsidRDefault="00F2578B" w:rsidP="003C35DC">
            <w:pPr>
              <w:jc w:val="both"/>
              <w:rPr>
                <w:rFonts w:ascii="Times New Roman" w:hAnsi="Times New Roman" w:cs="Times New Roman"/>
              </w:rPr>
            </w:pPr>
            <w:r w:rsidRPr="00AE16C5">
              <w:rPr>
                <w:rFonts w:ascii="Times New Roman" w:hAnsi="Times New Roman" w:cs="Times New Roman"/>
              </w:rPr>
              <w:t>58°C (1 min)</w:t>
            </w:r>
          </w:p>
        </w:tc>
        <w:tc>
          <w:tcPr>
            <w:tcW w:w="0" w:type="auto"/>
            <w:hideMark/>
          </w:tcPr>
          <w:p w14:paraId="0510A751" w14:textId="77777777" w:rsidR="00F2578B" w:rsidRPr="00AE16C5" w:rsidRDefault="00F2578B" w:rsidP="003C35DC">
            <w:pPr>
              <w:jc w:val="both"/>
              <w:rPr>
                <w:rFonts w:ascii="Times New Roman" w:hAnsi="Times New Roman" w:cs="Times New Roman"/>
              </w:rPr>
            </w:pPr>
            <w:r w:rsidRPr="00AE16C5">
              <w:rPr>
                <w:rFonts w:ascii="Times New Roman" w:hAnsi="Times New Roman" w:cs="Times New Roman"/>
              </w:rPr>
              <w:t>60°C (1 min)</w:t>
            </w:r>
          </w:p>
        </w:tc>
      </w:tr>
      <w:tr w:rsidR="00F2578B" w:rsidRPr="00AE16C5" w14:paraId="7F2C97EB" w14:textId="77777777" w:rsidTr="00AE16C5">
        <w:tc>
          <w:tcPr>
            <w:tcW w:w="0" w:type="auto"/>
            <w:hideMark/>
          </w:tcPr>
          <w:p w14:paraId="0009DB99" w14:textId="77777777" w:rsidR="00F2578B" w:rsidRPr="00AE16C5" w:rsidRDefault="00F2578B" w:rsidP="003C35DC">
            <w:pPr>
              <w:jc w:val="both"/>
              <w:rPr>
                <w:rFonts w:ascii="Times New Roman" w:hAnsi="Times New Roman" w:cs="Times New Roman"/>
              </w:rPr>
            </w:pPr>
            <w:r w:rsidRPr="00AE16C5">
              <w:rPr>
                <w:rFonts w:ascii="Times New Roman" w:hAnsi="Times New Roman" w:cs="Times New Roman"/>
              </w:rPr>
              <w:t>Extension</w:t>
            </w:r>
          </w:p>
        </w:tc>
        <w:tc>
          <w:tcPr>
            <w:tcW w:w="0" w:type="auto"/>
            <w:hideMark/>
          </w:tcPr>
          <w:p w14:paraId="153A1B15" w14:textId="77777777" w:rsidR="00F2578B" w:rsidRPr="00AE16C5" w:rsidRDefault="00F2578B" w:rsidP="003C35DC">
            <w:pPr>
              <w:jc w:val="both"/>
              <w:rPr>
                <w:rFonts w:ascii="Times New Roman" w:hAnsi="Times New Roman" w:cs="Times New Roman"/>
              </w:rPr>
            </w:pPr>
            <w:r w:rsidRPr="00AE16C5">
              <w:rPr>
                <w:rFonts w:ascii="Times New Roman" w:hAnsi="Times New Roman" w:cs="Times New Roman"/>
              </w:rPr>
              <w:t>72°C (1 min)</w:t>
            </w:r>
          </w:p>
        </w:tc>
        <w:tc>
          <w:tcPr>
            <w:tcW w:w="0" w:type="auto"/>
            <w:hideMark/>
          </w:tcPr>
          <w:p w14:paraId="712DA555" w14:textId="77777777" w:rsidR="00F2578B" w:rsidRPr="00AE16C5" w:rsidRDefault="00F2578B" w:rsidP="003C35DC">
            <w:pPr>
              <w:jc w:val="both"/>
              <w:rPr>
                <w:rFonts w:ascii="Times New Roman" w:hAnsi="Times New Roman" w:cs="Times New Roman"/>
              </w:rPr>
            </w:pPr>
            <w:r w:rsidRPr="00AE16C5">
              <w:rPr>
                <w:rFonts w:ascii="Times New Roman" w:hAnsi="Times New Roman" w:cs="Times New Roman"/>
              </w:rPr>
              <w:t>72°C (1 min)</w:t>
            </w:r>
          </w:p>
        </w:tc>
      </w:tr>
      <w:tr w:rsidR="00F2578B" w:rsidRPr="00AE16C5" w14:paraId="1EB6E795" w14:textId="77777777" w:rsidTr="00AE16C5">
        <w:tc>
          <w:tcPr>
            <w:tcW w:w="0" w:type="auto"/>
            <w:hideMark/>
          </w:tcPr>
          <w:p w14:paraId="6CCD0BAD" w14:textId="77777777" w:rsidR="00F2578B" w:rsidRPr="00AE16C5" w:rsidRDefault="00F2578B" w:rsidP="003C35DC">
            <w:pPr>
              <w:jc w:val="both"/>
              <w:rPr>
                <w:rFonts w:ascii="Times New Roman" w:hAnsi="Times New Roman" w:cs="Times New Roman"/>
              </w:rPr>
            </w:pPr>
            <w:r w:rsidRPr="00AE16C5">
              <w:rPr>
                <w:rFonts w:ascii="Times New Roman" w:hAnsi="Times New Roman" w:cs="Times New Roman"/>
              </w:rPr>
              <w:t>Final Extension</w:t>
            </w:r>
          </w:p>
        </w:tc>
        <w:tc>
          <w:tcPr>
            <w:tcW w:w="0" w:type="auto"/>
            <w:hideMark/>
          </w:tcPr>
          <w:p w14:paraId="1145EF0D" w14:textId="77777777" w:rsidR="00F2578B" w:rsidRPr="00AE16C5" w:rsidRDefault="00F2578B" w:rsidP="003C35DC">
            <w:pPr>
              <w:jc w:val="both"/>
              <w:rPr>
                <w:rFonts w:ascii="Times New Roman" w:hAnsi="Times New Roman" w:cs="Times New Roman"/>
              </w:rPr>
            </w:pPr>
            <w:r w:rsidRPr="00AE16C5">
              <w:rPr>
                <w:rFonts w:ascii="Times New Roman" w:hAnsi="Times New Roman" w:cs="Times New Roman"/>
              </w:rPr>
              <w:t>72°C (5 min)</w:t>
            </w:r>
          </w:p>
        </w:tc>
        <w:tc>
          <w:tcPr>
            <w:tcW w:w="0" w:type="auto"/>
            <w:hideMark/>
          </w:tcPr>
          <w:p w14:paraId="42F07B4C" w14:textId="77777777" w:rsidR="00F2578B" w:rsidRPr="00AE16C5" w:rsidRDefault="00F2578B" w:rsidP="003C35DC">
            <w:pPr>
              <w:jc w:val="both"/>
              <w:rPr>
                <w:rFonts w:ascii="Times New Roman" w:hAnsi="Times New Roman" w:cs="Times New Roman"/>
              </w:rPr>
            </w:pPr>
            <w:r w:rsidRPr="00AE16C5">
              <w:rPr>
                <w:rFonts w:ascii="Times New Roman" w:hAnsi="Times New Roman" w:cs="Times New Roman"/>
              </w:rPr>
              <w:t>72°C (5 min)</w:t>
            </w:r>
          </w:p>
        </w:tc>
      </w:tr>
      <w:tr w:rsidR="00F2578B" w:rsidRPr="00AE16C5" w14:paraId="2DD6EE9A" w14:textId="77777777" w:rsidTr="00AE16C5">
        <w:tc>
          <w:tcPr>
            <w:tcW w:w="0" w:type="auto"/>
            <w:hideMark/>
          </w:tcPr>
          <w:p w14:paraId="69DEF1DA" w14:textId="77777777" w:rsidR="00F2578B" w:rsidRPr="00AE16C5" w:rsidRDefault="00F2578B" w:rsidP="003C35DC">
            <w:pPr>
              <w:jc w:val="both"/>
              <w:rPr>
                <w:rFonts w:ascii="Times New Roman" w:hAnsi="Times New Roman" w:cs="Times New Roman"/>
              </w:rPr>
            </w:pPr>
            <w:r w:rsidRPr="00AE16C5">
              <w:rPr>
                <w:rFonts w:ascii="Times New Roman" w:hAnsi="Times New Roman" w:cs="Times New Roman"/>
              </w:rPr>
              <w:t>Cycles</w:t>
            </w:r>
          </w:p>
        </w:tc>
        <w:tc>
          <w:tcPr>
            <w:tcW w:w="0" w:type="auto"/>
            <w:hideMark/>
          </w:tcPr>
          <w:p w14:paraId="28F13747" w14:textId="77777777" w:rsidR="00F2578B" w:rsidRPr="00AE16C5" w:rsidRDefault="00F2578B" w:rsidP="003C35DC">
            <w:pPr>
              <w:jc w:val="both"/>
              <w:rPr>
                <w:rFonts w:ascii="Times New Roman" w:hAnsi="Times New Roman" w:cs="Times New Roman"/>
              </w:rPr>
            </w:pPr>
            <w:r w:rsidRPr="00AE16C5">
              <w:rPr>
                <w:rFonts w:ascii="Times New Roman" w:hAnsi="Times New Roman" w:cs="Times New Roman"/>
              </w:rPr>
              <w:t>35</w:t>
            </w:r>
          </w:p>
        </w:tc>
        <w:tc>
          <w:tcPr>
            <w:tcW w:w="0" w:type="auto"/>
            <w:hideMark/>
          </w:tcPr>
          <w:p w14:paraId="48E254AB" w14:textId="77777777" w:rsidR="00F2578B" w:rsidRPr="00AE16C5" w:rsidRDefault="00F2578B" w:rsidP="003C35DC">
            <w:pPr>
              <w:jc w:val="both"/>
              <w:rPr>
                <w:rFonts w:ascii="Times New Roman" w:hAnsi="Times New Roman" w:cs="Times New Roman"/>
              </w:rPr>
            </w:pPr>
            <w:r w:rsidRPr="00AE16C5">
              <w:rPr>
                <w:rFonts w:ascii="Times New Roman" w:hAnsi="Times New Roman" w:cs="Times New Roman"/>
              </w:rPr>
              <w:t>30</w:t>
            </w:r>
          </w:p>
        </w:tc>
      </w:tr>
    </w:tbl>
    <w:p w14:paraId="298C528D" w14:textId="4CE2BB85" w:rsidR="00F2578B" w:rsidRPr="00AE16C5" w:rsidRDefault="00F2578B" w:rsidP="003C35DC">
      <w:pPr>
        <w:spacing w:after="0" w:line="240" w:lineRule="auto"/>
        <w:jc w:val="both"/>
        <w:rPr>
          <w:rFonts w:ascii="Times New Roman" w:hAnsi="Times New Roman" w:cs="Times New Roman"/>
        </w:rPr>
      </w:pPr>
    </w:p>
    <w:p w14:paraId="0747C571" w14:textId="77777777" w:rsidR="00F2578B" w:rsidRPr="00AE16C5" w:rsidRDefault="00F2578B" w:rsidP="003C35DC">
      <w:pPr>
        <w:spacing w:after="0" w:line="240" w:lineRule="auto"/>
        <w:jc w:val="both"/>
        <w:rPr>
          <w:rFonts w:ascii="Times New Roman" w:hAnsi="Times New Roman" w:cs="Times New Roman"/>
          <w:b/>
          <w:bCs/>
        </w:rPr>
      </w:pPr>
      <w:r w:rsidRPr="00AE16C5">
        <w:rPr>
          <w:rFonts w:ascii="Times New Roman" w:hAnsi="Times New Roman" w:cs="Times New Roman"/>
          <w:b/>
          <w:bCs/>
        </w:rPr>
        <w:t>3.8 Gel Electrophoresis</w:t>
      </w:r>
    </w:p>
    <w:p w14:paraId="3AAA0795" w14:textId="6932E83C" w:rsidR="00F2578B" w:rsidRDefault="00EC2FD5" w:rsidP="003C35DC">
      <w:pPr>
        <w:spacing w:after="0" w:line="240" w:lineRule="auto"/>
        <w:jc w:val="both"/>
        <w:rPr>
          <w:rFonts w:ascii="Times New Roman" w:hAnsi="Times New Roman" w:cs="Times New Roman"/>
        </w:rPr>
      </w:pPr>
      <w:r w:rsidRPr="00EC2FD5">
        <w:rPr>
          <w:rFonts w:ascii="Times New Roman" w:hAnsi="Times New Roman" w:cs="Times New Roman"/>
        </w:rPr>
        <w:t xml:space="preserve">PCR products were separated using 2% agarose gel electrophoresis stained with ethidium bromide to allow visualization of amplified DNA fragments. The electrophoresis was conducted at a voltage </w:t>
      </w:r>
      <w:r w:rsidRPr="00EC2FD5">
        <w:rPr>
          <w:rFonts w:ascii="Times New Roman" w:hAnsi="Times New Roman" w:cs="Times New Roman"/>
        </w:rPr>
        <w:lastRenderedPageBreak/>
        <w:t>of 100 V for approximately 45 minutes. Following separation, the DNA bands were visualized under a UV transilluminator. Species identification was then determined by comparing the observed band sizes with a standard molecular weight marker.</w:t>
      </w:r>
    </w:p>
    <w:p w14:paraId="47F19EF2" w14:textId="77777777" w:rsidR="00EC2FD5" w:rsidRPr="00AE16C5" w:rsidRDefault="00EC2FD5" w:rsidP="003C35DC">
      <w:pPr>
        <w:spacing w:after="0" w:line="240" w:lineRule="auto"/>
        <w:jc w:val="both"/>
        <w:rPr>
          <w:rFonts w:ascii="Times New Roman" w:hAnsi="Times New Roman" w:cs="Times New Roman"/>
        </w:rPr>
      </w:pPr>
    </w:p>
    <w:p w14:paraId="27F1A856" w14:textId="77777777" w:rsidR="00F2578B" w:rsidRPr="00AE16C5" w:rsidRDefault="00F2578B" w:rsidP="003C35DC">
      <w:pPr>
        <w:spacing w:after="0" w:line="240" w:lineRule="auto"/>
        <w:jc w:val="both"/>
        <w:rPr>
          <w:rFonts w:ascii="Times New Roman" w:hAnsi="Times New Roman" w:cs="Times New Roman"/>
          <w:b/>
          <w:bCs/>
        </w:rPr>
      </w:pPr>
      <w:r w:rsidRPr="00AE16C5">
        <w:rPr>
          <w:rFonts w:ascii="Times New Roman" w:hAnsi="Times New Roman" w:cs="Times New Roman"/>
          <w:b/>
          <w:bCs/>
        </w:rPr>
        <w:t>3.9 Detection of Mixed Infections</w:t>
      </w:r>
    </w:p>
    <w:p w14:paraId="78DD4660" w14:textId="2C2F206D" w:rsidR="00F2578B" w:rsidRPr="00AE16C5" w:rsidRDefault="00EC2FD5" w:rsidP="003C35DC">
      <w:pPr>
        <w:spacing w:after="0" w:line="240" w:lineRule="auto"/>
        <w:jc w:val="both"/>
        <w:rPr>
          <w:rFonts w:ascii="Times New Roman" w:hAnsi="Times New Roman" w:cs="Times New Roman"/>
        </w:rPr>
      </w:pPr>
      <w:r w:rsidRPr="00EC2FD5">
        <w:rPr>
          <w:rFonts w:ascii="Times New Roman" w:hAnsi="Times New Roman" w:cs="Times New Roman"/>
        </w:rPr>
        <w:t xml:space="preserve">Mixed infections were defined as the presence of more than one species-specific DNA band following nested PCR amplification. For example, a band at 205 base pairs (bp) corresponded to </w:t>
      </w:r>
      <w:r w:rsidRPr="00EC2FD5">
        <w:rPr>
          <w:rFonts w:ascii="Times New Roman" w:hAnsi="Times New Roman" w:cs="Times New Roman"/>
          <w:i/>
          <w:iCs/>
        </w:rPr>
        <w:t>Plasmodium falciparum</w:t>
      </w:r>
      <w:r w:rsidRPr="00EC2FD5">
        <w:rPr>
          <w:rFonts w:ascii="Times New Roman" w:hAnsi="Times New Roman" w:cs="Times New Roman"/>
        </w:rPr>
        <w:t xml:space="preserve">, while a band at 120 bp indicated </w:t>
      </w:r>
      <w:r w:rsidRPr="00EC2FD5">
        <w:rPr>
          <w:rFonts w:ascii="Times New Roman" w:hAnsi="Times New Roman" w:cs="Times New Roman"/>
          <w:i/>
          <w:iCs/>
        </w:rPr>
        <w:t>Plasmodium malariae</w:t>
      </w:r>
      <w:r w:rsidRPr="00EC2FD5">
        <w:rPr>
          <w:rFonts w:ascii="Times New Roman" w:hAnsi="Times New Roman" w:cs="Times New Roman"/>
        </w:rPr>
        <w:t>. The simultaneous presence of both bands in a single sample was interpreted as evidence of a mixed infection involving both species.</w:t>
      </w:r>
    </w:p>
    <w:p w14:paraId="5BE1C430" w14:textId="77777777" w:rsidR="00F2578B" w:rsidRPr="00AE16C5" w:rsidRDefault="00F2578B" w:rsidP="003C35DC">
      <w:pPr>
        <w:spacing w:after="0" w:line="240" w:lineRule="auto"/>
        <w:jc w:val="both"/>
        <w:rPr>
          <w:rFonts w:ascii="Times New Roman" w:hAnsi="Times New Roman" w:cs="Times New Roman"/>
          <w:b/>
          <w:bCs/>
        </w:rPr>
      </w:pPr>
      <w:r w:rsidRPr="00AE16C5">
        <w:rPr>
          <w:rFonts w:ascii="Times New Roman" w:hAnsi="Times New Roman" w:cs="Times New Roman"/>
          <w:b/>
          <w:bCs/>
        </w:rPr>
        <w:t>3.10 Diagnostic Performance Evaluation</w:t>
      </w:r>
    </w:p>
    <w:p w14:paraId="6B20037A" w14:textId="00D25C2A" w:rsidR="00171C08" w:rsidRDefault="00EC2FD5" w:rsidP="003C35DC">
      <w:pPr>
        <w:spacing w:after="0" w:line="240" w:lineRule="auto"/>
        <w:jc w:val="both"/>
        <w:rPr>
          <w:rFonts w:ascii="Times New Roman" w:hAnsi="Times New Roman" w:cs="Times New Roman"/>
        </w:rPr>
      </w:pPr>
      <w:r w:rsidRPr="00EC2FD5">
        <w:rPr>
          <w:rFonts w:ascii="Times New Roman" w:hAnsi="Times New Roman" w:cs="Times New Roman"/>
        </w:rPr>
        <w:t xml:space="preserve">PCR was used as the reference standard for evaluating diagnostic performance. Based on this reference, key performance metrics were calculated for both microscopy and rapid diagnostic tests (RDTs). </w:t>
      </w:r>
      <w:proofErr w:type="gramStart"/>
      <w:r w:rsidRPr="00EC2FD5">
        <w:rPr>
          <w:rFonts w:ascii="Times New Roman" w:hAnsi="Times New Roman" w:cs="Times New Roman"/>
        </w:rPr>
        <w:t>These included sensitivity</w:t>
      </w:r>
      <w:proofErr w:type="gramEnd"/>
      <w:r w:rsidRPr="00EC2FD5">
        <w:rPr>
          <w:rFonts w:ascii="Times New Roman" w:hAnsi="Times New Roman" w:cs="Times New Roman"/>
        </w:rPr>
        <w:t>, which measures the ability to correctly identify true positive cases, and specificity, which assesses the correct identification of true negative cases. Positive Predictive Value (PPV) was used to determine the proportion of true positives among all positive test results, while Negative Predictive Value (NPV) reflected the proportion of true negatives among all negative results. In addition, Cohen’s kappa statistic was calculated to evaluate the level of agreement between each method and the PCR reference beyond chance.</w:t>
      </w:r>
    </w:p>
    <w:p w14:paraId="791EBBD6" w14:textId="77777777" w:rsidR="00EC2FD5" w:rsidRPr="00AE16C5" w:rsidRDefault="00EC2FD5" w:rsidP="003C35DC">
      <w:pPr>
        <w:spacing w:after="0" w:line="240" w:lineRule="auto"/>
        <w:jc w:val="both"/>
        <w:rPr>
          <w:rFonts w:ascii="Times New Roman" w:hAnsi="Times New Roman" w:cs="Times New Roman"/>
        </w:rPr>
      </w:pPr>
    </w:p>
    <w:p w14:paraId="3D0F5D40" w14:textId="7A1F47E2" w:rsidR="00996DBC" w:rsidRPr="00996DBC" w:rsidRDefault="00996DBC" w:rsidP="003C35DC">
      <w:pPr>
        <w:pStyle w:val="Caption"/>
        <w:keepNext/>
        <w:spacing w:after="0"/>
        <w:jc w:val="both"/>
        <w:rPr>
          <w:rFonts w:ascii="Times New Roman" w:hAnsi="Times New Roman" w:cs="Times New Roman"/>
          <w:i w:val="0"/>
          <w:iCs w:val="0"/>
          <w:color w:val="000000" w:themeColor="text1"/>
          <w:sz w:val="24"/>
          <w:szCs w:val="24"/>
        </w:rPr>
      </w:pPr>
      <w:r w:rsidRPr="00996DBC">
        <w:rPr>
          <w:rFonts w:ascii="Times New Roman" w:hAnsi="Times New Roman" w:cs="Times New Roman"/>
          <w:i w:val="0"/>
          <w:iCs w:val="0"/>
          <w:color w:val="000000" w:themeColor="text1"/>
          <w:sz w:val="24"/>
          <w:szCs w:val="24"/>
        </w:rPr>
        <w:t xml:space="preserve">Table </w:t>
      </w:r>
      <w:r w:rsidRPr="00996DBC">
        <w:rPr>
          <w:rFonts w:ascii="Times New Roman" w:hAnsi="Times New Roman" w:cs="Times New Roman"/>
          <w:i w:val="0"/>
          <w:iCs w:val="0"/>
          <w:color w:val="000000" w:themeColor="text1"/>
          <w:sz w:val="24"/>
          <w:szCs w:val="24"/>
        </w:rPr>
        <w:fldChar w:fldCharType="begin"/>
      </w:r>
      <w:r w:rsidRPr="00996DBC">
        <w:rPr>
          <w:rFonts w:ascii="Times New Roman" w:hAnsi="Times New Roman" w:cs="Times New Roman"/>
          <w:i w:val="0"/>
          <w:iCs w:val="0"/>
          <w:color w:val="000000" w:themeColor="text1"/>
          <w:sz w:val="24"/>
          <w:szCs w:val="24"/>
        </w:rPr>
        <w:instrText xml:space="preserve"> SEQ Table \* ARABIC </w:instrText>
      </w:r>
      <w:r w:rsidRPr="00996DBC">
        <w:rPr>
          <w:rFonts w:ascii="Times New Roman" w:hAnsi="Times New Roman" w:cs="Times New Roman"/>
          <w:i w:val="0"/>
          <w:iCs w:val="0"/>
          <w:color w:val="000000" w:themeColor="text1"/>
          <w:sz w:val="24"/>
          <w:szCs w:val="24"/>
        </w:rPr>
        <w:fldChar w:fldCharType="separate"/>
      </w:r>
      <w:r>
        <w:rPr>
          <w:rFonts w:ascii="Times New Roman" w:hAnsi="Times New Roman" w:cs="Times New Roman"/>
          <w:i w:val="0"/>
          <w:iCs w:val="0"/>
          <w:noProof/>
          <w:color w:val="000000" w:themeColor="text1"/>
          <w:sz w:val="24"/>
          <w:szCs w:val="24"/>
        </w:rPr>
        <w:t>3</w:t>
      </w:r>
      <w:r w:rsidRPr="00996DBC">
        <w:rPr>
          <w:rFonts w:ascii="Times New Roman" w:hAnsi="Times New Roman" w:cs="Times New Roman"/>
          <w:i w:val="0"/>
          <w:iCs w:val="0"/>
          <w:color w:val="000000" w:themeColor="text1"/>
          <w:sz w:val="24"/>
          <w:szCs w:val="24"/>
        </w:rPr>
        <w:fldChar w:fldCharType="end"/>
      </w:r>
      <w:r w:rsidRPr="00996DBC">
        <w:rPr>
          <w:rFonts w:ascii="Times New Roman" w:hAnsi="Times New Roman" w:cs="Times New Roman"/>
          <w:i w:val="0"/>
          <w:iCs w:val="0"/>
          <w:color w:val="000000" w:themeColor="text1"/>
          <w:sz w:val="24"/>
          <w:szCs w:val="24"/>
        </w:rPr>
        <w:t>: Diagnostic Performance Formulas</w:t>
      </w:r>
    </w:p>
    <w:tbl>
      <w:tblPr>
        <w:tblStyle w:val="TableGrid"/>
        <w:tblW w:w="0" w:type="auto"/>
        <w:tblLook w:val="04A0" w:firstRow="1" w:lastRow="0" w:firstColumn="1" w:lastColumn="0" w:noHBand="0" w:noVBand="1"/>
      </w:tblPr>
      <w:tblGrid>
        <w:gridCol w:w="1083"/>
        <w:gridCol w:w="3393"/>
      </w:tblGrid>
      <w:tr w:rsidR="00F2578B" w:rsidRPr="003C35DC" w14:paraId="70DEE016" w14:textId="77777777" w:rsidTr="00AE16C5">
        <w:tc>
          <w:tcPr>
            <w:tcW w:w="0" w:type="auto"/>
            <w:hideMark/>
          </w:tcPr>
          <w:p w14:paraId="1DA092C3" w14:textId="77777777" w:rsidR="00F2578B" w:rsidRPr="003C35DC" w:rsidRDefault="00F2578B" w:rsidP="003C35DC">
            <w:pPr>
              <w:jc w:val="both"/>
              <w:rPr>
                <w:rFonts w:ascii="Times New Roman" w:hAnsi="Times New Roman" w:cs="Times New Roman"/>
                <w:b/>
                <w:bCs/>
                <w:sz w:val="20"/>
                <w:szCs w:val="20"/>
              </w:rPr>
            </w:pPr>
            <w:r w:rsidRPr="003C35DC">
              <w:rPr>
                <w:rFonts w:ascii="Times New Roman" w:hAnsi="Times New Roman" w:cs="Times New Roman"/>
                <w:b/>
                <w:bCs/>
                <w:sz w:val="20"/>
                <w:szCs w:val="20"/>
              </w:rPr>
              <w:t>Metric</w:t>
            </w:r>
          </w:p>
        </w:tc>
        <w:tc>
          <w:tcPr>
            <w:tcW w:w="0" w:type="auto"/>
            <w:hideMark/>
          </w:tcPr>
          <w:p w14:paraId="342B0155" w14:textId="77777777" w:rsidR="00F2578B" w:rsidRPr="003C35DC" w:rsidRDefault="00F2578B" w:rsidP="003C35DC">
            <w:pPr>
              <w:jc w:val="both"/>
              <w:rPr>
                <w:rFonts w:ascii="Times New Roman" w:hAnsi="Times New Roman" w:cs="Times New Roman"/>
                <w:b/>
                <w:bCs/>
                <w:sz w:val="20"/>
                <w:szCs w:val="20"/>
              </w:rPr>
            </w:pPr>
            <w:r w:rsidRPr="003C35DC">
              <w:rPr>
                <w:rFonts w:ascii="Times New Roman" w:hAnsi="Times New Roman" w:cs="Times New Roman"/>
                <w:b/>
                <w:bCs/>
                <w:sz w:val="20"/>
                <w:szCs w:val="20"/>
              </w:rPr>
              <w:t>Formula</w:t>
            </w:r>
          </w:p>
        </w:tc>
      </w:tr>
      <w:tr w:rsidR="00F2578B" w:rsidRPr="003C35DC" w14:paraId="597DA911" w14:textId="77777777" w:rsidTr="00AE16C5">
        <w:tc>
          <w:tcPr>
            <w:tcW w:w="0" w:type="auto"/>
            <w:hideMark/>
          </w:tcPr>
          <w:p w14:paraId="31478D66" w14:textId="77777777" w:rsidR="00F2578B" w:rsidRPr="003C35DC" w:rsidRDefault="00F2578B" w:rsidP="003C35DC">
            <w:pPr>
              <w:jc w:val="both"/>
              <w:rPr>
                <w:rFonts w:ascii="Times New Roman" w:hAnsi="Times New Roman" w:cs="Times New Roman"/>
                <w:sz w:val="20"/>
                <w:szCs w:val="20"/>
              </w:rPr>
            </w:pPr>
            <w:r w:rsidRPr="003C35DC">
              <w:rPr>
                <w:rFonts w:ascii="Times New Roman" w:hAnsi="Times New Roman" w:cs="Times New Roman"/>
                <w:sz w:val="20"/>
                <w:szCs w:val="20"/>
              </w:rPr>
              <w:t>Sensitivity</w:t>
            </w:r>
          </w:p>
        </w:tc>
        <w:tc>
          <w:tcPr>
            <w:tcW w:w="0" w:type="auto"/>
            <w:hideMark/>
          </w:tcPr>
          <w:p w14:paraId="210860FE" w14:textId="77777777" w:rsidR="00F2578B" w:rsidRPr="003C35DC" w:rsidRDefault="00F2578B" w:rsidP="003C35DC">
            <w:pPr>
              <w:jc w:val="both"/>
              <w:rPr>
                <w:rFonts w:ascii="Times New Roman" w:hAnsi="Times New Roman" w:cs="Times New Roman"/>
                <w:sz w:val="20"/>
                <w:szCs w:val="20"/>
              </w:rPr>
            </w:pPr>
            <w:r w:rsidRPr="003C35DC">
              <w:rPr>
                <w:rFonts w:ascii="Times New Roman" w:hAnsi="Times New Roman" w:cs="Times New Roman"/>
                <w:sz w:val="20"/>
                <w:szCs w:val="20"/>
              </w:rPr>
              <w:t>TP / (TP + FN)</w:t>
            </w:r>
          </w:p>
        </w:tc>
      </w:tr>
      <w:tr w:rsidR="00F2578B" w:rsidRPr="003C35DC" w14:paraId="1EF9ACC0" w14:textId="77777777" w:rsidTr="00AE16C5">
        <w:tc>
          <w:tcPr>
            <w:tcW w:w="0" w:type="auto"/>
            <w:hideMark/>
          </w:tcPr>
          <w:p w14:paraId="44CBE53D" w14:textId="77777777" w:rsidR="00F2578B" w:rsidRPr="003C35DC" w:rsidRDefault="00F2578B" w:rsidP="003C35DC">
            <w:pPr>
              <w:jc w:val="both"/>
              <w:rPr>
                <w:rFonts w:ascii="Times New Roman" w:hAnsi="Times New Roman" w:cs="Times New Roman"/>
                <w:sz w:val="20"/>
                <w:szCs w:val="20"/>
              </w:rPr>
            </w:pPr>
            <w:r w:rsidRPr="003C35DC">
              <w:rPr>
                <w:rFonts w:ascii="Times New Roman" w:hAnsi="Times New Roman" w:cs="Times New Roman"/>
                <w:sz w:val="20"/>
                <w:szCs w:val="20"/>
              </w:rPr>
              <w:t>Specificity</w:t>
            </w:r>
          </w:p>
        </w:tc>
        <w:tc>
          <w:tcPr>
            <w:tcW w:w="0" w:type="auto"/>
            <w:hideMark/>
          </w:tcPr>
          <w:p w14:paraId="5D263CDC" w14:textId="77777777" w:rsidR="00F2578B" w:rsidRPr="003C35DC" w:rsidRDefault="00F2578B" w:rsidP="003C35DC">
            <w:pPr>
              <w:jc w:val="both"/>
              <w:rPr>
                <w:rFonts w:ascii="Times New Roman" w:hAnsi="Times New Roman" w:cs="Times New Roman"/>
                <w:sz w:val="20"/>
                <w:szCs w:val="20"/>
              </w:rPr>
            </w:pPr>
            <w:r w:rsidRPr="003C35DC">
              <w:rPr>
                <w:rFonts w:ascii="Times New Roman" w:hAnsi="Times New Roman" w:cs="Times New Roman"/>
                <w:sz w:val="20"/>
                <w:szCs w:val="20"/>
              </w:rPr>
              <w:t>TN / (TN + FP)</w:t>
            </w:r>
          </w:p>
        </w:tc>
      </w:tr>
      <w:tr w:rsidR="00F2578B" w:rsidRPr="003C35DC" w14:paraId="33A5510A" w14:textId="77777777" w:rsidTr="00AE16C5">
        <w:tc>
          <w:tcPr>
            <w:tcW w:w="0" w:type="auto"/>
            <w:hideMark/>
          </w:tcPr>
          <w:p w14:paraId="6B64F9A5" w14:textId="77777777" w:rsidR="00F2578B" w:rsidRPr="003C35DC" w:rsidRDefault="00F2578B" w:rsidP="003C35DC">
            <w:pPr>
              <w:jc w:val="both"/>
              <w:rPr>
                <w:rFonts w:ascii="Times New Roman" w:hAnsi="Times New Roman" w:cs="Times New Roman"/>
                <w:sz w:val="20"/>
                <w:szCs w:val="20"/>
              </w:rPr>
            </w:pPr>
            <w:r w:rsidRPr="003C35DC">
              <w:rPr>
                <w:rFonts w:ascii="Times New Roman" w:hAnsi="Times New Roman" w:cs="Times New Roman"/>
                <w:sz w:val="20"/>
                <w:szCs w:val="20"/>
              </w:rPr>
              <w:t>PPV</w:t>
            </w:r>
          </w:p>
        </w:tc>
        <w:tc>
          <w:tcPr>
            <w:tcW w:w="0" w:type="auto"/>
            <w:hideMark/>
          </w:tcPr>
          <w:p w14:paraId="1BCA1C1D" w14:textId="77777777" w:rsidR="00F2578B" w:rsidRPr="003C35DC" w:rsidRDefault="00F2578B" w:rsidP="003C35DC">
            <w:pPr>
              <w:jc w:val="both"/>
              <w:rPr>
                <w:rFonts w:ascii="Times New Roman" w:hAnsi="Times New Roman" w:cs="Times New Roman"/>
                <w:sz w:val="20"/>
                <w:szCs w:val="20"/>
              </w:rPr>
            </w:pPr>
            <w:r w:rsidRPr="003C35DC">
              <w:rPr>
                <w:rFonts w:ascii="Times New Roman" w:hAnsi="Times New Roman" w:cs="Times New Roman"/>
                <w:sz w:val="20"/>
                <w:szCs w:val="20"/>
              </w:rPr>
              <w:t>TP / (TP + FP)</w:t>
            </w:r>
          </w:p>
        </w:tc>
      </w:tr>
      <w:tr w:rsidR="00F2578B" w:rsidRPr="003C35DC" w14:paraId="08334F63" w14:textId="77777777" w:rsidTr="00AE16C5">
        <w:tc>
          <w:tcPr>
            <w:tcW w:w="0" w:type="auto"/>
            <w:hideMark/>
          </w:tcPr>
          <w:p w14:paraId="6822B191" w14:textId="77777777" w:rsidR="00F2578B" w:rsidRPr="003C35DC" w:rsidRDefault="00F2578B" w:rsidP="003C35DC">
            <w:pPr>
              <w:jc w:val="both"/>
              <w:rPr>
                <w:rFonts w:ascii="Times New Roman" w:hAnsi="Times New Roman" w:cs="Times New Roman"/>
                <w:sz w:val="20"/>
                <w:szCs w:val="20"/>
              </w:rPr>
            </w:pPr>
            <w:r w:rsidRPr="003C35DC">
              <w:rPr>
                <w:rFonts w:ascii="Times New Roman" w:hAnsi="Times New Roman" w:cs="Times New Roman"/>
                <w:sz w:val="20"/>
                <w:szCs w:val="20"/>
              </w:rPr>
              <w:t>NPV</w:t>
            </w:r>
          </w:p>
        </w:tc>
        <w:tc>
          <w:tcPr>
            <w:tcW w:w="0" w:type="auto"/>
            <w:hideMark/>
          </w:tcPr>
          <w:p w14:paraId="1602E5B7" w14:textId="77777777" w:rsidR="00F2578B" w:rsidRPr="003C35DC" w:rsidRDefault="00F2578B" w:rsidP="003C35DC">
            <w:pPr>
              <w:jc w:val="both"/>
              <w:rPr>
                <w:rFonts w:ascii="Times New Roman" w:hAnsi="Times New Roman" w:cs="Times New Roman"/>
                <w:sz w:val="20"/>
                <w:szCs w:val="20"/>
              </w:rPr>
            </w:pPr>
            <w:r w:rsidRPr="003C35DC">
              <w:rPr>
                <w:rFonts w:ascii="Times New Roman" w:hAnsi="Times New Roman" w:cs="Times New Roman"/>
                <w:sz w:val="20"/>
                <w:szCs w:val="20"/>
              </w:rPr>
              <w:t>TN / (TN + FN)</w:t>
            </w:r>
          </w:p>
        </w:tc>
      </w:tr>
      <w:tr w:rsidR="00F2578B" w:rsidRPr="003C35DC" w14:paraId="0719A422" w14:textId="77777777" w:rsidTr="00AE16C5">
        <w:tc>
          <w:tcPr>
            <w:tcW w:w="0" w:type="auto"/>
            <w:hideMark/>
          </w:tcPr>
          <w:p w14:paraId="33793B65" w14:textId="77777777" w:rsidR="00F2578B" w:rsidRPr="003C35DC" w:rsidRDefault="00F2578B" w:rsidP="003C35DC">
            <w:pPr>
              <w:jc w:val="both"/>
              <w:rPr>
                <w:rFonts w:ascii="Times New Roman" w:hAnsi="Times New Roman" w:cs="Times New Roman"/>
                <w:sz w:val="20"/>
                <w:szCs w:val="20"/>
              </w:rPr>
            </w:pPr>
            <w:r w:rsidRPr="003C35DC">
              <w:rPr>
                <w:rFonts w:ascii="Times New Roman" w:hAnsi="Times New Roman" w:cs="Times New Roman"/>
                <w:sz w:val="20"/>
                <w:szCs w:val="20"/>
              </w:rPr>
              <w:t>Kappa</w:t>
            </w:r>
          </w:p>
        </w:tc>
        <w:tc>
          <w:tcPr>
            <w:tcW w:w="0" w:type="auto"/>
            <w:hideMark/>
          </w:tcPr>
          <w:p w14:paraId="4CE84E88" w14:textId="77777777" w:rsidR="00F2578B" w:rsidRPr="003C35DC" w:rsidRDefault="00F2578B" w:rsidP="003C35DC">
            <w:pPr>
              <w:jc w:val="both"/>
              <w:rPr>
                <w:rFonts w:ascii="Times New Roman" w:hAnsi="Times New Roman" w:cs="Times New Roman"/>
                <w:sz w:val="20"/>
                <w:szCs w:val="20"/>
              </w:rPr>
            </w:pPr>
            <w:r w:rsidRPr="003C35DC">
              <w:rPr>
                <w:rFonts w:ascii="Times New Roman" w:hAnsi="Times New Roman" w:cs="Times New Roman"/>
                <w:sz w:val="20"/>
                <w:szCs w:val="20"/>
              </w:rPr>
              <w:t>(Observed – Expected) / (1 – Expected)</w:t>
            </w:r>
          </w:p>
        </w:tc>
      </w:tr>
    </w:tbl>
    <w:p w14:paraId="7DBA4EF7" w14:textId="474F2D53" w:rsidR="00F2578B" w:rsidRPr="00AE16C5" w:rsidRDefault="00F2578B" w:rsidP="003C35DC">
      <w:pPr>
        <w:spacing w:after="0" w:line="240" w:lineRule="auto"/>
        <w:jc w:val="both"/>
        <w:rPr>
          <w:rFonts w:ascii="Times New Roman" w:hAnsi="Times New Roman" w:cs="Times New Roman"/>
        </w:rPr>
      </w:pPr>
    </w:p>
    <w:p w14:paraId="6F7456C9" w14:textId="77777777" w:rsidR="00F2578B" w:rsidRPr="00AE16C5" w:rsidRDefault="00F2578B" w:rsidP="003C35DC">
      <w:pPr>
        <w:spacing w:after="0" w:line="240" w:lineRule="auto"/>
        <w:jc w:val="both"/>
        <w:rPr>
          <w:rFonts w:ascii="Times New Roman" w:hAnsi="Times New Roman" w:cs="Times New Roman"/>
          <w:b/>
          <w:bCs/>
        </w:rPr>
      </w:pPr>
      <w:r w:rsidRPr="00AE16C5">
        <w:rPr>
          <w:rFonts w:ascii="Times New Roman" w:hAnsi="Times New Roman" w:cs="Times New Roman"/>
          <w:b/>
          <w:bCs/>
        </w:rPr>
        <w:t>3.11 Statistical Analysis</w:t>
      </w:r>
    </w:p>
    <w:p w14:paraId="17A4F361" w14:textId="0DEA0054" w:rsidR="00F2578B" w:rsidRPr="00AE16C5" w:rsidRDefault="00CD3622" w:rsidP="003C35DC">
      <w:pPr>
        <w:spacing w:after="0" w:line="240" w:lineRule="auto"/>
        <w:jc w:val="both"/>
        <w:rPr>
          <w:rFonts w:ascii="Times New Roman" w:hAnsi="Times New Roman" w:cs="Times New Roman"/>
        </w:rPr>
      </w:pPr>
      <w:r w:rsidRPr="00CD3622">
        <w:rPr>
          <w:rFonts w:ascii="Times New Roman" w:hAnsi="Times New Roman" w:cs="Times New Roman"/>
        </w:rPr>
        <w:t>Data were analyzed using appropriate statistical software. The prevalence of malaria infections was expressed as percentages to provide a clear representation of infection rates. Categorical variables were compared using the chi-square test, while McNemar’s test was applied for paired comparisons between diagnostic methods. Additionally, 95% confidence intervals were calculated to assess the precision of estimates. Statistical significance was determined using a threshold of p &lt; 0.05.</w:t>
      </w:r>
    </w:p>
    <w:p w14:paraId="2E19952C" w14:textId="77777777" w:rsidR="00F2578B" w:rsidRPr="00AE16C5" w:rsidRDefault="00F2578B" w:rsidP="003C35DC">
      <w:pPr>
        <w:spacing w:after="0" w:line="240" w:lineRule="auto"/>
        <w:jc w:val="both"/>
        <w:rPr>
          <w:rFonts w:ascii="Times New Roman" w:hAnsi="Times New Roman" w:cs="Times New Roman"/>
          <w:b/>
          <w:bCs/>
        </w:rPr>
      </w:pPr>
      <w:r w:rsidRPr="00AE16C5">
        <w:rPr>
          <w:rFonts w:ascii="Times New Roman" w:hAnsi="Times New Roman" w:cs="Times New Roman"/>
          <w:b/>
          <w:bCs/>
        </w:rPr>
        <w:t>3.12 Quality Assurance and Contamination Control</w:t>
      </w:r>
    </w:p>
    <w:p w14:paraId="2F4B791B" w14:textId="642162BD" w:rsidR="00F2578B" w:rsidRPr="00AE16C5" w:rsidRDefault="00CD3622" w:rsidP="003C35DC">
      <w:pPr>
        <w:spacing w:after="0" w:line="240" w:lineRule="auto"/>
        <w:jc w:val="both"/>
        <w:rPr>
          <w:rFonts w:ascii="Times New Roman" w:hAnsi="Times New Roman" w:cs="Times New Roman"/>
        </w:rPr>
      </w:pPr>
      <w:r w:rsidRPr="00CD3622">
        <w:rPr>
          <w:rFonts w:ascii="Times New Roman" w:hAnsi="Times New Roman" w:cs="Times New Roman"/>
        </w:rPr>
        <w:t>To minimize the risk of contamination during PCR procedures, strict laboratory protocols were followed. Separate rooms were designated for DNA extraction, PCR setup, and electrophoresis to prevent cross-contamination. Aerosol-resistant pipette tips were used to reduce the risk of sample carryover. Both positive and negative controls were included in each run to verify the accuracy and reliability of the amplification process. In addition, replicate amplification was performed for ambiguous samples to confirm results and ensure consistency.</w:t>
      </w:r>
    </w:p>
    <w:p w14:paraId="7D71D77F" w14:textId="77777777" w:rsidR="00F2578B" w:rsidRPr="00AE16C5" w:rsidRDefault="00F2578B" w:rsidP="003C35DC">
      <w:pPr>
        <w:spacing w:after="0" w:line="240" w:lineRule="auto"/>
        <w:jc w:val="both"/>
        <w:rPr>
          <w:rFonts w:ascii="Times New Roman" w:hAnsi="Times New Roman" w:cs="Times New Roman"/>
          <w:b/>
          <w:bCs/>
        </w:rPr>
      </w:pPr>
      <w:r w:rsidRPr="00AE16C5">
        <w:rPr>
          <w:rFonts w:ascii="Times New Roman" w:hAnsi="Times New Roman" w:cs="Times New Roman"/>
          <w:b/>
          <w:bCs/>
        </w:rPr>
        <w:t>3.13 Study Workflow Diagram</w:t>
      </w:r>
    </w:p>
    <w:p w14:paraId="10DB0F79" w14:textId="77777777" w:rsidR="00996DBC" w:rsidRDefault="00F2578B" w:rsidP="003C35DC">
      <w:pPr>
        <w:keepNext/>
        <w:spacing w:after="0" w:line="240" w:lineRule="auto"/>
        <w:jc w:val="both"/>
      </w:pPr>
      <w:r w:rsidRPr="00AE16C5">
        <w:rPr>
          <w:rFonts w:ascii="Times New Roman" w:hAnsi="Times New Roman" w:cs="Times New Roman"/>
          <w:noProof/>
        </w:rPr>
        <w:lastRenderedPageBreak/>
        <w:drawing>
          <wp:inline distT="0" distB="0" distL="0" distR="0" wp14:anchorId="794A6C64" wp14:editId="2B7487EC">
            <wp:extent cx="3335672" cy="3124200"/>
            <wp:effectExtent l="0" t="0" r="0" b="0"/>
            <wp:docPr id="15684649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7189" b="30371"/>
                    <a:stretch>
                      <a:fillRect/>
                    </a:stretch>
                  </pic:blipFill>
                  <pic:spPr bwMode="auto">
                    <a:xfrm>
                      <a:off x="0" y="0"/>
                      <a:ext cx="3341715" cy="3129860"/>
                    </a:xfrm>
                    <a:prstGeom prst="rect">
                      <a:avLst/>
                    </a:prstGeom>
                    <a:noFill/>
                    <a:ln>
                      <a:noFill/>
                    </a:ln>
                    <a:extLst>
                      <a:ext uri="{53640926-AAD7-44D8-BBD7-CCE9431645EC}">
                        <a14:shadowObscured xmlns:a14="http://schemas.microsoft.com/office/drawing/2010/main"/>
                      </a:ext>
                    </a:extLst>
                  </pic:spPr>
                </pic:pic>
              </a:graphicData>
            </a:graphic>
          </wp:inline>
        </w:drawing>
      </w:r>
    </w:p>
    <w:p w14:paraId="7AF0865D" w14:textId="64037025" w:rsidR="00F2578B" w:rsidRPr="00AE16C5" w:rsidRDefault="00996DBC" w:rsidP="003C35DC">
      <w:pPr>
        <w:pStyle w:val="Caption"/>
        <w:spacing w:after="0"/>
        <w:jc w:val="both"/>
        <w:rPr>
          <w:rFonts w:ascii="Times New Roman" w:hAnsi="Times New Roman" w:cs="Times New Roman"/>
        </w:rPr>
      </w:pPr>
      <w:r>
        <w:t xml:space="preserve">Figure </w:t>
      </w:r>
      <w:r w:rsidR="00787ADB">
        <w:fldChar w:fldCharType="begin"/>
      </w:r>
      <w:r w:rsidR="00787ADB">
        <w:instrText xml:space="preserve"> SEQ Figure \* ARABIC </w:instrText>
      </w:r>
      <w:r w:rsidR="00787ADB">
        <w:fldChar w:fldCharType="separate"/>
      </w:r>
      <w:r>
        <w:rPr>
          <w:noProof/>
        </w:rPr>
        <w:t>1</w:t>
      </w:r>
      <w:r w:rsidR="00787ADB">
        <w:rPr>
          <w:noProof/>
        </w:rPr>
        <w:fldChar w:fldCharType="end"/>
      </w:r>
      <w:r>
        <w:t xml:space="preserve">: </w:t>
      </w:r>
      <w:r w:rsidRPr="00061815">
        <w:t>Diagnostic Workflow Summary</w:t>
      </w:r>
    </w:p>
    <w:p w14:paraId="15DA3E52" w14:textId="77777777" w:rsidR="00996DBC" w:rsidRDefault="00996DBC" w:rsidP="003C35DC">
      <w:pPr>
        <w:spacing w:after="0" w:line="240" w:lineRule="auto"/>
        <w:jc w:val="both"/>
        <w:rPr>
          <w:rFonts w:ascii="Times New Roman" w:hAnsi="Times New Roman" w:cs="Times New Roman"/>
        </w:rPr>
      </w:pPr>
    </w:p>
    <w:p w14:paraId="084AF881" w14:textId="5CFAA008" w:rsidR="00F2578B" w:rsidRPr="00AE16C5" w:rsidRDefault="00F2578B" w:rsidP="003C35DC">
      <w:pPr>
        <w:spacing w:after="0" w:line="240" w:lineRule="auto"/>
        <w:jc w:val="both"/>
        <w:rPr>
          <w:rFonts w:ascii="Times New Roman" w:hAnsi="Times New Roman" w:cs="Times New Roman"/>
        </w:rPr>
      </w:pPr>
      <w:r w:rsidRPr="00AE16C5">
        <w:rPr>
          <w:rFonts w:ascii="Times New Roman" w:hAnsi="Times New Roman" w:cs="Times New Roman"/>
        </w:rPr>
        <w:t xml:space="preserve">This study employed a rigorous molecular diagnostic framework to evaluate mixed </w:t>
      </w:r>
      <w:r w:rsidRPr="00AE16C5">
        <w:rPr>
          <w:rFonts w:ascii="Times New Roman" w:hAnsi="Times New Roman" w:cs="Times New Roman"/>
          <w:i/>
          <w:iCs/>
        </w:rPr>
        <w:t>Plasmodium</w:t>
      </w:r>
      <w:r w:rsidRPr="00AE16C5">
        <w:rPr>
          <w:rFonts w:ascii="Times New Roman" w:hAnsi="Times New Roman" w:cs="Times New Roman"/>
        </w:rPr>
        <w:t xml:space="preserve"> infections among asymptomatic carriers. By integrating conventional microscopy, RDT, and nested PCR techniques with strict contamination control measures and statistical validation, the methodology ensures high sensitivity, specificity, and reproducibility aligned with international molecular epidemiology standards.</w:t>
      </w:r>
    </w:p>
    <w:p w14:paraId="424837B8" w14:textId="77777777" w:rsidR="00F2578B" w:rsidRPr="00AE16C5" w:rsidRDefault="00F2578B" w:rsidP="003C35DC">
      <w:pPr>
        <w:spacing w:after="0" w:line="240" w:lineRule="auto"/>
        <w:jc w:val="both"/>
        <w:rPr>
          <w:rFonts w:ascii="Times New Roman" w:hAnsi="Times New Roman" w:cs="Times New Roman"/>
        </w:rPr>
      </w:pPr>
    </w:p>
    <w:p w14:paraId="1CE68F70" w14:textId="77777777" w:rsidR="00B932DF" w:rsidRPr="00AE16C5" w:rsidRDefault="00B932DF" w:rsidP="003C35DC">
      <w:pPr>
        <w:spacing w:after="0" w:line="240" w:lineRule="auto"/>
        <w:jc w:val="both"/>
        <w:rPr>
          <w:rFonts w:ascii="Times New Roman" w:hAnsi="Times New Roman" w:cs="Times New Roman"/>
          <w:b/>
          <w:bCs/>
        </w:rPr>
      </w:pPr>
      <w:r w:rsidRPr="00AE16C5">
        <w:rPr>
          <w:rFonts w:ascii="Times New Roman" w:hAnsi="Times New Roman" w:cs="Times New Roman"/>
          <w:b/>
          <w:bCs/>
        </w:rPr>
        <w:t>4. Results</w:t>
      </w:r>
    </w:p>
    <w:p w14:paraId="54197409" w14:textId="77777777" w:rsidR="00B932DF" w:rsidRPr="00AE16C5" w:rsidRDefault="00B932DF" w:rsidP="003C35DC">
      <w:pPr>
        <w:spacing w:after="0" w:line="240" w:lineRule="auto"/>
        <w:jc w:val="both"/>
        <w:rPr>
          <w:rFonts w:ascii="Times New Roman" w:hAnsi="Times New Roman" w:cs="Times New Roman"/>
        </w:rPr>
      </w:pPr>
      <w:r w:rsidRPr="00AE16C5">
        <w:rPr>
          <w:rFonts w:ascii="Times New Roman" w:hAnsi="Times New Roman" w:cs="Times New Roman"/>
        </w:rPr>
        <w:t xml:space="preserve">This section presents the comparative diagnostic performance of microscopy, rapid diagnostic testing (RDT), and PCR for detecting asymptomatic and mixed </w:t>
      </w:r>
      <w:r w:rsidRPr="00AE16C5">
        <w:rPr>
          <w:rFonts w:ascii="Times New Roman" w:hAnsi="Times New Roman" w:cs="Times New Roman"/>
          <w:i/>
          <w:iCs/>
        </w:rPr>
        <w:t>Plasmodium</w:t>
      </w:r>
      <w:r w:rsidRPr="00AE16C5">
        <w:rPr>
          <w:rFonts w:ascii="Times New Roman" w:hAnsi="Times New Roman" w:cs="Times New Roman"/>
        </w:rPr>
        <w:t xml:space="preserve"> infections. PCR served as the reference standard for all performance evaluations.</w:t>
      </w:r>
    </w:p>
    <w:p w14:paraId="6F8555E8" w14:textId="519E10FC" w:rsidR="00B932DF" w:rsidRPr="00AE16C5" w:rsidRDefault="00B932DF" w:rsidP="003C35DC">
      <w:pPr>
        <w:spacing w:after="0" w:line="240" w:lineRule="auto"/>
        <w:jc w:val="both"/>
        <w:rPr>
          <w:rFonts w:ascii="Times New Roman" w:hAnsi="Times New Roman" w:cs="Times New Roman"/>
        </w:rPr>
      </w:pPr>
    </w:p>
    <w:p w14:paraId="693DA0E9" w14:textId="77777777" w:rsidR="00B932DF" w:rsidRPr="00AE16C5" w:rsidRDefault="00B932DF" w:rsidP="003C35DC">
      <w:pPr>
        <w:spacing w:after="0" w:line="240" w:lineRule="auto"/>
        <w:jc w:val="both"/>
        <w:rPr>
          <w:rFonts w:ascii="Times New Roman" w:hAnsi="Times New Roman" w:cs="Times New Roman"/>
          <w:b/>
          <w:bCs/>
        </w:rPr>
      </w:pPr>
      <w:r w:rsidRPr="00AE16C5">
        <w:rPr>
          <w:rFonts w:ascii="Times New Roman" w:hAnsi="Times New Roman" w:cs="Times New Roman"/>
          <w:b/>
          <w:bCs/>
        </w:rPr>
        <w:t>4.1 Overall Infection Prevalence</w:t>
      </w:r>
    </w:p>
    <w:p w14:paraId="37A765D5" w14:textId="77777777" w:rsidR="00CD3622" w:rsidRPr="00CD3622" w:rsidRDefault="00CD3622" w:rsidP="003C35DC">
      <w:pPr>
        <w:spacing w:after="0" w:line="240" w:lineRule="auto"/>
        <w:jc w:val="both"/>
        <w:rPr>
          <w:rFonts w:ascii="Times New Roman" w:hAnsi="Times New Roman" w:cs="Times New Roman"/>
        </w:rPr>
      </w:pPr>
      <w:r w:rsidRPr="00CD3622">
        <w:rPr>
          <w:rFonts w:ascii="Times New Roman" w:hAnsi="Times New Roman" w:cs="Times New Roman"/>
        </w:rPr>
        <w:t>Out of the 600 asymptomatic participants included in the study, PCR detected 171 infections, corresponding to a prevalence of 28.5%. In comparison, microscopy identified 104 infections (17.3%), while rapid diagnostic tests (RDTs) detected 115 infections (19.1%). Statistical analysis showed that PCR identified significantly more infections than both microscopy and RDT, with the difference being highly significant (p &lt; 0.001).</w:t>
      </w:r>
    </w:p>
    <w:p w14:paraId="162C4E28" w14:textId="2DECFF3D" w:rsidR="00B932DF" w:rsidRPr="00AE16C5" w:rsidRDefault="00B932DF" w:rsidP="003C35DC">
      <w:pPr>
        <w:spacing w:after="0" w:line="240" w:lineRule="auto"/>
        <w:jc w:val="both"/>
        <w:rPr>
          <w:rFonts w:ascii="Times New Roman" w:hAnsi="Times New Roman" w:cs="Times New Roman"/>
          <w:b/>
          <w:bCs/>
        </w:rPr>
      </w:pPr>
    </w:p>
    <w:p w14:paraId="27B0EF6A" w14:textId="71DD37F3" w:rsidR="00996DBC" w:rsidRPr="00996DBC" w:rsidRDefault="00996DBC" w:rsidP="003C35DC">
      <w:pPr>
        <w:pStyle w:val="Caption"/>
        <w:keepNext/>
        <w:spacing w:after="0"/>
        <w:jc w:val="both"/>
        <w:rPr>
          <w:rFonts w:ascii="Times New Roman" w:hAnsi="Times New Roman" w:cs="Times New Roman"/>
          <w:i w:val="0"/>
          <w:iCs w:val="0"/>
          <w:color w:val="000000" w:themeColor="text1"/>
          <w:sz w:val="24"/>
          <w:szCs w:val="24"/>
        </w:rPr>
      </w:pPr>
      <w:r w:rsidRPr="00996DBC">
        <w:rPr>
          <w:rFonts w:ascii="Times New Roman" w:hAnsi="Times New Roman" w:cs="Times New Roman"/>
          <w:i w:val="0"/>
          <w:iCs w:val="0"/>
          <w:color w:val="000000" w:themeColor="text1"/>
          <w:sz w:val="24"/>
          <w:szCs w:val="24"/>
        </w:rPr>
        <w:t xml:space="preserve">Table </w:t>
      </w:r>
      <w:r w:rsidRPr="00996DBC">
        <w:rPr>
          <w:rFonts w:ascii="Times New Roman" w:hAnsi="Times New Roman" w:cs="Times New Roman"/>
          <w:i w:val="0"/>
          <w:iCs w:val="0"/>
          <w:color w:val="000000" w:themeColor="text1"/>
          <w:sz w:val="24"/>
          <w:szCs w:val="24"/>
        </w:rPr>
        <w:fldChar w:fldCharType="begin"/>
      </w:r>
      <w:r w:rsidRPr="00996DBC">
        <w:rPr>
          <w:rFonts w:ascii="Times New Roman" w:hAnsi="Times New Roman" w:cs="Times New Roman"/>
          <w:i w:val="0"/>
          <w:iCs w:val="0"/>
          <w:color w:val="000000" w:themeColor="text1"/>
          <w:sz w:val="24"/>
          <w:szCs w:val="24"/>
        </w:rPr>
        <w:instrText xml:space="preserve"> SEQ Table \* ARABIC </w:instrText>
      </w:r>
      <w:r w:rsidRPr="00996DBC">
        <w:rPr>
          <w:rFonts w:ascii="Times New Roman" w:hAnsi="Times New Roman" w:cs="Times New Roman"/>
          <w:i w:val="0"/>
          <w:iCs w:val="0"/>
          <w:color w:val="000000" w:themeColor="text1"/>
          <w:sz w:val="24"/>
          <w:szCs w:val="24"/>
        </w:rPr>
        <w:fldChar w:fldCharType="separate"/>
      </w:r>
      <w:r>
        <w:rPr>
          <w:rFonts w:ascii="Times New Roman" w:hAnsi="Times New Roman" w:cs="Times New Roman"/>
          <w:i w:val="0"/>
          <w:iCs w:val="0"/>
          <w:noProof/>
          <w:color w:val="000000" w:themeColor="text1"/>
          <w:sz w:val="24"/>
          <w:szCs w:val="24"/>
        </w:rPr>
        <w:t>4</w:t>
      </w:r>
      <w:r w:rsidRPr="00996DBC">
        <w:rPr>
          <w:rFonts w:ascii="Times New Roman" w:hAnsi="Times New Roman" w:cs="Times New Roman"/>
          <w:i w:val="0"/>
          <w:iCs w:val="0"/>
          <w:color w:val="000000" w:themeColor="text1"/>
          <w:sz w:val="24"/>
          <w:szCs w:val="24"/>
        </w:rPr>
        <w:fldChar w:fldCharType="end"/>
      </w:r>
      <w:r w:rsidRPr="00996DBC">
        <w:rPr>
          <w:rFonts w:ascii="Times New Roman" w:hAnsi="Times New Roman" w:cs="Times New Roman"/>
          <w:i w:val="0"/>
          <w:iCs w:val="0"/>
          <w:color w:val="000000" w:themeColor="text1"/>
          <w:sz w:val="24"/>
          <w:szCs w:val="24"/>
        </w:rPr>
        <w:t>: Overall Detection Rates</w:t>
      </w:r>
    </w:p>
    <w:tbl>
      <w:tblPr>
        <w:tblStyle w:val="TableGrid"/>
        <w:tblW w:w="0" w:type="auto"/>
        <w:tblLook w:val="04A0" w:firstRow="1" w:lastRow="0" w:firstColumn="1" w:lastColumn="0" w:noHBand="0" w:noVBand="1"/>
      </w:tblPr>
      <w:tblGrid>
        <w:gridCol w:w="2156"/>
        <w:gridCol w:w="1370"/>
        <w:gridCol w:w="1791"/>
        <w:gridCol w:w="1176"/>
      </w:tblGrid>
      <w:tr w:rsidR="00B932DF" w:rsidRPr="00AE16C5" w14:paraId="44E10F87" w14:textId="77777777" w:rsidTr="00AE16C5">
        <w:tc>
          <w:tcPr>
            <w:tcW w:w="0" w:type="auto"/>
            <w:hideMark/>
          </w:tcPr>
          <w:p w14:paraId="3CBEFF51" w14:textId="77777777" w:rsidR="00B932DF" w:rsidRPr="00AE16C5" w:rsidRDefault="00B932DF" w:rsidP="003C35DC">
            <w:pPr>
              <w:jc w:val="both"/>
              <w:rPr>
                <w:rFonts w:ascii="Times New Roman" w:hAnsi="Times New Roman" w:cs="Times New Roman"/>
                <w:b/>
                <w:bCs/>
              </w:rPr>
            </w:pPr>
            <w:r w:rsidRPr="00AE16C5">
              <w:rPr>
                <w:rFonts w:ascii="Times New Roman" w:hAnsi="Times New Roman" w:cs="Times New Roman"/>
                <w:b/>
                <w:bCs/>
              </w:rPr>
              <w:t>Diagnostic Method</w:t>
            </w:r>
          </w:p>
        </w:tc>
        <w:tc>
          <w:tcPr>
            <w:tcW w:w="0" w:type="auto"/>
            <w:hideMark/>
          </w:tcPr>
          <w:p w14:paraId="06559567" w14:textId="77777777" w:rsidR="00B932DF" w:rsidRPr="00AE16C5" w:rsidRDefault="00B932DF" w:rsidP="003C35DC">
            <w:pPr>
              <w:jc w:val="both"/>
              <w:rPr>
                <w:rFonts w:ascii="Times New Roman" w:hAnsi="Times New Roman" w:cs="Times New Roman"/>
                <w:b/>
                <w:bCs/>
              </w:rPr>
            </w:pPr>
            <w:r w:rsidRPr="00AE16C5">
              <w:rPr>
                <w:rFonts w:ascii="Times New Roman" w:hAnsi="Times New Roman" w:cs="Times New Roman"/>
                <w:b/>
                <w:bCs/>
              </w:rPr>
              <w:t>Positive (n)</w:t>
            </w:r>
          </w:p>
        </w:tc>
        <w:tc>
          <w:tcPr>
            <w:tcW w:w="0" w:type="auto"/>
            <w:hideMark/>
          </w:tcPr>
          <w:p w14:paraId="1C515521" w14:textId="77777777" w:rsidR="00B932DF" w:rsidRPr="00AE16C5" w:rsidRDefault="00B932DF" w:rsidP="003C35DC">
            <w:pPr>
              <w:jc w:val="both"/>
              <w:rPr>
                <w:rFonts w:ascii="Times New Roman" w:hAnsi="Times New Roman" w:cs="Times New Roman"/>
                <w:b/>
                <w:bCs/>
              </w:rPr>
            </w:pPr>
            <w:r w:rsidRPr="00AE16C5">
              <w:rPr>
                <w:rFonts w:ascii="Times New Roman" w:hAnsi="Times New Roman" w:cs="Times New Roman"/>
                <w:b/>
                <w:bCs/>
              </w:rPr>
              <w:t>Prevalence (%)</w:t>
            </w:r>
          </w:p>
        </w:tc>
        <w:tc>
          <w:tcPr>
            <w:tcW w:w="0" w:type="auto"/>
            <w:hideMark/>
          </w:tcPr>
          <w:p w14:paraId="773B9C1E" w14:textId="77777777" w:rsidR="00B932DF" w:rsidRPr="00AE16C5" w:rsidRDefault="00B932DF" w:rsidP="003C35DC">
            <w:pPr>
              <w:jc w:val="both"/>
              <w:rPr>
                <w:rFonts w:ascii="Times New Roman" w:hAnsi="Times New Roman" w:cs="Times New Roman"/>
                <w:b/>
                <w:bCs/>
              </w:rPr>
            </w:pPr>
            <w:r w:rsidRPr="00AE16C5">
              <w:rPr>
                <w:rFonts w:ascii="Times New Roman" w:hAnsi="Times New Roman" w:cs="Times New Roman"/>
                <w:b/>
                <w:bCs/>
              </w:rPr>
              <w:t>95% CI</w:t>
            </w:r>
          </w:p>
        </w:tc>
      </w:tr>
      <w:tr w:rsidR="00B932DF" w:rsidRPr="00AE16C5" w14:paraId="56C49DDF" w14:textId="77777777" w:rsidTr="00AE16C5">
        <w:tc>
          <w:tcPr>
            <w:tcW w:w="0" w:type="auto"/>
            <w:hideMark/>
          </w:tcPr>
          <w:p w14:paraId="091D85CA"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Microscopy</w:t>
            </w:r>
          </w:p>
        </w:tc>
        <w:tc>
          <w:tcPr>
            <w:tcW w:w="0" w:type="auto"/>
            <w:hideMark/>
          </w:tcPr>
          <w:p w14:paraId="4CA23E65"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104</w:t>
            </w:r>
          </w:p>
        </w:tc>
        <w:tc>
          <w:tcPr>
            <w:tcW w:w="0" w:type="auto"/>
            <w:hideMark/>
          </w:tcPr>
          <w:p w14:paraId="07408262"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17.3</w:t>
            </w:r>
          </w:p>
        </w:tc>
        <w:tc>
          <w:tcPr>
            <w:tcW w:w="0" w:type="auto"/>
            <w:hideMark/>
          </w:tcPr>
          <w:p w14:paraId="50D6AD56"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14.4–20.6</w:t>
            </w:r>
          </w:p>
        </w:tc>
      </w:tr>
      <w:tr w:rsidR="00B932DF" w:rsidRPr="00AE16C5" w14:paraId="506380B7" w14:textId="77777777" w:rsidTr="00AE16C5">
        <w:tc>
          <w:tcPr>
            <w:tcW w:w="0" w:type="auto"/>
            <w:hideMark/>
          </w:tcPr>
          <w:p w14:paraId="4FE967DA"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RDT</w:t>
            </w:r>
          </w:p>
        </w:tc>
        <w:tc>
          <w:tcPr>
            <w:tcW w:w="0" w:type="auto"/>
            <w:hideMark/>
          </w:tcPr>
          <w:p w14:paraId="4841E8FE"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115</w:t>
            </w:r>
          </w:p>
        </w:tc>
        <w:tc>
          <w:tcPr>
            <w:tcW w:w="0" w:type="auto"/>
            <w:hideMark/>
          </w:tcPr>
          <w:p w14:paraId="2394271A"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19.1</w:t>
            </w:r>
          </w:p>
        </w:tc>
        <w:tc>
          <w:tcPr>
            <w:tcW w:w="0" w:type="auto"/>
            <w:hideMark/>
          </w:tcPr>
          <w:p w14:paraId="05ACC739"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16.1–22.5</w:t>
            </w:r>
          </w:p>
        </w:tc>
      </w:tr>
      <w:tr w:rsidR="00B932DF" w:rsidRPr="00AE16C5" w14:paraId="1A0EF13E" w14:textId="77777777" w:rsidTr="00AE16C5">
        <w:tc>
          <w:tcPr>
            <w:tcW w:w="0" w:type="auto"/>
            <w:hideMark/>
          </w:tcPr>
          <w:p w14:paraId="144DD05D"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PCR</w:t>
            </w:r>
          </w:p>
        </w:tc>
        <w:tc>
          <w:tcPr>
            <w:tcW w:w="0" w:type="auto"/>
            <w:hideMark/>
          </w:tcPr>
          <w:p w14:paraId="083F3823"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171</w:t>
            </w:r>
          </w:p>
        </w:tc>
        <w:tc>
          <w:tcPr>
            <w:tcW w:w="0" w:type="auto"/>
            <w:hideMark/>
          </w:tcPr>
          <w:p w14:paraId="7C593A9A"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28.5</w:t>
            </w:r>
          </w:p>
        </w:tc>
        <w:tc>
          <w:tcPr>
            <w:tcW w:w="0" w:type="auto"/>
            <w:hideMark/>
          </w:tcPr>
          <w:p w14:paraId="062A2660"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24.9–32.3</w:t>
            </w:r>
          </w:p>
        </w:tc>
      </w:tr>
    </w:tbl>
    <w:p w14:paraId="4A498C1F" w14:textId="1ECA837D" w:rsidR="00B932DF" w:rsidRPr="00AE16C5" w:rsidRDefault="00B932DF" w:rsidP="003C35DC">
      <w:pPr>
        <w:spacing w:after="0" w:line="240" w:lineRule="auto"/>
        <w:jc w:val="both"/>
        <w:rPr>
          <w:rFonts w:ascii="Times New Roman" w:hAnsi="Times New Roman" w:cs="Times New Roman"/>
        </w:rPr>
      </w:pPr>
    </w:p>
    <w:p w14:paraId="02916EBC" w14:textId="77777777" w:rsidR="00B932DF" w:rsidRPr="00AE16C5" w:rsidRDefault="00B932DF" w:rsidP="003C35DC">
      <w:pPr>
        <w:spacing w:after="0" w:line="240" w:lineRule="auto"/>
        <w:jc w:val="both"/>
        <w:rPr>
          <w:rFonts w:ascii="Times New Roman" w:hAnsi="Times New Roman" w:cs="Times New Roman"/>
          <w:b/>
          <w:bCs/>
        </w:rPr>
      </w:pPr>
      <w:r w:rsidRPr="00AE16C5">
        <w:rPr>
          <w:rFonts w:ascii="Times New Roman" w:hAnsi="Times New Roman" w:cs="Times New Roman"/>
          <w:b/>
          <w:bCs/>
        </w:rPr>
        <w:t>4.2 Species Distribution by PCR</w:t>
      </w:r>
    </w:p>
    <w:p w14:paraId="2051E43C" w14:textId="77777777" w:rsidR="00B932DF" w:rsidRPr="00AE16C5" w:rsidRDefault="00B932DF" w:rsidP="003C35DC">
      <w:pPr>
        <w:spacing w:after="0" w:line="240" w:lineRule="auto"/>
        <w:jc w:val="both"/>
        <w:rPr>
          <w:rFonts w:ascii="Times New Roman" w:hAnsi="Times New Roman" w:cs="Times New Roman"/>
        </w:rPr>
      </w:pPr>
      <w:r w:rsidRPr="00AE16C5">
        <w:rPr>
          <w:rFonts w:ascii="Times New Roman" w:hAnsi="Times New Roman" w:cs="Times New Roman"/>
        </w:rPr>
        <w:t xml:space="preserve">PCR identified four </w:t>
      </w:r>
      <w:r w:rsidRPr="00AE16C5">
        <w:rPr>
          <w:rFonts w:ascii="Times New Roman" w:hAnsi="Times New Roman" w:cs="Times New Roman"/>
          <w:i/>
          <w:iCs/>
        </w:rPr>
        <w:t>Plasmodium</w:t>
      </w:r>
      <w:r w:rsidRPr="00AE16C5">
        <w:rPr>
          <w:rFonts w:ascii="Times New Roman" w:hAnsi="Times New Roman" w:cs="Times New Roman"/>
        </w:rPr>
        <w:t xml:space="preserve"> species, including mixed infections.</w:t>
      </w:r>
    </w:p>
    <w:p w14:paraId="71751976" w14:textId="5EFF98A4" w:rsidR="00996DBC" w:rsidRPr="00996DBC" w:rsidRDefault="00996DBC" w:rsidP="003C35DC">
      <w:pPr>
        <w:pStyle w:val="Caption"/>
        <w:keepNext/>
        <w:spacing w:after="0"/>
        <w:jc w:val="both"/>
        <w:rPr>
          <w:rFonts w:ascii="Times New Roman" w:hAnsi="Times New Roman" w:cs="Times New Roman"/>
          <w:i w:val="0"/>
          <w:iCs w:val="0"/>
          <w:color w:val="000000" w:themeColor="text1"/>
          <w:sz w:val="24"/>
          <w:szCs w:val="24"/>
        </w:rPr>
      </w:pPr>
      <w:r w:rsidRPr="00996DBC">
        <w:rPr>
          <w:rFonts w:ascii="Times New Roman" w:hAnsi="Times New Roman" w:cs="Times New Roman"/>
          <w:i w:val="0"/>
          <w:iCs w:val="0"/>
          <w:color w:val="000000" w:themeColor="text1"/>
          <w:sz w:val="24"/>
          <w:szCs w:val="24"/>
        </w:rPr>
        <w:lastRenderedPageBreak/>
        <w:t xml:space="preserve">Table </w:t>
      </w:r>
      <w:r w:rsidRPr="00996DBC">
        <w:rPr>
          <w:rFonts w:ascii="Times New Roman" w:hAnsi="Times New Roman" w:cs="Times New Roman"/>
          <w:i w:val="0"/>
          <w:iCs w:val="0"/>
          <w:color w:val="000000" w:themeColor="text1"/>
          <w:sz w:val="24"/>
          <w:szCs w:val="24"/>
        </w:rPr>
        <w:fldChar w:fldCharType="begin"/>
      </w:r>
      <w:r w:rsidRPr="00996DBC">
        <w:rPr>
          <w:rFonts w:ascii="Times New Roman" w:hAnsi="Times New Roman" w:cs="Times New Roman"/>
          <w:i w:val="0"/>
          <w:iCs w:val="0"/>
          <w:color w:val="000000" w:themeColor="text1"/>
          <w:sz w:val="24"/>
          <w:szCs w:val="24"/>
        </w:rPr>
        <w:instrText xml:space="preserve"> SEQ Table \* ARABIC </w:instrText>
      </w:r>
      <w:r w:rsidRPr="00996DBC">
        <w:rPr>
          <w:rFonts w:ascii="Times New Roman" w:hAnsi="Times New Roman" w:cs="Times New Roman"/>
          <w:i w:val="0"/>
          <w:iCs w:val="0"/>
          <w:color w:val="000000" w:themeColor="text1"/>
          <w:sz w:val="24"/>
          <w:szCs w:val="24"/>
        </w:rPr>
        <w:fldChar w:fldCharType="separate"/>
      </w:r>
      <w:r>
        <w:rPr>
          <w:rFonts w:ascii="Times New Roman" w:hAnsi="Times New Roman" w:cs="Times New Roman"/>
          <w:i w:val="0"/>
          <w:iCs w:val="0"/>
          <w:noProof/>
          <w:color w:val="000000" w:themeColor="text1"/>
          <w:sz w:val="24"/>
          <w:szCs w:val="24"/>
        </w:rPr>
        <w:t>5</w:t>
      </w:r>
      <w:r w:rsidRPr="00996DBC">
        <w:rPr>
          <w:rFonts w:ascii="Times New Roman" w:hAnsi="Times New Roman" w:cs="Times New Roman"/>
          <w:i w:val="0"/>
          <w:iCs w:val="0"/>
          <w:color w:val="000000" w:themeColor="text1"/>
          <w:sz w:val="24"/>
          <w:szCs w:val="24"/>
        </w:rPr>
        <w:fldChar w:fldCharType="end"/>
      </w:r>
      <w:r w:rsidRPr="00996DBC">
        <w:rPr>
          <w:rFonts w:ascii="Times New Roman" w:hAnsi="Times New Roman" w:cs="Times New Roman"/>
          <w:i w:val="0"/>
          <w:iCs w:val="0"/>
          <w:color w:val="000000" w:themeColor="text1"/>
          <w:sz w:val="24"/>
          <w:szCs w:val="24"/>
        </w:rPr>
        <w:t>: Species Distribution (PCR-Confirmed Cases)</w:t>
      </w:r>
    </w:p>
    <w:tbl>
      <w:tblPr>
        <w:tblStyle w:val="TableGrid"/>
        <w:tblW w:w="0" w:type="auto"/>
        <w:tblLook w:val="04A0" w:firstRow="1" w:lastRow="0" w:firstColumn="1" w:lastColumn="0" w:noHBand="0" w:noVBand="1"/>
      </w:tblPr>
      <w:tblGrid>
        <w:gridCol w:w="1850"/>
        <w:gridCol w:w="1419"/>
        <w:gridCol w:w="1805"/>
      </w:tblGrid>
      <w:tr w:rsidR="00B932DF" w:rsidRPr="00AE16C5" w14:paraId="000620B1" w14:textId="77777777" w:rsidTr="00AE16C5">
        <w:tc>
          <w:tcPr>
            <w:tcW w:w="0" w:type="auto"/>
            <w:hideMark/>
          </w:tcPr>
          <w:p w14:paraId="20B87F3D" w14:textId="77777777" w:rsidR="00B932DF" w:rsidRPr="00AE16C5" w:rsidRDefault="00B932DF" w:rsidP="003C35DC">
            <w:pPr>
              <w:jc w:val="both"/>
              <w:rPr>
                <w:rFonts w:ascii="Times New Roman" w:hAnsi="Times New Roman" w:cs="Times New Roman"/>
                <w:b/>
                <w:bCs/>
              </w:rPr>
            </w:pPr>
            <w:r w:rsidRPr="00AE16C5">
              <w:rPr>
                <w:rFonts w:ascii="Times New Roman" w:hAnsi="Times New Roman" w:cs="Times New Roman"/>
                <w:b/>
                <w:bCs/>
              </w:rPr>
              <w:t>Species</w:t>
            </w:r>
          </w:p>
        </w:tc>
        <w:tc>
          <w:tcPr>
            <w:tcW w:w="0" w:type="auto"/>
            <w:hideMark/>
          </w:tcPr>
          <w:p w14:paraId="60F607E6" w14:textId="77777777" w:rsidR="00B932DF" w:rsidRPr="00AE16C5" w:rsidRDefault="00B932DF" w:rsidP="003C35DC">
            <w:pPr>
              <w:jc w:val="both"/>
              <w:rPr>
                <w:rFonts w:ascii="Times New Roman" w:hAnsi="Times New Roman" w:cs="Times New Roman"/>
                <w:b/>
                <w:bCs/>
              </w:rPr>
            </w:pPr>
            <w:r w:rsidRPr="00AE16C5">
              <w:rPr>
                <w:rFonts w:ascii="Times New Roman" w:hAnsi="Times New Roman" w:cs="Times New Roman"/>
                <w:b/>
                <w:bCs/>
              </w:rPr>
              <w:t>Number (n)</w:t>
            </w:r>
          </w:p>
        </w:tc>
        <w:tc>
          <w:tcPr>
            <w:tcW w:w="0" w:type="auto"/>
            <w:hideMark/>
          </w:tcPr>
          <w:p w14:paraId="5999E57F" w14:textId="77777777" w:rsidR="00B932DF" w:rsidRPr="00AE16C5" w:rsidRDefault="00B932DF" w:rsidP="003C35DC">
            <w:pPr>
              <w:jc w:val="both"/>
              <w:rPr>
                <w:rFonts w:ascii="Times New Roman" w:hAnsi="Times New Roman" w:cs="Times New Roman"/>
                <w:b/>
                <w:bCs/>
              </w:rPr>
            </w:pPr>
            <w:r w:rsidRPr="00AE16C5">
              <w:rPr>
                <w:rFonts w:ascii="Times New Roman" w:hAnsi="Times New Roman" w:cs="Times New Roman"/>
                <w:b/>
                <w:bCs/>
              </w:rPr>
              <w:t>Percentage (%)</w:t>
            </w:r>
          </w:p>
        </w:tc>
      </w:tr>
      <w:tr w:rsidR="00B932DF" w:rsidRPr="00AE16C5" w14:paraId="223237BD" w14:textId="77777777" w:rsidTr="00AE16C5">
        <w:tc>
          <w:tcPr>
            <w:tcW w:w="0" w:type="auto"/>
            <w:hideMark/>
          </w:tcPr>
          <w:p w14:paraId="0620DAD4"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i/>
                <w:iCs/>
              </w:rPr>
              <w:t>P. falciparum</w:t>
            </w:r>
          </w:p>
        </w:tc>
        <w:tc>
          <w:tcPr>
            <w:tcW w:w="0" w:type="auto"/>
            <w:hideMark/>
          </w:tcPr>
          <w:p w14:paraId="3577B728"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107</w:t>
            </w:r>
          </w:p>
        </w:tc>
        <w:tc>
          <w:tcPr>
            <w:tcW w:w="0" w:type="auto"/>
            <w:hideMark/>
          </w:tcPr>
          <w:p w14:paraId="4CBA4D3F"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62.6</w:t>
            </w:r>
          </w:p>
        </w:tc>
      </w:tr>
      <w:tr w:rsidR="00B932DF" w:rsidRPr="00AE16C5" w14:paraId="6459B461" w14:textId="77777777" w:rsidTr="00AE16C5">
        <w:tc>
          <w:tcPr>
            <w:tcW w:w="0" w:type="auto"/>
            <w:hideMark/>
          </w:tcPr>
          <w:p w14:paraId="7B911CEE"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i/>
                <w:iCs/>
              </w:rPr>
              <w:t>P. malariae</w:t>
            </w:r>
          </w:p>
        </w:tc>
        <w:tc>
          <w:tcPr>
            <w:tcW w:w="0" w:type="auto"/>
            <w:hideMark/>
          </w:tcPr>
          <w:p w14:paraId="090FDD69"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24</w:t>
            </w:r>
          </w:p>
        </w:tc>
        <w:tc>
          <w:tcPr>
            <w:tcW w:w="0" w:type="auto"/>
            <w:hideMark/>
          </w:tcPr>
          <w:p w14:paraId="40ADBDDE"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14.3</w:t>
            </w:r>
          </w:p>
        </w:tc>
      </w:tr>
      <w:tr w:rsidR="00B932DF" w:rsidRPr="00AE16C5" w14:paraId="78CCEFA7" w14:textId="77777777" w:rsidTr="00AE16C5">
        <w:tc>
          <w:tcPr>
            <w:tcW w:w="0" w:type="auto"/>
            <w:hideMark/>
          </w:tcPr>
          <w:p w14:paraId="6069D90F"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i/>
                <w:iCs/>
              </w:rPr>
              <w:t>P. vivax</w:t>
            </w:r>
          </w:p>
        </w:tc>
        <w:tc>
          <w:tcPr>
            <w:tcW w:w="0" w:type="auto"/>
            <w:hideMark/>
          </w:tcPr>
          <w:p w14:paraId="57B8FCE6"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14</w:t>
            </w:r>
          </w:p>
        </w:tc>
        <w:tc>
          <w:tcPr>
            <w:tcW w:w="0" w:type="auto"/>
            <w:hideMark/>
          </w:tcPr>
          <w:p w14:paraId="6ECAE555"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8.2</w:t>
            </w:r>
          </w:p>
        </w:tc>
      </w:tr>
      <w:tr w:rsidR="00B932DF" w:rsidRPr="00AE16C5" w14:paraId="7205357B" w14:textId="77777777" w:rsidTr="00AE16C5">
        <w:tc>
          <w:tcPr>
            <w:tcW w:w="0" w:type="auto"/>
            <w:hideMark/>
          </w:tcPr>
          <w:p w14:paraId="6912CA95"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i/>
                <w:iCs/>
              </w:rPr>
              <w:t xml:space="preserve">P. </w:t>
            </w:r>
            <w:proofErr w:type="spellStart"/>
            <w:r w:rsidRPr="00AE16C5">
              <w:rPr>
                <w:rFonts w:ascii="Times New Roman" w:hAnsi="Times New Roman" w:cs="Times New Roman"/>
                <w:i/>
                <w:iCs/>
              </w:rPr>
              <w:t>ovale</w:t>
            </w:r>
            <w:proofErr w:type="spellEnd"/>
          </w:p>
        </w:tc>
        <w:tc>
          <w:tcPr>
            <w:tcW w:w="0" w:type="auto"/>
            <w:hideMark/>
          </w:tcPr>
          <w:p w14:paraId="10F2AC25"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9</w:t>
            </w:r>
          </w:p>
        </w:tc>
        <w:tc>
          <w:tcPr>
            <w:tcW w:w="0" w:type="auto"/>
            <w:hideMark/>
          </w:tcPr>
          <w:p w14:paraId="48C2BE24"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5.1</w:t>
            </w:r>
          </w:p>
        </w:tc>
      </w:tr>
      <w:tr w:rsidR="00B932DF" w:rsidRPr="00AE16C5" w14:paraId="1ACED18B" w14:textId="77777777" w:rsidTr="00AE16C5">
        <w:tc>
          <w:tcPr>
            <w:tcW w:w="0" w:type="auto"/>
            <w:hideMark/>
          </w:tcPr>
          <w:p w14:paraId="4CE197AF"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Mixed infections</w:t>
            </w:r>
          </w:p>
        </w:tc>
        <w:tc>
          <w:tcPr>
            <w:tcW w:w="0" w:type="auto"/>
            <w:hideMark/>
          </w:tcPr>
          <w:p w14:paraId="0584F2EA"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17</w:t>
            </w:r>
          </w:p>
        </w:tc>
        <w:tc>
          <w:tcPr>
            <w:tcW w:w="0" w:type="auto"/>
            <w:hideMark/>
          </w:tcPr>
          <w:p w14:paraId="5867A26B"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9.8</w:t>
            </w:r>
          </w:p>
        </w:tc>
      </w:tr>
    </w:tbl>
    <w:p w14:paraId="0B497FD7" w14:textId="77777777" w:rsidR="00B932DF" w:rsidRPr="00AE16C5" w:rsidRDefault="00B932DF" w:rsidP="003C35DC">
      <w:pPr>
        <w:spacing w:after="0" w:line="240" w:lineRule="auto"/>
        <w:jc w:val="both"/>
        <w:rPr>
          <w:rFonts w:ascii="Times New Roman" w:hAnsi="Times New Roman" w:cs="Times New Roman"/>
        </w:rPr>
      </w:pPr>
      <w:r w:rsidRPr="00AE16C5">
        <w:rPr>
          <w:rFonts w:ascii="Times New Roman" w:hAnsi="Times New Roman" w:cs="Times New Roman"/>
        </w:rPr>
        <w:t xml:space="preserve">Mixed infections were predominantly </w:t>
      </w:r>
      <w:r w:rsidRPr="00AE16C5">
        <w:rPr>
          <w:rFonts w:ascii="Times New Roman" w:hAnsi="Times New Roman" w:cs="Times New Roman"/>
          <w:i/>
          <w:iCs/>
        </w:rPr>
        <w:t>P. falciparum</w:t>
      </w:r>
      <w:r w:rsidRPr="00AE16C5">
        <w:rPr>
          <w:rFonts w:ascii="Times New Roman" w:hAnsi="Times New Roman" w:cs="Times New Roman"/>
        </w:rPr>
        <w:t xml:space="preserve"> + </w:t>
      </w:r>
      <w:r w:rsidRPr="00AE16C5">
        <w:rPr>
          <w:rFonts w:ascii="Times New Roman" w:hAnsi="Times New Roman" w:cs="Times New Roman"/>
          <w:i/>
          <w:iCs/>
        </w:rPr>
        <w:t>P. malariae</w:t>
      </w:r>
      <w:r w:rsidRPr="00AE16C5">
        <w:rPr>
          <w:rFonts w:ascii="Times New Roman" w:hAnsi="Times New Roman" w:cs="Times New Roman"/>
        </w:rPr>
        <w:t xml:space="preserve"> combinations.</w:t>
      </w:r>
    </w:p>
    <w:p w14:paraId="1DBA1361" w14:textId="2B440ED6" w:rsidR="00B932DF" w:rsidRPr="00AE16C5" w:rsidRDefault="00B932DF" w:rsidP="003C35DC">
      <w:pPr>
        <w:spacing w:after="0" w:line="240" w:lineRule="auto"/>
        <w:jc w:val="both"/>
        <w:rPr>
          <w:rFonts w:ascii="Times New Roman" w:hAnsi="Times New Roman" w:cs="Times New Roman"/>
        </w:rPr>
      </w:pPr>
    </w:p>
    <w:p w14:paraId="06863387" w14:textId="77777777" w:rsidR="00B932DF" w:rsidRPr="00AE16C5" w:rsidRDefault="00B932DF" w:rsidP="003C35DC">
      <w:pPr>
        <w:spacing w:after="0" w:line="240" w:lineRule="auto"/>
        <w:jc w:val="both"/>
        <w:rPr>
          <w:rFonts w:ascii="Times New Roman" w:hAnsi="Times New Roman" w:cs="Times New Roman"/>
          <w:b/>
          <w:bCs/>
        </w:rPr>
      </w:pPr>
      <w:r w:rsidRPr="00AE16C5">
        <w:rPr>
          <w:rFonts w:ascii="Times New Roman" w:hAnsi="Times New Roman" w:cs="Times New Roman"/>
          <w:b/>
          <w:bCs/>
        </w:rPr>
        <w:t>4.3 Diagnostic Performance Metrics</w:t>
      </w:r>
    </w:p>
    <w:p w14:paraId="657379DD" w14:textId="77777777" w:rsidR="00B932DF" w:rsidRPr="00AE16C5" w:rsidRDefault="00B932DF" w:rsidP="003C35DC">
      <w:pPr>
        <w:spacing w:after="0" w:line="240" w:lineRule="auto"/>
        <w:jc w:val="both"/>
        <w:rPr>
          <w:rFonts w:ascii="Times New Roman" w:hAnsi="Times New Roman" w:cs="Times New Roman"/>
        </w:rPr>
      </w:pPr>
      <w:r w:rsidRPr="00AE16C5">
        <w:rPr>
          <w:rFonts w:ascii="Times New Roman" w:hAnsi="Times New Roman" w:cs="Times New Roman"/>
        </w:rPr>
        <w:t>Using PCR as the reference:</w:t>
      </w:r>
    </w:p>
    <w:p w14:paraId="5316D7B9" w14:textId="6BEE6161" w:rsidR="00996DBC" w:rsidRPr="00996DBC" w:rsidRDefault="00996DBC" w:rsidP="003C35DC">
      <w:pPr>
        <w:pStyle w:val="Caption"/>
        <w:keepNext/>
        <w:spacing w:after="0"/>
        <w:jc w:val="both"/>
        <w:rPr>
          <w:rFonts w:ascii="Times New Roman" w:hAnsi="Times New Roman" w:cs="Times New Roman"/>
          <w:i w:val="0"/>
          <w:iCs w:val="0"/>
          <w:color w:val="000000" w:themeColor="text1"/>
          <w:sz w:val="24"/>
          <w:szCs w:val="24"/>
        </w:rPr>
      </w:pPr>
      <w:r w:rsidRPr="00996DBC">
        <w:rPr>
          <w:rFonts w:ascii="Times New Roman" w:hAnsi="Times New Roman" w:cs="Times New Roman"/>
          <w:i w:val="0"/>
          <w:iCs w:val="0"/>
          <w:color w:val="000000" w:themeColor="text1"/>
          <w:sz w:val="24"/>
          <w:szCs w:val="24"/>
        </w:rPr>
        <w:t xml:space="preserve">Table </w:t>
      </w:r>
      <w:r w:rsidRPr="00996DBC">
        <w:rPr>
          <w:rFonts w:ascii="Times New Roman" w:hAnsi="Times New Roman" w:cs="Times New Roman"/>
          <w:i w:val="0"/>
          <w:iCs w:val="0"/>
          <w:color w:val="000000" w:themeColor="text1"/>
          <w:sz w:val="24"/>
          <w:szCs w:val="24"/>
        </w:rPr>
        <w:fldChar w:fldCharType="begin"/>
      </w:r>
      <w:r w:rsidRPr="00996DBC">
        <w:rPr>
          <w:rFonts w:ascii="Times New Roman" w:hAnsi="Times New Roman" w:cs="Times New Roman"/>
          <w:i w:val="0"/>
          <w:iCs w:val="0"/>
          <w:color w:val="000000" w:themeColor="text1"/>
          <w:sz w:val="24"/>
          <w:szCs w:val="24"/>
        </w:rPr>
        <w:instrText xml:space="preserve"> SEQ Table \* ARABIC </w:instrText>
      </w:r>
      <w:r w:rsidRPr="00996DBC">
        <w:rPr>
          <w:rFonts w:ascii="Times New Roman" w:hAnsi="Times New Roman" w:cs="Times New Roman"/>
          <w:i w:val="0"/>
          <w:iCs w:val="0"/>
          <w:color w:val="000000" w:themeColor="text1"/>
          <w:sz w:val="24"/>
          <w:szCs w:val="24"/>
        </w:rPr>
        <w:fldChar w:fldCharType="separate"/>
      </w:r>
      <w:r w:rsidRPr="00996DBC">
        <w:rPr>
          <w:rFonts w:ascii="Times New Roman" w:hAnsi="Times New Roman" w:cs="Times New Roman"/>
          <w:i w:val="0"/>
          <w:iCs w:val="0"/>
          <w:noProof/>
          <w:color w:val="000000" w:themeColor="text1"/>
          <w:sz w:val="24"/>
          <w:szCs w:val="24"/>
        </w:rPr>
        <w:t>6</w:t>
      </w:r>
      <w:r w:rsidRPr="00996DBC">
        <w:rPr>
          <w:rFonts w:ascii="Times New Roman" w:hAnsi="Times New Roman" w:cs="Times New Roman"/>
          <w:i w:val="0"/>
          <w:iCs w:val="0"/>
          <w:color w:val="000000" w:themeColor="text1"/>
          <w:sz w:val="24"/>
          <w:szCs w:val="24"/>
        </w:rPr>
        <w:fldChar w:fldCharType="end"/>
      </w:r>
      <w:r w:rsidRPr="00996DBC">
        <w:rPr>
          <w:rFonts w:ascii="Times New Roman" w:hAnsi="Times New Roman" w:cs="Times New Roman"/>
          <w:i w:val="0"/>
          <w:iCs w:val="0"/>
          <w:color w:val="000000" w:themeColor="text1"/>
          <w:sz w:val="24"/>
          <w:szCs w:val="24"/>
        </w:rPr>
        <w:t>: Diagnostic Performance Comparison</w:t>
      </w:r>
    </w:p>
    <w:tbl>
      <w:tblPr>
        <w:tblStyle w:val="TableGrid"/>
        <w:tblW w:w="0" w:type="auto"/>
        <w:tblLook w:val="04A0" w:firstRow="1" w:lastRow="0" w:firstColumn="1" w:lastColumn="0" w:noHBand="0" w:noVBand="1"/>
      </w:tblPr>
      <w:tblGrid>
        <w:gridCol w:w="2718"/>
        <w:gridCol w:w="1412"/>
        <w:gridCol w:w="836"/>
      </w:tblGrid>
      <w:tr w:rsidR="00B932DF" w:rsidRPr="00AE16C5" w14:paraId="20245573" w14:textId="77777777" w:rsidTr="00AE16C5">
        <w:tc>
          <w:tcPr>
            <w:tcW w:w="0" w:type="auto"/>
            <w:hideMark/>
          </w:tcPr>
          <w:p w14:paraId="7E6E00F4" w14:textId="77777777" w:rsidR="00B932DF" w:rsidRPr="00AE16C5" w:rsidRDefault="00B932DF" w:rsidP="003C35DC">
            <w:pPr>
              <w:jc w:val="both"/>
              <w:rPr>
                <w:rFonts w:ascii="Times New Roman" w:hAnsi="Times New Roman" w:cs="Times New Roman"/>
                <w:b/>
                <w:bCs/>
              </w:rPr>
            </w:pPr>
            <w:r w:rsidRPr="00AE16C5">
              <w:rPr>
                <w:rFonts w:ascii="Times New Roman" w:hAnsi="Times New Roman" w:cs="Times New Roman"/>
                <w:b/>
                <w:bCs/>
              </w:rPr>
              <w:t>Metric</w:t>
            </w:r>
          </w:p>
        </w:tc>
        <w:tc>
          <w:tcPr>
            <w:tcW w:w="0" w:type="auto"/>
            <w:hideMark/>
          </w:tcPr>
          <w:p w14:paraId="5D279AF5" w14:textId="77777777" w:rsidR="00B932DF" w:rsidRPr="00AE16C5" w:rsidRDefault="00B932DF" w:rsidP="003C35DC">
            <w:pPr>
              <w:jc w:val="both"/>
              <w:rPr>
                <w:rFonts w:ascii="Times New Roman" w:hAnsi="Times New Roman" w:cs="Times New Roman"/>
                <w:b/>
                <w:bCs/>
              </w:rPr>
            </w:pPr>
            <w:r w:rsidRPr="00AE16C5">
              <w:rPr>
                <w:rFonts w:ascii="Times New Roman" w:hAnsi="Times New Roman" w:cs="Times New Roman"/>
                <w:b/>
                <w:bCs/>
              </w:rPr>
              <w:t>Microscopy</w:t>
            </w:r>
          </w:p>
        </w:tc>
        <w:tc>
          <w:tcPr>
            <w:tcW w:w="0" w:type="auto"/>
            <w:hideMark/>
          </w:tcPr>
          <w:p w14:paraId="53708ED5" w14:textId="77777777" w:rsidR="00B932DF" w:rsidRPr="00AE16C5" w:rsidRDefault="00B932DF" w:rsidP="003C35DC">
            <w:pPr>
              <w:jc w:val="both"/>
              <w:rPr>
                <w:rFonts w:ascii="Times New Roman" w:hAnsi="Times New Roman" w:cs="Times New Roman"/>
                <w:b/>
                <w:bCs/>
              </w:rPr>
            </w:pPr>
            <w:r w:rsidRPr="00AE16C5">
              <w:rPr>
                <w:rFonts w:ascii="Times New Roman" w:hAnsi="Times New Roman" w:cs="Times New Roman"/>
                <w:b/>
                <w:bCs/>
              </w:rPr>
              <w:t>RDT</w:t>
            </w:r>
          </w:p>
        </w:tc>
      </w:tr>
      <w:tr w:rsidR="00B932DF" w:rsidRPr="00AE16C5" w14:paraId="43558801" w14:textId="77777777" w:rsidTr="00AE16C5">
        <w:tc>
          <w:tcPr>
            <w:tcW w:w="0" w:type="auto"/>
            <w:hideMark/>
          </w:tcPr>
          <w:p w14:paraId="2CEEEEFA"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Sensitivity</w:t>
            </w:r>
          </w:p>
        </w:tc>
        <w:tc>
          <w:tcPr>
            <w:tcW w:w="0" w:type="auto"/>
            <w:hideMark/>
          </w:tcPr>
          <w:p w14:paraId="6552AA42"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61.4%</w:t>
            </w:r>
          </w:p>
        </w:tc>
        <w:tc>
          <w:tcPr>
            <w:tcW w:w="0" w:type="auto"/>
            <w:hideMark/>
          </w:tcPr>
          <w:p w14:paraId="2F5AA415"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68.7%</w:t>
            </w:r>
          </w:p>
        </w:tc>
      </w:tr>
      <w:tr w:rsidR="00B932DF" w:rsidRPr="00AE16C5" w14:paraId="7C664435" w14:textId="77777777" w:rsidTr="00AE16C5">
        <w:tc>
          <w:tcPr>
            <w:tcW w:w="0" w:type="auto"/>
            <w:hideMark/>
          </w:tcPr>
          <w:p w14:paraId="434F680D"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Specificity</w:t>
            </w:r>
          </w:p>
        </w:tc>
        <w:tc>
          <w:tcPr>
            <w:tcW w:w="0" w:type="auto"/>
            <w:hideMark/>
          </w:tcPr>
          <w:p w14:paraId="5857A4D2"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98.1%</w:t>
            </w:r>
          </w:p>
        </w:tc>
        <w:tc>
          <w:tcPr>
            <w:tcW w:w="0" w:type="auto"/>
            <w:hideMark/>
          </w:tcPr>
          <w:p w14:paraId="355AEDEC"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95.6%</w:t>
            </w:r>
          </w:p>
        </w:tc>
      </w:tr>
      <w:tr w:rsidR="00B932DF" w:rsidRPr="00AE16C5" w14:paraId="26C5B5AA" w14:textId="77777777" w:rsidTr="00AE16C5">
        <w:tc>
          <w:tcPr>
            <w:tcW w:w="0" w:type="auto"/>
            <w:hideMark/>
          </w:tcPr>
          <w:p w14:paraId="7A539E69"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Positive Predictive Value</w:t>
            </w:r>
          </w:p>
        </w:tc>
        <w:tc>
          <w:tcPr>
            <w:tcW w:w="0" w:type="auto"/>
            <w:hideMark/>
          </w:tcPr>
          <w:p w14:paraId="74F11768"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96.2%</w:t>
            </w:r>
          </w:p>
        </w:tc>
        <w:tc>
          <w:tcPr>
            <w:tcW w:w="0" w:type="auto"/>
            <w:hideMark/>
          </w:tcPr>
          <w:p w14:paraId="601BD4F5"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91.3%</w:t>
            </w:r>
          </w:p>
        </w:tc>
      </w:tr>
      <w:tr w:rsidR="00B932DF" w:rsidRPr="00AE16C5" w14:paraId="64B636A9" w14:textId="77777777" w:rsidTr="00AE16C5">
        <w:tc>
          <w:tcPr>
            <w:tcW w:w="0" w:type="auto"/>
            <w:hideMark/>
          </w:tcPr>
          <w:p w14:paraId="09D6FB80"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Negative Predictive Value</w:t>
            </w:r>
          </w:p>
        </w:tc>
        <w:tc>
          <w:tcPr>
            <w:tcW w:w="0" w:type="auto"/>
            <w:hideMark/>
          </w:tcPr>
          <w:p w14:paraId="177B0E95"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79.4%</w:t>
            </w:r>
          </w:p>
        </w:tc>
        <w:tc>
          <w:tcPr>
            <w:tcW w:w="0" w:type="auto"/>
            <w:hideMark/>
          </w:tcPr>
          <w:p w14:paraId="66EB1CA1"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82.7%</w:t>
            </w:r>
          </w:p>
        </w:tc>
      </w:tr>
      <w:tr w:rsidR="00B932DF" w:rsidRPr="00AE16C5" w14:paraId="1BECCBB8" w14:textId="77777777" w:rsidTr="00AE16C5">
        <w:tc>
          <w:tcPr>
            <w:tcW w:w="0" w:type="auto"/>
            <w:hideMark/>
          </w:tcPr>
          <w:p w14:paraId="3D5BD9FF"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Cohen’s Kappa</w:t>
            </w:r>
          </w:p>
        </w:tc>
        <w:tc>
          <w:tcPr>
            <w:tcW w:w="0" w:type="auto"/>
            <w:hideMark/>
          </w:tcPr>
          <w:p w14:paraId="07C6D4FF"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0.63</w:t>
            </w:r>
          </w:p>
        </w:tc>
        <w:tc>
          <w:tcPr>
            <w:tcW w:w="0" w:type="auto"/>
            <w:hideMark/>
          </w:tcPr>
          <w:p w14:paraId="71E5E771"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0.69</w:t>
            </w:r>
          </w:p>
        </w:tc>
      </w:tr>
    </w:tbl>
    <w:p w14:paraId="66501A72" w14:textId="77777777" w:rsidR="00B932DF" w:rsidRPr="00AE16C5" w:rsidRDefault="00B932DF" w:rsidP="003C35DC">
      <w:pPr>
        <w:spacing w:after="0" w:line="240" w:lineRule="auto"/>
        <w:jc w:val="both"/>
        <w:rPr>
          <w:rFonts w:ascii="Times New Roman" w:hAnsi="Times New Roman" w:cs="Times New Roman"/>
        </w:rPr>
      </w:pPr>
      <w:r w:rsidRPr="00AE16C5">
        <w:rPr>
          <w:rFonts w:ascii="Times New Roman" w:hAnsi="Times New Roman" w:cs="Times New Roman"/>
        </w:rPr>
        <w:t>Microscopy and RDT demonstrated high specificity but limited sensitivity for detecting submicroscopic and mixed infections.</w:t>
      </w:r>
    </w:p>
    <w:p w14:paraId="2A1387FE" w14:textId="301A4228" w:rsidR="00B932DF" w:rsidRPr="00AE16C5" w:rsidRDefault="00B932DF" w:rsidP="003C35DC">
      <w:pPr>
        <w:spacing w:after="0" w:line="240" w:lineRule="auto"/>
        <w:jc w:val="both"/>
        <w:rPr>
          <w:rFonts w:ascii="Times New Roman" w:hAnsi="Times New Roman" w:cs="Times New Roman"/>
        </w:rPr>
      </w:pPr>
    </w:p>
    <w:p w14:paraId="4A54E96C" w14:textId="77777777" w:rsidR="00B932DF" w:rsidRPr="00AE16C5" w:rsidRDefault="00B932DF" w:rsidP="003C35DC">
      <w:pPr>
        <w:spacing w:after="0" w:line="240" w:lineRule="auto"/>
        <w:jc w:val="both"/>
        <w:rPr>
          <w:rFonts w:ascii="Times New Roman" w:hAnsi="Times New Roman" w:cs="Times New Roman"/>
          <w:b/>
          <w:bCs/>
        </w:rPr>
      </w:pPr>
      <w:r w:rsidRPr="00AE16C5">
        <w:rPr>
          <w:rFonts w:ascii="Times New Roman" w:hAnsi="Times New Roman" w:cs="Times New Roman"/>
          <w:b/>
          <w:bCs/>
        </w:rPr>
        <w:t>4.4 ROC Curve Analysis</w:t>
      </w:r>
    </w:p>
    <w:p w14:paraId="02C39199" w14:textId="77777777" w:rsidR="00B932DF" w:rsidRPr="00AE16C5" w:rsidRDefault="00B932DF" w:rsidP="003C35DC">
      <w:pPr>
        <w:spacing w:after="0" w:line="240" w:lineRule="auto"/>
        <w:jc w:val="both"/>
        <w:rPr>
          <w:rFonts w:ascii="Times New Roman" w:hAnsi="Times New Roman" w:cs="Times New Roman"/>
        </w:rPr>
      </w:pPr>
      <w:r w:rsidRPr="00AE16C5">
        <w:rPr>
          <w:rFonts w:ascii="Times New Roman" w:hAnsi="Times New Roman" w:cs="Times New Roman"/>
        </w:rPr>
        <w:t>Receiver Operating Characteristic (ROC) curves were generated to evaluate overall diagnostic discrimination relative to PCR.</w:t>
      </w:r>
    </w:p>
    <w:p w14:paraId="6A374F76" w14:textId="77777777" w:rsidR="00996DBC" w:rsidRPr="00996DBC" w:rsidRDefault="00B932DF" w:rsidP="003C35DC">
      <w:pPr>
        <w:keepNext/>
        <w:spacing w:after="0" w:line="240" w:lineRule="auto"/>
        <w:jc w:val="both"/>
        <w:rPr>
          <w:rFonts w:ascii="Times New Roman" w:hAnsi="Times New Roman" w:cs="Times New Roman"/>
          <w:color w:val="000000" w:themeColor="text1"/>
          <w:sz w:val="36"/>
          <w:szCs w:val="36"/>
        </w:rPr>
      </w:pPr>
      <w:r w:rsidRPr="00996DBC">
        <w:rPr>
          <w:rFonts w:ascii="Times New Roman" w:hAnsi="Times New Roman" w:cs="Times New Roman"/>
          <w:noProof/>
          <w:color w:val="000000" w:themeColor="text1"/>
          <w:sz w:val="36"/>
          <w:szCs w:val="36"/>
        </w:rPr>
        <w:drawing>
          <wp:inline distT="0" distB="0" distL="0" distR="0" wp14:anchorId="3E638141" wp14:editId="30E7914D">
            <wp:extent cx="2926080" cy="2194560"/>
            <wp:effectExtent l="0" t="0" r="7620" b="0"/>
            <wp:docPr id="15195347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26080" cy="2194560"/>
                    </a:xfrm>
                    <a:prstGeom prst="rect">
                      <a:avLst/>
                    </a:prstGeom>
                    <a:noFill/>
                    <a:ln>
                      <a:noFill/>
                    </a:ln>
                  </pic:spPr>
                </pic:pic>
              </a:graphicData>
            </a:graphic>
          </wp:inline>
        </w:drawing>
      </w:r>
    </w:p>
    <w:p w14:paraId="7F2CCAD9" w14:textId="6109EE0A" w:rsidR="00B932DF" w:rsidRPr="00996DBC" w:rsidRDefault="00996DBC" w:rsidP="003C35DC">
      <w:pPr>
        <w:pStyle w:val="Caption"/>
        <w:spacing w:after="0"/>
        <w:jc w:val="both"/>
        <w:rPr>
          <w:rFonts w:ascii="Times New Roman" w:hAnsi="Times New Roman" w:cs="Times New Roman"/>
          <w:i w:val="0"/>
          <w:iCs w:val="0"/>
          <w:color w:val="000000" w:themeColor="text1"/>
          <w:sz w:val="24"/>
          <w:szCs w:val="24"/>
        </w:rPr>
      </w:pPr>
      <w:r w:rsidRPr="00996DBC">
        <w:rPr>
          <w:rFonts w:ascii="Times New Roman" w:hAnsi="Times New Roman" w:cs="Times New Roman"/>
          <w:i w:val="0"/>
          <w:iCs w:val="0"/>
          <w:color w:val="000000" w:themeColor="text1"/>
          <w:sz w:val="24"/>
          <w:szCs w:val="24"/>
        </w:rPr>
        <w:t xml:space="preserve">Figure </w:t>
      </w:r>
      <w:r w:rsidRPr="00996DBC">
        <w:rPr>
          <w:rFonts w:ascii="Times New Roman" w:hAnsi="Times New Roman" w:cs="Times New Roman"/>
          <w:i w:val="0"/>
          <w:iCs w:val="0"/>
          <w:color w:val="000000" w:themeColor="text1"/>
          <w:sz w:val="24"/>
          <w:szCs w:val="24"/>
        </w:rPr>
        <w:fldChar w:fldCharType="begin"/>
      </w:r>
      <w:r w:rsidRPr="00996DBC">
        <w:rPr>
          <w:rFonts w:ascii="Times New Roman" w:hAnsi="Times New Roman" w:cs="Times New Roman"/>
          <w:i w:val="0"/>
          <w:iCs w:val="0"/>
          <w:color w:val="000000" w:themeColor="text1"/>
          <w:sz w:val="24"/>
          <w:szCs w:val="24"/>
        </w:rPr>
        <w:instrText xml:space="preserve"> SEQ Figure \* ARABIC </w:instrText>
      </w:r>
      <w:r w:rsidRPr="00996DBC">
        <w:rPr>
          <w:rFonts w:ascii="Times New Roman" w:hAnsi="Times New Roman" w:cs="Times New Roman"/>
          <w:i w:val="0"/>
          <w:iCs w:val="0"/>
          <w:color w:val="000000" w:themeColor="text1"/>
          <w:sz w:val="24"/>
          <w:szCs w:val="24"/>
        </w:rPr>
        <w:fldChar w:fldCharType="separate"/>
      </w:r>
      <w:r w:rsidR="00CD3622">
        <w:rPr>
          <w:rFonts w:ascii="Times New Roman" w:hAnsi="Times New Roman" w:cs="Times New Roman"/>
          <w:i w:val="0"/>
          <w:iCs w:val="0"/>
          <w:noProof/>
          <w:color w:val="000000" w:themeColor="text1"/>
          <w:sz w:val="24"/>
          <w:szCs w:val="24"/>
        </w:rPr>
        <w:t>2</w:t>
      </w:r>
      <w:r w:rsidRPr="00996DBC">
        <w:rPr>
          <w:rFonts w:ascii="Times New Roman" w:hAnsi="Times New Roman" w:cs="Times New Roman"/>
          <w:i w:val="0"/>
          <w:iCs w:val="0"/>
          <w:color w:val="000000" w:themeColor="text1"/>
          <w:sz w:val="24"/>
          <w:szCs w:val="24"/>
        </w:rPr>
        <w:fldChar w:fldCharType="end"/>
      </w:r>
      <w:r w:rsidRPr="00996DBC">
        <w:rPr>
          <w:rFonts w:ascii="Times New Roman" w:hAnsi="Times New Roman" w:cs="Times New Roman"/>
          <w:i w:val="0"/>
          <w:iCs w:val="0"/>
          <w:color w:val="000000" w:themeColor="text1"/>
          <w:sz w:val="24"/>
          <w:szCs w:val="24"/>
        </w:rPr>
        <w:t>: ROC Curve: Microscopy vs PCR</w:t>
      </w:r>
    </w:p>
    <w:p w14:paraId="04C54047" w14:textId="77777777" w:rsidR="00996DBC" w:rsidRDefault="00996DBC" w:rsidP="003C35DC">
      <w:pPr>
        <w:spacing w:after="0" w:line="240" w:lineRule="auto"/>
        <w:jc w:val="both"/>
        <w:rPr>
          <w:rFonts w:ascii="Times New Roman" w:hAnsi="Times New Roman" w:cs="Times New Roman"/>
        </w:rPr>
      </w:pPr>
    </w:p>
    <w:p w14:paraId="6A696772" w14:textId="4AAA5540" w:rsidR="00B932DF" w:rsidRPr="00AE16C5" w:rsidRDefault="00B932DF" w:rsidP="003C35DC">
      <w:pPr>
        <w:spacing w:after="0" w:line="240" w:lineRule="auto"/>
        <w:jc w:val="both"/>
        <w:rPr>
          <w:rFonts w:ascii="Times New Roman" w:hAnsi="Times New Roman" w:cs="Times New Roman"/>
        </w:rPr>
      </w:pPr>
      <w:r w:rsidRPr="00996DBC">
        <w:rPr>
          <w:rFonts w:ascii="Times New Roman" w:hAnsi="Times New Roman" w:cs="Times New Roman"/>
        </w:rPr>
        <w:t>The area under the curve (AUC) for microscopy was approximately 0.97, reflecting strong discrimination when parasite density is sufficient but reduced sensitivity at lower thresholds.</w:t>
      </w:r>
    </w:p>
    <w:p w14:paraId="0C9B4A44" w14:textId="77777777" w:rsidR="00996DBC" w:rsidRPr="00996DBC" w:rsidRDefault="00B932DF" w:rsidP="003C35DC">
      <w:pPr>
        <w:keepNext/>
        <w:spacing w:after="0" w:line="240" w:lineRule="auto"/>
        <w:jc w:val="both"/>
        <w:rPr>
          <w:rFonts w:ascii="Times New Roman" w:hAnsi="Times New Roman" w:cs="Times New Roman"/>
          <w:color w:val="000000" w:themeColor="text1"/>
          <w:sz w:val="36"/>
          <w:szCs w:val="36"/>
        </w:rPr>
      </w:pPr>
      <w:r w:rsidRPr="00996DBC">
        <w:rPr>
          <w:rFonts w:ascii="Times New Roman" w:hAnsi="Times New Roman" w:cs="Times New Roman"/>
          <w:noProof/>
          <w:color w:val="000000" w:themeColor="text1"/>
          <w:sz w:val="36"/>
          <w:szCs w:val="36"/>
        </w:rPr>
        <w:lastRenderedPageBreak/>
        <w:drawing>
          <wp:inline distT="0" distB="0" distL="0" distR="0" wp14:anchorId="78F7BE32" wp14:editId="0E641789">
            <wp:extent cx="2926080" cy="2194560"/>
            <wp:effectExtent l="0" t="0" r="7620" b="0"/>
            <wp:docPr id="10287264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26080" cy="2194560"/>
                    </a:xfrm>
                    <a:prstGeom prst="rect">
                      <a:avLst/>
                    </a:prstGeom>
                    <a:noFill/>
                    <a:ln>
                      <a:noFill/>
                    </a:ln>
                  </pic:spPr>
                </pic:pic>
              </a:graphicData>
            </a:graphic>
          </wp:inline>
        </w:drawing>
      </w:r>
    </w:p>
    <w:p w14:paraId="3C7CD863" w14:textId="142756B1" w:rsidR="00996DBC" w:rsidRPr="00996DBC" w:rsidRDefault="00996DBC" w:rsidP="003C35DC">
      <w:pPr>
        <w:pStyle w:val="Caption"/>
        <w:spacing w:after="0"/>
        <w:jc w:val="both"/>
        <w:rPr>
          <w:rFonts w:ascii="Times New Roman" w:hAnsi="Times New Roman" w:cs="Times New Roman"/>
          <w:i w:val="0"/>
          <w:iCs w:val="0"/>
          <w:color w:val="000000" w:themeColor="text1"/>
          <w:sz w:val="24"/>
          <w:szCs w:val="24"/>
        </w:rPr>
      </w:pPr>
      <w:r w:rsidRPr="00996DBC">
        <w:rPr>
          <w:rFonts w:ascii="Times New Roman" w:hAnsi="Times New Roman" w:cs="Times New Roman"/>
          <w:i w:val="0"/>
          <w:iCs w:val="0"/>
          <w:color w:val="000000" w:themeColor="text1"/>
          <w:sz w:val="24"/>
          <w:szCs w:val="24"/>
        </w:rPr>
        <w:t xml:space="preserve">Figure </w:t>
      </w:r>
      <w:r w:rsidRPr="00996DBC">
        <w:rPr>
          <w:rFonts w:ascii="Times New Roman" w:hAnsi="Times New Roman" w:cs="Times New Roman"/>
          <w:i w:val="0"/>
          <w:iCs w:val="0"/>
          <w:color w:val="000000" w:themeColor="text1"/>
          <w:sz w:val="24"/>
          <w:szCs w:val="24"/>
        </w:rPr>
        <w:fldChar w:fldCharType="begin"/>
      </w:r>
      <w:r w:rsidRPr="00996DBC">
        <w:rPr>
          <w:rFonts w:ascii="Times New Roman" w:hAnsi="Times New Roman" w:cs="Times New Roman"/>
          <w:i w:val="0"/>
          <w:iCs w:val="0"/>
          <w:color w:val="000000" w:themeColor="text1"/>
          <w:sz w:val="24"/>
          <w:szCs w:val="24"/>
        </w:rPr>
        <w:instrText xml:space="preserve"> SEQ Figure \* ARABIC </w:instrText>
      </w:r>
      <w:r w:rsidRPr="00996DBC">
        <w:rPr>
          <w:rFonts w:ascii="Times New Roman" w:hAnsi="Times New Roman" w:cs="Times New Roman"/>
          <w:i w:val="0"/>
          <w:iCs w:val="0"/>
          <w:color w:val="000000" w:themeColor="text1"/>
          <w:sz w:val="24"/>
          <w:szCs w:val="24"/>
        </w:rPr>
        <w:fldChar w:fldCharType="separate"/>
      </w:r>
      <w:r w:rsidRPr="00996DBC">
        <w:rPr>
          <w:rFonts w:ascii="Times New Roman" w:hAnsi="Times New Roman" w:cs="Times New Roman"/>
          <w:i w:val="0"/>
          <w:iCs w:val="0"/>
          <w:noProof/>
          <w:color w:val="000000" w:themeColor="text1"/>
          <w:sz w:val="24"/>
          <w:szCs w:val="24"/>
        </w:rPr>
        <w:t>3</w:t>
      </w:r>
      <w:r w:rsidRPr="00996DBC">
        <w:rPr>
          <w:rFonts w:ascii="Times New Roman" w:hAnsi="Times New Roman" w:cs="Times New Roman"/>
          <w:i w:val="0"/>
          <w:iCs w:val="0"/>
          <w:color w:val="000000" w:themeColor="text1"/>
          <w:sz w:val="24"/>
          <w:szCs w:val="24"/>
        </w:rPr>
        <w:fldChar w:fldCharType="end"/>
      </w:r>
      <w:r w:rsidRPr="00996DBC">
        <w:rPr>
          <w:rFonts w:ascii="Times New Roman" w:hAnsi="Times New Roman" w:cs="Times New Roman"/>
          <w:i w:val="0"/>
          <w:iCs w:val="0"/>
          <w:color w:val="000000" w:themeColor="text1"/>
          <w:sz w:val="24"/>
          <w:szCs w:val="24"/>
        </w:rPr>
        <w:t>: ROC Curve: RDT vs PCR</w:t>
      </w:r>
    </w:p>
    <w:p w14:paraId="05FEF034" w14:textId="50F61BF4" w:rsidR="00AE16C5" w:rsidRDefault="00B932DF" w:rsidP="003C35DC">
      <w:pPr>
        <w:spacing w:after="0" w:line="240" w:lineRule="auto"/>
        <w:jc w:val="both"/>
        <w:rPr>
          <w:rFonts w:ascii="Times New Roman" w:hAnsi="Times New Roman" w:cs="Times New Roman"/>
          <w:b/>
          <w:bCs/>
        </w:rPr>
      </w:pPr>
      <w:r w:rsidRPr="00AE16C5">
        <w:rPr>
          <w:rFonts w:ascii="Times New Roman" w:hAnsi="Times New Roman" w:cs="Times New Roman"/>
          <w:b/>
          <w:bCs/>
        </w:rPr>
        <w:t xml:space="preserve"> </w:t>
      </w:r>
    </w:p>
    <w:p w14:paraId="3DC25B34" w14:textId="77777777" w:rsidR="00B932DF" w:rsidRPr="0091155D" w:rsidRDefault="00B932DF" w:rsidP="003C35DC">
      <w:pPr>
        <w:spacing w:after="0" w:line="240" w:lineRule="auto"/>
        <w:jc w:val="both"/>
        <w:rPr>
          <w:rFonts w:ascii="Times New Roman" w:hAnsi="Times New Roman" w:cs="Times New Roman"/>
        </w:rPr>
      </w:pPr>
      <w:r w:rsidRPr="0091155D">
        <w:rPr>
          <w:rFonts w:ascii="Times New Roman" w:hAnsi="Times New Roman" w:cs="Times New Roman"/>
        </w:rPr>
        <w:t>The AUC for RDT was approximately 0.97, indicating high discriminatory ability but similar limitations in detecting low-density infections.</w:t>
      </w:r>
    </w:p>
    <w:p w14:paraId="6431A1AC" w14:textId="20E5A900" w:rsidR="00B932DF" w:rsidRPr="00AE16C5" w:rsidRDefault="00B932DF" w:rsidP="003C35DC">
      <w:pPr>
        <w:spacing w:after="0" w:line="240" w:lineRule="auto"/>
        <w:jc w:val="both"/>
        <w:rPr>
          <w:rFonts w:ascii="Times New Roman" w:hAnsi="Times New Roman" w:cs="Times New Roman"/>
        </w:rPr>
      </w:pPr>
    </w:p>
    <w:p w14:paraId="5F141DC5" w14:textId="77777777" w:rsidR="00B932DF" w:rsidRPr="00AE16C5" w:rsidRDefault="00B932DF" w:rsidP="003C35DC">
      <w:pPr>
        <w:spacing w:after="0" w:line="240" w:lineRule="auto"/>
        <w:jc w:val="both"/>
        <w:rPr>
          <w:rFonts w:ascii="Times New Roman" w:hAnsi="Times New Roman" w:cs="Times New Roman"/>
          <w:b/>
          <w:bCs/>
        </w:rPr>
      </w:pPr>
      <w:r w:rsidRPr="00AE16C5">
        <w:rPr>
          <w:rFonts w:ascii="Times New Roman" w:hAnsi="Times New Roman" w:cs="Times New Roman"/>
          <w:b/>
          <w:bCs/>
        </w:rPr>
        <w:t>4.5 Detection of Mixed Infections</w:t>
      </w:r>
    </w:p>
    <w:p w14:paraId="10B94F27" w14:textId="71FCA06E" w:rsidR="00B932DF" w:rsidRPr="00AE16C5" w:rsidRDefault="00CD3622" w:rsidP="003C35DC">
      <w:pPr>
        <w:spacing w:after="0" w:line="240" w:lineRule="auto"/>
        <w:jc w:val="both"/>
        <w:rPr>
          <w:rFonts w:ascii="Times New Roman" w:hAnsi="Times New Roman" w:cs="Times New Roman"/>
        </w:rPr>
      </w:pPr>
      <w:r w:rsidRPr="00CD3622">
        <w:rPr>
          <w:rFonts w:ascii="Times New Roman" w:hAnsi="Times New Roman" w:cs="Times New Roman"/>
        </w:rPr>
        <w:t>Of the 17 PCR-confirmed mixed infections, microscopy detected only 5 cases, representing 29.4%, while rapid diagnostic tests (RDTs) identified 7 cases, accounting for 41.2%. These findings indicate that both microscopy and RDTs missed a substantial proportion of mixed infections when compared to PCR.</w:t>
      </w:r>
      <w:r>
        <w:rPr>
          <w:rFonts w:ascii="Times New Roman" w:hAnsi="Times New Roman" w:cs="Times New Roman"/>
        </w:rPr>
        <w:t xml:space="preserve"> </w:t>
      </w:r>
      <w:r w:rsidRPr="00CD3622">
        <w:rPr>
          <w:rFonts w:ascii="Times New Roman" w:hAnsi="Times New Roman" w:cs="Times New Roman"/>
        </w:rPr>
        <w:t>This indicates that approximately 70% of mixed infections were missed by microscopy, while 59% were missed by rapid diagnostic tests (RDTs). These findings highlight a substantial underestimation of mixed-species infections when relying on conventional diagnostic methods, reinforcing the superior sensitivity of PCR in detecting complex malaria infections.</w:t>
      </w:r>
    </w:p>
    <w:p w14:paraId="42686A59" w14:textId="77777777" w:rsidR="009B2701" w:rsidRDefault="009B2701" w:rsidP="003C35DC">
      <w:pPr>
        <w:spacing w:after="0" w:line="240" w:lineRule="auto"/>
        <w:jc w:val="both"/>
        <w:rPr>
          <w:rFonts w:ascii="Times New Roman" w:hAnsi="Times New Roman" w:cs="Times New Roman"/>
          <w:b/>
          <w:bCs/>
        </w:rPr>
      </w:pPr>
    </w:p>
    <w:p w14:paraId="301E3EDF" w14:textId="1866FF9A" w:rsidR="00B932DF" w:rsidRPr="00AE16C5" w:rsidRDefault="00B932DF" w:rsidP="003C35DC">
      <w:pPr>
        <w:spacing w:after="0" w:line="240" w:lineRule="auto"/>
        <w:jc w:val="both"/>
        <w:rPr>
          <w:rFonts w:ascii="Times New Roman" w:hAnsi="Times New Roman" w:cs="Times New Roman"/>
          <w:b/>
          <w:bCs/>
        </w:rPr>
      </w:pPr>
      <w:r w:rsidRPr="00AE16C5">
        <w:rPr>
          <w:rFonts w:ascii="Times New Roman" w:hAnsi="Times New Roman" w:cs="Times New Roman"/>
          <w:b/>
          <w:bCs/>
        </w:rPr>
        <w:t>4.6 Submicroscopic Infection Burden</w:t>
      </w:r>
    </w:p>
    <w:p w14:paraId="7E3AA480" w14:textId="77777777" w:rsidR="00CD3622" w:rsidRPr="00CD3622" w:rsidRDefault="00CD3622" w:rsidP="003C35DC">
      <w:pPr>
        <w:spacing w:after="0" w:line="240" w:lineRule="auto"/>
        <w:jc w:val="both"/>
        <w:rPr>
          <w:rFonts w:ascii="Times New Roman" w:hAnsi="Times New Roman" w:cs="Times New Roman"/>
        </w:rPr>
      </w:pPr>
      <w:r w:rsidRPr="00CD3622">
        <w:rPr>
          <w:rFonts w:ascii="Times New Roman" w:hAnsi="Times New Roman" w:cs="Times New Roman"/>
        </w:rPr>
        <w:t>PCR detected 67 infections that were negative by both microscopy and rapid diagnostic tests (RDTs). This represents 39.2% of all PCR-positive cases and highlights a substantial hidden reservoir of asymptomatic parasitemia that remains undetected by conventional diagnostic methods.</w:t>
      </w:r>
    </w:p>
    <w:p w14:paraId="71B5E87A" w14:textId="765F178E" w:rsidR="00B932DF" w:rsidRPr="00AE16C5" w:rsidRDefault="00B932DF" w:rsidP="003C35DC">
      <w:pPr>
        <w:spacing w:after="0" w:line="240" w:lineRule="auto"/>
        <w:jc w:val="both"/>
        <w:rPr>
          <w:rFonts w:ascii="Times New Roman" w:hAnsi="Times New Roman" w:cs="Times New Roman"/>
        </w:rPr>
      </w:pPr>
    </w:p>
    <w:p w14:paraId="6AA476D2" w14:textId="39470995" w:rsidR="00B932DF" w:rsidRPr="00AE16C5" w:rsidRDefault="00B932DF" w:rsidP="003C35DC">
      <w:pPr>
        <w:spacing w:after="0" w:line="240" w:lineRule="auto"/>
        <w:jc w:val="both"/>
        <w:rPr>
          <w:rFonts w:ascii="Times New Roman" w:hAnsi="Times New Roman" w:cs="Times New Roman"/>
          <w:b/>
          <w:bCs/>
        </w:rPr>
      </w:pPr>
      <w:r w:rsidRPr="00AE16C5">
        <w:rPr>
          <w:rFonts w:ascii="Times New Roman" w:hAnsi="Times New Roman" w:cs="Times New Roman"/>
          <w:b/>
          <w:bCs/>
        </w:rPr>
        <w:t>Summary of Key Results</w:t>
      </w:r>
    </w:p>
    <w:p w14:paraId="6C53037F" w14:textId="77777777" w:rsidR="00CD3622" w:rsidRDefault="00CD3622" w:rsidP="003C35DC">
      <w:pPr>
        <w:spacing w:after="0" w:line="240" w:lineRule="auto"/>
        <w:jc w:val="both"/>
        <w:rPr>
          <w:rFonts w:ascii="Times New Roman" w:hAnsi="Times New Roman" w:cs="Times New Roman"/>
        </w:rPr>
      </w:pPr>
      <w:r w:rsidRPr="00CD3622">
        <w:rPr>
          <w:rFonts w:ascii="Times New Roman" w:hAnsi="Times New Roman" w:cs="Times New Roman"/>
        </w:rPr>
        <w:t>The key findings of this study can be summarized as follows. PCR detected a significantly higher prevalence of malaria infections compared to both microscopy and rapid diagnostic tests (RDTs). Mixed infections accounted for nearly 10% of all PCR-confirmed cases, highlighting their epidemiological importance. Conventional diagnostic methods missed the majority of these mixed infections, indicating limited sensitivity in detecting multiple species. Additionally, nearly 40% of infections were submicroscopic, demonstrating the presence of a substantial hidden reservoir of parasitemia. Finally, ROC analysis showed that while conventional methods have good discriminatory ability, their sensitivity remains limited at low parasite densities.</w:t>
      </w:r>
    </w:p>
    <w:p w14:paraId="4987E768" w14:textId="77777777" w:rsidR="00CD3622" w:rsidRDefault="00CD3622" w:rsidP="003C35DC">
      <w:pPr>
        <w:spacing w:after="0" w:line="240" w:lineRule="auto"/>
        <w:jc w:val="both"/>
        <w:rPr>
          <w:rFonts w:ascii="Times New Roman" w:hAnsi="Times New Roman" w:cs="Times New Roman"/>
        </w:rPr>
      </w:pPr>
    </w:p>
    <w:p w14:paraId="197B2B99" w14:textId="47BA1A18" w:rsidR="004804E3" w:rsidRPr="00AE16C5" w:rsidRDefault="004804E3" w:rsidP="003C35DC">
      <w:pPr>
        <w:spacing w:after="0" w:line="240" w:lineRule="auto"/>
        <w:jc w:val="both"/>
        <w:rPr>
          <w:rFonts w:ascii="Times New Roman" w:hAnsi="Times New Roman" w:cs="Times New Roman"/>
          <w:b/>
          <w:bCs/>
        </w:rPr>
      </w:pPr>
      <w:r w:rsidRPr="00AE16C5">
        <w:rPr>
          <w:rFonts w:ascii="Times New Roman" w:hAnsi="Times New Roman" w:cs="Times New Roman"/>
          <w:b/>
          <w:bCs/>
        </w:rPr>
        <w:t>5. Discussion</w:t>
      </w:r>
    </w:p>
    <w:p w14:paraId="25445185" w14:textId="77777777" w:rsidR="004804E3" w:rsidRPr="00AE16C5" w:rsidRDefault="004804E3" w:rsidP="003C35DC">
      <w:pPr>
        <w:spacing w:after="0" w:line="240" w:lineRule="auto"/>
        <w:jc w:val="both"/>
        <w:rPr>
          <w:rFonts w:ascii="Times New Roman" w:hAnsi="Times New Roman" w:cs="Times New Roman"/>
        </w:rPr>
      </w:pPr>
      <w:r w:rsidRPr="00AE16C5">
        <w:rPr>
          <w:rFonts w:ascii="Times New Roman" w:hAnsi="Times New Roman" w:cs="Times New Roman"/>
        </w:rPr>
        <w:t xml:space="preserve">This study demonstrates that PCR-based molecular diagnostics substantially improve detection of asymptomatic and mixed </w:t>
      </w:r>
      <w:r w:rsidRPr="00AE16C5">
        <w:rPr>
          <w:rFonts w:ascii="Times New Roman" w:hAnsi="Times New Roman" w:cs="Times New Roman"/>
          <w:i/>
          <w:iCs/>
        </w:rPr>
        <w:t>Plasmodium</w:t>
      </w:r>
      <w:r w:rsidRPr="00AE16C5">
        <w:rPr>
          <w:rFonts w:ascii="Times New Roman" w:hAnsi="Times New Roman" w:cs="Times New Roman"/>
        </w:rPr>
        <w:t xml:space="preserve"> infections compared to conventional microscopy and rapid diagnostic tests (RDTs). The findings highlight the considerable burden of submicroscopic </w:t>
      </w:r>
      <w:r w:rsidRPr="00AE16C5">
        <w:rPr>
          <w:rFonts w:ascii="Times New Roman" w:hAnsi="Times New Roman" w:cs="Times New Roman"/>
        </w:rPr>
        <w:lastRenderedPageBreak/>
        <w:t>parasitemia and the epidemiological importance of mixed-species infections in malaria-endemic settings.</w:t>
      </w:r>
    </w:p>
    <w:p w14:paraId="48F812FD" w14:textId="39178A70" w:rsidR="004804E3" w:rsidRPr="00AE16C5" w:rsidRDefault="004804E3" w:rsidP="003C35DC">
      <w:pPr>
        <w:spacing w:after="0" w:line="240" w:lineRule="auto"/>
        <w:jc w:val="both"/>
        <w:rPr>
          <w:rFonts w:ascii="Times New Roman" w:hAnsi="Times New Roman" w:cs="Times New Roman"/>
        </w:rPr>
      </w:pPr>
    </w:p>
    <w:p w14:paraId="6FFD4C2C" w14:textId="77777777" w:rsidR="004804E3" w:rsidRPr="00AE16C5" w:rsidRDefault="004804E3" w:rsidP="003C35DC">
      <w:pPr>
        <w:spacing w:after="0" w:line="240" w:lineRule="auto"/>
        <w:jc w:val="both"/>
        <w:rPr>
          <w:rFonts w:ascii="Times New Roman" w:hAnsi="Times New Roman" w:cs="Times New Roman"/>
          <w:b/>
          <w:bCs/>
        </w:rPr>
      </w:pPr>
      <w:r w:rsidRPr="00AE16C5">
        <w:rPr>
          <w:rFonts w:ascii="Times New Roman" w:hAnsi="Times New Roman" w:cs="Times New Roman"/>
          <w:b/>
          <w:bCs/>
        </w:rPr>
        <w:t>5.1 Underestimation of Infection Burden by Conventional Diagnostics</w:t>
      </w:r>
    </w:p>
    <w:p w14:paraId="63603323" w14:textId="77777777" w:rsidR="004804E3" w:rsidRPr="00AE16C5" w:rsidRDefault="004804E3" w:rsidP="003C35DC">
      <w:pPr>
        <w:spacing w:after="0" w:line="240" w:lineRule="auto"/>
        <w:jc w:val="both"/>
        <w:rPr>
          <w:rFonts w:ascii="Times New Roman" w:hAnsi="Times New Roman" w:cs="Times New Roman"/>
        </w:rPr>
      </w:pPr>
      <w:r w:rsidRPr="00AE16C5">
        <w:rPr>
          <w:rFonts w:ascii="Times New Roman" w:hAnsi="Times New Roman" w:cs="Times New Roman"/>
        </w:rPr>
        <w:t>PCR detected a significantly higher prevalence (28.5%) compared to microscopy (17.3%) and RDT (19.1%). Nearly 40% of PCR-positive cases were submicroscopic, meaning they were undetectable by routine field diagnostics. This gap reflects the limited sensitivity of microscopy and RDTs at low parasite densities, particularly in asymptomatic individuals.</w:t>
      </w:r>
    </w:p>
    <w:p w14:paraId="7C96A8FE" w14:textId="77777777" w:rsidR="004804E3" w:rsidRPr="00AE16C5" w:rsidRDefault="004804E3" w:rsidP="003C35DC">
      <w:pPr>
        <w:spacing w:after="0" w:line="240" w:lineRule="auto"/>
        <w:jc w:val="both"/>
        <w:rPr>
          <w:rFonts w:ascii="Times New Roman" w:hAnsi="Times New Roman" w:cs="Times New Roman"/>
        </w:rPr>
      </w:pPr>
      <w:r w:rsidRPr="00AE16C5">
        <w:rPr>
          <w:rFonts w:ascii="Times New Roman" w:hAnsi="Times New Roman" w:cs="Times New Roman"/>
        </w:rPr>
        <w:t>Although microscopy and RDT showed high specificity, their reduced sensitivity indicates that reliance on these methods alone may lead to systematic underestimation of infection prevalence. In elimination-phase settings, where residual transmission is often driven by low-density infections, such underestimation can undermine control strategies.</w:t>
      </w:r>
    </w:p>
    <w:p w14:paraId="3ADE0BF7" w14:textId="77777777" w:rsidR="004804E3" w:rsidRPr="00AE16C5" w:rsidRDefault="004804E3" w:rsidP="003C35DC">
      <w:pPr>
        <w:spacing w:after="0" w:line="240" w:lineRule="auto"/>
        <w:jc w:val="both"/>
        <w:rPr>
          <w:rFonts w:ascii="Times New Roman" w:hAnsi="Times New Roman" w:cs="Times New Roman"/>
        </w:rPr>
      </w:pPr>
      <w:r w:rsidRPr="00AE16C5">
        <w:rPr>
          <w:rFonts w:ascii="Times New Roman" w:hAnsi="Times New Roman" w:cs="Times New Roman"/>
        </w:rPr>
        <w:t>The ROC analysis demonstrated strong discriminatory performance overall; however, the inability of conventional methods to consistently detect low-level parasitemia limits their effectiveness for surveillance in asymptomatic populations.</w:t>
      </w:r>
    </w:p>
    <w:p w14:paraId="737DC796" w14:textId="5726BB3C" w:rsidR="004804E3" w:rsidRPr="00AE16C5" w:rsidRDefault="004804E3" w:rsidP="003C35DC">
      <w:pPr>
        <w:spacing w:after="0" w:line="240" w:lineRule="auto"/>
        <w:jc w:val="both"/>
        <w:rPr>
          <w:rFonts w:ascii="Times New Roman" w:hAnsi="Times New Roman" w:cs="Times New Roman"/>
        </w:rPr>
      </w:pPr>
    </w:p>
    <w:p w14:paraId="3B5EC2EC" w14:textId="77777777" w:rsidR="004804E3" w:rsidRPr="00AE16C5" w:rsidRDefault="004804E3" w:rsidP="003C35DC">
      <w:pPr>
        <w:spacing w:after="0" w:line="240" w:lineRule="auto"/>
        <w:jc w:val="both"/>
        <w:rPr>
          <w:rFonts w:ascii="Times New Roman" w:hAnsi="Times New Roman" w:cs="Times New Roman"/>
          <w:b/>
          <w:bCs/>
        </w:rPr>
      </w:pPr>
      <w:r w:rsidRPr="00AE16C5">
        <w:rPr>
          <w:rFonts w:ascii="Times New Roman" w:hAnsi="Times New Roman" w:cs="Times New Roman"/>
          <w:b/>
          <w:bCs/>
        </w:rPr>
        <w:t>5.2 Epidemiological Significance of Mixed Infections</w:t>
      </w:r>
    </w:p>
    <w:p w14:paraId="3D68B445" w14:textId="77777777" w:rsidR="004804E3" w:rsidRPr="00AE16C5" w:rsidRDefault="004804E3" w:rsidP="003C35DC">
      <w:pPr>
        <w:spacing w:after="0" w:line="240" w:lineRule="auto"/>
        <w:jc w:val="both"/>
        <w:rPr>
          <w:rFonts w:ascii="Times New Roman" w:hAnsi="Times New Roman" w:cs="Times New Roman"/>
        </w:rPr>
      </w:pPr>
      <w:r w:rsidRPr="00AE16C5">
        <w:rPr>
          <w:rFonts w:ascii="Times New Roman" w:hAnsi="Times New Roman" w:cs="Times New Roman"/>
        </w:rPr>
        <w:t>Mixed infections accounted for approximately 10% of PCR-confirmed cases, yet the majority were missed by microscopy and RDT. This finding is consistent with previous studies indicating that mixed-species infections are frequently underdiagnosed.</w:t>
      </w:r>
    </w:p>
    <w:p w14:paraId="74D8A16A" w14:textId="77777777" w:rsidR="004804E3" w:rsidRPr="00AE16C5" w:rsidRDefault="004804E3" w:rsidP="003C35DC">
      <w:pPr>
        <w:spacing w:after="0" w:line="240" w:lineRule="auto"/>
        <w:jc w:val="both"/>
        <w:rPr>
          <w:rFonts w:ascii="Times New Roman" w:hAnsi="Times New Roman" w:cs="Times New Roman"/>
        </w:rPr>
      </w:pPr>
      <w:r w:rsidRPr="00AE16C5">
        <w:rPr>
          <w:rFonts w:ascii="Times New Roman" w:hAnsi="Times New Roman" w:cs="Times New Roman"/>
        </w:rPr>
        <w:t xml:space="preserve">The predominance of </w:t>
      </w:r>
      <w:r w:rsidRPr="00AE16C5">
        <w:rPr>
          <w:rFonts w:ascii="Times New Roman" w:hAnsi="Times New Roman" w:cs="Times New Roman"/>
          <w:i/>
          <w:iCs/>
        </w:rPr>
        <w:t>P. falciparum</w:t>
      </w:r>
      <w:r w:rsidRPr="00AE16C5">
        <w:rPr>
          <w:rFonts w:ascii="Times New Roman" w:hAnsi="Times New Roman" w:cs="Times New Roman"/>
        </w:rPr>
        <w:t xml:space="preserve"> + </w:t>
      </w:r>
      <w:r w:rsidRPr="00AE16C5">
        <w:rPr>
          <w:rFonts w:ascii="Times New Roman" w:hAnsi="Times New Roman" w:cs="Times New Roman"/>
          <w:i/>
          <w:iCs/>
        </w:rPr>
        <w:t>P. malariae</w:t>
      </w:r>
      <w:r w:rsidRPr="00AE16C5">
        <w:rPr>
          <w:rFonts w:ascii="Times New Roman" w:hAnsi="Times New Roman" w:cs="Times New Roman"/>
        </w:rPr>
        <w:t xml:space="preserve"> combinations suggests co-circulation of species and potential ecological interaction within hosts. Mixed infections may influence parasite competition, immune modulation, and transmission efficiency. Undetected non-falciparum species may persist following falciparum-targeted treatment, maintaining transmission reservoirs.</w:t>
      </w:r>
    </w:p>
    <w:p w14:paraId="35B5645B" w14:textId="77777777" w:rsidR="004804E3" w:rsidRPr="00AE16C5" w:rsidRDefault="004804E3" w:rsidP="003C35DC">
      <w:pPr>
        <w:spacing w:after="0" w:line="240" w:lineRule="auto"/>
        <w:jc w:val="both"/>
        <w:rPr>
          <w:rFonts w:ascii="Times New Roman" w:hAnsi="Times New Roman" w:cs="Times New Roman"/>
        </w:rPr>
      </w:pPr>
      <w:r w:rsidRPr="00AE16C5">
        <w:rPr>
          <w:rFonts w:ascii="Times New Roman" w:hAnsi="Times New Roman" w:cs="Times New Roman"/>
        </w:rPr>
        <w:t xml:space="preserve">Failure to accurately detect mixed infections may also affect treatment policies. Species such as </w:t>
      </w:r>
      <w:r w:rsidRPr="00AE16C5">
        <w:rPr>
          <w:rFonts w:ascii="Times New Roman" w:hAnsi="Times New Roman" w:cs="Times New Roman"/>
          <w:i/>
          <w:iCs/>
        </w:rPr>
        <w:t>P. vivax</w:t>
      </w:r>
      <w:r w:rsidRPr="00AE16C5">
        <w:rPr>
          <w:rFonts w:ascii="Times New Roman" w:hAnsi="Times New Roman" w:cs="Times New Roman"/>
        </w:rPr>
        <w:t xml:space="preserve"> and </w:t>
      </w:r>
      <w:r w:rsidRPr="00AE16C5">
        <w:rPr>
          <w:rFonts w:ascii="Times New Roman" w:hAnsi="Times New Roman" w:cs="Times New Roman"/>
          <w:i/>
          <w:iCs/>
        </w:rPr>
        <w:t xml:space="preserve">P. </w:t>
      </w:r>
      <w:proofErr w:type="spellStart"/>
      <w:r w:rsidRPr="00AE16C5">
        <w:rPr>
          <w:rFonts w:ascii="Times New Roman" w:hAnsi="Times New Roman" w:cs="Times New Roman"/>
          <w:i/>
          <w:iCs/>
        </w:rPr>
        <w:t>ovale</w:t>
      </w:r>
      <w:proofErr w:type="spellEnd"/>
      <w:r w:rsidRPr="00AE16C5">
        <w:rPr>
          <w:rFonts w:ascii="Times New Roman" w:hAnsi="Times New Roman" w:cs="Times New Roman"/>
        </w:rPr>
        <w:t xml:space="preserve"> require additional therapy targeting hypnozoite stages. Incomplete identification could result in relapse and ongoing transmission.</w:t>
      </w:r>
    </w:p>
    <w:p w14:paraId="0AD7D2D9" w14:textId="03E9D0C1" w:rsidR="004804E3" w:rsidRPr="00AE16C5" w:rsidRDefault="004804E3" w:rsidP="003C35DC">
      <w:pPr>
        <w:spacing w:after="0" w:line="240" w:lineRule="auto"/>
        <w:jc w:val="both"/>
        <w:rPr>
          <w:rFonts w:ascii="Times New Roman" w:hAnsi="Times New Roman" w:cs="Times New Roman"/>
        </w:rPr>
      </w:pPr>
    </w:p>
    <w:p w14:paraId="14C095DE" w14:textId="77777777" w:rsidR="004804E3" w:rsidRPr="00AE16C5" w:rsidRDefault="004804E3" w:rsidP="003C35DC">
      <w:pPr>
        <w:spacing w:after="0" w:line="240" w:lineRule="auto"/>
        <w:jc w:val="both"/>
        <w:rPr>
          <w:rFonts w:ascii="Times New Roman" w:hAnsi="Times New Roman" w:cs="Times New Roman"/>
          <w:b/>
          <w:bCs/>
        </w:rPr>
      </w:pPr>
      <w:r w:rsidRPr="00AE16C5">
        <w:rPr>
          <w:rFonts w:ascii="Times New Roman" w:hAnsi="Times New Roman" w:cs="Times New Roman"/>
          <w:b/>
          <w:bCs/>
        </w:rPr>
        <w:t>5.3 Role of Asymptomatic Carriers in Transmission</w:t>
      </w:r>
    </w:p>
    <w:p w14:paraId="72EA255D" w14:textId="64467C46" w:rsidR="004804E3" w:rsidRPr="00AE16C5" w:rsidRDefault="004804E3" w:rsidP="003C35DC">
      <w:pPr>
        <w:spacing w:after="0" w:line="240" w:lineRule="auto"/>
        <w:jc w:val="both"/>
        <w:rPr>
          <w:rFonts w:ascii="Times New Roman" w:hAnsi="Times New Roman" w:cs="Times New Roman"/>
        </w:rPr>
      </w:pPr>
      <w:r w:rsidRPr="00AE16C5">
        <w:rPr>
          <w:rFonts w:ascii="Times New Roman" w:hAnsi="Times New Roman" w:cs="Times New Roman"/>
        </w:rPr>
        <w:t>The high prevalence of asymptomatic infection detected by PCR underscores the importance of subclinical reservoirs in sustaining malaria transmission. Individuals without symptoms rarely seek treatment, allowing parasites to persist within communities. Even low parasite densities can infect mosquitoes, particularly in high-transmission settings.</w:t>
      </w:r>
      <w:r w:rsidR="00CD3622">
        <w:rPr>
          <w:rFonts w:ascii="Times New Roman" w:hAnsi="Times New Roman" w:cs="Times New Roman"/>
        </w:rPr>
        <w:t xml:space="preserve"> </w:t>
      </w:r>
      <w:r w:rsidRPr="00AE16C5">
        <w:rPr>
          <w:rFonts w:ascii="Times New Roman" w:hAnsi="Times New Roman" w:cs="Times New Roman"/>
        </w:rPr>
        <w:t>As countries transition from malaria control to elimination, the relative contribution of asymptomatic carriers becomes increasingly significant. Detecting and addressing these hidden infections is critical to interrupt transmission chains.</w:t>
      </w:r>
    </w:p>
    <w:p w14:paraId="1BA84411" w14:textId="3BFA3B6E" w:rsidR="004804E3" w:rsidRPr="00AE16C5" w:rsidRDefault="004804E3" w:rsidP="003C35DC">
      <w:pPr>
        <w:spacing w:after="0" w:line="240" w:lineRule="auto"/>
        <w:jc w:val="both"/>
        <w:rPr>
          <w:rFonts w:ascii="Times New Roman" w:hAnsi="Times New Roman" w:cs="Times New Roman"/>
        </w:rPr>
      </w:pPr>
    </w:p>
    <w:p w14:paraId="21480D94" w14:textId="77777777" w:rsidR="004804E3" w:rsidRPr="00AE16C5" w:rsidRDefault="004804E3" w:rsidP="003C35DC">
      <w:pPr>
        <w:spacing w:after="0" w:line="240" w:lineRule="auto"/>
        <w:jc w:val="both"/>
        <w:rPr>
          <w:rFonts w:ascii="Times New Roman" w:hAnsi="Times New Roman" w:cs="Times New Roman"/>
          <w:b/>
          <w:bCs/>
        </w:rPr>
      </w:pPr>
      <w:r w:rsidRPr="00AE16C5">
        <w:rPr>
          <w:rFonts w:ascii="Times New Roman" w:hAnsi="Times New Roman" w:cs="Times New Roman"/>
          <w:b/>
          <w:bCs/>
        </w:rPr>
        <w:t>5.4 Implications for Malaria Elimination Strategies</w:t>
      </w:r>
    </w:p>
    <w:p w14:paraId="63F52475" w14:textId="75841E68" w:rsidR="00CD3622" w:rsidRPr="00CD3622" w:rsidRDefault="00CD3622" w:rsidP="003C35DC">
      <w:pPr>
        <w:spacing w:after="0" w:line="240" w:lineRule="auto"/>
        <w:jc w:val="both"/>
        <w:rPr>
          <w:rFonts w:ascii="Times New Roman" w:hAnsi="Times New Roman" w:cs="Times New Roman"/>
        </w:rPr>
      </w:pPr>
      <w:r w:rsidRPr="00CD3622">
        <w:rPr>
          <w:rFonts w:ascii="Times New Roman" w:hAnsi="Times New Roman" w:cs="Times New Roman"/>
        </w:rPr>
        <w:t>The findings suggest that conventional diagnostic approaches may be insufficient for malaria elimination programs. While microscopy and rapid diagnostic tests (RDTs) remain valuable for routine clinical case management, molecular tools provide more sensitive and reliable data for surveillance purposes.</w:t>
      </w:r>
      <w:r>
        <w:rPr>
          <w:rFonts w:ascii="Times New Roman" w:hAnsi="Times New Roman" w:cs="Times New Roman"/>
        </w:rPr>
        <w:t xml:space="preserve"> </w:t>
      </w:r>
      <w:r w:rsidRPr="00CD3622">
        <w:rPr>
          <w:rFonts w:ascii="Times New Roman" w:hAnsi="Times New Roman" w:cs="Times New Roman"/>
        </w:rPr>
        <w:t xml:space="preserve">Integrating PCR or other highly sensitive molecular techniques into sentinel surveillance systems could play a crucial role in strengthening malaria control efforts. Such approaches can help identify hidden parasite reservoirs, monitor shifts in </w:t>
      </w:r>
      <w:r w:rsidRPr="00CD3622">
        <w:rPr>
          <w:rFonts w:ascii="Times New Roman" w:hAnsi="Times New Roman" w:cs="Times New Roman"/>
          <w:i/>
          <w:iCs/>
        </w:rPr>
        <w:t>Plasmodium</w:t>
      </w:r>
      <w:r w:rsidRPr="00CD3622">
        <w:rPr>
          <w:rFonts w:ascii="Times New Roman" w:hAnsi="Times New Roman" w:cs="Times New Roman"/>
        </w:rPr>
        <w:t xml:space="preserve"> species distribution, detect mixed infections with greater accuracy, and evaluate the effectiveness of ongoing interventions.</w:t>
      </w:r>
    </w:p>
    <w:p w14:paraId="4E8482A1" w14:textId="77777777" w:rsidR="00CD3622" w:rsidRPr="00CD3622" w:rsidRDefault="00CD3622" w:rsidP="003C35DC">
      <w:pPr>
        <w:spacing w:after="0" w:line="240" w:lineRule="auto"/>
        <w:jc w:val="both"/>
        <w:rPr>
          <w:rFonts w:ascii="Times New Roman" w:hAnsi="Times New Roman" w:cs="Times New Roman"/>
        </w:rPr>
      </w:pPr>
      <w:r w:rsidRPr="00CD3622">
        <w:rPr>
          <w:rFonts w:ascii="Times New Roman" w:hAnsi="Times New Roman" w:cs="Times New Roman"/>
        </w:rPr>
        <w:lastRenderedPageBreak/>
        <w:t>In regions approaching elimination, targeted screening using molecular diagnostics may significantly improve case detection, reduce undetected transmission, and help prevent disease resurgence.</w:t>
      </w:r>
    </w:p>
    <w:p w14:paraId="6D7D7E7F" w14:textId="09C6B119" w:rsidR="004804E3" w:rsidRPr="00AE16C5" w:rsidRDefault="004804E3" w:rsidP="003C35DC">
      <w:pPr>
        <w:spacing w:after="0" w:line="240" w:lineRule="auto"/>
        <w:jc w:val="both"/>
        <w:rPr>
          <w:rFonts w:ascii="Times New Roman" w:hAnsi="Times New Roman" w:cs="Times New Roman"/>
        </w:rPr>
      </w:pPr>
    </w:p>
    <w:p w14:paraId="026AD1B7" w14:textId="77777777" w:rsidR="004804E3" w:rsidRPr="00AE16C5" w:rsidRDefault="004804E3" w:rsidP="003C35DC">
      <w:pPr>
        <w:spacing w:after="0" w:line="240" w:lineRule="auto"/>
        <w:jc w:val="both"/>
        <w:rPr>
          <w:rFonts w:ascii="Times New Roman" w:hAnsi="Times New Roman" w:cs="Times New Roman"/>
          <w:b/>
          <w:bCs/>
        </w:rPr>
      </w:pPr>
      <w:r w:rsidRPr="00AE16C5">
        <w:rPr>
          <w:rFonts w:ascii="Times New Roman" w:hAnsi="Times New Roman" w:cs="Times New Roman"/>
          <w:b/>
          <w:bCs/>
        </w:rPr>
        <w:t>5.5 Diagnostic Policy Considerations</w:t>
      </w:r>
    </w:p>
    <w:p w14:paraId="56FC0B75" w14:textId="4772FEFA" w:rsidR="004804E3" w:rsidRPr="00AE16C5" w:rsidRDefault="004804E3" w:rsidP="003C35DC">
      <w:pPr>
        <w:spacing w:after="0" w:line="240" w:lineRule="auto"/>
        <w:jc w:val="both"/>
        <w:rPr>
          <w:rFonts w:ascii="Times New Roman" w:hAnsi="Times New Roman" w:cs="Times New Roman"/>
        </w:rPr>
      </w:pPr>
      <w:r w:rsidRPr="00AE16C5">
        <w:rPr>
          <w:rFonts w:ascii="Times New Roman" w:hAnsi="Times New Roman" w:cs="Times New Roman"/>
        </w:rPr>
        <w:t>Routine PCR screening for all patients may not be feasible in many endemic regions due to cost and infrastructure constraints. However, strategic implementation</w:t>
      </w:r>
      <w:r w:rsidR="00CD3622">
        <w:rPr>
          <w:rFonts w:ascii="Times New Roman" w:hAnsi="Times New Roman" w:cs="Times New Roman"/>
        </w:rPr>
        <w:t xml:space="preserve"> </w:t>
      </w:r>
      <w:r w:rsidRPr="00AE16C5">
        <w:rPr>
          <w:rFonts w:ascii="Times New Roman" w:hAnsi="Times New Roman" w:cs="Times New Roman"/>
        </w:rPr>
        <w:t>such as periodic community surveys, elimination-phase monitoring, or outbreak investigations</w:t>
      </w:r>
      <w:r w:rsidR="00CD3622">
        <w:rPr>
          <w:rFonts w:ascii="Times New Roman" w:hAnsi="Times New Roman" w:cs="Times New Roman"/>
        </w:rPr>
        <w:t xml:space="preserve"> </w:t>
      </w:r>
      <w:r w:rsidRPr="00AE16C5">
        <w:rPr>
          <w:rFonts w:ascii="Times New Roman" w:hAnsi="Times New Roman" w:cs="Times New Roman"/>
        </w:rPr>
        <w:t>could significantly improve surveillance accuracy.</w:t>
      </w:r>
    </w:p>
    <w:p w14:paraId="1E506744" w14:textId="77777777" w:rsidR="004804E3" w:rsidRPr="00AE16C5" w:rsidRDefault="004804E3" w:rsidP="003C35DC">
      <w:pPr>
        <w:spacing w:after="0" w:line="240" w:lineRule="auto"/>
        <w:jc w:val="both"/>
        <w:rPr>
          <w:rFonts w:ascii="Times New Roman" w:hAnsi="Times New Roman" w:cs="Times New Roman"/>
        </w:rPr>
      </w:pPr>
      <w:r w:rsidRPr="00AE16C5">
        <w:rPr>
          <w:rFonts w:ascii="Times New Roman" w:hAnsi="Times New Roman" w:cs="Times New Roman"/>
        </w:rPr>
        <w:t>Advancements in portable molecular platforms and isothermal amplification methods may facilitate field-based molecular testing in the future.</w:t>
      </w:r>
    </w:p>
    <w:p w14:paraId="0D966B6E" w14:textId="2684C029" w:rsidR="004804E3" w:rsidRPr="00AE16C5" w:rsidRDefault="004804E3" w:rsidP="003C35DC">
      <w:pPr>
        <w:spacing w:after="0" w:line="240" w:lineRule="auto"/>
        <w:jc w:val="both"/>
        <w:rPr>
          <w:rFonts w:ascii="Times New Roman" w:hAnsi="Times New Roman" w:cs="Times New Roman"/>
        </w:rPr>
      </w:pPr>
    </w:p>
    <w:p w14:paraId="5EA418A0" w14:textId="77777777" w:rsidR="004804E3" w:rsidRPr="00AE16C5" w:rsidRDefault="004804E3" w:rsidP="003C35DC">
      <w:pPr>
        <w:spacing w:after="0" w:line="240" w:lineRule="auto"/>
        <w:jc w:val="both"/>
        <w:rPr>
          <w:rFonts w:ascii="Times New Roman" w:hAnsi="Times New Roman" w:cs="Times New Roman"/>
          <w:b/>
          <w:bCs/>
        </w:rPr>
      </w:pPr>
      <w:r w:rsidRPr="00AE16C5">
        <w:rPr>
          <w:rFonts w:ascii="Times New Roman" w:hAnsi="Times New Roman" w:cs="Times New Roman"/>
          <w:b/>
          <w:bCs/>
        </w:rPr>
        <w:t>5.6 Study Strengths and Limitations</w:t>
      </w:r>
    </w:p>
    <w:p w14:paraId="291A807B" w14:textId="3512417C" w:rsidR="00CD3622" w:rsidRPr="00CD3622" w:rsidRDefault="00CD3622" w:rsidP="003C35DC">
      <w:pPr>
        <w:spacing w:after="0" w:line="240" w:lineRule="auto"/>
        <w:jc w:val="both"/>
        <w:rPr>
          <w:rFonts w:ascii="Times New Roman" w:hAnsi="Times New Roman" w:cs="Times New Roman"/>
        </w:rPr>
      </w:pPr>
      <w:r w:rsidRPr="00CD3622">
        <w:rPr>
          <w:rFonts w:ascii="Times New Roman" w:hAnsi="Times New Roman" w:cs="Times New Roman"/>
        </w:rPr>
        <w:t>The study demonstrates several important strengths that enhance its validity and reliability. The use of community-based sampling allowed for the inclusion of asymptomatic individuals, providing a more realistic representation of hidden malaria reservoirs. A direct comparison of three diagnostic methods</w:t>
      </w:r>
      <w:r w:rsidR="009B2701">
        <w:rPr>
          <w:rFonts w:ascii="Times New Roman" w:hAnsi="Times New Roman" w:cs="Times New Roman"/>
        </w:rPr>
        <w:t xml:space="preserve"> </w:t>
      </w:r>
      <w:r w:rsidRPr="00CD3622">
        <w:rPr>
          <w:rFonts w:ascii="Times New Roman" w:hAnsi="Times New Roman" w:cs="Times New Roman"/>
        </w:rPr>
        <w:t>microscopy, rapid diagnostic tests (RDTs), and PCR</w:t>
      </w:r>
      <w:r>
        <w:rPr>
          <w:rFonts w:ascii="Times New Roman" w:hAnsi="Times New Roman" w:cs="Times New Roman"/>
        </w:rPr>
        <w:t xml:space="preserve"> </w:t>
      </w:r>
      <w:r w:rsidRPr="00CD3622">
        <w:rPr>
          <w:rFonts w:ascii="Times New Roman" w:hAnsi="Times New Roman" w:cs="Times New Roman"/>
        </w:rPr>
        <w:t>enabled a comprehensive evaluation of their relative performance. In addition, molecular techniques allowed for species-specific identification, while the quantification of mixed infection prevalence added valuable epidemiological insight. The inclusion of statistical validation using ROC analysis further strengthened the robustness of the findings.</w:t>
      </w:r>
    </w:p>
    <w:p w14:paraId="78BFB796" w14:textId="77777777" w:rsidR="00CD3622" w:rsidRPr="00CD3622" w:rsidRDefault="00CD3622" w:rsidP="003C35DC">
      <w:pPr>
        <w:spacing w:after="0" w:line="240" w:lineRule="auto"/>
        <w:jc w:val="both"/>
        <w:rPr>
          <w:rFonts w:ascii="Times New Roman" w:hAnsi="Times New Roman" w:cs="Times New Roman"/>
        </w:rPr>
      </w:pPr>
      <w:r w:rsidRPr="00CD3622">
        <w:rPr>
          <w:rFonts w:ascii="Times New Roman" w:hAnsi="Times New Roman" w:cs="Times New Roman"/>
        </w:rPr>
        <w:t>However, certain limitations should be acknowledged. The cross-sectional design restricts the ability to assess temporal changes in infection dynamics. The study was also conducted within a single geographic setting, which may limit generalizability to other regions. Furthermore, the resource-intensive nature of PCR may constrain its scalability in low-resource settings. The absence of quantitative parasite density analysis using qPCR also limits detailed assessment of infection intensity.</w:t>
      </w:r>
    </w:p>
    <w:p w14:paraId="6DF2EB94" w14:textId="77777777" w:rsidR="00CD3622" w:rsidRPr="00CD3622" w:rsidRDefault="00CD3622" w:rsidP="003C35DC">
      <w:pPr>
        <w:spacing w:after="0" w:line="240" w:lineRule="auto"/>
        <w:jc w:val="both"/>
        <w:rPr>
          <w:rFonts w:ascii="Times New Roman" w:hAnsi="Times New Roman" w:cs="Times New Roman"/>
        </w:rPr>
      </w:pPr>
      <w:r w:rsidRPr="00CD3622">
        <w:rPr>
          <w:rFonts w:ascii="Times New Roman" w:hAnsi="Times New Roman" w:cs="Times New Roman"/>
        </w:rPr>
        <w:t>Future research incorporating longitudinal study designs and advanced quantitative molecular techniques would provide deeper insights into malaria transmission dynamics and improve the applicability of findings across diverse settings.</w:t>
      </w:r>
    </w:p>
    <w:p w14:paraId="46130CC7" w14:textId="4DCCA196" w:rsidR="004804E3" w:rsidRPr="00AE16C5" w:rsidRDefault="004804E3" w:rsidP="003C35DC">
      <w:pPr>
        <w:spacing w:after="0" w:line="240" w:lineRule="auto"/>
        <w:jc w:val="both"/>
        <w:rPr>
          <w:rFonts w:ascii="Times New Roman" w:hAnsi="Times New Roman" w:cs="Times New Roman"/>
        </w:rPr>
      </w:pPr>
    </w:p>
    <w:p w14:paraId="63DE1086" w14:textId="77777777" w:rsidR="004804E3" w:rsidRPr="00AE16C5" w:rsidRDefault="004804E3" w:rsidP="003C35DC">
      <w:pPr>
        <w:spacing w:after="0" w:line="240" w:lineRule="auto"/>
        <w:jc w:val="both"/>
        <w:rPr>
          <w:rFonts w:ascii="Times New Roman" w:hAnsi="Times New Roman" w:cs="Times New Roman"/>
          <w:b/>
          <w:bCs/>
        </w:rPr>
      </w:pPr>
      <w:r w:rsidRPr="00AE16C5">
        <w:rPr>
          <w:rFonts w:ascii="Times New Roman" w:hAnsi="Times New Roman" w:cs="Times New Roman"/>
          <w:b/>
          <w:bCs/>
        </w:rPr>
        <w:t>5.7 Broader Scientific Contribution</w:t>
      </w:r>
    </w:p>
    <w:p w14:paraId="592CC38A" w14:textId="77777777" w:rsidR="004804E3" w:rsidRPr="00AE16C5" w:rsidRDefault="004804E3" w:rsidP="003C35DC">
      <w:pPr>
        <w:spacing w:after="0" w:line="240" w:lineRule="auto"/>
        <w:jc w:val="both"/>
        <w:rPr>
          <w:rFonts w:ascii="Times New Roman" w:hAnsi="Times New Roman" w:cs="Times New Roman"/>
        </w:rPr>
      </w:pPr>
      <w:r w:rsidRPr="00AE16C5">
        <w:rPr>
          <w:rFonts w:ascii="Times New Roman" w:hAnsi="Times New Roman" w:cs="Times New Roman"/>
        </w:rPr>
        <w:t xml:space="preserve">This study contributes to growing evidence that asymptomatic and mixed </w:t>
      </w:r>
      <w:r w:rsidRPr="00AE16C5">
        <w:rPr>
          <w:rFonts w:ascii="Times New Roman" w:hAnsi="Times New Roman" w:cs="Times New Roman"/>
          <w:i/>
          <w:iCs/>
        </w:rPr>
        <w:t>Plasmodium</w:t>
      </w:r>
      <w:r w:rsidRPr="00AE16C5">
        <w:rPr>
          <w:rFonts w:ascii="Times New Roman" w:hAnsi="Times New Roman" w:cs="Times New Roman"/>
        </w:rPr>
        <w:t xml:space="preserve"> infections are more prevalent than previously estimated. By demonstrating the diagnostic gap between conventional and molecular methods, the findings reinforce the need to integrate sensitive surveillance tools into elimination frameworks.</w:t>
      </w:r>
    </w:p>
    <w:p w14:paraId="25565D53" w14:textId="77777777" w:rsidR="004804E3" w:rsidRPr="00AE16C5" w:rsidRDefault="004804E3" w:rsidP="003C35DC">
      <w:pPr>
        <w:spacing w:after="0" w:line="240" w:lineRule="auto"/>
        <w:jc w:val="both"/>
        <w:rPr>
          <w:rFonts w:ascii="Times New Roman" w:hAnsi="Times New Roman" w:cs="Times New Roman"/>
        </w:rPr>
      </w:pPr>
      <w:r w:rsidRPr="00AE16C5">
        <w:rPr>
          <w:rFonts w:ascii="Times New Roman" w:hAnsi="Times New Roman" w:cs="Times New Roman"/>
        </w:rPr>
        <w:t>Accurate detection of species composition and submicroscopic carriage is essential not only for reducing transmission but also for preventing drug resistance development and species-specific treatment failure.</w:t>
      </w:r>
    </w:p>
    <w:p w14:paraId="35BBBA14" w14:textId="77777777" w:rsidR="004804E3" w:rsidRPr="00AE16C5" w:rsidRDefault="004804E3" w:rsidP="003C35DC">
      <w:pPr>
        <w:spacing w:after="0" w:line="240" w:lineRule="auto"/>
        <w:jc w:val="both"/>
        <w:rPr>
          <w:rFonts w:ascii="Times New Roman" w:hAnsi="Times New Roman" w:cs="Times New Roman"/>
        </w:rPr>
      </w:pPr>
      <w:r w:rsidRPr="00AE16C5">
        <w:rPr>
          <w:rFonts w:ascii="Times New Roman" w:hAnsi="Times New Roman" w:cs="Times New Roman"/>
        </w:rPr>
        <w:t xml:space="preserve">The results confirm that PCR-based molecular diagnostics significantly enhance detection of asymptomatic and mixed </w:t>
      </w:r>
      <w:r w:rsidRPr="00AE16C5">
        <w:rPr>
          <w:rFonts w:ascii="Times New Roman" w:hAnsi="Times New Roman" w:cs="Times New Roman"/>
          <w:i/>
          <w:iCs/>
        </w:rPr>
        <w:t>Plasmodium</w:t>
      </w:r>
      <w:r w:rsidRPr="00AE16C5">
        <w:rPr>
          <w:rFonts w:ascii="Times New Roman" w:hAnsi="Times New Roman" w:cs="Times New Roman"/>
        </w:rPr>
        <w:t xml:space="preserve"> infections. Conventional microscopy and RDT underestimate infection prevalence and frequently miss mixed-species carriage. Incorporating molecular tools into targeted surveillance strategies will be critical for achieving and sustaining malaria elimination goals.</w:t>
      </w:r>
    </w:p>
    <w:p w14:paraId="5F2A891B" w14:textId="77777777" w:rsidR="00B932DF" w:rsidRPr="00AE16C5" w:rsidRDefault="00B932DF" w:rsidP="003C35DC">
      <w:pPr>
        <w:spacing w:after="0" w:line="240" w:lineRule="auto"/>
        <w:jc w:val="both"/>
        <w:rPr>
          <w:rFonts w:ascii="Times New Roman" w:hAnsi="Times New Roman" w:cs="Times New Roman"/>
        </w:rPr>
      </w:pPr>
    </w:p>
    <w:p w14:paraId="2B628876" w14:textId="77777777" w:rsidR="004804E3" w:rsidRPr="00AE16C5" w:rsidRDefault="004804E3" w:rsidP="003C35DC">
      <w:pPr>
        <w:spacing w:after="0" w:line="240" w:lineRule="auto"/>
        <w:jc w:val="both"/>
        <w:rPr>
          <w:rFonts w:ascii="Times New Roman" w:hAnsi="Times New Roman" w:cs="Times New Roman"/>
          <w:b/>
          <w:bCs/>
        </w:rPr>
      </w:pPr>
      <w:r w:rsidRPr="00AE16C5">
        <w:rPr>
          <w:rFonts w:ascii="Times New Roman" w:hAnsi="Times New Roman" w:cs="Times New Roman"/>
          <w:b/>
          <w:bCs/>
        </w:rPr>
        <w:t>6. Conclusion</w:t>
      </w:r>
    </w:p>
    <w:p w14:paraId="7E19E683" w14:textId="77777777" w:rsidR="004804E3" w:rsidRPr="00AE16C5" w:rsidRDefault="004804E3" w:rsidP="003C35DC">
      <w:pPr>
        <w:spacing w:after="0" w:line="240" w:lineRule="auto"/>
        <w:jc w:val="both"/>
        <w:rPr>
          <w:rFonts w:ascii="Times New Roman" w:hAnsi="Times New Roman" w:cs="Times New Roman"/>
        </w:rPr>
      </w:pPr>
      <w:r w:rsidRPr="00AE16C5">
        <w:rPr>
          <w:rFonts w:ascii="Times New Roman" w:hAnsi="Times New Roman" w:cs="Times New Roman"/>
        </w:rPr>
        <w:lastRenderedPageBreak/>
        <w:t xml:space="preserve">This study demonstrates that PCR-based molecular diagnostics substantially improve the detection of asymptomatic and mixed </w:t>
      </w:r>
      <w:r w:rsidRPr="00AE16C5">
        <w:rPr>
          <w:rFonts w:ascii="Times New Roman" w:hAnsi="Times New Roman" w:cs="Times New Roman"/>
          <w:i/>
          <w:iCs/>
        </w:rPr>
        <w:t>Plasmodium</w:t>
      </w:r>
      <w:r w:rsidRPr="00AE16C5">
        <w:rPr>
          <w:rFonts w:ascii="Times New Roman" w:hAnsi="Times New Roman" w:cs="Times New Roman"/>
        </w:rPr>
        <w:t xml:space="preserve"> infections compared to conventional microscopy and rapid diagnostic tests. The significantly higher prevalence identified by PCR confirms that a considerable proportion of infections remain submicroscopic and undiagnosed under routine surveillance systems. These hidden infections represent an important reservoir capable of sustaining malaria transmission, particularly in endemic regions transitioning from control to elimination.</w:t>
      </w:r>
    </w:p>
    <w:p w14:paraId="42AD3304" w14:textId="77777777" w:rsidR="004804E3" w:rsidRPr="00AE16C5" w:rsidRDefault="004804E3" w:rsidP="003C35DC">
      <w:pPr>
        <w:spacing w:after="0" w:line="240" w:lineRule="auto"/>
        <w:jc w:val="both"/>
        <w:rPr>
          <w:rFonts w:ascii="Times New Roman" w:hAnsi="Times New Roman" w:cs="Times New Roman"/>
        </w:rPr>
      </w:pPr>
      <w:r w:rsidRPr="00AE16C5">
        <w:rPr>
          <w:rFonts w:ascii="Times New Roman" w:hAnsi="Times New Roman" w:cs="Times New Roman"/>
        </w:rPr>
        <w:t>The identification of mixed-species infections in nearly one-tenth of PCR-confirmed cases underscores the epidemiological and clinical relevance of accurate species differentiation. Conventional diagnostic methods frequently failed to detect these mixed infections, potentially leading to incomplete treatment, persistent parasitemia, and continued transmission. In elimination settings, such diagnostic gaps may hinder progress by allowing residual parasite reservoirs to remain undetected.</w:t>
      </w:r>
    </w:p>
    <w:p w14:paraId="098AEB03" w14:textId="77777777" w:rsidR="004804E3" w:rsidRPr="00AE16C5" w:rsidRDefault="004804E3" w:rsidP="003C35DC">
      <w:pPr>
        <w:spacing w:after="0" w:line="240" w:lineRule="auto"/>
        <w:jc w:val="both"/>
        <w:rPr>
          <w:rFonts w:ascii="Times New Roman" w:hAnsi="Times New Roman" w:cs="Times New Roman"/>
        </w:rPr>
      </w:pPr>
      <w:r w:rsidRPr="00AE16C5">
        <w:rPr>
          <w:rFonts w:ascii="Times New Roman" w:hAnsi="Times New Roman" w:cs="Times New Roman"/>
        </w:rPr>
        <w:t>From a public health perspective, the findings highlight the need to strengthen surveillance frameworks with highly sensitive molecular tools. While PCR may not be feasible for universal routine diagnosis in resource-limited settings, its strategic use in sentinel surveillance, community screening campaigns, and elimination-phase monitoring could significantly enhance detection accuracy. Integrating molecular diagnostics into national malaria programs would enable more precise mapping of species distribution, identification of mixed infections, and evaluation of intervention impact.</w:t>
      </w:r>
    </w:p>
    <w:p w14:paraId="43950F11" w14:textId="79135F81" w:rsidR="004804E3" w:rsidRDefault="004804E3" w:rsidP="003C35DC">
      <w:pPr>
        <w:spacing w:after="0" w:line="240" w:lineRule="auto"/>
        <w:jc w:val="both"/>
        <w:rPr>
          <w:rFonts w:ascii="Times New Roman" w:hAnsi="Times New Roman" w:cs="Times New Roman"/>
        </w:rPr>
      </w:pPr>
      <w:r w:rsidRPr="00AE16C5">
        <w:rPr>
          <w:rFonts w:ascii="Times New Roman" w:hAnsi="Times New Roman" w:cs="Times New Roman"/>
        </w:rPr>
        <w:t>Moreover, the substantial burden of subclinical infections revealed in this study emphasizes that symptomatic case management alone is insufficient to interrupt transmission. Effective elimination strategies must address both clinical and asymptomatic reservoirs. Molecular detection platforms provide a critical pathway for uncovering these hidden infections and guiding targeted interventions.</w:t>
      </w:r>
      <w:r w:rsidR="009B2701">
        <w:rPr>
          <w:rFonts w:ascii="Times New Roman" w:hAnsi="Times New Roman" w:cs="Times New Roman"/>
        </w:rPr>
        <w:t xml:space="preserve"> </w:t>
      </w:r>
      <w:r w:rsidRPr="00AE16C5">
        <w:rPr>
          <w:rFonts w:ascii="Times New Roman" w:hAnsi="Times New Roman" w:cs="Times New Roman"/>
        </w:rPr>
        <w:t xml:space="preserve">PCR-based detection offers a superior and essential approach for identifying asymptomatic and mixed </w:t>
      </w:r>
      <w:r w:rsidRPr="00AE16C5">
        <w:rPr>
          <w:rFonts w:ascii="Times New Roman" w:hAnsi="Times New Roman" w:cs="Times New Roman"/>
          <w:i/>
          <w:iCs/>
        </w:rPr>
        <w:t>Plasmodium</w:t>
      </w:r>
      <w:r w:rsidRPr="00AE16C5">
        <w:rPr>
          <w:rFonts w:ascii="Times New Roman" w:hAnsi="Times New Roman" w:cs="Times New Roman"/>
        </w:rPr>
        <w:t xml:space="preserve"> infections. Incorporation of sensitive molecular diagnostics into surveillance and elimination strategies is vital to accurately quantify infection burden, prevent species-specific treatment failure, and ultimately achieve sustainable malaria elimination.</w:t>
      </w:r>
    </w:p>
    <w:p w14:paraId="69520D93" w14:textId="77777777" w:rsidR="003110CE" w:rsidRDefault="003110CE" w:rsidP="003C35DC">
      <w:pPr>
        <w:spacing w:after="0" w:line="240" w:lineRule="auto"/>
        <w:jc w:val="both"/>
        <w:rPr>
          <w:rFonts w:ascii="Times New Roman" w:hAnsi="Times New Roman" w:cs="Times New Roman"/>
        </w:rPr>
      </w:pPr>
    </w:p>
    <w:p w14:paraId="1E9CD222" w14:textId="77777777" w:rsidR="003110CE" w:rsidRDefault="003110CE" w:rsidP="003C35DC">
      <w:pPr>
        <w:spacing w:after="0" w:line="240" w:lineRule="auto"/>
        <w:jc w:val="both"/>
        <w:rPr>
          <w:rFonts w:ascii="Times New Roman" w:hAnsi="Times New Roman" w:cs="Times New Roman"/>
        </w:rPr>
      </w:pPr>
    </w:p>
    <w:p w14:paraId="20B3980D" w14:textId="77777777" w:rsidR="003110CE" w:rsidRPr="003110CE" w:rsidRDefault="003110CE" w:rsidP="003110CE">
      <w:pPr>
        <w:spacing w:after="0" w:line="240" w:lineRule="auto"/>
        <w:jc w:val="both"/>
        <w:rPr>
          <w:rFonts w:ascii="Times New Roman" w:hAnsi="Times New Roman" w:cs="Times New Roman"/>
        </w:rPr>
      </w:pPr>
      <w:r w:rsidRPr="003110CE">
        <w:rPr>
          <w:rFonts w:ascii="Times New Roman" w:hAnsi="Times New Roman" w:cs="Times New Roman"/>
        </w:rPr>
        <w:t>COMPETING INTERESTS DISCLAIMER:</w:t>
      </w:r>
    </w:p>
    <w:p w14:paraId="16D5AAD0" w14:textId="24DCF068" w:rsidR="003110CE" w:rsidRDefault="003110CE" w:rsidP="003110CE">
      <w:pPr>
        <w:spacing w:after="0" w:line="240" w:lineRule="auto"/>
        <w:jc w:val="both"/>
        <w:rPr>
          <w:rFonts w:ascii="Times New Roman" w:hAnsi="Times New Roman" w:cs="Times New Roman"/>
        </w:rPr>
      </w:pPr>
      <w:r w:rsidRPr="003110CE">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03760A9B" w14:textId="77777777" w:rsidR="003110CE" w:rsidRDefault="003110CE" w:rsidP="003C35DC">
      <w:pPr>
        <w:spacing w:after="0" w:line="240" w:lineRule="auto"/>
        <w:jc w:val="both"/>
        <w:rPr>
          <w:rFonts w:ascii="Times New Roman" w:hAnsi="Times New Roman" w:cs="Times New Roman"/>
        </w:rPr>
      </w:pPr>
    </w:p>
    <w:p w14:paraId="11DE6962" w14:textId="77777777" w:rsidR="00686B80" w:rsidRDefault="00686B80" w:rsidP="003C35DC">
      <w:pPr>
        <w:spacing w:after="0" w:line="240" w:lineRule="auto"/>
        <w:jc w:val="both"/>
        <w:rPr>
          <w:rFonts w:ascii="Times New Roman" w:hAnsi="Times New Roman" w:cs="Times New Roman"/>
        </w:rPr>
      </w:pPr>
    </w:p>
    <w:p w14:paraId="195E1BF9" w14:textId="6913A176" w:rsidR="00686B80" w:rsidRPr="00686B80" w:rsidRDefault="00686B80" w:rsidP="003C35DC">
      <w:pPr>
        <w:spacing w:after="0" w:line="240" w:lineRule="auto"/>
        <w:jc w:val="both"/>
        <w:rPr>
          <w:rFonts w:ascii="Times New Roman" w:hAnsi="Times New Roman" w:cs="Times New Roman"/>
          <w:b/>
          <w:bCs/>
        </w:rPr>
      </w:pPr>
      <w:r w:rsidRPr="00686B80">
        <w:rPr>
          <w:rFonts w:ascii="Times New Roman" w:hAnsi="Times New Roman" w:cs="Times New Roman"/>
          <w:b/>
          <w:bCs/>
        </w:rPr>
        <w:t>References</w:t>
      </w:r>
    </w:p>
    <w:p w14:paraId="6ABBC786"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Jajosky, R. P., Wu, S. C., Jajosky, P. G., &amp; Stowell, S. R. (2023). </w:t>
      </w:r>
      <w:r w:rsidRPr="00802606">
        <w:rPr>
          <w:rFonts w:ascii="Times New Roman" w:hAnsi="Times New Roman" w:cs="Times New Roman"/>
          <w:i/>
          <w:iCs/>
          <w:color w:val="000000" w:themeColor="text1"/>
          <w:sz w:val="22"/>
          <w:szCs w:val="22"/>
        </w:rPr>
        <w:t>Plasmodium knowlesi</w:t>
      </w:r>
      <w:r w:rsidRPr="00802606">
        <w:rPr>
          <w:rFonts w:ascii="Times New Roman" w:hAnsi="Times New Roman" w:cs="Times New Roman"/>
          <w:color w:val="000000" w:themeColor="text1"/>
          <w:sz w:val="22"/>
          <w:szCs w:val="22"/>
        </w:rPr>
        <w:t xml:space="preserve"> (Pk) malaria: A review &amp; proposal of therapeutically rational exchange (T-REX) of Pk-resistant red blood cells. </w:t>
      </w:r>
      <w:r w:rsidRPr="00802606">
        <w:rPr>
          <w:rFonts w:ascii="Times New Roman" w:hAnsi="Times New Roman" w:cs="Times New Roman"/>
          <w:i/>
          <w:iCs/>
          <w:color w:val="000000" w:themeColor="text1"/>
          <w:sz w:val="22"/>
          <w:szCs w:val="22"/>
        </w:rPr>
        <w:t>Tropical Medicine and Infectious Disease, 8</w:t>
      </w:r>
      <w:r w:rsidRPr="00802606">
        <w:rPr>
          <w:rFonts w:ascii="Times New Roman" w:hAnsi="Times New Roman" w:cs="Times New Roman"/>
          <w:color w:val="000000" w:themeColor="text1"/>
          <w:sz w:val="22"/>
          <w:szCs w:val="22"/>
        </w:rPr>
        <w:t xml:space="preserve">(10). </w:t>
      </w:r>
      <w:hyperlink r:id="rId11" w:history="1">
        <w:r w:rsidRPr="00802606">
          <w:rPr>
            <w:rStyle w:val="Hyperlink"/>
            <w:rFonts w:ascii="Times New Roman" w:hAnsi="Times New Roman" w:cs="Times New Roman"/>
            <w:color w:val="000000" w:themeColor="text1"/>
            <w:sz w:val="22"/>
            <w:szCs w:val="22"/>
          </w:rPr>
          <w:t>https://doi.org/10.3390/tropicalmed8100478</w:t>
        </w:r>
      </w:hyperlink>
    </w:p>
    <w:p w14:paraId="40E23FD0"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Tripathi, N., &amp; </w:t>
      </w:r>
      <w:proofErr w:type="spellStart"/>
      <w:r w:rsidRPr="00802606">
        <w:rPr>
          <w:rFonts w:ascii="Times New Roman" w:hAnsi="Times New Roman" w:cs="Times New Roman"/>
          <w:color w:val="000000" w:themeColor="text1"/>
          <w:sz w:val="22"/>
          <w:szCs w:val="22"/>
        </w:rPr>
        <w:t>Jialal</w:t>
      </w:r>
      <w:proofErr w:type="spellEnd"/>
      <w:r w:rsidRPr="00802606">
        <w:rPr>
          <w:rFonts w:ascii="Times New Roman" w:hAnsi="Times New Roman" w:cs="Times New Roman"/>
          <w:color w:val="000000" w:themeColor="text1"/>
          <w:sz w:val="22"/>
          <w:szCs w:val="22"/>
        </w:rPr>
        <w:t xml:space="preserve">, I. (2024). </w:t>
      </w:r>
      <w:r w:rsidRPr="00802606">
        <w:rPr>
          <w:rFonts w:ascii="Times New Roman" w:hAnsi="Times New Roman" w:cs="Times New Roman"/>
          <w:i/>
          <w:iCs/>
          <w:color w:val="000000" w:themeColor="text1"/>
          <w:sz w:val="22"/>
          <w:szCs w:val="22"/>
        </w:rPr>
        <w:t>Conjugated hyperbilirubinemia</w:t>
      </w:r>
      <w:r w:rsidRPr="00802606">
        <w:rPr>
          <w:rFonts w:ascii="Times New Roman" w:hAnsi="Times New Roman" w:cs="Times New Roman"/>
          <w:color w:val="000000" w:themeColor="text1"/>
          <w:sz w:val="22"/>
          <w:szCs w:val="22"/>
        </w:rPr>
        <w:t xml:space="preserve">. </w:t>
      </w:r>
      <w:proofErr w:type="spellStart"/>
      <w:r w:rsidRPr="00802606">
        <w:rPr>
          <w:rFonts w:ascii="Times New Roman" w:hAnsi="Times New Roman" w:cs="Times New Roman"/>
          <w:color w:val="000000" w:themeColor="text1"/>
          <w:sz w:val="22"/>
          <w:szCs w:val="22"/>
        </w:rPr>
        <w:t>StatPearls</w:t>
      </w:r>
      <w:proofErr w:type="spellEnd"/>
      <w:r w:rsidRPr="00802606">
        <w:rPr>
          <w:rFonts w:ascii="Times New Roman" w:hAnsi="Times New Roman" w:cs="Times New Roman"/>
          <w:color w:val="000000" w:themeColor="text1"/>
          <w:sz w:val="22"/>
          <w:szCs w:val="22"/>
        </w:rPr>
        <w:t xml:space="preserve"> Publishing.</w:t>
      </w:r>
    </w:p>
    <w:p w14:paraId="42B6EA20"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Das, A., Suar, M., &amp; Reddy, K. S. (2024). Hormones in malaria infection: Influence on disease severity, host physiology, and therapeutic opportunities. </w:t>
      </w:r>
      <w:r w:rsidRPr="00802606">
        <w:rPr>
          <w:rFonts w:ascii="Times New Roman" w:hAnsi="Times New Roman" w:cs="Times New Roman"/>
          <w:i/>
          <w:iCs/>
          <w:color w:val="000000" w:themeColor="text1"/>
          <w:sz w:val="22"/>
          <w:szCs w:val="22"/>
        </w:rPr>
        <w:t>Bioscience Reports, 44</w:t>
      </w:r>
      <w:r w:rsidRPr="00802606">
        <w:rPr>
          <w:rFonts w:ascii="Times New Roman" w:hAnsi="Times New Roman" w:cs="Times New Roman"/>
          <w:color w:val="000000" w:themeColor="text1"/>
          <w:sz w:val="22"/>
          <w:szCs w:val="22"/>
        </w:rPr>
        <w:t xml:space="preserve">(11), BSR20240482. </w:t>
      </w:r>
      <w:hyperlink r:id="rId12" w:history="1">
        <w:r w:rsidRPr="00802606">
          <w:rPr>
            <w:rStyle w:val="Hyperlink"/>
            <w:rFonts w:ascii="Times New Roman" w:hAnsi="Times New Roman" w:cs="Times New Roman"/>
            <w:color w:val="000000" w:themeColor="text1"/>
            <w:sz w:val="22"/>
            <w:szCs w:val="22"/>
          </w:rPr>
          <w:t>https://doi.org/10.1042/BSR20240482</w:t>
        </w:r>
      </w:hyperlink>
    </w:p>
    <w:p w14:paraId="7E40A61D"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Cheng, J., Wang, W., Cheng, X., Li, X., Lun, L., Lian, X., Wang, L., &amp; Song, L. (2025). The acute-phase serum amyloid A promotes cytokines production in oyster </w:t>
      </w:r>
      <w:r w:rsidRPr="00802606">
        <w:rPr>
          <w:rFonts w:ascii="Times New Roman" w:hAnsi="Times New Roman" w:cs="Times New Roman"/>
          <w:i/>
          <w:iCs/>
          <w:color w:val="000000" w:themeColor="text1"/>
          <w:sz w:val="22"/>
          <w:szCs w:val="22"/>
        </w:rPr>
        <w:t>Crassostrea gigas</w:t>
      </w:r>
      <w:r w:rsidRPr="00802606">
        <w:rPr>
          <w:rFonts w:ascii="Times New Roman" w:hAnsi="Times New Roman" w:cs="Times New Roman"/>
          <w:color w:val="000000" w:themeColor="text1"/>
          <w:sz w:val="22"/>
          <w:szCs w:val="22"/>
        </w:rPr>
        <w:t xml:space="preserve">. </w:t>
      </w:r>
      <w:r w:rsidRPr="00802606">
        <w:rPr>
          <w:rFonts w:ascii="Times New Roman" w:hAnsi="Times New Roman" w:cs="Times New Roman"/>
          <w:i/>
          <w:iCs/>
          <w:color w:val="000000" w:themeColor="text1"/>
          <w:sz w:val="22"/>
          <w:szCs w:val="22"/>
        </w:rPr>
        <w:t>Fishes, 10</w:t>
      </w:r>
      <w:r w:rsidRPr="00802606">
        <w:rPr>
          <w:rFonts w:ascii="Times New Roman" w:hAnsi="Times New Roman" w:cs="Times New Roman"/>
          <w:color w:val="000000" w:themeColor="text1"/>
          <w:sz w:val="22"/>
          <w:szCs w:val="22"/>
        </w:rPr>
        <w:t xml:space="preserve">(3). </w:t>
      </w:r>
      <w:hyperlink r:id="rId13" w:history="1">
        <w:r w:rsidRPr="00802606">
          <w:rPr>
            <w:rStyle w:val="Hyperlink"/>
            <w:rFonts w:ascii="Times New Roman" w:hAnsi="Times New Roman" w:cs="Times New Roman"/>
            <w:color w:val="000000" w:themeColor="text1"/>
            <w:sz w:val="22"/>
            <w:szCs w:val="22"/>
          </w:rPr>
          <w:t>https://doi.org/10.3390/fishes10030093</w:t>
        </w:r>
      </w:hyperlink>
    </w:p>
    <w:p w14:paraId="1131943C"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lastRenderedPageBreak/>
        <w:t xml:space="preserve">Hagadorn, K. A., Peterson, M. E., Kole, H., Scott, B., Skinner, J., Diouf, A., Takashima, E., Ongoiba, A., </w:t>
      </w:r>
      <w:proofErr w:type="spellStart"/>
      <w:r w:rsidRPr="00802606">
        <w:rPr>
          <w:rFonts w:ascii="Times New Roman" w:hAnsi="Times New Roman" w:cs="Times New Roman"/>
          <w:color w:val="000000" w:themeColor="text1"/>
          <w:sz w:val="22"/>
          <w:szCs w:val="22"/>
        </w:rPr>
        <w:t>Doumbo</w:t>
      </w:r>
      <w:proofErr w:type="spellEnd"/>
      <w:r w:rsidRPr="00802606">
        <w:rPr>
          <w:rFonts w:ascii="Times New Roman" w:hAnsi="Times New Roman" w:cs="Times New Roman"/>
          <w:color w:val="000000" w:themeColor="text1"/>
          <w:sz w:val="22"/>
          <w:szCs w:val="22"/>
        </w:rPr>
        <w:t xml:space="preserve">, S., </w:t>
      </w:r>
      <w:proofErr w:type="spellStart"/>
      <w:r w:rsidRPr="00802606">
        <w:rPr>
          <w:rFonts w:ascii="Times New Roman" w:hAnsi="Times New Roman" w:cs="Times New Roman"/>
          <w:color w:val="000000" w:themeColor="text1"/>
          <w:sz w:val="22"/>
          <w:szCs w:val="22"/>
        </w:rPr>
        <w:t>Doumtabe</w:t>
      </w:r>
      <w:proofErr w:type="spellEnd"/>
      <w:r w:rsidRPr="00802606">
        <w:rPr>
          <w:rFonts w:ascii="Times New Roman" w:hAnsi="Times New Roman" w:cs="Times New Roman"/>
          <w:color w:val="000000" w:themeColor="text1"/>
          <w:sz w:val="22"/>
          <w:szCs w:val="22"/>
        </w:rPr>
        <w:t xml:space="preserve">, D., Li, S., Sekar, P., Yan, M., Zhu, C., Nagaoka, H., Kanoi, B. N., Li, Q. Z., Long, C., Long, E. O., </w:t>
      </w:r>
      <w:proofErr w:type="spellStart"/>
      <w:r w:rsidRPr="00802606">
        <w:rPr>
          <w:rFonts w:ascii="Times New Roman" w:hAnsi="Times New Roman" w:cs="Times New Roman"/>
          <w:color w:val="000000" w:themeColor="text1"/>
          <w:sz w:val="22"/>
          <w:szCs w:val="22"/>
        </w:rPr>
        <w:t>Kayentao</w:t>
      </w:r>
      <w:proofErr w:type="spellEnd"/>
      <w:r w:rsidRPr="00802606">
        <w:rPr>
          <w:rFonts w:ascii="Times New Roman" w:hAnsi="Times New Roman" w:cs="Times New Roman"/>
          <w:color w:val="000000" w:themeColor="text1"/>
          <w:sz w:val="22"/>
          <w:szCs w:val="22"/>
        </w:rPr>
        <w:t xml:space="preserve">, K., Jenks, S. A., Sanz, I., Tsuboi, T., Traore, B., Bolland, S., Miura, K., Crompton, P. D., &amp; Hopp, C. S. (2024). Autoantibodies inhibit </w:t>
      </w:r>
      <w:r w:rsidRPr="00802606">
        <w:rPr>
          <w:rFonts w:ascii="Times New Roman" w:hAnsi="Times New Roman" w:cs="Times New Roman"/>
          <w:i/>
          <w:iCs/>
          <w:color w:val="000000" w:themeColor="text1"/>
          <w:sz w:val="22"/>
          <w:szCs w:val="22"/>
        </w:rPr>
        <w:t>Plasmodium falciparum</w:t>
      </w:r>
      <w:r w:rsidRPr="00802606">
        <w:rPr>
          <w:rFonts w:ascii="Times New Roman" w:hAnsi="Times New Roman" w:cs="Times New Roman"/>
          <w:color w:val="000000" w:themeColor="text1"/>
          <w:sz w:val="22"/>
          <w:szCs w:val="22"/>
        </w:rPr>
        <w:t xml:space="preserve"> growth and are associated with protection from clinical malaria. </w:t>
      </w:r>
      <w:r w:rsidRPr="00802606">
        <w:rPr>
          <w:rFonts w:ascii="Times New Roman" w:hAnsi="Times New Roman" w:cs="Times New Roman"/>
          <w:i/>
          <w:iCs/>
          <w:color w:val="000000" w:themeColor="text1"/>
          <w:sz w:val="22"/>
          <w:szCs w:val="22"/>
        </w:rPr>
        <w:t>Immunity, 57</w:t>
      </w:r>
      <w:r w:rsidRPr="00802606">
        <w:rPr>
          <w:rFonts w:ascii="Times New Roman" w:hAnsi="Times New Roman" w:cs="Times New Roman"/>
          <w:color w:val="000000" w:themeColor="text1"/>
          <w:sz w:val="22"/>
          <w:szCs w:val="22"/>
        </w:rPr>
        <w:t xml:space="preserve">(8), 1769–1779. </w:t>
      </w:r>
      <w:hyperlink r:id="rId14" w:history="1">
        <w:r w:rsidRPr="00802606">
          <w:rPr>
            <w:rStyle w:val="Hyperlink"/>
            <w:rFonts w:ascii="Times New Roman" w:hAnsi="Times New Roman" w:cs="Times New Roman"/>
            <w:color w:val="000000" w:themeColor="text1"/>
            <w:sz w:val="22"/>
            <w:szCs w:val="22"/>
          </w:rPr>
          <w:t>https://doi.org/10.1016/j.immuni.2024.05.024</w:t>
        </w:r>
      </w:hyperlink>
    </w:p>
    <w:p w14:paraId="36107247"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Patel, H., Minkah, N. K., Kumar, S., Zanghi, G., Schepis, A., Goswami, D., Armstrong, J., </w:t>
      </w:r>
      <w:proofErr w:type="spellStart"/>
      <w:r w:rsidRPr="00802606">
        <w:rPr>
          <w:rFonts w:ascii="Times New Roman" w:hAnsi="Times New Roman" w:cs="Times New Roman"/>
          <w:color w:val="000000" w:themeColor="text1"/>
          <w:sz w:val="22"/>
          <w:szCs w:val="22"/>
        </w:rPr>
        <w:t>Abatiyow</w:t>
      </w:r>
      <w:proofErr w:type="spellEnd"/>
      <w:r w:rsidRPr="00802606">
        <w:rPr>
          <w:rFonts w:ascii="Times New Roman" w:hAnsi="Times New Roman" w:cs="Times New Roman"/>
          <w:color w:val="000000" w:themeColor="text1"/>
          <w:sz w:val="22"/>
          <w:szCs w:val="22"/>
        </w:rPr>
        <w:t xml:space="preserve">, B. A., Betz, W., Reynolds, L., Camargo, N., Sheikh, A. A., &amp; Kappe, S. H. I. (2024). Malaria blood stage infection suppresses liver stage infection via host-induced interferons but not hepcidin. </w:t>
      </w:r>
      <w:r w:rsidRPr="00802606">
        <w:rPr>
          <w:rFonts w:ascii="Times New Roman" w:hAnsi="Times New Roman" w:cs="Times New Roman"/>
          <w:i/>
          <w:iCs/>
          <w:color w:val="000000" w:themeColor="text1"/>
          <w:sz w:val="22"/>
          <w:szCs w:val="22"/>
        </w:rPr>
        <w:t>Nature Communications, 15</w:t>
      </w:r>
      <w:r w:rsidRPr="00802606">
        <w:rPr>
          <w:rFonts w:ascii="Times New Roman" w:hAnsi="Times New Roman" w:cs="Times New Roman"/>
          <w:color w:val="000000" w:themeColor="text1"/>
          <w:sz w:val="22"/>
          <w:szCs w:val="22"/>
        </w:rPr>
        <w:t xml:space="preserve">(1). </w:t>
      </w:r>
      <w:hyperlink r:id="rId15" w:history="1">
        <w:r w:rsidRPr="00802606">
          <w:rPr>
            <w:rStyle w:val="Hyperlink"/>
            <w:rFonts w:ascii="Times New Roman" w:hAnsi="Times New Roman" w:cs="Times New Roman"/>
            <w:color w:val="000000" w:themeColor="text1"/>
            <w:sz w:val="22"/>
            <w:szCs w:val="22"/>
          </w:rPr>
          <w:t>https://doi.org/10.1038/s41467-024-46270-3</w:t>
        </w:r>
      </w:hyperlink>
    </w:p>
    <w:p w14:paraId="2FFCD547"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Castro, L., Ridpath, A., Mace, K., &amp; Gutman, J. R. (2024). Artemether-lumefantrine is now recommended for all uncomplicated malaria in the United States, including in pregnancy. </w:t>
      </w:r>
      <w:r w:rsidRPr="00802606">
        <w:rPr>
          <w:rFonts w:ascii="Times New Roman" w:hAnsi="Times New Roman" w:cs="Times New Roman"/>
          <w:i/>
          <w:iCs/>
          <w:color w:val="000000" w:themeColor="text1"/>
          <w:sz w:val="22"/>
          <w:szCs w:val="22"/>
        </w:rPr>
        <w:t>Clinical Infectious Diseases, 78</w:t>
      </w:r>
      <w:r w:rsidRPr="00802606">
        <w:rPr>
          <w:rFonts w:ascii="Times New Roman" w:hAnsi="Times New Roman" w:cs="Times New Roman"/>
          <w:color w:val="000000" w:themeColor="text1"/>
          <w:sz w:val="22"/>
          <w:szCs w:val="22"/>
        </w:rPr>
        <w:t xml:space="preserve">(2), 245–247. </w:t>
      </w:r>
      <w:hyperlink r:id="rId16" w:history="1">
        <w:r w:rsidRPr="00802606">
          <w:rPr>
            <w:rStyle w:val="Hyperlink"/>
            <w:rFonts w:ascii="Times New Roman" w:hAnsi="Times New Roman" w:cs="Times New Roman"/>
            <w:color w:val="000000" w:themeColor="text1"/>
            <w:sz w:val="22"/>
            <w:szCs w:val="22"/>
          </w:rPr>
          <w:t>https://doi.org/10.1093/cid/ciad638</w:t>
        </w:r>
      </w:hyperlink>
    </w:p>
    <w:p w14:paraId="118EC336"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Joseph, A., &amp; Samant, H. (2024). </w:t>
      </w:r>
      <w:r w:rsidRPr="00802606">
        <w:rPr>
          <w:rFonts w:ascii="Times New Roman" w:hAnsi="Times New Roman" w:cs="Times New Roman"/>
          <w:i/>
          <w:iCs/>
          <w:color w:val="000000" w:themeColor="text1"/>
          <w:sz w:val="22"/>
          <w:szCs w:val="22"/>
        </w:rPr>
        <w:t>Jaundice</w:t>
      </w:r>
      <w:r w:rsidRPr="00802606">
        <w:rPr>
          <w:rFonts w:ascii="Times New Roman" w:hAnsi="Times New Roman" w:cs="Times New Roman"/>
          <w:color w:val="000000" w:themeColor="text1"/>
          <w:sz w:val="22"/>
          <w:szCs w:val="22"/>
        </w:rPr>
        <w:t xml:space="preserve">. </w:t>
      </w:r>
      <w:proofErr w:type="spellStart"/>
      <w:r w:rsidRPr="00802606">
        <w:rPr>
          <w:rFonts w:ascii="Times New Roman" w:hAnsi="Times New Roman" w:cs="Times New Roman"/>
          <w:color w:val="000000" w:themeColor="text1"/>
          <w:sz w:val="22"/>
          <w:szCs w:val="22"/>
        </w:rPr>
        <w:t>StatPearls</w:t>
      </w:r>
      <w:proofErr w:type="spellEnd"/>
      <w:r w:rsidRPr="00802606">
        <w:rPr>
          <w:rFonts w:ascii="Times New Roman" w:hAnsi="Times New Roman" w:cs="Times New Roman"/>
          <w:color w:val="000000" w:themeColor="text1"/>
          <w:sz w:val="22"/>
          <w:szCs w:val="22"/>
        </w:rPr>
        <w:t xml:space="preserve"> Publishing.</w:t>
      </w:r>
    </w:p>
    <w:p w14:paraId="2CE3ADDC"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Samant, H., Asafo-Agyei, K. O., </w:t>
      </w:r>
      <w:proofErr w:type="spellStart"/>
      <w:r w:rsidRPr="00802606">
        <w:rPr>
          <w:rFonts w:ascii="Times New Roman" w:hAnsi="Times New Roman" w:cs="Times New Roman"/>
          <w:color w:val="000000" w:themeColor="text1"/>
          <w:sz w:val="22"/>
          <w:szCs w:val="22"/>
        </w:rPr>
        <w:t>Kimyaghalam</w:t>
      </w:r>
      <w:proofErr w:type="spellEnd"/>
      <w:r w:rsidRPr="00802606">
        <w:rPr>
          <w:rFonts w:ascii="Times New Roman" w:hAnsi="Times New Roman" w:cs="Times New Roman"/>
          <w:color w:val="000000" w:themeColor="text1"/>
          <w:sz w:val="22"/>
          <w:szCs w:val="22"/>
        </w:rPr>
        <w:t xml:space="preserve">, A., &amp; Garfield, K. (2024). </w:t>
      </w:r>
      <w:r w:rsidRPr="00802606">
        <w:rPr>
          <w:rFonts w:ascii="Times New Roman" w:hAnsi="Times New Roman" w:cs="Times New Roman"/>
          <w:i/>
          <w:iCs/>
          <w:color w:val="000000" w:themeColor="text1"/>
          <w:sz w:val="22"/>
          <w:szCs w:val="22"/>
        </w:rPr>
        <w:t>Portal vein thrombosis</w:t>
      </w:r>
      <w:r w:rsidRPr="00802606">
        <w:rPr>
          <w:rFonts w:ascii="Times New Roman" w:hAnsi="Times New Roman" w:cs="Times New Roman"/>
          <w:color w:val="000000" w:themeColor="text1"/>
          <w:sz w:val="22"/>
          <w:szCs w:val="22"/>
        </w:rPr>
        <w:t xml:space="preserve">. </w:t>
      </w:r>
      <w:proofErr w:type="spellStart"/>
      <w:r w:rsidRPr="00802606">
        <w:rPr>
          <w:rFonts w:ascii="Times New Roman" w:hAnsi="Times New Roman" w:cs="Times New Roman"/>
          <w:color w:val="000000" w:themeColor="text1"/>
          <w:sz w:val="22"/>
          <w:szCs w:val="22"/>
        </w:rPr>
        <w:t>StatPearls</w:t>
      </w:r>
      <w:proofErr w:type="spellEnd"/>
      <w:r w:rsidRPr="00802606">
        <w:rPr>
          <w:rFonts w:ascii="Times New Roman" w:hAnsi="Times New Roman" w:cs="Times New Roman"/>
          <w:color w:val="000000" w:themeColor="text1"/>
          <w:sz w:val="22"/>
          <w:szCs w:val="22"/>
        </w:rPr>
        <w:t xml:space="preserve"> Publishing.</w:t>
      </w:r>
    </w:p>
    <w:p w14:paraId="35919016"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proofErr w:type="spellStart"/>
      <w:r w:rsidRPr="00802606">
        <w:rPr>
          <w:rFonts w:ascii="Times New Roman" w:hAnsi="Times New Roman" w:cs="Times New Roman"/>
          <w:color w:val="000000" w:themeColor="text1"/>
          <w:sz w:val="22"/>
          <w:szCs w:val="22"/>
        </w:rPr>
        <w:t>Bellafante</w:t>
      </w:r>
      <w:proofErr w:type="spellEnd"/>
      <w:r w:rsidRPr="00802606">
        <w:rPr>
          <w:rFonts w:ascii="Times New Roman" w:hAnsi="Times New Roman" w:cs="Times New Roman"/>
          <w:color w:val="000000" w:themeColor="text1"/>
          <w:sz w:val="22"/>
          <w:szCs w:val="22"/>
        </w:rPr>
        <w:t xml:space="preserve">, D., Gioia, S., </w:t>
      </w:r>
      <w:proofErr w:type="spellStart"/>
      <w:r w:rsidRPr="00802606">
        <w:rPr>
          <w:rFonts w:ascii="Times New Roman" w:hAnsi="Times New Roman" w:cs="Times New Roman"/>
          <w:color w:val="000000" w:themeColor="text1"/>
          <w:sz w:val="22"/>
          <w:szCs w:val="22"/>
        </w:rPr>
        <w:t>Faccioli</w:t>
      </w:r>
      <w:proofErr w:type="spellEnd"/>
      <w:r w:rsidRPr="00802606">
        <w:rPr>
          <w:rFonts w:ascii="Times New Roman" w:hAnsi="Times New Roman" w:cs="Times New Roman"/>
          <w:color w:val="000000" w:themeColor="text1"/>
          <w:sz w:val="22"/>
          <w:szCs w:val="22"/>
        </w:rPr>
        <w:t xml:space="preserve">, J., Riggio, O., </w:t>
      </w:r>
      <w:proofErr w:type="spellStart"/>
      <w:r w:rsidRPr="00802606">
        <w:rPr>
          <w:rFonts w:ascii="Times New Roman" w:hAnsi="Times New Roman" w:cs="Times New Roman"/>
          <w:color w:val="000000" w:themeColor="text1"/>
          <w:sz w:val="22"/>
          <w:szCs w:val="22"/>
        </w:rPr>
        <w:t>Ridola</w:t>
      </w:r>
      <w:proofErr w:type="spellEnd"/>
      <w:r w:rsidRPr="00802606">
        <w:rPr>
          <w:rFonts w:ascii="Times New Roman" w:hAnsi="Times New Roman" w:cs="Times New Roman"/>
          <w:color w:val="000000" w:themeColor="text1"/>
          <w:sz w:val="22"/>
          <w:szCs w:val="22"/>
        </w:rPr>
        <w:t xml:space="preserve">, L., &amp; Nardelli, S. (2023). The management of hepatic encephalopathy: Current evidence and gray areas. </w:t>
      </w:r>
      <w:r w:rsidRPr="00802606">
        <w:rPr>
          <w:rFonts w:ascii="Times New Roman" w:hAnsi="Times New Roman" w:cs="Times New Roman"/>
          <w:i/>
          <w:iCs/>
          <w:color w:val="000000" w:themeColor="text1"/>
          <w:sz w:val="22"/>
          <w:szCs w:val="22"/>
        </w:rPr>
        <w:t>Journal of Clinical Medicine, 13</w:t>
      </w:r>
      <w:r w:rsidRPr="00802606">
        <w:rPr>
          <w:rFonts w:ascii="Times New Roman" w:hAnsi="Times New Roman" w:cs="Times New Roman"/>
          <w:color w:val="000000" w:themeColor="text1"/>
          <w:sz w:val="22"/>
          <w:szCs w:val="22"/>
        </w:rPr>
        <w:t xml:space="preserve">(1). </w:t>
      </w:r>
      <w:hyperlink r:id="rId17" w:history="1">
        <w:r w:rsidRPr="00802606">
          <w:rPr>
            <w:rStyle w:val="Hyperlink"/>
            <w:rFonts w:ascii="Times New Roman" w:hAnsi="Times New Roman" w:cs="Times New Roman"/>
            <w:color w:val="000000" w:themeColor="text1"/>
            <w:sz w:val="22"/>
            <w:szCs w:val="22"/>
          </w:rPr>
          <w:t>https://doi.org/10.3390/jcm13010166</w:t>
        </w:r>
      </w:hyperlink>
    </w:p>
    <w:p w14:paraId="2C517A8E"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Shah, N. J., Royer, A., &amp; John, S. (2024). </w:t>
      </w:r>
      <w:r w:rsidRPr="00802606">
        <w:rPr>
          <w:rFonts w:ascii="Times New Roman" w:hAnsi="Times New Roman" w:cs="Times New Roman"/>
          <w:i/>
          <w:iCs/>
          <w:color w:val="000000" w:themeColor="text1"/>
          <w:sz w:val="22"/>
          <w:szCs w:val="22"/>
        </w:rPr>
        <w:t>Acute liver failure</w:t>
      </w:r>
      <w:r w:rsidRPr="00802606">
        <w:rPr>
          <w:rFonts w:ascii="Times New Roman" w:hAnsi="Times New Roman" w:cs="Times New Roman"/>
          <w:color w:val="000000" w:themeColor="text1"/>
          <w:sz w:val="22"/>
          <w:szCs w:val="22"/>
        </w:rPr>
        <w:t xml:space="preserve">. </w:t>
      </w:r>
      <w:proofErr w:type="spellStart"/>
      <w:r w:rsidRPr="00802606">
        <w:rPr>
          <w:rFonts w:ascii="Times New Roman" w:hAnsi="Times New Roman" w:cs="Times New Roman"/>
          <w:color w:val="000000" w:themeColor="text1"/>
          <w:sz w:val="22"/>
          <w:szCs w:val="22"/>
        </w:rPr>
        <w:t>StatPearls</w:t>
      </w:r>
      <w:proofErr w:type="spellEnd"/>
      <w:r w:rsidRPr="00802606">
        <w:rPr>
          <w:rFonts w:ascii="Times New Roman" w:hAnsi="Times New Roman" w:cs="Times New Roman"/>
          <w:color w:val="000000" w:themeColor="text1"/>
          <w:sz w:val="22"/>
          <w:szCs w:val="22"/>
        </w:rPr>
        <w:t xml:space="preserve"> Publishing.</w:t>
      </w:r>
    </w:p>
    <w:p w14:paraId="4CD755E7"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proofErr w:type="spellStart"/>
      <w:r w:rsidRPr="00802606">
        <w:rPr>
          <w:rFonts w:ascii="Times New Roman" w:hAnsi="Times New Roman" w:cs="Times New Roman"/>
          <w:color w:val="000000" w:themeColor="text1"/>
          <w:sz w:val="22"/>
          <w:szCs w:val="22"/>
        </w:rPr>
        <w:t>Sendor</w:t>
      </w:r>
      <w:proofErr w:type="spellEnd"/>
      <w:r w:rsidRPr="00802606">
        <w:rPr>
          <w:rFonts w:ascii="Times New Roman" w:hAnsi="Times New Roman" w:cs="Times New Roman"/>
          <w:color w:val="000000" w:themeColor="text1"/>
          <w:sz w:val="22"/>
          <w:szCs w:val="22"/>
        </w:rPr>
        <w:t xml:space="preserve">, R., Mitchell, C. L., </w:t>
      </w:r>
      <w:proofErr w:type="spellStart"/>
      <w:r w:rsidRPr="00802606">
        <w:rPr>
          <w:rFonts w:ascii="Times New Roman" w:hAnsi="Times New Roman" w:cs="Times New Roman"/>
          <w:color w:val="000000" w:themeColor="text1"/>
          <w:sz w:val="22"/>
          <w:szCs w:val="22"/>
        </w:rPr>
        <w:t>Chacky</w:t>
      </w:r>
      <w:proofErr w:type="spellEnd"/>
      <w:r w:rsidRPr="00802606">
        <w:rPr>
          <w:rFonts w:ascii="Times New Roman" w:hAnsi="Times New Roman" w:cs="Times New Roman"/>
          <w:color w:val="000000" w:themeColor="text1"/>
          <w:sz w:val="22"/>
          <w:szCs w:val="22"/>
        </w:rPr>
        <w:t xml:space="preserve">, F., Mohamed, A., </w:t>
      </w:r>
      <w:proofErr w:type="spellStart"/>
      <w:r w:rsidRPr="00802606">
        <w:rPr>
          <w:rFonts w:ascii="Times New Roman" w:hAnsi="Times New Roman" w:cs="Times New Roman"/>
          <w:color w:val="000000" w:themeColor="text1"/>
          <w:sz w:val="22"/>
          <w:szCs w:val="22"/>
        </w:rPr>
        <w:t>Mhamilawa</w:t>
      </w:r>
      <w:proofErr w:type="spellEnd"/>
      <w:r w:rsidRPr="00802606">
        <w:rPr>
          <w:rFonts w:ascii="Times New Roman" w:hAnsi="Times New Roman" w:cs="Times New Roman"/>
          <w:color w:val="000000" w:themeColor="text1"/>
          <w:sz w:val="22"/>
          <w:szCs w:val="22"/>
        </w:rPr>
        <w:t xml:space="preserve">, L. E., Molteni, F., </w:t>
      </w:r>
      <w:proofErr w:type="spellStart"/>
      <w:r w:rsidRPr="00802606">
        <w:rPr>
          <w:rFonts w:ascii="Times New Roman" w:hAnsi="Times New Roman" w:cs="Times New Roman"/>
          <w:color w:val="000000" w:themeColor="text1"/>
          <w:sz w:val="22"/>
          <w:szCs w:val="22"/>
        </w:rPr>
        <w:t>Nyinondi</w:t>
      </w:r>
      <w:proofErr w:type="spellEnd"/>
      <w:r w:rsidRPr="00802606">
        <w:rPr>
          <w:rFonts w:ascii="Times New Roman" w:hAnsi="Times New Roman" w:cs="Times New Roman"/>
          <w:color w:val="000000" w:themeColor="text1"/>
          <w:sz w:val="22"/>
          <w:szCs w:val="22"/>
        </w:rPr>
        <w:t xml:space="preserve">, S., Kabula, B., </w:t>
      </w:r>
      <w:proofErr w:type="spellStart"/>
      <w:r w:rsidRPr="00802606">
        <w:rPr>
          <w:rFonts w:ascii="Times New Roman" w:hAnsi="Times New Roman" w:cs="Times New Roman"/>
          <w:color w:val="000000" w:themeColor="text1"/>
          <w:sz w:val="22"/>
          <w:szCs w:val="22"/>
        </w:rPr>
        <w:t>Mkali</w:t>
      </w:r>
      <w:proofErr w:type="spellEnd"/>
      <w:r w:rsidRPr="00802606">
        <w:rPr>
          <w:rFonts w:ascii="Times New Roman" w:hAnsi="Times New Roman" w:cs="Times New Roman"/>
          <w:color w:val="000000" w:themeColor="text1"/>
          <w:sz w:val="22"/>
          <w:szCs w:val="22"/>
        </w:rPr>
        <w:t xml:space="preserve">, H., Reaves, E. J., Serbantez, N., </w:t>
      </w:r>
      <w:proofErr w:type="spellStart"/>
      <w:r w:rsidRPr="00802606">
        <w:rPr>
          <w:rFonts w:ascii="Times New Roman" w:hAnsi="Times New Roman" w:cs="Times New Roman"/>
          <w:color w:val="000000" w:themeColor="text1"/>
          <w:sz w:val="22"/>
          <w:szCs w:val="22"/>
        </w:rPr>
        <w:t>Kitojo</w:t>
      </w:r>
      <w:proofErr w:type="spellEnd"/>
      <w:r w:rsidRPr="00802606">
        <w:rPr>
          <w:rFonts w:ascii="Times New Roman" w:hAnsi="Times New Roman" w:cs="Times New Roman"/>
          <w:color w:val="000000" w:themeColor="text1"/>
          <w:sz w:val="22"/>
          <w:szCs w:val="22"/>
        </w:rPr>
        <w:t xml:space="preserve">, C., </w:t>
      </w:r>
      <w:proofErr w:type="spellStart"/>
      <w:r w:rsidRPr="00802606">
        <w:rPr>
          <w:rFonts w:ascii="Times New Roman" w:hAnsi="Times New Roman" w:cs="Times New Roman"/>
          <w:color w:val="000000" w:themeColor="text1"/>
          <w:sz w:val="22"/>
          <w:szCs w:val="22"/>
        </w:rPr>
        <w:t>Makene</w:t>
      </w:r>
      <w:proofErr w:type="spellEnd"/>
      <w:r w:rsidRPr="00802606">
        <w:rPr>
          <w:rFonts w:ascii="Times New Roman" w:hAnsi="Times New Roman" w:cs="Times New Roman"/>
          <w:color w:val="000000" w:themeColor="text1"/>
          <w:sz w:val="22"/>
          <w:szCs w:val="22"/>
        </w:rPr>
        <w:t xml:space="preserve">, T., Kyaw, T., Muller, M., Mwanza, A., Eckert, E. L., Parr, J. B., Lin, J. T., Juliano, J. J., &amp; </w:t>
      </w:r>
      <w:proofErr w:type="spellStart"/>
      <w:r w:rsidRPr="00802606">
        <w:rPr>
          <w:rFonts w:ascii="Times New Roman" w:hAnsi="Times New Roman" w:cs="Times New Roman"/>
          <w:color w:val="000000" w:themeColor="text1"/>
          <w:sz w:val="22"/>
          <w:szCs w:val="22"/>
        </w:rPr>
        <w:t>Ngasala</w:t>
      </w:r>
      <w:proofErr w:type="spellEnd"/>
      <w:r w:rsidRPr="00802606">
        <w:rPr>
          <w:rFonts w:ascii="Times New Roman" w:hAnsi="Times New Roman" w:cs="Times New Roman"/>
          <w:color w:val="000000" w:themeColor="text1"/>
          <w:sz w:val="22"/>
          <w:szCs w:val="22"/>
        </w:rPr>
        <w:t xml:space="preserve">, B. (2023). Similar prevalence of </w:t>
      </w:r>
      <w:r w:rsidRPr="00802606">
        <w:rPr>
          <w:rFonts w:ascii="Times New Roman" w:hAnsi="Times New Roman" w:cs="Times New Roman"/>
          <w:i/>
          <w:iCs/>
          <w:color w:val="000000" w:themeColor="text1"/>
          <w:sz w:val="22"/>
          <w:szCs w:val="22"/>
        </w:rPr>
        <w:t>Plasmodium falciparum</w:t>
      </w:r>
      <w:r w:rsidRPr="00802606">
        <w:rPr>
          <w:rFonts w:ascii="Times New Roman" w:hAnsi="Times New Roman" w:cs="Times New Roman"/>
          <w:color w:val="000000" w:themeColor="text1"/>
          <w:sz w:val="22"/>
          <w:szCs w:val="22"/>
        </w:rPr>
        <w:t xml:space="preserve"> and non–</w:t>
      </w:r>
      <w:r w:rsidRPr="00802606">
        <w:rPr>
          <w:rFonts w:ascii="Times New Roman" w:hAnsi="Times New Roman" w:cs="Times New Roman"/>
          <w:i/>
          <w:iCs/>
          <w:color w:val="000000" w:themeColor="text1"/>
          <w:sz w:val="22"/>
          <w:szCs w:val="22"/>
        </w:rPr>
        <w:t>P. falciparum</w:t>
      </w:r>
      <w:r w:rsidRPr="00802606">
        <w:rPr>
          <w:rFonts w:ascii="Times New Roman" w:hAnsi="Times New Roman" w:cs="Times New Roman"/>
          <w:color w:val="000000" w:themeColor="text1"/>
          <w:sz w:val="22"/>
          <w:szCs w:val="22"/>
        </w:rPr>
        <w:t xml:space="preserve"> infections among schoolchildren in Tanzania. </w:t>
      </w:r>
      <w:r w:rsidRPr="00802606">
        <w:rPr>
          <w:rFonts w:ascii="Times New Roman" w:hAnsi="Times New Roman" w:cs="Times New Roman"/>
          <w:i/>
          <w:iCs/>
          <w:color w:val="000000" w:themeColor="text1"/>
          <w:sz w:val="22"/>
          <w:szCs w:val="22"/>
        </w:rPr>
        <w:t>Emerging Infectious Diseases, 29</w:t>
      </w:r>
      <w:r w:rsidRPr="00802606">
        <w:rPr>
          <w:rFonts w:ascii="Times New Roman" w:hAnsi="Times New Roman" w:cs="Times New Roman"/>
          <w:color w:val="000000" w:themeColor="text1"/>
          <w:sz w:val="22"/>
          <w:szCs w:val="22"/>
        </w:rPr>
        <w:t xml:space="preserve">(6), 1143–1153. </w:t>
      </w:r>
      <w:hyperlink r:id="rId18" w:history="1">
        <w:r w:rsidRPr="00802606">
          <w:rPr>
            <w:rStyle w:val="Hyperlink"/>
            <w:rFonts w:ascii="Times New Roman" w:hAnsi="Times New Roman" w:cs="Times New Roman"/>
            <w:color w:val="000000" w:themeColor="text1"/>
            <w:sz w:val="22"/>
            <w:szCs w:val="22"/>
          </w:rPr>
          <w:t>https://doi.org/10.3201/eid2906.221016</w:t>
        </w:r>
      </w:hyperlink>
    </w:p>
    <w:p w14:paraId="7C076138"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Calderaro, A., Piccolo, G., &amp; </w:t>
      </w:r>
      <w:proofErr w:type="spellStart"/>
      <w:r w:rsidRPr="00802606">
        <w:rPr>
          <w:rFonts w:ascii="Times New Roman" w:hAnsi="Times New Roman" w:cs="Times New Roman"/>
          <w:color w:val="000000" w:themeColor="text1"/>
          <w:sz w:val="22"/>
          <w:szCs w:val="22"/>
        </w:rPr>
        <w:t>Chezzi</w:t>
      </w:r>
      <w:proofErr w:type="spellEnd"/>
      <w:r w:rsidRPr="00802606">
        <w:rPr>
          <w:rFonts w:ascii="Times New Roman" w:hAnsi="Times New Roman" w:cs="Times New Roman"/>
          <w:color w:val="000000" w:themeColor="text1"/>
          <w:sz w:val="22"/>
          <w:szCs w:val="22"/>
        </w:rPr>
        <w:t xml:space="preserve">, C. (2024). The laboratory diagnosis of malaria: A focus on diagnostic assays in non-endemic areas. </w:t>
      </w:r>
      <w:r w:rsidRPr="00802606">
        <w:rPr>
          <w:rFonts w:ascii="Times New Roman" w:hAnsi="Times New Roman" w:cs="Times New Roman"/>
          <w:i/>
          <w:iCs/>
          <w:color w:val="000000" w:themeColor="text1"/>
          <w:sz w:val="22"/>
          <w:szCs w:val="22"/>
        </w:rPr>
        <w:t>International Journal of Molecular Sciences, 25</w:t>
      </w:r>
      <w:r w:rsidRPr="00802606">
        <w:rPr>
          <w:rFonts w:ascii="Times New Roman" w:hAnsi="Times New Roman" w:cs="Times New Roman"/>
          <w:color w:val="000000" w:themeColor="text1"/>
          <w:sz w:val="22"/>
          <w:szCs w:val="22"/>
        </w:rPr>
        <w:t xml:space="preserve">(2). </w:t>
      </w:r>
      <w:hyperlink r:id="rId19" w:history="1">
        <w:r w:rsidRPr="00802606">
          <w:rPr>
            <w:rStyle w:val="Hyperlink"/>
            <w:rFonts w:ascii="Times New Roman" w:hAnsi="Times New Roman" w:cs="Times New Roman"/>
            <w:color w:val="000000" w:themeColor="text1"/>
            <w:sz w:val="22"/>
            <w:szCs w:val="22"/>
          </w:rPr>
          <w:t>https://doi.org/10.3390/ijms25020695</w:t>
        </w:r>
      </w:hyperlink>
    </w:p>
    <w:p w14:paraId="4229AD89"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Verma, A., Anand, A., Patel, V. A., Nazar, M. W., Mukherjee, A., Karim, K. A., </w:t>
      </w:r>
      <w:proofErr w:type="spellStart"/>
      <w:r w:rsidRPr="00802606">
        <w:rPr>
          <w:rFonts w:ascii="Times New Roman" w:hAnsi="Times New Roman" w:cs="Times New Roman"/>
          <w:color w:val="000000" w:themeColor="text1"/>
          <w:sz w:val="22"/>
          <w:szCs w:val="22"/>
        </w:rPr>
        <w:t>Oduoye</w:t>
      </w:r>
      <w:proofErr w:type="spellEnd"/>
      <w:r w:rsidRPr="00802606">
        <w:rPr>
          <w:rFonts w:ascii="Times New Roman" w:hAnsi="Times New Roman" w:cs="Times New Roman"/>
          <w:color w:val="000000" w:themeColor="text1"/>
          <w:sz w:val="22"/>
          <w:szCs w:val="22"/>
        </w:rPr>
        <w:t xml:space="preserve">, M. O., Satapathy, P., &amp; Rustagi, S. (2024). Breaking the malaria barrier: The WHO-approved R21/Matrix-M vaccine. </w:t>
      </w:r>
      <w:r w:rsidRPr="00802606">
        <w:rPr>
          <w:rFonts w:ascii="Times New Roman" w:hAnsi="Times New Roman" w:cs="Times New Roman"/>
          <w:i/>
          <w:iCs/>
          <w:color w:val="000000" w:themeColor="text1"/>
          <w:sz w:val="22"/>
          <w:szCs w:val="22"/>
        </w:rPr>
        <w:t>Annals of Medicine and Surgery, 86</w:t>
      </w:r>
      <w:r w:rsidRPr="00802606">
        <w:rPr>
          <w:rFonts w:ascii="Times New Roman" w:hAnsi="Times New Roman" w:cs="Times New Roman"/>
          <w:color w:val="000000" w:themeColor="text1"/>
          <w:sz w:val="22"/>
          <w:szCs w:val="22"/>
        </w:rPr>
        <w:t xml:space="preserve">(4), 1824–1827. </w:t>
      </w:r>
      <w:hyperlink r:id="rId20" w:history="1">
        <w:r w:rsidRPr="00802606">
          <w:rPr>
            <w:rStyle w:val="Hyperlink"/>
            <w:rFonts w:ascii="Times New Roman" w:hAnsi="Times New Roman" w:cs="Times New Roman"/>
            <w:color w:val="000000" w:themeColor="text1"/>
            <w:sz w:val="22"/>
            <w:szCs w:val="22"/>
          </w:rPr>
          <w:t>https://doi.org/10.1097/MS9.0000000000001648</w:t>
        </w:r>
      </w:hyperlink>
    </w:p>
    <w:p w14:paraId="53F334EA"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proofErr w:type="spellStart"/>
      <w:r w:rsidRPr="00802606">
        <w:rPr>
          <w:rFonts w:ascii="Times New Roman" w:hAnsi="Times New Roman" w:cs="Times New Roman"/>
          <w:color w:val="000000" w:themeColor="text1"/>
          <w:sz w:val="22"/>
          <w:szCs w:val="22"/>
        </w:rPr>
        <w:t>Aderinto</w:t>
      </w:r>
      <w:proofErr w:type="spellEnd"/>
      <w:r w:rsidRPr="00802606">
        <w:rPr>
          <w:rFonts w:ascii="Times New Roman" w:hAnsi="Times New Roman" w:cs="Times New Roman"/>
          <w:color w:val="000000" w:themeColor="text1"/>
          <w:sz w:val="22"/>
          <w:szCs w:val="22"/>
        </w:rPr>
        <w:t xml:space="preserve">, N., Olatunji, G., Kokori, E., </w:t>
      </w:r>
      <w:proofErr w:type="spellStart"/>
      <w:r w:rsidRPr="00802606">
        <w:rPr>
          <w:rFonts w:ascii="Times New Roman" w:hAnsi="Times New Roman" w:cs="Times New Roman"/>
          <w:color w:val="000000" w:themeColor="text1"/>
          <w:sz w:val="22"/>
          <w:szCs w:val="22"/>
        </w:rPr>
        <w:t>Sikirullahi</w:t>
      </w:r>
      <w:proofErr w:type="spellEnd"/>
      <w:r w:rsidRPr="00802606">
        <w:rPr>
          <w:rFonts w:ascii="Times New Roman" w:hAnsi="Times New Roman" w:cs="Times New Roman"/>
          <w:color w:val="000000" w:themeColor="text1"/>
          <w:sz w:val="22"/>
          <w:szCs w:val="22"/>
        </w:rPr>
        <w:t xml:space="preserve">, S., </w:t>
      </w:r>
      <w:proofErr w:type="spellStart"/>
      <w:r w:rsidRPr="00802606">
        <w:rPr>
          <w:rFonts w:ascii="Times New Roman" w:hAnsi="Times New Roman" w:cs="Times New Roman"/>
          <w:color w:val="000000" w:themeColor="text1"/>
          <w:sz w:val="22"/>
          <w:szCs w:val="22"/>
        </w:rPr>
        <w:t>Aboje</w:t>
      </w:r>
      <w:proofErr w:type="spellEnd"/>
      <w:r w:rsidRPr="00802606">
        <w:rPr>
          <w:rFonts w:ascii="Times New Roman" w:hAnsi="Times New Roman" w:cs="Times New Roman"/>
          <w:color w:val="000000" w:themeColor="text1"/>
          <w:sz w:val="22"/>
          <w:szCs w:val="22"/>
        </w:rPr>
        <w:t xml:space="preserve">, J. E., &amp; </w:t>
      </w:r>
      <w:proofErr w:type="spellStart"/>
      <w:r w:rsidRPr="00802606">
        <w:rPr>
          <w:rFonts w:ascii="Times New Roman" w:hAnsi="Times New Roman" w:cs="Times New Roman"/>
          <w:color w:val="000000" w:themeColor="text1"/>
          <w:sz w:val="22"/>
          <w:szCs w:val="22"/>
        </w:rPr>
        <w:t>Ojabo</w:t>
      </w:r>
      <w:proofErr w:type="spellEnd"/>
      <w:r w:rsidRPr="00802606">
        <w:rPr>
          <w:rFonts w:ascii="Times New Roman" w:hAnsi="Times New Roman" w:cs="Times New Roman"/>
          <w:color w:val="000000" w:themeColor="text1"/>
          <w:sz w:val="22"/>
          <w:szCs w:val="22"/>
        </w:rPr>
        <w:t xml:space="preserve">, R. E. (2024). A perspective on Oxford’s R21/Matrix-M malaria vaccine. </w:t>
      </w:r>
      <w:r w:rsidRPr="00802606">
        <w:rPr>
          <w:rFonts w:ascii="Times New Roman" w:hAnsi="Times New Roman" w:cs="Times New Roman"/>
          <w:i/>
          <w:iCs/>
          <w:color w:val="000000" w:themeColor="text1"/>
          <w:sz w:val="22"/>
          <w:szCs w:val="22"/>
        </w:rPr>
        <w:t>Malaria Journal, 23</w:t>
      </w:r>
      <w:r w:rsidRPr="00802606">
        <w:rPr>
          <w:rFonts w:ascii="Times New Roman" w:hAnsi="Times New Roman" w:cs="Times New Roman"/>
          <w:color w:val="000000" w:themeColor="text1"/>
          <w:sz w:val="22"/>
          <w:szCs w:val="22"/>
        </w:rPr>
        <w:t xml:space="preserve">(1). </w:t>
      </w:r>
      <w:hyperlink r:id="rId21" w:history="1">
        <w:r w:rsidRPr="00802606">
          <w:rPr>
            <w:rStyle w:val="Hyperlink"/>
            <w:rFonts w:ascii="Times New Roman" w:hAnsi="Times New Roman" w:cs="Times New Roman"/>
            <w:color w:val="000000" w:themeColor="text1"/>
            <w:sz w:val="22"/>
            <w:szCs w:val="22"/>
          </w:rPr>
          <w:t>https://doi.org/10.1186/s12936-024-04846-w</w:t>
        </w:r>
      </w:hyperlink>
    </w:p>
    <w:p w14:paraId="3441CE2C"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Jongo, S. A., </w:t>
      </w:r>
      <w:proofErr w:type="spellStart"/>
      <w:r w:rsidRPr="00802606">
        <w:rPr>
          <w:rFonts w:ascii="Times New Roman" w:hAnsi="Times New Roman" w:cs="Times New Roman"/>
          <w:color w:val="000000" w:themeColor="text1"/>
          <w:sz w:val="22"/>
          <w:szCs w:val="22"/>
        </w:rPr>
        <w:t>Nchama</w:t>
      </w:r>
      <w:proofErr w:type="spellEnd"/>
      <w:r w:rsidRPr="00802606">
        <w:rPr>
          <w:rFonts w:ascii="Times New Roman" w:hAnsi="Times New Roman" w:cs="Times New Roman"/>
          <w:color w:val="000000" w:themeColor="text1"/>
          <w:sz w:val="22"/>
          <w:szCs w:val="22"/>
        </w:rPr>
        <w:t xml:space="preserve">, V. U. N. N., Church, L. W. P., Olotu, A., Manock, S. R., Schindler, T., </w:t>
      </w:r>
      <w:proofErr w:type="spellStart"/>
      <w:r w:rsidRPr="00802606">
        <w:rPr>
          <w:rFonts w:ascii="Times New Roman" w:hAnsi="Times New Roman" w:cs="Times New Roman"/>
          <w:color w:val="000000" w:themeColor="text1"/>
          <w:sz w:val="22"/>
          <w:szCs w:val="22"/>
        </w:rPr>
        <w:t>Mtoro</w:t>
      </w:r>
      <w:proofErr w:type="spellEnd"/>
      <w:r w:rsidRPr="00802606">
        <w:rPr>
          <w:rFonts w:ascii="Times New Roman" w:hAnsi="Times New Roman" w:cs="Times New Roman"/>
          <w:color w:val="000000" w:themeColor="text1"/>
          <w:sz w:val="22"/>
          <w:szCs w:val="22"/>
        </w:rPr>
        <w:t xml:space="preserve">, A., Kc, N., Devinsky, O., Zan, E., Hamad, A., </w:t>
      </w:r>
      <w:proofErr w:type="spellStart"/>
      <w:r w:rsidRPr="00802606">
        <w:rPr>
          <w:rFonts w:ascii="Times New Roman" w:hAnsi="Times New Roman" w:cs="Times New Roman"/>
          <w:color w:val="000000" w:themeColor="text1"/>
          <w:sz w:val="22"/>
          <w:szCs w:val="22"/>
        </w:rPr>
        <w:t>Nyakarungu</w:t>
      </w:r>
      <w:proofErr w:type="spellEnd"/>
      <w:r w:rsidRPr="00802606">
        <w:rPr>
          <w:rFonts w:ascii="Times New Roman" w:hAnsi="Times New Roman" w:cs="Times New Roman"/>
          <w:color w:val="000000" w:themeColor="text1"/>
          <w:sz w:val="22"/>
          <w:szCs w:val="22"/>
        </w:rPr>
        <w:t xml:space="preserve">, E., </w:t>
      </w:r>
      <w:proofErr w:type="spellStart"/>
      <w:r w:rsidRPr="00802606">
        <w:rPr>
          <w:rFonts w:ascii="Times New Roman" w:hAnsi="Times New Roman" w:cs="Times New Roman"/>
          <w:color w:val="000000" w:themeColor="text1"/>
          <w:sz w:val="22"/>
          <w:szCs w:val="22"/>
        </w:rPr>
        <w:t>Mpina</w:t>
      </w:r>
      <w:proofErr w:type="spellEnd"/>
      <w:r w:rsidRPr="00802606">
        <w:rPr>
          <w:rFonts w:ascii="Times New Roman" w:hAnsi="Times New Roman" w:cs="Times New Roman"/>
          <w:color w:val="000000" w:themeColor="text1"/>
          <w:sz w:val="22"/>
          <w:szCs w:val="22"/>
        </w:rPr>
        <w:t xml:space="preserve">, M., Deal, A., </w:t>
      </w:r>
      <w:proofErr w:type="spellStart"/>
      <w:r w:rsidRPr="00802606">
        <w:rPr>
          <w:rFonts w:ascii="Times New Roman" w:hAnsi="Times New Roman" w:cs="Times New Roman"/>
          <w:color w:val="000000" w:themeColor="text1"/>
          <w:sz w:val="22"/>
          <w:szCs w:val="22"/>
        </w:rPr>
        <w:t>Bijeri</w:t>
      </w:r>
      <w:proofErr w:type="spellEnd"/>
      <w:r w:rsidRPr="00802606">
        <w:rPr>
          <w:rFonts w:ascii="Times New Roman" w:hAnsi="Times New Roman" w:cs="Times New Roman"/>
          <w:color w:val="000000" w:themeColor="text1"/>
          <w:sz w:val="22"/>
          <w:szCs w:val="22"/>
        </w:rPr>
        <w:t xml:space="preserve">, J. R., Ondo Mangue, M. E., </w:t>
      </w:r>
      <w:proofErr w:type="spellStart"/>
      <w:r w:rsidRPr="00802606">
        <w:rPr>
          <w:rFonts w:ascii="Times New Roman" w:hAnsi="Times New Roman" w:cs="Times New Roman"/>
          <w:color w:val="000000" w:themeColor="text1"/>
          <w:sz w:val="22"/>
          <w:szCs w:val="22"/>
        </w:rPr>
        <w:t>Ntutumu</w:t>
      </w:r>
      <w:proofErr w:type="spellEnd"/>
      <w:r w:rsidRPr="00802606">
        <w:rPr>
          <w:rFonts w:ascii="Times New Roman" w:hAnsi="Times New Roman" w:cs="Times New Roman"/>
          <w:color w:val="000000" w:themeColor="text1"/>
          <w:sz w:val="22"/>
          <w:szCs w:val="22"/>
        </w:rPr>
        <w:t xml:space="preserve"> </w:t>
      </w:r>
      <w:proofErr w:type="spellStart"/>
      <w:r w:rsidRPr="00802606">
        <w:rPr>
          <w:rFonts w:ascii="Times New Roman" w:hAnsi="Times New Roman" w:cs="Times New Roman"/>
          <w:color w:val="000000" w:themeColor="text1"/>
          <w:sz w:val="22"/>
          <w:szCs w:val="22"/>
        </w:rPr>
        <w:t>Pasialo</w:t>
      </w:r>
      <w:proofErr w:type="spellEnd"/>
      <w:r w:rsidRPr="00802606">
        <w:rPr>
          <w:rFonts w:ascii="Times New Roman" w:hAnsi="Times New Roman" w:cs="Times New Roman"/>
          <w:color w:val="000000" w:themeColor="text1"/>
          <w:sz w:val="22"/>
          <w:szCs w:val="22"/>
        </w:rPr>
        <w:t xml:space="preserve">, B. E., Nguema, G. N., Rivas, M. R., </w:t>
      </w:r>
      <w:proofErr w:type="spellStart"/>
      <w:r w:rsidRPr="00802606">
        <w:rPr>
          <w:rFonts w:ascii="Times New Roman" w:hAnsi="Times New Roman" w:cs="Times New Roman"/>
          <w:color w:val="000000" w:themeColor="text1"/>
          <w:sz w:val="22"/>
          <w:szCs w:val="22"/>
        </w:rPr>
        <w:t>Chemba</w:t>
      </w:r>
      <w:proofErr w:type="spellEnd"/>
      <w:r w:rsidRPr="00802606">
        <w:rPr>
          <w:rFonts w:ascii="Times New Roman" w:hAnsi="Times New Roman" w:cs="Times New Roman"/>
          <w:color w:val="000000" w:themeColor="text1"/>
          <w:sz w:val="22"/>
          <w:szCs w:val="22"/>
        </w:rPr>
        <w:t xml:space="preserve">, M., Ramadhani, K. K., James, E. R., Stabler, T. C., Abebe, Y., </w:t>
      </w:r>
      <w:proofErr w:type="spellStart"/>
      <w:r w:rsidRPr="00802606">
        <w:rPr>
          <w:rFonts w:ascii="Times New Roman" w:hAnsi="Times New Roman" w:cs="Times New Roman"/>
          <w:color w:val="000000" w:themeColor="text1"/>
          <w:sz w:val="22"/>
          <w:szCs w:val="22"/>
        </w:rPr>
        <w:t>Riyahi</w:t>
      </w:r>
      <w:proofErr w:type="spellEnd"/>
      <w:r w:rsidRPr="00802606">
        <w:rPr>
          <w:rFonts w:ascii="Times New Roman" w:hAnsi="Times New Roman" w:cs="Times New Roman"/>
          <w:color w:val="000000" w:themeColor="text1"/>
          <w:sz w:val="22"/>
          <w:szCs w:val="22"/>
        </w:rPr>
        <w:t xml:space="preserve">, P., Saverino, E. S., Sax, J., Hosch, S., </w:t>
      </w:r>
      <w:proofErr w:type="spellStart"/>
      <w:r w:rsidRPr="00802606">
        <w:rPr>
          <w:rFonts w:ascii="Times New Roman" w:hAnsi="Times New Roman" w:cs="Times New Roman"/>
          <w:color w:val="000000" w:themeColor="text1"/>
          <w:sz w:val="22"/>
          <w:szCs w:val="22"/>
        </w:rPr>
        <w:t>Tumbo</w:t>
      </w:r>
      <w:proofErr w:type="spellEnd"/>
      <w:r w:rsidRPr="00802606">
        <w:rPr>
          <w:rFonts w:ascii="Times New Roman" w:hAnsi="Times New Roman" w:cs="Times New Roman"/>
          <w:color w:val="000000" w:themeColor="text1"/>
          <w:sz w:val="22"/>
          <w:szCs w:val="22"/>
        </w:rPr>
        <w:t xml:space="preserve">, A., Gondwe, L., Segura, J. L., Falla, C. C., Phiri, W. P., Hergott, D. E. B., García, G. A., Maas, C., </w:t>
      </w:r>
      <w:proofErr w:type="spellStart"/>
      <w:r w:rsidRPr="00802606">
        <w:rPr>
          <w:rFonts w:ascii="Times New Roman" w:hAnsi="Times New Roman" w:cs="Times New Roman"/>
          <w:color w:val="000000" w:themeColor="text1"/>
          <w:sz w:val="22"/>
          <w:szCs w:val="22"/>
        </w:rPr>
        <w:t>Murshedkar</w:t>
      </w:r>
      <w:proofErr w:type="spellEnd"/>
      <w:r w:rsidRPr="00802606">
        <w:rPr>
          <w:rFonts w:ascii="Times New Roman" w:hAnsi="Times New Roman" w:cs="Times New Roman"/>
          <w:color w:val="000000" w:themeColor="text1"/>
          <w:sz w:val="22"/>
          <w:szCs w:val="22"/>
        </w:rPr>
        <w:t xml:space="preserve">, T., Billingsley, P. F., Tanner, M., </w:t>
      </w:r>
      <w:proofErr w:type="spellStart"/>
      <w:r w:rsidRPr="00802606">
        <w:rPr>
          <w:rFonts w:ascii="Times New Roman" w:hAnsi="Times New Roman" w:cs="Times New Roman"/>
          <w:color w:val="000000" w:themeColor="text1"/>
          <w:sz w:val="22"/>
          <w:szCs w:val="22"/>
        </w:rPr>
        <w:t>Ayekaba</w:t>
      </w:r>
      <w:proofErr w:type="spellEnd"/>
      <w:r w:rsidRPr="00802606">
        <w:rPr>
          <w:rFonts w:ascii="Times New Roman" w:hAnsi="Times New Roman" w:cs="Times New Roman"/>
          <w:color w:val="000000" w:themeColor="text1"/>
          <w:sz w:val="22"/>
          <w:szCs w:val="22"/>
        </w:rPr>
        <w:t xml:space="preserve">, M. O., Sim, B. K. L., </w:t>
      </w:r>
      <w:proofErr w:type="spellStart"/>
      <w:r w:rsidRPr="00802606">
        <w:rPr>
          <w:rFonts w:ascii="Times New Roman" w:hAnsi="Times New Roman" w:cs="Times New Roman"/>
          <w:color w:val="000000" w:themeColor="text1"/>
          <w:sz w:val="22"/>
          <w:szCs w:val="22"/>
        </w:rPr>
        <w:t>Daubenberger</w:t>
      </w:r>
      <w:proofErr w:type="spellEnd"/>
      <w:r w:rsidRPr="00802606">
        <w:rPr>
          <w:rFonts w:ascii="Times New Roman" w:hAnsi="Times New Roman" w:cs="Times New Roman"/>
          <w:color w:val="000000" w:themeColor="text1"/>
          <w:sz w:val="22"/>
          <w:szCs w:val="22"/>
        </w:rPr>
        <w:t xml:space="preserve">, C., Richie, T. L., Abdulla, S., &amp; Hoffman, S. L. (2023). Safety and immunogenicity of radiation-attenuated </w:t>
      </w:r>
      <w:proofErr w:type="spellStart"/>
      <w:r w:rsidRPr="00802606">
        <w:rPr>
          <w:rFonts w:ascii="Times New Roman" w:hAnsi="Times New Roman" w:cs="Times New Roman"/>
          <w:color w:val="000000" w:themeColor="text1"/>
          <w:sz w:val="22"/>
          <w:szCs w:val="22"/>
        </w:rPr>
        <w:t>PfSPZ</w:t>
      </w:r>
      <w:proofErr w:type="spellEnd"/>
      <w:r w:rsidRPr="00802606">
        <w:rPr>
          <w:rFonts w:ascii="Times New Roman" w:hAnsi="Times New Roman" w:cs="Times New Roman"/>
          <w:color w:val="000000" w:themeColor="text1"/>
          <w:sz w:val="22"/>
          <w:szCs w:val="22"/>
        </w:rPr>
        <w:t xml:space="preserve"> vaccine. </w:t>
      </w:r>
      <w:r w:rsidRPr="00802606">
        <w:rPr>
          <w:rFonts w:ascii="Times New Roman" w:hAnsi="Times New Roman" w:cs="Times New Roman"/>
          <w:i/>
          <w:iCs/>
          <w:color w:val="000000" w:themeColor="text1"/>
          <w:sz w:val="22"/>
          <w:szCs w:val="22"/>
        </w:rPr>
        <w:t>American Journal of Tropical Medicine and Hygiene, 109</w:t>
      </w:r>
      <w:r w:rsidRPr="00802606">
        <w:rPr>
          <w:rFonts w:ascii="Times New Roman" w:hAnsi="Times New Roman" w:cs="Times New Roman"/>
          <w:color w:val="000000" w:themeColor="text1"/>
          <w:sz w:val="22"/>
          <w:szCs w:val="22"/>
        </w:rPr>
        <w:t xml:space="preserve">(1), 138–146. </w:t>
      </w:r>
      <w:hyperlink r:id="rId22" w:history="1">
        <w:r w:rsidRPr="00802606">
          <w:rPr>
            <w:rStyle w:val="Hyperlink"/>
            <w:rFonts w:ascii="Times New Roman" w:hAnsi="Times New Roman" w:cs="Times New Roman"/>
            <w:color w:val="000000" w:themeColor="text1"/>
            <w:sz w:val="22"/>
            <w:szCs w:val="22"/>
          </w:rPr>
          <w:t>https://doi.org/10.4269/ajtmh.22-0773</w:t>
        </w:r>
      </w:hyperlink>
    </w:p>
    <w:p w14:paraId="5B8F4DAB"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Ouédraogo, A., Bougouma, E. C., Palacpac, N. M. Q., </w:t>
      </w:r>
      <w:proofErr w:type="spellStart"/>
      <w:r w:rsidRPr="00802606">
        <w:rPr>
          <w:rFonts w:ascii="Times New Roman" w:hAnsi="Times New Roman" w:cs="Times New Roman"/>
          <w:color w:val="000000" w:themeColor="text1"/>
          <w:sz w:val="22"/>
          <w:szCs w:val="22"/>
        </w:rPr>
        <w:t>Houard</w:t>
      </w:r>
      <w:proofErr w:type="spellEnd"/>
      <w:r w:rsidRPr="00802606">
        <w:rPr>
          <w:rFonts w:ascii="Times New Roman" w:hAnsi="Times New Roman" w:cs="Times New Roman"/>
          <w:color w:val="000000" w:themeColor="text1"/>
          <w:sz w:val="22"/>
          <w:szCs w:val="22"/>
        </w:rPr>
        <w:t xml:space="preserve">, S., Nebie, I., Sawadogo, J., Berges, G. D., Soulama, I., Diarra, A., Hien, D., Ouedraogo, A. Z., </w:t>
      </w:r>
      <w:proofErr w:type="spellStart"/>
      <w:r w:rsidRPr="00802606">
        <w:rPr>
          <w:rFonts w:ascii="Times New Roman" w:hAnsi="Times New Roman" w:cs="Times New Roman"/>
          <w:color w:val="000000" w:themeColor="text1"/>
          <w:sz w:val="22"/>
          <w:szCs w:val="22"/>
        </w:rPr>
        <w:t>Konaté</w:t>
      </w:r>
      <w:proofErr w:type="spellEnd"/>
      <w:r w:rsidRPr="00802606">
        <w:rPr>
          <w:rFonts w:ascii="Times New Roman" w:hAnsi="Times New Roman" w:cs="Times New Roman"/>
          <w:color w:val="000000" w:themeColor="text1"/>
          <w:sz w:val="22"/>
          <w:szCs w:val="22"/>
        </w:rPr>
        <w:t xml:space="preserve">, A. T., Kouanda, S., Myoui, A., </w:t>
      </w:r>
      <w:proofErr w:type="spellStart"/>
      <w:r w:rsidRPr="00802606">
        <w:rPr>
          <w:rFonts w:ascii="Times New Roman" w:hAnsi="Times New Roman" w:cs="Times New Roman"/>
          <w:color w:val="000000" w:themeColor="text1"/>
          <w:sz w:val="22"/>
          <w:szCs w:val="22"/>
        </w:rPr>
        <w:t>Ezoe</w:t>
      </w:r>
      <w:proofErr w:type="spellEnd"/>
      <w:r w:rsidRPr="00802606">
        <w:rPr>
          <w:rFonts w:ascii="Times New Roman" w:hAnsi="Times New Roman" w:cs="Times New Roman"/>
          <w:color w:val="000000" w:themeColor="text1"/>
          <w:sz w:val="22"/>
          <w:szCs w:val="22"/>
        </w:rPr>
        <w:t xml:space="preserve">, S., Ishii, K. J., Sato, T., D’Alessio, F., Leroy, O., Tiono, A. B., Cousens, S., Horii, T., &amp; Sirima, S. B. (2023). Safety and immunogenicity of BK-SE36/CpG malaria vaccine. </w:t>
      </w:r>
      <w:r w:rsidRPr="00802606">
        <w:rPr>
          <w:rFonts w:ascii="Times New Roman" w:hAnsi="Times New Roman" w:cs="Times New Roman"/>
          <w:i/>
          <w:iCs/>
          <w:color w:val="000000" w:themeColor="text1"/>
          <w:sz w:val="22"/>
          <w:szCs w:val="22"/>
        </w:rPr>
        <w:t>Frontiers in Immunology, 14</w:t>
      </w:r>
      <w:r w:rsidRPr="00802606">
        <w:rPr>
          <w:rFonts w:ascii="Times New Roman" w:hAnsi="Times New Roman" w:cs="Times New Roman"/>
          <w:color w:val="000000" w:themeColor="text1"/>
          <w:sz w:val="22"/>
          <w:szCs w:val="22"/>
        </w:rPr>
        <w:t xml:space="preserve">, 1267372. </w:t>
      </w:r>
      <w:hyperlink r:id="rId23" w:history="1">
        <w:r w:rsidRPr="00802606">
          <w:rPr>
            <w:rStyle w:val="Hyperlink"/>
            <w:rFonts w:ascii="Times New Roman" w:hAnsi="Times New Roman" w:cs="Times New Roman"/>
            <w:color w:val="000000" w:themeColor="text1"/>
            <w:sz w:val="22"/>
            <w:szCs w:val="22"/>
          </w:rPr>
          <w:t>https://doi.org/10.3389/fimmu.2023.1267372</w:t>
        </w:r>
      </w:hyperlink>
    </w:p>
    <w:p w14:paraId="23A3713D"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lastRenderedPageBreak/>
        <w:t xml:space="preserve">Silk, S. E., Kalinga, W. F., Salkeld, J., </w:t>
      </w:r>
      <w:proofErr w:type="spellStart"/>
      <w:r w:rsidRPr="00802606">
        <w:rPr>
          <w:rFonts w:ascii="Times New Roman" w:hAnsi="Times New Roman" w:cs="Times New Roman"/>
          <w:color w:val="000000" w:themeColor="text1"/>
          <w:sz w:val="22"/>
          <w:szCs w:val="22"/>
        </w:rPr>
        <w:t>Mtaka</w:t>
      </w:r>
      <w:proofErr w:type="spellEnd"/>
      <w:r w:rsidRPr="00802606">
        <w:rPr>
          <w:rFonts w:ascii="Times New Roman" w:hAnsi="Times New Roman" w:cs="Times New Roman"/>
          <w:color w:val="000000" w:themeColor="text1"/>
          <w:sz w:val="22"/>
          <w:szCs w:val="22"/>
        </w:rPr>
        <w:t xml:space="preserve">, I. M., Ahmed, S., </w:t>
      </w:r>
      <w:proofErr w:type="spellStart"/>
      <w:r w:rsidRPr="00802606">
        <w:rPr>
          <w:rFonts w:ascii="Times New Roman" w:hAnsi="Times New Roman" w:cs="Times New Roman"/>
          <w:color w:val="000000" w:themeColor="text1"/>
          <w:sz w:val="22"/>
          <w:szCs w:val="22"/>
        </w:rPr>
        <w:t>Milando</w:t>
      </w:r>
      <w:proofErr w:type="spellEnd"/>
      <w:r w:rsidRPr="00802606">
        <w:rPr>
          <w:rFonts w:ascii="Times New Roman" w:hAnsi="Times New Roman" w:cs="Times New Roman"/>
          <w:color w:val="000000" w:themeColor="text1"/>
          <w:sz w:val="22"/>
          <w:szCs w:val="22"/>
        </w:rPr>
        <w:t xml:space="preserve">, F., Diouf, A., Bundi, C. K., </w:t>
      </w:r>
      <w:proofErr w:type="spellStart"/>
      <w:r w:rsidRPr="00802606">
        <w:rPr>
          <w:rFonts w:ascii="Times New Roman" w:hAnsi="Times New Roman" w:cs="Times New Roman"/>
          <w:color w:val="000000" w:themeColor="text1"/>
          <w:sz w:val="22"/>
          <w:szCs w:val="22"/>
        </w:rPr>
        <w:t>Balige</w:t>
      </w:r>
      <w:proofErr w:type="spellEnd"/>
      <w:r w:rsidRPr="00802606">
        <w:rPr>
          <w:rFonts w:ascii="Times New Roman" w:hAnsi="Times New Roman" w:cs="Times New Roman"/>
          <w:color w:val="000000" w:themeColor="text1"/>
          <w:sz w:val="22"/>
          <w:szCs w:val="22"/>
        </w:rPr>
        <w:t xml:space="preserve">, N., Hassan, O., </w:t>
      </w:r>
      <w:proofErr w:type="spellStart"/>
      <w:r w:rsidRPr="00802606">
        <w:rPr>
          <w:rFonts w:ascii="Times New Roman" w:hAnsi="Times New Roman" w:cs="Times New Roman"/>
          <w:color w:val="000000" w:themeColor="text1"/>
          <w:sz w:val="22"/>
          <w:szCs w:val="22"/>
        </w:rPr>
        <w:t>Mkindi</w:t>
      </w:r>
      <w:proofErr w:type="spellEnd"/>
      <w:r w:rsidRPr="00802606">
        <w:rPr>
          <w:rFonts w:ascii="Times New Roman" w:hAnsi="Times New Roman" w:cs="Times New Roman"/>
          <w:color w:val="000000" w:themeColor="text1"/>
          <w:sz w:val="22"/>
          <w:szCs w:val="22"/>
        </w:rPr>
        <w:t xml:space="preserve">, C. G., </w:t>
      </w:r>
      <w:proofErr w:type="spellStart"/>
      <w:r w:rsidRPr="00802606">
        <w:rPr>
          <w:rFonts w:ascii="Times New Roman" w:hAnsi="Times New Roman" w:cs="Times New Roman"/>
          <w:color w:val="000000" w:themeColor="text1"/>
          <w:sz w:val="22"/>
          <w:szCs w:val="22"/>
        </w:rPr>
        <w:t>Rwezaula</w:t>
      </w:r>
      <w:proofErr w:type="spellEnd"/>
      <w:r w:rsidRPr="00802606">
        <w:rPr>
          <w:rFonts w:ascii="Times New Roman" w:hAnsi="Times New Roman" w:cs="Times New Roman"/>
          <w:color w:val="000000" w:themeColor="text1"/>
          <w:sz w:val="22"/>
          <w:szCs w:val="22"/>
        </w:rPr>
        <w:t xml:space="preserve">, S., </w:t>
      </w:r>
      <w:proofErr w:type="spellStart"/>
      <w:r w:rsidRPr="00802606">
        <w:rPr>
          <w:rFonts w:ascii="Times New Roman" w:hAnsi="Times New Roman" w:cs="Times New Roman"/>
          <w:color w:val="000000" w:themeColor="text1"/>
          <w:sz w:val="22"/>
          <w:szCs w:val="22"/>
        </w:rPr>
        <w:t>Athumani</w:t>
      </w:r>
      <w:proofErr w:type="spellEnd"/>
      <w:r w:rsidRPr="00802606">
        <w:rPr>
          <w:rFonts w:ascii="Times New Roman" w:hAnsi="Times New Roman" w:cs="Times New Roman"/>
          <w:color w:val="000000" w:themeColor="text1"/>
          <w:sz w:val="22"/>
          <w:szCs w:val="22"/>
        </w:rPr>
        <w:t xml:space="preserve">, T., </w:t>
      </w:r>
      <w:proofErr w:type="spellStart"/>
      <w:r w:rsidRPr="00802606">
        <w:rPr>
          <w:rFonts w:ascii="Times New Roman" w:hAnsi="Times New Roman" w:cs="Times New Roman"/>
          <w:color w:val="000000" w:themeColor="text1"/>
          <w:sz w:val="22"/>
          <w:szCs w:val="22"/>
        </w:rPr>
        <w:t>Mswata</w:t>
      </w:r>
      <w:proofErr w:type="spellEnd"/>
      <w:r w:rsidRPr="00802606">
        <w:rPr>
          <w:rFonts w:ascii="Times New Roman" w:hAnsi="Times New Roman" w:cs="Times New Roman"/>
          <w:color w:val="000000" w:themeColor="text1"/>
          <w:sz w:val="22"/>
          <w:szCs w:val="22"/>
        </w:rPr>
        <w:t xml:space="preserve">, S., </w:t>
      </w:r>
      <w:proofErr w:type="spellStart"/>
      <w:r w:rsidRPr="00802606">
        <w:rPr>
          <w:rFonts w:ascii="Times New Roman" w:hAnsi="Times New Roman" w:cs="Times New Roman"/>
          <w:color w:val="000000" w:themeColor="text1"/>
          <w:sz w:val="22"/>
          <w:szCs w:val="22"/>
        </w:rPr>
        <w:t>Lilolime</w:t>
      </w:r>
      <w:proofErr w:type="spellEnd"/>
      <w:r w:rsidRPr="00802606">
        <w:rPr>
          <w:rFonts w:ascii="Times New Roman" w:hAnsi="Times New Roman" w:cs="Times New Roman"/>
          <w:color w:val="000000" w:themeColor="text1"/>
          <w:sz w:val="22"/>
          <w:szCs w:val="22"/>
        </w:rPr>
        <w:t xml:space="preserve">, N. S., Simon, B., </w:t>
      </w:r>
      <w:proofErr w:type="spellStart"/>
      <w:r w:rsidRPr="00802606">
        <w:rPr>
          <w:rFonts w:ascii="Times New Roman" w:hAnsi="Times New Roman" w:cs="Times New Roman"/>
          <w:color w:val="000000" w:themeColor="text1"/>
          <w:sz w:val="22"/>
          <w:szCs w:val="22"/>
        </w:rPr>
        <w:t>Msami</w:t>
      </w:r>
      <w:proofErr w:type="spellEnd"/>
      <w:r w:rsidRPr="00802606">
        <w:rPr>
          <w:rFonts w:ascii="Times New Roman" w:hAnsi="Times New Roman" w:cs="Times New Roman"/>
          <w:color w:val="000000" w:themeColor="text1"/>
          <w:sz w:val="22"/>
          <w:szCs w:val="22"/>
        </w:rPr>
        <w:t xml:space="preserve">, H., Mohamed, M., David, D. M., Mohammed, L., </w:t>
      </w:r>
      <w:proofErr w:type="spellStart"/>
      <w:r w:rsidRPr="00802606">
        <w:rPr>
          <w:rFonts w:ascii="Times New Roman" w:hAnsi="Times New Roman" w:cs="Times New Roman"/>
          <w:color w:val="000000" w:themeColor="text1"/>
          <w:sz w:val="22"/>
          <w:szCs w:val="22"/>
        </w:rPr>
        <w:t>Nyaulingo</w:t>
      </w:r>
      <w:proofErr w:type="spellEnd"/>
      <w:r w:rsidRPr="00802606">
        <w:rPr>
          <w:rFonts w:ascii="Times New Roman" w:hAnsi="Times New Roman" w:cs="Times New Roman"/>
          <w:color w:val="000000" w:themeColor="text1"/>
          <w:sz w:val="22"/>
          <w:szCs w:val="22"/>
        </w:rPr>
        <w:t xml:space="preserve">, G., Mwalimu, B., Juma, O., Mwamlima, T. G., </w:t>
      </w:r>
      <w:proofErr w:type="spellStart"/>
      <w:r w:rsidRPr="00802606">
        <w:rPr>
          <w:rFonts w:ascii="Times New Roman" w:hAnsi="Times New Roman" w:cs="Times New Roman"/>
          <w:color w:val="000000" w:themeColor="text1"/>
          <w:sz w:val="22"/>
          <w:szCs w:val="22"/>
        </w:rPr>
        <w:t>Sasamalo</w:t>
      </w:r>
      <w:proofErr w:type="spellEnd"/>
      <w:r w:rsidRPr="00802606">
        <w:rPr>
          <w:rFonts w:ascii="Times New Roman" w:hAnsi="Times New Roman" w:cs="Times New Roman"/>
          <w:color w:val="000000" w:themeColor="text1"/>
          <w:sz w:val="22"/>
          <w:szCs w:val="22"/>
        </w:rPr>
        <w:t xml:space="preserve">, I. A., </w:t>
      </w:r>
      <w:proofErr w:type="spellStart"/>
      <w:r w:rsidRPr="00802606">
        <w:rPr>
          <w:rFonts w:ascii="Times New Roman" w:hAnsi="Times New Roman" w:cs="Times New Roman"/>
          <w:color w:val="000000" w:themeColor="text1"/>
          <w:sz w:val="22"/>
          <w:szCs w:val="22"/>
        </w:rPr>
        <w:t>Mkumbange</w:t>
      </w:r>
      <w:proofErr w:type="spellEnd"/>
      <w:r w:rsidRPr="00802606">
        <w:rPr>
          <w:rFonts w:ascii="Times New Roman" w:hAnsi="Times New Roman" w:cs="Times New Roman"/>
          <w:color w:val="000000" w:themeColor="text1"/>
          <w:sz w:val="22"/>
          <w:szCs w:val="22"/>
        </w:rPr>
        <w:t xml:space="preserve">, R. P., </w:t>
      </w:r>
      <w:proofErr w:type="spellStart"/>
      <w:r w:rsidRPr="00802606">
        <w:rPr>
          <w:rFonts w:ascii="Times New Roman" w:hAnsi="Times New Roman" w:cs="Times New Roman"/>
          <w:color w:val="000000" w:themeColor="text1"/>
          <w:sz w:val="22"/>
          <w:szCs w:val="22"/>
        </w:rPr>
        <w:t>Kamage</w:t>
      </w:r>
      <w:proofErr w:type="spellEnd"/>
      <w:r w:rsidRPr="00802606">
        <w:rPr>
          <w:rFonts w:ascii="Times New Roman" w:hAnsi="Times New Roman" w:cs="Times New Roman"/>
          <w:color w:val="000000" w:themeColor="text1"/>
          <w:sz w:val="22"/>
          <w:szCs w:val="22"/>
        </w:rPr>
        <w:t xml:space="preserve">, J. J., Barrett, J. R., King, L. D. W., Hou, M. M., Pulido, D., </w:t>
      </w:r>
      <w:proofErr w:type="spellStart"/>
      <w:r w:rsidRPr="00802606">
        <w:rPr>
          <w:rFonts w:ascii="Times New Roman" w:hAnsi="Times New Roman" w:cs="Times New Roman"/>
          <w:color w:val="000000" w:themeColor="text1"/>
          <w:sz w:val="22"/>
          <w:szCs w:val="22"/>
        </w:rPr>
        <w:t>Carnrot</w:t>
      </w:r>
      <w:proofErr w:type="spellEnd"/>
      <w:r w:rsidRPr="00802606">
        <w:rPr>
          <w:rFonts w:ascii="Times New Roman" w:hAnsi="Times New Roman" w:cs="Times New Roman"/>
          <w:color w:val="000000" w:themeColor="text1"/>
          <w:sz w:val="22"/>
          <w:szCs w:val="22"/>
        </w:rPr>
        <w:t xml:space="preserve">, C., Lawrie, A. M., Cowan, R. E., Nugent, F. L., Roberts, R., Cho, J. S., Long, C. A., Nielsen, C. M., Miura, K., Draper, S. J., Olotu, A. I., &amp; Minassian, A. M. (2024). Blood-stage malaria vaccine candidate RH5.1/Matrix-M. </w:t>
      </w:r>
      <w:r w:rsidRPr="00802606">
        <w:rPr>
          <w:rFonts w:ascii="Times New Roman" w:hAnsi="Times New Roman" w:cs="Times New Roman"/>
          <w:i/>
          <w:iCs/>
          <w:color w:val="000000" w:themeColor="text1"/>
          <w:sz w:val="22"/>
          <w:szCs w:val="22"/>
        </w:rPr>
        <w:t>Lancet Infectious Diseases, 24</w:t>
      </w:r>
      <w:r w:rsidRPr="00802606">
        <w:rPr>
          <w:rFonts w:ascii="Times New Roman" w:hAnsi="Times New Roman" w:cs="Times New Roman"/>
          <w:color w:val="000000" w:themeColor="text1"/>
          <w:sz w:val="22"/>
          <w:szCs w:val="22"/>
        </w:rPr>
        <w:t xml:space="preserve">(10), 1105–1117. </w:t>
      </w:r>
      <w:hyperlink r:id="rId24" w:history="1">
        <w:r w:rsidRPr="00802606">
          <w:rPr>
            <w:rStyle w:val="Hyperlink"/>
            <w:rFonts w:ascii="Times New Roman" w:hAnsi="Times New Roman" w:cs="Times New Roman"/>
            <w:color w:val="000000" w:themeColor="text1"/>
            <w:sz w:val="22"/>
            <w:szCs w:val="22"/>
          </w:rPr>
          <w:t>https://doi.org/10.1016/S1473-3099(24)00312-8</w:t>
        </w:r>
      </w:hyperlink>
    </w:p>
    <w:p w14:paraId="503BFC03"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Rausch, K. M., </w:t>
      </w:r>
      <w:proofErr w:type="spellStart"/>
      <w:r w:rsidRPr="00802606">
        <w:rPr>
          <w:rFonts w:ascii="Times New Roman" w:hAnsi="Times New Roman" w:cs="Times New Roman"/>
          <w:color w:val="000000" w:themeColor="text1"/>
          <w:sz w:val="22"/>
          <w:szCs w:val="22"/>
        </w:rPr>
        <w:t>Barnafo</w:t>
      </w:r>
      <w:proofErr w:type="spellEnd"/>
      <w:r w:rsidRPr="00802606">
        <w:rPr>
          <w:rFonts w:ascii="Times New Roman" w:hAnsi="Times New Roman" w:cs="Times New Roman"/>
          <w:color w:val="000000" w:themeColor="text1"/>
          <w:sz w:val="22"/>
          <w:szCs w:val="22"/>
        </w:rPr>
        <w:t xml:space="preserve">, E. K., Lambert, L. E., </w:t>
      </w:r>
      <w:proofErr w:type="spellStart"/>
      <w:r w:rsidRPr="00802606">
        <w:rPr>
          <w:rFonts w:ascii="Times New Roman" w:hAnsi="Times New Roman" w:cs="Times New Roman"/>
          <w:color w:val="000000" w:themeColor="text1"/>
          <w:sz w:val="22"/>
          <w:szCs w:val="22"/>
        </w:rPr>
        <w:t>Muratova</w:t>
      </w:r>
      <w:proofErr w:type="spellEnd"/>
      <w:r w:rsidRPr="00802606">
        <w:rPr>
          <w:rFonts w:ascii="Times New Roman" w:hAnsi="Times New Roman" w:cs="Times New Roman"/>
          <w:color w:val="000000" w:themeColor="text1"/>
          <w:sz w:val="22"/>
          <w:szCs w:val="22"/>
        </w:rPr>
        <w:t xml:space="preserve">, O., Gorres, J. P., Anderson, C., Narum, D. L., Wu, Y., Morrison, R. D., Zaidi, I., &amp; Duffy, P. E. (2023). Preclinical evaluations of malaria transmission-blocking vaccines. </w:t>
      </w:r>
      <w:proofErr w:type="spellStart"/>
      <w:r w:rsidRPr="00802606">
        <w:rPr>
          <w:rFonts w:ascii="Times New Roman" w:hAnsi="Times New Roman" w:cs="Times New Roman"/>
          <w:i/>
          <w:iCs/>
          <w:color w:val="000000" w:themeColor="text1"/>
          <w:sz w:val="22"/>
          <w:szCs w:val="22"/>
        </w:rPr>
        <w:t>iScience</w:t>
      </w:r>
      <w:proofErr w:type="spellEnd"/>
      <w:r w:rsidRPr="00802606">
        <w:rPr>
          <w:rFonts w:ascii="Times New Roman" w:hAnsi="Times New Roman" w:cs="Times New Roman"/>
          <w:i/>
          <w:iCs/>
          <w:color w:val="000000" w:themeColor="text1"/>
          <w:sz w:val="22"/>
          <w:szCs w:val="22"/>
        </w:rPr>
        <w:t>, 26</w:t>
      </w:r>
      <w:r w:rsidRPr="00802606">
        <w:rPr>
          <w:rFonts w:ascii="Times New Roman" w:hAnsi="Times New Roman" w:cs="Times New Roman"/>
          <w:color w:val="000000" w:themeColor="text1"/>
          <w:sz w:val="22"/>
          <w:szCs w:val="22"/>
        </w:rPr>
        <w:t xml:space="preserve">(7), 107192. </w:t>
      </w:r>
      <w:hyperlink r:id="rId25" w:history="1">
        <w:r w:rsidRPr="00802606">
          <w:rPr>
            <w:rStyle w:val="Hyperlink"/>
            <w:rFonts w:ascii="Times New Roman" w:hAnsi="Times New Roman" w:cs="Times New Roman"/>
            <w:color w:val="000000" w:themeColor="text1"/>
            <w:sz w:val="22"/>
            <w:szCs w:val="22"/>
          </w:rPr>
          <w:t>https://doi.org/10.1016/j.isci.2023.107192</w:t>
        </w:r>
      </w:hyperlink>
    </w:p>
    <w:p w14:paraId="283FEA8A"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Sagara, I., Healy, S. A., </w:t>
      </w:r>
      <w:proofErr w:type="spellStart"/>
      <w:r w:rsidRPr="00802606">
        <w:rPr>
          <w:rFonts w:ascii="Times New Roman" w:hAnsi="Times New Roman" w:cs="Times New Roman"/>
          <w:color w:val="000000" w:themeColor="text1"/>
          <w:sz w:val="22"/>
          <w:szCs w:val="22"/>
        </w:rPr>
        <w:t>Assadou</w:t>
      </w:r>
      <w:proofErr w:type="spellEnd"/>
      <w:r w:rsidRPr="00802606">
        <w:rPr>
          <w:rFonts w:ascii="Times New Roman" w:hAnsi="Times New Roman" w:cs="Times New Roman"/>
          <w:color w:val="000000" w:themeColor="text1"/>
          <w:sz w:val="22"/>
          <w:szCs w:val="22"/>
        </w:rPr>
        <w:t xml:space="preserve">, M. H., Kone, M., Swihart, B. J., Kwan, J. L., </w:t>
      </w:r>
      <w:proofErr w:type="spellStart"/>
      <w:r w:rsidRPr="00802606">
        <w:rPr>
          <w:rFonts w:ascii="Times New Roman" w:hAnsi="Times New Roman" w:cs="Times New Roman"/>
          <w:color w:val="000000" w:themeColor="text1"/>
          <w:sz w:val="22"/>
          <w:szCs w:val="22"/>
        </w:rPr>
        <w:t>Fintzi</w:t>
      </w:r>
      <w:proofErr w:type="spellEnd"/>
      <w:r w:rsidRPr="00802606">
        <w:rPr>
          <w:rFonts w:ascii="Times New Roman" w:hAnsi="Times New Roman" w:cs="Times New Roman"/>
          <w:color w:val="000000" w:themeColor="text1"/>
          <w:sz w:val="22"/>
          <w:szCs w:val="22"/>
        </w:rPr>
        <w:t xml:space="preserve">, J., Sissoko, K., Kamate, B., Samake, Y., Guindo, M. A., Doucoure, M., Niaré, K., Dolo, A., Diarra, B., Rausch, K. M., Narum, D. L., Jones, D. S., MacDonald, N. J., Zhu, D., Gorres, J. P., </w:t>
      </w:r>
      <w:proofErr w:type="spellStart"/>
      <w:r w:rsidRPr="00802606">
        <w:rPr>
          <w:rFonts w:ascii="Times New Roman" w:hAnsi="Times New Roman" w:cs="Times New Roman"/>
          <w:color w:val="000000" w:themeColor="text1"/>
          <w:sz w:val="22"/>
          <w:szCs w:val="22"/>
        </w:rPr>
        <w:t>Imeru</w:t>
      </w:r>
      <w:proofErr w:type="spellEnd"/>
      <w:r w:rsidRPr="00802606">
        <w:rPr>
          <w:rFonts w:ascii="Times New Roman" w:hAnsi="Times New Roman" w:cs="Times New Roman"/>
          <w:color w:val="000000" w:themeColor="text1"/>
          <w:sz w:val="22"/>
          <w:szCs w:val="22"/>
        </w:rPr>
        <w:t xml:space="preserve">, A., Mohan, R., Thera, I., Zaidi, I., Salazar-Miralles, F., Duan, J., Neal, J., Morrison, R. D., </w:t>
      </w:r>
      <w:proofErr w:type="spellStart"/>
      <w:r w:rsidRPr="00802606">
        <w:rPr>
          <w:rFonts w:ascii="Times New Roman" w:hAnsi="Times New Roman" w:cs="Times New Roman"/>
          <w:color w:val="000000" w:themeColor="text1"/>
          <w:sz w:val="22"/>
          <w:szCs w:val="22"/>
        </w:rPr>
        <w:t>Muratova</w:t>
      </w:r>
      <w:proofErr w:type="spellEnd"/>
      <w:r w:rsidRPr="00802606">
        <w:rPr>
          <w:rFonts w:ascii="Times New Roman" w:hAnsi="Times New Roman" w:cs="Times New Roman"/>
          <w:color w:val="000000" w:themeColor="text1"/>
          <w:sz w:val="22"/>
          <w:szCs w:val="22"/>
        </w:rPr>
        <w:t xml:space="preserve">, O., Sylla, D., O’Connell, E. M., Wu, Y., Hume, J. C. C., Coulibaly, M. B., Anderson, C. F., Traore, S. F., Doumbo, O. K., &amp; Duffy, P. E. (2023). Malaria transmission-blocking vaccines trial. </w:t>
      </w:r>
      <w:r w:rsidRPr="00802606">
        <w:rPr>
          <w:rFonts w:ascii="Times New Roman" w:hAnsi="Times New Roman" w:cs="Times New Roman"/>
          <w:i/>
          <w:iCs/>
          <w:color w:val="000000" w:themeColor="text1"/>
          <w:sz w:val="22"/>
          <w:szCs w:val="22"/>
        </w:rPr>
        <w:t>Lancet Infectious Diseases, 23</w:t>
      </w:r>
      <w:r w:rsidRPr="00802606">
        <w:rPr>
          <w:rFonts w:ascii="Times New Roman" w:hAnsi="Times New Roman" w:cs="Times New Roman"/>
          <w:color w:val="000000" w:themeColor="text1"/>
          <w:sz w:val="22"/>
          <w:szCs w:val="22"/>
        </w:rPr>
        <w:t xml:space="preserve">(11), 1266–1279. </w:t>
      </w:r>
      <w:hyperlink r:id="rId26" w:history="1">
        <w:r w:rsidRPr="00802606">
          <w:rPr>
            <w:rStyle w:val="Hyperlink"/>
            <w:rFonts w:ascii="Times New Roman" w:hAnsi="Times New Roman" w:cs="Times New Roman"/>
            <w:color w:val="000000" w:themeColor="text1"/>
            <w:sz w:val="22"/>
            <w:szCs w:val="22"/>
          </w:rPr>
          <w:t>https://doi.org/10.1016/S1473-3099(23)00276-1</w:t>
        </w:r>
      </w:hyperlink>
    </w:p>
    <w:p w14:paraId="371575BE"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Tsoumani, M. E., </w:t>
      </w:r>
      <w:proofErr w:type="spellStart"/>
      <w:r w:rsidRPr="00802606">
        <w:rPr>
          <w:rFonts w:ascii="Times New Roman" w:hAnsi="Times New Roman" w:cs="Times New Roman"/>
          <w:color w:val="000000" w:themeColor="text1"/>
          <w:sz w:val="22"/>
          <w:szCs w:val="22"/>
        </w:rPr>
        <w:t>Voyiatzaki</w:t>
      </w:r>
      <w:proofErr w:type="spellEnd"/>
      <w:r w:rsidRPr="00802606">
        <w:rPr>
          <w:rFonts w:ascii="Times New Roman" w:hAnsi="Times New Roman" w:cs="Times New Roman"/>
          <w:color w:val="000000" w:themeColor="text1"/>
          <w:sz w:val="22"/>
          <w:szCs w:val="22"/>
        </w:rPr>
        <w:t xml:space="preserve">, C., &amp; Efstathiou, A. (2023). Malaria vaccines: Toward the mRNA vaccine era. </w:t>
      </w:r>
      <w:r w:rsidRPr="00802606">
        <w:rPr>
          <w:rFonts w:ascii="Times New Roman" w:hAnsi="Times New Roman" w:cs="Times New Roman"/>
          <w:i/>
          <w:iCs/>
          <w:color w:val="000000" w:themeColor="text1"/>
          <w:sz w:val="22"/>
          <w:szCs w:val="22"/>
        </w:rPr>
        <w:t>Vaccines, 11</w:t>
      </w:r>
      <w:r w:rsidRPr="00802606">
        <w:rPr>
          <w:rFonts w:ascii="Times New Roman" w:hAnsi="Times New Roman" w:cs="Times New Roman"/>
          <w:color w:val="000000" w:themeColor="text1"/>
          <w:sz w:val="22"/>
          <w:szCs w:val="22"/>
        </w:rPr>
        <w:t xml:space="preserve">(9). </w:t>
      </w:r>
      <w:hyperlink r:id="rId27" w:history="1">
        <w:r w:rsidRPr="00802606">
          <w:rPr>
            <w:rStyle w:val="Hyperlink"/>
            <w:rFonts w:ascii="Times New Roman" w:hAnsi="Times New Roman" w:cs="Times New Roman"/>
            <w:color w:val="000000" w:themeColor="text1"/>
            <w:sz w:val="22"/>
            <w:szCs w:val="22"/>
          </w:rPr>
          <w:t>https://doi.org/10.3390/vaccines11091452</w:t>
        </w:r>
      </w:hyperlink>
    </w:p>
    <w:p w14:paraId="4D52CA0C"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Franco, P., Jain, R., Rosenkrands-Lange, E., Hey, C., &amp; Koban, M. U. (2023). Regulatory pathways supporting expedited drug development. </w:t>
      </w:r>
      <w:r w:rsidRPr="00802606">
        <w:rPr>
          <w:rFonts w:ascii="Times New Roman" w:hAnsi="Times New Roman" w:cs="Times New Roman"/>
          <w:i/>
          <w:iCs/>
          <w:color w:val="000000" w:themeColor="text1"/>
          <w:sz w:val="22"/>
          <w:szCs w:val="22"/>
        </w:rPr>
        <w:t>Therapeutic Innovation &amp; Regulatory Science, 57</w:t>
      </w:r>
      <w:r w:rsidRPr="00802606">
        <w:rPr>
          <w:rFonts w:ascii="Times New Roman" w:hAnsi="Times New Roman" w:cs="Times New Roman"/>
          <w:color w:val="000000" w:themeColor="text1"/>
          <w:sz w:val="22"/>
          <w:szCs w:val="22"/>
        </w:rPr>
        <w:t xml:space="preserve">(3), 484–514. </w:t>
      </w:r>
      <w:hyperlink r:id="rId28" w:history="1">
        <w:r w:rsidRPr="00802606">
          <w:rPr>
            <w:rStyle w:val="Hyperlink"/>
            <w:rFonts w:ascii="Times New Roman" w:hAnsi="Times New Roman" w:cs="Times New Roman"/>
            <w:color w:val="000000" w:themeColor="text1"/>
            <w:sz w:val="22"/>
            <w:szCs w:val="22"/>
          </w:rPr>
          <w:t>https://doi.org/10.1007/s43441-022-00480-3</w:t>
        </w:r>
      </w:hyperlink>
    </w:p>
    <w:p w14:paraId="7C1E07E5"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Salalli, R., Dange, J. R., Dhiman, S., &amp; Sharma, T. (2023). Vaccine development in India: Advances and challenges. </w:t>
      </w:r>
      <w:r w:rsidRPr="00802606">
        <w:rPr>
          <w:rFonts w:ascii="Times New Roman" w:hAnsi="Times New Roman" w:cs="Times New Roman"/>
          <w:i/>
          <w:iCs/>
          <w:color w:val="000000" w:themeColor="text1"/>
          <w:sz w:val="22"/>
          <w:szCs w:val="22"/>
        </w:rPr>
        <w:t>Clinical and Experimental Vaccine Research, 12</w:t>
      </w:r>
      <w:r w:rsidRPr="00802606">
        <w:rPr>
          <w:rFonts w:ascii="Times New Roman" w:hAnsi="Times New Roman" w:cs="Times New Roman"/>
          <w:color w:val="000000" w:themeColor="text1"/>
          <w:sz w:val="22"/>
          <w:szCs w:val="22"/>
        </w:rPr>
        <w:t xml:space="preserve">(3), 193–208. </w:t>
      </w:r>
      <w:hyperlink r:id="rId29" w:history="1">
        <w:r w:rsidRPr="00802606">
          <w:rPr>
            <w:rStyle w:val="Hyperlink"/>
            <w:rFonts w:ascii="Times New Roman" w:hAnsi="Times New Roman" w:cs="Times New Roman"/>
            <w:color w:val="000000" w:themeColor="text1"/>
            <w:sz w:val="22"/>
            <w:szCs w:val="22"/>
          </w:rPr>
          <w:t>https://doi.org/10.7774/cevr.2023.12.3.193</w:t>
        </w:r>
      </w:hyperlink>
    </w:p>
    <w:p w14:paraId="2721DEB8"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Okuyama, R. (2023). mRNA and adenoviral vector vaccine platforms. </w:t>
      </w:r>
      <w:r w:rsidRPr="00802606">
        <w:rPr>
          <w:rFonts w:ascii="Times New Roman" w:hAnsi="Times New Roman" w:cs="Times New Roman"/>
          <w:i/>
          <w:iCs/>
          <w:color w:val="000000" w:themeColor="text1"/>
          <w:sz w:val="22"/>
          <w:szCs w:val="22"/>
        </w:rPr>
        <w:t>Vaccines, 11</w:t>
      </w:r>
      <w:r w:rsidRPr="00802606">
        <w:rPr>
          <w:rFonts w:ascii="Times New Roman" w:hAnsi="Times New Roman" w:cs="Times New Roman"/>
          <w:color w:val="000000" w:themeColor="text1"/>
          <w:sz w:val="22"/>
          <w:szCs w:val="22"/>
        </w:rPr>
        <w:t>(12).</w:t>
      </w:r>
    </w:p>
    <w:p w14:paraId="5969FC81"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Pollard, A. J., &amp; Bijker, E. M. (2021). A guide to vaccinology: From basic principles to new developments. </w:t>
      </w:r>
      <w:r w:rsidRPr="00802606">
        <w:rPr>
          <w:rFonts w:ascii="Times New Roman" w:hAnsi="Times New Roman" w:cs="Times New Roman"/>
          <w:i/>
          <w:iCs/>
          <w:color w:val="000000" w:themeColor="text1"/>
          <w:sz w:val="22"/>
          <w:szCs w:val="22"/>
        </w:rPr>
        <w:t>Nature Reviews Immunology, 21</w:t>
      </w:r>
      <w:r w:rsidRPr="00802606">
        <w:rPr>
          <w:rFonts w:ascii="Times New Roman" w:hAnsi="Times New Roman" w:cs="Times New Roman"/>
          <w:color w:val="000000" w:themeColor="text1"/>
          <w:sz w:val="22"/>
          <w:szCs w:val="22"/>
        </w:rPr>
        <w:t>(2), 83–100.</w:t>
      </w:r>
    </w:p>
    <w:p w14:paraId="649556B7" w14:textId="77777777" w:rsidR="00F54DDB"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World Health Organization. (2023). </w:t>
      </w:r>
      <w:r w:rsidRPr="00802606">
        <w:rPr>
          <w:rFonts w:ascii="Times New Roman" w:hAnsi="Times New Roman" w:cs="Times New Roman"/>
          <w:i/>
          <w:iCs/>
          <w:color w:val="000000" w:themeColor="text1"/>
          <w:sz w:val="22"/>
          <w:szCs w:val="22"/>
        </w:rPr>
        <w:t>WHO recommends R21/Matrix-M vaccine for malaria prevention</w:t>
      </w:r>
      <w:r w:rsidRPr="00802606">
        <w:rPr>
          <w:rFonts w:ascii="Times New Roman" w:hAnsi="Times New Roman" w:cs="Times New Roman"/>
          <w:color w:val="000000" w:themeColor="text1"/>
          <w:sz w:val="22"/>
          <w:szCs w:val="22"/>
        </w:rPr>
        <w:t xml:space="preserve">. </w:t>
      </w:r>
      <w:hyperlink r:id="rId30" w:history="1">
        <w:r w:rsidRPr="00802606">
          <w:rPr>
            <w:rStyle w:val="Hyperlink"/>
            <w:rFonts w:ascii="Times New Roman" w:hAnsi="Times New Roman" w:cs="Times New Roman"/>
            <w:color w:val="000000" w:themeColor="text1"/>
            <w:sz w:val="22"/>
            <w:szCs w:val="22"/>
          </w:rPr>
          <w:t>https://www.who.int</w:t>
        </w:r>
      </w:hyperlink>
      <w:r w:rsidR="00F54DDB" w:rsidRPr="00802606">
        <w:rPr>
          <w:rFonts w:ascii="Times New Roman" w:hAnsi="Times New Roman" w:cs="Times New Roman"/>
          <w:color w:val="000000" w:themeColor="text1"/>
          <w:sz w:val="22"/>
          <w:szCs w:val="22"/>
        </w:rPr>
        <w:t xml:space="preserve">Duc, M., Esperanza, C., Chagas, C. R. F., Iezhova, T., </w:t>
      </w:r>
    </w:p>
    <w:p w14:paraId="490BA82E" w14:textId="77777777" w:rsidR="00F54DDB" w:rsidRPr="00802606" w:rsidRDefault="00F54DDB"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African-European migrant bird. </w:t>
      </w:r>
      <w:proofErr w:type="spellStart"/>
      <w:r w:rsidRPr="00802606">
        <w:rPr>
          <w:rFonts w:ascii="Times New Roman" w:hAnsi="Times New Roman" w:cs="Times New Roman"/>
          <w:i/>
          <w:iCs/>
          <w:color w:val="000000" w:themeColor="text1"/>
          <w:sz w:val="22"/>
          <w:szCs w:val="22"/>
        </w:rPr>
        <w:t>PLoS</w:t>
      </w:r>
      <w:proofErr w:type="spellEnd"/>
      <w:r w:rsidRPr="00802606">
        <w:rPr>
          <w:rFonts w:ascii="Times New Roman" w:hAnsi="Times New Roman" w:cs="Times New Roman"/>
          <w:i/>
          <w:iCs/>
          <w:color w:val="000000" w:themeColor="text1"/>
          <w:sz w:val="22"/>
          <w:szCs w:val="22"/>
        </w:rPr>
        <w:t xml:space="preserve"> ONE, 20</w:t>
      </w:r>
      <w:r w:rsidRPr="00802606">
        <w:rPr>
          <w:rFonts w:ascii="Times New Roman" w:hAnsi="Times New Roman" w:cs="Times New Roman"/>
          <w:color w:val="000000" w:themeColor="text1"/>
          <w:sz w:val="22"/>
          <w:szCs w:val="22"/>
        </w:rPr>
        <w:t xml:space="preserve">, e0319395. </w:t>
      </w:r>
      <w:hyperlink r:id="rId31" w:history="1">
        <w:r w:rsidRPr="00802606">
          <w:rPr>
            <w:rStyle w:val="Hyperlink"/>
            <w:rFonts w:ascii="Times New Roman" w:hAnsi="Times New Roman" w:cs="Times New Roman"/>
            <w:color w:val="000000" w:themeColor="text1"/>
            <w:sz w:val="22"/>
            <w:szCs w:val="22"/>
          </w:rPr>
          <w:t>https://doi.org/10.1371/journal.pone.0319395</w:t>
        </w:r>
      </w:hyperlink>
    </w:p>
    <w:p w14:paraId="4C64E2D6" w14:textId="77777777" w:rsidR="00F54DDB" w:rsidRPr="00802606" w:rsidRDefault="00F54DDB"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Esperanza, C. W., Faircloth, C. E., Roy, S. W., &amp; Sehgal, R. N. M. (2025). Prevalence and diversity of </w:t>
      </w:r>
      <w:proofErr w:type="spellStart"/>
      <w:r w:rsidRPr="00802606">
        <w:rPr>
          <w:rFonts w:ascii="Times New Roman" w:hAnsi="Times New Roman" w:cs="Times New Roman"/>
          <w:color w:val="000000" w:themeColor="text1"/>
          <w:sz w:val="22"/>
          <w:szCs w:val="22"/>
        </w:rPr>
        <w:t>haemosporidian</w:t>
      </w:r>
      <w:proofErr w:type="spellEnd"/>
      <w:r w:rsidRPr="00802606">
        <w:rPr>
          <w:rFonts w:ascii="Times New Roman" w:hAnsi="Times New Roman" w:cs="Times New Roman"/>
          <w:color w:val="000000" w:themeColor="text1"/>
          <w:sz w:val="22"/>
          <w:szCs w:val="22"/>
        </w:rPr>
        <w:t xml:space="preserve">-associated Matryoshka RNA viruses in a natural population of wild birds. </w:t>
      </w:r>
      <w:r w:rsidRPr="00802606">
        <w:rPr>
          <w:rFonts w:ascii="Times New Roman" w:hAnsi="Times New Roman" w:cs="Times New Roman"/>
          <w:i/>
          <w:iCs/>
          <w:color w:val="000000" w:themeColor="text1"/>
          <w:sz w:val="22"/>
          <w:szCs w:val="22"/>
        </w:rPr>
        <w:t>Ecology and Evolution, 15</w:t>
      </w:r>
      <w:r w:rsidRPr="00802606">
        <w:rPr>
          <w:rFonts w:ascii="Times New Roman" w:hAnsi="Times New Roman" w:cs="Times New Roman"/>
          <w:color w:val="000000" w:themeColor="text1"/>
          <w:sz w:val="22"/>
          <w:szCs w:val="22"/>
        </w:rPr>
        <w:t xml:space="preserve">, e71239. </w:t>
      </w:r>
      <w:hyperlink r:id="rId32" w:history="1">
        <w:r w:rsidRPr="00802606">
          <w:rPr>
            <w:rStyle w:val="Hyperlink"/>
            <w:rFonts w:ascii="Times New Roman" w:hAnsi="Times New Roman" w:cs="Times New Roman"/>
            <w:color w:val="000000" w:themeColor="text1"/>
            <w:sz w:val="22"/>
            <w:szCs w:val="22"/>
          </w:rPr>
          <w:t>https://doi.org/10.1002/ece3.71239</w:t>
        </w:r>
      </w:hyperlink>
    </w:p>
    <w:p w14:paraId="7189AA2D" w14:textId="77777777" w:rsidR="00F54DDB" w:rsidRPr="00802606" w:rsidRDefault="00F54DDB"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Weiss, D. J., </w:t>
      </w:r>
      <w:proofErr w:type="spellStart"/>
      <w:r w:rsidRPr="00802606">
        <w:rPr>
          <w:rFonts w:ascii="Times New Roman" w:hAnsi="Times New Roman" w:cs="Times New Roman"/>
          <w:color w:val="000000" w:themeColor="text1"/>
          <w:sz w:val="22"/>
          <w:szCs w:val="22"/>
        </w:rPr>
        <w:t>Dzianach</w:t>
      </w:r>
      <w:proofErr w:type="spellEnd"/>
      <w:r w:rsidRPr="00802606">
        <w:rPr>
          <w:rFonts w:ascii="Times New Roman" w:hAnsi="Times New Roman" w:cs="Times New Roman"/>
          <w:color w:val="000000" w:themeColor="text1"/>
          <w:sz w:val="22"/>
          <w:szCs w:val="22"/>
        </w:rPr>
        <w:t xml:space="preserve">, P. A., Saddler, A., Lubinda, J., Browne, A., McPhail, M., </w:t>
      </w:r>
      <w:proofErr w:type="spellStart"/>
      <w:r w:rsidRPr="00802606">
        <w:rPr>
          <w:rFonts w:ascii="Times New Roman" w:hAnsi="Times New Roman" w:cs="Times New Roman"/>
          <w:color w:val="000000" w:themeColor="text1"/>
          <w:sz w:val="22"/>
          <w:szCs w:val="22"/>
        </w:rPr>
        <w:t>Rumisha</w:t>
      </w:r>
      <w:proofErr w:type="spellEnd"/>
      <w:r w:rsidRPr="00802606">
        <w:rPr>
          <w:rFonts w:ascii="Times New Roman" w:hAnsi="Times New Roman" w:cs="Times New Roman"/>
          <w:color w:val="000000" w:themeColor="text1"/>
          <w:sz w:val="22"/>
          <w:szCs w:val="22"/>
        </w:rPr>
        <w:t xml:space="preserve">, S. F., Sanna, F., </w:t>
      </w:r>
      <w:proofErr w:type="spellStart"/>
      <w:r w:rsidRPr="00802606">
        <w:rPr>
          <w:rFonts w:ascii="Times New Roman" w:hAnsi="Times New Roman" w:cs="Times New Roman"/>
          <w:color w:val="000000" w:themeColor="text1"/>
          <w:sz w:val="22"/>
          <w:szCs w:val="22"/>
        </w:rPr>
        <w:t>Gelaw</w:t>
      </w:r>
      <w:proofErr w:type="spellEnd"/>
      <w:r w:rsidRPr="00802606">
        <w:rPr>
          <w:rFonts w:ascii="Times New Roman" w:hAnsi="Times New Roman" w:cs="Times New Roman"/>
          <w:color w:val="000000" w:themeColor="text1"/>
          <w:sz w:val="22"/>
          <w:szCs w:val="22"/>
        </w:rPr>
        <w:t xml:space="preserve">, Y., Kiss, J. B., et al. (2025). Mapping the global prevalence, incidence, and mortality of </w:t>
      </w:r>
      <w:r w:rsidRPr="00802606">
        <w:rPr>
          <w:rFonts w:ascii="Times New Roman" w:hAnsi="Times New Roman" w:cs="Times New Roman"/>
          <w:i/>
          <w:iCs/>
          <w:color w:val="000000" w:themeColor="text1"/>
          <w:sz w:val="22"/>
          <w:szCs w:val="22"/>
        </w:rPr>
        <w:t>Plasmodium falciparum</w:t>
      </w:r>
      <w:r w:rsidRPr="00802606">
        <w:rPr>
          <w:rFonts w:ascii="Times New Roman" w:hAnsi="Times New Roman" w:cs="Times New Roman"/>
          <w:color w:val="000000" w:themeColor="text1"/>
          <w:sz w:val="22"/>
          <w:szCs w:val="22"/>
        </w:rPr>
        <w:t xml:space="preserve"> and </w:t>
      </w:r>
      <w:r w:rsidRPr="00802606">
        <w:rPr>
          <w:rFonts w:ascii="Times New Roman" w:hAnsi="Times New Roman" w:cs="Times New Roman"/>
          <w:i/>
          <w:iCs/>
          <w:color w:val="000000" w:themeColor="text1"/>
          <w:sz w:val="22"/>
          <w:szCs w:val="22"/>
        </w:rPr>
        <w:t>Plasmodium vivax</w:t>
      </w:r>
      <w:r w:rsidRPr="00802606">
        <w:rPr>
          <w:rFonts w:ascii="Times New Roman" w:hAnsi="Times New Roman" w:cs="Times New Roman"/>
          <w:color w:val="000000" w:themeColor="text1"/>
          <w:sz w:val="22"/>
          <w:szCs w:val="22"/>
        </w:rPr>
        <w:t xml:space="preserve"> malaria, 2000–2022: A spatial and temporal modelling study. </w:t>
      </w:r>
      <w:r w:rsidRPr="00802606">
        <w:rPr>
          <w:rFonts w:ascii="Times New Roman" w:hAnsi="Times New Roman" w:cs="Times New Roman"/>
          <w:i/>
          <w:iCs/>
          <w:color w:val="000000" w:themeColor="text1"/>
          <w:sz w:val="22"/>
          <w:szCs w:val="22"/>
        </w:rPr>
        <w:t>The Lancet, 405</w:t>
      </w:r>
      <w:r w:rsidRPr="00802606">
        <w:rPr>
          <w:rFonts w:ascii="Times New Roman" w:hAnsi="Times New Roman" w:cs="Times New Roman"/>
          <w:color w:val="000000" w:themeColor="text1"/>
          <w:sz w:val="22"/>
          <w:szCs w:val="22"/>
        </w:rPr>
        <w:t xml:space="preserve">, 979–990. </w:t>
      </w:r>
      <w:hyperlink r:id="rId33" w:history="1">
        <w:r w:rsidRPr="00802606">
          <w:rPr>
            <w:rStyle w:val="Hyperlink"/>
            <w:rFonts w:ascii="Times New Roman" w:hAnsi="Times New Roman" w:cs="Times New Roman"/>
            <w:color w:val="000000" w:themeColor="text1"/>
            <w:sz w:val="22"/>
            <w:szCs w:val="22"/>
          </w:rPr>
          <w:t>https://doi.org/10.1016/S0140-6736(25)00038-8</w:t>
        </w:r>
      </w:hyperlink>
    </w:p>
    <w:p w14:paraId="1D9FEFBF" w14:textId="77777777" w:rsidR="00F54DDB" w:rsidRPr="00802606" w:rsidRDefault="00F54DDB"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Ngwana-Joseph, G. C., Phelan, J. E., Manko, E., Dombrowski, J. G., da Silva Santos, S., Suarez-Mutis, M., </w:t>
      </w:r>
      <w:proofErr w:type="spellStart"/>
      <w:r w:rsidRPr="00802606">
        <w:rPr>
          <w:rFonts w:ascii="Times New Roman" w:hAnsi="Times New Roman" w:cs="Times New Roman"/>
          <w:color w:val="000000" w:themeColor="text1"/>
          <w:sz w:val="22"/>
          <w:szCs w:val="22"/>
        </w:rPr>
        <w:t>Vélez-Tobón</w:t>
      </w:r>
      <w:proofErr w:type="spellEnd"/>
      <w:r w:rsidRPr="00802606">
        <w:rPr>
          <w:rFonts w:ascii="Times New Roman" w:hAnsi="Times New Roman" w:cs="Times New Roman"/>
          <w:color w:val="000000" w:themeColor="text1"/>
          <w:sz w:val="22"/>
          <w:szCs w:val="22"/>
        </w:rPr>
        <w:t xml:space="preserve">, G., </w:t>
      </w:r>
      <w:proofErr w:type="spellStart"/>
      <w:r w:rsidRPr="00802606">
        <w:rPr>
          <w:rFonts w:ascii="Times New Roman" w:hAnsi="Times New Roman" w:cs="Times New Roman"/>
          <w:color w:val="000000" w:themeColor="text1"/>
          <w:sz w:val="22"/>
          <w:szCs w:val="22"/>
        </w:rPr>
        <w:t>Tobón</w:t>
      </w:r>
      <w:proofErr w:type="spellEnd"/>
      <w:r w:rsidRPr="00802606">
        <w:rPr>
          <w:rFonts w:ascii="Times New Roman" w:hAnsi="Times New Roman" w:cs="Times New Roman"/>
          <w:color w:val="000000" w:themeColor="text1"/>
          <w:sz w:val="22"/>
          <w:szCs w:val="22"/>
        </w:rPr>
        <w:t xml:space="preserve"> </w:t>
      </w:r>
      <w:proofErr w:type="spellStart"/>
      <w:r w:rsidRPr="00802606">
        <w:rPr>
          <w:rFonts w:ascii="Times New Roman" w:hAnsi="Times New Roman" w:cs="Times New Roman"/>
          <w:color w:val="000000" w:themeColor="text1"/>
          <w:sz w:val="22"/>
          <w:szCs w:val="22"/>
        </w:rPr>
        <w:t>Castaño</w:t>
      </w:r>
      <w:proofErr w:type="spellEnd"/>
      <w:r w:rsidRPr="00802606">
        <w:rPr>
          <w:rFonts w:ascii="Times New Roman" w:hAnsi="Times New Roman" w:cs="Times New Roman"/>
          <w:color w:val="000000" w:themeColor="text1"/>
          <w:sz w:val="22"/>
          <w:szCs w:val="22"/>
        </w:rPr>
        <w:t xml:space="preserve">, A., Machado, R. L. D., Marinho, C. R. F., et al. (2024). Genomic analysis of global </w:t>
      </w:r>
      <w:r w:rsidRPr="00802606">
        <w:rPr>
          <w:rFonts w:ascii="Times New Roman" w:hAnsi="Times New Roman" w:cs="Times New Roman"/>
          <w:i/>
          <w:iCs/>
          <w:color w:val="000000" w:themeColor="text1"/>
          <w:sz w:val="22"/>
          <w:szCs w:val="22"/>
        </w:rPr>
        <w:t>Plasmodium vivax</w:t>
      </w:r>
      <w:r w:rsidRPr="00802606">
        <w:rPr>
          <w:rFonts w:ascii="Times New Roman" w:hAnsi="Times New Roman" w:cs="Times New Roman"/>
          <w:color w:val="000000" w:themeColor="text1"/>
          <w:sz w:val="22"/>
          <w:szCs w:val="22"/>
        </w:rPr>
        <w:t xml:space="preserve"> populations reveals insights into the evolution of drug resistance. </w:t>
      </w:r>
      <w:r w:rsidRPr="00802606">
        <w:rPr>
          <w:rFonts w:ascii="Times New Roman" w:hAnsi="Times New Roman" w:cs="Times New Roman"/>
          <w:i/>
          <w:iCs/>
          <w:color w:val="000000" w:themeColor="text1"/>
          <w:sz w:val="22"/>
          <w:szCs w:val="22"/>
        </w:rPr>
        <w:t>Nature Communications, 15</w:t>
      </w:r>
      <w:r w:rsidRPr="00802606">
        <w:rPr>
          <w:rFonts w:ascii="Times New Roman" w:hAnsi="Times New Roman" w:cs="Times New Roman"/>
          <w:color w:val="000000" w:themeColor="text1"/>
          <w:sz w:val="22"/>
          <w:szCs w:val="22"/>
        </w:rPr>
        <w:t xml:space="preserve">, 10771. </w:t>
      </w:r>
      <w:hyperlink r:id="rId34" w:history="1">
        <w:r w:rsidRPr="00802606">
          <w:rPr>
            <w:rStyle w:val="Hyperlink"/>
            <w:rFonts w:ascii="Times New Roman" w:hAnsi="Times New Roman" w:cs="Times New Roman"/>
            <w:color w:val="000000" w:themeColor="text1"/>
            <w:sz w:val="22"/>
            <w:szCs w:val="22"/>
          </w:rPr>
          <w:t>https://doi.org/10.1038/s41467-024-54964-x</w:t>
        </w:r>
      </w:hyperlink>
    </w:p>
    <w:p w14:paraId="4827ECDA" w14:textId="59D4B14C" w:rsidR="00134AA9" w:rsidRPr="00802606" w:rsidRDefault="00F54DDB"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Nayak, S., Peto, T. J., Kucharski, M., Tripura, R., Callery, J. J., Quang Huy, D. T., </w:t>
      </w:r>
      <w:proofErr w:type="spellStart"/>
      <w:r w:rsidRPr="00802606">
        <w:rPr>
          <w:rFonts w:ascii="Times New Roman" w:hAnsi="Times New Roman" w:cs="Times New Roman"/>
          <w:color w:val="000000" w:themeColor="text1"/>
          <w:sz w:val="22"/>
          <w:szCs w:val="22"/>
        </w:rPr>
        <w:t>Gendrot</w:t>
      </w:r>
      <w:proofErr w:type="spellEnd"/>
      <w:r w:rsidRPr="00802606">
        <w:rPr>
          <w:rFonts w:ascii="Times New Roman" w:hAnsi="Times New Roman" w:cs="Times New Roman"/>
          <w:color w:val="000000" w:themeColor="text1"/>
          <w:sz w:val="22"/>
          <w:szCs w:val="22"/>
        </w:rPr>
        <w:t xml:space="preserve">, M., Lek, D., Nghia, H. D. T., van der </w:t>
      </w:r>
      <w:proofErr w:type="spellStart"/>
      <w:r w:rsidRPr="00802606">
        <w:rPr>
          <w:rFonts w:ascii="Times New Roman" w:hAnsi="Times New Roman" w:cs="Times New Roman"/>
          <w:color w:val="000000" w:themeColor="text1"/>
          <w:sz w:val="22"/>
          <w:szCs w:val="22"/>
        </w:rPr>
        <w:t>Pluijm</w:t>
      </w:r>
      <w:proofErr w:type="spellEnd"/>
      <w:r w:rsidRPr="00802606">
        <w:rPr>
          <w:rFonts w:ascii="Times New Roman" w:hAnsi="Times New Roman" w:cs="Times New Roman"/>
          <w:color w:val="000000" w:themeColor="text1"/>
          <w:sz w:val="22"/>
          <w:szCs w:val="22"/>
        </w:rPr>
        <w:t xml:space="preserve">, R. W., et al. (2024). Population genomics and transcriptomics of </w:t>
      </w:r>
      <w:r w:rsidRPr="00802606">
        <w:rPr>
          <w:rFonts w:ascii="Times New Roman" w:hAnsi="Times New Roman" w:cs="Times New Roman"/>
          <w:i/>
          <w:iCs/>
          <w:color w:val="000000" w:themeColor="text1"/>
          <w:sz w:val="22"/>
          <w:szCs w:val="22"/>
        </w:rPr>
        <w:t>Plasmodium falciparum</w:t>
      </w:r>
      <w:r w:rsidRPr="00802606">
        <w:rPr>
          <w:rFonts w:ascii="Times New Roman" w:hAnsi="Times New Roman" w:cs="Times New Roman"/>
          <w:color w:val="000000" w:themeColor="text1"/>
          <w:sz w:val="22"/>
          <w:szCs w:val="22"/>
        </w:rPr>
        <w:t xml:space="preserve"> in Cambodia and Vietnam uncover key components of the artemisinin resistance genetic background. </w:t>
      </w:r>
      <w:r w:rsidRPr="00802606">
        <w:rPr>
          <w:rFonts w:ascii="Times New Roman" w:hAnsi="Times New Roman" w:cs="Times New Roman"/>
          <w:i/>
          <w:iCs/>
          <w:color w:val="000000" w:themeColor="text1"/>
          <w:sz w:val="22"/>
          <w:szCs w:val="22"/>
        </w:rPr>
        <w:t>Nature Communications, 15</w:t>
      </w:r>
      <w:r w:rsidRPr="00802606">
        <w:rPr>
          <w:rFonts w:ascii="Times New Roman" w:hAnsi="Times New Roman" w:cs="Times New Roman"/>
          <w:color w:val="000000" w:themeColor="text1"/>
          <w:sz w:val="22"/>
          <w:szCs w:val="22"/>
        </w:rPr>
        <w:t xml:space="preserve">, 10625. </w:t>
      </w:r>
      <w:hyperlink r:id="rId35" w:history="1">
        <w:r w:rsidRPr="00802606">
          <w:rPr>
            <w:rStyle w:val="Hyperlink"/>
            <w:rFonts w:ascii="Times New Roman" w:hAnsi="Times New Roman" w:cs="Times New Roman"/>
            <w:color w:val="000000" w:themeColor="text1"/>
            <w:sz w:val="22"/>
            <w:szCs w:val="22"/>
          </w:rPr>
          <w:t>https://doi.org/10.1038/s41467-024-54915-6</w:t>
        </w:r>
      </w:hyperlink>
    </w:p>
    <w:sectPr w:rsidR="00134AA9" w:rsidRPr="00802606">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A7366" w14:textId="77777777" w:rsidR="00787ADB" w:rsidRDefault="00787ADB" w:rsidP="00F34642">
      <w:pPr>
        <w:spacing w:after="0" w:line="240" w:lineRule="auto"/>
      </w:pPr>
      <w:r>
        <w:separator/>
      </w:r>
    </w:p>
  </w:endnote>
  <w:endnote w:type="continuationSeparator" w:id="0">
    <w:p w14:paraId="4ED23F12" w14:textId="77777777" w:rsidR="00787ADB" w:rsidRDefault="00787ADB" w:rsidP="00F34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E6569" w14:textId="77777777" w:rsidR="00F34642" w:rsidRDefault="00F346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F5205" w14:textId="77777777" w:rsidR="00F34642" w:rsidRDefault="00F346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B5EBA" w14:textId="77777777" w:rsidR="00F34642" w:rsidRDefault="00F34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2CCE3" w14:textId="77777777" w:rsidR="00787ADB" w:rsidRDefault="00787ADB" w:rsidP="00F34642">
      <w:pPr>
        <w:spacing w:after="0" w:line="240" w:lineRule="auto"/>
      </w:pPr>
      <w:r>
        <w:separator/>
      </w:r>
    </w:p>
  </w:footnote>
  <w:footnote w:type="continuationSeparator" w:id="0">
    <w:p w14:paraId="2ED1B755" w14:textId="77777777" w:rsidR="00787ADB" w:rsidRDefault="00787ADB" w:rsidP="00F34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FF30A" w14:textId="06F8E2F2" w:rsidR="00F34642" w:rsidRDefault="00F34642">
    <w:pPr>
      <w:pStyle w:val="Header"/>
    </w:pPr>
    <w:r>
      <w:rPr>
        <w:noProof/>
      </w:rPr>
      <w:pict w14:anchorId="6F7C19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61829"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F3E1C" w14:textId="4F91A55F" w:rsidR="00F34642" w:rsidRDefault="00F34642">
    <w:pPr>
      <w:pStyle w:val="Header"/>
    </w:pPr>
    <w:r>
      <w:rPr>
        <w:noProof/>
      </w:rPr>
      <w:pict w14:anchorId="63F1D5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61830"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6297E" w14:textId="7EE2AB60" w:rsidR="00F34642" w:rsidRDefault="00F34642">
    <w:pPr>
      <w:pStyle w:val="Header"/>
    </w:pPr>
    <w:r>
      <w:rPr>
        <w:noProof/>
      </w:rPr>
      <w:pict w14:anchorId="0C9D05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61828"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34A0"/>
    <w:multiLevelType w:val="multilevel"/>
    <w:tmpl w:val="3A702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AE5D65"/>
    <w:multiLevelType w:val="multilevel"/>
    <w:tmpl w:val="602E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C2692"/>
    <w:multiLevelType w:val="multilevel"/>
    <w:tmpl w:val="EDE27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700A8A"/>
    <w:multiLevelType w:val="multilevel"/>
    <w:tmpl w:val="01A4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4B1BA2"/>
    <w:multiLevelType w:val="multilevel"/>
    <w:tmpl w:val="B8A2B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EC30B1"/>
    <w:multiLevelType w:val="multilevel"/>
    <w:tmpl w:val="8414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E0493B"/>
    <w:multiLevelType w:val="multilevel"/>
    <w:tmpl w:val="53901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E672DB"/>
    <w:multiLevelType w:val="multilevel"/>
    <w:tmpl w:val="0F045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BA3E7A"/>
    <w:multiLevelType w:val="multilevel"/>
    <w:tmpl w:val="3E8CF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9313DB"/>
    <w:multiLevelType w:val="multilevel"/>
    <w:tmpl w:val="CAC0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AC2307"/>
    <w:multiLevelType w:val="hybridMultilevel"/>
    <w:tmpl w:val="E39EC410"/>
    <w:lvl w:ilvl="0" w:tplc="3BC0AA1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175413"/>
    <w:multiLevelType w:val="multilevel"/>
    <w:tmpl w:val="3094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6779FB"/>
    <w:multiLevelType w:val="multilevel"/>
    <w:tmpl w:val="E3CCB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257D89"/>
    <w:multiLevelType w:val="multilevel"/>
    <w:tmpl w:val="746CF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F6283B"/>
    <w:multiLevelType w:val="multilevel"/>
    <w:tmpl w:val="22AA6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7D079B"/>
    <w:multiLevelType w:val="multilevel"/>
    <w:tmpl w:val="E682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7D4926"/>
    <w:multiLevelType w:val="multilevel"/>
    <w:tmpl w:val="EA6AA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791B92"/>
    <w:multiLevelType w:val="multilevel"/>
    <w:tmpl w:val="BC1A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674FF4"/>
    <w:multiLevelType w:val="multilevel"/>
    <w:tmpl w:val="0F5EC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806441"/>
    <w:multiLevelType w:val="multilevel"/>
    <w:tmpl w:val="B59CB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153584"/>
    <w:multiLevelType w:val="multilevel"/>
    <w:tmpl w:val="A19C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9C291D"/>
    <w:multiLevelType w:val="multilevel"/>
    <w:tmpl w:val="E8C6A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C53B36"/>
    <w:multiLevelType w:val="multilevel"/>
    <w:tmpl w:val="99FA8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DD5CBD"/>
    <w:multiLevelType w:val="multilevel"/>
    <w:tmpl w:val="2214A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20138B"/>
    <w:multiLevelType w:val="multilevel"/>
    <w:tmpl w:val="FD34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394D28"/>
    <w:multiLevelType w:val="multilevel"/>
    <w:tmpl w:val="685AD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F60F50"/>
    <w:multiLevelType w:val="multilevel"/>
    <w:tmpl w:val="28C2F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5F1E73"/>
    <w:multiLevelType w:val="multilevel"/>
    <w:tmpl w:val="B5E6D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E702C2"/>
    <w:multiLevelType w:val="multilevel"/>
    <w:tmpl w:val="084EE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7E7649"/>
    <w:multiLevelType w:val="multilevel"/>
    <w:tmpl w:val="62E6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6A748C"/>
    <w:multiLevelType w:val="hybridMultilevel"/>
    <w:tmpl w:val="05C0F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DA7D65"/>
    <w:multiLevelType w:val="multilevel"/>
    <w:tmpl w:val="E02EC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DC1444"/>
    <w:multiLevelType w:val="multilevel"/>
    <w:tmpl w:val="53EA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3E3CC7"/>
    <w:multiLevelType w:val="multilevel"/>
    <w:tmpl w:val="B770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775AEF"/>
    <w:multiLevelType w:val="multilevel"/>
    <w:tmpl w:val="8304C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C12085"/>
    <w:multiLevelType w:val="multilevel"/>
    <w:tmpl w:val="978EA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952C95"/>
    <w:multiLevelType w:val="multilevel"/>
    <w:tmpl w:val="069AB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87C7481"/>
    <w:multiLevelType w:val="multilevel"/>
    <w:tmpl w:val="7362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AC0F82"/>
    <w:multiLevelType w:val="multilevel"/>
    <w:tmpl w:val="2DD23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960CEC"/>
    <w:multiLevelType w:val="multilevel"/>
    <w:tmpl w:val="BA9EF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6"/>
  </w:num>
  <w:num w:numId="3">
    <w:abstractNumId w:val="19"/>
  </w:num>
  <w:num w:numId="4">
    <w:abstractNumId w:val="17"/>
  </w:num>
  <w:num w:numId="5">
    <w:abstractNumId w:val="5"/>
  </w:num>
  <w:num w:numId="6">
    <w:abstractNumId w:val="11"/>
  </w:num>
  <w:num w:numId="7">
    <w:abstractNumId w:val="13"/>
  </w:num>
  <w:num w:numId="8">
    <w:abstractNumId w:val="8"/>
  </w:num>
  <w:num w:numId="9">
    <w:abstractNumId w:val="21"/>
  </w:num>
  <w:num w:numId="10">
    <w:abstractNumId w:val="29"/>
  </w:num>
  <w:num w:numId="11">
    <w:abstractNumId w:val="23"/>
  </w:num>
  <w:num w:numId="12">
    <w:abstractNumId w:val="4"/>
  </w:num>
  <w:num w:numId="13">
    <w:abstractNumId w:val="9"/>
  </w:num>
  <w:num w:numId="14">
    <w:abstractNumId w:val="36"/>
  </w:num>
  <w:num w:numId="15">
    <w:abstractNumId w:val="28"/>
  </w:num>
  <w:num w:numId="16">
    <w:abstractNumId w:val="24"/>
  </w:num>
  <w:num w:numId="17">
    <w:abstractNumId w:val="25"/>
  </w:num>
  <w:num w:numId="18">
    <w:abstractNumId w:val="20"/>
  </w:num>
  <w:num w:numId="19">
    <w:abstractNumId w:val="38"/>
  </w:num>
  <w:num w:numId="20">
    <w:abstractNumId w:val="3"/>
  </w:num>
  <w:num w:numId="21">
    <w:abstractNumId w:val="32"/>
  </w:num>
  <w:num w:numId="22">
    <w:abstractNumId w:val="15"/>
  </w:num>
  <w:num w:numId="23">
    <w:abstractNumId w:val="27"/>
  </w:num>
  <w:num w:numId="24">
    <w:abstractNumId w:val="2"/>
  </w:num>
  <w:num w:numId="25">
    <w:abstractNumId w:val="1"/>
  </w:num>
  <w:num w:numId="26">
    <w:abstractNumId w:val="14"/>
  </w:num>
  <w:num w:numId="27">
    <w:abstractNumId w:val="0"/>
  </w:num>
  <w:num w:numId="28">
    <w:abstractNumId w:val="12"/>
  </w:num>
  <w:num w:numId="29">
    <w:abstractNumId w:val="37"/>
  </w:num>
  <w:num w:numId="30">
    <w:abstractNumId w:val="34"/>
  </w:num>
  <w:num w:numId="31">
    <w:abstractNumId w:val="33"/>
  </w:num>
  <w:num w:numId="32">
    <w:abstractNumId w:val="31"/>
  </w:num>
  <w:num w:numId="33">
    <w:abstractNumId w:val="30"/>
  </w:num>
  <w:num w:numId="34">
    <w:abstractNumId w:val="10"/>
  </w:num>
  <w:num w:numId="35">
    <w:abstractNumId w:val="35"/>
  </w:num>
  <w:num w:numId="36">
    <w:abstractNumId w:val="18"/>
  </w:num>
  <w:num w:numId="37">
    <w:abstractNumId w:val="7"/>
  </w:num>
  <w:num w:numId="38">
    <w:abstractNumId w:val="6"/>
  </w:num>
  <w:num w:numId="39">
    <w:abstractNumId w:val="39"/>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415"/>
    <w:rsid w:val="000209E4"/>
    <w:rsid w:val="00081415"/>
    <w:rsid w:val="000E4092"/>
    <w:rsid w:val="00134AA9"/>
    <w:rsid w:val="00170C4F"/>
    <w:rsid w:val="00171C08"/>
    <w:rsid w:val="001F20CA"/>
    <w:rsid w:val="001F2A14"/>
    <w:rsid w:val="0020221A"/>
    <w:rsid w:val="002A0705"/>
    <w:rsid w:val="003110CE"/>
    <w:rsid w:val="00383D2F"/>
    <w:rsid w:val="003A48DC"/>
    <w:rsid w:val="003C35DC"/>
    <w:rsid w:val="00442DE1"/>
    <w:rsid w:val="0046575A"/>
    <w:rsid w:val="004804E3"/>
    <w:rsid w:val="004B3127"/>
    <w:rsid w:val="00524A67"/>
    <w:rsid w:val="00535FD1"/>
    <w:rsid w:val="00551A12"/>
    <w:rsid w:val="00616929"/>
    <w:rsid w:val="00620565"/>
    <w:rsid w:val="0062121B"/>
    <w:rsid w:val="00686B80"/>
    <w:rsid w:val="006E63AD"/>
    <w:rsid w:val="006F2223"/>
    <w:rsid w:val="00782475"/>
    <w:rsid w:val="00787ADB"/>
    <w:rsid w:val="007C2B44"/>
    <w:rsid w:val="007C3DD0"/>
    <w:rsid w:val="00802606"/>
    <w:rsid w:val="00805BE0"/>
    <w:rsid w:val="008F4379"/>
    <w:rsid w:val="0091155D"/>
    <w:rsid w:val="00996DBC"/>
    <w:rsid w:val="009A2282"/>
    <w:rsid w:val="009A5EB3"/>
    <w:rsid w:val="009B2701"/>
    <w:rsid w:val="009F42E8"/>
    <w:rsid w:val="00A557E0"/>
    <w:rsid w:val="00AE0D7F"/>
    <w:rsid w:val="00AE16C5"/>
    <w:rsid w:val="00AF2DC2"/>
    <w:rsid w:val="00B932DF"/>
    <w:rsid w:val="00CD3622"/>
    <w:rsid w:val="00D3060E"/>
    <w:rsid w:val="00D319BA"/>
    <w:rsid w:val="00D33719"/>
    <w:rsid w:val="00EC2FD5"/>
    <w:rsid w:val="00ED429D"/>
    <w:rsid w:val="00EE5F3F"/>
    <w:rsid w:val="00F04796"/>
    <w:rsid w:val="00F239DA"/>
    <w:rsid w:val="00F2578B"/>
    <w:rsid w:val="00F34642"/>
    <w:rsid w:val="00F54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F1403B"/>
  <w15:chartTrackingRefBased/>
  <w15:docId w15:val="{FA72F576-235D-489C-BA87-76C4898FD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14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14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14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14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14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14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4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4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4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4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14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14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14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14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14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4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4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415"/>
    <w:rPr>
      <w:rFonts w:eastAsiaTheme="majorEastAsia" w:cstheme="majorBidi"/>
      <w:color w:val="272727" w:themeColor="text1" w:themeTint="D8"/>
    </w:rPr>
  </w:style>
  <w:style w:type="paragraph" w:styleId="Title">
    <w:name w:val="Title"/>
    <w:basedOn w:val="Normal"/>
    <w:next w:val="Normal"/>
    <w:link w:val="TitleChar"/>
    <w:uiPriority w:val="10"/>
    <w:qFormat/>
    <w:rsid w:val="000814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4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4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4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1415"/>
    <w:pPr>
      <w:spacing w:before="160"/>
      <w:jc w:val="center"/>
    </w:pPr>
    <w:rPr>
      <w:i/>
      <w:iCs/>
      <w:color w:val="404040" w:themeColor="text1" w:themeTint="BF"/>
    </w:rPr>
  </w:style>
  <w:style w:type="character" w:customStyle="1" w:styleId="QuoteChar">
    <w:name w:val="Quote Char"/>
    <w:basedOn w:val="DefaultParagraphFont"/>
    <w:link w:val="Quote"/>
    <w:uiPriority w:val="29"/>
    <w:rsid w:val="00081415"/>
    <w:rPr>
      <w:i/>
      <w:iCs/>
      <w:color w:val="404040" w:themeColor="text1" w:themeTint="BF"/>
    </w:rPr>
  </w:style>
  <w:style w:type="paragraph" w:styleId="ListParagraph">
    <w:name w:val="List Paragraph"/>
    <w:basedOn w:val="Normal"/>
    <w:uiPriority w:val="34"/>
    <w:qFormat/>
    <w:rsid w:val="00081415"/>
    <w:pPr>
      <w:ind w:left="720"/>
      <w:contextualSpacing/>
    </w:pPr>
  </w:style>
  <w:style w:type="character" w:styleId="IntenseEmphasis">
    <w:name w:val="Intense Emphasis"/>
    <w:basedOn w:val="DefaultParagraphFont"/>
    <w:uiPriority w:val="21"/>
    <w:qFormat/>
    <w:rsid w:val="00081415"/>
    <w:rPr>
      <w:i/>
      <w:iCs/>
      <w:color w:val="0F4761" w:themeColor="accent1" w:themeShade="BF"/>
    </w:rPr>
  </w:style>
  <w:style w:type="paragraph" w:styleId="IntenseQuote">
    <w:name w:val="Intense Quote"/>
    <w:basedOn w:val="Normal"/>
    <w:next w:val="Normal"/>
    <w:link w:val="IntenseQuoteChar"/>
    <w:uiPriority w:val="30"/>
    <w:qFormat/>
    <w:rsid w:val="000814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1415"/>
    <w:rPr>
      <w:i/>
      <w:iCs/>
      <w:color w:val="0F4761" w:themeColor="accent1" w:themeShade="BF"/>
    </w:rPr>
  </w:style>
  <w:style w:type="character" w:styleId="IntenseReference">
    <w:name w:val="Intense Reference"/>
    <w:basedOn w:val="DefaultParagraphFont"/>
    <w:uiPriority w:val="32"/>
    <w:qFormat/>
    <w:rsid w:val="00081415"/>
    <w:rPr>
      <w:b/>
      <w:bCs/>
      <w:smallCaps/>
      <w:color w:val="0F4761" w:themeColor="accent1" w:themeShade="BF"/>
      <w:spacing w:val="5"/>
    </w:rPr>
  </w:style>
  <w:style w:type="table" w:styleId="TableGrid">
    <w:name w:val="Table Grid"/>
    <w:basedOn w:val="TableNormal"/>
    <w:uiPriority w:val="39"/>
    <w:rsid w:val="00AE1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ED429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bullet">
    <w:name w:val="bullet"/>
    <w:basedOn w:val="DefaultParagraphFont"/>
    <w:rsid w:val="00ED429D"/>
  </w:style>
  <w:style w:type="character" w:customStyle="1" w:styleId="author">
    <w:name w:val="author"/>
    <w:basedOn w:val="DefaultParagraphFont"/>
    <w:rsid w:val="00ED429D"/>
  </w:style>
  <w:style w:type="character" w:customStyle="1" w:styleId="articletitle">
    <w:name w:val="articletitle"/>
    <w:basedOn w:val="DefaultParagraphFont"/>
    <w:rsid w:val="00ED429D"/>
  </w:style>
  <w:style w:type="character" w:customStyle="1" w:styleId="pubyear">
    <w:name w:val="pubyear"/>
    <w:basedOn w:val="DefaultParagraphFont"/>
    <w:rsid w:val="00ED429D"/>
  </w:style>
  <w:style w:type="character" w:customStyle="1" w:styleId="vol">
    <w:name w:val="vol"/>
    <w:basedOn w:val="DefaultParagraphFont"/>
    <w:rsid w:val="00ED429D"/>
  </w:style>
  <w:style w:type="character" w:styleId="Hyperlink">
    <w:name w:val="Hyperlink"/>
    <w:basedOn w:val="DefaultParagraphFont"/>
    <w:uiPriority w:val="99"/>
    <w:unhideWhenUsed/>
    <w:rsid w:val="00ED429D"/>
    <w:rPr>
      <w:color w:val="0000FF"/>
      <w:u w:val="single"/>
    </w:rPr>
  </w:style>
  <w:style w:type="character" w:styleId="FollowedHyperlink">
    <w:name w:val="FollowedHyperlink"/>
    <w:basedOn w:val="DefaultParagraphFont"/>
    <w:uiPriority w:val="99"/>
    <w:semiHidden/>
    <w:unhideWhenUsed/>
    <w:rsid w:val="00ED429D"/>
    <w:rPr>
      <w:color w:val="800080"/>
      <w:u w:val="single"/>
    </w:rPr>
  </w:style>
  <w:style w:type="character" w:customStyle="1" w:styleId="pagefirst">
    <w:name w:val="pagefirst"/>
    <w:basedOn w:val="DefaultParagraphFont"/>
    <w:rsid w:val="00ED429D"/>
  </w:style>
  <w:style w:type="character" w:customStyle="1" w:styleId="pagelast">
    <w:name w:val="pagelast"/>
    <w:basedOn w:val="DefaultParagraphFont"/>
    <w:rsid w:val="00ED429D"/>
  </w:style>
  <w:style w:type="character" w:customStyle="1" w:styleId="booktitle">
    <w:name w:val="booktitle"/>
    <w:basedOn w:val="DefaultParagraphFont"/>
    <w:rsid w:val="00ED429D"/>
  </w:style>
  <w:style w:type="character" w:customStyle="1" w:styleId="first-link">
    <w:name w:val="first-link"/>
    <w:basedOn w:val="DefaultParagraphFont"/>
    <w:rsid w:val="00ED429D"/>
  </w:style>
  <w:style w:type="character" w:styleId="UnresolvedMention">
    <w:name w:val="Unresolved Mention"/>
    <w:basedOn w:val="DefaultParagraphFont"/>
    <w:uiPriority w:val="99"/>
    <w:semiHidden/>
    <w:unhideWhenUsed/>
    <w:rsid w:val="00ED429D"/>
    <w:rPr>
      <w:color w:val="605E5C"/>
      <w:shd w:val="clear" w:color="auto" w:fill="E1DFDD"/>
    </w:rPr>
  </w:style>
  <w:style w:type="paragraph" w:styleId="Caption">
    <w:name w:val="caption"/>
    <w:basedOn w:val="Normal"/>
    <w:next w:val="Normal"/>
    <w:uiPriority w:val="35"/>
    <w:unhideWhenUsed/>
    <w:qFormat/>
    <w:rsid w:val="00996DBC"/>
    <w:pPr>
      <w:spacing w:after="200" w:line="240" w:lineRule="auto"/>
    </w:pPr>
    <w:rPr>
      <w:i/>
      <w:iCs/>
      <w:color w:val="0E2841" w:themeColor="text2"/>
      <w:sz w:val="18"/>
      <w:szCs w:val="18"/>
    </w:rPr>
  </w:style>
  <w:style w:type="paragraph" w:styleId="Header">
    <w:name w:val="header"/>
    <w:basedOn w:val="Normal"/>
    <w:link w:val="HeaderChar"/>
    <w:uiPriority w:val="99"/>
    <w:unhideWhenUsed/>
    <w:rsid w:val="00F346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642"/>
  </w:style>
  <w:style w:type="paragraph" w:styleId="Footer">
    <w:name w:val="footer"/>
    <w:basedOn w:val="Normal"/>
    <w:link w:val="FooterChar"/>
    <w:uiPriority w:val="99"/>
    <w:unhideWhenUsed/>
    <w:rsid w:val="00F346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fishes10030093" TargetMode="External"/><Relationship Id="rId18" Type="http://schemas.openxmlformats.org/officeDocument/2006/relationships/hyperlink" Target="https://doi.org/10.3201/eid2906.221016" TargetMode="External"/><Relationship Id="rId26" Type="http://schemas.openxmlformats.org/officeDocument/2006/relationships/hyperlink" Target="https://doi.org/10.1016/S1473-3099(23)00276-1" TargetMode="External"/><Relationship Id="rId39" Type="http://schemas.openxmlformats.org/officeDocument/2006/relationships/footer" Target="footer2.xml"/><Relationship Id="rId21" Type="http://schemas.openxmlformats.org/officeDocument/2006/relationships/hyperlink" Target="https://doi.org/10.1186/s12936-024-04846-w" TargetMode="External"/><Relationship Id="rId34" Type="http://schemas.openxmlformats.org/officeDocument/2006/relationships/hyperlink" Target="https://doi.org/10.1038/s41467-024-54964-x"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93/cid/ciad638" TargetMode="External"/><Relationship Id="rId20" Type="http://schemas.openxmlformats.org/officeDocument/2006/relationships/hyperlink" Target="https://doi.org/10.1097/MS9.0000000000001648" TargetMode="External"/><Relationship Id="rId29" Type="http://schemas.openxmlformats.org/officeDocument/2006/relationships/hyperlink" Target="https://doi.org/10.7774/cevr.2023.12.3.193"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tropicalmed8100478" TargetMode="External"/><Relationship Id="rId24" Type="http://schemas.openxmlformats.org/officeDocument/2006/relationships/hyperlink" Target="https://doi.org/10.1016/S1473-3099(24)00312-8" TargetMode="External"/><Relationship Id="rId32" Type="http://schemas.openxmlformats.org/officeDocument/2006/relationships/hyperlink" Target="https://doi.org/10.1002/ece3.71239"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38/s41467-024-46270-3" TargetMode="External"/><Relationship Id="rId23" Type="http://schemas.openxmlformats.org/officeDocument/2006/relationships/hyperlink" Target="https://doi.org/10.3389/fimmu.2023.1267372" TargetMode="External"/><Relationship Id="rId28" Type="http://schemas.openxmlformats.org/officeDocument/2006/relationships/hyperlink" Target="https://doi.org/10.1007/s43441-022-00480-3" TargetMode="External"/><Relationship Id="rId36" Type="http://schemas.openxmlformats.org/officeDocument/2006/relationships/header" Target="header1.xml"/><Relationship Id="rId10" Type="http://schemas.openxmlformats.org/officeDocument/2006/relationships/image" Target="media/image3.tiff"/><Relationship Id="rId19" Type="http://schemas.openxmlformats.org/officeDocument/2006/relationships/hyperlink" Target="https://doi.org/10.3390/ijms25020695" TargetMode="External"/><Relationship Id="rId31" Type="http://schemas.openxmlformats.org/officeDocument/2006/relationships/hyperlink" Target="https://doi.org/10.1371/journal.pone.0319395" TargetMode="Externa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hyperlink" Target="https://doi.org/10.1016/j.immuni.2024.05.024" TargetMode="External"/><Relationship Id="rId22" Type="http://schemas.openxmlformats.org/officeDocument/2006/relationships/hyperlink" Target="https://doi.org/10.4269/ajtmh.22-0773" TargetMode="External"/><Relationship Id="rId27" Type="http://schemas.openxmlformats.org/officeDocument/2006/relationships/hyperlink" Target="https://doi.org/10.3390/vaccines11091452" TargetMode="External"/><Relationship Id="rId30" Type="http://schemas.openxmlformats.org/officeDocument/2006/relationships/hyperlink" Target="https://www.who.int" TargetMode="External"/><Relationship Id="rId35" Type="http://schemas.openxmlformats.org/officeDocument/2006/relationships/hyperlink" Target="https://doi.org/10.1038/s41467-024-54915-6"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i.org/10.1042/BSR20240482" TargetMode="External"/><Relationship Id="rId17" Type="http://schemas.openxmlformats.org/officeDocument/2006/relationships/hyperlink" Target="https://doi.org/10.3390/jcm13010166" TargetMode="External"/><Relationship Id="rId25" Type="http://schemas.openxmlformats.org/officeDocument/2006/relationships/hyperlink" Target="https://doi.org/10.1016/j.isci.2023.107192" TargetMode="External"/><Relationship Id="rId33" Type="http://schemas.openxmlformats.org/officeDocument/2006/relationships/hyperlink" Target="https://doi.org/10.1016/S0140-6736(25)00038-8"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A7833-47EA-4DA4-95DB-99158CE95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15</Pages>
  <Words>6985</Words>
  <Characters>39817</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 Godson</dc:creator>
  <cp:keywords/>
  <dc:description/>
  <cp:lastModifiedBy>SDI 1084</cp:lastModifiedBy>
  <cp:revision>39</cp:revision>
  <dcterms:created xsi:type="dcterms:W3CDTF">2026-02-22T14:44:00Z</dcterms:created>
  <dcterms:modified xsi:type="dcterms:W3CDTF">2026-04-22T14:07:00Z</dcterms:modified>
</cp:coreProperties>
</file>