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A7F1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A7F1C" w:rsidRDefault="0056797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AA7F1C" w:rsidRDefault="003A5CA2" w:rsidP="00830585">
            <w:pPr>
              <w:shd w:val="clear" w:color="auto" w:fill="FFFFFF"/>
              <w:outlineLvl w:val="0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83102" w:rsidRPr="00783102">
                <w:rPr>
                  <w:rFonts w:ascii="Arial" w:hAnsi="Arial" w:cs="Arial"/>
                  <w:b/>
                  <w:bCs/>
                  <w:color w:val="2F426C"/>
                  <w:kern w:val="36"/>
                  <w:sz w:val="20"/>
                  <w:szCs w:val="48"/>
                  <w:u w:val="single"/>
                </w:rPr>
                <w:t>Asian Journal of Advances in Medical Science</w:t>
              </w:r>
            </w:hyperlink>
          </w:p>
        </w:tc>
      </w:tr>
      <w:tr w:rsidR="00AA7F1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A7F1C" w:rsidRDefault="0056797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AA7F1C" w:rsidRDefault="00080C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0C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Ms_AJOAIMS_5953</w:t>
            </w:r>
          </w:p>
        </w:tc>
      </w:tr>
      <w:tr w:rsidR="00AA7F1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A7F1C" w:rsidRDefault="0056797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AA7F1C" w:rsidRDefault="00080C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80C57">
              <w:rPr>
                <w:rFonts w:ascii="Arial" w:hAnsi="Arial" w:cs="Arial"/>
                <w:b/>
                <w:sz w:val="20"/>
                <w:szCs w:val="20"/>
                <w:lang w:val="en-GB"/>
              </w:rPr>
              <w:t>PCR-Based Detection of Mixed Plasmodium Infections in Asymptomatic Carriers</w:t>
            </w:r>
          </w:p>
        </w:tc>
      </w:tr>
      <w:tr w:rsidR="00AA7F1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A7F1C" w:rsidRDefault="0056797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AA7F1C" w:rsidRDefault="0056797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AA7F1C" w:rsidRDefault="00AA7F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AA7F1C" w:rsidRDefault="00AA7F1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AA7F1C" w:rsidRDefault="00567971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AA7F1C" w:rsidRDefault="00AA7F1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A7F1C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A7F1C" w:rsidRDefault="00AA7F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AA7F1C" w:rsidRDefault="0056797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AA7F1C" w:rsidRDefault="0056797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AA7F1C" w:rsidRDefault="00AA7F1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A7F1C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A7F1C" w:rsidRDefault="0056797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AA7F1C" w:rsidRPr="001E7256" w:rsidRDefault="001E7256">
            <w:pPr>
              <w:pStyle w:val="ListParagraph"/>
              <w:ind w:left="0"/>
              <w:rPr>
                <w:bCs/>
                <w:lang w:val="en-GB"/>
              </w:rPr>
            </w:pPr>
            <w:r w:rsidRPr="001E7256">
              <w:rPr>
                <w:spacing w:val="-11"/>
                <w:shd w:val="clear" w:color="auto" w:fill="FFFFFF"/>
              </w:rPr>
              <w:t>This manuscript </w:t>
            </w:r>
            <w:r w:rsidRPr="001E7256">
              <w:rPr>
                <w:iCs/>
                <w:spacing w:val="-11"/>
              </w:rPr>
              <w:t>offers</w:t>
            </w:r>
            <w:r w:rsidRPr="001E7256">
              <w:rPr>
                <w:spacing w:val="-11"/>
                <w:shd w:val="clear" w:color="auto" w:fill="FFFFFF"/>
              </w:rPr>
              <w:t> </w:t>
            </w:r>
            <w:r w:rsidRPr="001E7256">
              <w:rPr>
                <w:iCs/>
                <w:spacing w:val="-11"/>
              </w:rPr>
              <w:t>crucial</w:t>
            </w:r>
            <w:r w:rsidRPr="001E7256">
              <w:rPr>
                <w:spacing w:val="-11"/>
                <w:shd w:val="clear" w:color="auto" w:fill="FFFFFF"/>
              </w:rPr>
              <w:t> </w:t>
            </w:r>
            <w:r w:rsidRPr="001E7256">
              <w:rPr>
                <w:iCs/>
                <w:spacing w:val="-11"/>
              </w:rPr>
              <w:t>evidence</w:t>
            </w:r>
            <w:r w:rsidRPr="001E7256">
              <w:rPr>
                <w:spacing w:val="-11"/>
                <w:shd w:val="clear" w:color="auto" w:fill="FFFFFF"/>
              </w:rPr>
              <w:t> </w:t>
            </w:r>
            <w:r w:rsidRPr="001E7256">
              <w:rPr>
                <w:iCs/>
                <w:spacing w:val="-11"/>
              </w:rPr>
              <w:t>on the</w:t>
            </w:r>
            <w:r w:rsidRPr="001E7256">
              <w:rPr>
                <w:spacing w:val="-11"/>
                <w:shd w:val="clear" w:color="auto" w:fill="FFFFFF"/>
              </w:rPr>
              <w:t> hidden burden of </w:t>
            </w:r>
            <w:r w:rsidRPr="001E7256">
              <w:rPr>
                <w:iCs/>
                <w:spacing w:val="-11"/>
              </w:rPr>
              <w:t>combined</w:t>
            </w:r>
            <w:r w:rsidRPr="001E7256">
              <w:rPr>
                <w:spacing w:val="-11"/>
                <w:shd w:val="clear" w:color="auto" w:fill="FFFFFF"/>
              </w:rPr>
              <w:t> Plasmodium infections </w:t>
            </w:r>
            <w:r w:rsidRPr="001E7256">
              <w:rPr>
                <w:iCs/>
                <w:spacing w:val="-11"/>
              </w:rPr>
              <w:t>among</w:t>
            </w:r>
            <w:r w:rsidRPr="001E7256">
              <w:rPr>
                <w:spacing w:val="-11"/>
                <w:shd w:val="clear" w:color="auto" w:fill="FFFFFF"/>
              </w:rPr>
              <w:t> asymptomatic </w:t>
            </w:r>
            <w:r w:rsidRPr="001E7256">
              <w:rPr>
                <w:iCs/>
                <w:spacing w:val="-11"/>
              </w:rPr>
              <w:t>companies</w:t>
            </w:r>
            <w:r w:rsidRPr="001E7256">
              <w:rPr>
                <w:spacing w:val="-11"/>
                <w:shd w:val="clear" w:color="auto" w:fill="FFFFFF"/>
              </w:rPr>
              <w:t>, </w:t>
            </w:r>
            <w:r w:rsidRPr="001E7256">
              <w:rPr>
                <w:iCs/>
                <w:spacing w:val="-11"/>
              </w:rPr>
              <w:t>a group</w:t>
            </w:r>
            <w:r w:rsidRPr="001E7256">
              <w:rPr>
                <w:spacing w:val="-11"/>
                <w:shd w:val="clear" w:color="auto" w:fill="FFFFFF"/>
              </w:rPr>
              <w:t> </w:t>
            </w:r>
            <w:r w:rsidRPr="001E7256">
              <w:rPr>
                <w:iCs/>
                <w:spacing w:val="-11"/>
              </w:rPr>
              <w:t>often</w:t>
            </w:r>
            <w:r w:rsidRPr="001E7256">
              <w:rPr>
                <w:spacing w:val="-11"/>
                <w:shd w:val="clear" w:color="auto" w:fill="FFFFFF"/>
              </w:rPr>
              <w:t> </w:t>
            </w:r>
            <w:r w:rsidRPr="001E7256">
              <w:rPr>
                <w:iCs/>
                <w:spacing w:val="-11"/>
              </w:rPr>
              <w:t>overlooked</w:t>
            </w:r>
            <w:r w:rsidRPr="001E7256">
              <w:rPr>
                <w:spacing w:val="-11"/>
                <w:shd w:val="clear" w:color="auto" w:fill="FFFFFF"/>
              </w:rPr>
              <w:t> in </w:t>
            </w:r>
            <w:r w:rsidRPr="001E7256">
              <w:rPr>
                <w:iCs/>
                <w:spacing w:val="-11"/>
              </w:rPr>
              <w:t>routine</w:t>
            </w:r>
            <w:r w:rsidRPr="001E7256">
              <w:rPr>
                <w:spacing w:val="-11"/>
                <w:shd w:val="clear" w:color="auto" w:fill="FFFFFF"/>
              </w:rPr>
              <w:t> malaria surveillance. </w:t>
            </w:r>
            <w:r w:rsidRPr="001E7256">
              <w:rPr>
                <w:iCs/>
                <w:spacing w:val="-11"/>
              </w:rPr>
              <w:t>by way of</w:t>
            </w:r>
            <w:r w:rsidRPr="001E7256">
              <w:rPr>
                <w:spacing w:val="-11"/>
                <w:shd w:val="clear" w:color="auto" w:fill="FFFFFF"/>
              </w:rPr>
              <w:t> demonstrating the </w:t>
            </w:r>
            <w:r w:rsidRPr="001E7256">
              <w:rPr>
                <w:iCs/>
                <w:spacing w:val="-11"/>
              </w:rPr>
              <w:t>advanced</w:t>
            </w:r>
            <w:r w:rsidRPr="001E7256">
              <w:rPr>
                <w:spacing w:val="-11"/>
                <w:shd w:val="clear" w:color="auto" w:fill="FFFFFF"/>
              </w:rPr>
              <w:t> sensitivity of PCR over </w:t>
            </w:r>
            <w:r w:rsidRPr="001E7256">
              <w:rPr>
                <w:iCs/>
                <w:spacing w:val="-11"/>
              </w:rPr>
              <w:t>traditional</w:t>
            </w:r>
            <w:r w:rsidRPr="001E7256">
              <w:rPr>
                <w:spacing w:val="-11"/>
                <w:shd w:val="clear" w:color="auto" w:fill="FFFFFF"/>
              </w:rPr>
              <w:t> diagnostic </w:t>
            </w:r>
            <w:r w:rsidRPr="001E7256">
              <w:rPr>
                <w:iCs/>
                <w:spacing w:val="-11"/>
              </w:rPr>
              <w:t>techniques</w:t>
            </w:r>
            <w:r w:rsidRPr="001E7256">
              <w:rPr>
                <w:spacing w:val="-11"/>
                <w:shd w:val="clear" w:color="auto" w:fill="FFFFFF"/>
              </w:rPr>
              <w:t>, the </w:t>
            </w:r>
            <w:r w:rsidRPr="001E7256">
              <w:rPr>
                <w:iCs/>
                <w:spacing w:val="-11"/>
              </w:rPr>
              <w:t>look at</w:t>
            </w:r>
            <w:r w:rsidRPr="001E7256">
              <w:rPr>
                <w:spacing w:val="-11"/>
                <w:shd w:val="clear" w:color="auto" w:fill="FFFFFF"/>
              </w:rPr>
              <w:t> highlights </w:t>
            </w:r>
            <w:r w:rsidRPr="001E7256">
              <w:rPr>
                <w:iCs/>
                <w:spacing w:val="-11"/>
              </w:rPr>
              <w:t>a</w:t>
            </w:r>
            <w:r w:rsidRPr="001E7256">
              <w:rPr>
                <w:spacing w:val="-11"/>
                <w:shd w:val="clear" w:color="auto" w:fill="FFFFFF"/>
              </w:rPr>
              <w:t> </w:t>
            </w:r>
            <w:r w:rsidRPr="001E7256">
              <w:rPr>
                <w:iCs/>
                <w:spacing w:val="-11"/>
              </w:rPr>
              <w:t>vital</w:t>
            </w:r>
            <w:r w:rsidRPr="001E7256">
              <w:rPr>
                <w:spacing w:val="-11"/>
                <w:shd w:val="clear" w:color="auto" w:fill="FFFFFF"/>
              </w:rPr>
              <w:t> </w:t>
            </w:r>
            <w:r w:rsidRPr="001E7256">
              <w:rPr>
                <w:iCs/>
                <w:spacing w:val="-11"/>
              </w:rPr>
              <w:t>gap</w:t>
            </w:r>
            <w:r w:rsidRPr="001E7256">
              <w:rPr>
                <w:spacing w:val="-11"/>
                <w:shd w:val="clear" w:color="auto" w:fill="FFFFFF"/>
              </w:rPr>
              <w:t> in </w:t>
            </w:r>
            <w:r w:rsidRPr="001E7256">
              <w:rPr>
                <w:iCs/>
                <w:spacing w:val="-11"/>
              </w:rPr>
              <w:t>contemporary</w:t>
            </w:r>
            <w:r w:rsidRPr="001E7256">
              <w:rPr>
                <w:spacing w:val="-11"/>
                <w:shd w:val="clear" w:color="auto" w:fill="FFFFFF"/>
              </w:rPr>
              <w:t> detection </w:t>
            </w:r>
            <w:r w:rsidRPr="001E7256">
              <w:rPr>
                <w:iCs/>
                <w:spacing w:val="-11"/>
              </w:rPr>
              <w:t>strategies</w:t>
            </w:r>
            <w:r w:rsidRPr="001E7256">
              <w:rPr>
                <w:spacing w:val="-11"/>
                <w:shd w:val="clear" w:color="auto" w:fill="FFFFFF"/>
              </w:rPr>
              <w:t> </w:t>
            </w:r>
            <w:r w:rsidRPr="001E7256">
              <w:rPr>
                <w:iCs/>
                <w:spacing w:val="-11"/>
              </w:rPr>
              <w:t>which could</w:t>
            </w:r>
            <w:r w:rsidRPr="001E7256">
              <w:rPr>
                <w:spacing w:val="-11"/>
                <w:shd w:val="clear" w:color="auto" w:fill="FFFFFF"/>
              </w:rPr>
              <w:t> </w:t>
            </w:r>
            <w:r w:rsidRPr="001E7256">
              <w:rPr>
                <w:iCs/>
                <w:spacing w:val="-11"/>
              </w:rPr>
              <w:t>prevent</w:t>
            </w:r>
            <w:r w:rsidRPr="001E7256">
              <w:rPr>
                <w:spacing w:val="-11"/>
                <w:shd w:val="clear" w:color="auto" w:fill="FFFFFF"/>
              </w:rPr>
              <w:t> </w:t>
            </w:r>
            <w:r w:rsidRPr="001E7256">
              <w:rPr>
                <w:iCs/>
                <w:spacing w:val="-11"/>
              </w:rPr>
              <w:t>powerful</w:t>
            </w:r>
            <w:r w:rsidRPr="001E7256">
              <w:rPr>
                <w:spacing w:val="-11"/>
                <w:shd w:val="clear" w:color="auto" w:fill="FFFFFF"/>
              </w:rPr>
              <w:t> malaria </w:t>
            </w:r>
            <w:r w:rsidRPr="001E7256">
              <w:rPr>
                <w:iCs/>
                <w:spacing w:val="-11"/>
              </w:rPr>
              <w:t>manage</w:t>
            </w:r>
            <w:r w:rsidRPr="001E7256">
              <w:rPr>
                <w:spacing w:val="-11"/>
                <w:shd w:val="clear" w:color="auto" w:fill="FFFFFF"/>
              </w:rPr>
              <w:t> and </w:t>
            </w:r>
            <w:r w:rsidRPr="001E7256">
              <w:rPr>
                <w:iCs/>
                <w:spacing w:val="-11"/>
              </w:rPr>
              <w:t>removal</w:t>
            </w:r>
            <w:r w:rsidRPr="001E7256">
              <w:rPr>
                <w:spacing w:val="-11"/>
                <w:shd w:val="clear" w:color="auto" w:fill="FFFFFF"/>
              </w:rPr>
              <w:t> efforts. The findings </w:t>
            </w:r>
            <w:r w:rsidRPr="001E7256">
              <w:rPr>
                <w:iCs/>
                <w:spacing w:val="-11"/>
              </w:rPr>
              <w:t>make a contribution</w:t>
            </w:r>
            <w:r w:rsidRPr="001E7256">
              <w:rPr>
                <w:spacing w:val="-11"/>
                <w:shd w:val="clear" w:color="auto" w:fill="FFFFFF"/>
              </w:rPr>
              <w:t> to </w:t>
            </w:r>
            <w:r w:rsidRPr="001E7256">
              <w:rPr>
                <w:iCs/>
                <w:spacing w:val="-11"/>
              </w:rPr>
              <w:t>a</w:t>
            </w:r>
            <w:r w:rsidRPr="001E7256">
              <w:rPr>
                <w:spacing w:val="-11"/>
                <w:shd w:val="clear" w:color="auto" w:fill="FFFFFF"/>
              </w:rPr>
              <w:t> </w:t>
            </w:r>
            <w:r w:rsidRPr="001E7256">
              <w:rPr>
                <w:iCs/>
                <w:spacing w:val="-11"/>
              </w:rPr>
              <w:t>growing</w:t>
            </w:r>
            <w:r w:rsidRPr="001E7256">
              <w:rPr>
                <w:spacing w:val="-11"/>
                <w:shd w:val="clear" w:color="auto" w:fill="FFFFFF"/>
              </w:rPr>
              <w:t> </w:t>
            </w:r>
            <w:r w:rsidRPr="001E7256">
              <w:rPr>
                <w:iCs/>
                <w:spacing w:val="-11"/>
              </w:rPr>
              <w:t>body</w:t>
            </w:r>
            <w:r w:rsidRPr="001E7256">
              <w:rPr>
                <w:spacing w:val="-11"/>
                <w:shd w:val="clear" w:color="auto" w:fill="FFFFFF"/>
              </w:rPr>
              <w:t> of </w:t>
            </w:r>
            <w:r w:rsidRPr="001E7256">
              <w:rPr>
                <w:iCs/>
                <w:spacing w:val="-11"/>
              </w:rPr>
              <w:t>expertise</w:t>
            </w:r>
            <w:r w:rsidRPr="001E7256">
              <w:rPr>
                <w:spacing w:val="-11"/>
                <w:shd w:val="clear" w:color="auto" w:fill="FFFFFF"/>
              </w:rPr>
              <w:t> </w:t>
            </w:r>
            <w:r w:rsidRPr="001E7256">
              <w:rPr>
                <w:iCs/>
                <w:spacing w:val="-11"/>
              </w:rPr>
              <w:t>helping</w:t>
            </w:r>
            <w:r w:rsidRPr="001E7256">
              <w:rPr>
                <w:spacing w:val="-11"/>
                <w:shd w:val="clear" w:color="auto" w:fill="FFFFFF"/>
              </w:rPr>
              <w:t> </w:t>
            </w:r>
            <w:r w:rsidRPr="001E7256">
              <w:rPr>
                <w:iCs/>
                <w:spacing w:val="-11"/>
              </w:rPr>
              <w:t>the mixing</w:t>
            </w:r>
            <w:r w:rsidRPr="001E7256">
              <w:rPr>
                <w:spacing w:val="-11"/>
                <w:shd w:val="clear" w:color="auto" w:fill="FFFFFF"/>
              </w:rPr>
              <w:t> of molecular diagnostics into public </w:t>
            </w:r>
            <w:r w:rsidRPr="001E7256">
              <w:rPr>
                <w:iCs/>
                <w:spacing w:val="-11"/>
              </w:rPr>
              <w:t>fitness</w:t>
            </w:r>
            <w:r w:rsidRPr="001E7256">
              <w:rPr>
                <w:spacing w:val="-11"/>
                <w:shd w:val="clear" w:color="auto" w:fill="FFFFFF"/>
              </w:rPr>
              <w:t> </w:t>
            </w:r>
            <w:r w:rsidRPr="001E7256">
              <w:rPr>
                <w:iCs/>
                <w:spacing w:val="-11"/>
              </w:rPr>
              <w:t>applications</w:t>
            </w:r>
            <w:r w:rsidRPr="001E7256">
              <w:rPr>
                <w:spacing w:val="-11"/>
                <w:shd w:val="clear" w:color="auto" w:fill="FFFFFF"/>
              </w:rPr>
              <w:t>, </w:t>
            </w:r>
            <w:r w:rsidRPr="001E7256">
              <w:rPr>
                <w:iCs/>
                <w:spacing w:val="-11"/>
              </w:rPr>
              <w:t>specifically</w:t>
            </w:r>
            <w:r w:rsidRPr="001E7256">
              <w:rPr>
                <w:spacing w:val="-11"/>
                <w:shd w:val="clear" w:color="auto" w:fill="FFFFFF"/>
              </w:rPr>
              <w:t> in endemic </w:t>
            </w:r>
            <w:r w:rsidRPr="001E7256">
              <w:rPr>
                <w:iCs/>
                <w:spacing w:val="-11"/>
              </w:rPr>
              <w:t>regions</w:t>
            </w:r>
            <w:r w:rsidRPr="001E7256">
              <w:rPr>
                <w:spacing w:val="-11"/>
                <w:shd w:val="clear" w:color="auto" w:fill="FFFFFF"/>
              </w:rPr>
              <w:t>. </w:t>
            </w:r>
            <w:r w:rsidRPr="001E7256">
              <w:rPr>
                <w:iCs/>
                <w:spacing w:val="-11"/>
              </w:rPr>
              <w:t>in the end</w:t>
            </w:r>
            <w:r w:rsidRPr="001E7256">
              <w:rPr>
                <w:spacing w:val="-11"/>
                <w:shd w:val="clear" w:color="auto" w:fill="FFFFFF"/>
              </w:rPr>
              <w:t>, this </w:t>
            </w:r>
            <w:r w:rsidRPr="001E7256">
              <w:rPr>
                <w:iCs/>
                <w:spacing w:val="-11"/>
              </w:rPr>
              <w:t>work</w:t>
            </w:r>
            <w:r w:rsidRPr="001E7256">
              <w:rPr>
                <w:spacing w:val="-11"/>
                <w:shd w:val="clear" w:color="auto" w:fill="FFFFFF"/>
              </w:rPr>
              <w:t> </w:t>
            </w:r>
            <w:r w:rsidRPr="001E7256">
              <w:rPr>
                <w:iCs/>
                <w:spacing w:val="-11"/>
              </w:rPr>
              <w:t>offers</w:t>
            </w:r>
            <w:r w:rsidRPr="001E7256">
              <w:rPr>
                <w:spacing w:val="-11"/>
                <w:shd w:val="clear" w:color="auto" w:fill="FFFFFF"/>
              </w:rPr>
              <w:t> </w:t>
            </w:r>
            <w:r w:rsidRPr="001E7256">
              <w:rPr>
                <w:iCs/>
                <w:spacing w:val="-11"/>
              </w:rPr>
              <w:t>valuable</w:t>
            </w:r>
            <w:r w:rsidRPr="001E7256">
              <w:rPr>
                <w:spacing w:val="-11"/>
                <w:shd w:val="clear" w:color="auto" w:fill="FFFFFF"/>
              </w:rPr>
              <w:t> insights for researchers and policymakers aiming to refine surveillance </w:t>
            </w:r>
            <w:r w:rsidRPr="001E7256">
              <w:rPr>
                <w:iCs/>
                <w:spacing w:val="-11"/>
              </w:rPr>
              <w:t>structures</w:t>
            </w:r>
            <w:r w:rsidRPr="001E7256">
              <w:rPr>
                <w:spacing w:val="-11"/>
                <w:shd w:val="clear" w:color="auto" w:fill="FFFFFF"/>
              </w:rPr>
              <w:t> </w:t>
            </w:r>
            <w:r w:rsidRPr="001E7256">
              <w:rPr>
                <w:iCs/>
                <w:spacing w:val="-11"/>
              </w:rPr>
              <w:t>and decrease</w:t>
            </w:r>
            <w:r w:rsidRPr="001E7256">
              <w:rPr>
                <w:spacing w:val="-11"/>
                <w:shd w:val="clear" w:color="auto" w:fill="FFFFFF"/>
              </w:rPr>
              <w:t> ongoing malaria transmission.</w:t>
            </w:r>
          </w:p>
        </w:tc>
        <w:tc>
          <w:tcPr>
            <w:tcW w:w="1367" w:type="pct"/>
            <w:shd w:val="clear" w:color="auto" w:fill="auto"/>
          </w:tcPr>
          <w:p w:rsidR="00AA7F1C" w:rsidRDefault="00BD279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D2795"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</w:tbl>
    <w:p w:rsidR="00AA7F1C" w:rsidRDefault="00AA7F1C">
      <w:pPr>
        <w:rPr>
          <w:rFonts w:ascii="Arial" w:hAnsi="Arial" w:cs="Arial"/>
          <w:sz w:val="20"/>
          <w:szCs w:val="20"/>
          <w:lang w:val="en-GB"/>
        </w:rPr>
      </w:pPr>
    </w:p>
    <w:p w:rsidR="00AA7F1C" w:rsidRDefault="00567971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AA7F1C" w:rsidRDefault="00AA7F1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A7F1C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AA7F1C" w:rsidRDefault="00AA7F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AA7F1C" w:rsidRDefault="0056797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AA7F1C" w:rsidRDefault="00567971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BD27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2795" w:rsidRDefault="00BD2795" w:rsidP="00BD279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BD2795" w:rsidRDefault="00BD2795" w:rsidP="00BD27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795" w:rsidRDefault="00BD2795" w:rsidP="00BD279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2795" w:rsidRDefault="00BD2795" w:rsidP="00BD27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BD2795" w:rsidRDefault="00BD2795" w:rsidP="00BD2795">
            <w:r w:rsidRPr="00D41985">
              <w:rPr>
                <w:rFonts w:ascii="Arial" w:hAnsi="Arial" w:cs="Arial"/>
                <w:b/>
                <w:lang w:val="en-GB"/>
              </w:rPr>
              <w:t>Noted</w:t>
            </w:r>
          </w:p>
        </w:tc>
      </w:tr>
      <w:tr w:rsidR="00BD27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2795" w:rsidRDefault="00BD2795" w:rsidP="00BD279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BD2795" w:rsidRDefault="00BD2795" w:rsidP="00BD27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795" w:rsidRDefault="00BD2795" w:rsidP="00BD27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2795" w:rsidRDefault="00BD2795" w:rsidP="00BD27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BD2795" w:rsidRDefault="00BD2795" w:rsidP="00BD2795">
            <w:r w:rsidRPr="00D41985">
              <w:rPr>
                <w:rFonts w:ascii="Arial" w:hAnsi="Arial" w:cs="Arial"/>
                <w:b/>
                <w:lang w:val="en-GB"/>
              </w:rPr>
              <w:t>Noted</w:t>
            </w:r>
          </w:p>
        </w:tc>
      </w:tr>
      <w:tr w:rsidR="00BD27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2795" w:rsidRDefault="00BD2795" w:rsidP="00BD279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BD2795" w:rsidRDefault="00BD2795" w:rsidP="00BD27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795" w:rsidRDefault="00BD2795" w:rsidP="00BD27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2795" w:rsidRDefault="00BD2795" w:rsidP="00BD27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BD2795" w:rsidRDefault="00BD2795" w:rsidP="00BD2795">
            <w:r w:rsidRPr="00D41985">
              <w:rPr>
                <w:rFonts w:ascii="Arial" w:hAnsi="Arial" w:cs="Arial"/>
                <w:b/>
                <w:lang w:val="en-GB"/>
              </w:rPr>
              <w:t>Noted</w:t>
            </w:r>
          </w:p>
        </w:tc>
      </w:tr>
      <w:tr w:rsidR="00BD27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2795" w:rsidRDefault="00BD2795" w:rsidP="00BD279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BD2795" w:rsidRDefault="00BD2795" w:rsidP="00BD27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795" w:rsidRDefault="00BD2795" w:rsidP="00BD27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2795" w:rsidRDefault="00BD2795" w:rsidP="00BD27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BD2795" w:rsidRDefault="00BD2795" w:rsidP="00BD2795">
            <w:r w:rsidRPr="00D41985">
              <w:rPr>
                <w:rFonts w:ascii="Arial" w:hAnsi="Arial" w:cs="Arial"/>
                <w:b/>
                <w:lang w:val="en-GB"/>
              </w:rPr>
              <w:t>Noted</w:t>
            </w:r>
          </w:p>
        </w:tc>
      </w:tr>
      <w:tr w:rsidR="00BD27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2795" w:rsidRDefault="00BD2795" w:rsidP="00BD279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BD2795" w:rsidRDefault="00BD2795" w:rsidP="00BD27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795" w:rsidRDefault="00BD2795" w:rsidP="00BD27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2795" w:rsidRDefault="00BD2795" w:rsidP="00BD27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BD2795" w:rsidRDefault="00BD2795" w:rsidP="00BD2795">
            <w:r w:rsidRPr="00D41985">
              <w:rPr>
                <w:rFonts w:ascii="Arial" w:hAnsi="Arial" w:cs="Arial"/>
                <w:b/>
                <w:lang w:val="en-GB"/>
              </w:rPr>
              <w:t>Noted</w:t>
            </w:r>
          </w:p>
        </w:tc>
      </w:tr>
      <w:tr w:rsidR="00BD27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2795" w:rsidRDefault="00BD2795" w:rsidP="00BD279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BD2795" w:rsidRDefault="00BD2795" w:rsidP="00BD27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795" w:rsidRDefault="00BD2795" w:rsidP="00BD27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2795" w:rsidRDefault="00BD2795" w:rsidP="00BD27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</w:t>
            </w:r>
          </w:p>
        </w:tc>
        <w:tc>
          <w:tcPr>
            <w:tcW w:w="1367" w:type="pct"/>
            <w:shd w:val="clear" w:color="auto" w:fill="auto"/>
          </w:tcPr>
          <w:p w:rsidR="00BD2795" w:rsidRDefault="00BD2795" w:rsidP="00BD2795">
            <w:r w:rsidRPr="00D41985">
              <w:rPr>
                <w:rFonts w:ascii="Arial" w:hAnsi="Arial" w:cs="Arial"/>
                <w:b/>
                <w:lang w:val="en-GB"/>
              </w:rPr>
              <w:t>Noted</w:t>
            </w:r>
          </w:p>
        </w:tc>
      </w:tr>
      <w:tr w:rsidR="00BD27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2795" w:rsidRDefault="00BD2795" w:rsidP="00BD279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BD2795" w:rsidRDefault="00BD2795" w:rsidP="00BD27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795" w:rsidRDefault="00BD2795" w:rsidP="00BD27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2795" w:rsidRDefault="00BD2795" w:rsidP="00BD27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BD2795" w:rsidRDefault="00BD2795" w:rsidP="00BD2795">
            <w:r w:rsidRPr="00D41985">
              <w:rPr>
                <w:rFonts w:ascii="Arial" w:hAnsi="Arial" w:cs="Arial"/>
                <w:b/>
                <w:lang w:val="en-GB"/>
              </w:rPr>
              <w:t>Noted</w:t>
            </w:r>
          </w:p>
        </w:tc>
      </w:tr>
      <w:tr w:rsidR="00BD27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2795" w:rsidRDefault="00BD2795" w:rsidP="00BD279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BD2795" w:rsidRDefault="00BD2795" w:rsidP="00BD27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795" w:rsidRDefault="00BD2795" w:rsidP="00BD27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2795" w:rsidRDefault="00BD2795" w:rsidP="00BD27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BD2795" w:rsidRDefault="00BD2795" w:rsidP="00BD2795">
            <w:r w:rsidRPr="00D41985">
              <w:rPr>
                <w:rFonts w:ascii="Arial" w:hAnsi="Arial" w:cs="Arial"/>
                <w:b/>
                <w:lang w:val="en-GB"/>
              </w:rPr>
              <w:t>Noted</w:t>
            </w:r>
          </w:p>
        </w:tc>
      </w:tr>
      <w:tr w:rsidR="00BD27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2795" w:rsidRDefault="00BD2795" w:rsidP="00BD279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BD2795" w:rsidRDefault="00BD2795" w:rsidP="00BD27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795" w:rsidRDefault="00BD2795" w:rsidP="00BD27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2795" w:rsidRDefault="00BD2795" w:rsidP="00BD279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BD2795" w:rsidRDefault="00BD2795" w:rsidP="00BD2795">
            <w:r w:rsidRPr="00D41985">
              <w:rPr>
                <w:rFonts w:ascii="Arial" w:hAnsi="Arial" w:cs="Arial"/>
                <w:b/>
                <w:lang w:val="en-GB"/>
              </w:rPr>
              <w:t>Noted</w:t>
            </w:r>
          </w:p>
        </w:tc>
      </w:tr>
      <w:tr w:rsidR="00BD27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2795" w:rsidRDefault="00BD2795" w:rsidP="00BD279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BD2795" w:rsidRDefault="00BD2795" w:rsidP="00BD27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795" w:rsidRDefault="00BD2795" w:rsidP="00BD27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2795" w:rsidRDefault="00BD2795" w:rsidP="00BD279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BD2795" w:rsidRDefault="00BD2795" w:rsidP="00BD2795">
            <w:r w:rsidRPr="00D41985">
              <w:rPr>
                <w:rFonts w:ascii="Arial" w:hAnsi="Arial" w:cs="Arial"/>
                <w:b/>
                <w:lang w:val="en-GB"/>
              </w:rPr>
              <w:t>Noted</w:t>
            </w:r>
          </w:p>
        </w:tc>
      </w:tr>
      <w:tr w:rsidR="00BD27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2795" w:rsidRDefault="00BD2795" w:rsidP="00BD279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BD2795" w:rsidRDefault="00BD2795" w:rsidP="00BD27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795" w:rsidRDefault="00BD2795" w:rsidP="00BD27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2795" w:rsidRDefault="00BD2795" w:rsidP="00BD279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BD2795" w:rsidRDefault="00BD2795" w:rsidP="00BD2795">
            <w:r w:rsidRPr="00D41985">
              <w:rPr>
                <w:rFonts w:ascii="Arial" w:hAnsi="Arial" w:cs="Arial"/>
                <w:b/>
                <w:lang w:val="en-GB"/>
              </w:rPr>
              <w:t>Noted</w:t>
            </w:r>
          </w:p>
        </w:tc>
      </w:tr>
      <w:tr w:rsidR="00BD27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2795" w:rsidRDefault="00BD2795" w:rsidP="00BD279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BD2795" w:rsidRDefault="00BD2795" w:rsidP="00BD27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795" w:rsidRDefault="00BD2795" w:rsidP="00BD27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2795" w:rsidRDefault="00BD2795" w:rsidP="00BD279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BD2795" w:rsidRDefault="00BD2795" w:rsidP="00BD2795">
            <w:r w:rsidRPr="00D41985">
              <w:rPr>
                <w:rFonts w:ascii="Arial" w:hAnsi="Arial" w:cs="Arial"/>
                <w:b/>
                <w:lang w:val="en-GB"/>
              </w:rPr>
              <w:t>Noted</w:t>
            </w:r>
          </w:p>
        </w:tc>
      </w:tr>
      <w:tr w:rsidR="00BD27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2795" w:rsidRDefault="00BD2795" w:rsidP="00BD279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BD2795" w:rsidRDefault="00BD2795" w:rsidP="00BD27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795" w:rsidRDefault="00BD2795" w:rsidP="00BD27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BD2795" w:rsidRDefault="00BD2795" w:rsidP="00BD279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BD2795" w:rsidRDefault="00BD2795" w:rsidP="00BD2795">
            <w:r w:rsidRPr="00D41985">
              <w:rPr>
                <w:rFonts w:ascii="Arial" w:hAnsi="Arial" w:cs="Arial"/>
                <w:b/>
                <w:lang w:val="en-GB"/>
              </w:rPr>
              <w:t>Noted</w:t>
            </w:r>
          </w:p>
        </w:tc>
      </w:tr>
      <w:tr w:rsidR="00BD27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2795" w:rsidRDefault="00BD2795" w:rsidP="00BD279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BD2795" w:rsidRDefault="00BD2795" w:rsidP="00BD27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795" w:rsidRDefault="00BD2795" w:rsidP="00BD27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D2795" w:rsidRDefault="00BD2795" w:rsidP="00BD27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BD2795" w:rsidRDefault="00BD2795" w:rsidP="00BD279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BD2795" w:rsidRDefault="00BD2795" w:rsidP="00BD2795">
            <w:r w:rsidRPr="00D41985">
              <w:rPr>
                <w:rFonts w:ascii="Arial" w:hAnsi="Arial" w:cs="Arial"/>
                <w:b/>
                <w:lang w:val="en-GB"/>
              </w:rPr>
              <w:t>Noted</w:t>
            </w:r>
          </w:p>
        </w:tc>
      </w:tr>
      <w:tr w:rsidR="00BD27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BD2795" w:rsidRDefault="00BD2795" w:rsidP="00BD279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BD2795" w:rsidRDefault="00BD2795" w:rsidP="00BD27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D2795" w:rsidRDefault="00BD2795" w:rsidP="00BD27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D2795" w:rsidRDefault="00BD2795" w:rsidP="00BD27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BD2795" w:rsidRDefault="00BD2795" w:rsidP="00BD279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BD2795" w:rsidRDefault="00BD2795" w:rsidP="00BD2795">
            <w:r w:rsidRPr="00D41985">
              <w:rPr>
                <w:rFonts w:ascii="Arial" w:hAnsi="Arial" w:cs="Arial"/>
                <w:b/>
                <w:lang w:val="en-GB"/>
              </w:rPr>
              <w:t>Noted</w:t>
            </w:r>
          </w:p>
        </w:tc>
      </w:tr>
      <w:bookmarkEnd w:id="0"/>
    </w:tbl>
    <w:p w:rsidR="00AA7F1C" w:rsidRDefault="00AA7F1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A7F1C" w:rsidRDefault="00567971">
      <w:pPr>
        <w:pStyle w:val="Heading2"/>
        <w:jc w:val="left"/>
        <w:rPr>
          <w:rFonts w:ascii="Arial" w:hAnsi="Arial" w:cs="Arial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AA7F1C" w:rsidRDefault="00AA7F1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A7F1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A7F1C" w:rsidRDefault="00AA7F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AA7F1C" w:rsidRDefault="0056797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Reviewer’s comment</w:t>
            </w:r>
          </w:p>
          <w:p w:rsidR="00AA7F1C" w:rsidRDefault="00AA7F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AA7F1C" w:rsidRDefault="0056797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A7F1C" w:rsidRDefault="00AA7F1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A7F1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A7F1C" w:rsidRDefault="0056797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A7F1C" w:rsidRDefault="00AA7F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A7F1C" w:rsidRDefault="0056797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A7F1C" w:rsidRDefault="001E72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AA7F1C" w:rsidRDefault="00AA7F1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A7F1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A7F1C" w:rsidRDefault="0056797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AA7F1C" w:rsidRDefault="00AA7F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A7F1C" w:rsidRDefault="0056797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A7F1C" w:rsidRDefault="001E72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AA7F1C" w:rsidRDefault="00AA7F1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A7F1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A7F1C" w:rsidRDefault="0056797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/>
              </w:rPr>
              <w:br/>
            </w:r>
          </w:p>
          <w:p w:rsidR="00AA7F1C" w:rsidRDefault="0056797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A7F1C" w:rsidRDefault="001E725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AA7F1C" w:rsidRDefault="00AA7F1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A7F1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A7F1C" w:rsidRDefault="0056797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AA7F1C" w:rsidRDefault="0056797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AA7F1C" w:rsidRDefault="00AA7F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A7F1C" w:rsidRDefault="0056797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A7F1C" w:rsidRDefault="001E725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updated reference more add </w:t>
            </w:r>
          </w:p>
        </w:tc>
        <w:tc>
          <w:tcPr>
            <w:tcW w:w="1543" w:type="pct"/>
            <w:shd w:val="clear" w:color="auto" w:fill="auto"/>
          </w:tcPr>
          <w:p w:rsidR="00AA7F1C" w:rsidRDefault="00AA7F1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A7F1C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AA7F1C" w:rsidRDefault="0056797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AA7F1C" w:rsidRDefault="0056797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AA7F1C" w:rsidRDefault="00AA7F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A7F1C" w:rsidRDefault="0056797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AA7F1C" w:rsidRDefault="00AA7F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AA7F1C" w:rsidRDefault="001E725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AA7F1C" w:rsidRDefault="00AA7F1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AA7F1C" w:rsidRDefault="00AA7F1C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sectPr w:rsidR="00AA7F1C" w:rsidSect="00DC4CA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CA2" w:rsidRDefault="003A5CA2">
      <w:r>
        <w:separator/>
      </w:r>
    </w:p>
  </w:endnote>
  <w:endnote w:type="continuationSeparator" w:id="0">
    <w:p w:rsidR="003A5CA2" w:rsidRDefault="003A5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F1C" w:rsidRDefault="00AA7F1C">
    <w:pPr>
      <w:pStyle w:val="Footer"/>
      <w:jc w:val="right"/>
    </w:pPr>
  </w:p>
  <w:p w:rsidR="00AA7F1C" w:rsidRDefault="0056797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DC4CA8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DC4CA8">
      <w:rPr>
        <w:b/>
        <w:sz w:val="20"/>
      </w:rPr>
      <w:fldChar w:fldCharType="separate"/>
    </w:r>
    <w:r w:rsidR="00BD2795">
      <w:rPr>
        <w:b/>
        <w:noProof/>
        <w:sz w:val="20"/>
      </w:rPr>
      <w:t>1</w:t>
    </w:r>
    <w:r w:rsidR="00DC4CA8">
      <w:rPr>
        <w:b/>
        <w:sz w:val="20"/>
      </w:rPr>
      <w:fldChar w:fldCharType="end"/>
    </w:r>
    <w:r>
      <w:rPr>
        <w:sz w:val="20"/>
      </w:rPr>
      <w:t xml:space="preserve"> of </w:t>
    </w:r>
    <w:r w:rsidR="00DC4CA8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DC4CA8">
      <w:rPr>
        <w:b/>
        <w:sz w:val="20"/>
      </w:rPr>
      <w:fldChar w:fldCharType="separate"/>
    </w:r>
    <w:r w:rsidR="00BD2795">
      <w:rPr>
        <w:b/>
        <w:noProof/>
        <w:sz w:val="20"/>
      </w:rPr>
      <w:t>2</w:t>
    </w:r>
    <w:r w:rsidR="00DC4CA8">
      <w:rPr>
        <w:b/>
        <w:sz w:val="20"/>
      </w:rPr>
      <w:fldChar w:fldCharType="end"/>
    </w:r>
  </w:p>
  <w:p w:rsidR="00AA7F1C" w:rsidRDefault="0056797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AA7F1C" w:rsidRDefault="00AA7F1C">
    <w:pPr>
      <w:pStyle w:val="Footer"/>
      <w:jc w:val="right"/>
    </w:pPr>
  </w:p>
  <w:p w:rsidR="00AA7F1C" w:rsidRDefault="00AA7F1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CA2" w:rsidRDefault="003A5CA2">
      <w:r>
        <w:separator/>
      </w:r>
    </w:p>
  </w:footnote>
  <w:footnote w:type="continuationSeparator" w:id="0">
    <w:p w:rsidR="003A5CA2" w:rsidRDefault="003A5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F1C" w:rsidRDefault="00AA7F1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AA7F1C" w:rsidRDefault="0056797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A7F1C"/>
    <w:rsid w:val="00080C57"/>
    <w:rsid w:val="001A26A3"/>
    <w:rsid w:val="001E7256"/>
    <w:rsid w:val="00296676"/>
    <w:rsid w:val="002B1351"/>
    <w:rsid w:val="00310DDE"/>
    <w:rsid w:val="003A5CA2"/>
    <w:rsid w:val="00567971"/>
    <w:rsid w:val="00581ABE"/>
    <w:rsid w:val="00675206"/>
    <w:rsid w:val="006C3F96"/>
    <w:rsid w:val="00783102"/>
    <w:rsid w:val="007F5B64"/>
    <w:rsid w:val="00830585"/>
    <w:rsid w:val="008D02DD"/>
    <w:rsid w:val="00AA7F1C"/>
    <w:rsid w:val="00AB47FA"/>
    <w:rsid w:val="00BD2795"/>
    <w:rsid w:val="00C82A26"/>
    <w:rsid w:val="00C948C8"/>
    <w:rsid w:val="00D953E6"/>
    <w:rsid w:val="00DC4CA8"/>
    <w:rsid w:val="00DD243F"/>
    <w:rsid w:val="00DE1F93"/>
    <w:rsid w:val="00E25817"/>
    <w:rsid w:val="00EA4CB2"/>
    <w:rsid w:val="00EA6AC3"/>
    <w:rsid w:val="00EC2E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B10A72D-ADF1-47A4-95DE-5C05E8DBA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4CA8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3102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C4CA8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DC4CA8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C4CA8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DC4CA8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DC4CA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DC4CA8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DC4CA8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DC4C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C4CA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C4CA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DC4CA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DC4CA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C4CA8"/>
    <w:pPr>
      <w:ind w:left="720"/>
      <w:contextualSpacing/>
    </w:pPr>
  </w:style>
  <w:style w:type="paragraph" w:styleId="Revision">
    <w:name w:val="Revision"/>
    <w:hidden/>
    <w:uiPriority w:val="99"/>
    <w:semiHidden/>
    <w:rsid w:val="00DC4CA8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DC4CA8"/>
    <w:rPr>
      <w:color w:val="800080"/>
      <w:u w:val="single"/>
    </w:rPr>
  </w:style>
  <w:style w:type="table" w:styleId="TableGrid">
    <w:name w:val="Table Grid"/>
    <w:basedOn w:val="TableNormal"/>
    <w:uiPriority w:val="59"/>
    <w:rsid w:val="00DC4CA8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DC4CA8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DC4CA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783102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A6A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medicals.com/index.php/AJOAIMS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744</Words>
  <Characters>4242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4977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CPU 1117</cp:lastModifiedBy>
  <cp:revision>14</cp:revision>
  <dcterms:created xsi:type="dcterms:W3CDTF">2026-04-25T06:03:00Z</dcterms:created>
  <dcterms:modified xsi:type="dcterms:W3CDTF">2026-05-01T04:42:00Z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