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Lines w:val="0"/>
        <w:spacing w:after="0" w:before="0" w:line="240" w:lineRule="auto"/>
        <w:rPr>
          <w:rFonts w:ascii="Times New Roman" w:cs="Times New Roman" w:eastAsia="Times New Roman" w:hAnsi="Times New Roman"/>
          <w:color w:val="000000"/>
          <w:sz w:val="26"/>
          <w:szCs w:val="26"/>
          <w:highlight w:val="yellow"/>
        </w:rPr>
      </w:pPr>
      <w:r w:rsidDel="00000000" w:rsidR="00000000" w:rsidRPr="00000000">
        <w:rPr>
          <w:rFonts w:ascii="Times New Roman" w:cs="Times New Roman" w:eastAsia="Times New Roman" w:hAnsi="Times New Roman"/>
          <w:b w:val="1"/>
          <w:bCs w:val="1"/>
          <w:color w:val="000000"/>
          <w:sz w:val="26"/>
          <w:szCs w:val="26"/>
          <w:highlight w:val="yellow"/>
          <w:rtl w:val="0"/>
        </w:rPr>
        <w:t xml:space="preserve">Phytochemical Profiling and Bioactivity Evaluation of Lawsonia inermis Leaf Extract Against Antibiotic-Resistant Bacteria and Antioxidant Activity</w:t>
      </w:r>
      <w:r w:rsidDel="00000000" w:rsidR="00000000" w:rsidRPr="00000000">
        <w:rPr>
          <w:rtl w:val="0"/>
        </w:rPr>
      </w:r>
    </w:p>
    <w:p w:rsidR="00000000" w:rsidDel="00000000" w:rsidP="00000000" w:rsidRDefault="00000000" w:rsidRPr="00000000" w14:paraId="00000002">
      <w:pPr>
        <w:jc w:val="both"/>
        <w:rPr>
          <w:rFonts w:ascii="Times New Roman" w:cs="Times New Roman" w:eastAsia="Times New Roman" w:hAnsi="Times New Roman"/>
          <w:i w:val="0"/>
          <w:iCs w:val="0"/>
          <w:color w:val="00b0f0"/>
          <w:sz w:val="24"/>
          <w:szCs w:val="24"/>
          <w:u w:val="single"/>
          <w:vertAlign w:val="baseline"/>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i w:val="0"/>
          <w:iCs w:val="0"/>
          <w:color w:val="00b0f0"/>
          <w:sz w:val="24"/>
          <w:szCs w:val="24"/>
          <w:u w:val="single"/>
          <w:vertAlign w:val="baseline"/>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ABSTRACT </w:t>
      </w: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(henna), a medicinal plant rich in bioactive secondary metabolites, has long been used in traditional medicine for its antimicrobial and antioxidant properties. The present study aimed to evaluate the phytochemical composition, antioxidant efficacy, and antibacterial activity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leaf extracts against clinically relevant antibiotic-resistant bacteria. Leaves were extracted successively using diethyl ether, methanol, and hexane, followed by qualitative phytochemical screening. Among the extracts, the methanolic fraction exhibited the richest profile of bioactive constituents such as phenols, tannins, flavonoids, saponins anthocyanin, coumarins, terpenoids, steroids, quinones and was therefore subjected to GC–MS analysis, antibacterial efficacy, and antioxidant evaluation. GC–MS profiling of the methanolic extract revealed the presence of major compounds such as methyl-α-D-galactopyranoside, 1,6-anhydro-β-D-glucopyranose, phytol, N-hexadecanoic acid, and polyunsaturated fatty acids, many of which are associated with antimicrobial and antioxidant activities. Antibacterial activity, assessed by disc diffusion assay, demonstrated a concentration-dependent inhibitory effect against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Proteus mirabilis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Escherichia coli</w:t>
      </w:r>
      <w:r w:rsidDel="00000000" w:rsidR="00000000" w:rsidRPr="00000000">
        <w:rPr>
          <w:rFonts w:ascii="Times New Roman" w:cs="Times New Roman" w:eastAsia="Times New Roman" w:hAnsi="Times New Roman"/>
          <w:sz w:val="24"/>
          <w:szCs w:val="24"/>
          <w:vertAlign w:val="baseline"/>
          <w:rtl w:val="0"/>
        </w:rPr>
        <w:t xml:space="preserve">, and </w:t>
      </w:r>
      <w:r w:rsidDel="00000000" w:rsidR="00000000" w:rsidRPr="00000000">
        <w:rPr>
          <w:rFonts w:ascii="Times New Roman" w:cs="Times New Roman" w:eastAsia="Times New Roman" w:hAnsi="Times New Roman"/>
          <w:i w:val="1"/>
          <w:iCs w:val="1"/>
          <w:sz w:val="24"/>
          <w:szCs w:val="24"/>
          <w:vertAlign w:val="baseline"/>
          <w:rtl w:val="0"/>
        </w:rPr>
        <w:t xml:space="preserve">Klebsiella pneumoniae</w:t>
      </w:r>
      <w:r w:rsidDel="00000000" w:rsidR="00000000" w:rsidRPr="00000000">
        <w:rPr>
          <w:rFonts w:ascii="Times New Roman" w:cs="Times New Roman" w:eastAsia="Times New Roman" w:hAnsi="Times New Roman"/>
          <w:sz w:val="24"/>
          <w:szCs w:val="24"/>
          <w:vertAlign w:val="baseline"/>
          <w:rtl w:val="0"/>
        </w:rPr>
        <w:t xml:space="preserve">, with the strongest activity observed against </w:t>
      </w:r>
      <w:r w:rsidDel="00000000" w:rsidR="00000000" w:rsidRPr="00000000">
        <w:rPr>
          <w:rFonts w:ascii="Times New Roman" w:cs="Times New Roman" w:eastAsia="Times New Roman" w:hAnsi="Times New Roman"/>
          <w:i w:val="1"/>
          <w:iCs w:val="1"/>
          <w:sz w:val="24"/>
          <w:szCs w:val="24"/>
          <w:vertAlign w:val="baseline"/>
          <w:rtl w:val="0"/>
        </w:rPr>
        <w:t xml:space="preserve">S. aureus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rtl w:val="0"/>
        </w:rPr>
        <w:t xml:space="preserve">S. aureus</w:t>
      </w:r>
      <w:r w:rsidDel="00000000" w:rsidR="00000000" w:rsidRPr="00000000">
        <w:rPr>
          <w:rFonts w:ascii="Times New Roman" w:cs="Times New Roman" w:eastAsia="Times New Roman" w:hAnsi="Times New Roman"/>
          <w:sz w:val="24"/>
          <w:szCs w:val="24"/>
          <w:highlight w:val="yellow"/>
          <w:rtl w:val="0"/>
        </w:rPr>
        <w:t xml:space="preserve"> showed susceptibility, exhibiting a 3 mm inhibition zone at 20 µg/ml, followed by 4mm at 40 µg/ml, and 5mm at 80 µg/ml. </w:t>
      </w:r>
      <w:r w:rsidDel="00000000" w:rsidR="00000000" w:rsidRPr="00000000">
        <w:rPr>
          <w:rFonts w:ascii="Times New Roman" w:cs="Times New Roman" w:eastAsia="Times New Roman" w:hAnsi="Times New Roman"/>
          <w:sz w:val="24"/>
          <w:szCs w:val="24"/>
          <w:vertAlign w:val="baseline"/>
          <w:rtl w:val="0"/>
        </w:rPr>
        <w:t xml:space="preserve">Antioxidant potential, evaluated using the DPPH radical scavenging assay, showed significant free radical scavenging activity, in some cases exceeding that of the standard antioxidant L-ascorbic acid. </w:t>
      </w:r>
      <w:r w:rsidDel="00000000" w:rsidR="00000000" w:rsidRPr="00000000">
        <w:rPr>
          <w:rFonts w:ascii="Times New Roman" w:cs="Times New Roman" w:eastAsia="Times New Roman" w:hAnsi="Times New Roman"/>
          <w:sz w:val="24"/>
          <w:szCs w:val="24"/>
          <w:highlight w:val="yellow"/>
          <w:rtl w:val="0"/>
        </w:rPr>
        <w:t xml:space="preserve">At the highest concentration of 80 μg/ml, the scavenging activity was 34.21 ± 1.61, whereas it was 23.05 ± 0.31in L-ascorbic acid.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Overall, the findings indicate that the methanolic extract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possesses notable antioxidant and moderate antibacterial activities, attributable to its rich phytochemical composition. This study supports the potential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as a natural source of bioactive compounds for developing alternative antimicrobial and antioxidant agents, particularly in the context of rising antibiotic resistance.</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i w:val="1"/>
          <w:iCs w:val="1"/>
          <w:sz w:val="24"/>
          <w:szCs w:val="24"/>
          <w:vertAlign w:val="baseline"/>
          <w:rtl w:val="0"/>
        </w:rPr>
        <w:t xml:space="preserve">Keywords</w:t>
      </w:r>
      <w:r w:rsidDel="00000000" w:rsidR="00000000" w:rsidRPr="00000000">
        <w:rPr>
          <w:rFonts w:ascii="Times New Roman" w:cs="Times New Roman" w:eastAsia="Times New Roman" w:hAnsi="Times New Roman"/>
          <w:b w:val="1"/>
          <w:bCs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Antibacterial activity; antioxidant efficacy; plant extract; </w:t>
      </w:r>
      <w:r w:rsidDel="00000000" w:rsidR="00000000" w:rsidRPr="00000000">
        <w:rPr>
          <w:rFonts w:ascii="Times New Roman" w:cs="Times New Roman" w:eastAsia="Times New Roman" w:hAnsi="Times New Roman"/>
          <w:i w:val="1"/>
          <w:iCs w:val="1"/>
          <w:sz w:val="24"/>
          <w:szCs w:val="24"/>
          <w:vertAlign w:val="baseline"/>
          <w:rtl w:val="0"/>
        </w:rPr>
        <w:t xml:space="preserve"> Lawsonia inermis. </w:t>
      </w:r>
      <w:r w:rsidDel="00000000" w:rsidR="00000000" w:rsidRPr="00000000">
        <w:rPr>
          <w:rtl w:val="0"/>
        </w:rPr>
      </w:r>
    </w:p>
    <w:p w:rsidR="00000000" w:rsidDel="00000000" w:rsidP="00000000" w:rsidRDefault="00000000" w:rsidRPr="00000000" w14:paraId="00000007">
      <w:pPr>
        <w:numPr>
          <w:ilvl w:val="0"/>
          <w:numId w:val="1"/>
        </w:numPr>
        <w:ind w:left="0" w:firstLine="0"/>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INTRODUCTION</w:t>
      </w:r>
      <w:r w:rsidDel="00000000" w:rsidR="00000000" w:rsidRPr="00000000">
        <w:rPr>
          <w:rtl w:val="0"/>
        </w:rPr>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In recent years, a combination of global challenges such as overpopulation, rising unemployment, poor sanitation, and the growing dependence on low-quality, processed foods—has significantly contributed to the rise of chronic infectious and lifestyle-related diseases (Yu et al., 2020). Diets rich in synthetic preservatives, sugars, salts, and unhealthy fats have been closely linked to oxidative stress, weakened immune responses, and increased susceptibility to microbial infections (Gupta and Sharma, 2006). The persistent spread of infectious diseases has led to the widespread use and often overuse of antibiotics, despite the growing concern over multidrug-resistant (MDR) microorganisms and antibiotic residues entering the food chain (Centers for Disease Control &amp; Prevention, 2019). The global rise in antibiotic-resistant bacteria, along with the accumulation of antimicrobial compounds in the environment, poses a serious threat to public health, contributing to high rates of morbidity and mortality and placing an immense financial burden on healthcare systems worldwide (Terreni et al., 2021; Koulenti et al., 2020; Fischbach et al., 2009). This growing crisis underscores the urgent need for new, effective antimicrobial agents and alternative therapeutic approaches (Fischbach et al., 2009).</w:t>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In light of the adverse effects commonly associated with synthetic drugs and antioxidants, there has been a renewed scientific interest in plant-derived bioactive compounds. These natural substances are known for their potent therapeutic properties and tend to have fewer side effects, even when used long-term (Suntar, 2020; Wiart, 2007; Duke, 1992). Among these, plant secondary metabolites such as tannins, flavonoids, coumarins, alkaloids, carotenoids, quinones, and terpenoids have demonstrated remarkable antibacterial, antioxidant, and anti-inflammatory activities (Mbaveng et al., 2015; Anand et al., 2019; AlSheikh et al., 2020; Mendoza et al., 2018; Mohammed et al., 2021; Anand et al., 2020). Traditional herbs and spices, including turmeric, ginger, clove, pepper, and basil, have long been valued not only for their culinary uses but also for their strong medicinal properties. These include antioxidant, immunomodulatory, and anti-aging effects (Forni et al., 2019; Guan et al., 2021; Engwa, 2018; Behl et al., 2021; Mohanasundari et al., 2022; Musthafa et al., 2018). Furthermore, many of these natural products exhibit a broad spectrum of pharmacological activities, including anticancer, antiviral, neuroprotective, and antimicrobial effects (Choudhari et al., 2020; Zhang et al., 2012; Biswas et al., 2020; Chojnacka et al., 2020; Ben-Shabat et al., 2020; Velmurugan et al., 2018; Ayaz et al., 2019).</w:t>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commonly known as henna, is a small to medium-sized shrub belonging to the family Lythraceae, traditionally used across Asia, Africa, and the Middle East for its coloring and therapeutic properties (Patel et al., 2023). It is rich in lawsone (2-hydroxy-1,4-naphthoquinone), a naphthoquinone compound responsible for its characteristic dyeing effect and various pharmacological activities, particularly its antibacterial and antifungal actions (Cu et al., 1990; Patra et al., 2020). Phytochemical screenings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have identified the presence of diverse bioactive compounds including flavonoids, tannins, saponins, alkaloids, coumarins, and phenolic acids, contributing to its antimicrobial and antioxidant potential (Osuagwu et al., 2022). Methanolic extracts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leaves have demonstrated significant antibacterial activity against multidrug-resistant strains such as </w:t>
      </w:r>
      <w:r w:rsidDel="00000000" w:rsidR="00000000" w:rsidRPr="00000000">
        <w:rPr>
          <w:rFonts w:ascii="Times New Roman" w:cs="Times New Roman" w:eastAsia="Times New Roman" w:hAnsi="Times New Roman"/>
          <w:i w:val="1"/>
          <w:iCs w:val="1"/>
          <w:sz w:val="24"/>
          <w:szCs w:val="24"/>
          <w:vertAlign w:val="baseline"/>
          <w:rtl w:val="0"/>
        </w:rPr>
        <w:t xml:space="preserve">Pseudomonas aeruginosa</w:t>
      </w:r>
      <w:r w:rsidDel="00000000" w:rsidR="00000000" w:rsidRPr="00000000">
        <w:rPr>
          <w:rFonts w:ascii="Times New Roman" w:cs="Times New Roman" w:eastAsia="Times New Roman" w:hAnsi="Times New Roman"/>
          <w:sz w:val="24"/>
          <w:szCs w:val="24"/>
          <w:vertAlign w:val="baseline"/>
          <w:rtl w:val="0"/>
        </w:rPr>
        <w:t xml:space="preserve">, with observable inhibition zones comparable to conventional antibiotics (Aliyu et al., 2023). </w:t>
      </w:r>
      <w:r w:rsidDel="00000000" w:rsidR="00000000" w:rsidRPr="00000000">
        <w:rPr>
          <w:rFonts w:ascii="Times New Roman" w:cs="Times New Roman" w:eastAsia="Times New Roman" w:hAnsi="Times New Roman"/>
          <w:i w:val="1"/>
          <w:iCs w:val="1"/>
          <w:sz w:val="24"/>
          <w:szCs w:val="24"/>
          <w:vertAlign w:val="baseline"/>
          <w:rtl w:val="0"/>
        </w:rPr>
        <w:t xml:space="preserve">L.inermis</w:t>
      </w:r>
      <w:r w:rsidDel="00000000" w:rsidR="00000000" w:rsidRPr="00000000">
        <w:rPr>
          <w:rFonts w:ascii="Times New Roman" w:cs="Times New Roman" w:eastAsia="Times New Roman" w:hAnsi="Times New Roman"/>
          <w:sz w:val="24"/>
          <w:szCs w:val="24"/>
          <w:vertAlign w:val="baseline"/>
          <w:rtl w:val="0"/>
        </w:rPr>
        <w:t xml:space="preserve"> extracts also show potential inhibitory activity against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Streptococcus agalactiae</w:t>
      </w:r>
      <w:r w:rsidDel="00000000" w:rsidR="00000000" w:rsidRPr="00000000">
        <w:rPr>
          <w:rFonts w:ascii="Times New Roman" w:cs="Times New Roman" w:eastAsia="Times New Roman" w:hAnsi="Times New Roman"/>
          <w:sz w:val="24"/>
          <w:szCs w:val="24"/>
          <w:vertAlign w:val="baseline"/>
          <w:rtl w:val="0"/>
        </w:rPr>
        <w:t xml:space="preserve">, and </w:t>
      </w:r>
      <w:r w:rsidDel="00000000" w:rsidR="00000000" w:rsidRPr="00000000">
        <w:rPr>
          <w:rFonts w:ascii="Times New Roman" w:cs="Times New Roman" w:eastAsia="Times New Roman" w:hAnsi="Times New Roman"/>
          <w:i w:val="1"/>
          <w:iCs w:val="1"/>
          <w:sz w:val="24"/>
          <w:szCs w:val="24"/>
          <w:vertAlign w:val="baseline"/>
          <w:rtl w:val="0"/>
        </w:rPr>
        <w:t xml:space="preserve">Escherichia coli</w:t>
      </w:r>
      <w:r w:rsidDel="00000000" w:rsidR="00000000" w:rsidRPr="00000000">
        <w:rPr>
          <w:rFonts w:ascii="Times New Roman" w:cs="Times New Roman" w:eastAsia="Times New Roman" w:hAnsi="Times New Roman"/>
          <w:sz w:val="24"/>
          <w:szCs w:val="24"/>
          <w:vertAlign w:val="baseline"/>
          <w:rtl w:val="0"/>
        </w:rPr>
        <w:t xml:space="preserve">, with effectiveness varying depending on the solvent used and concentration of the extract (Ismail et al., 2022). Lawsone, or 2-hydroxy-1,4-naphthoquinone, is a key marker compound in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that has been widely associated with antimicrobial and antioxidant properties (Sharma &amp; Goel, 2018). Further GC-MS profiling of various extract fractions such as hexane, ethyl acetate, and aqueous methanol has identified bioactive components including vitamin E, naphthoquinones, benzofuranones, and Celidoniol, which are linked to antimicrobial effects against drug-resistant bacteria like </w:t>
      </w:r>
      <w:r w:rsidDel="00000000" w:rsidR="00000000" w:rsidRPr="00000000">
        <w:rPr>
          <w:rFonts w:ascii="Times New Roman" w:cs="Times New Roman" w:eastAsia="Times New Roman" w:hAnsi="Times New Roman"/>
          <w:i w:val="1"/>
          <w:iCs w:val="1"/>
          <w:sz w:val="24"/>
          <w:szCs w:val="24"/>
          <w:vertAlign w:val="baseline"/>
          <w:rtl w:val="0"/>
        </w:rPr>
        <w:t xml:space="preserve">Escherichia coli</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Klebsiella pneumoniae</w:t>
      </w:r>
      <w:r w:rsidDel="00000000" w:rsidR="00000000" w:rsidRPr="00000000">
        <w:rPr>
          <w:rFonts w:ascii="Times New Roman" w:cs="Times New Roman" w:eastAsia="Times New Roman" w:hAnsi="Times New Roman"/>
          <w:sz w:val="24"/>
          <w:szCs w:val="24"/>
          <w:vertAlign w:val="baseline"/>
          <w:rtl w:val="0"/>
        </w:rPr>
        <w:t xml:space="preserve">, and </w:t>
      </w:r>
      <w:r w:rsidDel="00000000" w:rsidR="00000000" w:rsidRPr="00000000">
        <w:rPr>
          <w:rFonts w:ascii="Times New Roman" w:cs="Times New Roman" w:eastAsia="Times New Roman" w:hAnsi="Times New Roman"/>
          <w:i w:val="1"/>
          <w:iCs w:val="1"/>
          <w:sz w:val="24"/>
          <w:szCs w:val="24"/>
          <w:vertAlign w:val="baseline"/>
          <w:rtl w:val="0"/>
        </w:rPr>
        <w:t xml:space="preserve">Pseudomonas aeruginosa</w:t>
      </w:r>
      <w:r w:rsidDel="00000000" w:rsidR="00000000" w:rsidRPr="00000000">
        <w:rPr>
          <w:rFonts w:ascii="Times New Roman" w:cs="Times New Roman" w:eastAsia="Times New Roman" w:hAnsi="Times New Roman"/>
          <w:sz w:val="24"/>
          <w:szCs w:val="24"/>
          <w:vertAlign w:val="baseline"/>
          <w:rtl w:val="0"/>
        </w:rPr>
        <w:t xml:space="preserve"> (Sharma &amp; Goel, 2018). In antifungal evaluations, GC-MS analysis of acetone extracts from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leaves revealed the presence of compounds such as hexacosane, docosane, octacosane, methyl-heptacosane, and tetracosane, which exhibited growth-inhibitory effects against </w:t>
      </w:r>
      <w:r w:rsidDel="00000000" w:rsidR="00000000" w:rsidRPr="00000000">
        <w:rPr>
          <w:rFonts w:ascii="Times New Roman" w:cs="Times New Roman" w:eastAsia="Times New Roman" w:hAnsi="Times New Roman"/>
          <w:i w:val="1"/>
          <w:iCs w:val="1"/>
          <w:sz w:val="24"/>
          <w:szCs w:val="24"/>
          <w:vertAlign w:val="baseline"/>
          <w:rtl w:val="0"/>
        </w:rPr>
        <w:t xml:space="preserve">Curvularia lunata</w:t>
      </w:r>
      <w:r w:rsidDel="00000000" w:rsidR="00000000" w:rsidRPr="00000000">
        <w:rPr>
          <w:rFonts w:ascii="Times New Roman" w:cs="Times New Roman" w:eastAsia="Times New Roman" w:hAnsi="Times New Roman"/>
          <w:sz w:val="24"/>
          <w:szCs w:val="24"/>
          <w:vertAlign w:val="baseline"/>
          <w:rtl w:val="0"/>
        </w:rPr>
        <w:t xml:space="preserve"> (Khan et al., 2019). Several of these constituents, particularly vitamin E and phytol, are also recognized for their antioxidant activities, supporting the radical scavenging results obtained through DPPH and FRAP assays (Abdelrahman et al., 2020). In another study,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exhibited marked inhibitory effects on biofilm-producing MRSA isolates, highlighting its potential in combating nosocomial infections (Eze et al., 2022). Furthermore, ethanol and aqueous extracts showed antioxidant properties through DPPH radical scavenging and ferric reducing antioxidant power (FRAP) assays, indicating strong free radical neutralization ability (Adeyemi et al., 2022). Recent advances have also utilized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-mediated synthesis of zinc oxide nanoparticles, enhancing both antibacterial and antioxidant efficacy against resistant pathogens such as ESBL-producing </w:t>
      </w:r>
      <w:r w:rsidDel="00000000" w:rsidR="00000000" w:rsidRPr="00000000">
        <w:rPr>
          <w:rFonts w:ascii="Times New Roman" w:cs="Times New Roman" w:eastAsia="Times New Roman" w:hAnsi="Times New Roman"/>
          <w:i w:val="1"/>
          <w:iCs w:val="1"/>
          <w:sz w:val="24"/>
          <w:szCs w:val="24"/>
          <w:vertAlign w:val="baseline"/>
          <w:rtl w:val="0"/>
        </w:rPr>
        <w:t xml:space="preserve">Klebsiella pneumoniae</w:t>
      </w:r>
      <w:r w:rsidDel="00000000" w:rsidR="00000000" w:rsidRPr="00000000">
        <w:rPr>
          <w:rFonts w:ascii="Times New Roman" w:cs="Times New Roman" w:eastAsia="Times New Roman" w:hAnsi="Times New Roman"/>
          <w:sz w:val="24"/>
          <w:szCs w:val="24"/>
          <w:vertAlign w:val="baseline"/>
          <w:rtl w:val="0"/>
        </w:rPr>
        <w:t xml:space="preserve"> (Abdel-Moneim et al., 2024; Mustapha et al., 2024). These findings collectively support the promising role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as a natural antimicrobial and antioxidant agent, particularly in the face of rising antibiotic resistance.</w:t>
      </w:r>
    </w:p>
    <w:p w:rsidR="00000000" w:rsidDel="00000000" w:rsidP="00000000" w:rsidRDefault="00000000" w:rsidRPr="00000000" w14:paraId="0000000B">
      <w:pPr>
        <w:numPr>
          <w:ilvl w:val="0"/>
          <w:numId w:val="1"/>
        </w:numPr>
        <w:spacing w:line="360" w:lineRule="auto"/>
        <w:ind w:left="0" w:firstLine="0"/>
        <w:jc w:val="both"/>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MATERIALS AND METHODS</w:t>
      </w:r>
      <w:r w:rsidDel="00000000" w:rsidR="00000000" w:rsidRPr="00000000">
        <w:rPr>
          <w:rtl w:val="0"/>
        </w:rPr>
      </w:r>
    </w:p>
    <w:p w:rsidR="00000000" w:rsidDel="00000000" w:rsidP="00000000" w:rsidRDefault="00000000" w:rsidRPr="00000000" w14:paraId="0000000C">
      <w:pPr>
        <w:numPr>
          <w:ilvl w:val="1"/>
          <w:numId w:val="1"/>
        </w:numPr>
        <w:spacing w:line="360" w:lineRule="auto"/>
        <w:ind w:left="0" w:firstLine="0"/>
        <w:jc w:val="both"/>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Preparation of Plant Extracts</w:t>
      </w: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Fresh leaves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were obtained from the local market, shade-dried, and finely powdered using an electric grinder. The powdered material was then sieved through a 2 mm mesh to ensure uniform particle size. A total of 20 g of the dried leaf powder was successively extracted with 250 ml of different organic solvents such as diethyl ether, methanol, and hexane using a Soxhlet apparatus for 72 hours at a temperature range of 40–50°C. After extraction, the solvents were removed under reduced pressure using a rotary evaporator to yield the crude extracts. These concentrated extracts were subsequently dried and stored in a desiccator until further use (Lopez-Bascon and De Castro, 2020; Trease and Evans, 1989). The dried extracts were then subjected to phytochemical screening, GC–MS analysis, antibacterial assays, and antioxidant evaluation.</w:t>
      </w:r>
    </w:p>
    <w:p w:rsidR="00000000" w:rsidDel="00000000" w:rsidP="00000000" w:rsidRDefault="00000000" w:rsidRPr="00000000" w14:paraId="0000000E">
      <w:pPr>
        <w:numPr>
          <w:ilvl w:val="1"/>
          <w:numId w:val="1"/>
        </w:numPr>
        <w:spacing w:line="360" w:lineRule="auto"/>
        <w:ind w:left="0" w:firstLine="0"/>
        <w:jc w:val="both"/>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Screening for Phytochemicals</w:t>
      </w: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Qualitative phytochemical screening of all three solvent extracts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leaves was carried out following standard protocols described by (Savithramma et al., 2011) to identify the presence of major classes of bioactive secondary metabolites.</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Each extract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was subjected to a series of standard qualitative assays to screen for major phytochemical classes. The presence of acids was assessed using Millon’s reagent, while alkaloids were detected with Mayer’s test. Anthocyanins, betacyanins, and coumarins were identified via the sodium hydroxide test, and carbohydrates were determined using the Anthrone assay. Phenolic compounds, cardiac glycosides, and tannins were verified through the ferric chloride reaction, whereas flavonoids, glycosides, and quinones were detected using concentrated sulphuric acid tests. Terpenoids, steroids, and starch were confirmed using the iodine test. The presence of proteins was confirmed by the biuret assay. Additionally, saponins were identified based on the characteristic frothing observed in the froth test. The qualitative analysis provided preliminary insights into the diverse range of phytoconstituents present in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which may contribute to its well-documented pharmacological and therapeutic properties.</w:t>
      </w:r>
    </w:p>
    <w:p w:rsidR="00000000" w:rsidDel="00000000" w:rsidP="00000000" w:rsidRDefault="00000000" w:rsidRPr="00000000" w14:paraId="00000011">
      <w:pPr>
        <w:numPr>
          <w:ilvl w:val="1"/>
          <w:numId w:val="1"/>
        </w:numPr>
        <w:spacing w:line="360" w:lineRule="auto"/>
        <w:ind w:left="0" w:firstLine="0"/>
        <w:jc w:val="both"/>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GC-MS Analysis</w:t>
      </w: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vertAlign w:val="baseline"/>
          <w:rtl w:val="0"/>
        </w:rPr>
        <w:t xml:space="preserve">In the present study, GC-MS analysis was performed by injecting 1 μL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extract into a Clarus 680 GC-MS system, using helium as the carrier gas at a constant flow rate of 1 mL/min. </w:t>
      </w:r>
      <w:r w:rsidDel="00000000" w:rsidR="00000000" w:rsidRPr="00000000">
        <w:rPr>
          <w:rFonts w:ascii="Times New Roman" w:cs="Times New Roman" w:eastAsia="Times New Roman" w:hAnsi="Times New Roman"/>
          <w:sz w:val="24"/>
          <w:szCs w:val="24"/>
          <w:highlight w:val="yellow"/>
          <w:rtl w:val="0"/>
        </w:rPr>
        <w:t xml:space="preserve">After being kept at 60°C for two minutes, the oven temperature was gradually raised to 300°C at a rate of 10°C per minute.. Electron impact ionization was set at 70 eV and the </w:t>
      </w:r>
      <w:r w:rsidDel="00000000" w:rsidR="00000000" w:rsidRPr="00000000">
        <w:rPr>
          <w:rFonts w:ascii="Times New Roman" w:cs="Times New Roman" w:eastAsia="Times New Roman" w:hAnsi="Times New Roman"/>
          <w:sz w:val="24"/>
          <w:szCs w:val="24"/>
          <w:highlight w:val="yellow"/>
          <w:vertAlign w:val="baseline"/>
          <w:rtl w:val="0"/>
        </w:rPr>
        <w:t xml:space="preserve">chromatogram obtained was interpreted using the NIST (2008) library.</w:t>
      </w:r>
    </w:p>
    <w:p w:rsidR="00000000" w:rsidDel="00000000" w:rsidP="00000000" w:rsidRDefault="00000000" w:rsidRPr="00000000" w14:paraId="00000013">
      <w:pPr>
        <w:numPr>
          <w:ilvl w:val="1"/>
          <w:numId w:val="1"/>
        </w:numPr>
        <w:spacing w:line="360" w:lineRule="auto"/>
        <w:ind w:left="0" w:firstLine="0"/>
        <w:jc w:val="both"/>
        <w:rPr>
          <w:rFonts w:ascii="Times New Roman" w:cs="Times New Roman" w:eastAsia="Times New Roman" w:hAnsi="Times New Roman"/>
          <w:b w:val="0"/>
          <w:bCs w:val="0"/>
          <w:color w:val="000000"/>
          <w:sz w:val="24"/>
          <w:szCs w:val="24"/>
          <w:vertAlign w:val="baseline"/>
        </w:rPr>
      </w:pPr>
      <w:r w:rsidDel="00000000" w:rsidR="00000000" w:rsidRPr="00000000">
        <w:rPr>
          <w:rFonts w:ascii="Times New Roman" w:cs="Times New Roman" w:eastAsia="Times New Roman" w:hAnsi="Times New Roman"/>
          <w:b w:val="1"/>
          <w:bCs w:val="1"/>
          <w:color w:val="000000"/>
          <w:sz w:val="24"/>
          <w:szCs w:val="24"/>
          <w:vertAlign w:val="baseline"/>
          <w:rtl w:val="0"/>
        </w:rPr>
        <w:t xml:space="preserve">Microorganisms for Testing</w:t>
      </w: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Clinically significant bacterial strains, including </w:t>
      </w:r>
      <w:r w:rsidDel="00000000" w:rsidR="00000000" w:rsidRPr="00000000">
        <w:rPr>
          <w:rFonts w:ascii="Times New Roman" w:cs="Times New Roman" w:eastAsia="Times New Roman" w:hAnsi="Times New Roman"/>
          <w:i w:val="1"/>
          <w:iCs w:val="1"/>
          <w:color w:val="000000"/>
          <w:sz w:val="24"/>
          <w:szCs w:val="24"/>
          <w:vertAlign w:val="baseline"/>
          <w:rtl w:val="0"/>
        </w:rPr>
        <w:t xml:space="preserve">Escherichia coli</w:t>
      </w:r>
      <w:r w:rsidDel="00000000" w:rsidR="00000000" w:rsidRPr="00000000">
        <w:rPr>
          <w:rFonts w:ascii="Times New Roman" w:cs="Times New Roman" w:eastAsia="Times New Roman" w:hAnsi="Times New Roman"/>
          <w:color w:val="000000"/>
          <w:sz w:val="24"/>
          <w:szCs w:val="24"/>
          <w:vertAlign w:val="baseline"/>
          <w:rtl w:val="0"/>
        </w:rPr>
        <w:t xml:space="preserve"> (ATCC 25911), </w:t>
      </w:r>
      <w:r w:rsidDel="00000000" w:rsidR="00000000" w:rsidRPr="00000000">
        <w:rPr>
          <w:rFonts w:ascii="Times New Roman" w:cs="Times New Roman" w:eastAsia="Times New Roman" w:hAnsi="Times New Roman"/>
          <w:i w:val="1"/>
          <w:iCs w:val="1"/>
          <w:color w:val="000000"/>
          <w:sz w:val="24"/>
          <w:szCs w:val="24"/>
          <w:vertAlign w:val="baseline"/>
          <w:rtl w:val="0"/>
        </w:rPr>
        <w:t xml:space="preserve">Klebsiella pneumoniae</w:t>
      </w:r>
      <w:r w:rsidDel="00000000" w:rsidR="00000000" w:rsidRPr="00000000">
        <w:rPr>
          <w:rFonts w:ascii="Times New Roman" w:cs="Times New Roman" w:eastAsia="Times New Roman" w:hAnsi="Times New Roman"/>
          <w:color w:val="000000"/>
          <w:sz w:val="24"/>
          <w:szCs w:val="24"/>
          <w:vertAlign w:val="baseline"/>
          <w:rtl w:val="0"/>
        </w:rPr>
        <w:t xml:space="preserve"> (ATCC 700603), </w:t>
      </w:r>
      <w:r w:rsidDel="00000000" w:rsidR="00000000" w:rsidRPr="00000000">
        <w:rPr>
          <w:rFonts w:ascii="Times New Roman" w:cs="Times New Roman" w:eastAsia="Times New Roman" w:hAnsi="Times New Roman"/>
          <w:i w:val="1"/>
          <w:iCs w:val="1"/>
          <w:color w:val="000000"/>
          <w:sz w:val="24"/>
          <w:szCs w:val="24"/>
          <w:vertAlign w:val="baseline"/>
          <w:rtl w:val="0"/>
        </w:rPr>
        <w:t xml:space="preserve">Proteus mirabilis</w:t>
      </w:r>
      <w:r w:rsidDel="00000000" w:rsidR="00000000" w:rsidRPr="00000000">
        <w:rPr>
          <w:rFonts w:ascii="Times New Roman" w:cs="Times New Roman" w:eastAsia="Times New Roman" w:hAnsi="Times New Roman"/>
          <w:color w:val="000000"/>
          <w:sz w:val="24"/>
          <w:szCs w:val="24"/>
          <w:vertAlign w:val="baseline"/>
          <w:rtl w:val="0"/>
        </w:rPr>
        <w:t xml:space="preserve"> (ATCC 12453), and </w:t>
      </w:r>
      <w:r w:rsidDel="00000000" w:rsidR="00000000" w:rsidRPr="00000000">
        <w:rPr>
          <w:rFonts w:ascii="Times New Roman" w:cs="Times New Roman" w:eastAsia="Times New Roman" w:hAnsi="Times New Roman"/>
          <w:i w:val="1"/>
          <w:iCs w:val="1"/>
          <w:color w:val="000000"/>
          <w:sz w:val="24"/>
          <w:szCs w:val="24"/>
          <w:vertAlign w:val="baseline"/>
          <w:rtl w:val="0"/>
        </w:rPr>
        <w:t xml:space="preserve">Staphylococcus aureus</w:t>
      </w:r>
      <w:r w:rsidDel="00000000" w:rsidR="00000000" w:rsidRPr="00000000">
        <w:rPr>
          <w:rFonts w:ascii="Times New Roman" w:cs="Times New Roman" w:eastAsia="Times New Roman" w:hAnsi="Times New Roman"/>
          <w:color w:val="000000"/>
          <w:sz w:val="24"/>
          <w:szCs w:val="24"/>
          <w:vertAlign w:val="baseline"/>
          <w:rtl w:val="0"/>
        </w:rPr>
        <w:t xml:space="preserve"> (ATCC 25923), were obtained from the King Institute of Preventive Medicine and Research, Chennai, Tamil Nadu, India. These organisms were selected as test models due to their clinical importance and frequent implication in multidrug-resistant (MDR) infections. The panel represents both Gram-negative (</w:t>
      </w:r>
      <w:r w:rsidDel="00000000" w:rsidR="00000000" w:rsidRPr="00000000">
        <w:rPr>
          <w:rFonts w:ascii="Times New Roman" w:cs="Times New Roman" w:eastAsia="Times New Roman" w:hAnsi="Times New Roman"/>
          <w:i w:val="1"/>
          <w:iCs w:val="1"/>
          <w:color w:val="000000"/>
          <w:sz w:val="24"/>
          <w:szCs w:val="24"/>
          <w:vertAlign w:val="baseline"/>
          <w:rtl w:val="0"/>
        </w:rPr>
        <w:t xml:space="preserve">E. coli</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i w:val="1"/>
          <w:iCs w:val="1"/>
          <w:color w:val="000000"/>
          <w:sz w:val="24"/>
          <w:szCs w:val="24"/>
          <w:vertAlign w:val="baseline"/>
          <w:rtl w:val="0"/>
        </w:rPr>
        <w:t xml:space="preserve">K. pneumoniae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i w:val="1"/>
          <w:iCs w:val="1"/>
          <w:color w:val="000000"/>
          <w:sz w:val="24"/>
          <w:szCs w:val="24"/>
          <w:vertAlign w:val="baseline"/>
          <w:rtl w:val="0"/>
        </w:rPr>
        <w:t xml:space="preserve">P. mirabilis</w:t>
      </w:r>
      <w:r w:rsidDel="00000000" w:rsidR="00000000" w:rsidRPr="00000000">
        <w:rPr>
          <w:rFonts w:ascii="Times New Roman" w:cs="Times New Roman" w:eastAsia="Times New Roman" w:hAnsi="Times New Roman"/>
          <w:color w:val="000000"/>
          <w:sz w:val="24"/>
          <w:szCs w:val="24"/>
          <w:vertAlign w:val="baseline"/>
          <w:rtl w:val="0"/>
        </w:rPr>
        <w:t xml:space="preserve">) and Gram-positive (</w:t>
      </w:r>
      <w:r w:rsidDel="00000000" w:rsidR="00000000" w:rsidRPr="00000000">
        <w:rPr>
          <w:rFonts w:ascii="Times New Roman" w:cs="Times New Roman" w:eastAsia="Times New Roman" w:hAnsi="Times New Roman"/>
          <w:i w:val="1"/>
          <w:iCs w:val="1"/>
          <w:color w:val="000000"/>
          <w:sz w:val="24"/>
          <w:szCs w:val="24"/>
          <w:vertAlign w:val="baseline"/>
          <w:rtl w:val="0"/>
        </w:rPr>
        <w:t xml:space="preserve">S. aureus</w:t>
      </w:r>
      <w:r w:rsidDel="00000000" w:rsidR="00000000" w:rsidRPr="00000000">
        <w:rPr>
          <w:rFonts w:ascii="Times New Roman" w:cs="Times New Roman" w:eastAsia="Times New Roman" w:hAnsi="Times New Roman"/>
          <w:color w:val="000000"/>
          <w:sz w:val="24"/>
          <w:szCs w:val="24"/>
          <w:vertAlign w:val="baseline"/>
          <w:rtl w:val="0"/>
        </w:rPr>
        <w:t xml:space="preserve">) bacteria, thereby providing a broad evaluation of the antibacterial potential of </w:t>
      </w:r>
      <w:r w:rsidDel="00000000" w:rsidR="00000000" w:rsidRPr="00000000">
        <w:rPr>
          <w:rFonts w:ascii="Times New Roman" w:cs="Times New Roman" w:eastAsia="Times New Roman" w:hAnsi="Times New Roman"/>
          <w:i w:val="1"/>
          <w:iCs w:val="1"/>
          <w:color w:val="000000"/>
          <w:sz w:val="24"/>
          <w:szCs w:val="24"/>
          <w:vertAlign w:val="baseline"/>
          <w:rtl w:val="0"/>
        </w:rPr>
        <w:t xml:space="preserve">L. inermis</w:t>
      </w:r>
      <w:r w:rsidDel="00000000" w:rsidR="00000000" w:rsidRPr="00000000">
        <w:rPr>
          <w:rFonts w:ascii="Times New Roman" w:cs="Times New Roman" w:eastAsia="Times New Roman" w:hAnsi="Times New Roman"/>
          <w:color w:val="000000"/>
          <w:sz w:val="24"/>
          <w:szCs w:val="24"/>
          <w:vertAlign w:val="baseline"/>
          <w:rtl w:val="0"/>
        </w:rPr>
        <w:t xml:space="preserve"> extracts against diverse pathogenic </w:t>
      </w:r>
      <w:r w:rsidDel="00000000" w:rsidR="00000000" w:rsidRPr="00000000">
        <w:rPr>
          <w:rFonts w:ascii="Times New Roman" w:cs="Times New Roman" w:eastAsia="Times New Roman" w:hAnsi="Times New Roman"/>
          <w:sz w:val="24"/>
          <w:szCs w:val="24"/>
          <w:vertAlign w:val="baseline"/>
          <w:rtl w:val="0"/>
        </w:rPr>
        <w:t xml:space="preserve">types. All bacterial isolates were maintained on Mueller Hinton agar (MHA) slants under refrigerated conditions and periodically sub-cultured in Mueller Hinton broth (MHB) to preserve viability and purity. Prior to antibacterial testing, overnight cultures were prepared by incubating the organisms at 37°C for 24 hours on a rotary shaker at 200 rpm to achieve active exponential-phase growth. Freshly prepared inoculum was employed in all subsequent assays to ensure reproducibility and accuracy of results.</w:t>
      </w:r>
    </w:p>
    <w:p w:rsidR="00000000" w:rsidDel="00000000" w:rsidP="00000000" w:rsidRDefault="00000000" w:rsidRPr="00000000" w14:paraId="00000015">
      <w:pPr>
        <w:numPr>
          <w:ilvl w:val="1"/>
          <w:numId w:val="1"/>
        </w:numPr>
        <w:spacing w:line="360" w:lineRule="auto"/>
        <w:ind w:left="0" w:firstLine="0"/>
        <w:jc w:val="both"/>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Disc Diffusion Assay</w:t>
      </w: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The antibacterial activity of the methanol extract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was evaluated using the disc diffusion method as described by (Bauer et al., 1966). Sterile Mueller Hinton agar (MHA) plates were prepared by pouring 20 ml of molten medium into petri dishes and allowed to solidify. Test bacterial strains were evenly swabbed onto the surface of the agar using sterile cotton swabs to ensure uniform inoculation. Sterile 6 mm paper discs, prepared from Whatman No. 1 filter paper and autoclaved at 121°C and 15 psi for 15 minutes, were impregnated with 20, 40, and 80 μg/ml of the methanol extract. A standard antibiotic disc containing 5 μg/ml of ampicillin was used as a positive control. The discs were carefully placed at separate positions on each agar plate under aseptic conditions. The inoculated plates were incubated at 37°C for 24 hours, after which the zones of inhibition around each disc were measured in millimeters.</w:t>
      </w:r>
      <w:r w:rsidDel="00000000" w:rsidR="00000000" w:rsidRPr="00000000">
        <w:rPr>
          <w:rFonts w:ascii="Times New Roman" w:cs="Times New Roman" w:eastAsia="Times New Roman" w:hAnsi="Times New Roman"/>
          <w:sz w:val="24"/>
          <w:szCs w:val="24"/>
          <w:highlight w:val="yellow"/>
          <w:vertAlign w:val="baseline"/>
          <w:rtl w:val="0"/>
        </w:rPr>
        <w:t xml:space="preserve"> The assay was performed in quintuplicate, and the mean values of the inhibition zones were calculated.</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2.6. DPPH Antioxidant Assay</w:t>
      </w: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antioxidant potential (AA%) of methanolic extracts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at concentrations of 20, 40, and 80 μg/mL was evaluated using the 1,1-diphenyl-2-picrylhydrazyl (DPPH) radical scavenging assay. The assay was performed following the methodology described by (Brand-Williams et al., 1995). Briefly, under controlled conditions, 0.5 mL of each extract was mixed with a reaction mixture containing 0.3 mL of DPPH solution and 0.5 mL of ethanol, followed by the addition of 3 mL of absolute ethanol. Antioxidant compounds, through their hydrogen-donating ability, reduce DPPH radicals, leading to a visible colour change from deep violet to pale yellow after 100 minutes. The extent of this reduction was quantified spectrophotometrically at 517 nm using a UV-VIS spectrophotometer (UV-10,Thermo).</w:t>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radical scavenging activity (%) was calculated according to the formula:</w:t>
      </w:r>
    </w:p>
    <w:p w:rsidR="00000000" w:rsidDel="00000000" w:rsidP="00000000" w:rsidRDefault="00000000" w:rsidRPr="00000000" w14:paraId="0000001A">
      <w:pPr>
        <w:spacing w:line="240" w:lineRule="auto"/>
        <w:jc w:val="center"/>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AA% = X1-X2 x 100</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bCs w:val="1"/>
          <w:sz w:val="24"/>
          <w:szCs w:val="24"/>
          <w:highlight w:val="yellow"/>
          <w:rtl w:val="0"/>
        </w:rPr>
        <w:t xml:space="preserve">/</w:t>
      </w:r>
      <w:r w:rsidDel="00000000" w:rsidR="00000000" w:rsidRPr="00000000">
        <w:rPr>
          <w:rFonts w:ascii="Times New Roman" w:cs="Times New Roman" w:eastAsia="Times New Roman" w:hAnsi="Times New Roman"/>
          <w:sz w:val="24"/>
          <w:szCs w:val="24"/>
          <w:highlight w:val="yellow"/>
          <w:vertAlign w:val="baseline"/>
          <w:rtl w:val="0"/>
        </w:rPr>
        <w:t xml:space="preserve">  X3</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2710180</wp:posOffset>
                </wp:positionH>
                <wp:positionV relativeFrom="paragraph">
                  <wp:posOffset>210185</wp:posOffset>
                </wp:positionV>
                <wp:extent cx="0" cy="12700"/>
                <wp:effectExtent b="0" l="0" r="0" t="0"/>
                <wp:wrapNone/>
                <wp:docPr id="1037" name=""/>
                <a:graphic>
                  <a:graphicData uri="http://schemas.microsoft.com/office/word/2010/wordprocessingShape">
                    <wps:wsp>
                      <wps:cNvCnPr/>
                      <wps:spPr>
                        <a:xfrm>
                          <a:off x="5116079" y="3780000"/>
                          <a:ext cx="459843" cy="0"/>
                        </a:xfrm>
                        <a:prstGeom prst="straightConnector1">
                          <a:avLst/>
                        </a:prstGeom>
                        <a:noFill/>
                        <a:ln cap="flat" cmpd="sng" w="9525">
                          <a:solidFill>
                            <a:srgbClr val="4472C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2710180</wp:posOffset>
                </wp:positionH>
                <wp:positionV relativeFrom="paragraph">
                  <wp:posOffset>210185</wp:posOffset>
                </wp:positionV>
                <wp:extent cx="0" cy="12700"/>
                <wp:effectExtent b="0" l="0" r="0" t="0"/>
                <wp:wrapNone/>
                <wp:docPr id="1037"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where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63195" cy="178435"/>
            <wp:effectExtent b="0" l="0" r="0" t="0"/>
            <wp:docPr id="104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3195" cy="17843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represents the absorbance of the test sample with DPPH,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63195" cy="178435"/>
            <wp:effectExtent b="0" l="0" r="0" t="0"/>
            <wp:docPr id="104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63195" cy="17843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the absorbance of the test sample without DPPH, and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63195" cy="178435"/>
            <wp:effectExtent b="0" l="0" r="0" t="0"/>
            <wp:docPr id="104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63195" cy="17843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the absorbance of the control. The IC</w:t>
      </w:r>
      <w:r w:rsidDel="00000000" w:rsidR="00000000" w:rsidRPr="00000000">
        <w:rPr>
          <w:rFonts w:ascii="Times New Roman" w:cs="Times New Roman" w:eastAsia="Times New Roman" w:hAnsi="Times New Roman"/>
          <w:sz w:val="24"/>
          <w:szCs w:val="24"/>
          <w:vertAlign w:val="subscript"/>
          <w:rtl w:val="0"/>
        </w:rPr>
        <w:t xml:space="preserve">50</w:t>
      </w:r>
      <w:r w:rsidDel="00000000" w:rsidR="00000000" w:rsidRPr="00000000">
        <w:rPr>
          <w:rFonts w:ascii="Times New Roman" w:cs="Times New Roman" w:eastAsia="Times New Roman" w:hAnsi="Times New Roman"/>
          <w:sz w:val="24"/>
          <w:szCs w:val="24"/>
          <w:vertAlign w:val="baseline"/>
          <w:rtl w:val="0"/>
        </w:rPr>
        <w:t xml:space="preserve"> value, indicating the concentration of extract required to achieve 50% inhibition of DPPH radicals, was also determined (Mensor et al., 2001).</w:t>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2.7. Statistical Analysis</w:t>
      </w: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experimental data were subjected to analysis of variance</w:t>
      </w:r>
      <w:r w:rsidDel="00000000" w:rsidR="00000000" w:rsidRPr="00000000">
        <w:rPr>
          <w:rFonts w:ascii="Times New Roman" w:cs="Times New Roman" w:eastAsia="Times New Roman" w:hAnsi="Times New Roman"/>
          <w:sz w:val="24"/>
          <w:szCs w:val="24"/>
          <w:highlight w:val="yellow"/>
          <w:vertAlign w:val="baseline"/>
          <w:rtl w:val="0"/>
        </w:rPr>
        <w:t xml:space="preserve"> (ANOVA, p&lt;0.05) </w:t>
      </w:r>
      <w:r w:rsidDel="00000000" w:rsidR="00000000" w:rsidRPr="00000000">
        <w:rPr>
          <w:rFonts w:ascii="Times New Roman" w:cs="Times New Roman" w:eastAsia="Times New Roman" w:hAnsi="Times New Roman"/>
          <w:sz w:val="24"/>
          <w:szCs w:val="24"/>
          <w:vertAlign w:val="baseline"/>
          <w:rtl w:val="0"/>
        </w:rPr>
        <w:t xml:space="preserve">using SPSS version 19.0, and the results are reported as mean values with their corresponding standard errors (mean ± SE).</w:t>
      </w:r>
    </w:p>
    <w:p w:rsidR="00000000" w:rsidDel="00000000" w:rsidP="00000000" w:rsidRDefault="00000000" w:rsidRPr="00000000" w14:paraId="0000001E">
      <w:pPr>
        <w:numPr>
          <w:ilvl w:val="0"/>
          <w:numId w:val="1"/>
        </w:numPr>
        <w:spacing w:line="360" w:lineRule="auto"/>
        <w:ind w:left="0" w:firstLine="0"/>
        <w:jc w:val="both"/>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RESULTS</w:t>
      </w:r>
      <w:r w:rsidDel="00000000" w:rsidR="00000000" w:rsidRPr="00000000">
        <w:rPr>
          <w:rtl w:val="0"/>
        </w:rPr>
      </w:r>
    </w:p>
    <w:p w:rsidR="00000000" w:rsidDel="00000000" w:rsidP="00000000" w:rsidRDefault="00000000" w:rsidRPr="00000000" w14:paraId="0000001F">
      <w:pPr>
        <w:numPr>
          <w:ilvl w:val="1"/>
          <w:numId w:val="1"/>
        </w:numPr>
        <w:spacing w:line="360" w:lineRule="auto"/>
        <w:ind w:left="0"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Phytochemical Screening</w:t>
      </w: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Phytochemical analysis of diethyl ether, methanol, and hexane extracts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revealed the presence of a diverse array of bioactive compounds, including alkaloids, anthocyanins, betacyanins, carbohydrates, coumarins, flavonoids, phenols, proteins, quinones, saponins, starch, steroids, tannins, and terpenoids. </w:t>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All three extracts confirmed the presence of tannins, while flavonoids were strongly present in hexane, moderately present in methanol, and absent in diethyl ether. Terpenoids were detected in both diethyl ether and methanol extracts but were absent in hexane. Alkaloids were observed in diethyl ether and hexane extracts, while they were absent in methanol. Anthocyanins/betacyanins and phenols were present in methanol and hexane extracts but absent in diethyl ether.</w:t>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Carbohydrates and starch were detected exclusively in the diethyl ether extract, with carbohydrates being strongly present, while these compounds were absent in methanol and hexane extracts. Saponins were observed in both diethyl ether and methanol extracts, but absent in hexane. Quinones were strongly present in methanol, moderately in diethyl ether, and absent in hexane. Proteins and Coumarins were exclusively detected in methanol extract, while glycosides, acids, and cardiac glycosides were absent in all three extracts. Overall, methanol extract exhibited the richest profile of bioactive compounds, suggesting its higher potential for pharmacological applications compared to diethyl ether and hexane extracts (Table 1).</w:t>
      </w:r>
    </w:p>
    <w:p w:rsidR="00000000" w:rsidDel="00000000" w:rsidP="00000000" w:rsidRDefault="00000000" w:rsidRPr="00000000" w14:paraId="00000023">
      <w:pPr>
        <w:spacing w:line="3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4">
      <w:pPr>
        <w:spacing w:line="360" w:lineRule="auto"/>
        <w:jc w:val="center"/>
        <w:rPr>
          <w:rFonts w:ascii="Times New Roman" w:cs="Times New Roman" w:eastAsia="Times New Roman" w:hAnsi="Times New Roman"/>
          <w:b w:val="0"/>
          <w:bCs w:val="0"/>
          <w:i w:val="0"/>
          <w:i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Table 1 Phytochemical analysis of different solvent extract of </w:t>
      </w:r>
      <w:r w:rsidDel="00000000" w:rsidR="00000000" w:rsidRPr="00000000">
        <w:rPr>
          <w:rFonts w:ascii="Times New Roman" w:cs="Times New Roman" w:eastAsia="Times New Roman" w:hAnsi="Times New Roman"/>
          <w:b w:val="1"/>
          <w:bCs w:val="1"/>
          <w:i w:val="1"/>
          <w:iCs w:val="1"/>
          <w:sz w:val="24"/>
          <w:szCs w:val="24"/>
          <w:vertAlign w:val="baseline"/>
          <w:rtl w:val="0"/>
        </w:rPr>
        <w:t xml:space="preserve">L. inermis</w:t>
      </w:r>
      <w:r w:rsidDel="00000000" w:rsidR="00000000" w:rsidRPr="00000000">
        <w:rPr>
          <w:rtl w:val="0"/>
        </w:rPr>
      </w:r>
    </w:p>
    <w:tbl>
      <w:tblPr>
        <w:tblStyle w:val="Table1"/>
        <w:tblW w:w="831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846"/>
        <w:gridCol w:w="2977"/>
        <w:gridCol w:w="1559"/>
        <w:gridCol w:w="1559"/>
        <w:gridCol w:w="1377"/>
        <w:tblGridChange w:id="0">
          <w:tblGrid>
            <w:gridCol w:w="846"/>
            <w:gridCol w:w="2977"/>
            <w:gridCol w:w="1559"/>
            <w:gridCol w:w="1559"/>
            <w:gridCol w:w="1377"/>
          </w:tblGrid>
        </w:tblGridChange>
      </w:tblGrid>
      <w:tr>
        <w:trPr>
          <w:cantSplit w:val="0"/>
          <w:trHeight w:val="511"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25">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S.No</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26">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Phytocompounds</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27">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Diethyl ether</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28">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Methanol</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29">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Hexane</w:t>
            </w:r>
            <w:r w:rsidDel="00000000" w:rsidR="00000000" w:rsidRPr="00000000">
              <w:rPr>
                <w:rtl w:val="0"/>
              </w:rPr>
            </w:r>
          </w:p>
        </w:tc>
      </w:tr>
      <w:tr>
        <w:trPr>
          <w:cantSplit w:val="0"/>
          <w:trHeight w:val="524" w:hRule="atLeast"/>
          <w:tblHeader w:val="0"/>
        </w:trPr>
        <w:tc>
          <w:tcPr>
            <w:tcBorders>
              <w:top w:color="000000" w:space="0" w:sz="4" w:val="single"/>
            </w:tcBorders>
            <w:vAlign w:val="center"/>
          </w:tcPr>
          <w:p w:rsidR="00000000" w:rsidDel="00000000" w:rsidP="00000000" w:rsidRDefault="00000000" w:rsidRPr="00000000" w14:paraId="0000002A">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tcBorders>
              <w:top w:color="000000" w:space="0" w:sz="4" w:val="single"/>
            </w:tcBorders>
            <w:vAlign w:val="center"/>
          </w:tcPr>
          <w:p w:rsidR="00000000" w:rsidDel="00000000" w:rsidP="00000000" w:rsidRDefault="00000000" w:rsidRPr="00000000" w14:paraId="0000002B">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Acid </w:t>
            </w:r>
          </w:p>
        </w:tc>
        <w:tc>
          <w:tcPr>
            <w:tcBorders>
              <w:top w:color="000000" w:space="0" w:sz="4" w:val="single"/>
            </w:tcBorders>
            <w:vAlign w:val="center"/>
          </w:tcPr>
          <w:p w:rsidR="00000000" w:rsidDel="00000000" w:rsidP="00000000" w:rsidRDefault="00000000" w:rsidRPr="00000000" w14:paraId="0000002C">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tcBorders>
              <w:top w:color="000000" w:space="0" w:sz="4" w:val="single"/>
            </w:tcBorders>
            <w:vAlign w:val="center"/>
          </w:tcPr>
          <w:p w:rsidR="00000000" w:rsidDel="00000000" w:rsidP="00000000" w:rsidRDefault="00000000" w:rsidRPr="00000000" w14:paraId="0000002D">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tcBorders>
              <w:top w:color="000000" w:space="0" w:sz="4" w:val="single"/>
            </w:tcBorders>
            <w:vAlign w:val="center"/>
          </w:tcPr>
          <w:p w:rsidR="00000000" w:rsidDel="00000000" w:rsidP="00000000" w:rsidRDefault="00000000" w:rsidRPr="00000000" w14:paraId="0000002E">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2F">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vAlign w:val="center"/>
          </w:tcPr>
          <w:p w:rsidR="00000000" w:rsidDel="00000000" w:rsidP="00000000" w:rsidRDefault="00000000" w:rsidRPr="00000000" w14:paraId="00000030">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Alkaloids </w:t>
            </w:r>
          </w:p>
        </w:tc>
        <w:tc>
          <w:tcPr>
            <w:vAlign w:val="center"/>
          </w:tcPr>
          <w:p w:rsidR="00000000" w:rsidDel="00000000" w:rsidP="00000000" w:rsidRDefault="00000000" w:rsidRPr="00000000" w14:paraId="00000031">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32">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33">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24" w:hRule="atLeast"/>
          <w:tblHeader w:val="0"/>
        </w:trPr>
        <w:tc>
          <w:tcPr>
            <w:vAlign w:val="center"/>
          </w:tcPr>
          <w:p w:rsidR="00000000" w:rsidDel="00000000" w:rsidP="00000000" w:rsidRDefault="00000000" w:rsidRPr="00000000" w14:paraId="00000034">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vAlign w:val="center"/>
          </w:tcPr>
          <w:p w:rsidR="00000000" w:rsidDel="00000000" w:rsidP="00000000" w:rsidRDefault="00000000" w:rsidRPr="00000000" w14:paraId="00000035">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Anthocyanin / Betacyanin</w:t>
            </w:r>
          </w:p>
        </w:tc>
        <w:tc>
          <w:tcPr>
            <w:vAlign w:val="center"/>
          </w:tcPr>
          <w:p w:rsidR="00000000" w:rsidDel="00000000" w:rsidP="00000000" w:rsidRDefault="00000000" w:rsidRPr="00000000" w14:paraId="00000036">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37">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38">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39">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r>
          </w:p>
        </w:tc>
        <w:tc>
          <w:tcPr>
            <w:vAlign w:val="center"/>
          </w:tcPr>
          <w:p w:rsidR="00000000" w:rsidDel="00000000" w:rsidP="00000000" w:rsidRDefault="00000000" w:rsidRPr="00000000" w14:paraId="0000003A">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Carbohydrates </w:t>
            </w:r>
          </w:p>
        </w:tc>
        <w:tc>
          <w:tcPr>
            <w:vAlign w:val="center"/>
          </w:tcPr>
          <w:p w:rsidR="00000000" w:rsidDel="00000000" w:rsidP="00000000" w:rsidRDefault="00000000" w:rsidRPr="00000000" w14:paraId="0000003B">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3C">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3D">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3E">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w:t>
            </w:r>
          </w:p>
        </w:tc>
        <w:tc>
          <w:tcPr>
            <w:vAlign w:val="center"/>
          </w:tcPr>
          <w:p w:rsidR="00000000" w:rsidDel="00000000" w:rsidP="00000000" w:rsidRDefault="00000000" w:rsidRPr="00000000" w14:paraId="0000003F">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Cardiac Glycosides</w:t>
            </w:r>
          </w:p>
        </w:tc>
        <w:tc>
          <w:tcPr>
            <w:vAlign w:val="center"/>
          </w:tcPr>
          <w:p w:rsidR="00000000" w:rsidDel="00000000" w:rsidP="00000000" w:rsidRDefault="00000000" w:rsidRPr="00000000" w14:paraId="00000040">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41">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42">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43">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w:t>
            </w:r>
          </w:p>
        </w:tc>
        <w:tc>
          <w:tcPr>
            <w:vAlign w:val="center"/>
          </w:tcPr>
          <w:p w:rsidR="00000000" w:rsidDel="00000000" w:rsidP="00000000" w:rsidRDefault="00000000" w:rsidRPr="00000000" w14:paraId="00000044">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Coumarins </w:t>
            </w:r>
          </w:p>
        </w:tc>
        <w:tc>
          <w:tcPr>
            <w:vAlign w:val="center"/>
          </w:tcPr>
          <w:p w:rsidR="00000000" w:rsidDel="00000000" w:rsidP="00000000" w:rsidRDefault="00000000" w:rsidRPr="00000000" w14:paraId="00000045">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46">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47">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24" w:hRule="atLeast"/>
          <w:tblHeader w:val="0"/>
        </w:trPr>
        <w:tc>
          <w:tcPr>
            <w:vAlign w:val="center"/>
          </w:tcPr>
          <w:p w:rsidR="00000000" w:rsidDel="00000000" w:rsidP="00000000" w:rsidRDefault="00000000" w:rsidRPr="00000000" w14:paraId="00000048">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w:t>
            </w:r>
          </w:p>
        </w:tc>
        <w:tc>
          <w:tcPr>
            <w:vAlign w:val="center"/>
          </w:tcPr>
          <w:p w:rsidR="00000000" w:rsidDel="00000000" w:rsidP="00000000" w:rsidRDefault="00000000" w:rsidRPr="00000000" w14:paraId="00000049">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Flavonoids</w:t>
            </w:r>
          </w:p>
        </w:tc>
        <w:tc>
          <w:tcPr>
            <w:vAlign w:val="center"/>
          </w:tcPr>
          <w:p w:rsidR="00000000" w:rsidDel="00000000" w:rsidP="00000000" w:rsidRDefault="00000000" w:rsidRPr="00000000" w14:paraId="0000004A">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4B">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4C">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4D">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w:t>
            </w:r>
          </w:p>
        </w:tc>
        <w:tc>
          <w:tcPr>
            <w:vAlign w:val="center"/>
          </w:tcPr>
          <w:p w:rsidR="00000000" w:rsidDel="00000000" w:rsidP="00000000" w:rsidRDefault="00000000" w:rsidRPr="00000000" w14:paraId="0000004E">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Glycosides</w:t>
            </w:r>
          </w:p>
        </w:tc>
        <w:tc>
          <w:tcPr>
            <w:vAlign w:val="center"/>
          </w:tcPr>
          <w:p w:rsidR="00000000" w:rsidDel="00000000" w:rsidP="00000000" w:rsidRDefault="00000000" w:rsidRPr="00000000" w14:paraId="0000004F">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50">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51">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52">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9</w:t>
            </w:r>
          </w:p>
        </w:tc>
        <w:tc>
          <w:tcPr>
            <w:vAlign w:val="center"/>
          </w:tcPr>
          <w:p w:rsidR="00000000" w:rsidDel="00000000" w:rsidP="00000000" w:rsidRDefault="00000000" w:rsidRPr="00000000" w14:paraId="00000053">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Phenols</w:t>
            </w:r>
          </w:p>
        </w:tc>
        <w:tc>
          <w:tcPr>
            <w:vAlign w:val="center"/>
          </w:tcPr>
          <w:p w:rsidR="00000000" w:rsidDel="00000000" w:rsidP="00000000" w:rsidRDefault="00000000" w:rsidRPr="00000000" w14:paraId="00000054">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55">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56">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57">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w:t>
            </w:r>
          </w:p>
        </w:tc>
        <w:tc>
          <w:tcPr>
            <w:vAlign w:val="center"/>
          </w:tcPr>
          <w:p w:rsidR="00000000" w:rsidDel="00000000" w:rsidP="00000000" w:rsidRDefault="00000000" w:rsidRPr="00000000" w14:paraId="00000058">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Proteins </w:t>
            </w:r>
          </w:p>
        </w:tc>
        <w:tc>
          <w:tcPr>
            <w:vAlign w:val="center"/>
          </w:tcPr>
          <w:p w:rsidR="00000000" w:rsidDel="00000000" w:rsidP="00000000" w:rsidRDefault="00000000" w:rsidRPr="00000000" w14:paraId="00000059">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5A">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5B">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24" w:hRule="atLeast"/>
          <w:tblHeader w:val="0"/>
        </w:trPr>
        <w:tc>
          <w:tcPr>
            <w:vAlign w:val="center"/>
          </w:tcPr>
          <w:p w:rsidR="00000000" w:rsidDel="00000000" w:rsidP="00000000" w:rsidRDefault="00000000" w:rsidRPr="00000000" w14:paraId="0000005C">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11</w:t>
            </w:r>
          </w:p>
        </w:tc>
        <w:tc>
          <w:tcPr>
            <w:vAlign w:val="center"/>
          </w:tcPr>
          <w:p w:rsidR="00000000" w:rsidDel="00000000" w:rsidP="00000000" w:rsidRDefault="00000000" w:rsidRPr="00000000" w14:paraId="0000005D">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Quinones </w:t>
            </w:r>
          </w:p>
        </w:tc>
        <w:tc>
          <w:tcPr>
            <w:vAlign w:val="center"/>
          </w:tcPr>
          <w:p w:rsidR="00000000" w:rsidDel="00000000" w:rsidP="00000000" w:rsidRDefault="00000000" w:rsidRPr="00000000" w14:paraId="0000005E">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5F">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60">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61">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12</w:t>
            </w:r>
          </w:p>
        </w:tc>
        <w:tc>
          <w:tcPr>
            <w:vAlign w:val="center"/>
          </w:tcPr>
          <w:p w:rsidR="00000000" w:rsidDel="00000000" w:rsidP="00000000" w:rsidRDefault="00000000" w:rsidRPr="00000000" w14:paraId="00000062">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Saponins </w:t>
            </w:r>
          </w:p>
        </w:tc>
        <w:tc>
          <w:tcPr>
            <w:vAlign w:val="center"/>
          </w:tcPr>
          <w:p w:rsidR="00000000" w:rsidDel="00000000" w:rsidP="00000000" w:rsidRDefault="00000000" w:rsidRPr="00000000" w14:paraId="00000063">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64">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65">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66">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13</w:t>
            </w:r>
          </w:p>
        </w:tc>
        <w:tc>
          <w:tcPr>
            <w:vAlign w:val="center"/>
          </w:tcPr>
          <w:p w:rsidR="00000000" w:rsidDel="00000000" w:rsidP="00000000" w:rsidRDefault="00000000" w:rsidRPr="00000000" w14:paraId="00000067">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Starch </w:t>
            </w:r>
          </w:p>
        </w:tc>
        <w:tc>
          <w:tcPr>
            <w:vAlign w:val="center"/>
          </w:tcPr>
          <w:p w:rsidR="00000000" w:rsidDel="00000000" w:rsidP="00000000" w:rsidRDefault="00000000" w:rsidRPr="00000000" w14:paraId="00000068">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69">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6A">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vAlign w:val="center"/>
          </w:tcPr>
          <w:p w:rsidR="00000000" w:rsidDel="00000000" w:rsidP="00000000" w:rsidRDefault="00000000" w:rsidRPr="00000000" w14:paraId="0000006B">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w:t>
            </w:r>
          </w:p>
        </w:tc>
        <w:tc>
          <w:tcPr>
            <w:vAlign w:val="center"/>
          </w:tcPr>
          <w:p w:rsidR="00000000" w:rsidDel="00000000" w:rsidP="00000000" w:rsidRDefault="00000000" w:rsidRPr="00000000" w14:paraId="0000006C">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Steroids </w:t>
            </w:r>
          </w:p>
        </w:tc>
        <w:tc>
          <w:tcPr>
            <w:vAlign w:val="center"/>
          </w:tcPr>
          <w:p w:rsidR="00000000" w:rsidDel="00000000" w:rsidP="00000000" w:rsidRDefault="00000000" w:rsidRPr="00000000" w14:paraId="0000006D">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6E">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6F">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24" w:hRule="atLeast"/>
          <w:tblHeader w:val="0"/>
        </w:trPr>
        <w:tc>
          <w:tcPr>
            <w:vAlign w:val="center"/>
          </w:tcPr>
          <w:p w:rsidR="00000000" w:rsidDel="00000000" w:rsidP="00000000" w:rsidRDefault="00000000" w:rsidRPr="00000000" w14:paraId="00000070">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15</w:t>
            </w:r>
          </w:p>
        </w:tc>
        <w:tc>
          <w:tcPr>
            <w:vAlign w:val="center"/>
          </w:tcPr>
          <w:p w:rsidR="00000000" w:rsidDel="00000000" w:rsidP="00000000" w:rsidRDefault="00000000" w:rsidRPr="00000000" w14:paraId="00000071">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Tannins </w:t>
            </w:r>
          </w:p>
        </w:tc>
        <w:tc>
          <w:tcPr>
            <w:vAlign w:val="center"/>
          </w:tcPr>
          <w:p w:rsidR="00000000" w:rsidDel="00000000" w:rsidP="00000000" w:rsidRDefault="00000000" w:rsidRPr="00000000" w14:paraId="00000072">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73">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center"/>
          </w:tcPr>
          <w:p w:rsidR="00000000" w:rsidDel="00000000" w:rsidP="00000000" w:rsidRDefault="00000000" w:rsidRPr="00000000" w14:paraId="00000074">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0"/>
          <w:trHeight w:val="511" w:hRule="atLeast"/>
          <w:tblHeader w:val="0"/>
        </w:trPr>
        <w:tc>
          <w:tcPr>
            <w:tcBorders>
              <w:bottom w:color="000000" w:space="0" w:sz="4" w:val="single"/>
            </w:tcBorders>
            <w:vAlign w:val="center"/>
          </w:tcPr>
          <w:p w:rsidR="00000000" w:rsidDel="00000000" w:rsidP="00000000" w:rsidRDefault="00000000" w:rsidRPr="00000000" w14:paraId="00000075">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16</w:t>
            </w:r>
          </w:p>
        </w:tc>
        <w:tc>
          <w:tcPr>
            <w:tcBorders>
              <w:bottom w:color="000000" w:space="0" w:sz="4" w:val="single"/>
            </w:tcBorders>
            <w:vAlign w:val="center"/>
          </w:tcPr>
          <w:p w:rsidR="00000000" w:rsidDel="00000000" w:rsidP="00000000" w:rsidRDefault="00000000" w:rsidRPr="00000000" w14:paraId="00000076">
            <w:pPr>
              <w:spacing w:after="0" w:line="360" w:lineRule="auto"/>
              <w:ind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Terpenoids </w:t>
            </w:r>
          </w:p>
        </w:tc>
        <w:tc>
          <w:tcPr>
            <w:tcBorders>
              <w:bottom w:color="000000" w:space="0" w:sz="4" w:val="single"/>
            </w:tcBorders>
            <w:vAlign w:val="center"/>
          </w:tcPr>
          <w:p w:rsidR="00000000" w:rsidDel="00000000" w:rsidP="00000000" w:rsidRDefault="00000000" w:rsidRPr="00000000" w14:paraId="00000077">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tcBorders>
              <w:bottom w:color="000000" w:space="0" w:sz="4" w:val="single"/>
            </w:tcBorders>
            <w:vAlign w:val="center"/>
          </w:tcPr>
          <w:p w:rsidR="00000000" w:rsidDel="00000000" w:rsidP="00000000" w:rsidRDefault="00000000" w:rsidRPr="00000000" w14:paraId="00000078">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tcBorders>
              <w:bottom w:color="000000" w:space="0" w:sz="4" w:val="single"/>
            </w:tcBorders>
            <w:vAlign w:val="center"/>
          </w:tcPr>
          <w:p w:rsidR="00000000" w:rsidDel="00000000" w:rsidP="00000000" w:rsidRDefault="00000000" w:rsidRPr="00000000" w14:paraId="00000079">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bl>
    <w:p w:rsidR="00000000" w:rsidDel="00000000" w:rsidP="00000000" w:rsidRDefault="00000000" w:rsidRPr="00000000" w14:paraId="0000007A">
      <w:pPr>
        <w:spacing w:line="36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Strongly Present, + Moderately Present and – Absent</w:t>
      </w:r>
    </w:p>
    <w:p w:rsidR="00000000" w:rsidDel="00000000" w:rsidP="00000000" w:rsidRDefault="00000000" w:rsidRPr="00000000" w14:paraId="0000007B">
      <w:pPr>
        <w:numPr>
          <w:ilvl w:val="1"/>
          <w:numId w:val="1"/>
        </w:numPr>
        <w:spacing w:line="360" w:lineRule="auto"/>
        <w:ind w:left="0" w:firstLine="0"/>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GC-MS Analysis</w:t>
      </w:r>
      <w:r w:rsidDel="00000000" w:rsidR="00000000" w:rsidRPr="00000000">
        <w:rPr>
          <w:rtl w:val="0"/>
        </w:rPr>
      </w:r>
    </w:p>
    <w:p w:rsidR="00000000" w:rsidDel="00000000" w:rsidP="00000000" w:rsidRDefault="00000000" w:rsidRPr="00000000" w14:paraId="0000007C">
      <w:pPr>
        <w:spacing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In the present study, GC–MS analysis of the methanolic extract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identified several phytochemical constituents. The major component detected was Methyl-α-D-galactopyranoside (89.608%), accompanied by notable amounts of 1,6-anhydro-β-D-glucopyranose (3.492%) and (Z,Z,Z)-9,12,15-octadecatrienoic acid (2.008%). Minor constituents included N-hexadecanoic acid (1.614%), Phytol (1.369%), DL-3-aminobutyric acid (0.992%), and Estragole (0.917%). (Table 2) (Fig 1).</w:t>
      </w:r>
      <w:r w:rsidDel="00000000" w:rsidR="00000000" w:rsidRPr="00000000">
        <w:rPr>
          <w:vertAlign w:val="baseline"/>
          <w:rtl w:val="0"/>
        </w:rPr>
        <w:t xml:space="preserve"> </w:t>
      </w:r>
    </w:p>
    <w:p w:rsidR="00000000" w:rsidDel="00000000" w:rsidP="00000000" w:rsidRDefault="00000000" w:rsidRPr="00000000" w14:paraId="0000007D">
      <w:pPr>
        <w:spacing w:line="360" w:lineRule="auto"/>
        <w:jc w:val="both"/>
        <w:rPr>
          <w:vertAlign w:val="baseline"/>
        </w:rPr>
      </w:pPr>
      <w:r w:rsidDel="00000000" w:rsidR="00000000" w:rsidRPr="00000000">
        <w:rPr>
          <w:rtl w:val="0"/>
        </w:rPr>
      </w:r>
    </w:p>
    <w:p w:rsidR="00000000" w:rsidDel="00000000" w:rsidP="00000000" w:rsidRDefault="00000000" w:rsidRPr="00000000" w14:paraId="0000007E">
      <w:pPr>
        <w:spacing w:line="360" w:lineRule="auto"/>
        <w:jc w:val="center"/>
        <w:rPr>
          <w:rFonts w:ascii="Times New Roman" w:cs="Times New Roman" w:eastAsia="Times New Roman" w:hAnsi="Times New Roman"/>
          <w:b w:val="0"/>
          <w:bCs w:val="0"/>
          <w:i w:val="0"/>
          <w:i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Table 2 GC-MS spectrum of methanol extract of </w:t>
      </w:r>
      <w:r w:rsidDel="00000000" w:rsidR="00000000" w:rsidRPr="00000000">
        <w:rPr>
          <w:rFonts w:ascii="Times New Roman" w:cs="Times New Roman" w:eastAsia="Times New Roman" w:hAnsi="Times New Roman"/>
          <w:b w:val="1"/>
          <w:bCs w:val="1"/>
          <w:i w:val="1"/>
          <w:iCs w:val="1"/>
          <w:sz w:val="24"/>
          <w:szCs w:val="24"/>
          <w:vertAlign w:val="baseline"/>
          <w:rtl w:val="0"/>
        </w:rPr>
        <w:t xml:space="preserve">L. inermis</w:t>
      </w:r>
      <w:r w:rsidDel="00000000" w:rsidR="00000000" w:rsidRPr="00000000">
        <w:rPr>
          <w:rtl w:val="0"/>
        </w:rPr>
      </w:r>
    </w:p>
    <w:tbl>
      <w:tblPr>
        <w:tblStyle w:val="Table2"/>
        <w:tblW w:w="9615.0" w:type="dxa"/>
        <w:jc w:val="left"/>
        <w:tblInd w:w="-21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03"/>
        <w:gridCol w:w="1962"/>
        <w:gridCol w:w="1216"/>
        <w:gridCol w:w="1305"/>
        <w:gridCol w:w="1269"/>
        <w:gridCol w:w="1029"/>
        <w:gridCol w:w="1210"/>
        <w:gridCol w:w="921"/>
        <w:tblGridChange w:id="0">
          <w:tblGrid>
            <w:gridCol w:w="703"/>
            <w:gridCol w:w="1962"/>
            <w:gridCol w:w="1216"/>
            <w:gridCol w:w="1305"/>
            <w:gridCol w:w="1269"/>
            <w:gridCol w:w="1029"/>
            <w:gridCol w:w="1210"/>
            <w:gridCol w:w="921"/>
          </w:tblGrid>
        </w:tblGridChange>
      </w:tblGrid>
      <w:tr>
        <w:trPr>
          <w:cantSplit w:val="0"/>
          <w:trHeight w:val="918"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7F">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S.No</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0">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Compounds Name</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1">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Retention Time (min)</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2">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Molecular Formula</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3">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Molecular Weight</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4">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Cas</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5">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Norms %</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6">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Area</w:t>
            </w:r>
            <w:r w:rsidDel="00000000" w:rsidR="00000000" w:rsidRPr="00000000">
              <w:rPr>
                <w:rtl w:val="0"/>
              </w:rPr>
            </w:r>
          </w:p>
          <w:p w:rsidR="00000000" w:rsidDel="00000000" w:rsidP="00000000" w:rsidRDefault="00000000" w:rsidRPr="00000000" w14:paraId="00000087">
            <w:pPr>
              <w:spacing w:after="0" w:line="360" w:lineRule="auto"/>
              <w:ind w:hanging="2"/>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w:t>
            </w:r>
            <w:r w:rsidDel="00000000" w:rsidR="00000000" w:rsidRPr="00000000">
              <w:rPr>
                <w:rtl w:val="0"/>
              </w:rPr>
            </w:r>
          </w:p>
        </w:tc>
      </w:tr>
      <w:tr>
        <w:trPr>
          <w:cantSplit w:val="0"/>
          <w:trHeight w:val="939" w:hRule="atLeast"/>
          <w:tblHeader w:val="0"/>
        </w:trPr>
        <w:tc>
          <w:tcPr>
            <w:tcBorders>
              <w:top w:color="000000" w:space="0" w:sz="4" w:val="single"/>
            </w:tcBorders>
            <w:vAlign w:val="top"/>
          </w:tcPr>
          <w:p w:rsidR="00000000" w:rsidDel="00000000" w:rsidP="00000000" w:rsidRDefault="00000000" w:rsidRPr="00000000" w14:paraId="00000088">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tcBorders>
              <w:top w:color="000000" w:space="0" w:sz="4" w:val="single"/>
            </w:tcBorders>
            <w:vAlign w:val="top"/>
          </w:tcPr>
          <w:p w:rsidR="00000000" w:rsidDel="00000000" w:rsidP="00000000" w:rsidRDefault="00000000" w:rsidRPr="00000000" w14:paraId="00000089">
            <w:pPr>
              <w:spacing w:after="0" w:line="360" w:lineRule="auto"/>
              <w:ind w:hanging="2"/>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DL-3-aminobutyric acid</w:t>
            </w:r>
          </w:p>
        </w:tc>
        <w:tc>
          <w:tcPr>
            <w:tcBorders>
              <w:top w:color="000000" w:space="0" w:sz="4" w:val="single"/>
            </w:tcBorders>
            <w:vAlign w:val="center"/>
          </w:tcPr>
          <w:p w:rsidR="00000000" w:rsidDel="00000000" w:rsidP="00000000" w:rsidRDefault="00000000" w:rsidRPr="00000000" w14:paraId="0000008A">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2.518</w:t>
            </w:r>
          </w:p>
        </w:tc>
        <w:tc>
          <w:tcPr>
            <w:tcBorders>
              <w:top w:color="000000" w:space="0" w:sz="4" w:val="single"/>
            </w:tcBorders>
            <w:vAlign w:val="center"/>
          </w:tcPr>
          <w:p w:rsidR="00000000" w:rsidDel="00000000" w:rsidP="00000000" w:rsidRDefault="00000000" w:rsidRPr="00000000" w14:paraId="0000008B">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baseline"/>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9</w:t>
            </w:r>
            <w:r w:rsidDel="00000000" w:rsidR="00000000" w:rsidRPr="00000000">
              <w:rPr>
                <w:rFonts w:ascii="Times New Roman" w:cs="Times New Roman" w:eastAsia="Times New Roman" w:hAnsi="Times New Roman"/>
                <w:sz w:val="24"/>
                <w:szCs w:val="24"/>
                <w:vertAlign w:val="baseline"/>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vertAlign w:val="baseline"/>
                <w:rtl w:val="0"/>
              </w:rPr>
              <w:t xml:space="preserve">N</w:t>
            </w:r>
          </w:p>
        </w:tc>
        <w:tc>
          <w:tcPr>
            <w:tcBorders>
              <w:top w:color="000000" w:space="0" w:sz="4" w:val="single"/>
            </w:tcBorders>
            <w:vAlign w:val="center"/>
          </w:tcPr>
          <w:p w:rsidR="00000000" w:rsidDel="00000000" w:rsidP="00000000" w:rsidRDefault="00000000" w:rsidRPr="00000000" w14:paraId="0000008C">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103</w:t>
            </w:r>
          </w:p>
        </w:tc>
        <w:tc>
          <w:tcPr>
            <w:tcBorders>
              <w:top w:color="000000" w:space="0" w:sz="4" w:val="single"/>
            </w:tcBorders>
            <w:vAlign w:val="center"/>
          </w:tcPr>
          <w:p w:rsidR="00000000" w:rsidDel="00000000" w:rsidP="00000000" w:rsidRDefault="00000000" w:rsidRPr="00000000" w14:paraId="0000008D">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2835-82-7</w:t>
            </w:r>
          </w:p>
        </w:tc>
        <w:tc>
          <w:tcPr>
            <w:tcBorders>
              <w:top w:color="000000" w:space="0" w:sz="4" w:val="single"/>
            </w:tcBorders>
            <w:vAlign w:val="center"/>
          </w:tcPr>
          <w:p w:rsidR="00000000" w:rsidDel="00000000" w:rsidP="00000000" w:rsidRDefault="00000000" w:rsidRPr="00000000" w14:paraId="0000008E">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1.11</w:t>
            </w:r>
          </w:p>
        </w:tc>
        <w:tc>
          <w:tcPr>
            <w:tcBorders>
              <w:top w:color="000000" w:space="0" w:sz="4" w:val="single"/>
            </w:tcBorders>
            <w:vAlign w:val="center"/>
          </w:tcPr>
          <w:p w:rsidR="00000000" w:rsidDel="00000000" w:rsidP="00000000" w:rsidRDefault="00000000" w:rsidRPr="00000000" w14:paraId="0000008F">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0.992</w:t>
            </w:r>
          </w:p>
        </w:tc>
      </w:tr>
      <w:tr>
        <w:trPr>
          <w:cantSplit w:val="0"/>
          <w:trHeight w:val="918" w:hRule="atLeast"/>
          <w:tblHeader w:val="0"/>
        </w:trPr>
        <w:tc>
          <w:tcPr>
            <w:vAlign w:val="top"/>
          </w:tcPr>
          <w:p w:rsidR="00000000" w:rsidDel="00000000" w:rsidP="00000000" w:rsidRDefault="00000000" w:rsidRPr="00000000" w14:paraId="00000090">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vAlign w:val="top"/>
          </w:tcPr>
          <w:p w:rsidR="00000000" w:rsidDel="00000000" w:rsidP="00000000" w:rsidRDefault="00000000" w:rsidRPr="00000000" w14:paraId="00000091">
            <w:pPr>
              <w:spacing w:after="0" w:line="360" w:lineRule="auto"/>
              <w:ind w:hanging="2"/>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Estragole</w:t>
            </w:r>
          </w:p>
        </w:tc>
        <w:tc>
          <w:tcPr>
            <w:vAlign w:val="center"/>
          </w:tcPr>
          <w:p w:rsidR="00000000" w:rsidDel="00000000" w:rsidP="00000000" w:rsidRDefault="00000000" w:rsidRPr="00000000" w14:paraId="00000092">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11.637</w:t>
            </w:r>
          </w:p>
        </w:tc>
        <w:tc>
          <w:tcPr>
            <w:vAlign w:val="center"/>
          </w:tcPr>
          <w:p w:rsidR="00000000" w:rsidDel="00000000" w:rsidP="00000000" w:rsidRDefault="00000000" w:rsidRPr="00000000" w14:paraId="00000093">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vertAlign w:val="baseline"/>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vertAlign w:val="baseline"/>
                <w:rtl w:val="0"/>
              </w:rPr>
              <w:t xml:space="preserve">O</w:t>
            </w:r>
          </w:p>
        </w:tc>
        <w:tc>
          <w:tcPr>
            <w:vAlign w:val="center"/>
          </w:tcPr>
          <w:p w:rsidR="00000000" w:rsidDel="00000000" w:rsidP="00000000" w:rsidRDefault="00000000" w:rsidRPr="00000000" w14:paraId="00000094">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148</w:t>
            </w:r>
          </w:p>
        </w:tc>
        <w:tc>
          <w:tcPr>
            <w:vAlign w:val="center"/>
          </w:tcPr>
          <w:p w:rsidR="00000000" w:rsidDel="00000000" w:rsidP="00000000" w:rsidRDefault="00000000" w:rsidRPr="00000000" w14:paraId="00000095">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140-67-0</w:t>
            </w:r>
          </w:p>
        </w:tc>
        <w:tc>
          <w:tcPr>
            <w:vAlign w:val="center"/>
          </w:tcPr>
          <w:p w:rsidR="00000000" w:rsidDel="00000000" w:rsidP="00000000" w:rsidRDefault="00000000" w:rsidRPr="00000000" w14:paraId="00000096">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1.02</w:t>
            </w:r>
          </w:p>
        </w:tc>
        <w:tc>
          <w:tcPr>
            <w:vAlign w:val="center"/>
          </w:tcPr>
          <w:p w:rsidR="00000000" w:rsidDel="00000000" w:rsidP="00000000" w:rsidRDefault="00000000" w:rsidRPr="00000000" w14:paraId="00000097">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0.917</w:t>
            </w:r>
          </w:p>
        </w:tc>
      </w:tr>
      <w:tr>
        <w:trPr>
          <w:cantSplit w:val="0"/>
          <w:trHeight w:val="939" w:hRule="atLeast"/>
          <w:tblHeader w:val="0"/>
        </w:trPr>
        <w:tc>
          <w:tcPr>
            <w:vAlign w:val="top"/>
          </w:tcPr>
          <w:p w:rsidR="00000000" w:rsidDel="00000000" w:rsidP="00000000" w:rsidRDefault="00000000" w:rsidRPr="00000000" w14:paraId="00000098">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vAlign w:val="top"/>
          </w:tcPr>
          <w:p w:rsidR="00000000" w:rsidDel="00000000" w:rsidP="00000000" w:rsidRDefault="00000000" w:rsidRPr="00000000" w14:paraId="00000099">
            <w:pPr>
              <w:spacing w:after="0" w:line="360" w:lineRule="auto"/>
              <w:ind w:hanging="2"/>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1,6-anhydro-β-D-glucopyranose</w:t>
            </w:r>
          </w:p>
        </w:tc>
        <w:tc>
          <w:tcPr>
            <w:vAlign w:val="center"/>
          </w:tcPr>
          <w:p w:rsidR="00000000" w:rsidDel="00000000" w:rsidP="00000000" w:rsidRDefault="00000000" w:rsidRPr="00000000" w14:paraId="0000009A">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14.883</w:t>
            </w:r>
          </w:p>
        </w:tc>
        <w:tc>
          <w:tcPr>
            <w:vAlign w:val="center"/>
          </w:tcPr>
          <w:p w:rsidR="00000000" w:rsidDel="00000000" w:rsidP="00000000" w:rsidRDefault="00000000" w:rsidRPr="00000000" w14:paraId="0000009B">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vertAlign w:val="baseline"/>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vertAlign w:val="baseline"/>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tl w:val="0"/>
              </w:rPr>
            </w:r>
          </w:p>
        </w:tc>
        <w:tc>
          <w:tcPr>
            <w:vAlign w:val="center"/>
          </w:tcPr>
          <w:p w:rsidR="00000000" w:rsidDel="00000000" w:rsidP="00000000" w:rsidRDefault="00000000" w:rsidRPr="00000000" w14:paraId="0000009C">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162</w:t>
            </w:r>
          </w:p>
        </w:tc>
        <w:tc>
          <w:tcPr>
            <w:vAlign w:val="center"/>
          </w:tcPr>
          <w:p w:rsidR="00000000" w:rsidDel="00000000" w:rsidP="00000000" w:rsidRDefault="00000000" w:rsidRPr="00000000" w14:paraId="0000009D">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498-07-7</w:t>
            </w:r>
          </w:p>
        </w:tc>
        <w:tc>
          <w:tcPr>
            <w:vAlign w:val="center"/>
          </w:tcPr>
          <w:p w:rsidR="00000000" w:rsidDel="00000000" w:rsidP="00000000" w:rsidRDefault="00000000" w:rsidRPr="00000000" w14:paraId="0000009E">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3.90</w:t>
            </w:r>
          </w:p>
        </w:tc>
        <w:tc>
          <w:tcPr>
            <w:vAlign w:val="center"/>
          </w:tcPr>
          <w:p w:rsidR="00000000" w:rsidDel="00000000" w:rsidP="00000000" w:rsidRDefault="00000000" w:rsidRPr="00000000" w14:paraId="0000009F">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3.492</w:t>
            </w:r>
          </w:p>
        </w:tc>
      </w:tr>
      <w:tr>
        <w:trPr>
          <w:cantSplit w:val="0"/>
          <w:trHeight w:val="918" w:hRule="atLeast"/>
          <w:tblHeader w:val="0"/>
        </w:trPr>
        <w:tc>
          <w:tcPr>
            <w:vAlign w:val="top"/>
          </w:tcPr>
          <w:p w:rsidR="00000000" w:rsidDel="00000000" w:rsidP="00000000" w:rsidRDefault="00000000" w:rsidRPr="00000000" w14:paraId="000000A0">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r>
          </w:p>
        </w:tc>
        <w:tc>
          <w:tcPr>
            <w:vAlign w:val="top"/>
          </w:tcPr>
          <w:p w:rsidR="00000000" w:rsidDel="00000000" w:rsidP="00000000" w:rsidRDefault="00000000" w:rsidRPr="00000000" w14:paraId="000000A1">
            <w:pPr>
              <w:spacing w:after="0" w:line="360" w:lineRule="auto"/>
              <w:ind w:hanging="2"/>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Methyl-α-D-galactopyranoside</w:t>
            </w:r>
          </w:p>
        </w:tc>
        <w:tc>
          <w:tcPr>
            <w:vAlign w:val="center"/>
          </w:tcPr>
          <w:p w:rsidR="00000000" w:rsidDel="00000000" w:rsidP="00000000" w:rsidRDefault="00000000" w:rsidRPr="00000000" w14:paraId="000000A2">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16.509</w:t>
            </w:r>
          </w:p>
        </w:tc>
        <w:tc>
          <w:tcPr>
            <w:vAlign w:val="center"/>
          </w:tcPr>
          <w:p w:rsidR="00000000" w:rsidDel="00000000" w:rsidP="00000000" w:rsidRDefault="00000000" w:rsidRPr="00000000" w14:paraId="000000A3">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vertAlign w:val="baseline"/>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14</w:t>
            </w:r>
            <w:r w:rsidDel="00000000" w:rsidR="00000000" w:rsidRPr="00000000">
              <w:rPr>
                <w:rFonts w:ascii="Times New Roman" w:cs="Times New Roman" w:eastAsia="Times New Roman" w:hAnsi="Times New Roman"/>
                <w:sz w:val="24"/>
                <w:szCs w:val="24"/>
                <w:vertAlign w:val="baseline"/>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tl w:val="0"/>
              </w:rPr>
            </w:r>
          </w:p>
        </w:tc>
        <w:tc>
          <w:tcPr>
            <w:vAlign w:val="center"/>
          </w:tcPr>
          <w:p w:rsidR="00000000" w:rsidDel="00000000" w:rsidP="00000000" w:rsidRDefault="00000000" w:rsidRPr="00000000" w14:paraId="000000A4">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194</w:t>
            </w:r>
          </w:p>
        </w:tc>
        <w:tc>
          <w:tcPr>
            <w:vAlign w:val="center"/>
          </w:tcPr>
          <w:p w:rsidR="00000000" w:rsidDel="00000000" w:rsidP="00000000" w:rsidRDefault="00000000" w:rsidRPr="00000000" w14:paraId="000000A5">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3396-99-4</w:t>
            </w:r>
          </w:p>
        </w:tc>
        <w:tc>
          <w:tcPr>
            <w:vAlign w:val="center"/>
          </w:tcPr>
          <w:p w:rsidR="00000000" w:rsidDel="00000000" w:rsidP="00000000" w:rsidRDefault="00000000" w:rsidRPr="00000000" w14:paraId="000000A6">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100.0</w:t>
            </w:r>
          </w:p>
        </w:tc>
        <w:tc>
          <w:tcPr>
            <w:vAlign w:val="center"/>
          </w:tcPr>
          <w:p w:rsidR="00000000" w:rsidDel="00000000" w:rsidP="00000000" w:rsidRDefault="00000000" w:rsidRPr="00000000" w14:paraId="000000A7">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89.608</w:t>
            </w:r>
          </w:p>
        </w:tc>
      </w:tr>
      <w:tr>
        <w:trPr>
          <w:cantSplit w:val="0"/>
          <w:trHeight w:val="918" w:hRule="atLeast"/>
          <w:tblHeader w:val="0"/>
        </w:trPr>
        <w:tc>
          <w:tcPr>
            <w:vAlign w:val="top"/>
          </w:tcPr>
          <w:p w:rsidR="00000000" w:rsidDel="00000000" w:rsidP="00000000" w:rsidRDefault="00000000" w:rsidRPr="00000000" w14:paraId="000000A8">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w:t>
            </w:r>
          </w:p>
        </w:tc>
        <w:tc>
          <w:tcPr>
            <w:vAlign w:val="top"/>
          </w:tcPr>
          <w:p w:rsidR="00000000" w:rsidDel="00000000" w:rsidP="00000000" w:rsidRDefault="00000000" w:rsidRPr="00000000" w14:paraId="000000A9">
            <w:pPr>
              <w:spacing w:after="0" w:line="360" w:lineRule="auto"/>
              <w:ind w:hanging="2"/>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N-hexadecanoic acid</w:t>
            </w:r>
          </w:p>
        </w:tc>
        <w:tc>
          <w:tcPr>
            <w:vAlign w:val="center"/>
          </w:tcPr>
          <w:p w:rsidR="00000000" w:rsidDel="00000000" w:rsidP="00000000" w:rsidRDefault="00000000" w:rsidRPr="00000000" w14:paraId="000000AA">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20.0152</w:t>
            </w:r>
          </w:p>
        </w:tc>
        <w:tc>
          <w:tcPr>
            <w:vAlign w:val="center"/>
          </w:tcPr>
          <w:p w:rsidR="00000000" w:rsidDel="00000000" w:rsidP="00000000" w:rsidRDefault="00000000" w:rsidRPr="00000000" w14:paraId="000000AB">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16</w:t>
            </w:r>
            <w:r w:rsidDel="00000000" w:rsidR="00000000" w:rsidRPr="00000000">
              <w:rPr>
                <w:rFonts w:ascii="Times New Roman" w:cs="Times New Roman" w:eastAsia="Times New Roman" w:hAnsi="Times New Roman"/>
                <w:sz w:val="24"/>
                <w:szCs w:val="24"/>
                <w:vertAlign w:val="baseline"/>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32</w:t>
            </w:r>
            <w:r w:rsidDel="00000000" w:rsidR="00000000" w:rsidRPr="00000000">
              <w:rPr>
                <w:rFonts w:ascii="Times New Roman" w:cs="Times New Roman" w:eastAsia="Times New Roman" w:hAnsi="Times New Roman"/>
                <w:sz w:val="24"/>
                <w:szCs w:val="24"/>
                <w:vertAlign w:val="baseline"/>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tc>
        <w:tc>
          <w:tcPr>
            <w:vAlign w:val="center"/>
          </w:tcPr>
          <w:p w:rsidR="00000000" w:rsidDel="00000000" w:rsidP="00000000" w:rsidRDefault="00000000" w:rsidRPr="00000000" w14:paraId="000000AC">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256</w:t>
            </w:r>
          </w:p>
        </w:tc>
        <w:tc>
          <w:tcPr>
            <w:vAlign w:val="center"/>
          </w:tcPr>
          <w:p w:rsidR="00000000" w:rsidDel="00000000" w:rsidP="00000000" w:rsidRDefault="00000000" w:rsidRPr="00000000" w14:paraId="000000AD">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57-10-3</w:t>
            </w:r>
          </w:p>
        </w:tc>
        <w:tc>
          <w:tcPr>
            <w:vAlign w:val="center"/>
          </w:tcPr>
          <w:p w:rsidR="00000000" w:rsidDel="00000000" w:rsidP="00000000" w:rsidRDefault="00000000" w:rsidRPr="00000000" w14:paraId="000000AE">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1.80</w:t>
            </w:r>
          </w:p>
        </w:tc>
        <w:tc>
          <w:tcPr>
            <w:vAlign w:val="center"/>
          </w:tcPr>
          <w:p w:rsidR="00000000" w:rsidDel="00000000" w:rsidP="00000000" w:rsidRDefault="00000000" w:rsidRPr="00000000" w14:paraId="000000AF">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1.614</w:t>
            </w:r>
          </w:p>
        </w:tc>
      </w:tr>
      <w:tr>
        <w:trPr>
          <w:cantSplit w:val="0"/>
          <w:trHeight w:val="918" w:hRule="atLeast"/>
          <w:tblHeader w:val="0"/>
        </w:trPr>
        <w:tc>
          <w:tcPr>
            <w:vAlign w:val="top"/>
          </w:tcPr>
          <w:p w:rsidR="00000000" w:rsidDel="00000000" w:rsidP="00000000" w:rsidRDefault="00000000" w:rsidRPr="00000000" w14:paraId="000000B0">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w:t>
            </w:r>
          </w:p>
        </w:tc>
        <w:tc>
          <w:tcPr>
            <w:vAlign w:val="top"/>
          </w:tcPr>
          <w:p w:rsidR="00000000" w:rsidDel="00000000" w:rsidP="00000000" w:rsidRDefault="00000000" w:rsidRPr="00000000" w14:paraId="000000B1">
            <w:pPr>
              <w:spacing w:after="0" w:line="360" w:lineRule="auto"/>
              <w:ind w:hanging="2"/>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Phytol</w:t>
            </w:r>
          </w:p>
        </w:tc>
        <w:tc>
          <w:tcPr>
            <w:vAlign w:val="center"/>
          </w:tcPr>
          <w:p w:rsidR="00000000" w:rsidDel="00000000" w:rsidP="00000000" w:rsidRDefault="00000000" w:rsidRPr="00000000" w14:paraId="000000B2">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21.531</w:t>
            </w:r>
          </w:p>
        </w:tc>
        <w:tc>
          <w:tcPr>
            <w:vAlign w:val="center"/>
          </w:tcPr>
          <w:p w:rsidR="00000000" w:rsidDel="00000000" w:rsidP="00000000" w:rsidRDefault="00000000" w:rsidRPr="00000000" w14:paraId="000000B3">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20</w:t>
            </w:r>
            <w:r w:rsidDel="00000000" w:rsidR="00000000" w:rsidRPr="00000000">
              <w:rPr>
                <w:rFonts w:ascii="Times New Roman" w:cs="Times New Roman" w:eastAsia="Times New Roman" w:hAnsi="Times New Roman"/>
                <w:sz w:val="24"/>
                <w:szCs w:val="24"/>
                <w:vertAlign w:val="baseline"/>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40</w:t>
            </w:r>
            <w:r w:rsidDel="00000000" w:rsidR="00000000" w:rsidRPr="00000000">
              <w:rPr>
                <w:rFonts w:ascii="Times New Roman" w:cs="Times New Roman" w:eastAsia="Times New Roman" w:hAnsi="Times New Roman"/>
                <w:sz w:val="24"/>
                <w:szCs w:val="24"/>
                <w:vertAlign w:val="baseline"/>
                <w:rtl w:val="0"/>
              </w:rPr>
              <w:t xml:space="preserve">O</w:t>
            </w:r>
          </w:p>
        </w:tc>
        <w:tc>
          <w:tcPr>
            <w:vAlign w:val="center"/>
          </w:tcPr>
          <w:p w:rsidR="00000000" w:rsidDel="00000000" w:rsidP="00000000" w:rsidRDefault="00000000" w:rsidRPr="00000000" w14:paraId="000000B4">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296</w:t>
            </w:r>
          </w:p>
        </w:tc>
        <w:tc>
          <w:tcPr>
            <w:vAlign w:val="center"/>
          </w:tcPr>
          <w:p w:rsidR="00000000" w:rsidDel="00000000" w:rsidP="00000000" w:rsidRDefault="00000000" w:rsidRPr="00000000" w14:paraId="000000B5">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150-86-7</w:t>
            </w:r>
          </w:p>
        </w:tc>
        <w:tc>
          <w:tcPr>
            <w:vAlign w:val="center"/>
          </w:tcPr>
          <w:p w:rsidR="00000000" w:rsidDel="00000000" w:rsidP="00000000" w:rsidRDefault="00000000" w:rsidRPr="00000000" w14:paraId="000000B6">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1.53</w:t>
            </w:r>
          </w:p>
        </w:tc>
        <w:tc>
          <w:tcPr>
            <w:vAlign w:val="center"/>
          </w:tcPr>
          <w:p w:rsidR="00000000" w:rsidDel="00000000" w:rsidP="00000000" w:rsidRDefault="00000000" w:rsidRPr="00000000" w14:paraId="000000B7">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1.369</w:t>
            </w:r>
          </w:p>
        </w:tc>
      </w:tr>
      <w:tr>
        <w:trPr>
          <w:cantSplit w:val="0"/>
          <w:trHeight w:val="918" w:hRule="atLeast"/>
          <w:tblHeader w:val="0"/>
        </w:trPr>
        <w:tc>
          <w:tcPr>
            <w:tcBorders>
              <w:bottom w:color="000000" w:space="0" w:sz="4" w:val="single"/>
            </w:tcBorders>
            <w:vAlign w:val="top"/>
          </w:tcPr>
          <w:p w:rsidR="00000000" w:rsidDel="00000000" w:rsidP="00000000" w:rsidRDefault="00000000" w:rsidRPr="00000000" w14:paraId="000000B8">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w:t>
            </w:r>
          </w:p>
        </w:tc>
        <w:tc>
          <w:tcPr>
            <w:tcBorders>
              <w:bottom w:color="000000" w:space="0" w:sz="4" w:val="single"/>
            </w:tcBorders>
            <w:vAlign w:val="top"/>
          </w:tcPr>
          <w:p w:rsidR="00000000" w:rsidDel="00000000" w:rsidP="00000000" w:rsidRDefault="00000000" w:rsidRPr="00000000" w14:paraId="000000B9">
            <w:pPr>
              <w:spacing w:after="0" w:line="360" w:lineRule="auto"/>
              <w:ind w:hanging="2"/>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(Z,Z,Z)-9,12,15-octadecatrienoic acid</w:t>
            </w:r>
          </w:p>
        </w:tc>
        <w:tc>
          <w:tcPr>
            <w:tcBorders>
              <w:bottom w:color="000000" w:space="0" w:sz="4" w:val="single"/>
            </w:tcBorders>
            <w:vAlign w:val="center"/>
          </w:tcPr>
          <w:p w:rsidR="00000000" w:rsidDel="00000000" w:rsidP="00000000" w:rsidRDefault="00000000" w:rsidRPr="00000000" w14:paraId="000000BA">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21.846</w:t>
            </w:r>
          </w:p>
        </w:tc>
        <w:tc>
          <w:tcPr>
            <w:tcBorders>
              <w:bottom w:color="000000" w:space="0" w:sz="4" w:val="single"/>
            </w:tcBorders>
            <w:vAlign w:val="center"/>
          </w:tcPr>
          <w:p w:rsidR="00000000" w:rsidDel="00000000" w:rsidP="00000000" w:rsidRDefault="00000000" w:rsidRPr="00000000" w14:paraId="000000BB">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18</w:t>
            </w:r>
            <w:r w:rsidDel="00000000" w:rsidR="00000000" w:rsidRPr="00000000">
              <w:rPr>
                <w:rFonts w:ascii="Times New Roman" w:cs="Times New Roman" w:eastAsia="Times New Roman" w:hAnsi="Times New Roman"/>
                <w:sz w:val="24"/>
                <w:szCs w:val="24"/>
                <w:vertAlign w:val="baseline"/>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30</w:t>
            </w:r>
            <w:r w:rsidDel="00000000" w:rsidR="00000000" w:rsidRPr="00000000">
              <w:rPr>
                <w:rFonts w:ascii="Times New Roman" w:cs="Times New Roman" w:eastAsia="Times New Roman" w:hAnsi="Times New Roman"/>
                <w:sz w:val="24"/>
                <w:szCs w:val="24"/>
                <w:vertAlign w:val="baseline"/>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BC">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278</w:t>
            </w:r>
          </w:p>
        </w:tc>
        <w:tc>
          <w:tcPr>
            <w:tcBorders>
              <w:bottom w:color="000000" w:space="0" w:sz="4" w:val="single"/>
            </w:tcBorders>
            <w:vAlign w:val="center"/>
          </w:tcPr>
          <w:p w:rsidR="00000000" w:rsidDel="00000000" w:rsidP="00000000" w:rsidRDefault="00000000" w:rsidRPr="00000000" w14:paraId="000000BD">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463-40-1</w:t>
            </w:r>
          </w:p>
        </w:tc>
        <w:tc>
          <w:tcPr>
            <w:tcBorders>
              <w:bottom w:color="000000" w:space="0" w:sz="4" w:val="single"/>
            </w:tcBorders>
            <w:vAlign w:val="center"/>
          </w:tcPr>
          <w:p w:rsidR="00000000" w:rsidDel="00000000" w:rsidP="00000000" w:rsidRDefault="00000000" w:rsidRPr="00000000" w14:paraId="000000BE">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2.24</w:t>
            </w:r>
          </w:p>
        </w:tc>
        <w:tc>
          <w:tcPr>
            <w:tcBorders>
              <w:bottom w:color="000000" w:space="0" w:sz="4" w:val="single"/>
            </w:tcBorders>
            <w:vAlign w:val="center"/>
          </w:tcPr>
          <w:p w:rsidR="00000000" w:rsidDel="00000000" w:rsidP="00000000" w:rsidRDefault="00000000" w:rsidRPr="00000000" w14:paraId="000000BF">
            <w:pPr>
              <w:spacing w:after="0" w:line="360" w:lineRule="auto"/>
              <w:ind w:hanging="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2.008</w:t>
            </w:r>
          </w:p>
        </w:tc>
      </w:tr>
    </w:tbl>
    <w:p w:rsidR="00000000" w:rsidDel="00000000" w:rsidP="00000000" w:rsidRDefault="00000000" w:rsidRPr="00000000" w14:paraId="000000C0">
      <w:pPr>
        <w:spacing w:line="3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C1">
      <w:pPr>
        <w:spacing w:line="36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5143500" cy="3104515"/>
            <wp:effectExtent b="0" l="0" r="0" t="0"/>
            <wp:docPr id="1044"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143500" cy="310451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360" w:lineRule="auto"/>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Figure 1 GC-MS spectrum of methanol extract of </w:t>
      </w:r>
      <w:r w:rsidDel="00000000" w:rsidR="00000000" w:rsidRPr="00000000">
        <w:rPr>
          <w:rFonts w:ascii="Times New Roman" w:cs="Times New Roman" w:eastAsia="Times New Roman" w:hAnsi="Times New Roman"/>
          <w:b w:val="1"/>
          <w:bCs w:val="1"/>
          <w:i w:val="1"/>
          <w:iCs w:val="1"/>
          <w:sz w:val="24"/>
          <w:szCs w:val="24"/>
          <w:vertAlign w:val="baseline"/>
          <w:rtl w:val="0"/>
        </w:rPr>
        <w:t xml:space="preserve">L. inermis</w:t>
      </w:r>
      <w:r w:rsidDel="00000000" w:rsidR="00000000" w:rsidRPr="00000000">
        <w:rPr>
          <w:rtl w:val="0"/>
        </w:rPr>
      </w:r>
    </w:p>
    <w:p w:rsidR="00000000" w:rsidDel="00000000" w:rsidP="00000000" w:rsidRDefault="00000000" w:rsidRPr="00000000" w14:paraId="000000C3">
      <w:pPr>
        <w:numPr>
          <w:ilvl w:val="1"/>
          <w:numId w:val="1"/>
        </w:numPr>
        <w:spacing w:line="360" w:lineRule="auto"/>
        <w:ind w:left="0" w:firstLine="0"/>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Antibacterial Assay </w:t>
      </w: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rtl w:val="0"/>
        </w:rPr>
        <w:t xml:space="preserve">M</w:t>
      </w:r>
      <w:r w:rsidDel="00000000" w:rsidR="00000000" w:rsidRPr="00000000">
        <w:rPr>
          <w:rFonts w:ascii="Times New Roman" w:cs="Times New Roman" w:eastAsia="Times New Roman" w:hAnsi="Times New Roman"/>
          <w:sz w:val="24"/>
          <w:szCs w:val="24"/>
          <w:highlight w:val="yellow"/>
          <w:vertAlign w:val="baseline"/>
          <w:rtl w:val="0"/>
        </w:rPr>
        <w:t xml:space="preserve">ethanolic extract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sz w:val="24"/>
          <w:szCs w:val="24"/>
          <w:highlight w:val="yellow"/>
          <w:rtl w:val="0"/>
        </w:rPr>
        <w:t xml:space="preserve">displayed a wide range of </w:t>
      </w:r>
      <w:r w:rsidDel="00000000" w:rsidR="00000000" w:rsidRPr="00000000">
        <w:rPr>
          <w:rFonts w:ascii="Times New Roman" w:cs="Times New Roman" w:eastAsia="Times New Roman" w:hAnsi="Times New Roman"/>
          <w:sz w:val="24"/>
          <w:szCs w:val="24"/>
          <w:highlight w:val="yellow"/>
          <w:vertAlign w:val="baseline"/>
          <w:rtl w:val="0"/>
        </w:rPr>
        <w:t xml:space="preserve">phytochemicals compared to the diethyl ether and hexane extracts. </w:t>
      </w:r>
      <w:r w:rsidDel="00000000" w:rsidR="00000000" w:rsidRPr="00000000">
        <w:rPr>
          <w:rFonts w:ascii="Times New Roman" w:cs="Times New Roman" w:eastAsia="Times New Roman" w:hAnsi="Times New Roman"/>
          <w:sz w:val="24"/>
          <w:szCs w:val="24"/>
          <w:highlight w:val="yellow"/>
          <w:rtl w:val="0"/>
        </w:rPr>
        <w:t xml:space="preserve">Fig 2 </w:t>
      </w:r>
      <w:r w:rsidDel="00000000" w:rsidR="00000000" w:rsidRPr="00000000">
        <w:rPr>
          <w:rFonts w:ascii="Times New Roman" w:cs="Times New Roman" w:eastAsia="Times New Roman" w:hAnsi="Times New Roman"/>
          <w:sz w:val="24"/>
          <w:szCs w:val="24"/>
          <w:highlight w:val="yellow"/>
          <w:vertAlign w:val="baseline"/>
          <w:rtl w:val="0"/>
        </w:rPr>
        <w:t xml:space="preserve"> demonstrate</w:t>
      </w:r>
      <w:r w:rsidDel="00000000" w:rsidR="00000000" w:rsidRPr="00000000">
        <w:rPr>
          <w:rFonts w:ascii="Times New Roman" w:cs="Times New Roman" w:eastAsia="Times New Roman" w:hAnsi="Times New Roman"/>
          <w:sz w:val="24"/>
          <w:szCs w:val="24"/>
          <w:highlight w:val="yellow"/>
          <w:rtl w:val="0"/>
        </w:rPr>
        <w:t xml:space="preserve">s</w:t>
      </w:r>
      <w:r w:rsidDel="00000000" w:rsidR="00000000" w:rsidRPr="00000000">
        <w:rPr>
          <w:rFonts w:ascii="Times New Roman" w:cs="Times New Roman" w:eastAsia="Times New Roman" w:hAnsi="Times New Roman"/>
          <w:sz w:val="24"/>
          <w:szCs w:val="24"/>
          <w:highlight w:val="yellow"/>
          <w:vertAlign w:val="baseline"/>
          <w:rtl w:val="0"/>
        </w:rPr>
        <w:t xml:space="preserve"> a concentration dependent increase in antimicrobial activity. At 20 µg/ml, only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showed susceptibility, exhibiting a 3 mm inhibition zone, while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 coli</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 mirabilis</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 pneumoniae</w:t>
      </w:r>
      <w:r w:rsidDel="00000000" w:rsidR="00000000" w:rsidRPr="00000000">
        <w:rPr>
          <w:rFonts w:ascii="Times New Roman" w:cs="Times New Roman" w:eastAsia="Times New Roman" w:hAnsi="Times New Roman"/>
          <w:sz w:val="24"/>
          <w:szCs w:val="24"/>
          <w:highlight w:val="yellow"/>
          <w:vertAlign w:val="baseline"/>
          <w:rtl w:val="0"/>
        </w:rPr>
        <w:t xml:space="preserve"> showed no measurable response. Increasing the concentration to 40 µg/ml produced moderate inhibitory effects, with 4 mm inhibition observed in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and 2 mm in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 mirabilis</w:t>
      </w:r>
      <w:r w:rsidDel="00000000" w:rsidR="00000000" w:rsidRPr="00000000">
        <w:rPr>
          <w:rFonts w:ascii="Times New Roman" w:cs="Times New Roman" w:eastAsia="Times New Roman" w:hAnsi="Times New Roman"/>
          <w:sz w:val="24"/>
          <w:szCs w:val="24"/>
          <w:highlight w:val="yellow"/>
          <w:vertAlign w:val="baseline"/>
          <w:rtl w:val="0"/>
        </w:rPr>
        <w:t xml:space="preserve">, whereas the remaining organisms remained resistant. The strongest antibacterial activity was recorded at 80 µg/ml, yielding inhibition zones of 5 mm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6 mm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 mirabilis</w:t>
      </w:r>
      <w:r w:rsidDel="00000000" w:rsidR="00000000" w:rsidRPr="00000000">
        <w:rPr>
          <w:rFonts w:ascii="Times New Roman" w:cs="Times New Roman" w:eastAsia="Times New Roman" w:hAnsi="Times New Roman"/>
          <w:sz w:val="24"/>
          <w:szCs w:val="24"/>
          <w:highlight w:val="yellow"/>
          <w:vertAlign w:val="baseline"/>
          <w:rtl w:val="0"/>
        </w:rPr>
        <w:t xml:space="preserve">, and 2 mm each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 coli</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 pneumoniae</w:t>
      </w:r>
      <w:r w:rsidDel="00000000" w:rsidR="00000000" w:rsidRPr="00000000">
        <w:rPr>
          <w:rFonts w:ascii="Times New Roman" w:cs="Times New Roman" w:eastAsia="Times New Roman" w:hAnsi="Times New Roman"/>
          <w:sz w:val="24"/>
          <w:szCs w:val="24"/>
          <w:highlight w:val="yellow"/>
          <w:vertAlign w:val="baseline"/>
          <w:rtl w:val="0"/>
        </w:rPr>
        <w:t xml:space="preserve">, confirming a clear dose-responsive pattern. Overall,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was the most susceptible organism, followed by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 mirabilis</w:t>
      </w:r>
      <w:r w:rsidDel="00000000" w:rsidR="00000000" w:rsidRPr="00000000">
        <w:rPr>
          <w:rFonts w:ascii="Times New Roman" w:cs="Times New Roman" w:eastAsia="Times New Roman" w:hAnsi="Times New Roman"/>
          <w:sz w:val="24"/>
          <w:szCs w:val="24"/>
          <w:highlight w:val="yellow"/>
          <w:vertAlign w:val="baseline"/>
          <w:rtl w:val="0"/>
        </w:rPr>
        <w:t xml:space="preserve">, while the gram-negative bacteria particularly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 pneumoniae</w:t>
      </w:r>
      <w:r w:rsidDel="00000000" w:rsidR="00000000" w:rsidRPr="00000000">
        <w:rPr>
          <w:rFonts w:ascii="Times New Roman" w:cs="Times New Roman" w:eastAsia="Times New Roman" w:hAnsi="Times New Roman"/>
          <w:sz w:val="24"/>
          <w:szCs w:val="24"/>
          <w:highlight w:val="yellow"/>
          <w:vertAlign w:val="baseline"/>
          <w:rtl w:val="0"/>
        </w:rPr>
        <w:t xml:space="preserve"> displayed lower sensitivity. Although the methanolic extract demonstrated measurable inhibitory capacity, its activity remained lower than that of ampicillin (5 µg/ml), which produced inhibition zones of 8 mm, 9 mm, 6 mm, and 8 mm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 coli</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 mirabilis</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 pneumoniae</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respectively. Fig. 3 represents the mean values of triplicates of antibacterial activity. These findings collectively indicate that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possesses modest but significant antibacterial potential, which becomes more pronounced at higher extract concentrations. Overall, the results imply that elevated doses of the methanolic extract may offer a natural alternative with the capacity to complement or partially substitute conventional antibiotics. </w:t>
      </w:r>
    </w:p>
    <w:p w:rsidR="00000000" w:rsidDel="00000000" w:rsidP="00000000" w:rsidRDefault="00000000" w:rsidRPr="00000000" w14:paraId="000000C5">
      <w:pPr>
        <w:spacing w:line="36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2401570" cy="2405380"/>
            <wp:effectExtent b="0" l="0" r="0" t="0"/>
            <wp:docPr id="104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401570" cy="2405380"/>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2361565" cy="2391410"/>
            <wp:effectExtent b="0" l="0" r="0" t="0"/>
            <wp:docPr id="104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361565" cy="23914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2396808</wp:posOffset>
                </wp:positionH>
                <wp:positionV relativeFrom="paragraph">
                  <wp:posOffset>2072958</wp:posOffset>
                </wp:positionV>
                <wp:extent cx="298450" cy="254000"/>
                <wp:effectExtent b="0" l="0" r="0" t="0"/>
                <wp:wrapNone/>
                <wp:docPr id="1036" name=""/>
                <a:graphic>
                  <a:graphicData uri="http://schemas.microsoft.com/office/word/2010/wordprocessingShape">
                    <wps:wsp>
                      <wps:cNvSpPr/>
                      <wps:cNvPr id="3" name="Shape 3"/>
                      <wps:spPr>
                        <a:xfrm>
                          <a:off x="5206300" y="3662525"/>
                          <a:ext cx="279400" cy="2349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2396808</wp:posOffset>
                </wp:positionH>
                <wp:positionV relativeFrom="paragraph">
                  <wp:posOffset>2072958</wp:posOffset>
                </wp:positionV>
                <wp:extent cx="298450" cy="254000"/>
                <wp:effectExtent b="0" l="0" r="0" t="0"/>
                <wp:wrapNone/>
                <wp:docPr id="103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9845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5038408</wp:posOffset>
                </wp:positionH>
                <wp:positionV relativeFrom="paragraph">
                  <wp:posOffset>2072958</wp:posOffset>
                </wp:positionV>
                <wp:extent cx="285750" cy="266700"/>
                <wp:effectExtent b="0" l="0" r="0" t="0"/>
                <wp:wrapNone/>
                <wp:docPr id="1039" name=""/>
                <a:graphic>
                  <a:graphicData uri="http://schemas.microsoft.com/office/word/2010/wordprocessingShape">
                    <wps:wsp>
                      <wps:cNvSpPr/>
                      <wps:cNvPr id="6" name="Shape 6"/>
                      <wps:spPr>
                        <a:xfrm>
                          <a:off x="5212650" y="3656175"/>
                          <a:ext cx="266700" cy="2476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B</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5038408</wp:posOffset>
                </wp:positionH>
                <wp:positionV relativeFrom="paragraph">
                  <wp:posOffset>2072958</wp:posOffset>
                </wp:positionV>
                <wp:extent cx="285750" cy="266700"/>
                <wp:effectExtent b="0" l="0" r="0" t="0"/>
                <wp:wrapNone/>
                <wp:docPr id="1039"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285750" cy="266700"/>
                        </a:xfrm>
                        <a:prstGeom prst="rect"/>
                        <a:ln/>
                      </pic:spPr>
                    </pic:pic>
                  </a:graphicData>
                </a:graphic>
              </wp:anchor>
            </w:drawing>
          </mc:Fallback>
        </mc:AlternateContent>
      </w:r>
    </w:p>
    <w:p w:rsidR="00000000" w:rsidDel="00000000" w:rsidP="00000000" w:rsidRDefault="00000000" w:rsidRPr="00000000" w14:paraId="000000C6">
      <w:pPr>
        <w:spacing w:line="36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2426335" cy="2387600"/>
            <wp:effectExtent b="0" l="0" r="0" t="0"/>
            <wp:docPr id="104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426335" cy="2387600"/>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2393950" cy="2406650"/>
            <wp:effectExtent b="0" l="0" r="0" t="0"/>
            <wp:docPr id="104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393950" cy="24066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5076508</wp:posOffset>
                </wp:positionH>
                <wp:positionV relativeFrom="paragraph">
                  <wp:posOffset>2106613</wp:posOffset>
                </wp:positionV>
                <wp:extent cx="279400" cy="260350"/>
                <wp:effectExtent b="0" l="0" r="0" t="0"/>
                <wp:wrapNone/>
                <wp:docPr id="1038" name=""/>
                <a:graphic>
                  <a:graphicData uri="http://schemas.microsoft.com/office/word/2010/wordprocessingShape">
                    <wps:wsp>
                      <wps:cNvSpPr/>
                      <wps:cNvPr id="5" name="Shape 5"/>
                      <wps:spPr>
                        <a:xfrm>
                          <a:off x="5215825" y="3659350"/>
                          <a:ext cx="260350" cy="241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5076508</wp:posOffset>
                </wp:positionH>
                <wp:positionV relativeFrom="paragraph">
                  <wp:posOffset>2106613</wp:posOffset>
                </wp:positionV>
                <wp:extent cx="279400" cy="260350"/>
                <wp:effectExtent b="0" l="0" r="0" t="0"/>
                <wp:wrapNone/>
                <wp:docPr id="1038"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79400" cy="26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2403158</wp:posOffset>
                </wp:positionH>
                <wp:positionV relativeFrom="paragraph">
                  <wp:posOffset>2074863</wp:posOffset>
                </wp:positionV>
                <wp:extent cx="285750" cy="266700"/>
                <wp:effectExtent b="0" l="0" r="0" t="0"/>
                <wp:wrapNone/>
                <wp:docPr id="1035" name=""/>
                <a:graphic>
                  <a:graphicData uri="http://schemas.microsoft.com/office/word/2010/wordprocessingShape">
                    <wps:wsp>
                      <wps:cNvSpPr/>
                      <wps:cNvPr id="2" name="Shape 2"/>
                      <wps:spPr>
                        <a:xfrm>
                          <a:off x="5212650" y="3656175"/>
                          <a:ext cx="266700" cy="2476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C</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2403158</wp:posOffset>
                </wp:positionH>
                <wp:positionV relativeFrom="paragraph">
                  <wp:posOffset>2074863</wp:posOffset>
                </wp:positionV>
                <wp:extent cx="285750" cy="266700"/>
                <wp:effectExtent b="0" l="0" r="0" t="0"/>
                <wp:wrapNone/>
                <wp:docPr id="103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85750" cy="266700"/>
                        </a:xfrm>
                        <a:prstGeom prst="rect"/>
                        <a:ln/>
                      </pic:spPr>
                    </pic:pic>
                  </a:graphicData>
                </a:graphic>
              </wp:anchor>
            </w:drawing>
          </mc:Fallback>
        </mc:AlternateContent>
      </w:r>
    </w:p>
    <w:p w:rsidR="00000000" w:rsidDel="00000000" w:rsidP="00000000" w:rsidRDefault="00000000" w:rsidRPr="00000000" w14:paraId="000000C7">
      <w:pPr>
        <w:spacing w:line="360" w:lineRule="auto"/>
        <w:ind w:left="720" w:firstLine="0"/>
        <w:jc w:val="center"/>
        <w:rPr>
          <w:rFonts w:ascii="Times New Roman" w:cs="Times New Roman" w:eastAsia="Times New Roman" w:hAnsi="Times New Roman"/>
          <w:b w:val="0"/>
          <w:bCs w:val="0"/>
          <w:i w:val="0"/>
          <w:iCs w:val="0"/>
          <w:color w:val="000000"/>
          <w:sz w:val="24"/>
          <w:szCs w:val="24"/>
          <w:vertAlign w:val="baseline"/>
        </w:rPr>
      </w:pPr>
      <w:r w:rsidDel="00000000" w:rsidR="00000000" w:rsidRPr="00000000">
        <w:rPr>
          <w:rFonts w:ascii="Times New Roman" w:cs="Times New Roman" w:eastAsia="Times New Roman" w:hAnsi="Times New Roman"/>
          <w:b w:val="1"/>
          <w:bCs w:val="1"/>
          <w:i w:val="1"/>
          <w:iCs w:val="1"/>
          <w:color w:val="000000"/>
          <w:sz w:val="24"/>
          <w:szCs w:val="24"/>
          <w:vertAlign w:val="baseline"/>
          <w:rtl w:val="0"/>
        </w:rPr>
        <w:t xml:space="preserve">K. pneumoniae</w:t>
      </w:r>
      <w:r w:rsidDel="00000000" w:rsidR="00000000" w:rsidRPr="00000000">
        <w:rPr>
          <w:rFonts w:ascii="Times New Roman" w:cs="Times New Roman" w:eastAsia="Times New Roman" w:hAnsi="Times New Roman"/>
          <w:b w:val="1"/>
          <w:bCs w:val="1"/>
          <w:color w:val="000000"/>
          <w:sz w:val="24"/>
          <w:szCs w:val="24"/>
          <w:vertAlign w:val="baseline"/>
          <w:rtl w:val="0"/>
        </w:rPr>
        <w:t xml:space="preserve">;</w:t>
      </w:r>
      <w:r w:rsidDel="00000000" w:rsidR="00000000" w:rsidRPr="00000000">
        <w:rPr>
          <w:rFonts w:ascii="Times New Roman" w:cs="Times New Roman" w:eastAsia="Times New Roman" w:hAnsi="Times New Roman"/>
          <w:b w:val="1"/>
          <w:bCs w:val="1"/>
          <w:i w:val="1"/>
          <w:iCs w:val="1"/>
          <w:color w:val="000000"/>
          <w:sz w:val="24"/>
          <w:szCs w:val="24"/>
          <w:vertAlign w:val="baseline"/>
          <w:rtl w:val="0"/>
        </w:rPr>
        <w:t xml:space="preserve"> </w:t>
      </w:r>
      <w:r w:rsidDel="00000000" w:rsidR="00000000" w:rsidRPr="00000000">
        <w:rPr>
          <w:rFonts w:ascii="Times New Roman" w:cs="Times New Roman" w:eastAsia="Times New Roman" w:hAnsi="Times New Roman"/>
          <w:b w:val="1"/>
          <w:bCs w:val="1"/>
          <w:color w:val="000000"/>
          <w:sz w:val="24"/>
          <w:szCs w:val="24"/>
          <w:vertAlign w:val="baseline"/>
          <w:rtl w:val="0"/>
        </w:rPr>
        <w:t xml:space="preserve">B)</w:t>
      </w:r>
      <w:r w:rsidDel="00000000" w:rsidR="00000000" w:rsidRPr="00000000">
        <w:rPr>
          <w:rFonts w:ascii="Times New Roman" w:cs="Times New Roman" w:eastAsia="Times New Roman" w:hAnsi="Times New Roman"/>
          <w:b w:val="1"/>
          <w:bCs w:val="1"/>
          <w:i w:val="1"/>
          <w:iCs w:val="1"/>
          <w:color w:val="000000"/>
          <w:sz w:val="24"/>
          <w:szCs w:val="24"/>
          <w:vertAlign w:val="baseline"/>
          <w:rtl w:val="0"/>
        </w:rPr>
        <w:t xml:space="preserve"> E. coli</w:t>
      </w:r>
      <w:r w:rsidDel="00000000" w:rsidR="00000000" w:rsidRPr="00000000">
        <w:rPr>
          <w:rFonts w:ascii="Times New Roman" w:cs="Times New Roman" w:eastAsia="Times New Roman" w:hAnsi="Times New Roman"/>
          <w:b w:val="1"/>
          <w:bCs w:val="1"/>
          <w:color w:val="000000"/>
          <w:sz w:val="24"/>
          <w:szCs w:val="24"/>
          <w:vertAlign w:val="baseline"/>
          <w:rtl w:val="0"/>
        </w:rPr>
        <w:t xml:space="preserve">;</w:t>
      </w:r>
      <w:r w:rsidDel="00000000" w:rsidR="00000000" w:rsidRPr="00000000">
        <w:rPr>
          <w:rFonts w:ascii="Times New Roman" w:cs="Times New Roman" w:eastAsia="Times New Roman" w:hAnsi="Times New Roman"/>
          <w:b w:val="1"/>
          <w:bCs w:val="1"/>
          <w:i w:val="1"/>
          <w:iCs w:val="1"/>
          <w:color w:val="000000"/>
          <w:sz w:val="24"/>
          <w:szCs w:val="24"/>
          <w:vertAlign w:val="baseline"/>
          <w:rtl w:val="0"/>
        </w:rPr>
        <w:t xml:space="preserve"> </w:t>
      </w:r>
      <w:r w:rsidDel="00000000" w:rsidR="00000000" w:rsidRPr="00000000">
        <w:rPr>
          <w:rFonts w:ascii="Times New Roman" w:cs="Times New Roman" w:eastAsia="Times New Roman" w:hAnsi="Times New Roman"/>
          <w:b w:val="1"/>
          <w:bCs w:val="1"/>
          <w:color w:val="000000"/>
          <w:sz w:val="24"/>
          <w:szCs w:val="24"/>
          <w:vertAlign w:val="baseline"/>
          <w:rtl w:val="0"/>
        </w:rPr>
        <w:t xml:space="preserve">C)</w:t>
      </w:r>
      <w:r w:rsidDel="00000000" w:rsidR="00000000" w:rsidRPr="00000000">
        <w:rPr>
          <w:rFonts w:ascii="Times New Roman" w:cs="Times New Roman" w:eastAsia="Times New Roman" w:hAnsi="Times New Roman"/>
          <w:b w:val="1"/>
          <w:bCs w:val="1"/>
          <w:i w:val="1"/>
          <w:iCs w:val="1"/>
          <w:color w:val="000000"/>
          <w:sz w:val="24"/>
          <w:szCs w:val="24"/>
          <w:vertAlign w:val="baseline"/>
          <w:rtl w:val="0"/>
        </w:rPr>
        <w:t xml:space="preserve"> S. aureus</w:t>
      </w:r>
      <w:r w:rsidDel="00000000" w:rsidR="00000000" w:rsidRPr="00000000">
        <w:rPr>
          <w:rFonts w:ascii="Times New Roman" w:cs="Times New Roman" w:eastAsia="Times New Roman" w:hAnsi="Times New Roman"/>
          <w:b w:val="1"/>
          <w:bCs w:val="1"/>
          <w:color w:val="000000"/>
          <w:sz w:val="24"/>
          <w:szCs w:val="24"/>
          <w:vertAlign w:val="baseline"/>
          <w:rtl w:val="0"/>
        </w:rPr>
        <w:t xml:space="preserve">;</w:t>
      </w:r>
      <w:r w:rsidDel="00000000" w:rsidR="00000000" w:rsidRPr="00000000">
        <w:rPr>
          <w:rFonts w:ascii="Times New Roman" w:cs="Times New Roman" w:eastAsia="Times New Roman" w:hAnsi="Times New Roman"/>
          <w:b w:val="1"/>
          <w:bCs w:val="1"/>
          <w:i w:val="1"/>
          <w:iCs w:val="1"/>
          <w:color w:val="000000"/>
          <w:sz w:val="24"/>
          <w:szCs w:val="24"/>
          <w:vertAlign w:val="baseline"/>
          <w:rtl w:val="0"/>
        </w:rPr>
        <w:t xml:space="preserve"> </w:t>
      </w:r>
      <w:r w:rsidDel="00000000" w:rsidR="00000000" w:rsidRPr="00000000">
        <w:rPr>
          <w:rFonts w:ascii="Times New Roman" w:cs="Times New Roman" w:eastAsia="Times New Roman" w:hAnsi="Times New Roman"/>
          <w:b w:val="1"/>
          <w:bCs w:val="1"/>
          <w:color w:val="000000"/>
          <w:sz w:val="24"/>
          <w:szCs w:val="24"/>
          <w:vertAlign w:val="baseline"/>
          <w:rtl w:val="0"/>
        </w:rPr>
        <w:t xml:space="preserve">D)</w:t>
      </w:r>
      <w:r w:rsidDel="00000000" w:rsidR="00000000" w:rsidRPr="00000000">
        <w:rPr>
          <w:rFonts w:ascii="Times New Roman" w:cs="Times New Roman" w:eastAsia="Times New Roman" w:hAnsi="Times New Roman"/>
          <w:b w:val="1"/>
          <w:bCs w:val="1"/>
          <w:i w:val="1"/>
          <w:iCs w:val="1"/>
          <w:color w:val="000000"/>
          <w:sz w:val="24"/>
          <w:szCs w:val="24"/>
          <w:vertAlign w:val="baseline"/>
          <w:rtl w:val="0"/>
        </w:rPr>
        <w:t xml:space="preserve"> P. mirabilis</w:t>
      </w:r>
      <w:r w:rsidDel="00000000" w:rsidR="00000000" w:rsidRPr="00000000">
        <w:rPr>
          <w:rtl w:val="0"/>
        </w:rPr>
      </w:r>
    </w:p>
    <w:p w:rsidR="00000000" w:rsidDel="00000000" w:rsidP="00000000" w:rsidRDefault="00000000" w:rsidRPr="00000000" w14:paraId="000000C8">
      <w:pPr>
        <w:spacing w:line="360" w:lineRule="auto"/>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bCs w:val="1"/>
          <w:sz w:val="24"/>
          <w:szCs w:val="24"/>
          <w:vertAlign w:val="baseline"/>
          <w:rtl w:val="0"/>
        </w:rPr>
        <w:t xml:space="preserve">Figure 2 Zone of inhibition by </w:t>
      </w:r>
      <w:r w:rsidDel="00000000" w:rsidR="00000000" w:rsidRPr="00000000">
        <w:rPr>
          <w:rFonts w:ascii="Times New Roman" w:cs="Times New Roman" w:eastAsia="Times New Roman" w:hAnsi="Times New Roman"/>
          <w:b w:val="1"/>
          <w:bCs w:val="1"/>
          <w:i w:val="1"/>
          <w:iCs w:val="1"/>
          <w:sz w:val="24"/>
          <w:szCs w:val="24"/>
          <w:vertAlign w:val="baseline"/>
          <w:rtl w:val="0"/>
        </w:rPr>
        <w:t xml:space="preserve">L. inermis</w:t>
      </w:r>
      <w:r w:rsidDel="00000000" w:rsidR="00000000" w:rsidRPr="00000000">
        <w:rPr>
          <w:rFonts w:ascii="Times New Roman" w:cs="Times New Roman" w:eastAsia="Times New Roman" w:hAnsi="Times New Roman"/>
          <w:b w:val="1"/>
          <w:bCs w:val="1"/>
          <w:sz w:val="24"/>
          <w:szCs w:val="24"/>
          <w:vertAlign w:val="baseline"/>
          <w:rtl w:val="0"/>
        </w:rPr>
        <w:t xml:space="preserve"> extract against drug resistant bacteria</w:t>
      </w:r>
      <w:r w:rsidDel="00000000" w:rsidR="00000000" w:rsidRPr="00000000">
        <w:rPr>
          <w:rtl w:val="0"/>
        </w:rPr>
      </w:r>
    </w:p>
    <w:p w:rsidR="00000000" w:rsidDel="00000000" w:rsidP="00000000" w:rsidRDefault="00000000" w:rsidRPr="00000000" w14:paraId="000000C9">
      <w:pPr>
        <w:spacing w:line="360" w:lineRule="auto"/>
        <w:jc w:val="center"/>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Pr>
        <w:drawing>
          <wp:inline distB="0" distT="0" distL="114300" distR="114300">
            <wp:extent cx="4610100" cy="2615565"/>
            <wp:effectExtent b="12700" l="12700" r="12700" t="12700"/>
            <wp:docPr id="104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4610100" cy="261556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A">
      <w:pPr>
        <w:spacing w:line="360" w:lineRule="auto"/>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Figure 3 Antibacterial activity of methanol extract of </w:t>
      </w:r>
      <w:r w:rsidDel="00000000" w:rsidR="00000000" w:rsidRPr="00000000">
        <w:rPr>
          <w:rFonts w:ascii="Times New Roman" w:cs="Times New Roman" w:eastAsia="Times New Roman" w:hAnsi="Times New Roman"/>
          <w:b w:val="1"/>
          <w:bCs w:val="1"/>
          <w:i w:val="1"/>
          <w:iCs w:val="1"/>
          <w:sz w:val="24"/>
          <w:szCs w:val="24"/>
          <w:vertAlign w:val="baseline"/>
          <w:rtl w:val="0"/>
        </w:rPr>
        <w:t xml:space="preserve">L. inermis</w:t>
      </w:r>
      <w:r w:rsidDel="00000000" w:rsidR="00000000" w:rsidRPr="00000000">
        <w:rPr>
          <w:rFonts w:ascii="Times New Roman" w:cs="Times New Roman" w:eastAsia="Times New Roman" w:hAnsi="Times New Roman"/>
          <w:b w:val="1"/>
          <w:bCs w:val="1"/>
          <w:sz w:val="24"/>
          <w:szCs w:val="24"/>
          <w:vertAlign w:val="baseline"/>
          <w:rtl w:val="0"/>
        </w:rPr>
        <w:t xml:space="preserve">. Values are expressed as mean ± SE of triplicates in each group.</w:t>
      </w:r>
      <w:r w:rsidDel="00000000" w:rsidR="00000000" w:rsidRPr="00000000">
        <w:rPr>
          <w:rtl w:val="0"/>
        </w:rPr>
      </w:r>
    </w:p>
    <w:p w:rsidR="00000000" w:rsidDel="00000000" w:rsidP="00000000" w:rsidRDefault="00000000" w:rsidRPr="00000000" w14:paraId="000000CB">
      <w:pPr>
        <w:numPr>
          <w:ilvl w:val="1"/>
          <w:numId w:val="1"/>
        </w:numPr>
        <w:spacing w:line="360" w:lineRule="auto"/>
        <w:ind w:left="0" w:firstLine="0"/>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Antioxidant Activity</w:t>
      </w:r>
      <w:r w:rsidDel="00000000" w:rsidR="00000000" w:rsidRPr="00000000">
        <w:rPr>
          <w:rtl w:val="0"/>
        </w:rPr>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presence of phenolics, flavonoids, and various other bioactive molecules in plants is widely recognized for contributing to strong antioxidant activity, primarily through neutralizing free radicals and preventing lipid peroxidation, thereby reducing oxidative stress–related cellular deterioration (Gupta and Sharma, 2006). As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is traditionally known to be rich in polyphenolic and flavonoid constituents, its methanolic extract was evaluated for antioxidant capacity and compared with the standard antioxidant, L-ascorbic acid. Antioxidant strength is often quantified using IC₅₀ values, where lower values reflect greater radical scavenging efficiency. In this study, the methanolic extract of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demonstrated a concentration-dependent increase in antioxidant activity. At the lowest concentration tested (20 μg/ml), the extract produced a scavenging activity of 81.19 ± 0.24, slightly surpassing that of L-ascorbic acid (75.45 ± 0.22). At the intermediate concentration of 40 μg/ml, the extract continued to show considerable antioxidant effectiveness with a value of 64.29 ± 0.24, again higher than the standard (50.17 ± 0.23). The difference became more evident at the highest concentration of 80 μg/ml, where the extract achieved a scavenging activity of 34.21 ± 1.61, compared to 23.05 ± 0.31 for L-ascorbic acid. The consistent reduction in absorbance and the corresponding rise in radical scavenging percentages across the tested concentrations confirm that </w:t>
      </w:r>
      <w:r w:rsidDel="00000000" w:rsidR="00000000" w:rsidRPr="00000000">
        <w:rPr>
          <w:rFonts w:ascii="Times New Roman" w:cs="Times New Roman" w:eastAsia="Times New Roman" w:hAnsi="Times New Roman"/>
          <w:i w:val="1"/>
          <w:iCs w:val="1"/>
          <w:sz w:val="24"/>
          <w:szCs w:val="24"/>
          <w:vertAlign w:val="baseline"/>
          <w:rtl w:val="0"/>
        </w:rPr>
        <w:t xml:space="preserve">L. inermis</w:t>
      </w:r>
      <w:r w:rsidDel="00000000" w:rsidR="00000000" w:rsidRPr="00000000">
        <w:rPr>
          <w:rFonts w:ascii="Times New Roman" w:cs="Times New Roman" w:eastAsia="Times New Roman" w:hAnsi="Times New Roman"/>
          <w:sz w:val="24"/>
          <w:szCs w:val="24"/>
          <w:vertAlign w:val="baseline"/>
          <w:rtl w:val="0"/>
        </w:rPr>
        <w:t xml:space="preserve"> exhibits notable antioxidant capability, at times exceeding that of the standard compound. The triplicate mean values reinforce this pattern (</w:t>
      </w:r>
      <w:r w:rsidDel="00000000" w:rsidR="00000000" w:rsidRPr="00000000">
        <w:rPr>
          <w:rFonts w:ascii="Times New Roman" w:cs="Times New Roman" w:eastAsia="Times New Roman" w:hAnsi="Times New Roman"/>
          <w:sz w:val="24"/>
          <w:szCs w:val="24"/>
          <w:rtl w:val="0"/>
        </w:rPr>
        <w:t xml:space="preserve">Table 3)</w:t>
      </w:r>
      <w:r w:rsidDel="00000000" w:rsidR="00000000" w:rsidRPr="00000000">
        <w:rPr>
          <w:rFonts w:ascii="Times New Roman" w:cs="Times New Roman" w:eastAsia="Times New Roman" w:hAnsi="Times New Roman"/>
          <w:sz w:val="24"/>
          <w:szCs w:val="24"/>
          <w:vertAlign w:val="baseline"/>
          <w:rtl w:val="0"/>
        </w:rPr>
        <w:t xml:space="preserve">. Overall, these results indicate that the abundant phenolic and flavonoid content of the methanolic extract significantly contributes to its antioxidant efficacy, supporting its traditional application in managing oxidative stress associated conditions. </w:t>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360" w:lineRule="auto"/>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Table 3 DPPH free radical scavenging assay of methanol extract of </w:t>
      </w:r>
      <w:r w:rsidDel="00000000" w:rsidR="00000000" w:rsidRPr="00000000">
        <w:rPr>
          <w:rFonts w:ascii="Times New Roman" w:cs="Times New Roman" w:eastAsia="Times New Roman" w:hAnsi="Times New Roman"/>
          <w:b w:val="1"/>
          <w:bCs w:val="1"/>
          <w:i w:val="1"/>
          <w:iCs w:val="1"/>
          <w:sz w:val="24"/>
          <w:szCs w:val="24"/>
          <w:highlight w:val="yellow"/>
          <w:rtl w:val="0"/>
        </w:rPr>
        <w:t xml:space="preserve">L. inermis</w:t>
      </w:r>
      <w:r w:rsidDel="00000000" w:rsidR="00000000" w:rsidRPr="00000000">
        <w:rPr>
          <w:rFonts w:ascii="Times" w:cs="Times" w:eastAsia="Times" w:hAnsi="Times"/>
          <w:b w:val="1"/>
          <w:bCs w:val="1"/>
          <w:i w:val="1"/>
          <w:iCs w:val="1"/>
          <w:sz w:val="24"/>
          <w:szCs w:val="24"/>
          <w:highlight w:val="yellow"/>
          <w:rtl w:val="0"/>
        </w:rPr>
        <w:t xml:space="preserve"> </w:t>
      </w:r>
      <w:r w:rsidDel="00000000" w:rsidR="00000000" w:rsidRPr="00000000">
        <w:rPr>
          <w:rFonts w:ascii="Times" w:cs="Times" w:eastAsia="Times" w:hAnsi="Times"/>
          <w:b w:val="1"/>
          <w:bCs w:val="1"/>
          <w:sz w:val="24"/>
          <w:szCs w:val="24"/>
          <w:highlight w:val="yellow"/>
          <w:rtl w:val="0"/>
        </w:rPr>
        <w:t xml:space="preserve">and standard (L-Ascorbic  acid). </w:t>
      </w:r>
      <w:r w:rsidDel="00000000" w:rsidR="00000000" w:rsidRPr="00000000">
        <w:rPr>
          <w:rFonts w:ascii="Times New Roman" w:cs="Times New Roman" w:eastAsia="Times New Roman" w:hAnsi="Times New Roman"/>
          <w:b w:val="1"/>
          <w:bCs w:val="1"/>
          <w:sz w:val="24"/>
          <w:szCs w:val="24"/>
          <w:highlight w:val="yellow"/>
          <w:rtl w:val="0"/>
        </w:rPr>
        <w:t xml:space="preserve">Values are expressed as mean ± SE of triplicates in each group.</w:t>
      </w:r>
      <w:r w:rsidDel="00000000" w:rsidR="00000000" w:rsidRPr="00000000">
        <w:rPr>
          <w:rtl w:val="0"/>
        </w:rPr>
      </w:r>
    </w:p>
    <w:tbl>
      <w:tblPr>
        <w:tblStyle w:val="Table3"/>
        <w:tblW w:w="94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0"/>
        <w:gridCol w:w="2835"/>
        <w:gridCol w:w="3390"/>
        <w:tblGridChange w:id="0">
          <w:tblGrid>
            <w:gridCol w:w="3240"/>
            <w:gridCol w:w="2835"/>
            <w:gridCol w:w="3390"/>
          </w:tblGrid>
        </w:tblGridChange>
      </w:tblGrid>
      <w:tr>
        <w:trPr>
          <w:cantSplit w:val="0"/>
          <w:trHeight w:val="1257.2137500000001" w:hRule="atLeast"/>
          <w:tblHeader w:val="0"/>
        </w:trPr>
        <w:tc>
          <w:tcPr>
            <w:tcBorders>
              <w:top w:color="000000" w:space="0" w:sz="7" w:val="single"/>
              <w:left w:color="000000" w:space="0" w:sz="0" w:val="nil"/>
              <w:bottom w:color="000000" w:space="0" w:sz="7"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spacing w:after="240" w:before="2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Antioxidant concentration (µg/mL)</w:t>
            </w:r>
          </w:p>
        </w:tc>
        <w:tc>
          <w:tcPr>
            <w:tcBorders>
              <w:top w:color="000000" w:space="0" w:sz="7" w:val="single"/>
              <w:left w:color="000000" w:space="0" w:sz="0" w:val="nil"/>
              <w:bottom w:color="000000" w:space="0" w:sz="7"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spacing w:after="240" w:before="240" w:line="360" w:lineRule="auto"/>
              <w:jc w:val="center"/>
              <w:rPr>
                <w:rFonts w:ascii="Times" w:cs="Times" w:eastAsia="Times" w:hAnsi="Times"/>
                <w:b w:val="1"/>
                <w:bCs w:val="1"/>
                <w:i w:val="1"/>
                <w:iCs w:val="1"/>
                <w:sz w:val="24"/>
                <w:szCs w:val="24"/>
                <w:highlight w:val="yellow"/>
              </w:rPr>
            </w:pPr>
            <w:r w:rsidDel="00000000" w:rsidR="00000000" w:rsidRPr="00000000">
              <w:rPr>
                <w:rFonts w:ascii="Times" w:cs="Times" w:eastAsia="Times" w:hAnsi="Times"/>
                <w:b w:val="1"/>
                <w:bCs w:val="1"/>
                <w:sz w:val="24"/>
                <w:szCs w:val="24"/>
                <w:highlight w:val="yellow"/>
                <w:rtl w:val="0"/>
              </w:rPr>
              <w:t xml:space="preserve">Radical scavenging activity by </w:t>
            </w:r>
            <w:r w:rsidDel="00000000" w:rsidR="00000000" w:rsidRPr="00000000">
              <w:rPr>
                <w:rFonts w:ascii="Times New Roman" w:cs="Times New Roman" w:eastAsia="Times New Roman" w:hAnsi="Times New Roman"/>
                <w:b w:val="1"/>
                <w:bCs w:val="1"/>
                <w:i w:val="1"/>
                <w:iCs w:val="1"/>
                <w:sz w:val="24"/>
                <w:szCs w:val="24"/>
                <w:highlight w:val="yellow"/>
                <w:rtl w:val="0"/>
              </w:rPr>
              <w:t xml:space="preserve">L. inermis</w:t>
            </w:r>
            <w:r w:rsidDel="00000000" w:rsidR="00000000" w:rsidRPr="00000000">
              <w:rPr>
                <w:rFonts w:ascii="Times" w:cs="Times" w:eastAsia="Times" w:hAnsi="Times"/>
                <w:b w:val="1"/>
                <w:bCs w:val="1"/>
                <w:i w:val="1"/>
                <w:iCs w:val="1"/>
                <w:sz w:val="24"/>
                <w:szCs w:val="24"/>
                <w:highlight w:val="yellow"/>
                <w:rtl w:val="0"/>
              </w:rPr>
              <w:t xml:space="preserve"> </w:t>
            </w:r>
          </w:p>
        </w:tc>
        <w:tc>
          <w:tcPr>
            <w:tcBorders>
              <w:top w:color="000000" w:space="0" w:sz="7" w:val="single"/>
              <w:left w:color="000000" w:space="0" w:sz="0" w:val="nil"/>
              <w:bottom w:color="000000" w:space="0" w:sz="7"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1">
            <w:pPr>
              <w:spacing w:after="240" w:before="2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Radical scavenging activity by L-Ascorbic acid</w:t>
            </w:r>
          </w:p>
        </w:tc>
      </w:tr>
      <w:tr>
        <w:trPr>
          <w:cantSplit w:val="0"/>
          <w:trHeight w:val="10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spacing w:after="240" w:before="2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spacing w:after="240" w:before="240" w:line="360" w:lineRule="auto"/>
              <w:jc w:val="center"/>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81.19 ± 0.24</w:t>
            </w:r>
          </w:p>
          <w:p w:rsidR="00000000" w:rsidDel="00000000" w:rsidP="00000000" w:rsidRDefault="00000000" w:rsidRPr="00000000" w14:paraId="000000D4">
            <w:pPr>
              <w:spacing w:after="240" w:before="1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w:t>
            </w:r>
            <w:r w:rsidDel="00000000" w:rsidR="00000000" w:rsidRPr="00000000">
              <w:rPr>
                <w:rFonts w:ascii="Times New Roman" w:cs="Times New Roman" w:eastAsia="Times New Roman" w:hAnsi="Times New Roman"/>
                <w:b w:val="1"/>
                <w:bCs w:val="1"/>
                <w:sz w:val="24"/>
                <w:szCs w:val="24"/>
                <w:highlight w:val="yellow"/>
                <w:rtl w:val="0"/>
              </w:rPr>
              <w:t xml:space="preserve">18.81</w:t>
            </w:r>
            <w:r w:rsidDel="00000000" w:rsidR="00000000" w:rsidRPr="00000000">
              <w:rPr>
                <w:rFonts w:ascii="Times" w:cs="Times" w:eastAsia="Times" w:hAnsi="Times"/>
                <w:b w:val="1"/>
                <w:bCs w:val="1"/>
                <w:sz w:val="24"/>
                <w:szCs w:val="24"/>
                <w:highlight w:val="yellow"/>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5">
            <w:pPr>
              <w:spacing w:after="240" w:before="240" w:line="360" w:lineRule="auto"/>
              <w:jc w:val="center"/>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75.45 ± 0.22</w:t>
            </w:r>
          </w:p>
          <w:p w:rsidR="00000000" w:rsidDel="00000000" w:rsidP="00000000" w:rsidRDefault="00000000" w:rsidRPr="00000000" w14:paraId="000000D6">
            <w:pPr>
              <w:spacing w:after="240" w:before="1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w:t>
            </w:r>
            <w:r w:rsidDel="00000000" w:rsidR="00000000" w:rsidRPr="00000000">
              <w:rPr>
                <w:rFonts w:ascii="Times New Roman" w:cs="Times New Roman" w:eastAsia="Times New Roman" w:hAnsi="Times New Roman"/>
                <w:b w:val="1"/>
                <w:bCs w:val="1"/>
                <w:sz w:val="24"/>
                <w:szCs w:val="24"/>
                <w:highlight w:val="yellow"/>
                <w:rtl w:val="0"/>
              </w:rPr>
              <w:t xml:space="preserve">24.55</w:t>
            </w:r>
            <w:r w:rsidDel="00000000" w:rsidR="00000000" w:rsidRPr="00000000">
              <w:rPr>
                <w:rFonts w:ascii="Times" w:cs="Times" w:eastAsia="Times" w:hAnsi="Times"/>
                <w:b w:val="1"/>
                <w:bCs w:val="1"/>
                <w:sz w:val="24"/>
                <w:szCs w:val="24"/>
                <w:highlight w:val="yellow"/>
                <w:rtl w:val="0"/>
              </w:rPr>
              <w:t xml:space="preserve">)</w:t>
            </w:r>
          </w:p>
        </w:tc>
      </w:tr>
      <w:tr>
        <w:trPr>
          <w:cantSplit w:val="0"/>
          <w:trHeight w:val="10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spacing w:after="240" w:before="2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spacing w:after="240" w:before="240" w:line="360" w:lineRule="auto"/>
              <w:jc w:val="center"/>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64.29 ± 0.24</w:t>
            </w:r>
          </w:p>
          <w:p w:rsidR="00000000" w:rsidDel="00000000" w:rsidP="00000000" w:rsidRDefault="00000000" w:rsidRPr="00000000" w14:paraId="000000D9">
            <w:pPr>
              <w:spacing w:after="240" w:before="1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(-35.71)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spacing w:after="240" w:before="240" w:line="360" w:lineRule="auto"/>
              <w:jc w:val="center"/>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50.17 ± 0.23</w:t>
            </w:r>
          </w:p>
          <w:p w:rsidR="00000000" w:rsidDel="00000000" w:rsidP="00000000" w:rsidRDefault="00000000" w:rsidRPr="00000000" w14:paraId="000000DB">
            <w:pPr>
              <w:spacing w:after="240" w:before="1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(-49.83)</w:t>
            </w:r>
          </w:p>
        </w:tc>
      </w:tr>
      <w:tr>
        <w:trPr>
          <w:cantSplit w:val="0"/>
          <w:trHeight w:val="1020" w:hRule="atLeast"/>
          <w:tblHeader w:val="0"/>
        </w:trPr>
        <w:tc>
          <w:tcPr>
            <w:tcBorders>
              <w:top w:color="000000" w:space="0" w:sz="0" w:val="nil"/>
              <w:left w:color="000000" w:space="0" w:sz="0" w:val="nil"/>
              <w:bottom w:color="000000" w:space="0" w:sz="7"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C">
            <w:pPr>
              <w:spacing w:after="240" w:before="2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80</w:t>
            </w:r>
          </w:p>
        </w:tc>
        <w:tc>
          <w:tcPr>
            <w:tcBorders>
              <w:top w:color="000000" w:space="0" w:sz="0" w:val="nil"/>
              <w:left w:color="000000" w:space="0" w:sz="0" w:val="nil"/>
              <w:bottom w:color="000000" w:space="0" w:sz="7"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D">
            <w:pPr>
              <w:spacing w:after="240" w:before="240" w:line="360" w:lineRule="auto"/>
              <w:jc w:val="center"/>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34.21 ± 1.61</w:t>
            </w:r>
          </w:p>
          <w:p w:rsidR="00000000" w:rsidDel="00000000" w:rsidP="00000000" w:rsidRDefault="00000000" w:rsidRPr="00000000" w14:paraId="000000DE">
            <w:pPr>
              <w:spacing w:after="240" w:before="1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w:t>
            </w:r>
            <w:r w:rsidDel="00000000" w:rsidR="00000000" w:rsidRPr="00000000">
              <w:rPr>
                <w:rFonts w:ascii="Times New Roman" w:cs="Times New Roman" w:eastAsia="Times New Roman" w:hAnsi="Times New Roman"/>
                <w:b w:val="1"/>
                <w:bCs w:val="1"/>
                <w:sz w:val="24"/>
                <w:szCs w:val="24"/>
                <w:highlight w:val="yellow"/>
                <w:rtl w:val="0"/>
              </w:rPr>
              <w:t xml:space="preserve">65.79</w:t>
            </w:r>
            <w:r w:rsidDel="00000000" w:rsidR="00000000" w:rsidRPr="00000000">
              <w:rPr>
                <w:rFonts w:ascii="Times" w:cs="Times" w:eastAsia="Times" w:hAnsi="Times"/>
                <w:b w:val="1"/>
                <w:bCs w:val="1"/>
                <w:sz w:val="24"/>
                <w:szCs w:val="24"/>
                <w:highlight w:val="yellow"/>
                <w:rtl w:val="0"/>
              </w:rPr>
              <w:t xml:space="preserve">)</w:t>
            </w:r>
          </w:p>
        </w:tc>
        <w:tc>
          <w:tcPr>
            <w:tcBorders>
              <w:top w:color="000000" w:space="0" w:sz="0" w:val="nil"/>
              <w:left w:color="000000" w:space="0" w:sz="0" w:val="nil"/>
              <w:bottom w:color="000000" w:space="0" w:sz="7"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F">
            <w:pPr>
              <w:spacing w:after="240" w:before="240" w:line="360" w:lineRule="auto"/>
              <w:jc w:val="center"/>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23.05 ± 0.31</w:t>
            </w:r>
          </w:p>
          <w:p w:rsidR="00000000" w:rsidDel="00000000" w:rsidP="00000000" w:rsidRDefault="00000000" w:rsidRPr="00000000" w14:paraId="000000E0">
            <w:pPr>
              <w:spacing w:after="240" w:before="140" w:line="360" w:lineRule="auto"/>
              <w:jc w:val="center"/>
              <w:rPr>
                <w:rFonts w:ascii="Times" w:cs="Times" w:eastAsia="Times" w:hAnsi="Times"/>
                <w:b w:val="1"/>
                <w:bCs w:val="1"/>
                <w:sz w:val="24"/>
                <w:szCs w:val="24"/>
                <w:highlight w:val="yellow"/>
              </w:rPr>
            </w:pPr>
            <w:r w:rsidDel="00000000" w:rsidR="00000000" w:rsidRPr="00000000">
              <w:rPr>
                <w:rFonts w:ascii="Times" w:cs="Times" w:eastAsia="Times" w:hAnsi="Times"/>
                <w:b w:val="1"/>
                <w:bCs w:val="1"/>
                <w:sz w:val="24"/>
                <w:szCs w:val="24"/>
                <w:highlight w:val="yellow"/>
                <w:rtl w:val="0"/>
              </w:rPr>
              <w:t xml:space="preserve">(-</w:t>
            </w:r>
            <w:r w:rsidDel="00000000" w:rsidR="00000000" w:rsidRPr="00000000">
              <w:rPr>
                <w:rFonts w:ascii="Times New Roman" w:cs="Times New Roman" w:eastAsia="Times New Roman" w:hAnsi="Times New Roman"/>
                <w:b w:val="1"/>
                <w:bCs w:val="1"/>
                <w:sz w:val="24"/>
                <w:szCs w:val="24"/>
                <w:highlight w:val="yellow"/>
                <w:rtl w:val="0"/>
              </w:rPr>
              <w:t xml:space="preserve">76.95</w:t>
            </w:r>
            <w:r w:rsidDel="00000000" w:rsidR="00000000" w:rsidRPr="00000000">
              <w:rPr>
                <w:rFonts w:ascii="Times" w:cs="Times" w:eastAsia="Times" w:hAnsi="Times"/>
                <w:b w:val="1"/>
                <w:bCs w:val="1"/>
                <w:sz w:val="24"/>
                <w:szCs w:val="24"/>
                <w:highlight w:val="yellow"/>
                <w:rtl w:val="0"/>
              </w:rPr>
              <w:t xml:space="preserve">)</w:t>
            </w:r>
          </w:p>
        </w:tc>
      </w:tr>
    </w:tbl>
    <w:p w:rsidR="00000000" w:rsidDel="00000000" w:rsidP="00000000" w:rsidRDefault="00000000" w:rsidRPr="00000000" w14:paraId="000000E1">
      <w:pPr>
        <w:spacing w:after="0" w:line="360" w:lineRule="auto"/>
        <w:rPr>
          <w:rFonts w:ascii="Times" w:cs="Times" w:eastAsia="Times" w:hAnsi="Times"/>
          <w:b w:val="1"/>
          <w:bCs w:val="1"/>
          <w:sz w:val="24"/>
          <w:szCs w:val="24"/>
        </w:rPr>
      </w:pPr>
      <w:r w:rsidDel="00000000" w:rsidR="00000000" w:rsidRPr="00000000">
        <w:rPr>
          <w:rtl w:val="0"/>
        </w:rPr>
      </w:r>
    </w:p>
    <w:p w:rsidR="00000000" w:rsidDel="00000000" w:rsidP="00000000" w:rsidRDefault="00000000" w:rsidRPr="00000000" w14:paraId="000000E2">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numPr>
          <w:ilvl w:val="0"/>
          <w:numId w:val="1"/>
        </w:numPr>
        <w:spacing w:line="360" w:lineRule="auto"/>
        <w:ind w:left="0" w:firstLine="0"/>
        <w:jc w:val="both"/>
        <w:rPr>
          <w:rFonts w:ascii="Times New Roman" w:cs="Times New Roman" w:eastAsia="Times New Roman" w:hAnsi="Times New Roman"/>
          <w:b w:val="0"/>
          <w:bCs w:val="0"/>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DISCUSSION</w:t>
      </w: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The global rise of antibiotic-resistant pathogens has emerged as a critical public health concern, largely fuelled by the excessive and often irrational use of synthetic antibiotics in clinical and veterinary settings (Yu et al., 2020). High-priority bacterial species such as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Staphylococcus aureus</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Pseudomonas aeruginosa</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Streptococcus pneumoniae</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Acinetobacter baumannii</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Enterococcus faecium</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Helicobacter pylori</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Salmonella</w:t>
      </w:r>
      <w:r w:rsidDel="00000000" w:rsidR="00000000" w:rsidRPr="00000000">
        <w:rPr>
          <w:rFonts w:ascii="Times New Roman" w:cs="Times New Roman" w:eastAsia="Times New Roman" w:hAnsi="Times New Roman"/>
          <w:sz w:val="24"/>
          <w:szCs w:val="24"/>
          <w:highlight w:val="yellow"/>
          <w:vertAlign w:val="baseline"/>
          <w:rtl w:val="0"/>
        </w:rPr>
        <w:t xml:space="preserve"> spp.,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Neisseria gonorrhoeae</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Haemophilus influenzae</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Shigella</w:t>
      </w:r>
      <w:r w:rsidDel="00000000" w:rsidR="00000000" w:rsidRPr="00000000">
        <w:rPr>
          <w:rFonts w:ascii="Times New Roman" w:cs="Times New Roman" w:eastAsia="Times New Roman" w:hAnsi="Times New Roman"/>
          <w:sz w:val="24"/>
          <w:szCs w:val="24"/>
          <w:highlight w:val="yellow"/>
          <w:vertAlign w:val="baseline"/>
          <w:rtl w:val="0"/>
        </w:rPr>
        <w:t xml:space="preserve"> spp. exhibit alarming levels of multidrug resistance</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sz w:val="24"/>
          <w:szCs w:val="24"/>
          <w:highlight w:val="yellow"/>
          <w:vertAlign w:val="baseline"/>
          <w:rtl w:val="0"/>
        </w:rPr>
        <w:t xml:space="preserve">(CDC, 2019). Environmental contamination has further intensified this crisis, as untreated hospital effluents, industrial discharges, agricultural pesticide residues, and vehicular emissions contribute to the accumulation of antibiotic residues and antimicrobial-resistant bacteria in soil and aquatic ecosystems, creating long-term ecological reservoirs that facilitate horizontal gene transfer and selection of resistant strains (</w:t>
      </w:r>
      <w:r w:rsidDel="00000000" w:rsidR="00000000" w:rsidRPr="00000000">
        <w:rPr>
          <w:rFonts w:ascii="Times New Roman" w:cs="Times New Roman" w:eastAsia="Times New Roman" w:hAnsi="Times New Roman"/>
          <w:sz w:val="24"/>
          <w:szCs w:val="24"/>
          <w:highlight w:val="yellow"/>
          <w:rtl w:val="0"/>
        </w:rPr>
        <w:t xml:space="preserve">Wiedenbeck et al., 2011; </w:t>
      </w:r>
      <w:r w:rsidDel="00000000" w:rsidR="00000000" w:rsidRPr="00000000">
        <w:rPr>
          <w:rFonts w:ascii="Times New Roman" w:cs="Times New Roman" w:eastAsia="Times New Roman" w:hAnsi="Times New Roman"/>
          <w:sz w:val="24"/>
          <w:szCs w:val="24"/>
          <w:highlight w:val="yellow"/>
          <w:vertAlign w:val="baseline"/>
          <w:rtl w:val="0"/>
        </w:rPr>
        <w:t xml:space="preserve">Gothwal et al., 2015; Said et al., 2016; Oyekale et al., 2017; Jonas et al., 2017</w:t>
      </w:r>
      <w:r w:rsidDel="00000000" w:rsidR="00000000" w:rsidRPr="00000000">
        <w:rPr>
          <w:rFonts w:ascii="Times New Roman" w:cs="Times New Roman" w:eastAsia="Times New Roman" w:hAnsi="Times New Roman"/>
          <w:sz w:val="24"/>
          <w:szCs w:val="24"/>
          <w:highlight w:val="yellow"/>
          <w:rtl w:val="0"/>
        </w:rPr>
        <w:t xml:space="preserve">;</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sz w:val="24"/>
          <w:szCs w:val="24"/>
          <w:highlight w:val="yellow"/>
          <w:rtl w:val="0"/>
        </w:rPr>
        <w:t xml:space="preserve">Hall et al., 2017; Saak et al., 2020)</w:t>
      </w:r>
      <w:r w:rsidDel="00000000" w:rsidR="00000000" w:rsidRPr="00000000">
        <w:rPr>
          <w:rFonts w:ascii="Times New Roman" w:cs="Times New Roman" w:eastAsia="Times New Roman" w:hAnsi="Times New Roman"/>
          <w:sz w:val="24"/>
          <w:szCs w:val="24"/>
          <w:highlight w:val="yellow"/>
          <w:vertAlign w:val="baseline"/>
          <w:rtl w:val="0"/>
        </w:rPr>
        <w:t xml:space="preserve">. Recent studies have reinforced these concerns, reporting high loads of antibiotic-resistant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 coli</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Klebsiella pneumoniae</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 aeruginosa</w:t>
      </w:r>
      <w:r w:rsidDel="00000000" w:rsidR="00000000" w:rsidRPr="00000000">
        <w:rPr>
          <w:rFonts w:ascii="Times New Roman" w:cs="Times New Roman" w:eastAsia="Times New Roman" w:hAnsi="Times New Roman"/>
          <w:sz w:val="24"/>
          <w:szCs w:val="24"/>
          <w:highlight w:val="yellow"/>
          <w:vertAlign w:val="baseline"/>
          <w:rtl w:val="0"/>
        </w:rPr>
        <w:t xml:space="preserve"> in hospital wastewater, along with clinically relevant resistance genes such as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bla TEM</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bla SHV</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mecA</w:t>
      </w:r>
      <w:r w:rsidDel="00000000" w:rsidR="00000000" w:rsidRPr="00000000">
        <w:rPr>
          <w:rFonts w:ascii="Times New Roman" w:cs="Times New Roman" w:eastAsia="Times New Roman" w:hAnsi="Times New Roman"/>
          <w:sz w:val="24"/>
          <w:szCs w:val="24"/>
          <w:highlight w:val="yellow"/>
          <w:vertAlign w:val="baseline"/>
          <w:rtl w:val="0"/>
        </w:rPr>
        <w:t xml:space="preserve">, underscoring the critical role of wastewater streams in environmental dissemination of resistance (Bansal, 2023; Hocquet et al., 2016; Hotor et al., 2025). Mechanistically, bacteria employ diverse strategies to evade antimicrobial action, including chromosomal or plasmid-encoded resistance determinants (Tajer et al., 2024; Mahlappu et al., 2016; Munita et al., 2016), enzymatic inactivation of drugs such as β-lactamases capable of hydrolysing penicillins, cephalosporins, and monobactams (Fischbach et al., 2009; Rahman et al., 2018), ribosomal target modification (Wilson, 2014), altered membrane permeability, enhanced efflux pump activity (Shriram et al., 2018), and structural alteration of antibiotic targets via methylation (Munita et al., 2016). Acquisition of the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mecA</w:t>
      </w:r>
      <w:r w:rsidDel="00000000" w:rsidR="00000000" w:rsidRPr="00000000">
        <w:rPr>
          <w:rFonts w:ascii="Times New Roman" w:cs="Times New Roman" w:eastAsia="Times New Roman" w:hAnsi="Times New Roman"/>
          <w:sz w:val="24"/>
          <w:szCs w:val="24"/>
          <w:highlight w:val="yellow"/>
          <w:vertAlign w:val="baseline"/>
          <w:rtl w:val="0"/>
        </w:rPr>
        <w:t xml:space="preserve"> gene, encoding a modified penicillin-binding protein (PBP2a), is a well-known example that has enabled the emergence of methicillin-resistant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(MRSA) (Moellering, 2012). While the complexity of resistance mechanisms continues to expand, the stagnation in antibiotic discovery, exacerbated by high development </w:t>
      </w:r>
      <w:r w:rsidDel="00000000" w:rsidR="00000000" w:rsidRPr="00000000">
        <w:rPr>
          <w:rFonts w:ascii="Times New Roman" w:cs="Times New Roman" w:eastAsia="Times New Roman" w:hAnsi="Times New Roman"/>
          <w:sz w:val="24"/>
          <w:szCs w:val="24"/>
          <w:highlight w:val="yellow"/>
          <w:rtl w:val="0"/>
        </w:rPr>
        <w:t xml:space="preserve">costs, has</w:t>
      </w:r>
      <w:r w:rsidDel="00000000" w:rsidR="00000000" w:rsidRPr="00000000">
        <w:rPr>
          <w:rFonts w:ascii="Times New Roman" w:cs="Times New Roman" w:eastAsia="Times New Roman" w:hAnsi="Times New Roman"/>
          <w:sz w:val="24"/>
          <w:szCs w:val="24"/>
          <w:highlight w:val="yellow"/>
          <w:vertAlign w:val="baseline"/>
          <w:rtl w:val="0"/>
        </w:rPr>
        <w:t xml:space="preserve"> intensified the need for alternative therapeutic strategies (WHO, 2020). In this context, medicinal plants have gained considerable attention as promising sources of novel antimicrobial compounds, owing to their rich diversity of bioactive phytochemicals such as alkaloids, flavonoids, phenolics, tannins, terpenoids, and coumarins, which possess antimicrobial, antioxidant, anti-inflammatory, antidiabetic, and anticancer properties (Perumal Samy &amp; Gopalkrishnakone, 2010; Domínguez-Perles et al., 2020; Mbaveng et al., 2015). Current reviews and experimental studies have highlighted the potent antibacterial and antibiofilm activities of plant-derived molecules, including alkaloids like piperine, terpenoids with membrane-disrupting actions, and phenolic compounds that interfere with quorum sensing, alongside growing evidence of synergistic interactions between phytochemicals and conventional antibiotics, which can restore drug susceptibility or reduce required dosages (Anand et al., 2019; Anand et al., 2020; Woo et al., 2023; Mohammed et al., 2021).</w:t>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These bioactive constituents of  </w:t>
      </w:r>
      <w:r w:rsidDel="00000000" w:rsidR="00000000" w:rsidRPr="00000000">
        <w:rPr>
          <w:rFonts w:ascii="Times New Roman" w:cs="Times New Roman" w:eastAsia="Times New Roman" w:hAnsi="Times New Roman"/>
          <w:i w:val="1"/>
          <w:iCs w:val="1"/>
          <w:sz w:val="24"/>
          <w:szCs w:val="24"/>
          <w:highlight w:val="yellow"/>
          <w:rtl w:val="0"/>
        </w:rPr>
        <w:t xml:space="preserve">L. inermis </w:t>
      </w:r>
      <w:r w:rsidDel="00000000" w:rsidR="00000000" w:rsidRPr="00000000">
        <w:rPr>
          <w:rFonts w:ascii="Times New Roman" w:cs="Times New Roman" w:eastAsia="Times New Roman" w:hAnsi="Times New Roman"/>
          <w:sz w:val="24"/>
          <w:szCs w:val="24"/>
          <w:highlight w:val="yellow"/>
          <w:vertAlign w:val="baseline"/>
          <w:rtl w:val="0"/>
        </w:rPr>
        <w:t xml:space="preserve">hold great potential for the development of novel antimicrobial and antioxidant agents. In the present work, comparative analysis of the three different solvent extracts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 </w:t>
      </w:r>
      <w:r w:rsidDel="00000000" w:rsidR="00000000" w:rsidRPr="00000000">
        <w:rPr>
          <w:rFonts w:ascii="Times New Roman" w:cs="Times New Roman" w:eastAsia="Times New Roman" w:hAnsi="Times New Roman"/>
          <w:sz w:val="24"/>
          <w:szCs w:val="24"/>
          <w:highlight w:val="yellow"/>
          <w:vertAlign w:val="baseline"/>
          <w:rtl w:val="0"/>
        </w:rPr>
        <w:t xml:space="preserve">viz. diethyl ether, methanol and hexane</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 </w:t>
      </w:r>
      <w:r w:rsidDel="00000000" w:rsidR="00000000" w:rsidRPr="00000000">
        <w:rPr>
          <w:rFonts w:ascii="Times New Roman" w:cs="Times New Roman" w:eastAsia="Times New Roman" w:hAnsi="Times New Roman"/>
          <w:sz w:val="24"/>
          <w:szCs w:val="24"/>
          <w:highlight w:val="yellow"/>
          <w:vertAlign w:val="baseline"/>
          <w:rtl w:val="0"/>
        </w:rPr>
        <w:t xml:space="preserve">revealed that the methanolic extract exhibited the highest phytochemical richness. It demonstrated a strong presence of alkaloids, flavonoids, phenolic compounds, tannins, saponins, and terpenoids, which is attributed by the superior extraction efficiency and solubility of these metabolites in methanol (Table 1). The abundance of these compounds correlates with the extract’s notable antibacterial activity and its potent free radical scavenging potential, suggesting that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could serve as an effective natural source for bioactive compounds useful in pharmaceutical applications. (Reddy et al., 2021) also reported a similar outcome in phytochemical screening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Gardenia latifolia</w:t>
      </w:r>
      <w:r w:rsidDel="00000000" w:rsidR="00000000" w:rsidRPr="00000000">
        <w:rPr>
          <w:rFonts w:ascii="Times New Roman" w:cs="Times New Roman" w:eastAsia="Times New Roman" w:hAnsi="Times New Roman"/>
          <w:sz w:val="24"/>
          <w:szCs w:val="24"/>
          <w:highlight w:val="yellow"/>
          <w:vertAlign w:val="baseline"/>
          <w:rtl w:val="0"/>
        </w:rPr>
        <w:t xml:space="preserve"> using methanol extract because of its rich spectrum of secondary metabolites, while hexane revealed no compounds, chloroform revealed the presence of phenols and flavonoids, and ethyl acetate revealed phenols, flavonoids, glycosides, and terpenoids. Studies by (Nesa et al., 2014) reveal that mice administered with 300 and 500 mg/kg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bark methanolic extract (MELIB) produced notable analgesic and sedative effects. This shows the efficacy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to be used in treating various sleep related disorders. A 250 mg/kg dosage of methanol leaf extract (MLELI) dramatically decreased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Trypanosoma congolense</w:t>
      </w:r>
      <w:r w:rsidDel="00000000" w:rsidR="00000000" w:rsidRPr="00000000">
        <w:rPr>
          <w:rFonts w:ascii="Times New Roman" w:cs="Times New Roman" w:eastAsia="Times New Roman" w:hAnsi="Times New Roman"/>
          <w:sz w:val="24"/>
          <w:szCs w:val="24"/>
          <w:highlight w:val="yellow"/>
          <w:vertAlign w:val="baseline"/>
          <w:rtl w:val="0"/>
        </w:rPr>
        <w:t xml:space="preserve"> parasitemia in an in vivo antitrypanosomal study by (Tauheed et al., 2016) in infected Wistar rats. Even at 5,000 mg/kg, acute toxicity tests revealed no toxicity or fatality, suggesting a large safety margin. Compared to non-polar solvents like hexane and chloroform, very polar solvents like methanol and ethanol produced noticeably greater total phenolic and flavonoid contents in maceration experiments, suggesting that many of its phytoconstituents are highly polar (Joyroy et al., 2025). Further supporting the dominance of polar chemicals, the crude methanol extract of L. inermis leaves had a significantly greater percentage yield (~17%) in fractionation work than its hexane (~0.66%) and ethyl acetate (~0.96%) fractions (Sharma &amp; Goel, 2018). In vitro assays using EBV-infected Raji cells showed that both crude henna leaf powder and isolated lawsone inhibited EBV‐early antigen activation by over 88% (Kapadia et al., 2013). Phytochemical studies by (Acharya et al., 2025; Ullah et al., 2025) have demonstrated that methanolic extracts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leaves contain rich concentrations of phenolic acids, flavonoids, terpenoids, naphthoquinones, and related bioactive constituents, all of which contributed to its antimicrobial activity. Additionally,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exhibits promising antioxidant and anticancer properties, attributed to phytochemicals such as gallic acid, catechin, quercetin, and lawsone, which display cytotoxicity against several human cancer cell lines including SW480 and A549 (Acharya et al., 2025</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sz w:val="24"/>
          <w:szCs w:val="24"/>
          <w:highlight w:val="yellow"/>
          <w:vertAlign w:val="baseline"/>
          <w:rtl w:val="0"/>
        </w:rPr>
        <w:t xml:space="preserve">Ullah et al., 2025). Thus, based on the referenced literature and our promising findings from the phytochemical analysis and GC–MS profiling of the methanolic extract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it can be strongly inferred that methanol is an effective and suitable solvent for isolating the highly polar bioactive constituents present in this genus.</w:t>
      </w:r>
    </w:p>
    <w:p w:rsidR="00000000" w:rsidDel="00000000" w:rsidP="00000000" w:rsidRDefault="00000000" w:rsidRPr="00000000" w14:paraId="000000E6">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GC-MS profiling using methanolic extract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by (Mustapha et al., 2024) identified 27 distinct phytoconstituents, including sclareol, and various coumarin derivatives, many of which were predicted via in silico docking to have strong binding affinities against drug-resistant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Klebsiella pneumoniae </w:t>
      </w:r>
      <w:r w:rsidDel="00000000" w:rsidR="00000000" w:rsidRPr="00000000">
        <w:rPr>
          <w:rFonts w:ascii="Times New Roman" w:cs="Times New Roman" w:eastAsia="Times New Roman" w:hAnsi="Times New Roman"/>
          <w:sz w:val="24"/>
          <w:szCs w:val="24"/>
          <w:highlight w:val="yellow"/>
          <w:vertAlign w:val="baseline"/>
          <w:rtl w:val="0"/>
        </w:rPr>
        <w:t xml:space="preserve">(CTX-M protein). GC-MS analysis done by (Sharma &amp; Goel, 2018) indicated that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fractions (hexane, ethyl acetate, aqueous methanol) include numerous bioactives such as 1(3H)-isobenzofuranone, quinones, steroids &amp; phenols and that the crude methanol extract displayed the strongest antibacterial activity, possibly due to the synergistic action of these chemicals.</w:t>
      </w:r>
    </w:p>
    <w:p w:rsidR="00000000" w:rsidDel="00000000" w:rsidP="00000000" w:rsidRDefault="00000000" w:rsidRPr="00000000" w14:paraId="000000E7">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Phytochemical study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mediated silver nanoparticles with UV-Vis, FTIR, XRD, SEM, TEM, and AFM revealed the involvement of bioactive ingredients in nanoparticle synthesis and antibacterial action. </w:t>
      </w:r>
      <w:r w:rsidDel="00000000" w:rsidR="00000000" w:rsidRPr="00000000">
        <w:rPr>
          <w:rFonts w:ascii="Times New Roman" w:cs="Times New Roman" w:eastAsia="Times New Roman" w:hAnsi="Times New Roman"/>
          <w:sz w:val="24"/>
          <w:szCs w:val="24"/>
          <w:highlight w:val="yellow"/>
          <w:rtl w:val="0"/>
        </w:rPr>
        <w:t xml:space="preserve">UV-vis spectroscopy confirmed nanoparticle production by surface plasmon resonance, whereas FTIR analysis identified phenolic, hydroxyl, and carbonyl functional groups that stabilize Ag-ions. T</w:t>
      </w:r>
      <w:r w:rsidDel="00000000" w:rsidR="00000000" w:rsidRPr="00000000">
        <w:rPr>
          <w:rFonts w:ascii="Times New Roman" w:cs="Times New Roman" w:eastAsia="Times New Roman" w:hAnsi="Times New Roman"/>
          <w:sz w:val="24"/>
          <w:szCs w:val="24"/>
          <w:highlight w:val="yellow"/>
          <w:vertAlign w:val="baseline"/>
          <w:rtl w:val="0"/>
        </w:rPr>
        <w:t xml:space="preserve">he presence of naphthoquinone derivatives, particularly lawsone, as well as flavonoids and polyphenols, has been shown to improve antimicrobial efficacy by forming strong interactions with silver ions, resulting in improved bactericidal activity against both Gram-positive and Gram-negative pathogens (Al-Rashdi et al., 2023; Kumar et al., 2022). Spectrophotometric and chromatographic studies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leaf extracts further confirmed the abundance of quinones, tannins, and phenolic compounds, which are known to disrupt microbial membranes and inhibit enzymatic activity, contributing significantly to the plant’s broad-spectrum antimicrobial potential (Singh et al., 2021).</w:t>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GC–MS-characterized essential oil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has shown pronounced free radical scavenging ability in standard antioxidant assays such as DPPH and ABTS, with activity increasing in a concentration-dependent manner (Elaguel</w:t>
      </w:r>
      <w:r w:rsidDel="00000000" w:rsidR="00000000" w:rsidRPr="00000000">
        <w:rPr>
          <w:rFonts w:ascii="Times New Roman" w:cs="Times New Roman" w:eastAsia="Times New Roman" w:hAnsi="Times New Roman"/>
          <w:sz w:val="28"/>
          <w:szCs w:val="28"/>
          <w:highlight w:val="yellow"/>
          <w:vertAlign w:val="baseline"/>
          <w:rtl w:val="0"/>
        </w:rPr>
        <w:t xml:space="preserve"> </w:t>
      </w:r>
      <w:r w:rsidDel="00000000" w:rsidR="00000000" w:rsidRPr="00000000">
        <w:rPr>
          <w:rFonts w:ascii="Times New Roman" w:cs="Times New Roman" w:eastAsia="Times New Roman" w:hAnsi="Times New Roman"/>
          <w:sz w:val="24"/>
          <w:szCs w:val="24"/>
          <w:highlight w:val="yellow"/>
          <w:vertAlign w:val="baseline"/>
          <w:rtl w:val="0"/>
        </w:rPr>
        <w:t xml:space="preserve">et al., 2023). High-performance liquid chromatography (HPLC) profiling has further identified major polyphenolic constituents, including gallic acid, catechin, ellagic acid, and quercetin, which show a strong association with antibacterial activity against pathogens such as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Staphylococcus aureus</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Bacillus cereus</w:t>
      </w:r>
      <w:r w:rsidDel="00000000" w:rsidR="00000000" w:rsidRPr="00000000">
        <w:rPr>
          <w:rFonts w:ascii="Times New Roman" w:cs="Times New Roman" w:eastAsia="Times New Roman" w:hAnsi="Times New Roman"/>
          <w:sz w:val="24"/>
          <w:szCs w:val="24"/>
          <w:highlight w:val="yellow"/>
          <w:vertAlign w:val="baseline"/>
          <w:rtl w:val="0"/>
        </w:rPr>
        <w:t xml:space="preserve">, as well as with antioxidant potential in polar solvent extracts (Joyroy et al., 2025). Abdelrahman et al., 2020, has reviewed that a range of phytochemicals like squalene, lawsone, coumarin-4-carboxylic acid, and phytol in L.inermis are known for their therapeutic activities. Based on these findings, we analyzed the phytochemical composition of three different extracts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 -</w:t>
      </w:r>
      <w:r w:rsidDel="00000000" w:rsidR="00000000" w:rsidRPr="00000000">
        <w:rPr>
          <w:rFonts w:ascii="Times New Roman" w:cs="Times New Roman" w:eastAsia="Times New Roman" w:hAnsi="Times New Roman"/>
          <w:sz w:val="24"/>
          <w:szCs w:val="24"/>
          <w:highlight w:val="yellow"/>
          <w:vertAlign w:val="baseline"/>
          <w:rtl w:val="0"/>
        </w:rPr>
        <w:t xml:space="preserve">diethyl ether, methanol, and hexane. Among these, the methanol extract demonstrated the highest concentration of potential bioactive compounds and was therefore selected for GC–MS analysis to identify the bioactive molecules responsible for the medicinal properties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In 2017, the World Health Organization (WHO) listed twelve bacterial families that pose a significant threat to human health due to the rising issue of multidrug resistance (Yu et al., 2020). Considering the WHO’s list of priority pathogens, we selected four clinical isolates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Escherichia coli</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Klebsiella pneumoniae</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Proteus mirabilis</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Staphylococcus aureus</w:t>
      </w:r>
      <w:r w:rsidDel="00000000" w:rsidR="00000000" w:rsidRPr="00000000">
        <w:rPr>
          <w:rFonts w:ascii="Times New Roman" w:cs="Times New Roman" w:eastAsia="Times New Roman" w:hAnsi="Times New Roman"/>
          <w:sz w:val="24"/>
          <w:szCs w:val="24"/>
          <w:highlight w:val="yellow"/>
          <w:vertAlign w:val="baseline"/>
          <w:rtl w:val="0"/>
        </w:rPr>
        <w:t xml:space="preserve"> to investigate the antibacterial activity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I. verum</w:t>
      </w:r>
      <w:r w:rsidDel="00000000" w:rsidR="00000000" w:rsidRPr="00000000">
        <w:rPr>
          <w:rFonts w:ascii="Times New Roman" w:cs="Times New Roman" w:eastAsia="Times New Roman" w:hAnsi="Times New Roman"/>
          <w:sz w:val="24"/>
          <w:szCs w:val="24"/>
          <w:highlight w:val="yellow"/>
          <w:vertAlign w:val="baseline"/>
          <w:rtl w:val="0"/>
        </w:rPr>
        <w:t xml:space="preserve">. Additionally, the antioxidant potential of the extracts was also evaluated.</w:t>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vertAlign w:val="baseline"/>
          <w:rtl w:val="0"/>
        </w:rPr>
        <w:t xml:space="preserve">Phytochemical investigations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using different extraction approaches have consistently demonstrated a high content of tannins, phenolic compounds, and flavonoids, with methanolic extracts showing particularly rich bioactive profiles. In the present study, the highest tested concentration (80 μg/ml)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methanol extract exhibited substantial bactericidal activity against the selected pathogenic strains, namely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Escherichia coli</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Klebsiella pneumoniae</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Proteus mirabilis</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Staphylococcus aureus</w:t>
      </w:r>
      <w:r w:rsidDel="00000000" w:rsidR="00000000" w:rsidRPr="00000000">
        <w:rPr>
          <w:rFonts w:ascii="Times New Roman" w:cs="Times New Roman" w:eastAsia="Times New Roman" w:hAnsi="Times New Roman"/>
          <w:sz w:val="24"/>
          <w:szCs w:val="24"/>
          <w:highlight w:val="yellow"/>
          <w:vertAlign w:val="baseline"/>
          <w:rtl w:val="0"/>
        </w:rPr>
        <w:t xml:space="preserve">. Moderate (40 μg/ml) and lower (20 μg/ml) concentrations also displayed inhibitory effects; however, a gradual reduction in antimicrobial efficacy was observed with decreasing dosage. A similar dose-dependent trend was recorded in antioxidant assays, wherein the 80 μg/ml extract demonstrated superior radical scavenging activity, reflected by low IC₅₀ values comparable to that of the standard antioxidant, ascorbic acid. Although the lower concentrations retained antioxidant potential, their effectiveness was comparatively diminished. These findings align with previous reports indicating that hydroxyl radical scavenging activity increases proportionally with extract concentration (Agbor et al., 2014). Our results also exhibit a very strong positive correlation between flavonoid and phenolic compound richness and antibacterial activity, and eventually antioxidant properties, which supports the previous work of (Cai et al., 2004; Shan et al., 2005) in dietary spices and Chinese herbs, as well as (Bobinaite et al., 2020) in plant extracts. (Del Rio et al., 2013; Miklasinska-Majdanik et al., 2018; Zacchino et al., 2017; Lima et al., 2019; Makarewicz et al., 2021) revealed that phytophenols can reduce antibiotic resistance in bacteria</w:t>
      </w:r>
      <w:r w:rsidDel="00000000" w:rsidR="00000000" w:rsidRPr="00000000">
        <w:rPr>
          <w:rFonts w:ascii="Times New Roman" w:cs="Times New Roman" w:eastAsia="Times New Roman" w:hAnsi="Times New Roman"/>
          <w:sz w:val="24"/>
          <w:szCs w:val="24"/>
          <w:highlight w:val="yellow"/>
          <w:rtl w:val="0"/>
        </w:rPr>
        <w:t xml:space="preserve">.</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Medicinal plants such as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have demonstrated significant antibacterial activity against a range of pathogenic bacteria, reflecting their long-standing use in traditional medicine systems. Extracts from the leaves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have been shown to inhibit both Gram-positive and Gram-negative bacteria, and isolated compounds including 2-hydroxy-1,4-naphthoquinone exhibit potent antimicrobial effects, suggesting that henna could serve as a source of natural antibacterial agents for therapeutic applications (Acharya et al., 2025; Yang et al., 2015). Beyond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other medicinal herbs widely studied for their antimicrobial properties include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Nigella sativa</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Matricaria aurea</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Withania somnifera</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Cymbopogon schoenanthus</w:t>
      </w:r>
      <w:r w:rsidDel="00000000" w:rsidR="00000000" w:rsidRPr="00000000">
        <w:rPr>
          <w:rFonts w:ascii="Times New Roman" w:cs="Times New Roman" w:eastAsia="Times New Roman" w:hAnsi="Times New Roman"/>
          <w:sz w:val="24"/>
          <w:szCs w:val="24"/>
          <w:highlight w:val="yellow"/>
          <w:vertAlign w:val="baseline"/>
          <w:rtl w:val="0"/>
        </w:rPr>
        <w:t xml:space="preserve">, all of which contain bioactive phytochemicals such as flavonoids, terpenoids, and phenolic acids that contribute to their antibacterial and anti-infective effects (Almasri et al., 2025). Essential oils from herbs like thyme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Thymus vulgaris</w:t>
      </w:r>
      <w:r w:rsidDel="00000000" w:rsidR="00000000" w:rsidRPr="00000000">
        <w:rPr>
          <w:rFonts w:ascii="Times New Roman" w:cs="Times New Roman" w:eastAsia="Times New Roman" w:hAnsi="Times New Roman"/>
          <w:sz w:val="24"/>
          <w:szCs w:val="24"/>
          <w:highlight w:val="yellow"/>
          <w:vertAlign w:val="baseline"/>
          <w:rtl w:val="0"/>
        </w:rPr>
        <w:t xml:space="preserve">), oregano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Origanum vulgare</w:t>
      </w:r>
      <w:r w:rsidDel="00000000" w:rsidR="00000000" w:rsidRPr="00000000">
        <w:rPr>
          <w:rFonts w:ascii="Times New Roman" w:cs="Times New Roman" w:eastAsia="Times New Roman" w:hAnsi="Times New Roman"/>
          <w:sz w:val="24"/>
          <w:szCs w:val="24"/>
          <w:highlight w:val="yellow"/>
          <w:vertAlign w:val="baseline"/>
          <w:rtl w:val="0"/>
        </w:rPr>
        <w:t xml:space="preserve">) also exhibit strong antibacterial and antioxidant activities due to high levels of phenolic compounds such as thymol, eugenol, and carvacrol (Karapinar et al., 1987; Beuchat et al., 1989). These collective findings underscore the therapeutic potential of medicinal herbs, including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as natural sources of antimicrobial agents for combating pathogenic bacteria and supporting traditional and modern pharmacological applications.</w:t>
      </w:r>
    </w:p>
    <w:p w:rsidR="00000000" w:rsidDel="00000000" w:rsidP="00000000" w:rsidRDefault="00000000" w:rsidRPr="00000000" w14:paraId="000000EB">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Studies reveal that extracts of neem, oregano, aloevera, citronella, evergreen shrub rosemary, aromatic herb thyme, tulsi and bryophyllum exhibit notable inhibitory effects on methicillin resistant Gram + and Gram - bacteria and ascertained the role of phenols and tannins against them (Dahiya et al., 2012). Similar to our study, in vitro investigations of neem, tulsi</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 </w:t>
      </w:r>
      <w:r w:rsidDel="00000000" w:rsidR="00000000" w:rsidRPr="00000000">
        <w:rPr>
          <w:rFonts w:ascii="Times New Roman" w:cs="Times New Roman" w:eastAsia="Times New Roman" w:hAnsi="Times New Roman"/>
          <w:sz w:val="24"/>
          <w:szCs w:val="24"/>
          <w:highlight w:val="yellow"/>
          <w:vertAlign w:val="baseline"/>
          <w:rtl w:val="0"/>
        </w:rPr>
        <w:t xml:space="preserve">leaf extracts against clinical pathogens such as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Staphylococcus aureus</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Pseudomonas aeruginosa</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Klebsiella pneumoniae</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Escherichia coli</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Bacillus subtilis</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Proteus mirabilis</w:t>
      </w:r>
      <w:r w:rsidDel="00000000" w:rsidR="00000000" w:rsidRPr="00000000">
        <w:rPr>
          <w:rFonts w:ascii="Times New Roman" w:cs="Times New Roman" w:eastAsia="Times New Roman" w:hAnsi="Times New Roman"/>
          <w:sz w:val="24"/>
          <w:szCs w:val="24"/>
          <w:highlight w:val="yellow"/>
          <w:vertAlign w:val="baseline"/>
          <w:rtl w:val="0"/>
        </w:rPr>
        <w:t xml:space="preserve"> have demonstrated strong bactericidal activity (Subapriya &amp; Nagini, 2005). Mushrooms high in hydroxycinnamic acid derivatives and other phenolic acids, as well as plant phenols like pyrogallol and catechol (Shahzad et al., 2015; Liu et al., 2021; Taguri et al., 2006), have potent antibacterial properties (Nowacka et al., 2015). The polyphenol caffeic acid, which is found in olive leaf extract, interacts with the ampicillin resistance domains in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 coli</w:t>
      </w:r>
      <w:r w:rsidDel="00000000" w:rsidR="00000000" w:rsidRPr="00000000">
        <w:rPr>
          <w:rFonts w:ascii="Times New Roman" w:cs="Times New Roman" w:eastAsia="Times New Roman" w:hAnsi="Times New Roman"/>
          <w:sz w:val="24"/>
          <w:szCs w:val="24"/>
          <w:highlight w:val="yellow"/>
          <w:vertAlign w:val="baseline"/>
          <w:rtl w:val="0"/>
        </w:rPr>
        <w:t xml:space="preserve"> to enhance the bactericidal effect on them (Lim et al., 2016). Numerous studies have demonstrated that plant-derived flavonoids and their derivatives enhance the efficacy of antibiotics against resistant strains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w:t>
      </w:r>
      <w:r w:rsidDel="00000000" w:rsidR="00000000" w:rsidRPr="00000000">
        <w:rPr>
          <w:rFonts w:ascii="Times New Roman" w:cs="Times New Roman" w:eastAsia="Times New Roman" w:hAnsi="Times New Roman"/>
          <w:i w:val="1"/>
          <w:iCs w:val="1"/>
          <w:sz w:val="24"/>
          <w:szCs w:val="24"/>
          <w:highlight w:val="yellow"/>
          <w:rtl w:val="0"/>
        </w:rPr>
        <w:t xml:space="preserve">.</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 aureus</w:t>
      </w:r>
      <w:r w:rsidDel="00000000" w:rsidR="00000000" w:rsidRPr="00000000">
        <w:rPr>
          <w:rFonts w:ascii="Times New Roman" w:cs="Times New Roman" w:eastAsia="Times New Roman" w:hAnsi="Times New Roman"/>
          <w:sz w:val="24"/>
          <w:szCs w:val="24"/>
          <w:highlight w:val="yellow"/>
          <w:vertAlign w:val="baseline"/>
          <w:rtl w:val="0"/>
        </w:rPr>
        <w:t xml:space="preserve"> by modulating efflux mechanisms, thereby contributing to their antimicrobial activity (Chan et al., 2011; Klancnik et al., 2017; Christena et al., 2015; Randhawa et al., 2016; Gorniak et al., 2019; Lopes et al., 2017; Xu et al., 2019). These compounds have been shown to induce alterations in the structural organization of the bacterial cell membrane (Cushnie et al., 2008) and disrupt membrane integrity in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Enterococcus faecalis</w:t>
      </w:r>
      <w:r w:rsidDel="00000000" w:rsidR="00000000" w:rsidRPr="00000000">
        <w:rPr>
          <w:rFonts w:ascii="Times New Roman" w:cs="Times New Roman" w:eastAsia="Times New Roman" w:hAnsi="Times New Roman"/>
          <w:sz w:val="24"/>
          <w:szCs w:val="24"/>
          <w:highlight w:val="yellow"/>
          <w:vertAlign w:val="baseline"/>
          <w:rtl w:val="0"/>
        </w:rPr>
        <w:t xml:space="preserve"> (Budzynska et al., 2011; Wu et al., 2013). Furthermore, flavonoids exhibit strong interactions with bacterial DNA gyrase, leading to inhibition of DNA replication (Wu et al., 2013). Additionally, (Lin et al., 2005) reported the activity of flavonoids against antibiotic-resistant strains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 pneumoniae</w:t>
      </w:r>
      <w:r w:rsidDel="00000000" w:rsidR="00000000" w:rsidRPr="00000000">
        <w:rPr>
          <w:rFonts w:ascii="Times New Roman" w:cs="Times New Roman" w:eastAsia="Times New Roman" w:hAnsi="Times New Roman"/>
          <w:sz w:val="24"/>
          <w:szCs w:val="24"/>
          <w:highlight w:val="yellow"/>
          <w:vertAlign w:val="baseline"/>
          <w:rtl w:val="0"/>
        </w:rPr>
        <w:t xml:space="preserve">, highlighting their potential role as resistance-modifying agents. It seems that the bactericidal effect of our crude methanol extract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 </w:t>
      </w:r>
      <w:r w:rsidDel="00000000" w:rsidR="00000000" w:rsidRPr="00000000">
        <w:rPr>
          <w:rFonts w:ascii="Times New Roman" w:cs="Times New Roman" w:eastAsia="Times New Roman" w:hAnsi="Times New Roman"/>
          <w:sz w:val="24"/>
          <w:szCs w:val="24"/>
          <w:highlight w:val="yellow"/>
          <w:vertAlign w:val="baseline"/>
          <w:rtl w:val="0"/>
        </w:rPr>
        <w:t xml:space="preserve">is also due to the presence of terpenes. Numerous researchers have investigated the relationship and mode of action between the bioactive components and pathogenic bacteria, and they have found that the presence of terpenes in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extracts demonstrated a significant antibacterial property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Bacillus subtilis</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Escherichia coli</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Salmonella typhi</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Klebsiella</w:t>
      </w:r>
      <w:r w:rsidDel="00000000" w:rsidR="00000000" w:rsidRPr="00000000">
        <w:rPr>
          <w:rFonts w:ascii="Times New Roman" w:cs="Times New Roman" w:eastAsia="Times New Roman" w:hAnsi="Times New Roman"/>
          <w:sz w:val="24"/>
          <w:szCs w:val="24"/>
          <w:highlight w:val="yellow"/>
          <w:vertAlign w:val="baseline"/>
          <w:rtl w:val="0"/>
        </w:rPr>
        <w:t xml:space="preserve"> spp., with measured MIC values ranging from 2.31 mg/ml to 9.27 mg/ml in chloroform and acetone extracts, indicating potential effectiveness across diverse bacterial taxa (Gull et al., 2013). In vitro antibacterial evaluations of methanolic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leaf extracts demonstrated inhibitory effects against both Gram-positive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and Gram-negative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 coli</w:t>
      </w:r>
      <w:r w:rsidDel="00000000" w:rsidR="00000000" w:rsidRPr="00000000">
        <w:rPr>
          <w:rFonts w:ascii="Times New Roman" w:cs="Times New Roman" w:eastAsia="Times New Roman" w:hAnsi="Times New Roman"/>
          <w:sz w:val="24"/>
          <w:szCs w:val="24"/>
          <w:highlight w:val="yellow"/>
          <w:vertAlign w:val="baseline"/>
          <w:rtl w:val="0"/>
        </w:rPr>
        <w:t xml:space="preserve">) bacteria, with determined MIC values of around 100 mg/ml for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and 200 mg/ml for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 coli</w:t>
      </w:r>
      <w:r w:rsidDel="00000000" w:rsidR="00000000" w:rsidRPr="00000000">
        <w:rPr>
          <w:rFonts w:ascii="Times New Roman" w:cs="Times New Roman" w:eastAsia="Times New Roman" w:hAnsi="Times New Roman"/>
          <w:sz w:val="24"/>
          <w:szCs w:val="24"/>
          <w:highlight w:val="yellow"/>
          <w:vertAlign w:val="baseline"/>
          <w:rtl w:val="0"/>
        </w:rPr>
        <w:t xml:space="preserve">, highlighting the extract’s dose dependent bacteriostatic activity (Zannat et al., 2023). Ethanol- and water-based extracts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have demonstrated inhibitory effects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Aggregatibacter actinomycetemcomitans</w:t>
      </w:r>
      <w:r w:rsidDel="00000000" w:rsidR="00000000" w:rsidRPr="00000000">
        <w:rPr>
          <w:rFonts w:ascii="Times New Roman" w:cs="Times New Roman" w:eastAsia="Times New Roman" w:hAnsi="Times New Roman"/>
          <w:sz w:val="24"/>
          <w:szCs w:val="24"/>
          <w:highlight w:val="yellow"/>
          <w:vertAlign w:val="baseline"/>
          <w:rtl w:val="0"/>
        </w:rPr>
        <w:t xml:space="preserve">, whereas their efficacy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Porphyromonas gingivalis</w:t>
      </w:r>
      <w:r w:rsidDel="00000000" w:rsidR="00000000" w:rsidRPr="00000000">
        <w:rPr>
          <w:rFonts w:ascii="Times New Roman" w:cs="Times New Roman" w:eastAsia="Times New Roman" w:hAnsi="Times New Roman"/>
          <w:sz w:val="24"/>
          <w:szCs w:val="24"/>
          <w:highlight w:val="yellow"/>
          <w:vertAlign w:val="baseline"/>
          <w:rtl w:val="0"/>
        </w:rPr>
        <w:t xml:space="preserve"> remains comparatively weak, highlighting both species-specific responses and the influence of extraction methods on antimicrobial performance (Idris et al., 2023). (Yu et al., 2020) reported that essential oils (EOs) exhibit significant potential in combating drug resistance through multiple mechanisms, as described by (Fischbach et al., 2009; Mak et al., 2014; Munita et al., 2016; Rahman et al., 2018; Wilson, 2014; Pages et al., 2008; Shriram et al., 2018; Moellering 2012). Essential oil constituents such as thymol and carvacrol from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Thymus capitatus</w:t>
      </w:r>
      <w:r w:rsidDel="00000000" w:rsidR="00000000" w:rsidRPr="00000000">
        <w:rPr>
          <w:rFonts w:ascii="Times New Roman" w:cs="Times New Roman" w:eastAsia="Times New Roman" w:hAnsi="Times New Roman"/>
          <w:sz w:val="24"/>
          <w:szCs w:val="24"/>
          <w:highlight w:val="yellow"/>
          <w:vertAlign w:val="baseline"/>
          <w:rtl w:val="0"/>
        </w:rPr>
        <w:t xml:space="preserve"> have demonstrated activity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Pseudomonas aeruginosa</w:t>
      </w:r>
      <w:r w:rsidDel="00000000" w:rsidR="00000000" w:rsidRPr="00000000">
        <w:rPr>
          <w:rFonts w:ascii="Times New Roman" w:cs="Times New Roman" w:eastAsia="Times New Roman" w:hAnsi="Times New Roman"/>
          <w:sz w:val="24"/>
          <w:szCs w:val="24"/>
          <w:highlight w:val="yellow"/>
          <w:vertAlign w:val="baseline"/>
          <w:rtl w:val="0"/>
        </w:rPr>
        <w:t xml:space="preserve"> (Althunibat et al., 2016), while eugenol has shown effectiveness against methicillin-resistant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aureus</w:t>
      </w:r>
      <w:r w:rsidDel="00000000" w:rsidR="00000000" w:rsidRPr="00000000">
        <w:rPr>
          <w:rFonts w:ascii="Times New Roman" w:cs="Times New Roman" w:eastAsia="Times New Roman" w:hAnsi="Times New Roman"/>
          <w:sz w:val="24"/>
          <w:szCs w:val="24"/>
          <w:highlight w:val="yellow"/>
          <w:vertAlign w:val="baseline"/>
          <w:rtl w:val="0"/>
        </w:rPr>
        <w:t xml:space="preserve"> (Yadav et al., 2015; Togashi et al., 2010; Muniz et al., 2021). The presence of coumarins in our phytochemical screening indicates that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possesses both antioxidant and antibacterial properties. According to (Basile et al., 2009; El-Seedi et al., 2007; Tan et al., 2017), coumarins inhibit DNA gyrase in MDR bacteria, stopping bacterial DNA replication and acting as agents to reverse resistance. It is reported that coumarins have the potential to act as an inhibitor of efflux mechanism against S. aureus (Bazzaz et al., 2010). It appears that the antibacterial activity shown by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may also be attributed to the presence of saponins in our screening. Saponins' amphiphilic properties play a crucial role as an antimicrobial agent (Sparg et al., 2005; Veda et al., 2017; Sengul et al., 2011; Mert Eren et al., 2021) which promotes the formation of foams that can serve as bactericidal in aqueous solutions (Vincken et al., 2007; Moghimipour et al., 2015). The microbicidal effect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Saponaria cypria Boiss</w:t>
      </w:r>
      <w:r w:rsidDel="00000000" w:rsidR="00000000" w:rsidRPr="00000000">
        <w:rPr>
          <w:rFonts w:ascii="Times New Roman" w:cs="Times New Roman" w:eastAsia="Times New Roman" w:hAnsi="Times New Roman"/>
          <w:sz w:val="24"/>
          <w:szCs w:val="24"/>
          <w:highlight w:val="yellow"/>
          <w:vertAlign w:val="baseline"/>
          <w:rtl w:val="0"/>
        </w:rPr>
        <w:t xml:space="preserve"> root extract was found to be caused by around nine saponins and six phenolic compounds (Charalambous et al., 2022</w:t>
      </w:r>
      <w:r w:rsidDel="00000000" w:rsidR="00000000" w:rsidRPr="00000000">
        <w:rPr>
          <w:rFonts w:ascii="Times New Roman" w:cs="Times New Roman" w:eastAsia="Times New Roman" w:hAnsi="Times New Roman"/>
          <w:sz w:val="24"/>
          <w:szCs w:val="24"/>
          <w:highlight w:val="yellow"/>
          <w:rtl w:val="0"/>
        </w:rPr>
        <w:t xml:space="preserve">)</w:t>
      </w:r>
      <w:r w:rsidDel="00000000" w:rsidR="00000000" w:rsidRPr="00000000">
        <w:rPr>
          <w:rFonts w:ascii="Times New Roman" w:cs="Times New Roman" w:eastAsia="Times New Roman" w:hAnsi="Times New Roman"/>
          <w:sz w:val="24"/>
          <w:szCs w:val="24"/>
          <w:highlight w:val="yellow"/>
          <w:vertAlign w:val="baseline"/>
          <w:rtl w:val="0"/>
        </w:rPr>
        <w:t xml:space="preserve">, saponin-rich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Catharanthus roseus</w:t>
      </w:r>
      <w:r w:rsidDel="00000000" w:rsidR="00000000" w:rsidRPr="00000000">
        <w:rPr>
          <w:rFonts w:ascii="Times New Roman" w:cs="Times New Roman" w:eastAsia="Times New Roman" w:hAnsi="Times New Roman"/>
          <w:sz w:val="24"/>
          <w:szCs w:val="24"/>
          <w:highlight w:val="yellow"/>
          <w:vertAlign w:val="baseline"/>
          <w:rtl w:val="0"/>
        </w:rPr>
        <w:t xml:space="preserve"> root extract also showed antioxidant, anti-proliferative, and antimicrobial properties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 coli, E. aerogenes, and S. lugdunensis</w:t>
      </w:r>
      <w:r w:rsidDel="00000000" w:rsidR="00000000" w:rsidRPr="00000000">
        <w:rPr>
          <w:rFonts w:ascii="Times New Roman" w:cs="Times New Roman" w:eastAsia="Times New Roman" w:hAnsi="Times New Roman"/>
          <w:sz w:val="24"/>
          <w:szCs w:val="24"/>
          <w:highlight w:val="yellow"/>
          <w:vertAlign w:val="baseline"/>
          <w:rtl w:val="0"/>
        </w:rPr>
        <w:t xml:space="preserve">, as well as antifungal effects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Candida albicans</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Aspergillus niger</w:t>
      </w:r>
      <w:r w:rsidDel="00000000" w:rsidR="00000000" w:rsidRPr="00000000">
        <w:rPr>
          <w:rFonts w:ascii="Times New Roman" w:cs="Times New Roman" w:eastAsia="Times New Roman" w:hAnsi="Times New Roman"/>
          <w:sz w:val="24"/>
          <w:szCs w:val="24"/>
          <w:highlight w:val="yellow"/>
          <w:vertAlign w:val="baseline"/>
          <w:rtl w:val="0"/>
        </w:rPr>
        <w:t xml:space="preserve"> (Pham et al., 2019). Methanol-derived triterpene saponins isolated from the halophytic plant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Anabasis setifera</w:t>
      </w:r>
      <w:r w:rsidDel="00000000" w:rsidR="00000000" w:rsidRPr="00000000">
        <w:rPr>
          <w:rFonts w:ascii="Times New Roman" w:cs="Times New Roman" w:eastAsia="Times New Roman" w:hAnsi="Times New Roman"/>
          <w:sz w:val="24"/>
          <w:szCs w:val="24"/>
          <w:highlight w:val="yellow"/>
          <w:vertAlign w:val="baseline"/>
          <w:rtl w:val="0"/>
        </w:rPr>
        <w:t xml:space="preserve"> exhibited pronounced antiviral activity against SARS-CoV-2, with low inhibitory concentrations (IC₅₀ values ranging from ~2.3 to 6.8 µg/mL) and high selectivity indices, suggesting stronger activity than some existing antiviral agents and highlighting their promise as antiviral lead compounds (Othman et al., 2025). The methanol, diethyl ether, and hexane extracts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exhibited a high tannin content in our screening. These tannin compounds, widely utilized in traditional Chinese medicine, are known for their antimicrobial properties, which are primarily mediated through protein binding and subsequent protein precipitation. (Czerkas et al., 2024; Huang et al., 2024) demonstrated that hydrolyzable and condensed tannins extracted from various plant sources show potent antibacterial activity against both Gram-positive and Gram-negative pathogens, including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Staphylococcus aureus</w:t>
      </w:r>
      <w:r w:rsidDel="00000000" w:rsidR="00000000" w:rsidRPr="00000000">
        <w:rPr>
          <w:rFonts w:ascii="Times New Roman" w:cs="Times New Roman" w:eastAsia="Times New Roman" w:hAnsi="Times New Roman"/>
          <w:sz w:val="24"/>
          <w:szCs w:val="24"/>
          <w:highlight w:val="yellow"/>
          <w:vertAlign w:val="baseline"/>
          <w:rtl w:val="0"/>
        </w:rPr>
        <w:t xml:space="preserve">,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Escherichia coli</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Streptococcus mutans</w:t>
      </w:r>
      <w:r w:rsidDel="00000000" w:rsidR="00000000" w:rsidRPr="00000000">
        <w:rPr>
          <w:rFonts w:ascii="Times New Roman" w:cs="Times New Roman" w:eastAsia="Times New Roman" w:hAnsi="Times New Roman"/>
          <w:sz w:val="24"/>
          <w:szCs w:val="24"/>
          <w:highlight w:val="yellow"/>
          <w:vertAlign w:val="baseline"/>
          <w:rtl w:val="0"/>
        </w:rPr>
        <w:t xml:space="preserve">, with mechanisms involving destabilization of microbial membranes and binding to membrane proteins. Tannin-rich plant extracts exhibit exceptional antibacterial effects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S. typhi</w:t>
      </w:r>
      <w:r w:rsidDel="00000000" w:rsidR="00000000" w:rsidRPr="00000000">
        <w:rPr>
          <w:rFonts w:ascii="Times New Roman" w:cs="Times New Roman" w:eastAsia="Times New Roman" w:hAnsi="Times New Roman"/>
          <w:sz w:val="24"/>
          <w:szCs w:val="24"/>
          <w:highlight w:val="yellow"/>
          <w:vertAlign w:val="baseline"/>
          <w:rtl w:val="0"/>
        </w:rPr>
        <w:t xml:space="preserve"> in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Euphorbia hirta</w:t>
      </w:r>
      <w:r w:rsidDel="00000000" w:rsidR="00000000" w:rsidRPr="00000000">
        <w:rPr>
          <w:rFonts w:ascii="Times New Roman" w:cs="Times New Roman" w:eastAsia="Times New Roman" w:hAnsi="Times New Roman"/>
          <w:sz w:val="24"/>
          <w:szCs w:val="24"/>
          <w:highlight w:val="yellow"/>
          <w:vertAlign w:val="baseline"/>
          <w:rtl w:val="0"/>
        </w:rPr>
        <w:t xml:space="preserve"> (Perumal et al., 2012); acetone and water extracts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Terminalia arjuna</w:t>
      </w:r>
      <w:r w:rsidDel="00000000" w:rsidR="00000000" w:rsidRPr="00000000">
        <w:rPr>
          <w:rFonts w:ascii="Times New Roman" w:cs="Times New Roman" w:eastAsia="Times New Roman" w:hAnsi="Times New Roman"/>
          <w:sz w:val="24"/>
          <w:szCs w:val="24"/>
          <w:highlight w:val="yellow"/>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Piper betel</w:t>
      </w:r>
      <w:r w:rsidDel="00000000" w:rsidR="00000000" w:rsidRPr="00000000">
        <w:rPr>
          <w:rFonts w:ascii="Times New Roman" w:cs="Times New Roman" w:eastAsia="Times New Roman" w:hAnsi="Times New Roman"/>
          <w:sz w:val="24"/>
          <w:szCs w:val="24"/>
          <w:highlight w:val="yellow"/>
          <w:vertAlign w:val="baseline"/>
          <w:rtl w:val="0"/>
        </w:rPr>
        <w:t xml:space="preserve"> against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B. subtilis, S. aureus, E. faecalis, M. luteus</w:t>
      </w:r>
      <w:r w:rsidDel="00000000" w:rsidR="00000000" w:rsidRPr="00000000">
        <w:rPr>
          <w:rFonts w:ascii="Times New Roman" w:cs="Times New Roman" w:eastAsia="Times New Roman" w:hAnsi="Times New Roman"/>
          <w:sz w:val="24"/>
          <w:szCs w:val="24"/>
          <w:highlight w:val="yellow"/>
          <w:vertAlign w:val="baseline"/>
          <w:rtl w:val="0"/>
        </w:rPr>
        <w:t xml:space="preserve"> (Gram+) and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E. coli, K. pneumoniae, S. typhi, P. aeruginosa, and P. vulgaris</w:t>
      </w:r>
      <w:r w:rsidDel="00000000" w:rsidR="00000000" w:rsidRPr="00000000">
        <w:rPr>
          <w:rFonts w:ascii="Times New Roman" w:cs="Times New Roman" w:eastAsia="Times New Roman" w:hAnsi="Times New Roman"/>
          <w:sz w:val="24"/>
          <w:szCs w:val="24"/>
          <w:highlight w:val="yellow"/>
          <w:vertAlign w:val="baseline"/>
          <w:rtl w:val="0"/>
        </w:rPr>
        <w:t xml:space="preserve"> (Gram-) (Kurhekar, 2016). The function of tannins as antiviral agents in fifty Chinese herbs has been documented by (Zhang et al., 2012). Studies of (Kaczmarek, 2020) on tannic acid, a representative plant tannin, has revealed broad antiviral effects against several viruses including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Influenza A</w:t>
      </w:r>
      <w:r w:rsidDel="00000000" w:rsidR="00000000" w:rsidRPr="00000000">
        <w:rPr>
          <w:rFonts w:ascii="Times New Roman" w:cs="Times New Roman" w:eastAsia="Times New Roman" w:hAnsi="Times New Roman"/>
          <w:sz w:val="24"/>
          <w:szCs w:val="24"/>
          <w:highlight w:val="yellow"/>
          <w:vertAlign w:val="baseline"/>
          <w:rtl w:val="0"/>
        </w:rPr>
        <w:t xml:space="preserve">, noroviruses, Herpes simplex viruses, and HIV.</w:t>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Our GC–MS analysis of the methanolic extract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revealed a predominance of flavonoids and phenolic compounds, indicating that, in addition to its antimicrobial activity, the extract possesses a strong capacity to scavenge free oxygen radicals. </w:t>
      </w:r>
      <w:r w:rsidDel="00000000" w:rsidR="00000000" w:rsidRPr="00000000">
        <w:rPr>
          <w:rFonts w:ascii="Times New Roman" w:cs="Times New Roman" w:eastAsia="Times New Roman" w:hAnsi="Times New Roman"/>
          <w:sz w:val="24"/>
          <w:szCs w:val="24"/>
          <w:highlight w:val="yellow"/>
          <w:rtl w:val="0"/>
        </w:rPr>
        <w:t xml:space="preserve">It is also revealed</w:t>
      </w:r>
      <w:r w:rsidDel="00000000" w:rsidR="00000000" w:rsidRPr="00000000">
        <w:rPr>
          <w:rFonts w:ascii="Times New Roman" w:cs="Times New Roman" w:eastAsia="Times New Roman" w:hAnsi="Times New Roman"/>
          <w:sz w:val="24"/>
          <w:szCs w:val="24"/>
          <w:highlight w:val="yellow"/>
          <w:vertAlign w:val="baseline"/>
          <w:rtl w:val="0"/>
        </w:rPr>
        <w:t xml:space="preserve"> that untreated henna powders possess stronger anti-candida activity and enhanced wound-healing effects than heat treated counterparts, a phenomenon linked to higher retention of phenolic and flavonoid compounds; docking analyses of chlorogenic and ellagic acids further support their antifungal mechanisms (Pandey et al., 2025). Natural antioxidants are widely distributed across plants, microorganisms, fungi, and animal tissues (Charles, 2012), with flavonoids, phenols and curcuminoids constituting their major classes (Zeb, 2021). Phenolic antioxidants in plants play integral roles in complex metabolic and signalling pathways and contribute to plant defense against microbial invasion through the production of phytoalexins, which are flavonoid derived compounds (Ahuja et al., 2012). Plant-based natural antioxidants, including flavonoids, coumarins, tocopherols, and other polyphenols, primarily function as reducing agents and free oxygen radical scavengers, while also inhibiting the formation of singlet oxygen species (Pratt, 1992). Both aqueous and methanolic extracts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have demonstrated strong free radical scavenging activity in DPPH assay, along with effective inhibition of lipid peroxidation, correlating positively with total phenolic content and suggesting potent reducing capabilities against reactive oxygen species. These antioxidant effects were further shown to protect DNA and cellular systems from oxidative damage induced by chromium (VI), indicating cytoprotective efficacy (Guha et al., 2011). Herbs that are rich in antioxidants can neutralize free radicals during the initial stages of auto-oxidation by forming complexes with metal ions, thereby significantly reducing oxidative damage (Wang et al., 2021; Estevez et al., 2017). Oxidative deterioration, often accompanied by microbial spoilage, has prompted extensive reliance on synthetic antioxidants and preservatives, which may pose potential health risks (Eshghi et al., 2014; Prakash et al., 2020; Farahmandfar et al., 2015; Gupta &amp; Sharma, 2006). In this context,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extracts, with their high phenolic and flavonoid content, displays significant antioxidant properties, making them promising candidates for incorporation into pharmaceutical and controlled nutraceutical formulations to mitigate oxidative damage and enhance product stability (Shan et al., 2005; Asnaashari et al., 2015; Srinivasan, 2014; Huang, 2018; Yashin et al., 2017). Various extracts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Laurus nobilis</w:t>
      </w:r>
      <w:r w:rsidDel="00000000" w:rsidR="00000000" w:rsidRPr="00000000">
        <w:rPr>
          <w:rFonts w:ascii="Times New Roman" w:cs="Times New Roman" w:eastAsia="Times New Roman" w:hAnsi="Times New Roman"/>
          <w:sz w:val="24"/>
          <w:szCs w:val="24"/>
          <w:highlight w:val="yellow"/>
          <w:vertAlign w:val="baseline"/>
          <w:rtl w:val="0"/>
        </w:rPr>
        <w:t xml:space="preserve"> L. leaves, which are abundant in quercetin, have demonstrated significant antioxidant potential in multiple free radical scavenging assays and have been traditionally applied in the management of rheumatism and dermatological conditions (Kaurinovic et al., 2019).</w:t>
      </w:r>
      <w:r w:rsidDel="00000000" w:rsidR="00000000" w:rsidRPr="00000000">
        <w:rPr>
          <w:highlight w:val="yellow"/>
          <w:vertAlign w:val="baseline"/>
          <w:rtl w:val="0"/>
        </w:rPr>
        <w:t xml:space="preserve"> </w:t>
      </w:r>
      <w:r w:rsidDel="00000000" w:rsidR="00000000" w:rsidRPr="00000000">
        <w:rPr>
          <w:rFonts w:ascii="Times New Roman" w:cs="Times New Roman" w:eastAsia="Times New Roman" w:hAnsi="Times New Roman"/>
          <w:sz w:val="24"/>
          <w:szCs w:val="24"/>
          <w:highlight w:val="yellow"/>
          <w:vertAlign w:val="baseline"/>
          <w:rtl w:val="0"/>
        </w:rPr>
        <w:t xml:space="preserve">HPLC profiling has revealed the presence of multiple bioactive phenolic constituents in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such as gallic acid, quercetin, catechin, chlorogenic acid, ellagic acid, and rutin, which are believed to play a key role in its in vitro free radical scavenging and antigenotoxic activities (Kumar et al., 2014</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sz w:val="24"/>
          <w:szCs w:val="24"/>
          <w:highlight w:val="yellow"/>
          <w:vertAlign w:val="baseline"/>
          <w:rtl w:val="0"/>
        </w:rPr>
        <w:t xml:space="preserve">Elansary et al., 2020).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extracts containing lawsone have been shown to markedly elevate the activities of endogenous antioxidant enzymes, including superoxide dismutase (SOD), catalase (CAT), glutathione reductase, and glutathione peroxidase, in in vivo models, indicating an enhanced antioxidant defense mechanism and effective attenuation of oxidative stress (Vijayaraj &amp; Kumaran, 2018; Dasgupta et al., 2003).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extracts have been reported to exert notable anticancer and antiproliferative activities across several human cancer cell lines. In particular, polar solvent extracts such as ethanolic and methanolic fractions have exhibited pronounced cytotoxic effects against colon, lung, and breast cancer cells, indicating the potential of lawsonia derived phytochemicals as promising chemopreventive agents (Joyroy et al., 2025). The therapeutic spectrum of henna also includes wound healing, anti-inflammatory, immunomodulatory, anti-diabetic, and hepatoprotective effects, which collectively reinforce its potential as a multifunctional medicinal plant</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sz w:val="24"/>
          <w:szCs w:val="24"/>
          <w:highlight w:val="yellow"/>
          <w:vertAlign w:val="baseline"/>
          <w:rtl w:val="0"/>
        </w:rPr>
        <w:t xml:space="preserve"> are increasingly recognized in ethnopharmacological research, providing scientific justification for its traditional use in treating metabolic disorders, infections, inflammation, and tissue damage (Khan et al., 2020). </w:t>
      </w:r>
    </w:p>
    <w:p w:rsidR="00000000" w:rsidDel="00000000" w:rsidP="00000000" w:rsidRDefault="00000000" w:rsidRPr="00000000" w14:paraId="000000ED">
      <w:pPr>
        <w:numPr>
          <w:ilvl w:val="0"/>
          <w:numId w:val="1"/>
        </w:numPr>
        <w:spacing w:line="360" w:lineRule="auto"/>
        <w:ind w:left="0" w:firstLine="0"/>
        <w:jc w:val="both"/>
        <w:rPr>
          <w:rFonts w:ascii="Times New Roman" w:cs="Times New Roman" w:eastAsia="Times New Roman" w:hAnsi="Times New Roman"/>
          <w:b w:val="0"/>
          <w:bCs w:val="0"/>
          <w:sz w:val="24"/>
          <w:szCs w:val="24"/>
          <w:highlight w:val="white"/>
          <w:vertAlign w:val="baseline"/>
        </w:rPr>
      </w:pPr>
      <w:r w:rsidDel="00000000" w:rsidR="00000000" w:rsidRPr="00000000">
        <w:rPr>
          <w:rFonts w:ascii="Times New Roman" w:cs="Times New Roman" w:eastAsia="Times New Roman" w:hAnsi="Times New Roman"/>
          <w:b w:val="1"/>
          <w:bCs w:val="1"/>
          <w:sz w:val="24"/>
          <w:szCs w:val="24"/>
          <w:highlight w:val="white"/>
          <w:vertAlign w:val="baseline"/>
          <w:rtl w:val="0"/>
        </w:rPr>
        <w:t xml:space="preserve">CONCLUSION</w:t>
      </w: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highlight w:val="yellow"/>
          <w:vertAlign w:val="baseline"/>
        </w:rPr>
      </w:pPr>
      <w:r w:rsidDel="00000000" w:rsidR="00000000" w:rsidRPr="00000000">
        <w:rPr>
          <w:rFonts w:ascii="Times New Roman" w:cs="Times New Roman" w:eastAsia="Times New Roman" w:hAnsi="Times New Roman"/>
          <w:sz w:val="24"/>
          <w:szCs w:val="24"/>
          <w:highlight w:val="yellow"/>
          <w:vertAlign w:val="baseline"/>
          <w:rtl w:val="0"/>
        </w:rPr>
        <w:t xml:space="preserve">In conclusion, medicinal properties of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 </w:t>
      </w:r>
      <w:r w:rsidDel="00000000" w:rsidR="00000000" w:rsidRPr="00000000">
        <w:rPr>
          <w:rFonts w:ascii="Times New Roman" w:cs="Times New Roman" w:eastAsia="Times New Roman" w:hAnsi="Times New Roman"/>
          <w:sz w:val="24"/>
          <w:szCs w:val="24"/>
          <w:highlight w:val="yellow"/>
          <w:vertAlign w:val="baseline"/>
          <w:rtl w:val="0"/>
        </w:rPr>
        <w:t xml:space="preserve">extracts underscore their potential in the development of natural therapeutic agents for oxidative stress related disorders, microbial infections, inflammatory conditions, and certain cancers. Moreover, the demonstrated antimicrobial and antioxidant effects further position </w:t>
      </w:r>
      <w:r w:rsidDel="00000000" w:rsidR="00000000" w:rsidRPr="00000000">
        <w:rPr>
          <w:rFonts w:ascii="Times New Roman" w:cs="Times New Roman" w:eastAsia="Times New Roman" w:hAnsi="Times New Roman"/>
          <w:i w:val="1"/>
          <w:iCs w:val="1"/>
          <w:sz w:val="24"/>
          <w:szCs w:val="24"/>
          <w:highlight w:val="yellow"/>
          <w:vertAlign w:val="baseline"/>
          <w:rtl w:val="0"/>
        </w:rPr>
        <w:t xml:space="preserve">L. inermis</w:t>
      </w:r>
      <w:r w:rsidDel="00000000" w:rsidR="00000000" w:rsidRPr="00000000">
        <w:rPr>
          <w:rFonts w:ascii="Times New Roman" w:cs="Times New Roman" w:eastAsia="Times New Roman" w:hAnsi="Times New Roman"/>
          <w:sz w:val="24"/>
          <w:szCs w:val="24"/>
          <w:highlight w:val="yellow"/>
          <w:vertAlign w:val="baseline"/>
          <w:rtl w:val="0"/>
        </w:rPr>
        <w:t xml:space="preserve"> as a versatile candidate for incorporation into pharmaceutical formulations, nutraceuticals offering a safe and effective alternative to synthetic drugs and preservatives. Continued research and clinical validation will enable the translation of these phytochemicals into novel, evidence based therapies.</w:t>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highlight w:val="white"/>
          <w:vertAlign w:val="baseline"/>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color w:val="000000"/>
          <w:sz w:val="24"/>
          <w:szCs w:val="24"/>
          <w:highlight w:val="white"/>
          <w:vertAlign w:val="baseline"/>
        </w:rPr>
      </w:pPr>
      <w:r w:rsidDel="00000000" w:rsidR="00000000" w:rsidRPr="00000000">
        <w:rPr>
          <w:rFonts w:ascii="Times New Roman" w:cs="Times New Roman" w:eastAsia="Times New Roman" w:hAnsi="Times New Roman"/>
          <w:color w:val="000000"/>
          <w:sz w:val="24"/>
          <w:szCs w:val="24"/>
          <w:highlight w:val="white"/>
          <w:vertAlign w:val="baseline"/>
          <w:rtl w:val="0"/>
        </w:rPr>
        <w:t xml:space="preserve">COMPETING INTERESTS DISCLAIMER:</w:t>
      </w:r>
    </w:p>
    <w:p w:rsidR="00000000" w:rsidDel="00000000" w:rsidP="00000000" w:rsidRDefault="00000000" w:rsidRPr="00000000" w14:paraId="000000F1">
      <w:pPr>
        <w:spacing w:line="360" w:lineRule="auto"/>
        <w:jc w:val="both"/>
        <w:rPr>
          <w:rFonts w:ascii="Times New Roman" w:cs="Times New Roman" w:eastAsia="Times New Roman" w:hAnsi="Times New Roman"/>
          <w:color w:val="000000"/>
          <w:sz w:val="24"/>
          <w:szCs w:val="24"/>
          <w:highlight w:val="white"/>
          <w:vertAlign w:val="baseline"/>
        </w:rPr>
      </w:pPr>
      <w:bookmarkStart w:colFirst="0" w:colLast="0" w:name="_heading=h.nefkrpo0hmei" w:id="0"/>
      <w:bookmarkEnd w:id="0"/>
      <w:r w:rsidDel="00000000" w:rsidR="00000000" w:rsidRPr="00000000">
        <w:rPr>
          <w:rFonts w:ascii="Times New Roman" w:cs="Times New Roman" w:eastAsia="Times New Roman" w:hAnsi="Times New Roman"/>
          <w:color w:val="000000"/>
          <w:sz w:val="24"/>
          <w:szCs w:val="24"/>
          <w:highlight w:val="white"/>
          <w:vertAlign w:val="baseline"/>
          <w:rtl w:val="0"/>
        </w:rPr>
        <w:t xml:space="preserve">Authors have declared that they have no known competing financial interests OR non-financial interests OR personal relationships that could have appeared to influence the work reported in this paper.</w:t>
      </w:r>
    </w:p>
    <w:p w:rsidR="00000000" w:rsidDel="00000000" w:rsidP="00000000" w:rsidRDefault="00000000" w:rsidRPr="00000000" w14:paraId="000000F2">
      <w:pPr>
        <w:keepNext w:val="1"/>
        <w:keepLines w:val="1"/>
        <w:spacing w:after="120" w:before="120" w:line="360"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Disclaimer (Artificial intelligence)</w:t>
      </w:r>
    </w:p>
    <w:p w:rsidR="00000000" w:rsidDel="00000000" w:rsidP="00000000" w:rsidRDefault="00000000" w:rsidRPr="00000000" w14:paraId="000000F3">
      <w:pPr>
        <w:keepNext w:val="1"/>
        <w:keepLines w:val="1"/>
        <w:spacing w:after="120" w:before="120" w:line="360"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0F4">
      <w:pPr>
        <w:spacing w:line="360" w:lineRule="auto"/>
        <w:jc w:val="both"/>
        <w:rPr>
          <w:rFonts w:ascii="Times New Roman" w:cs="Times New Roman" w:eastAsia="Times New Roman" w:hAnsi="Times New Roman"/>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highlight w:val="white"/>
          <w:vertAlign w:val="baseline"/>
        </w:rPr>
      </w:pP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b w:val="0"/>
          <w:bCs w:val="0"/>
          <w:sz w:val="24"/>
          <w:szCs w:val="24"/>
          <w:highlight w:val="white"/>
          <w:vertAlign w:val="baseline"/>
        </w:rPr>
      </w:pPr>
      <w:r w:rsidDel="00000000" w:rsidR="00000000" w:rsidRPr="00000000">
        <w:rPr>
          <w:rFonts w:ascii="Times New Roman" w:cs="Times New Roman" w:eastAsia="Times New Roman" w:hAnsi="Times New Roman"/>
          <w:b w:val="1"/>
          <w:bCs w:val="1"/>
          <w:sz w:val="24"/>
          <w:szCs w:val="24"/>
          <w:highlight w:val="white"/>
          <w:vertAlign w:val="baseline"/>
          <w:rtl w:val="0"/>
        </w:rPr>
        <w:t xml:space="preserve">REFERENCES</w:t>
      </w:r>
      <w:r w:rsidDel="00000000" w:rsidR="00000000" w:rsidRPr="00000000">
        <w:rPr>
          <w:rtl w:val="0"/>
        </w:rPr>
      </w:r>
    </w:p>
    <w:p w:rsidR="00000000" w:rsidDel="00000000" w:rsidP="00000000" w:rsidRDefault="00000000" w:rsidRPr="00000000" w14:paraId="000000F7">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Abdel-Moneim, A. M., Soliman, M. M., Hassan, H. M., &amp; El-Gayar, A. M. (2024). Biosynthesis of ZnO nanoparticles using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Lawsonia inermis</w:t>
      </w:r>
      <w:r w:rsidDel="00000000" w:rsidR="00000000" w:rsidRPr="00000000">
        <w:rPr>
          <w:rFonts w:ascii="Times New Roman" w:cs="Times New Roman" w:eastAsia="Times New Roman" w:hAnsi="Times New Roman"/>
          <w:sz w:val="24"/>
          <w:szCs w:val="24"/>
          <w:highlight w:val="white"/>
          <w:vertAlign w:val="baseline"/>
          <w:rtl w:val="0"/>
        </w:rPr>
        <w:t xml:space="preserve"> leaf extract and their synergistic activity with antibiotics against ESBL-producing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Klebsiella pneumoniae</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Pharmaceutic</w:t>
      </w:r>
      <w:r w:rsidDel="00000000" w:rsidR="00000000" w:rsidRPr="00000000">
        <w:rPr>
          <w:rFonts w:ascii="Times New Roman" w:cs="Times New Roman" w:eastAsia="Times New Roman" w:hAnsi="Times New Roman"/>
          <w:sz w:val="24"/>
          <w:szCs w:val="24"/>
          <w:highlight w:val="white"/>
          <w:vertAlign w:val="baseline"/>
          <w:rtl w:val="0"/>
        </w:rPr>
        <w:t xml:space="preserve">als, 17(3), 22.</w:t>
      </w:r>
    </w:p>
    <w:p w:rsidR="00000000" w:rsidDel="00000000" w:rsidP="00000000" w:rsidRDefault="00000000" w:rsidRPr="00000000" w14:paraId="000000F8">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Abdelrahman, M. M., Ali, M. E., Soltan, M. A., &amp; El-Sheikh, M. A. (2020).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Lawsonia inermis</w:t>
      </w:r>
      <w:r w:rsidDel="00000000" w:rsidR="00000000" w:rsidRPr="00000000">
        <w:rPr>
          <w:rFonts w:ascii="Times New Roman" w:cs="Times New Roman" w:eastAsia="Times New Roman" w:hAnsi="Times New Roman"/>
          <w:sz w:val="24"/>
          <w:szCs w:val="24"/>
          <w:highlight w:val="white"/>
          <w:vertAlign w:val="baseline"/>
          <w:rtl w:val="0"/>
        </w:rPr>
        <w:t xml:space="preserve"> extract: GC-MS analysis and its antimycobacterial activity against drug-resistant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Mycobacterium tuberculosis</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Egyptian Journal of Basic and Applied Sciences</w:t>
      </w:r>
      <w:r w:rsidDel="00000000" w:rsidR="00000000" w:rsidRPr="00000000">
        <w:rPr>
          <w:rFonts w:ascii="Times New Roman" w:cs="Times New Roman" w:eastAsia="Times New Roman" w:hAnsi="Times New Roman"/>
          <w:sz w:val="24"/>
          <w:szCs w:val="24"/>
          <w:highlight w:val="white"/>
          <w:vertAlign w:val="baseline"/>
          <w:rtl w:val="0"/>
        </w:rPr>
        <w:t xml:space="preserve">, 7(1), 68–76. </w:t>
      </w:r>
    </w:p>
    <w:p w:rsidR="00000000" w:rsidDel="00000000" w:rsidP="00000000" w:rsidRDefault="00000000" w:rsidRPr="00000000" w14:paraId="000000F9">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Acharya, S., Giri, M., Arzoo, A., Choudhury, B., &amp; Pan, S. K. (2025).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Decoding the bioactive profile of Lawsonia inermis: Phytochemical and spectroscopic analysis with antibacterial implications.</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Anti-Infective Agents, </w:t>
      </w:r>
      <w:r w:rsidDel="00000000" w:rsidR="00000000" w:rsidRPr="00000000">
        <w:rPr>
          <w:rFonts w:ascii="Times New Roman" w:cs="Times New Roman" w:eastAsia="Times New Roman" w:hAnsi="Times New Roman"/>
          <w:sz w:val="24"/>
          <w:szCs w:val="24"/>
          <w:highlight w:val="white"/>
          <w:vertAlign w:val="baseline"/>
          <w:rtl w:val="0"/>
        </w:rPr>
        <w:t xml:space="preserve">24(3), e22113525388969.</w:t>
      </w:r>
    </w:p>
    <w:p w:rsidR="00000000" w:rsidDel="00000000" w:rsidP="00000000" w:rsidRDefault="00000000" w:rsidRPr="00000000" w14:paraId="000000FA">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Adeyemi, O. O., Adetunji, C. O., &amp; Afolabi, O. J. (2022). Antioxidant properties and phytochemical composition of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Lawsonia inermis</w:t>
      </w:r>
      <w:r w:rsidDel="00000000" w:rsidR="00000000" w:rsidRPr="00000000">
        <w:rPr>
          <w:rFonts w:ascii="Times New Roman" w:cs="Times New Roman" w:eastAsia="Times New Roman" w:hAnsi="Times New Roman"/>
          <w:sz w:val="24"/>
          <w:szCs w:val="24"/>
          <w:highlight w:val="white"/>
          <w:vertAlign w:val="baseline"/>
          <w:rtl w:val="0"/>
        </w:rPr>
        <w:t xml:space="preserve"> extracts.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St. Joseph’s Journal of Humanities and Science, 5</w:t>
      </w:r>
      <w:r w:rsidDel="00000000" w:rsidR="00000000" w:rsidRPr="00000000">
        <w:rPr>
          <w:rFonts w:ascii="Times New Roman" w:cs="Times New Roman" w:eastAsia="Times New Roman" w:hAnsi="Times New Roman"/>
          <w:sz w:val="24"/>
          <w:szCs w:val="24"/>
          <w:highlight w:val="white"/>
          <w:vertAlign w:val="baseline"/>
          <w:rtl w:val="0"/>
        </w:rPr>
        <w:t xml:space="preserve">(2), 111–118.</w:t>
      </w:r>
    </w:p>
    <w:p w:rsidR="00000000" w:rsidDel="00000000" w:rsidP="00000000" w:rsidRDefault="00000000" w:rsidRPr="00000000" w14:paraId="000000FB">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Agbor, G. A., Vinson, J. A. &amp; Donnelly, P. E. (2014). Folin-Ciocalteau reagent for polyphenolic assay.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International Journal of Food Science, Nutrition and Dietetics</w:t>
      </w:r>
      <w:r w:rsidDel="00000000" w:rsidR="00000000" w:rsidRPr="00000000">
        <w:rPr>
          <w:rFonts w:ascii="Times New Roman" w:cs="Times New Roman" w:eastAsia="Times New Roman" w:hAnsi="Times New Roman"/>
          <w:sz w:val="24"/>
          <w:szCs w:val="24"/>
          <w:highlight w:val="white"/>
          <w:vertAlign w:val="baseline"/>
          <w:rtl w:val="0"/>
        </w:rPr>
        <w:t xml:space="preserve">, 3(8), 147-156.</w:t>
      </w:r>
    </w:p>
    <w:p w:rsidR="00000000" w:rsidDel="00000000" w:rsidP="00000000" w:rsidRDefault="00000000" w:rsidRPr="00000000" w14:paraId="000000FC">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Ahuja, I., Kissen, R. &amp; Bones, A. M. (2012). Phytoalexins in defense against pathogens.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Trends in Plant Science, </w:t>
      </w:r>
      <w:r w:rsidDel="00000000" w:rsidR="00000000" w:rsidRPr="00000000">
        <w:rPr>
          <w:rFonts w:ascii="Times New Roman" w:cs="Times New Roman" w:eastAsia="Times New Roman" w:hAnsi="Times New Roman"/>
          <w:sz w:val="24"/>
          <w:szCs w:val="24"/>
          <w:highlight w:val="white"/>
          <w:vertAlign w:val="baseline"/>
          <w:rtl w:val="0"/>
        </w:rPr>
        <w:t xml:space="preserve">17(2), 73-90.</w:t>
      </w:r>
    </w:p>
    <w:p w:rsidR="00000000" w:rsidDel="00000000" w:rsidP="00000000" w:rsidRDefault="00000000" w:rsidRPr="00000000" w14:paraId="000000FD">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Aliyu, A., Musa, A. B., &amp; Lawal, M. I. (2023). In vitro antibacterial activity of Lawsonia inermis extracts against multidrug-resistant Pseudomonas aeruginosa isolated from wound infections.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European Journal of Medicinal Plants</w:t>
      </w:r>
      <w:r w:rsidDel="00000000" w:rsidR="00000000" w:rsidRPr="00000000">
        <w:rPr>
          <w:rFonts w:ascii="Times New Roman" w:cs="Times New Roman" w:eastAsia="Times New Roman" w:hAnsi="Times New Roman"/>
          <w:sz w:val="24"/>
          <w:szCs w:val="24"/>
          <w:highlight w:val="white"/>
          <w:vertAlign w:val="baseline"/>
          <w:rtl w:val="0"/>
        </w:rPr>
        <w:t xml:space="preserve">, 34(4), 13–22. </w:t>
      </w:r>
    </w:p>
    <w:p w:rsidR="00000000" w:rsidDel="00000000" w:rsidP="00000000" w:rsidRDefault="00000000" w:rsidRPr="00000000" w14:paraId="000000FE">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Almasri, R. S., Bedir, A. S., &amp; Al Raish, S. M. (2025). Comprehensive Ethnopharmacological Analysis of Medicinal Plants in the UAE: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Lawsonia inermis</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Nigella sativa</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Ziziphus spina-christi</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Allium cepa</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Allium sativum</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Cymbopogon schoenanthus</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Matricaria aurea</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Phoenix dactylifera</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Portulaca oleracea</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Reichardia tingitana</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Salvadora persica</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Solanum lycopersicum</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Trigonella foenum-graecum</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Withania somnifera</w:t>
      </w:r>
      <w:r w:rsidDel="00000000" w:rsidR="00000000" w:rsidRPr="00000000">
        <w:rPr>
          <w:rFonts w:ascii="Times New Roman" w:cs="Times New Roman" w:eastAsia="Times New Roman" w:hAnsi="Times New Roman"/>
          <w:sz w:val="24"/>
          <w:szCs w:val="24"/>
          <w:highlight w:val="white"/>
          <w:vertAlign w:val="baseline"/>
          <w:rtl w:val="0"/>
        </w:rPr>
        <w:t xml:space="preserve">, and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Ziziphus lotus</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Nutrients</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17</w:t>
      </w:r>
      <w:r w:rsidDel="00000000" w:rsidR="00000000" w:rsidRPr="00000000">
        <w:rPr>
          <w:rFonts w:ascii="Times New Roman" w:cs="Times New Roman" w:eastAsia="Times New Roman" w:hAnsi="Times New Roman"/>
          <w:sz w:val="24"/>
          <w:szCs w:val="24"/>
          <w:highlight w:val="white"/>
          <w:vertAlign w:val="baseline"/>
          <w:rtl w:val="0"/>
        </w:rPr>
        <w:t xml:space="preserve">(3), 411.</w:t>
      </w:r>
    </w:p>
    <w:p w:rsidR="00000000" w:rsidDel="00000000" w:rsidP="00000000" w:rsidRDefault="00000000" w:rsidRPr="00000000" w14:paraId="000000FF">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Al-Rashdi, A. S., Al-Balushi, A. A., &amp; Khan, S. A. (2023). Green synthesis and characterization of silver nanoparticles using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Lawsonia inermis</w:t>
      </w:r>
      <w:r w:rsidDel="00000000" w:rsidR="00000000" w:rsidRPr="00000000">
        <w:rPr>
          <w:rFonts w:ascii="Times New Roman" w:cs="Times New Roman" w:eastAsia="Times New Roman" w:hAnsi="Times New Roman"/>
          <w:sz w:val="24"/>
          <w:szCs w:val="24"/>
          <w:highlight w:val="white"/>
          <w:vertAlign w:val="baseline"/>
          <w:rtl w:val="0"/>
        </w:rPr>
        <w:t xml:space="preserve"> leaf extract and their antibacterial activity.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Applied Biochemistry and Biotechnology</w:t>
      </w:r>
      <w:r w:rsidDel="00000000" w:rsidR="00000000" w:rsidRPr="00000000">
        <w:rPr>
          <w:rFonts w:ascii="Times New Roman" w:cs="Times New Roman" w:eastAsia="Times New Roman" w:hAnsi="Times New Roman"/>
          <w:sz w:val="24"/>
          <w:szCs w:val="24"/>
          <w:highlight w:val="white"/>
          <w:vertAlign w:val="baseline"/>
          <w:rtl w:val="0"/>
        </w:rPr>
        <w:t xml:space="preserve">, 195(6), 4211–4225. </w:t>
      </w:r>
    </w:p>
    <w:p w:rsidR="00000000" w:rsidDel="00000000" w:rsidP="00000000" w:rsidRDefault="00000000" w:rsidRPr="00000000" w14:paraId="00000100">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AlSheikh, H.M.A., Sultan, I., Kumar, V., Rather, I.A., Al-Sheikh, H., Tasleem Jan, A. &amp; Haq, Q.M.R. (2020). Plant-based phytochemicals as possible alternatives to antibiotics in combating bacterial drug resistance.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Antibiotics</w:t>
      </w:r>
      <w:r w:rsidDel="00000000" w:rsidR="00000000" w:rsidRPr="00000000">
        <w:rPr>
          <w:rFonts w:ascii="Times New Roman" w:cs="Times New Roman" w:eastAsia="Times New Roman" w:hAnsi="Times New Roman"/>
          <w:sz w:val="24"/>
          <w:szCs w:val="24"/>
          <w:highlight w:val="white"/>
          <w:vertAlign w:val="baseline"/>
          <w:rtl w:val="0"/>
        </w:rPr>
        <w:t xml:space="preserve"> 9 (8), 480.</w:t>
      </w:r>
    </w:p>
    <w:p w:rsidR="00000000" w:rsidDel="00000000" w:rsidP="00000000" w:rsidRDefault="00000000" w:rsidRPr="00000000" w14:paraId="00000101">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Althunibat, O.Y., Qaralleh, H., Al-Dalin, S.Y.A., Abboud, M., Khleifat, K., Majali, I.S., Aldal'in, H.K., Rayyan, W.A. &amp; Jaafraa, A. (2016). Effect of thymol and carvacrol, the major components of Thymus capitatus on the growth of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Pseudomonas aeruginosa</w:t>
      </w:r>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Journal of Pure Applied Microbiology, </w:t>
      </w:r>
      <w:r w:rsidDel="00000000" w:rsidR="00000000" w:rsidRPr="00000000">
        <w:rPr>
          <w:rFonts w:ascii="Times New Roman" w:cs="Times New Roman" w:eastAsia="Times New Roman" w:hAnsi="Times New Roman"/>
          <w:sz w:val="24"/>
          <w:szCs w:val="24"/>
          <w:highlight w:val="white"/>
          <w:vertAlign w:val="baseline"/>
          <w:rtl w:val="0"/>
        </w:rPr>
        <w:t xml:space="preserve">10 (1), 367-374.</w:t>
      </w:r>
    </w:p>
    <w:p w:rsidR="00000000" w:rsidDel="00000000" w:rsidP="00000000" w:rsidRDefault="00000000" w:rsidRPr="00000000" w14:paraId="00000102">
      <w:pPr>
        <w:spacing w:line="276" w:lineRule="auto"/>
        <w:jc w:val="both"/>
        <w:rPr>
          <w:rFonts w:ascii="Times New Roman" w:cs="Times New Roman" w:eastAsia="Times New Roman" w:hAnsi="Times New Roman"/>
          <w:sz w:val="24"/>
          <w:szCs w:val="24"/>
          <w:highlight w:val="white"/>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Anand, U., Jacobo-Herrera, N., Altemimi, A. &amp; Lakhssassi, N. (2019). A comprehensive review on medicinal plants as antimicrobial therapeutics: Potential avenues of biocompatible drug discovery. </w:t>
      </w:r>
      <w:r w:rsidDel="00000000" w:rsidR="00000000" w:rsidRPr="00000000">
        <w:rPr>
          <w:rFonts w:ascii="Times New Roman" w:cs="Times New Roman" w:eastAsia="Times New Roman" w:hAnsi="Times New Roman"/>
          <w:i w:val="1"/>
          <w:iCs w:val="1"/>
          <w:sz w:val="24"/>
          <w:szCs w:val="24"/>
          <w:highlight w:val="white"/>
          <w:vertAlign w:val="baseline"/>
          <w:rtl w:val="0"/>
        </w:rPr>
        <w:t xml:space="preserve">Metabolites</w:t>
      </w:r>
      <w:r w:rsidDel="00000000" w:rsidR="00000000" w:rsidRPr="00000000">
        <w:rPr>
          <w:rFonts w:ascii="Times New Roman" w:cs="Times New Roman" w:eastAsia="Times New Roman" w:hAnsi="Times New Roman"/>
          <w:sz w:val="24"/>
          <w:szCs w:val="24"/>
          <w:highlight w:val="white"/>
          <w:vertAlign w:val="baseline"/>
          <w:rtl w:val="0"/>
        </w:rPr>
        <w:t xml:space="preserve">, 9(11), 258.</w:t>
      </w:r>
    </w:p>
    <w:p w:rsidR="00000000" w:rsidDel="00000000" w:rsidP="00000000" w:rsidRDefault="00000000" w:rsidRPr="00000000" w14:paraId="0000010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Anand, U., Nandy, S., Mundhra, A., Das, N., Pandey, D. K. &amp; Dey, A. (2020). A review on antimicrobial botanicals, phytochemicals and natural resistance modifying agents from Apocynaceae family: Possible therapeu</w:t>
      </w:r>
      <w:r w:rsidDel="00000000" w:rsidR="00000000" w:rsidRPr="00000000">
        <w:rPr>
          <w:rFonts w:ascii="Times New Roman" w:cs="Times New Roman" w:eastAsia="Times New Roman" w:hAnsi="Times New Roman"/>
          <w:sz w:val="24"/>
          <w:szCs w:val="24"/>
          <w:vertAlign w:val="baseline"/>
          <w:rtl w:val="0"/>
        </w:rPr>
        <w:t xml:space="preserve">tic approaches against multidrug resistance in pathogenic microorganisms. </w:t>
      </w:r>
      <w:r w:rsidDel="00000000" w:rsidR="00000000" w:rsidRPr="00000000">
        <w:rPr>
          <w:rFonts w:ascii="Times New Roman" w:cs="Times New Roman" w:eastAsia="Times New Roman" w:hAnsi="Times New Roman"/>
          <w:i w:val="1"/>
          <w:iCs w:val="1"/>
          <w:sz w:val="24"/>
          <w:szCs w:val="24"/>
          <w:vertAlign w:val="baseline"/>
          <w:rtl w:val="0"/>
        </w:rPr>
        <w:t xml:space="preserve">Drug Resistance Updates</w:t>
      </w:r>
      <w:r w:rsidDel="00000000" w:rsidR="00000000" w:rsidRPr="00000000">
        <w:rPr>
          <w:rFonts w:ascii="Times New Roman" w:cs="Times New Roman" w:eastAsia="Times New Roman" w:hAnsi="Times New Roman"/>
          <w:sz w:val="24"/>
          <w:szCs w:val="24"/>
          <w:vertAlign w:val="baseline"/>
          <w:rtl w:val="0"/>
        </w:rPr>
        <w:t xml:space="preserve">, 51, 100695.</w:t>
      </w:r>
    </w:p>
    <w:p w:rsidR="00000000" w:rsidDel="00000000" w:rsidP="00000000" w:rsidRDefault="00000000" w:rsidRPr="00000000" w14:paraId="0000010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Asnaashari, M., Tajik, R. &amp; Khodaparast, M. H. H. (2015). Antioxidant activity of raspberry (Rubus fruticosus) leaves extract and its effect on oxidative stability of sunflower oil. </w:t>
      </w:r>
      <w:r w:rsidDel="00000000" w:rsidR="00000000" w:rsidRPr="00000000">
        <w:rPr>
          <w:rFonts w:ascii="Times New Roman" w:cs="Times New Roman" w:eastAsia="Times New Roman" w:hAnsi="Times New Roman"/>
          <w:i w:val="1"/>
          <w:iCs w:val="1"/>
          <w:sz w:val="24"/>
          <w:szCs w:val="24"/>
          <w:vertAlign w:val="baseline"/>
          <w:rtl w:val="0"/>
        </w:rPr>
        <w:t xml:space="preserve">Journal of Food Science and Technology</w:t>
      </w:r>
      <w:r w:rsidDel="00000000" w:rsidR="00000000" w:rsidRPr="00000000">
        <w:rPr>
          <w:rFonts w:ascii="Times New Roman" w:cs="Times New Roman" w:eastAsia="Times New Roman" w:hAnsi="Times New Roman"/>
          <w:sz w:val="24"/>
          <w:szCs w:val="24"/>
          <w:vertAlign w:val="baseline"/>
          <w:rtl w:val="0"/>
        </w:rPr>
        <w:t xml:space="preserve">, 52, 5180-5187.</w:t>
      </w:r>
    </w:p>
    <w:p w:rsidR="00000000" w:rsidDel="00000000" w:rsidP="00000000" w:rsidRDefault="00000000" w:rsidRPr="00000000" w14:paraId="00000105">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Ayaz, M., Ullah, F., Sadiq, A., Ullah, F., Ovais, M., Ahmed, J. &amp; Devkota, H. P. (2019). Synergistic interactions of phytochemicals with antimicrobial agents: Potential strategy to counteract drug resistance. </w:t>
      </w:r>
      <w:r w:rsidDel="00000000" w:rsidR="00000000" w:rsidRPr="00000000">
        <w:rPr>
          <w:rFonts w:ascii="Times New Roman" w:cs="Times New Roman" w:eastAsia="Times New Roman" w:hAnsi="Times New Roman"/>
          <w:i w:val="1"/>
          <w:iCs w:val="1"/>
          <w:sz w:val="24"/>
          <w:szCs w:val="24"/>
          <w:vertAlign w:val="baseline"/>
          <w:rtl w:val="0"/>
        </w:rPr>
        <w:t xml:space="preserve">Chemico-Biological Interactions,</w:t>
      </w:r>
      <w:r w:rsidDel="00000000" w:rsidR="00000000" w:rsidRPr="00000000">
        <w:rPr>
          <w:rFonts w:ascii="Times New Roman" w:cs="Times New Roman" w:eastAsia="Times New Roman" w:hAnsi="Times New Roman"/>
          <w:sz w:val="24"/>
          <w:szCs w:val="24"/>
          <w:vertAlign w:val="baseline"/>
          <w:rtl w:val="0"/>
        </w:rPr>
        <w:t xml:space="preserve"> 308, 294-303.</w:t>
      </w:r>
    </w:p>
    <w:p w:rsidR="00000000" w:rsidDel="00000000" w:rsidP="00000000" w:rsidRDefault="00000000" w:rsidRPr="00000000" w14:paraId="00000106">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Bauer, A.W., Kirby, W.M.M., Sherris, J.C. &amp; Turck M. (1966). Antibiotic susceptibility testing by a standardised single disk method. </w:t>
      </w:r>
      <w:r w:rsidDel="00000000" w:rsidR="00000000" w:rsidRPr="00000000">
        <w:rPr>
          <w:rFonts w:ascii="Times New Roman" w:cs="Times New Roman" w:eastAsia="Times New Roman" w:hAnsi="Times New Roman"/>
          <w:i w:val="1"/>
          <w:iCs w:val="1"/>
          <w:sz w:val="24"/>
          <w:szCs w:val="24"/>
          <w:vertAlign w:val="baseline"/>
          <w:rtl w:val="0"/>
        </w:rPr>
        <w:t xml:space="preserve">American Journal of Clinical Pathology</w:t>
      </w:r>
      <w:r w:rsidDel="00000000" w:rsidR="00000000" w:rsidRPr="00000000">
        <w:rPr>
          <w:rFonts w:ascii="Times New Roman" w:cs="Times New Roman" w:eastAsia="Times New Roman" w:hAnsi="Times New Roman"/>
          <w:sz w:val="24"/>
          <w:szCs w:val="24"/>
          <w:vertAlign w:val="baseline"/>
          <w:rtl w:val="0"/>
        </w:rPr>
        <w:t xml:space="preserve">, 45 (4), 493-496.</w:t>
      </w:r>
    </w:p>
    <w:p w:rsidR="00000000" w:rsidDel="00000000" w:rsidP="00000000" w:rsidRDefault="00000000" w:rsidRPr="00000000" w14:paraId="00000107">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Bansal, P. (2023). </w:t>
      </w:r>
      <w:r w:rsidDel="00000000" w:rsidR="00000000" w:rsidRPr="00000000">
        <w:rPr>
          <w:rFonts w:ascii="Times New Roman" w:cs="Times New Roman" w:eastAsia="Times New Roman" w:hAnsi="Times New Roman"/>
          <w:i w:val="1"/>
          <w:iCs w:val="1"/>
          <w:sz w:val="24"/>
          <w:szCs w:val="24"/>
          <w:vertAlign w:val="baseline"/>
          <w:rtl w:val="0"/>
        </w:rPr>
        <w:t xml:space="preserve">Assessment of antibiotic-resistant bacteria in hospital effluents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World Journal of Advanced Research and Reviews</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108">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Basile, A., Sorbo, S., Spadaro, V., Bruno, M., Maggio, A., Faraone, N. &amp; Rosselli, S. (2009). Antimicrobial and antioxidant activities of coumarins from the roots of Ferulago campestris (Apiaceae). </w:t>
      </w:r>
      <w:r w:rsidDel="00000000" w:rsidR="00000000" w:rsidRPr="00000000">
        <w:rPr>
          <w:rFonts w:ascii="Times New Roman" w:cs="Times New Roman" w:eastAsia="Times New Roman" w:hAnsi="Times New Roman"/>
          <w:i w:val="1"/>
          <w:iCs w:val="1"/>
          <w:sz w:val="24"/>
          <w:szCs w:val="24"/>
          <w:vertAlign w:val="baseline"/>
          <w:rtl w:val="0"/>
        </w:rPr>
        <w:t xml:space="preserve">Molecules,</w:t>
      </w:r>
      <w:r w:rsidDel="00000000" w:rsidR="00000000" w:rsidRPr="00000000">
        <w:rPr>
          <w:rFonts w:ascii="Times New Roman" w:cs="Times New Roman" w:eastAsia="Times New Roman" w:hAnsi="Times New Roman"/>
          <w:sz w:val="24"/>
          <w:szCs w:val="24"/>
          <w:vertAlign w:val="baseline"/>
          <w:rtl w:val="0"/>
        </w:rPr>
        <w:t xml:space="preserve"> 14(3), 939-952.</w:t>
      </w:r>
    </w:p>
    <w:p w:rsidR="00000000" w:rsidDel="00000000" w:rsidP="00000000" w:rsidRDefault="00000000" w:rsidRPr="00000000" w14:paraId="00000109">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Bazzaz, B. S. F., Memariani, Z., Khashiarmanesh, Z., Iranshahi, M. &amp; Naderinasab, M. (2010). Effect of galbanic acid, a sesquiterpene coumarin from Ferula szowitsiana, as an inhibitor of efflux mechanism in resistant clinical isolates of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 Brazilian Journal of Microbiology</w:t>
      </w:r>
      <w:r w:rsidDel="00000000" w:rsidR="00000000" w:rsidRPr="00000000">
        <w:rPr>
          <w:rFonts w:ascii="Times New Roman" w:cs="Times New Roman" w:eastAsia="Times New Roman" w:hAnsi="Times New Roman"/>
          <w:sz w:val="24"/>
          <w:szCs w:val="24"/>
          <w:vertAlign w:val="baseline"/>
          <w:rtl w:val="0"/>
        </w:rPr>
        <w:t xml:space="preserve">, 41, 574-580.</w:t>
      </w:r>
    </w:p>
    <w:p w:rsidR="00000000" w:rsidDel="00000000" w:rsidP="00000000" w:rsidRDefault="00000000" w:rsidRPr="00000000" w14:paraId="0000010A">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Behl, T., Kumar, K., Brisc, C., Rus, M., Nistor-Cseppento, D.C., Bustea, C., Aron, R.A.C., Pantis, C., Zengin, G., Sehgal, A. &amp; Kaur, R. (2021). Exploring the multifocal role of phytochemicals as immunomodulators.</w:t>
      </w:r>
      <w:r w:rsidDel="00000000" w:rsidR="00000000" w:rsidRPr="00000000">
        <w:rPr>
          <w:rFonts w:ascii="Times New Roman" w:cs="Times New Roman" w:eastAsia="Times New Roman" w:hAnsi="Times New Roman"/>
          <w:i w:val="1"/>
          <w:iCs w:val="1"/>
          <w:sz w:val="24"/>
          <w:szCs w:val="24"/>
          <w:vertAlign w:val="baseline"/>
          <w:rtl w:val="0"/>
        </w:rPr>
        <w:t xml:space="preserve"> Biomedicine &amp; Pharmacotherapy,</w:t>
      </w:r>
      <w:r w:rsidDel="00000000" w:rsidR="00000000" w:rsidRPr="00000000">
        <w:rPr>
          <w:rFonts w:ascii="Times New Roman" w:cs="Times New Roman" w:eastAsia="Times New Roman" w:hAnsi="Times New Roman"/>
          <w:sz w:val="24"/>
          <w:szCs w:val="24"/>
          <w:vertAlign w:val="baseline"/>
          <w:rtl w:val="0"/>
        </w:rPr>
        <w:t xml:space="preserve"> 133, 110959.</w:t>
      </w:r>
    </w:p>
    <w:p w:rsidR="00000000" w:rsidDel="00000000" w:rsidP="00000000" w:rsidRDefault="00000000" w:rsidRPr="00000000" w14:paraId="0000010B">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Ben-Shabat, S., Yarmolinsky, L., Porat, D. &amp; Dahan, A. (2020). Antiviral effect of phytochemicals from medicinal plants: Applications and drug delivery strategies. </w:t>
      </w:r>
      <w:r w:rsidDel="00000000" w:rsidR="00000000" w:rsidRPr="00000000">
        <w:rPr>
          <w:rFonts w:ascii="Times New Roman" w:cs="Times New Roman" w:eastAsia="Times New Roman" w:hAnsi="Times New Roman"/>
          <w:i w:val="1"/>
          <w:iCs w:val="1"/>
          <w:sz w:val="24"/>
          <w:szCs w:val="24"/>
          <w:vertAlign w:val="baseline"/>
          <w:rtl w:val="0"/>
        </w:rPr>
        <w:t xml:space="preserve">Drug Delivery and Translational Research, </w:t>
      </w:r>
      <w:r w:rsidDel="00000000" w:rsidR="00000000" w:rsidRPr="00000000">
        <w:rPr>
          <w:rFonts w:ascii="Times New Roman" w:cs="Times New Roman" w:eastAsia="Times New Roman" w:hAnsi="Times New Roman"/>
          <w:sz w:val="24"/>
          <w:szCs w:val="24"/>
          <w:vertAlign w:val="baseline"/>
          <w:rtl w:val="0"/>
        </w:rPr>
        <w:t xml:space="preserve">10 (2), 354-367.</w:t>
      </w:r>
    </w:p>
    <w:p w:rsidR="00000000" w:rsidDel="00000000" w:rsidP="00000000" w:rsidRDefault="00000000" w:rsidRPr="00000000" w14:paraId="0000010C">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Beuchat, L.R. &amp; Golden, D.A. (1989). Antimicrobials occurring naturally in foods. </w:t>
      </w:r>
      <w:r w:rsidDel="00000000" w:rsidR="00000000" w:rsidRPr="00000000">
        <w:rPr>
          <w:rFonts w:ascii="Times New Roman" w:cs="Times New Roman" w:eastAsia="Times New Roman" w:hAnsi="Times New Roman"/>
          <w:i w:val="1"/>
          <w:iCs w:val="1"/>
          <w:sz w:val="24"/>
          <w:szCs w:val="24"/>
          <w:vertAlign w:val="baseline"/>
          <w:rtl w:val="0"/>
        </w:rPr>
        <w:t xml:space="preserve">Food Technology,</w:t>
      </w:r>
      <w:r w:rsidDel="00000000" w:rsidR="00000000" w:rsidRPr="00000000">
        <w:rPr>
          <w:rFonts w:ascii="Times New Roman" w:cs="Times New Roman" w:eastAsia="Times New Roman" w:hAnsi="Times New Roman"/>
          <w:sz w:val="24"/>
          <w:szCs w:val="24"/>
          <w:vertAlign w:val="baseline"/>
          <w:rtl w:val="0"/>
        </w:rPr>
        <w:t xml:space="preserve"> 43,134–142.</w:t>
      </w:r>
    </w:p>
    <w:p w:rsidR="00000000" w:rsidDel="00000000" w:rsidP="00000000" w:rsidRDefault="00000000" w:rsidRPr="00000000" w14:paraId="0000010D">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Biswas, D., Nandy, S., Mukherjee, A., Pandey, D. K. &amp; Dey, A. (2020). Moringa oleifera Lam. and derived phytochemicals as promising antiviral agents: A review. </w:t>
      </w:r>
      <w:r w:rsidDel="00000000" w:rsidR="00000000" w:rsidRPr="00000000">
        <w:rPr>
          <w:rFonts w:ascii="Times New Roman" w:cs="Times New Roman" w:eastAsia="Times New Roman" w:hAnsi="Times New Roman"/>
          <w:i w:val="1"/>
          <w:iCs w:val="1"/>
          <w:sz w:val="24"/>
          <w:szCs w:val="24"/>
          <w:vertAlign w:val="baseline"/>
          <w:rtl w:val="0"/>
        </w:rPr>
        <w:t xml:space="preserve">South African Journal of Botany,</w:t>
      </w:r>
      <w:r w:rsidDel="00000000" w:rsidR="00000000" w:rsidRPr="00000000">
        <w:rPr>
          <w:rFonts w:ascii="Times New Roman" w:cs="Times New Roman" w:eastAsia="Times New Roman" w:hAnsi="Times New Roman"/>
          <w:sz w:val="24"/>
          <w:szCs w:val="24"/>
          <w:vertAlign w:val="baseline"/>
          <w:rtl w:val="0"/>
        </w:rPr>
        <w:t xml:space="preserve"> 129, 272-282. </w:t>
      </w:r>
    </w:p>
    <w:p w:rsidR="00000000" w:rsidDel="00000000" w:rsidP="00000000" w:rsidRDefault="00000000" w:rsidRPr="00000000" w14:paraId="0000010E">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Bobinaite, R., Grootaert, C., Van Camp, J., Sarkinas, A., Liaudanskas, M., Zvikas, Viskelis, P. &amp; Venskutonis, P. R. (2020). Chemical composition, antioxidant, antimicrobial and antiproliferative activities of the extracts isolated from the pomace of rowanberry (</w:t>
      </w:r>
      <w:r w:rsidDel="00000000" w:rsidR="00000000" w:rsidRPr="00000000">
        <w:rPr>
          <w:rFonts w:ascii="Times New Roman" w:cs="Times New Roman" w:eastAsia="Times New Roman" w:hAnsi="Times New Roman"/>
          <w:i w:val="1"/>
          <w:iCs w:val="1"/>
          <w:sz w:val="24"/>
          <w:szCs w:val="24"/>
          <w:vertAlign w:val="baseline"/>
          <w:rtl w:val="0"/>
        </w:rPr>
        <w:t xml:space="preserve">Sorbus aucuparia</w:t>
      </w:r>
      <w:r w:rsidDel="00000000" w:rsidR="00000000" w:rsidRPr="00000000">
        <w:rPr>
          <w:rFonts w:ascii="Times New Roman" w:cs="Times New Roman" w:eastAsia="Times New Roman" w:hAnsi="Times New Roman"/>
          <w:sz w:val="24"/>
          <w:szCs w:val="24"/>
          <w:vertAlign w:val="baseline"/>
          <w:rtl w:val="0"/>
        </w:rPr>
        <w:t xml:space="preserve"> L.). </w:t>
      </w:r>
      <w:r w:rsidDel="00000000" w:rsidR="00000000" w:rsidRPr="00000000">
        <w:rPr>
          <w:rFonts w:ascii="Times New Roman" w:cs="Times New Roman" w:eastAsia="Times New Roman" w:hAnsi="Times New Roman"/>
          <w:i w:val="1"/>
          <w:iCs w:val="1"/>
          <w:sz w:val="24"/>
          <w:szCs w:val="24"/>
          <w:vertAlign w:val="baseline"/>
          <w:rtl w:val="0"/>
        </w:rPr>
        <w:t xml:space="preserve">Food Research International, </w:t>
      </w:r>
      <w:r w:rsidDel="00000000" w:rsidR="00000000" w:rsidRPr="00000000">
        <w:rPr>
          <w:rFonts w:ascii="Times New Roman" w:cs="Times New Roman" w:eastAsia="Times New Roman" w:hAnsi="Times New Roman"/>
          <w:sz w:val="24"/>
          <w:szCs w:val="24"/>
          <w:vertAlign w:val="baseline"/>
          <w:rtl w:val="0"/>
        </w:rPr>
        <w:t xml:space="preserve">136, 109310.</w:t>
      </w:r>
    </w:p>
    <w:p w:rsidR="00000000" w:rsidDel="00000000" w:rsidP="00000000" w:rsidRDefault="00000000" w:rsidRPr="00000000" w14:paraId="0000010F">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Brand-Williams, W., Cuvelier, M. E. &amp; Berset, C. L. W. T. (1995). Use of a free radical method to evaluate antioxidant activity. </w:t>
      </w:r>
      <w:r w:rsidDel="00000000" w:rsidR="00000000" w:rsidRPr="00000000">
        <w:rPr>
          <w:rFonts w:ascii="Times New Roman" w:cs="Times New Roman" w:eastAsia="Times New Roman" w:hAnsi="Times New Roman"/>
          <w:i w:val="1"/>
          <w:iCs w:val="1"/>
          <w:sz w:val="24"/>
          <w:szCs w:val="24"/>
          <w:vertAlign w:val="baseline"/>
          <w:rtl w:val="0"/>
        </w:rPr>
        <w:t xml:space="preserve">LWT-Food Science and Technology</w:t>
      </w:r>
      <w:r w:rsidDel="00000000" w:rsidR="00000000" w:rsidRPr="00000000">
        <w:rPr>
          <w:rFonts w:ascii="Times New Roman" w:cs="Times New Roman" w:eastAsia="Times New Roman" w:hAnsi="Times New Roman"/>
          <w:sz w:val="24"/>
          <w:szCs w:val="24"/>
          <w:vertAlign w:val="baseline"/>
          <w:rtl w:val="0"/>
        </w:rPr>
        <w:t xml:space="preserve">, 28(1), 25-30.</w:t>
      </w:r>
    </w:p>
    <w:p w:rsidR="00000000" w:rsidDel="00000000" w:rsidP="00000000" w:rsidRDefault="00000000" w:rsidRPr="00000000" w14:paraId="00000110">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Budzynska, A., Rozalski, M., Karolczak, W., Szakiel, M. W., Sadowska, B. &amp; Rozalska, B. (2011). Synthetic 3-Arylidene avanones as Inhibitors of the Initial Stages of Biofilm Formation by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and </w:t>
      </w:r>
      <w:r w:rsidDel="00000000" w:rsidR="00000000" w:rsidRPr="00000000">
        <w:rPr>
          <w:rFonts w:ascii="Times New Roman" w:cs="Times New Roman" w:eastAsia="Times New Roman" w:hAnsi="Times New Roman"/>
          <w:i w:val="1"/>
          <w:iCs w:val="1"/>
          <w:sz w:val="24"/>
          <w:szCs w:val="24"/>
          <w:vertAlign w:val="baseline"/>
          <w:rtl w:val="0"/>
        </w:rPr>
        <w:t xml:space="preserve">Enterococcus faecalis.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Zeitschrift fur Naturforschung</w:t>
      </w:r>
      <w:r w:rsidDel="00000000" w:rsidR="00000000" w:rsidRPr="00000000">
        <w:rPr>
          <w:rFonts w:ascii="Times New Roman" w:cs="Times New Roman" w:eastAsia="Times New Roman" w:hAnsi="Times New Roman"/>
          <w:sz w:val="24"/>
          <w:szCs w:val="24"/>
          <w:vertAlign w:val="baseline"/>
          <w:rtl w:val="0"/>
        </w:rPr>
        <w:t xml:space="preserve"> C, 66(3-4), 104-114.</w:t>
      </w:r>
    </w:p>
    <w:p w:rsidR="00000000" w:rsidDel="00000000" w:rsidP="00000000" w:rsidRDefault="00000000" w:rsidRPr="00000000" w14:paraId="00000111">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Cai, Y., Luo, Q., Sun, M. &amp; Corke, H. (2004). Antioxidant activity and phenolic compounds of 112 traditional Chinese medicinal plants associated with anticancer. </w:t>
      </w:r>
      <w:r w:rsidDel="00000000" w:rsidR="00000000" w:rsidRPr="00000000">
        <w:rPr>
          <w:rFonts w:ascii="Times New Roman" w:cs="Times New Roman" w:eastAsia="Times New Roman" w:hAnsi="Times New Roman"/>
          <w:i w:val="1"/>
          <w:iCs w:val="1"/>
          <w:sz w:val="24"/>
          <w:szCs w:val="24"/>
          <w:vertAlign w:val="baseline"/>
          <w:rtl w:val="0"/>
        </w:rPr>
        <w:t xml:space="preserve">Life Sciences</w:t>
      </w:r>
      <w:r w:rsidDel="00000000" w:rsidR="00000000" w:rsidRPr="00000000">
        <w:rPr>
          <w:rFonts w:ascii="Times New Roman" w:cs="Times New Roman" w:eastAsia="Times New Roman" w:hAnsi="Times New Roman"/>
          <w:sz w:val="24"/>
          <w:szCs w:val="24"/>
          <w:vertAlign w:val="baseline"/>
          <w:rtl w:val="0"/>
        </w:rPr>
        <w:t xml:space="preserve">, 74(17), 2157-2184.</w:t>
      </w:r>
    </w:p>
    <w:p w:rsidR="00000000" w:rsidDel="00000000" w:rsidP="00000000" w:rsidRDefault="00000000" w:rsidRPr="00000000" w14:paraId="00000112">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Centers for Disease Control and Prevention,(2019). Antibiotic resistance threats in the United States, Atlanta GA.</w:t>
      </w:r>
    </w:p>
    <w:p w:rsidR="00000000" w:rsidDel="00000000" w:rsidP="00000000" w:rsidRDefault="00000000" w:rsidRPr="00000000" w14:paraId="0000011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Chan, B. C., Ip, M., Lau, C. B., Lui, S. L., Jolivalt, C., Ganem-Elbaz, C., Litaudon, M., Reiner, N.E., Gong, H., See, R.H., Fung, K.P. &amp; Leung, P. C. (2011). Synergistic effects of baicalein with ciprofloxacin against NorA over-expressed methicillin-resistant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(MRSA) and inhibition of MRSA pyruvate kinase. Journal of </w:t>
      </w:r>
      <w:r w:rsidDel="00000000" w:rsidR="00000000" w:rsidRPr="00000000">
        <w:rPr>
          <w:rFonts w:ascii="Times New Roman" w:cs="Times New Roman" w:eastAsia="Times New Roman" w:hAnsi="Times New Roman"/>
          <w:i w:val="1"/>
          <w:iCs w:val="1"/>
          <w:sz w:val="24"/>
          <w:szCs w:val="24"/>
          <w:vertAlign w:val="baseline"/>
          <w:rtl w:val="0"/>
        </w:rPr>
        <w:t xml:space="preserve">Ethnopharmacology, </w:t>
      </w:r>
      <w:r w:rsidDel="00000000" w:rsidR="00000000" w:rsidRPr="00000000">
        <w:rPr>
          <w:rFonts w:ascii="Times New Roman" w:cs="Times New Roman" w:eastAsia="Times New Roman" w:hAnsi="Times New Roman"/>
          <w:sz w:val="24"/>
          <w:szCs w:val="24"/>
          <w:vertAlign w:val="baseline"/>
          <w:rtl w:val="0"/>
        </w:rPr>
        <w:t xml:space="preserve">137(1), 767-773.</w:t>
      </w:r>
    </w:p>
    <w:p w:rsidR="00000000" w:rsidDel="00000000" w:rsidP="00000000" w:rsidRDefault="00000000" w:rsidRPr="00000000" w14:paraId="0000011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Charalambous, D., Christoforou, M., Kitiri, E.N., Andreou, M., Partassides, D., Papachrysostomou, C., Frantzi, M., Karikas, G.A. &amp; Pantelidou, M. (2022). Antimicrobial activities of Saponaria cypria Boiss. Root extracts, and the identification of nine saponins and six phenolic compounds. </w:t>
      </w:r>
      <w:r w:rsidDel="00000000" w:rsidR="00000000" w:rsidRPr="00000000">
        <w:rPr>
          <w:rFonts w:ascii="Times New Roman" w:cs="Times New Roman" w:eastAsia="Times New Roman" w:hAnsi="Times New Roman"/>
          <w:i w:val="1"/>
          <w:iCs w:val="1"/>
          <w:sz w:val="24"/>
          <w:szCs w:val="24"/>
          <w:vertAlign w:val="baseline"/>
          <w:rtl w:val="0"/>
        </w:rPr>
        <w:t xml:space="preserve">Molecules </w:t>
      </w:r>
      <w:r w:rsidDel="00000000" w:rsidR="00000000" w:rsidRPr="00000000">
        <w:rPr>
          <w:rFonts w:ascii="Times New Roman" w:cs="Times New Roman" w:eastAsia="Times New Roman" w:hAnsi="Times New Roman"/>
          <w:sz w:val="24"/>
          <w:szCs w:val="24"/>
          <w:vertAlign w:val="baseline"/>
          <w:rtl w:val="0"/>
        </w:rPr>
        <w:t xml:space="preserve">27 (18), 5812.</w:t>
      </w:r>
    </w:p>
    <w:p w:rsidR="00000000" w:rsidDel="00000000" w:rsidP="00000000" w:rsidRDefault="00000000" w:rsidRPr="00000000" w14:paraId="00000115">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Charles, D.J. (2012). Sources of natural antioxidants and their activities. In Antioxidant properties of spices, herbs and other sources. Springer, New York, NY 65-138.</w:t>
      </w:r>
    </w:p>
    <w:p w:rsidR="00000000" w:rsidDel="00000000" w:rsidP="00000000" w:rsidRDefault="00000000" w:rsidRPr="00000000" w14:paraId="00000116">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Chojnacka, K., Witek-Krowiak, A., Skrzypczak, D., Mikula, K. &amp; Młynarz, P. (2020). Phytochemicals containing biologically active polyphenols as an effective agent against Covid-19-inducing coronavirus. </w:t>
      </w:r>
      <w:r w:rsidDel="00000000" w:rsidR="00000000" w:rsidRPr="00000000">
        <w:rPr>
          <w:rFonts w:ascii="Times New Roman" w:cs="Times New Roman" w:eastAsia="Times New Roman" w:hAnsi="Times New Roman"/>
          <w:i w:val="1"/>
          <w:iCs w:val="1"/>
          <w:sz w:val="24"/>
          <w:szCs w:val="24"/>
          <w:vertAlign w:val="baseline"/>
          <w:rtl w:val="0"/>
        </w:rPr>
        <w:t xml:space="preserve">Journal of Functional Foods</w:t>
      </w:r>
      <w:r w:rsidDel="00000000" w:rsidR="00000000" w:rsidRPr="00000000">
        <w:rPr>
          <w:rFonts w:ascii="Times New Roman" w:cs="Times New Roman" w:eastAsia="Times New Roman" w:hAnsi="Times New Roman"/>
          <w:sz w:val="24"/>
          <w:szCs w:val="24"/>
          <w:vertAlign w:val="baseline"/>
          <w:rtl w:val="0"/>
        </w:rPr>
        <w:t xml:space="preserve">, 73, 104146.</w:t>
      </w:r>
    </w:p>
    <w:p w:rsidR="00000000" w:rsidDel="00000000" w:rsidP="00000000" w:rsidRDefault="00000000" w:rsidRPr="00000000" w14:paraId="00000117">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Choudhari, A.S., Mandave, P.C., Deshpande, M., Ranjekar, P. &amp; Prakash, O.(2020). Phytochemicals in cancer treatment: From preclinical studies to clinical practice. </w:t>
      </w:r>
      <w:r w:rsidDel="00000000" w:rsidR="00000000" w:rsidRPr="00000000">
        <w:rPr>
          <w:rFonts w:ascii="Times New Roman" w:cs="Times New Roman" w:eastAsia="Times New Roman" w:hAnsi="Times New Roman"/>
          <w:i w:val="1"/>
          <w:iCs w:val="1"/>
          <w:sz w:val="24"/>
          <w:szCs w:val="24"/>
          <w:vertAlign w:val="baseline"/>
          <w:rtl w:val="0"/>
        </w:rPr>
        <w:t xml:space="preserve">Frontiers in Pharmacology</w:t>
      </w:r>
      <w:r w:rsidDel="00000000" w:rsidR="00000000" w:rsidRPr="00000000">
        <w:rPr>
          <w:rFonts w:ascii="Times New Roman" w:cs="Times New Roman" w:eastAsia="Times New Roman" w:hAnsi="Times New Roman"/>
          <w:sz w:val="24"/>
          <w:szCs w:val="24"/>
          <w:vertAlign w:val="baseline"/>
          <w:rtl w:val="0"/>
        </w:rPr>
        <w:t xml:space="preserve">. 10, 1614.</w:t>
      </w:r>
    </w:p>
    <w:p w:rsidR="00000000" w:rsidDel="00000000" w:rsidP="00000000" w:rsidRDefault="00000000" w:rsidRPr="00000000" w14:paraId="00000118">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Christena, L.R., Subramaniam, S., Vidhyalakshmi, M., Mahadevan, V., Sivasubramanian, A. &amp; Nagarajan, S.(2015). Dual Role of Pinostrobin-A flavonoid nutraceutical as an efflux pump inhibitor and antibiofilm agent to mitigate food borne pathogens. </w:t>
      </w:r>
      <w:r w:rsidDel="00000000" w:rsidR="00000000" w:rsidRPr="00000000">
        <w:rPr>
          <w:rFonts w:ascii="Times New Roman" w:cs="Times New Roman" w:eastAsia="Times New Roman" w:hAnsi="Times New Roman"/>
          <w:i w:val="1"/>
          <w:iCs w:val="1"/>
          <w:sz w:val="24"/>
          <w:szCs w:val="24"/>
          <w:vertAlign w:val="baseline"/>
          <w:rtl w:val="0"/>
        </w:rPr>
        <w:t xml:space="preserve">Royal Society of Chemistry Advances, </w:t>
      </w:r>
      <w:r w:rsidDel="00000000" w:rsidR="00000000" w:rsidRPr="00000000">
        <w:rPr>
          <w:rFonts w:ascii="Times New Roman" w:cs="Times New Roman" w:eastAsia="Times New Roman" w:hAnsi="Times New Roman"/>
          <w:sz w:val="24"/>
          <w:szCs w:val="24"/>
          <w:vertAlign w:val="baseline"/>
          <w:rtl w:val="0"/>
        </w:rPr>
        <w:t xml:space="preserve">5(76), 61881– 61887.</w:t>
      </w:r>
    </w:p>
    <w:p w:rsidR="00000000" w:rsidDel="00000000" w:rsidP="00000000" w:rsidRDefault="00000000" w:rsidRPr="00000000" w14:paraId="00000119">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Cu, J. Q., Perineau, F. &amp; Goepfert, G. (1990). GC/MS analysis of star anise oil. </w:t>
      </w:r>
      <w:r w:rsidDel="00000000" w:rsidR="00000000" w:rsidRPr="00000000">
        <w:rPr>
          <w:rFonts w:ascii="Times New Roman" w:cs="Times New Roman" w:eastAsia="Times New Roman" w:hAnsi="Times New Roman"/>
          <w:i w:val="1"/>
          <w:iCs w:val="1"/>
          <w:sz w:val="24"/>
          <w:szCs w:val="24"/>
          <w:vertAlign w:val="baseline"/>
          <w:rtl w:val="0"/>
        </w:rPr>
        <w:t xml:space="preserve">Journal of Essential Oil Research, </w:t>
      </w:r>
      <w:r w:rsidDel="00000000" w:rsidR="00000000" w:rsidRPr="00000000">
        <w:rPr>
          <w:rFonts w:ascii="Times New Roman" w:cs="Times New Roman" w:eastAsia="Times New Roman" w:hAnsi="Times New Roman"/>
          <w:sz w:val="24"/>
          <w:szCs w:val="24"/>
          <w:vertAlign w:val="baseline"/>
          <w:rtl w:val="0"/>
        </w:rPr>
        <w:t xml:space="preserve">2(2), 91-92.</w:t>
      </w:r>
    </w:p>
    <w:p w:rsidR="00000000" w:rsidDel="00000000" w:rsidP="00000000" w:rsidRDefault="00000000" w:rsidRPr="00000000" w14:paraId="0000011A">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Cushnie, T.P.T., Taylor, P.W., Nagaoka, Y., Uesato, S., Hara, Y. &amp; Lamb, A.J. (2008). Investigation of the antibacterial activity of 3-O-Octanoyl-(-)-Epicatechin. </w:t>
      </w:r>
      <w:r w:rsidDel="00000000" w:rsidR="00000000" w:rsidRPr="00000000">
        <w:rPr>
          <w:rFonts w:ascii="Times New Roman" w:cs="Times New Roman" w:eastAsia="Times New Roman" w:hAnsi="Times New Roman"/>
          <w:i w:val="1"/>
          <w:iCs w:val="1"/>
          <w:sz w:val="24"/>
          <w:szCs w:val="24"/>
          <w:vertAlign w:val="baseline"/>
          <w:rtl w:val="0"/>
        </w:rPr>
        <w:t xml:space="preserve">Journal of Applied Microbiology.</w:t>
      </w:r>
      <w:r w:rsidDel="00000000" w:rsidR="00000000" w:rsidRPr="00000000">
        <w:rPr>
          <w:rFonts w:ascii="Times New Roman" w:cs="Times New Roman" w:eastAsia="Times New Roman" w:hAnsi="Times New Roman"/>
          <w:sz w:val="24"/>
          <w:szCs w:val="24"/>
          <w:vertAlign w:val="baseline"/>
          <w:rtl w:val="0"/>
        </w:rPr>
        <w:t xml:space="preserve"> 105(5), 1461– 1469.</w:t>
      </w:r>
    </w:p>
    <w:p w:rsidR="00000000" w:rsidDel="00000000" w:rsidP="00000000" w:rsidRDefault="00000000" w:rsidRPr="00000000" w14:paraId="0000011B">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Czerkas, K., Olchowik-Grabarek, E., Łomanowska, M., Abdulladjanova, N., &amp; Sękowski, S. (2024). Antibacterial Activity of Plant Polyphenols Belonging to the Tannins against </w:t>
      </w:r>
      <w:r w:rsidDel="00000000" w:rsidR="00000000" w:rsidRPr="00000000">
        <w:rPr>
          <w:rFonts w:ascii="Times New Roman" w:cs="Times New Roman" w:eastAsia="Times New Roman" w:hAnsi="Times New Roman"/>
          <w:i w:val="1"/>
          <w:iCs w:val="1"/>
          <w:sz w:val="24"/>
          <w:szCs w:val="24"/>
          <w:vertAlign w:val="baseline"/>
          <w:rtl w:val="0"/>
        </w:rPr>
        <w:t xml:space="preserve">Streptococcus mutans</w:t>
      </w:r>
      <w:r w:rsidDel="00000000" w:rsidR="00000000" w:rsidRPr="00000000">
        <w:rPr>
          <w:rFonts w:ascii="Times New Roman" w:cs="Times New Roman" w:eastAsia="Times New Roman" w:hAnsi="Times New Roman"/>
          <w:sz w:val="24"/>
          <w:szCs w:val="24"/>
          <w:vertAlign w:val="baseline"/>
          <w:rtl w:val="0"/>
        </w:rPr>
        <w:t xml:space="preserve">-Potential against Dental Caries. </w:t>
      </w:r>
      <w:r w:rsidDel="00000000" w:rsidR="00000000" w:rsidRPr="00000000">
        <w:rPr>
          <w:rFonts w:ascii="Times New Roman" w:cs="Times New Roman" w:eastAsia="Times New Roman" w:hAnsi="Times New Roman"/>
          <w:i w:val="1"/>
          <w:iCs w:val="1"/>
          <w:sz w:val="24"/>
          <w:szCs w:val="24"/>
          <w:vertAlign w:val="baseline"/>
          <w:rtl w:val="0"/>
        </w:rPr>
        <w:t xml:space="preserve">Molecules (Basel, Switzerland)</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29</w:t>
      </w:r>
      <w:r w:rsidDel="00000000" w:rsidR="00000000" w:rsidRPr="00000000">
        <w:rPr>
          <w:rFonts w:ascii="Times New Roman" w:cs="Times New Roman" w:eastAsia="Times New Roman" w:hAnsi="Times New Roman"/>
          <w:sz w:val="24"/>
          <w:szCs w:val="24"/>
          <w:vertAlign w:val="baseline"/>
          <w:rtl w:val="0"/>
        </w:rPr>
        <w:t xml:space="preserve">(4), 879.</w:t>
      </w:r>
    </w:p>
    <w:p w:rsidR="00000000" w:rsidDel="00000000" w:rsidP="00000000" w:rsidRDefault="00000000" w:rsidRPr="00000000" w14:paraId="0000011C">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Dahiya, P. &amp; Purkayastha, S. (2012). Phytochemical screening and antimicrobial activity of some medicinal plants against multi-drug resistant bacteria from clinical isolates. </w:t>
      </w:r>
      <w:r w:rsidDel="00000000" w:rsidR="00000000" w:rsidRPr="00000000">
        <w:rPr>
          <w:rFonts w:ascii="Times New Roman" w:cs="Times New Roman" w:eastAsia="Times New Roman" w:hAnsi="Times New Roman"/>
          <w:i w:val="1"/>
          <w:iCs w:val="1"/>
          <w:sz w:val="24"/>
          <w:szCs w:val="24"/>
          <w:vertAlign w:val="baseline"/>
          <w:rtl w:val="0"/>
        </w:rPr>
        <w:t xml:space="preserve">Indian Journal of Pharmaceutical Sciences</w:t>
      </w:r>
      <w:r w:rsidDel="00000000" w:rsidR="00000000" w:rsidRPr="00000000">
        <w:rPr>
          <w:rFonts w:ascii="Times New Roman" w:cs="Times New Roman" w:eastAsia="Times New Roman" w:hAnsi="Times New Roman"/>
          <w:sz w:val="24"/>
          <w:szCs w:val="24"/>
          <w:vertAlign w:val="baseline"/>
          <w:rtl w:val="0"/>
        </w:rPr>
        <w:t xml:space="preserve">, 74(5), 443.</w:t>
      </w:r>
    </w:p>
    <w:p w:rsidR="00000000" w:rsidDel="00000000" w:rsidP="00000000" w:rsidRDefault="00000000" w:rsidRPr="00000000" w14:paraId="0000011D">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Dasgupta, T., Rao, A. R., &amp; Yadava, P. K. (2003). Modulatory effect of henna leaf (Lawsonia inermis) on drug metabolising phase I and phase II enzymes, antioxidant enzymes, lipid peroxidation and chemically induced skin and forestomach papillomagenesis in mice. </w:t>
      </w:r>
      <w:r w:rsidDel="00000000" w:rsidR="00000000" w:rsidRPr="00000000">
        <w:rPr>
          <w:rFonts w:ascii="Times New Roman" w:cs="Times New Roman" w:eastAsia="Times New Roman" w:hAnsi="Times New Roman"/>
          <w:i w:val="1"/>
          <w:iCs w:val="1"/>
          <w:sz w:val="24"/>
          <w:szCs w:val="24"/>
          <w:vertAlign w:val="baseline"/>
          <w:rtl w:val="0"/>
        </w:rPr>
        <w:t xml:space="preserve">Molecular and cellular biochemistry</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245</w:t>
      </w:r>
      <w:r w:rsidDel="00000000" w:rsidR="00000000" w:rsidRPr="00000000">
        <w:rPr>
          <w:rFonts w:ascii="Times New Roman" w:cs="Times New Roman" w:eastAsia="Times New Roman" w:hAnsi="Times New Roman"/>
          <w:sz w:val="24"/>
          <w:szCs w:val="24"/>
          <w:vertAlign w:val="baseline"/>
          <w:rtl w:val="0"/>
        </w:rPr>
        <w:t xml:space="preserve">(1-2), 11–22.</w:t>
      </w:r>
    </w:p>
    <w:p w:rsidR="00000000" w:rsidDel="00000000" w:rsidP="00000000" w:rsidRDefault="00000000" w:rsidRPr="00000000" w14:paraId="0000011E">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Del Rio, D., Rodriguez-Mateos, A., Spencer, J. P., Tognolini, M., Borges, G. &amp; Crozier, A. (2013). Dietary (poly) phenolics in human health: structures, bioavailability, and evidence of protective effects against chronic diseases. </w:t>
      </w:r>
      <w:r w:rsidDel="00000000" w:rsidR="00000000" w:rsidRPr="00000000">
        <w:rPr>
          <w:rFonts w:ascii="Times New Roman" w:cs="Times New Roman" w:eastAsia="Times New Roman" w:hAnsi="Times New Roman"/>
          <w:i w:val="1"/>
          <w:iCs w:val="1"/>
          <w:sz w:val="24"/>
          <w:szCs w:val="24"/>
          <w:vertAlign w:val="baseline"/>
          <w:rtl w:val="0"/>
        </w:rPr>
        <w:t xml:space="preserve">Antioxidants &amp; Redox Signaling,</w:t>
      </w:r>
      <w:r w:rsidDel="00000000" w:rsidR="00000000" w:rsidRPr="00000000">
        <w:rPr>
          <w:rFonts w:ascii="Times New Roman" w:cs="Times New Roman" w:eastAsia="Times New Roman" w:hAnsi="Times New Roman"/>
          <w:sz w:val="24"/>
          <w:szCs w:val="24"/>
          <w:vertAlign w:val="baseline"/>
          <w:rtl w:val="0"/>
        </w:rPr>
        <w:t xml:space="preserve"> 18(14), 1818-1892.</w:t>
      </w:r>
    </w:p>
    <w:p w:rsidR="00000000" w:rsidDel="00000000" w:rsidP="00000000" w:rsidRDefault="00000000" w:rsidRPr="00000000" w14:paraId="0000011F">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Dominguez-Perles, R., Baenas, N. &amp; Garcia-Viguera, C. (2020). New insights in (poly) phenolic compounds: From dietary sources to health evidence. </w:t>
      </w:r>
      <w:r w:rsidDel="00000000" w:rsidR="00000000" w:rsidRPr="00000000">
        <w:rPr>
          <w:rFonts w:ascii="Times New Roman" w:cs="Times New Roman" w:eastAsia="Times New Roman" w:hAnsi="Times New Roman"/>
          <w:i w:val="1"/>
          <w:iCs w:val="1"/>
          <w:sz w:val="24"/>
          <w:szCs w:val="24"/>
          <w:vertAlign w:val="baseline"/>
          <w:rtl w:val="0"/>
        </w:rPr>
        <w:t xml:space="preserve">Foods</w:t>
      </w:r>
      <w:r w:rsidDel="00000000" w:rsidR="00000000" w:rsidRPr="00000000">
        <w:rPr>
          <w:rFonts w:ascii="Times New Roman" w:cs="Times New Roman" w:eastAsia="Times New Roman" w:hAnsi="Times New Roman"/>
          <w:sz w:val="24"/>
          <w:szCs w:val="24"/>
          <w:vertAlign w:val="baseline"/>
          <w:rtl w:val="0"/>
        </w:rPr>
        <w:t xml:space="preserve">, 9(5), 543</w:t>
      </w:r>
    </w:p>
    <w:p w:rsidR="00000000" w:rsidDel="00000000" w:rsidP="00000000" w:rsidRDefault="00000000" w:rsidRPr="00000000" w14:paraId="00000120">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Duke, J. A. (1992). Handbook of Biologically Active Phytochemicals and their activities. </w:t>
      </w:r>
      <w:r w:rsidDel="00000000" w:rsidR="00000000" w:rsidRPr="00000000">
        <w:rPr>
          <w:rFonts w:ascii="Times New Roman" w:cs="Times New Roman" w:eastAsia="Times New Roman" w:hAnsi="Times New Roman"/>
          <w:i w:val="1"/>
          <w:iCs w:val="1"/>
          <w:sz w:val="24"/>
          <w:szCs w:val="24"/>
          <w:vertAlign w:val="baseline"/>
          <w:rtl w:val="0"/>
        </w:rPr>
        <w:t xml:space="preserve">CRC Press, Inc</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121">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Elaguel, A., Kallel, I., Gargouri, B., Ben Amor, I., Hadrich, B., Ben Messaoud, E., Gdoura, R., Lassoued, S., &amp; Gargouri, A. (2019). Lawsonia inermis essential oil: extraction optimization by RSM, antioxidant activity, lipid peroxydation and antiproliferative effects. </w:t>
      </w:r>
      <w:r w:rsidDel="00000000" w:rsidR="00000000" w:rsidRPr="00000000">
        <w:rPr>
          <w:rFonts w:ascii="Times New Roman" w:cs="Times New Roman" w:eastAsia="Times New Roman" w:hAnsi="Times New Roman"/>
          <w:i w:val="1"/>
          <w:iCs w:val="1"/>
          <w:sz w:val="24"/>
          <w:szCs w:val="24"/>
          <w:vertAlign w:val="baseline"/>
          <w:rtl w:val="0"/>
        </w:rPr>
        <w:t xml:space="preserve">Lipids in health and disease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18</w:t>
      </w:r>
      <w:r w:rsidDel="00000000" w:rsidR="00000000" w:rsidRPr="00000000">
        <w:rPr>
          <w:rFonts w:ascii="Times New Roman" w:cs="Times New Roman" w:eastAsia="Times New Roman" w:hAnsi="Times New Roman"/>
          <w:sz w:val="24"/>
          <w:szCs w:val="24"/>
          <w:vertAlign w:val="baseline"/>
          <w:rtl w:val="0"/>
        </w:rPr>
        <w:t xml:space="preserve">(1), 196.</w:t>
      </w:r>
    </w:p>
    <w:p w:rsidR="00000000" w:rsidDel="00000000" w:rsidP="00000000" w:rsidRDefault="00000000" w:rsidRPr="00000000" w14:paraId="00000122">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Elansary, H. O., Szopa, A., Kubica, P., Ekiert, H., A. Al-Mana, F., &amp; Al-Yafrsi, M. A. (2020). Antioxidant and Biological Activities of </w:t>
      </w:r>
      <w:r w:rsidDel="00000000" w:rsidR="00000000" w:rsidRPr="00000000">
        <w:rPr>
          <w:rFonts w:ascii="Times New Roman" w:cs="Times New Roman" w:eastAsia="Times New Roman" w:hAnsi="Times New Roman"/>
          <w:i w:val="1"/>
          <w:iCs w:val="1"/>
          <w:sz w:val="24"/>
          <w:szCs w:val="24"/>
          <w:vertAlign w:val="baseline"/>
          <w:rtl w:val="0"/>
        </w:rPr>
        <w:t xml:space="preserve">Acacia saligna</w:t>
      </w:r>
      <w:r w:rsidDel="00000000" w:rsidR="00000000" w:rsidRPr="00000000">
        <w:rPr>
          <w:rFonts w:ascii="Times New Roman" w:cs="Times New Roman" w:eastAsia="Times New Roman" w:hAnsi="Times New Roman"/>
          <w:sz w:val="24"/>
          <w:szCs w:val="24"/>
          <w:vertAlign w:val="baseline"/>
          <w:rtl w:val="0"/>
        </w:rPr>
        <w:t xml:space="preserve"> and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Natural Populations. </w:t>
      </w:r>
      <w:r w:rsidDel="00000000" w:rsidR="00000000" w:rsidRPr="00000000">
        <w:rPr>
          <w:rFonts w:ascii="Times New Roman" w:cs="Times New Roman" w:eastAsia="Times New Roman" w:hAnsi="Times New Roman"/>
          <w:i w:val="1"/>
          <w:iCs w:val="1"/>
          <w:sz w:val="24"/>
          <w:szCs w:val="24"/>
          <w:vertAlign w:val="baseline"/>
          <w:rtl w:val="0"/>
        </w:rPr>
        <w:t xml:space="preserve">Plants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9</w:t>
      </w:r>
      <w:r w:rsidDel="00000000" w:rsidR="00000000" w:rsidRPr="00000000">
        <w:rPr>
          <w:rFonts w:ascii="Times New Roman" w:cs="Times New Roman" w:eastAsia="Times New Roman" w:hAnsi="Times New Roman"/>
          <w:sz w:val="24"/>
          <w:szCs w:val="24"/>
          <w:vertAlign w:val="baseline"/>
          <w:rtl w:val="0"/>
        </w:rPr>
        <w:t xml:space="preserve">(7), 908.</w:t>
      </w:r>
    </w:p>
    <w:p w:rsidR="00000000" w:rsidDel="00000000" w:rsidP="00000000" w:rsidRDefault="00000000" w:rsidRPr="00000000" w14:paraId="0000012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El-Seedi, H. R. (2007). Antimicrobial aryl coumarins from </w:t>
      </w:r>
      <w:r w:rsidDel="00000000" w:rsidR="00000000" w:rsidRPr="00000000">
        <w:rPr>
          <w:rFonts w:ascii="Times New Roman" w:cs="Times New Roman" w:eastAsia="Times New Roman" w:hAnsi="Times New Roman"/>
          <w:i w:val="1"/>
          <w:iCs w:val="1"/>
          <w:sz w:val="24"/>
          <w:szCs w:val="24"/>
          <w:vertAlign w:val="baseline"/>
          <w:rtl w:val="0"/>
        </w:rPr>
        <w:t xml:space="preserve">Asphodelus microcarpus.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Journal of Natural Products</w:t>
      </w:r>
      <w:r w:rsidDel="00000000" w:rsidR="00000000" w:rsidRPr="00000000">
        <w:rPr>
          <w:rFonts w:ascii="Times New Roman" w:cs="Times New Roman" w:eastAsia="Times New Roman" w:hAnsi="Times New Roman"/>
          <w:sz w:val="24"/>
          <w:szCs w:val="24"/>
          <w:vertAlign w:val="baseline"/>
          <w:rtl w:val="0"/>
        </w:rPr>
        <w:t xml:space="preserve">, 70(1), 118-120.</w:t>
      </w:r>
    </w:p>
    <w:p w:rsidR="00000000" w:rsidDel="00000000" w:rsidP="00000000" w:rsidRDefault="00000000" w:rsidRPr="00000000" w14:paraId="0000012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Engwa, G. A. (2018). Free radicals and the role of plant phytochemicals as antioxidants against oxidative stress-related diseases. </w:t>
      </w:r>
      <w:r w:rsidDel="00000000" w:rsidR="00000000" w:rsidRPr="00000000">
        <w:rPr>
          <w:rFonts w:ascii="Times New Roman" w:cs="Times New Roman" w:eastAsia="Times New Roman" w:hAnsi="Times New Roman"/>
          <w:i w:val="1"/>
          <w:iCs w:val="1"/>
          <w:sz w:val="24"/>
          <w:szCs w:val="24"/>
          <w:vertAlign w:val="baseline"/>
          <w:rtl w:val="0"/>
        </w:rPr>
        <w:t xml:space="preserve">Phytochemicals: Source of Antioxidants and Role in Disease Prevention. BoD–Books on Demand,</w:t>
      </w:r>
      <w:r w:rsidDel="00000000" w:rsidR="00000000" w:rsidRPr="00000000">
        <w:rPr>
          <w:rFonts w:ascii="Times New Roman" w:cs="Times New Roman" w:eastAsia="Times New Roman" w:hAnsi="Times New Roman"/>
          <w:sz w:val="24"/>
          <w:szCs w:val="24"/>
          <w:vertAlign w:val="baseline"/>
          <w:rtl w:val="0"/>
        </w:rPr>
        <w:t xml:space="preserve"> 7, 49-74.</w:t>
      </w:r>
    </w:p>
    <w:p w:rsidR="00000000" w:rsidDel="00000000" w:rsidP="00000000" w:rsidRDefault="00000000" w:rsidRPr="00000000" w14:paraId="00000125">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Eshghi, N., Asnaashari, M., Haddad Khodaparast, M. H. &amp; Hosseini, F. (2014). Evaluating the potential of natural curcumin for oxidative stability of soybean oil. </w:t>
      </w:r>
      <w:r w:rsidDel="00000000" w:rsidR="00000000" w:rsidRPr="00000000">
        <w:rPr>
          <w:rFonts w:ascii="Times New Roman" w:cs="Times New Roman" w:eastAsia="Times New Roman" w:hAnsi="Times New Roman"/>
          <w:i w:val="1"/>
          <w:iCs w:val="1"/>
          <w:sz w:val="24"/>
          <w:szCs w:val="24"/>
          <w:vertAlign w:val="baseline"/>
          <w:rtl w:val="0"/>
        </w:rPr>
        <w:t xml:space="preserve">Natural Product Research,</w:t>
      </w:r>
      <w:r w:rsidDel="00000000" w:rsidR="00000000" w:rsidRPr="00000000">
        <w:rPr>
          <w:rFonts w:ascii="Times New Roman" w:cs="Times New Roman" w:eastAsia="Times New Roman" w:hAnsi="Times New Roman"/>
          <w:sz w:val="24"/>
          <w:szCs w:val="24"/>
          <w:vertAlign w:val="baseline"/>
          <w:rtl w:val="0"/>
        </w:rPr>
        <w:t xml:space="preserve"> 28(17), 1375-1378.</w:t>
      </w:r>
    </w:p>
    <w:p w:rsidR="00000000" w:rsidDel="00000000" w:rsidP="00000000" w:rsidRDefault="00000000" w:rsidRPr="00000000" w14:paraId="00000126">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Estevez, M., Li, Z., Soladoye, O. P. &amp; Van-Hecke, T. (2017). Health risks of food oxidation. In </w:t>
      </w:r>
      <w:r w:rsidDel="00000000" w:rsidR="00000000" w:rsidRPr="00000000">
        <w:rPr>
          <w:rFonts w:ascii="Times New Roman" w:cs="Times New Roman" w:eastAsia="Times New Roman" w:hAnsi="Times New Roman"/>
          <w:i w:val="1"/>
          <w:iCs w:val="1"/>
          <w:sz w:val="24"/>
          <w:szCs w:val="24"/>
          <w:vertAlign w:val="baseline"/>
          <w:rtl w:val="0"/>
        </w:rPr>
        <w:t xml:space="preserve">Advances in Food and Nutrition Research</w:t>
      </w:r>
      <w:r w:rsidDel="00000000" w:rsidR="00000000" w:rsidRPr="00000000">
        <w:rPr>
          <w:rFonts w:ascii="Times New Roman" w:cs="Times New Roman" w:eastAsia="Times New Roman" w:hAnsi="Times New Roman"/>
          <w:sz w:val="24"/>
          <w:szCs w:val="24"/>
          <w:vertAlign w:val="baseline"/>
          <w:rtl w:val="0"/>
        </w:rPr>
        <w:t xml:space="preserve"> (Vol. 82, pp. 45-81). Academic Press.</w:t>
      </w:r>
    </w:p>
    <w:p w:rsidR="00000000" w:rsidDel="00000000" w:rsidP="00000000" w:rsidRDefault="00000000" w:rsidRPr="00000000" w14:paraId="00000127">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Eze, C. E., Onyebuchi, J. A., &amp; Nwachukwu, N. (2022). Antibiofilm and antimicrobial activities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against MRSA isolates from hospitalized patients. </w:t>
      </w:r>
      <w:r w:rsidDel="00000000" w:rsidR="00000000" w:rsidRPr="00000000">
        <w:rPr>
          <w:rFonts w:ascii="Times New Roman" w:cs="Times New Roman" w:eastAsia="Times New Roman" w:hAnsi="Times New Roman"/>
          <w:i w:val="1"/>
          <w:iCs w:val="1"/>
          <w:sz w:val="24"/>
          <w:szCs w:val="24"/>
          <w:vertAlign w:val="baseline"/>
          <w:rtl w:val="0"/>
        </w:rPr>
        <w:t xml:space="preserve">Bayero Journal of Medical Laboratory Science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7</w:t>
      </w:r>
      <w:r w:rsidDel="00000000" w:rsidR="00000000" w:rsidRPr="00000000">
        <w:rPr>
          <w:rFonts w:ascii="Times New Roman" w:cs="Times New Roman" w:eastAsia="Times New Roman" w:hAnsi="Times New Roman"/>
          <w:sz w:val="24"/>
          <w:szCs w:val="24"/>
          <w:vertAlign w:val="baseline"/>
          <w:rtl w:val="0"/>
        </w:rPr>
        <w:t xml:space="preserve">(1), 39–45.</w:t>
      </w:r>
    </w:p>
    <w:p w:rsidR="00000000" w:rsidDel="00000000" w:rsidP="00000000" w:rsidRDefault="00000000" w:rsidRPr="00000000" w14:paraId="00000128">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Farahmandfar, R., Asnaashari, M. &amp; Sayyad, R. (2015). Comparison antioxidant activity of Tarom mahali rice bran extracted from different extraction methods and its effect on canola oil stabilization.</w:t>
      </w:r>
      <w:r w:rsidDel="00000000" w:rsidR="00000000" w:rsidRPr="00000000">
        <w:rPr>
          <w:rFonts w:ascii="Times New Roman" w:cs="Times New Roman" w:eastAsia="Times New Roman" w:hAnsi="Times New Roman"/>
          <w:i w:val="1"/>
          <w:iCs w:val="1"/>
          <w:sz w:val="24"/>
          <w:szCs w:val="24"/>
          <w:vertAlign w:val="baseline"/>
          <w:rtl w:val="0"/>
        </w:rPr>
        <w:t xml:space="preserve"> Journal of Food Science and Technology</w:t>
      </w:r>
      <w:r w:rsidDel="00000000" w:rsidR="00000000" w:rsidRPr="00000000">
        <w:rPr>
          <w:rFonts w:ascii="Times New Roman" w:cs="Times New Roman" w:eastAsia="Times New Roman" w:hAnsi="Times New Roman"/>
          <w:sz w:val="24"/>
          <w:szCs w:val="24"/>
          <w:vertAlign w:val="baseline"/>
          <w:rtl w:val="0"/>
        </w:rPr>
        <w:t xml:space="preserve">, 52, 6385-6394.</w:t>
      </w:r>
    </w:p>
    <w:p w:rsidR="00000000" w:rsidDel="00000000" w:rsidP="00000000" w:rsidRDefault="00000000" w:rsidRPr="00000000" w14:paraId="00000129">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Fischbach, M. A. &amp; Walsh, C. T. (2009). Antibiotics for emerging pathogens.</w:t>
      </w:r>
      <w:r w:rsidDel="00000000" w:rsidR="00000000" w:rsidRPr="00000000">
        <w:rPr>
          <w:rFonts w:ascii="Times New Roman" w:cs="Times New Roman" w:eastAsia="Times New Roman" w:hAnsi="Times New Roman"/>
          <w:i w:val="1"/>
          <w:iCs w:val="1"/>
          <w:sz w:val="24"/>
          <w:szCs w:val="24"/>
          <w:vertAlign w:val="baseline"/>
          <w:rtl w:val="0"/>
        </w:rPr>
        <w:t xml:space="preserve"> Science,</w:t>
      </w:r>
      <w:r w:rsidDel="00000000" w:rsidR="00000000" w:rsidRPr="00000000">
        <w:rPr>
          <w:rFonts w:ascii="Times New Roman" w:cs="Times New Roman" w:eastAsia="Times New Roman" w:hAnsi="Times New Roman"/>
          <w:sz w:val="24"/>
          <w:szCs w:val="24"/>
          <w:vertAlign w:val="baseline"/>
          <w:rtl w:val="0"/>
        </w:rPr>
        <w:t xml:space="preserve"> 325(5944), 1089-1093.</w:t>
      </w:r>
    </w:p>
    <w:p w:rsidR="00000000" w:rsidDel="00000000" w:rsidP="00000000" w:rsidRDefault="00000000" w:rsidRPr="00000000" w14:paraId="0000012A">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Forni, C., Facchiano, F., Bartoli, M., Pieretti, S., Facchiano, A., D’Arcangelo, D., Norelli, S., Valle, G., Nisini, R., Beninati, S. &amp; Tabolacci, C., (2019). Beneficial role of phytochemicals on oxidative stress and age-related diseases. </w:t>
      </w:r>
      <w:r w:rsidDel="00000000" w:rsidR="00000000" w:rsidRPr="00000000">
        <w:rPr>
          <w:rFonts w:ascii="Times New Roman" w:cs="Times New Roman" w:eastAsia="Times New Roman" w:hAnsi="Times New Roman"/>
          <w:i w:val="1"/>
          <w:iCs w:val="1"/>
          <w:sz w:val="24"/>
          <w:szCs w:val="24"/>
          <w:vertAlign w:val="baseline"/>
          <w:rtl w:val="0"/>
        </w:rPr>
        <w:t xml:space="preserve">BioMed Research International</w:t>
      </w:r>
      <w:r w:rsidDel="00000000" w:rsidR="00000000" w:rsidRPr="00000000">
        <w:rPr>
          <w:rFonts w:ascii="Times New Roman" w:cs="Times New Roman" w:eastAsia="Times New Roman" w:hAnsi="Times New Roman"/>
          <w:sz w:val="24"/>
          <w:szCs w:val="24"/>
          <w:vertAlign w:val="baseline"/>
          <w:rtl w:val="0"/>
        </w:rPr>
        <w:t xml:space="preserve"> 2019.</w:t>
      </w:r>
    </w:p>
    <w:p w:rsidR="00000000" w:rsidDel="00000000" w:rsidP="00000000" w:rsidRDefault="00000000" w:rsidRPr="00000000" w14:paraId="0000012B">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Gorniak, I., Bartoszewski, R. &amp; Kroliczewski, J.(2019). Comprehensive review of antimicrobial activities of plant flavonoids. </w:t>
      </w:r>
      <w:r w:rsidDel="00000000" w:rsidR="00000000" w:rsidRPr="00000000">
        <w:rPr>
          <w:rFonts w:ascii="Times New Roman" w:cs="Times New Roman" w:eastAsia="Times New Roman" w:hAnsi="Times New Roman"/>
          <w:i w:val="1"/>
          <w:iCs w:val="1"/>
          <w:sz w:val="24"/>
          <w:szCs w:val="24"/>
          <w:vertAlign w:val="baseline"/>
          <w:rtl w:val="0"/>
        </w:rPr>
        <w:t xml:space="preserve">Phytochemistry Reviews</w:t>
      </w:r>
      <w:r w:rsidDel="00000000" w:rsidR="00000000" w:rsidRPr="00000000">
        <w:rPr>
          <w:rFonts w:ascii="Times New Roman" w:cs="Times New Roman" w:eastAsia="Times New Roman" w:hAnsi="Times New Roman"/>
          <w:sz w:val="24"/>
          <w:szCs w:val="24"/>
          <w:vertAlign w:val="baseline"/>
          <w:rtl w:val="0"/>
        </w:rPr>
        <w:t xml:space="preserve">, 18 (1), 241–272.</w:t>
      </w:r>
    </w:p>
    <w:p w:rsidR="00000000" w:rsidDel="00000000" w:rsidP="00000000" w:rsidRDefault="00000000" w:rsidRPr="00000000" w14:paraId="0000012C">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Gothwal, R. &amp; Shashidhar, T.(2015). Antibiotic pollution in the environment: A Review. Clean- Soil Air Water, 43 (4), 479–489.</w:t>
      </w:r>
    </w:p>
    <w:p w:rsidR="00000000" w:rsidDel="00000000" w:rsidP="00000000" w:rsidRDefault="00000000" w:rsidRPr="00000000" w14:paraId="0000012D">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Guan, R., Van Le, Q., Yang, H., Zhang, D., Gu, H., Yang, Y., Sonne, C., Lam, S.S., Zhong, J., Jianguang, Z. &amp; Liu, R.(2021). A review of dietary phytochemicals and their relation to oxidative stress and human diseases. </w:t>
      </w:r>
      <w:r w:rsidDel="00000000" w:rsidR="00000000" w:rsidRPr="00000000">
        <w:rPr>
          <w:rFonts w:ascii="Times New Roman" w:cs="Times New Roman" w:eastAsia="Times New Roman" w:hAnsi="Times New Roman"/>
          <w:i w:val="1"/>
          <w:iCs w:val="1"/>
          <w:sz w:val="24"/>
          <w:szCs w:val="24"/>
          <w:vertAlign w:val="baseline"/>
          <w:rtl w:val="0"/>
        </w:rPr>
        <w:t xml:space="preserve">Chemosphere</w:t>
      </w:r>
      <w:r w:rsidDel="00000000" w:rsidR="00000000" w:rsidRPr="00000000">
        <w:rPr>
          <w:rFonts w:ascii="Times New Roman" w:cs="Times New Roman" w:eastAsia="Times New Roman" w:hAnsi="Times New Roman"/>
          <w:sz w:val="24"/>
          <w:szCs w:val="24"/>
          <w:vertAlign w:val="baseline"/>
          <w:rtl w:val="0"/>
        </w:rPr>
        <w:t xml:space="preserve">, 271, 129499.</w:t>
      </w:r>
    </w:p>
    <w:p w:rsidR="00000000" w:rsidDel="00000000" w:rsidP="00000000" w:rsidRDefault="00000000" w:rsidRPr="00000000" w14:paraId="0000012E">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Guha, G., Rajkumar, V., Kumar, R. A., &amp; Mathew, L. (2011). Antioxidant Activity of Lawsonia inermis Extracts Inhibits Chromium (VI)-Induced Cellular and DNA Toxicity. </w:t>
      </w:r>
      <w:r w:rsidDel="00000000" w:rsidR="00000000" w:rsidRPr="00000000">
        <w:rPr>
          <w:rFonts w:ascii="Times New Roman" w:cs="Times New Roman" w:eastAsia="Times New Roman" w:hAnsi="Times New Roman"/>
          <w:i w:val="1"/>
          <w:iCs w:val="1"/>
          <w:sz w:val="24"/>
          <w:szCs w:val="24"/>
          <w:vertAlign w:val="baseline"/>
          <w:rtl w:val="0"/>
        </w:rPr>
        <w:t xml:space="preserve">Evidence-based complementary and alternative medicine: eCAM</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2011</w:t>
      </w:r>
      <w:r w:rsidDel="00000000" w:rsidR="00000000" w:rsidRPr="00000000">
        <w:rPr>
          <w:rFonts w:ascii="Times New Roman" w:cs="Times New Roman" w:eastAsia="Times New Roman" w:hAnsi="Times New Roman"/>
          <w:sz w:val="24"/>
          <w:szCs w:val="24"/>
          <w:vertAlign w:val="baseline"/>
          <w:rtl w:val="0"/>
        </w:rPr>
        <w:t xml:space="preserve">, 576456.</w:t>
      </w:r>
    </w:p>
    <w:p w:rsidR="00000000" w:rsidDel="00000000" w:rsidP="00000000" w:rsidRDefault="00000000" w:rsidRPr="00000000" w14:paraId="0000012F">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Gull, Iram &amp; Sohail, Maria &amp; Aslam, Muhammad &amp; Athar, Muhammad. (2013). Phytochemical, toxicological and antimicrobial evaluation of Lawsonia inermis extracts against clinical isolates of pathogenic bacteria. </w:t>
      </w:r>
      <w:r w:rsidDel="00000000" w:rsidR="00000000" w:rsidRPr="00000000">
        <w:rPr>
          <w:rFonts w:ascii="Times New Roman" w:cs="Times New Roman" w:eastAsia="Times New Roman" w:hAnsi="Times New Roman"/>
          <w:i w:val="1"/>
          <w:iCs w:val="1"/>
          <w:sz w:val="24"/>
          <w:szCs w:val="24"/>
          <w:vertAlign w:val="baseline"/>
          <w:rtl w:val="0"/>
        </w:rPr>
        <w:t xml:space="preserve">Annals of clinical microbiology and antimicrobials. </w:t>
      </w:r>
      <w:r w:rsidDel="00000000" w:rsidR="00000000" w:rsidRPr="00000000">
        <w:rPr>
          <w:rFonts w:ascii="Times New Roman" w:cs="Times New Roman" w:eastAsia="Times New Roman" w:hAnsi="Times New Roman"/>
          <w:sz w:val="24"/>
          <w:szCs w:val="24"/>
          <w:vertAlign w:val="baseline"/>
          <w:rtl w:val="0"/>
        </w:rPr>
        <w:t xml:space="preserve">12. 36.</w:t>
      </w:r>
    </w:p>
    <w:p w:rsidR="00000000" w:rsidDel="00000000" w:rsidP="00000000" w:rsidRDefault="00000000" w:rsidRPr="00000000" w14:paraId="00000130">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Gupta, V. K &amp; Sharma, S. K. (2006). Plants as natural antioxidants -A review, </w:t>
      </w:r>
      <w:r w:rsidDel="00000000" w:rsidR="00000000" w:rsidRPr="00000000">
        <w:rPr>
          <w:rFonts w:ascii="Times New Roman" w:cs="Times New Roman" w:eastAsia="Times New Roman" w:hAnsi="Times New Roman"/>
          <w:i w:val="1"/>
          <w:iCs w:val="1"/>
          <w:sz w:val="24"/>
          <w:szCs w:val="24"/>
          <w:vertAlign w:val="baseline"/>
          <w:rtl w:val="0"/>
        </w:rPr>
        <w:t xml:space="preserve">Natural Product Radiance, </w:t>
      </w:r>
      <w:r w:rsidDel="00000000" w:rsidR="00000000" w:rsidRPr="00000000">
        <w:rPr>
          <w:rFonts w:ascii="Times New Roman" w:cs="Times New Roman" w:eastAsia="Times New Roman" w:hAnsi="Times New Roman"/>
          <w:sz w:val="24"/>
          <w:szCs w:val="24"/>
          <w:vertAlign w:val="baseline"/>
          <w:rtl w:val="0"/>
        </w:rPr>
        <w:t xml:space="preserve">Vol. 5(4), 2006, pp. 326-334.</w:t>
      </w:r>
    </w:p>
    <w:p w:rsidR="00000000" w:rsidDel="00000000" w:rsidP="00000000" w:rsidRDefault="00000000" w:rsidRPr="00000000" w14:paraId="00000131">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Hall, J. P., Brockhurst, M. A., &amp; Harrison, E. (2017). Sampling the mobile gene pool: innovation via horizontal gene transfer in bacteria. Philosophical Transactions of the Royal Society B: </w:t>
      </w:r>
      <w:r w:rsidDel="00000000" w:rsidR="00000000" w:rsidRPr="00000000">
        <w:rPr>
          <w:rFonts w:ascii="Times New Roman" w:cs="Times New Roman" w:eastAsia="Times New Roman" w:hAnsi="Times New Roman"/>
          <w:i w:val="1"/>
          <w:iCs w:val="1"/>
          <w:sz w:val="24"/>
          <w:szCs w:val="24"/>
          <w:vertAlign w:val="baseline"/>
          <w:rtl w:val="0"/>
        </w:rPr>
        <w:t xml:space="preserve">Biological Sciences</w:t>
      </w:r>
      <w:r w:rsidDel="00000000" w:rsidR="00000000" w:rsidRPr="00000000">
        <w:rPr>
          <w:rFonts w:ascii="Times New Roman" w:cs="Times New Roman" w:eastAsia="Times New Roman" w:hAnsi="Times New Roman"/>
          <w:sz w:val="24"/>
          <w:szCs w:val="24"/>
          <w:vertAlign w:val="baseline"/>
          <w:rtl w:val="0"/>
        </w:rPr>
        <w:t xml:space="preserve">, 372(1735), 20160424.</w:t>
      </w:r>
    </w:p>
    <w:p w:rsidR="00000000" w:rsidDel="00000000" w:rsidP="00000000" w:rsidRDefault="00000000" w:rsidRPr="00000000" w14:paraId="00000132">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Hocquet, D., Muller, A., &amp; Bertrand, X. (2016). What happens in hospitals does not stay in hospitals: antibiotic-resistant bacteria in hospital wastewater systems. </w:t>
      </w:r>
      <w:r w:rsidDel="00000000" w:rsidR="00000000" w:rsidRPr="00000000">
        <w:rPr>
          <w:rFonts w:ascii="Times New Roman" w:cs="Times New Roman" w:eastAsia="Times New Roman" w:hAnsi="Times New Roman"/>
          <w:i w:val="1"/>
          <w:iCs w:val="1"/>
          <w:sz w:val="24"/>
          <w:szCs w:val="24"/>
          <w:vertAlign w:val="baseline"/>
          <w:rtl w:val="0"/>
        </w:rPr>
        <w:t xml:space="preserve">The Journal of hospital infection</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93</w:t>
      </w:r>
      <w:r w:rsidDel="00000000" w:rsidR="00000000" w:rsidRPr="00000000">
        <w:rPr>
          <w:rFonts w:ascii="Times New Roman" w:cs="Times New Roman" w:eastAsia="Times New Roman" w:hAnsi="Times New Roman"/>
          <w:sz w:val="24"/>
          <w:szCs w:val="24"/>
          <w:vertAlign w:val="baseline"/>
          <w:rtl w:val="0"/>
        </w:rPr>
        <w:t xml:space="preserve">(4), 395–402. </w:t>
      </w:r>
    </w:p>
    <w:p w:rsidR="00000000" w:rsidDel="00000000" w:rsidP="00000000" w:rsidRDefault="00000000" w:rsidRPr="00000000" w14:paraId="0000013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Hotor, P., Kotey, F. C. N., &amp; Donkor, E. S. (2025). Antibiotic resistance in hospital wastewater in West Africa: a systematic review and meta-analysis. </w:t>
      </w:r>
      <w:r w:rsidDel="00000000" w:rsidR="00000000" w:rsidRPr="00000000">
        <w:rPr>
          <w:rFonts w:ascii="Times New Roman" w:cs="Times New Roman" w:eastAsia="Times New Roman" w:hAnsi="Times New Roman"/>
          <w:i w:val="1"/>
          <w:iCs w:val="1"/>
          <w:sz w:val="24"/>
          <w:szCs w:val="24"/>
          <w:vertAlign w:val="baseline"/>
          <w:rtl w:val="0"/>
        </w:rPr>
        <w:t xml:space="preserve">BMC public health</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25</w:t>
      </w:r>
      <w:r w:rsidDel="00000000" w:rsidR="00000000" w:rsidRPr="00000000">
        <w:rPr>
          <w:rFonts w:ascii="Times New Roman" w:cs="Times New Roman" w:eastAsia="Times New Roman" w:hAnsi="Times New Roman"/>
          <w:sz w:val="24"/>
          <w:szCs w:val="24"/>
          <w:vertAlign w:val="baseline"/>
          <w:rtl w:val="0"/>
        </w:rPr>
        <w:t xml:space="preserve">(1), 1364.</w:t>
      </w:r>
    </w:p>
    <w:p w:rsidR="00000000" w:rsidDel="00000000" w:rsidP="00000000" w:rsidRDefault="00000000" w:rsidRPr="00000000" w14:paraId="0000013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Huang D. (2018). Dietary antioxidants and health promotion. Antioxidants 7, 9.</w:t>
      </w:r>
    </w:p>
    <w:p w:rsidR="00000000" w:rsidDel="00000000" w:rsidP="00000000" w:rsidRDefault="00000000" w:rsidRPr="00000000" w14:paraId="00000135">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Huang, J., Zaynab, M., Sharif, Y., Khan, J., Al-Yahyai, R., Sadder, M., Ali, M., Alarab, S. R., &amp; Li, S. (2024). </w:t>
      </w:r>
      <w:r w:rsidDel="00000000" w:rsidR="00000000" w:rsidRPr="00000000">
        <w:rPr>
          <w:rFonts w:ascii="Times New Roman" w:cs="Times New Roman" w:eastAsia="Times New Roman" w:hAnsi="Times New Roman"/>
          <w:i w:val="1"/>
          <w:iCs w:val="1"/>
          <w:sz w:val="24"/>
          <w:szCs w:val="24"/>
          <w:vertAlign w:val="baseline"/>
          <w:rtl w:val="0"/>
        </w:rPr>
        <w:t xml:space="preserve">Tannins as antimicrobial agents: Understanding toxic effects on pathogens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Toxicon,</w:t>
      </w:r>
      <w:r w:rsidDel="00000000" w:rsidR="00000000" w:rsidRPr="00000000">
        <w:rPr>
          <w:rFonts w:ascii="Times New Roman" w:cs="Times New Roman" w:eastAsia="Times New Roman" w:hAnsi="Times New Roman"/>
          <w:sz w:val="24"/>
          <w:szCs w:val="24"/>
          <w:vertAlign w:val="baseline"/>
          <w:rtl w:val="0"/>
        </w:rPr>
        <w:t xml:space="preserve"> 247, 107812.</w:t>
      </w:r>
    </w:p>
    <w:p w:rsidR="00000000" w:rsidDel="00000000" w:rsidP="00000000" w:rsidRDefault="00000000" w:rsidRPr="00000000" w14:paraId="00000136">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Ismail, R. S., Ahmed, T. A., &amp; Khan, H. A. (2022). Evaluation of antimicrobial and antiparasitic potential of local landraces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from Saudi Arabia. </w:t>
      </w:r>
      <w:r w:rsidDel="00000000" w:rsidR="00000000" w:rsidRPr="00000000">
        <w:rPr>
          <w:rFonts w:ascii="Times New Roman" w:cs="Times New Roman" w:eastAsia="Times New Roman" w:hAnsi="Times New Roman"/>
          <w:i w:val="1"/>
          <w:iCs w:val="1"/>
          <w:sz w:val="24"/>
          <w:szCs w:val="24"/>
          <w:vertAlign w:val="baseline"/>
          <w:rtl w:val="0"/>
        </w:rPr>
        <w:t xml:space="preserve">BMC Complementary Medicine and Therapies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22</w:t>
      </w:r>
      <w:r w:rsidDel="00000000" w:rsidR="00000000" w:rsidRPr="00000000">
        <w:rPr>
          <w:rFonts w:ascii="Times New Roman" w:cs="Times New Roman" w:eastAsia="Times New Roman" w:hAnsi="Times New Roman"/>
          <w:sz w:val="24"/>
          <w:szCs w:val="24"/>
          <w:vertAlign w:val="baseline"/>
          <w:rtl w:val="0"/>
        </w:rPr>
        <w:t xml:space="preserve">(1), 285.</w:t>
      </w:r>
    </w:p>
    <w:p w:rsidR="00000000" w:rsidDel="00000000" w:rsidP="00000000" w:rsidRDefault="00000000" w:rsidRPr="00000000" w14:paraId="00000137">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Idris, A. H., Haruna, Z., Iliyasu, M. Y., Sahal, M. R., Inusa, T., Salisu, A., Ismail, S., Umar, R.D., Kabeer, Z.M., Tahir, H., Musa., H.S., Umar, A. F. (2023). Antibacterial activity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 </w:t>
      </w:r>
      <w:r w:rsidDel="00000000" w:rsidR="00000000" w:rsidRPr="00000000">
        <w:rPr>
          <w:rFonts w:ascii="Times New Roman" w:cs="Times New Roman" w:eastAsia="Times New Roman" w:hAnsi="Times New Roman"/>
          <w:sz w:val="24"/>
          <w:szCs w:val="24"/>
          <w:vertAlign w:val="baseline"/>
          <w:rtl w:val="0"/>
        </w:rPr>
        <w:t xml:space="preserve">leaf extracts against multidrug-resistant</w:t>
      </w:r>
      <w:r w:rsidDel="00000000" w:rsidR="00000000" w:rsidRPr="00000000">
        <w:rPr>
          <w:rFonts w:ascii="Times New Roman" w:cs="Times New Roman" w:eastAsia="Times New Roman" w:hAnsi="Times New Roman"/>
          <w:i w:val="1"/>
          <w:iCs w:val="1"/>
          <w:sz w:val="24"/>
          <w:szCs w:val="24"/>
          <w:vertAlign w:val="baseline"/>
          <w:rtl w:val="0"/>
        </w:rPr>
        <w:t xml:space="preserve"> Pseudomonas aeruginosa</w:t>
      </w:r>
      <w:r w:rsidDel="00000000" w:rsidR="00000000" w:rsidRPr="00000000">
        <w:rPr>
          <w:rFonts w:ascii="Times New Roman" w:cs="Times New Roman" w:eastAsia="Times New Roman" w:hAnsi="Times New Roman"/>
          <w:sz w:val="24"/>
          <w:szCs w:val="24"/>
          <w:vertAlign w:val="baseline"/>
          <w:rtl w:val="0"/>
        </w:rPr>
        <w:t xml:space="preserve"> from infected wounds</w:t>
      </w:r>
      <w:r w:rsidDel="00000000" w:rsidR="00000000" w:rsidRPr="00000000">
        <w:rPr>
          <w:rFonts w:ascii="Times New Roman" w:cs="Times New Roman" w:eastAsia="Times New Roman" w:hAnsi="Times New Roman"/>
          <w:i w:val="1"/>
          <w:iCs w:val="1"/>
          <w:sz w:val="24"/>
          <w:szCs w:val="24"/>
          <w:vertAlign w:val="baseline"/>
          <w:rtl w:val="0"/>
        </w:rPr>
        <w:t xml:space="preserv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European Journal of Medicinal Plants, </w:t>
      </w:r>
      <w:r w:rsidDel="00000000" w:rsidR="00000000" w:rsidRPr="00000000">
        <w:rPr>
          <w:rFonts w:ascii="Times New Roman" w:cs="Times New Roman" w:eastAsia="Times New Roman" w:hAnsi="Times New Roman"/>
          <w:sz w:val="24"/>
          <w:szCs w:val="24"/>
          <w:vertAlign w:val="baseline"/>
          <w:rtl w:val="0"/>
        </w:rPr>
        <w:t xml:space="preserve">34(4), 1–8.</w:t>
      </w:r>
    </w:p>
    <w:p w:rsidR="00000000" w:rsidDel="00000000" w:rsidP="00000000" w:rsidRDefault="00000000" w:rsidRPr="00000000" w14:paraId="00000138">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Jonas, O. B., Irwin, A., Berthe, F. C. J., Le Gall, F. G., &amp; Marquez, P. V. (2017). Drug-resistant infections: a threat to our economic future (Vol. 2): final report. HNP/Agriculture Global Antimicrobial Resistance Initiative.</w:t>
      </w:r>
    </w:p>
    <w:p w:rsidR="00000000" w:rsidDel="00000000" w:rsidP="00000000" w:rsidRDefault="00000000" w:rsidRPr="00000000" w14:paraId="00000139">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Joyroy, N., Ngiwsara, L., Wannachat, S., Mingma, R., Svasti, J., &amp; Wongchawalit, J. (2025). Unveiling the potentials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 its antioxidant, antimicrobial, and anticancer potentials. </w:t>
      </w:r>
      <w:r w:rsidDel="00000000" w:rsidR="00000000" w:rsidRPr="00000000">
        <w:rPr>
          <w:rFonts w:ascii="Times New Roman" w:cs="Times New Roman" w:eastAsia="Times New Roman" w:hAnsi="Times New Roman"/>
          <w:i w:val="1"/>
          <w:iCs w:val="1"/>
          <w:sz w:val="24"/>
          <w:szCs w:val="24"/>
          <w:vertAlign w:val="baseline"/>
          <w:rtl w:val="0"/>
        </w:rPr>
        <w:t xml:space="preserve">PeerJ</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13</w:t>
      </w:r>
      <w:r w:rsidDel="00000000" w:rsidR="00000000" w:rsidRPr="00000000">
        <w:rPr>
          <w:rFonts w:ascii="Times New Roman" w:cs="Times New Roman" w:eastAsia="Times New Roman" w:hAnsi="Times New Roman"/>
          <w:sz w:val="24"/>
          <w:szCs w:val="24"/>
          <w:vertAlign w:val="baseline"/>
          <w:rtl w:val="0"/>
        </w:rPr>
        <w:t xml:space="preserve">, e19170.</w:t>
      </w:r>
    </w:p>
    <w:p w:rsidR="00000000" w:rsidDel="00000000" w:rsidP="00000000" w:rsidRDefault="00000000" w:rsidRPr="00000000" w14:paraId="0000013A">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Kaczmarek B. (2020). Tannic Acid with Antiviral and Antibacterial Activity as A Promising Component of Biomaterials-A Minireview. </w:t>
      </w:r>
      <w:r w:rsidDel="00000000" w:rsidR="00000000" w:rsidRPr="00000000">
        <w:rPr>
          <w:rFonts w:ascii="Times New Roman" w:cs="Times New Roman" w:eastAsia="Times New Roman" w:hAnsi="Times New Roman"/>
          <w:i w:val="1"/>
          <w:iCs w:val="1"/>
          <w:sz w:val="24"/>
          <w:szCs w:val="24"/>
          <w:vertAlign w:val="baseline"/>
          <w:rtl w:val="0"/>
        </w:rPr>
        <w:t xml:space="preserve">Materials (Basel, Switzerland)</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13</w:t>
      </w:r>
      <w:r w:rsidDel="00000000" w:rsidR="00000000" w:rsidRPr="00000000">
        <w:rPr>
          <w:rFonts w:ascii="Times New Roman" w:cs="Times New Roman" w:eastAsia="Times New Roman" w:hAnsi="Times New Roman"/>
          <w:sz w:val="24"/>
          <w:szCs w:val="24"/>
          <w:vertAlign w:val="baseline"/>
          <w:rtl w:val="0"/>
        </w:rPr>
        <w:t xml:space="preserve">(14), 3224.</w:t>
      </w:r>
    </w:p>
    <w:p w:rsidR="00000000" w:rsidDel="00000000" w:rsidP="00000000" w:rsidRDefault="00000000" w:rsidRPr="00000000" w14:paraId="0000013B">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Kapadia, G. J., Rao, G. S., Sridhar, R., Ichiishi, E., Takasaki, M., Suzuki, N., Konoshima, T., Iida, A., &amp; Tokuda, H. (2013). Chemoprevention of skin cancer: effect of</w:t>
      </w:r>
      <w:r w:rsidDel="00000000" w:rsidR="00000000" w:rsidRPr="00000000">
        <w:rPr>
          <w:rFonts w:ascii="Times New Roman" w:cs="Times New Roman" w:eastAsia="Times New Roman" w:hAnsi="Times New Roman"/>
          <w:i w:val="1"/>
          <w:iCs w:val="1"/>
          <w:sz w:val="24"/>
          <w:szCs w:val="24"/>
          <w:vertAlign w:val="baseline"/>
          <w:rtl w:val="0"/>
        </w:rPr>
        <w:t xml:space="preserve"> Lawsonia inermis </w:t>
      </w:r>
      <w:r w:rsidDel="00000000" w:rsidR="00000000" w:rsidRPr="00000000">
        <w:rPr>
          <w:rFonts w:ascii="Times New Roman" w:cs="Times New Roman" w:eastAsia="Times New Roman" w:hAnsi="Times New Roman"/>
          <w:sz w:val="24"/>
          <w:szCs w:val="24"/>
          <w:vertAlign w:val="baseline"/>
          <w:rtl w:val="0"/>
        </w:rPr>
        <w:t xml:space="preserve">L. (Henna) leaf powder and its pigment artifact, lawsone in the Epstein- Barr virus early antigen activation assay and in two-stage mouse skin carcinogenesis models. </w:t>
      </w:r>
      <w:r w:rsidDel="00000000" w:rsidR="00000000" w:rsidRPr="00000000">
        <w:rPr>
          <w:rFonts w:ascii="Times New Roman" w:cs="Times New Roman" w:eastAsia="Times New Roman" w:hAnsi="Times New Roman"/>
          <w:i w:val="1"/>
          <w:iCs w:val="1"/>
          <w:sz w:val="24"/>
          <w:szCs w:val="24"/>
          <w:vertAlign w:val="baseline"/>
          <w:rtl w:val="0"/>
        </w:rPr>
        <w:t xml:space="preserve">Anti-cancer agents in medicinal chemistry</w:t>
      </w:r>
      <w:r w:rsidDel="00000000" w:rsidR="00000000" w:rsidRPr="00000000">
        <w:rPr>
          <w:rFonts w:ascii="Times New Roman" w:cs="Times New Roman" w:eastAsia="Times New Roman" w:hAnsi="Times New Roman"/>
          <w:sz w:val="24"/>
          <w:szCs w:val="24"/>
          <w:vertAlign w:val="baseline"/>
          <w:rtl w:val="0"/>
        </w:rPr>
        <w:t xml:space="preserve">, 13(10), 1500–1507.</w:t>
      </w:r>
    </w:p>
    <w:p w:rsidR="00000000" w:rsidDel="00000000" w:rsidP="00000000" w:rsidRDefault="00000000" w:rsidRPr="00000000" w14:paraId="0000013C">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Karapinar, M. &amp; Aktug, S.E.(1987). Inhibition of foodborne pathogens by thymol, eugenol, menthol and nethole. </w:t>
      </w:r>
      <w:r w:rsidDel="00000000" w:rsidR="00000000" w:rsidRPr="00000000">
        <w:rPr>
          <w:rFonts w:ascii="Times New Roman" w:cs="Times New Roman" w:eastAsia="Times New Roman" w:hAnsi="Times New Roman"/>
          <w:i w:val="1"/>
          <w:iCs w:val="1"/>
          <w:sz w:val="24"/>
          <w:szCs w:val="24"/>
          <w:vertAlign w:val="baseline"/>
          <w:rtl w:val="0"/>
        </w:rPr>
        <w:t xml:space="preserve">International Journal Food Microbiology</w:t>
      </w:r>
      <w:r w:rsidDel="00000000" w:rsidR="00000000" w:rsidRPr="00000000">
        <w:rPr>
          <w:rFonts w:ascii="Times New Roman" w:cs="Times New Roman" w:eastAsia="Times New Roman" w:hAnsi="Times New Roman"/>
          <w:sz w:val="24"/>
          <w:szCs w:val="24"/>
          <w:vertAlign w:val="baseline"/>
          <w:rtl w:val="0"/>
        </w:rPr>
        <w:t xml:space="preserve">, 4 (2), 161–166.</w:t>
      </w:r>
    </w:p>
    <w:p w:rsidR="00000000" w:rsidDel="00000000" w:rsidP="00000000" w:rsidRDefault="00000000" w:rsidRPr="00000000" w14:paraId="0000013D">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Kaurinovic, B. &amp; Vastag, D. (2019). Flavonoids and phenolic acids as potential natural antioxidants. In: Antioxidants, IntechOpen London, UK,pp. 1–20.</w:t>
      </w:r>
    </w:p>
    <w:p w:rsidR="00000000" w:rsidDel="00000000" w:rsidP="00000000" w:rsidRDefault="00000000" w:rsidRPr="00000000" w14:paraId="0000013E">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Khan, M. I. R., Fatima, N., &amp; Singh, A. (2019). GC-MS profiling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 leaf extract and its antifungal activity against </w:t>
      </w:r>
      <w:r w:rsidDel="00000000" w:rsidR="00000000" w:rsidRPr="00000000">
        <w:rPr>
          <w:rFonts w:ascii="Times New Roman" w:cs="Times New Roman" w:eastAsia="Times New Roman" w:hAnsi="Times New Roman"/>
          <w:i w:val="1"/>
          <w:iCs w:val="1"/>
          <w:sz w:val="24"/>
          <w:szCs w:val="24"/>
          <w:vertAlign w:val="baseline"/>
          <w:rtl w:val="0"/>
        </w:rPr>
        <w:t xml:space="preserve">Curvularia lunata</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Indian Phytopathology, 72</w:t>
      </w:r>
      <w:r w:rsidDel="00000000" w:rsidR="00000000" w:rsidRPr="00000000">
        <w:rPr>
          <w:rFonts w:ascii="Times New Roman" w:cs="Times New Roman" w:eastAsia="Times New Roman" w:hAnsi="Times New Roman"/>
          <w:sz w:val="24"/>
          <w:szCs w:val="24"/>
          <w:vertAlign w:val="baseline"/>
          <w:rtl w:val="0"/>
        </w:rPr>
        <w:t xml:space="preserve">(4), 609–614. </w:t>
      </w:r>
    </w:p>
    <w:p w:rsidR="00000000" w:rsidDel="00000000" w:rsidP="00000000" w:rsidRDefault="00000000" w:rsidRPr="00000000" w14:paraId="0000013F">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Khan, S. A. R., Siddiqui, A., Khan, M. A., &amp; Ahmad, S. (2020). Insights into the phytochemical potential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 for future small molecule based therapeutic applications. </w:t>
      </w:r>
      <w:r w:rsidDel="00000000" w:rsidR="00000000" w:rsidRPr="00000000">
        <w:rPr>
          <w:rFonts w:ascii="Times New Roman" w:cs="Times New Roman" w:eastAsia="Times New Roman" w:hAnsi="Times New Roman"/>
          <w:i w:val="1"/>
          <w:iCs w:val="1"/>
          <w:sz w:val="24"/>
          <w:szCs w:val="24"/>
          <w:vertAlign w:val="baseline"/>
          <w:rtl w:val="0"/>
        </w:rPr>
        <w:t xml:space="preserve">International Research Journal of Biological Sciences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9</w:t>
      </w:r>
      <w:r w:rsidDel="00000000" w:rsidR="00000000" w:rsidRPr="00000000">
        <w:rPr>
          <w:rFonts w:ascii="Times New Roman" w:cs="Times New Roman" w:eastAsia="Times New Roman" w:hAnsi="Times New Roman"/>
          <w:sz w:val="24"/>
          <w:szCs w:val="24"/>
          <w:vertAlign w:val="baseline"/>
          <w:rtl w:val="0"/>
        </w:rPr>
        <w:t xml:space="preserve">(6), 1-10. </w:t>
      </w:r>
    </w:p>
    <w:p w:rsidR="00000000" w:rsidDel="00000000" w:rsidP="00000000" w:rsidRDefault="00000000" w:rsidRPr="00000000" w14:paraId="00000140">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Klancnik, A., Sikic Pogacar, M., Trost, K., Tusek Znidaric, M., Mozetic Vodopivec, B. &amp; Smole Mozina, S. J. J. O. A. M. (2017). Anti‐Campylobacter activity of resveratrol and an extract from waste Pinot noir grape skins and seeds, and resistance of Campylobacter jejuni planktonic and biofilm cells, mediated via the CmeABC efflux pump. </w:t>
      </w:r>
      <w:r w:rsidDel="00000000" w:rsidR="00000000" w:rsidRPr="00000000">
        <w:rPr>
          <w:rFonts w:ascii="Times New Roman" w:cs="Times New Roman" w:eastAsia="Times New Roman" w:hAnsi="Times New Roman"/>
          <w:i w:val="1"/>
          <w:iCs w:val="1"/>
          <w:sz w:val="24"/>
          <w:szCs w:val="24"/>
          <w:vertAlign w:val="baseline"/>
          <w:rtl w:val="0"/>
        </w:rPr>
        <w:t xml:space="preserve">Journal of Applied Microbiology, </w:t>
      </w:r>
      <w:r w:rsidDel="00000000" w:rsidR="00000000" w:rsidRPr="00000000">
        <w:rPr>
          <w:rFonts w:ascii="Times New Roman" w:cs="Times New Roman" w:eastAsia="Times New Roman" w:hAnsi="Times New Roman"/>
          <w:sz w:val="24"/>
          <w:szCs w:val="24"/>
          <w:vertAlign w:val="baseline"/>
          <w:rtl w:val="0"/>
        </w:rPr>
        <w:t xml:space="preserve">122(1), 65-77.</w:t>
      </w:r>
    </w:p>
    <w:p w:rsidR="00000000" w:rsidDel="00000000" w:rsidP="00000000" w:rsidRDefault="00000000" w:rsidRPr="00000000" w14:paraId="00000141">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Koulenti, D., Fragkou, P. C. &amp; Tsiodras, S. (2020). Editorial for Special Issue "Multidrug-Resistant Pathogens". Microorganisms, 8 (9), 1383.</w:t>
      </w:r>
    </w:p>
    <w:p w:rsidR="00000000" w:rsidDel="00000000" w:rsidP="00000000" w:rsidRDefault="00000000" w:rsidRPr="00000000" w14:paraId="00000142">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Kumar, M., Kumar, S., &amp; Kaur, S. (2014). Identification of polyphenols in leaf extracts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 with antioxidant, antigenotoxic and antiproliferative potential. </w:t>
      </w:r>
      <w:r w:rsidDel="00000000" w:rsidR="00000000" w:rsidRPr="00000000">
        <w:rPr>
          <w:rFonts w:ascii="Times New Roman" w:cs="Times New Roman" w:eastAsia="Times New Roman" w:hAnsi="Times New Roman"/>
          <w:i w:val="1"/>
          <w:iCs w:val="1"/>
          <w:sz w:val="24"/>
          <w:szCs w:val="24"/>
          <w:vertAlign w:val="baseline"/>
          <w:rtl w:val="0"/>
        </w:rPr>
        <w:t xml:space="preserve">International Journal of Green Pharmacy</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8</w:t>
      </w:r>
      <w:r w:rsidDel="00000000" w:rsidR="00000000" w:rsidRPr="00000000">
        <w:rPr>
          <w:rFonts w:ascii="Times New Roman" w:cs="Times New Roman" w:eastAsia="Times New Roman" w:hAnsi="Times New Roman"/>
          <w:sz w:val="24"/>
          <w:szCs w:val="24"/>
          <w:vertAlign w:val="baseline"/>
          <w:rtl w:val="0"/>
        </w:rPr>
        <w:t xml:space="preserve">(4), 274-280. </w:t>
      </w:r>
    </w:p>
    <w:p w:rsidR="00000000" w:rsidDel="00000000" w:rsidP="00000000" w:rsidRDefault="00000000" w:rsidRPr="00000000" w14:paraId="0000014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Kumar, V., Yadav, S. K., &amp; Singh, S. K. (2022). Phytochemical profiling and antimicrobial potential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-derived silver nanoparticles. </w:t>
      </w:r>
      <w:r w:rsidDel="00000000" w:rsidR="00000000" w:rsidRPr="00000000">
        <w:rPr>
          <w:rFonts w:ascii="Times New Roman" w:cs="Times New Roman" w:eastAsia="Times New Roman" w:hAnsi="Times New Roman"/>
          <w:i w:val="1"/>
          <w:iCs w:val="1"/>
          <w:sz w:val="24"/>
          <w:szCs w:val="24"/>
          <w:vertAlign w:val="baseline"/>
          <w:rtl w:val="0"/>
        </w:rPr>
        <w:t xml:space="preserve">Journal of Nanostructure in Chemistry</w:t>
      </w:r>
      <w:r w:rsidDel="00000000" w:rsidR="00000000" w:rsidRPr="00000000">
        <w:rPr>
          <w:rFonts w:ascii="Times New Roman" w:cs="Times New Roman" w:eastAsia="Times New Roman" w:hAnsi="Times New Roman"/>
          <w:sz w:val="24"/>
          <w:szCs w:val="24"/>
          <w:vertAlign w:val="baseline"/>
          <w:rtl w:val="0"/>
        </w:rPr>
        <w:t xml:space="preserve">, 12(3), 451–462. </w:t>
      </w:r>
    </w:p>
    <w:p w:rsidR="00000000" w:rsidDel="00000000" w:rsidP="00000000" w:rsidRDefault="00000000" w:rsidRPr="00000000" w14:paraId="0000014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Kurhekar, J. V. (2016). Tannins-antimicrobial chemical components. </w:t>
      </w:r>
      <w:r w:rsidDel="00000000" w:rsidR="00000000" w:rsidRPr="00000000">
        <w:rPr>
          <w:rFonts w:ascii="Times New Roman" w:cs="Times New Roman" w:eastAsia="Times New Roman" w:hAnsi="Times New Roman"/>
          <w:i w:val="1"/>
          <w:iCs w:val="1"/>
          <w:sz w:val="24"/>
          <w:szCs w:val="24"/>
          <w:vertAlign w:val="baseline"/>
          <w:rtl w:val="0"/>
        </w:rPr>
        <w:t xml:space="preserve">International Journal of Technology and Science,</w:t>
      </w:r>
      <w:r w:rsidDel="00000000" w:rsidR="00000000" w:rsidRPr="00000000">
        <w:rPr>
          <w:rFonts w:ascii="Times New Roman" w:cs="Times New Roman" w:eastAsia="Times New Roman" w:hAnsi="Times New Roman"/>
          <w:sz w:val="24"/>
          <w:szCs w:val="24"/>
          <w:vertAlign w:val="baseline"/>
          <w:rtl w:val="0"/>
        </w:rPr>
        <w:t xml:space="preserve"> 9(3), 5-9.</w:t>
      </w:r>
    </w:p>
    <w:p w:rsidR="00000000" w:rsidDel="00000000" w:rsidP="00000000" w:rsidRDefault="00000000" w:rsidRPr="00000000" w14:paraId="00000145">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Lim, A., Subhan, N., Jazayeri, J.A., John, G., Vanniasinkam, T. &amp; Obied, H.K.(2016). Plant phenols as antibiotic boosters: In Vitro Interaction of olive leaf phenols with ampicillin. </w:t>
      </w:r>
      <w:r w:rsidDel="00000000" w:rsidR="00000000" w:rsidRPr="00000000">
        <w:rPr>
          <w:rFonts w:ascii="Times New Roman" w:cs="Times New Roman" w:eastAsia="Times New Roman" w:hAnsi="Times New Roman"/>
          <w:i w:val="1"/>
          <w:iCs w:val="1"/>
          <w:sz w:val="24"/>
          <w:szCs w:val="24"/>
          <w:vertAlign w:val="baseline"/>
          <w:rtl w:val="0"/>
        </w:rPr>
        <w:t xml:space="preserve">Phytotherapy Research,</w:t>
      </w:r>
      <w:r w:rsidDel="00000000" w:rsidR="00000000" w:rsidRPr="00000000">
        <w:rPr>
          <w:rFonts w:ascii="Times New Roman" w:cs="Times New Roman" w:eastAsia="Times New Roman" w:hAnsi="Times New Roman"/>
          <w:sz w:val="24"/>
          <w:szCs w:val="24"/>
          <w:vertAlign w:val="baseline"/>
          <w:rtl w:val="0"/>
        </w:rPr>
        <w:t xml:space="preserve"> 30 (3), 503–509.</w:t>
      </w:r>
    </w:p>
    <w:p w:rsidR="00000000" w:rsidDel="00000000" w:rsidP="00000000" w:rsidRDefault="00000000" w:rsidRPr="00000000" w14:paraId="00000146">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Lima, M. D. C., de Sousa, C. P., Fernandez-Prada, C., Harel, J., Dubreuil, J. D. &amp; De Souza, E. L. (2019). A review of the current evidence of fruit phenolic compounds as potential antimicrobials against pathogenic bacteria. </w:t>
      </w:r>
      <w:r w:rsidDel="00000000" w:rsidR="00000000" w:rsidRPr="00000000">
        <w:rPr>
          <w:rFonts w:ascii="Times New Roman" w:cs="Times New Roman" w:eastAsia="Times New Roman" w:hAnsi="Times New Roman"/>
          <w:i w:val="1"/>
          <w:iCs w:val="1"/>
          <w:sz w:val="24"/>
          <w:szCs w:val="24"/>
          <w:vertAlign w:val="baseline"/>
          <w:rtl w:val="0"/>
        </w:rPr>
        <w:t xml:space="preserve">Microbial Pathogenesis,</w:t>
      </w:r>
      <w:r w:rsidDel="00000000" w:rsidR="00000000" w:rsidRPr="00000000">
        <w:rPr>
          <w:rFonts w:ascii="Times New Roman" w:cs="Times New Roman" w:eastAsia="Times New Roman" w:hAnsi="Times New Roman"/>
          <w:sz w:val="24"/>
          <w:szCs w:val="24"/>
          <w:vertAlign w:val="baseline"/>
          <w:rtl w:val="0"/>
        </w:rPr>
        <w:t xml:space="preserve"> 130, 259-270.</w:t>
      </w:r>
    </w:p>
    <w:p w:rsidR="00000000" w:rsidDel="00000000" w:rsidP="00000000" w:rsidRDefault="00000000" w:rsidRPr="00000000" w14:paraId="00000147">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Lin, R. D., Chin, Y. P. &amp; Lee, M. H. (2005). Antimicrobial activity of antibiotics in combination with natural flavonoids against clinical extended‐spectrum β‐lactamase (ESBL)‐producing </w:t>
      </w:r>
      <w:r w:rsidDel="00000000" w:rsidR="00000000" w:rsidRPr="00000000">
        <w:rPr>
          <w:rFonts w:ascii="Times New Roman" w:cs="Times New Roman" w:eastAsia="Times New Roman" w:hAnsi="Times New Roman"/>
          <w:i w:val="1"/>
          <w:iCs w:val="1"/>
          <w:sz w:val="24"/>
          <w:szCs w:val="24"/>
          <w:vertAlign w:val="baseline"/>
          <w:rtl w:val="0"/>
        </w:rPr>
        <w:t xml:space="preserve">Klebsiella pneumoniae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Phytotherapy Research</w:t>
      </w:r>
      <w:r w:rsidDel="00000000" w:rsidR="00000000" w:rsidRPr="00000000">
        <w:rPr>
          <w:rFonts w:ascii="Times New Roman" w:cs="Times New Roman" w:eastAsia="Times New Roman" w:hAnsi="Times New Roman"/>
          <w:sz w:val="24"/>
          <w:szCs w:val="24"/>
          <w:vertAlign w:val="baseline"/>
          <w:rtl w:val="0"/>
        </w:rPr>
        <w:t xml:space="preserve">, 19(7), 612-617.</w:t>
      </w:r>
    </w:p>
    <w:p w:rsidR="00000000" w:rsidDel="00000000" w:rsidP="00000000" w:rsidRDefault="00000000" w:rsidRPr="00000000" w14:paraId="00000148">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Liu, B., Zhou, C., Zhang, Z., Roland, J. D., &amp; Lee, B. P. (2021). Antimicrobial property of halogenated catechols. </w:t>
      </w:r>
      <w:r w:rsidDel="00000000" w:rsidR="00000000" w:rsidRPr="00000000">
        <w:rPr>
          <w:rFonts w:ascii="Times New Roman" w:cs="Times New Roman" w:eastAsia="Times New Roman" w:hAnsi="Times New Roman"/>
          <w:i w:val="1"/>
          <w:iCs w:val="1"/>
          <w:sz w:val="24"/>
          <w:szCs w:val="24"/>
          <w:vertAlign w:val="baseline"/>
          <w:rtl w:val="0"/>
        </w:rPr>
        <w:t xml:space="preserve">Chemical Engineering Journal</w:t>
      </w:r>
      <w:r w:rsidDel="00000000" w:rsidR="00000000" w:rsidRPr="00000000">
        <w:rPr>
          <w:rFonts w:ascii="Times New Roman" w:cs="Times New Roman" w:eastAsia="Times New Roman" w:hAnsi="Times New Roman"/>
          <w:sz w:val="24"/>
          <w:szCs w:val="24"/>
          <w:vertAlign w:val="baseline"/>
          <w:rtl w:val="0"/>
        </w:rPr>
        <w:t xml:space="preserve">, 403, 126340.</w:t>
      </w:r>
    </w:p>
    <w:p w:rsidR="00000000" w:rsidDel="00000000" w:rsidP="00000000" w:rsidRDefault="00000000" w:rsidRPr="00000000" w14:paraId="00000149">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Lopes, L. A. A., dos Santos Rodrigues, J. B., Magnani, M., de Souza, E. L. &amp; de Siqueira-Junior, J. P. (2017). Inhibitory effects of flavonoids on biofilm formation by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that overexpresses efflux protein genes. </w:t>
      </w:r>
      <w:r w:rsidDel="00000000" w:rsidR="00000000" w:rsidRPr="00000000">
        <w:rPr>
          <w:rFonts w:ascii="Times New Roman" w:cs="Times New Roman" w:eastAsia="Times New Roman" w:hAnsi="Times New Roman"/>
          <w:i w:val="1"/>
          <w:iCs w:val="1"/>
          <w:sz w:val="24"/>
          <w:szCs w:val="24"/>
          <w:vertAlign w:val="baseline"/>
          <w:rtl w:val="0"/>
        </w:rPr>
        <w:t xml:space="preserve">Microbial Pathogenesis,</w:t>
      </w:r>
      <w:r w:rsidDel="00000000" w:rsidR="00000000" w:rsidRPr="00000000">
        <w:rPr>
          <w:rFonts w:ascii="Times New Roman" w:cs="Times New Roman" w:eastAsia="Times New Roman" w:hAnsi="Times New Roman"/>
          <w:sz w:val="24"/>
          <w:szCs w:val="24"/>
          <w:vertAlign w:val="baseline"/>
          <w:rtl w:val="0"/>
        </w:rPr>
        <w:t xml:space="preserve"> 107, 193-197.</w:t>
      </w:r>
    </w:p>
    <w:p w:rsidR="00000000" w:rsidDel="00000000" w:rsidP="00000000" w:rsidRDefault="00000000" w:rsidRPr="00000000" w14:paraId="0000014A">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Lopez-Bascon, M. A. &amp; De Castro, M. L. (2020). Soxhlet extraction. In Liquid-phase extraction (pp. 327-354). </w:t>
      </w:r>
      <w:r w:rsidDel="00000000" w:rsidR="00000000" w:rsidRPr="00000000">
        <w:rPr>
          <w:rFonts w:ascii="Times New Roman" w:cs="Times New Roman" w:eastAsia="Times New Roman" w:hAnsi="Times New Roman"/>
          <w:i w:val="1"/>
          <w:iCs w:val="1"/>
          <w:sz w:val="24"/>
          <w:szCs w:val="24"/>
          <w:vertAlign w:val="baseline"/>
          <w:rtl w:val="0"/>
        </w:rPr>
        <w:t xml:space="preserve">Elsevier</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14B">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Mahlapuu, M., Håkansson, J., Ringstad, L., &amp; Björn, C. (2016). Antimicrobial peptides: An emerging category of therapeutic agents. </w:t>
      </w:r>
      <w:r w:rsidDel="00000000" w:rsidR="00000000" w:rsidRPr="00000000">
        <w:rPr>
          <w:rFonts w:ascii="Times New Roman" w:cs="Times New Roman" w:eastAsia="Times New Roman" w:hAnsi="Times New Roman"/>
          <w:i w:val="1"/>
          <w:iCs w:val="1"/>
          <w:sz w:val="24"/>
          <w:szCs w:val="24"/>
          <w:vertAlign w:val="baseline"/>
          <w:rtl w:val="0"/>
        </w:rPr>
        <w:t xml:space="preserve">Frontiers in Cellular and Infection Microbiology</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6</w:t>
      </w:r>
      <w:r w:rsidDel="00000000" w:rsidR="00000000" w:rsidRPr="00000000">
        <w:rPr>
          <w:rFonts w:ascii="Times New Roman" w:cs="Times New Roman" w:eastAsia="Times New Roman" w:hAnsi="Times New Roman"/>
          <w:sz w:val="24"/>
          <w:szCs w:val="24"/>
          <w:vertAlign w:val="baseline"/>
          <w:rtl w:val="0"/>
        </w:rPr>
        <w:t xml:space="preserve">, 194. </w:t>
      </w:r>
    </w:p>
    <w:p w:rsidR="00000000" w:rsidDel="00000000" w:rsidP="00000000" w:rsidRDefault="00000000" w:rsidRPr="00000000" w14:paraId="0000014C">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Mak, S., Xu, Y. &amp; Nodwell, J. R. (2014). The expression of antibiotic resistance genes in antibiotic‐producing bacteria. </w:t>
      </w:r>
      <w:r w:rsidDel="00000000" w:rsidR="00000000" w:rsidRPr="00000000">
        <w:rPr>
          <w:rFonts w:ascii="Times New Roman" w:cs="Times New Roman" w:eastAsia="Times New Roman" w:hAnsi="Times New Roman"/>
          <w:i w:val="1"/>
          <w:iCs w:val="1"/>
          <w:sz w:val="24"/>
          <w:szCs w:val="24"/>
          <w:vertAlign w:val="baseline"/>
          <w:rtl w:val="0"/>
        </w:rPr>
        <w:t xml:space="preserve">Molecular Microbiology,</w:t>
      </w:r>
      <w:r w:rsidDel="00000000" w:rsidR="00000000" w:rsidRPr="00000000">
        <w:rPr>
          <w:rFonts w:ascii="Times New Roman" w:cs="Times New Roman" w:eastAsia="Times New Roman" w:hAnsi="Times New Roman"/>
          <w:sz w:val="24"/>
          <w:szCs w:val="24"/>
          <w:vertAlign w:val="baseline"/>
          <w:rtl w:val="0"/>
        </w:rPr>
        <w:t xml:space="preserve"> 93(3), 391-402.</w:t>
      </w:r>
    </w:p>
    <w:p w:rsidR="00000000" w:rsidDel="00000000" w:rsidP="00000000" w:rsidRDefault="00000000" w:rsidRPr="00000000" w14:paraId="0000014D">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Makarewicz, M., Drozdz, I., Tarko, T. &amp; Duda-Chodak, A. (2021). The interactions between polyphenols and microorganisms, especially gut microbiota. </w:t>
      </w:r>
      <w:r w:rsidDel="00000000" w:rsidR="00000000" w:rsidRPr="00000000">
        <w:rPr>
          <w:rFonts w:ascii="Times New Roman" w:cs="Times New Roman" w:eastAsia="Times New Roman" w:hAnsi="Times New Roman"/>
          <w:i w:val="1"/>
          <w:iCs w:val="1"/>
          <w:sz w:val="24"/>
          <w:szCs w:val="24"/>
          <w:vertAlign w:val="baseline"/>
          <w:rtl w:val="0"/>
        </w:rPr>
        <w:t xml:space="preserve">Antioxidants</w:t>
      </w:r>
      <w:r w:rsidDel="00000000" w:rsidR="00000000" w:rsidRPr="00000000">
        <w:rPr>
          <w:rFonts w:ascii="Times New Roman" w:cs="Times New Roman" w:eastAsia="Times New Roman" w:hAnsi="Times New Roman"/>
          <w:sz w:val="24"/>
          <w:szCs w:val="24"/>
          <w:vertAlign w:val="baseline"/>
          <w:rtl w:val="0"/>
        </w:rPr>
        <w:t xml:space="preserve">, 10 (2), 188.</w:t>
      </w:r>
    </w:p>
    <w:p w:rsidR="00000000" w:rsidDel="00000000" w:rsidP="00000000" w:rsidRDefault="00000000" w:rsidRPr="00000000" w14:paraId="0000014E">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Mbaveng, A. T., Sandjo, L. P., Tankeo, S. B., Ndifor, A. R., Pantaleon, A., Nagdjui, B. T. &amp; Kuete, V. (2015). Antibacterial activity of nineteen selected natural products against multi-drug resistant Gram-negative phenotypes. </w:t>
      </w:r>
      <w:r w:rsidDel="00000000" w:rsidR="00000000" w:rsidRPr="00000000">
        <w:rPr>
          <w:rFonts w:ascii="Times New Roman" w:cs="Times New Roman" w:eastAsia="Times New Roman" w:hAnsi="Times New Roman"/>
          <w:i w:val="1"/>
          <w:iCs w:val="1"/>
          <w:sz w:val="24"/>
          <w:szCs w:val="24"/>
          <w:vertAlign w:val="baseline"/>
          <w:rtl w:val="0"/>
        </w:rPr>
        <w:t xml:space="preserve">SpringerPlus</w:t>
      </w:r>
      <w:r w:rsidDel="00000000" w:rsidR="00000000" w:rsidRPr="00000000">
        <w:rPr>
          <w:rFonts w:ascii="Times New Roman" w:cs="Times New Roman" w:eastAsia="Times New Roman" w:hAnsi="Times New Roman"/>
          <w:sz w:val="24"/>
          <w:szCs w:val="24"/>
          <w:vertAlign w:val="baseline"/>
          <w:rtl w:val="0"/>
        </w:rPr>
        <w:t xml:space="preserve">, 4, 1-9.</w:t>
      </w:r>
    </w:p>
    <w:p w:rsidR="00000000" w:rsidDel="00000000" w:rsidP="00000000" w:rsidRDefault="00000000" w:rsidRPr="00000000" w14:paraId="0000014F">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Mendoza, N. &amp; Silva, E. M. E. (2018). Introduction to phytochemicals: secondary metabolites from plants with active principles for pharmacological importance. </w:t>
      </w:r>
      <w:r w:rsidDel="00000000" w:rsidR="00000000" w:rsidRPr="00000000">
        <w:rPr>
          <w:rFonts w:ascii="Times New Roman" w:cs="Times New Roman" w:eastAsia="Times New Roman" w:hAnsi="Times New Roman"/>
          <w:i w:val="1"/>
          <w:iCs w:val="1"/>
          <w:sz w:val="24"/>
          <w:szCs w:val="24"/>
          <w:vertAlign w:val="baseline"/>
          <w:rtl w:val="0"/>
        </w:rPr>
        <w:t xml:space="preserve">Phytochemicals: Source of Antioxidants and Role in Disease Prevention, </w:t>
      </w:r>
      <w:r w:rsidDel="00000000" w:rsidR="00000000" w:rsidRPr="00000000">
        <w:rPr>
          <w:rFonts w:ascii="Times New Roman" w:cs="Times New Roman" w:eastAsia="Times New Roman" w:hAnsi="Times New Roman"/>
          <w:sz w:val="24"/>
          <w:szCs w:val="24"/>
          <w:vertAlign w:val="baseline"/>
          <w:rtl w:val="0"/>
        </w:rPr>
        <w:t xml:space="preserve">25.</w:t>
      </w:r>
    </w:p>
    <w:p w:rsidR="00000000" w:rsidDel="00000000" w:rsidP="00000000" w:rsidRDefault="00000000" w:rsidRPr="00000000" w14:paraId="00000150">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Mensor, L. L., Menezes, F. S., Leitao, G. G., Reis, A. S., Santos, T. C. D., Coube, C. S. &amp; Leitao, S. G. (2001). Screening of Brazilian plant extracts for antioxidant activity by the use of DPPH free radical method. </w:t>
      </w:r>
      <w:r w:rsidDel="00000000" w:rsidR="00000000" w:rsidRPr="00000000">
        <w:rPr>
          <w:rFonts w:ascii="Times New Roman" w:cs="Times New Roman" w:eastAsia="Times New Roman" w:hAnsi="Times New Roman"/>
          <w:i w:val="1"/>
          <w:iCs w:val="1"/>
          <w:sz w:val="24"/>
          <w:szCs w:val="24"/>
          <w:vertAlign w:val="baseline"/>
          <w:rtl w:val="0"/>
        </w:rPr>
        <w:t xml:space="preserve">Phytotherapy research</w:t>
      </w:r>
      <w:r w:rsidDel="00000000" w:rsidR="00000000" w:rsidRPr="00000000">
        <w:rPr>
          <w:rFonts w:ascii="Times New Roman" w:cs="Times New Roman" w:eastAsia="Times New Roman" w:hAnsi="Times New Roman"/>
          <w:sz w:val="24"/>
          <w:szCs w:val="24"/>
          <w:vertAlign w:val="baseline"/>
          <w:rtl w:val="0"/>
        </w:rPr>
        <w:t xml:space="preserve">, 15(2), 127-130.</w:t>
      </w:r>
    </w:p>
    <w:p w:rsidR="00000000" w:rsidDel="00000000" w:rsidP="00000000" w:rsidRDefault="00000000" w:rsidRPr="00000000" w14:paraId="00000151">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Mert Eren, M., Dikmen, B., Vatansever, C., Servi, H., Yegin, H. C. &amp; Ozan, G. (2021). Antimicrobial activity of </w:t>
      </w:r>
      <w:r w:rsidDel="00000000" w:rsidR="00000000" w:rsidRPr="00000000">
        <w:rPr>
          <w:rFonts w:ascii="Times New Roman" w:cs="Times New Roman" w:eastAsia="Times New Roman" w:hAnsi="Times New Roman"/>
          <w:i w:val="1"/>
          <w:iCs w:val="1"/>
          <w:sz w:val="24"/>
          <w:szCs w:val="24"/>
          <w:vertAlign w:val="baseline"/>
          <w:rtl w:val="0"/>
        </w:rPr>
        <w:t xml:space="preserve">Sapindus mukorossi</w:t>
      </w:r>
      <w:r w:rsidDel="00000000" w:rsidR="00000000" w:rsidRPr="00000000">
        <w:rPr>
          <w:rFonts w:ascii="Times New Roman" w:cs="Times New Roman" w:eastAsia="Times New Roman" w:hAnsi="Times New Roman"/>
          <w:sz w:val="24"/>
          <w:szCs w:val="24"/>
          <w:vertAlign w:val="baseline"/>
          <w:rtl w:val="0"/>
        </w:rPr>
        <w:t xml:space="preserve"> and </w:t>
      </w:r>
      <w:r w:rsidDel="00000000" w:rsidR="00000000" w:rsidRPr="00000000">
        <w:rPr>
          <w:rFonts w:ascii="Times New Roman" w:cs="Times New Roman" w:eastAsia="Times New Roman" w:hAnsi="Times New Roman"/>
          <w:i w:val="1"/>
          <w:iCs w:val="1"/>
          <w:sz w:val="24"/>
          <w:szCs w:val="24"/>
          <w:vertAlign w:val="baseline"/>
          <w:rtl w:val="0"/>
        </w:rPr>
        <w:t xml:space="preserve">Saponaria officinalis</w:t>
      </w:r>
      <w:r w:rsidDel="00000000" w:rsidR="00000000" w:rsidRPr="00000000">
        <w:rPr>
          <w:rFonts w:ascii="Times New Roman" w:cs="Times New Roman" w:eastAsia="Times New Roman" w:hAnsi="Times New Roman"/>
          <w:sz w:val="24"/>
          <w:szCs w:val="24"/>
          <w:vertAlign w:val="baseline"/>
          <w:rtl w:val="0"/>
        </w:rPr>
        <w:t xml:space="preserve"> extracts on </w:t>
      </w:r>
      <w:r w:rsidDel="00000000" w:rsidR="00000000" w:rsidRPr="00000000">
        <w:rPr>
          <w:rFonts w:ascii="Times New Roman" w:cs="Times New Roman" w:eastAsia="Times New Roman" w:hAnsi="Times New Roman"/>
          <w:i w:val="1"/>
          <w:iCs w:val="1"/>
          <w:sz w:val="24"/>
          <w:szCs w:val="24"/>
          <w:vertAlign w:val="baseline"/>
          <w:rtl w:val="0"/>
        </w:rPr>
        <w:t xml:space="preserve">Streptococcus mutans</w:t>
      </w:r>
      <w:r w:rsidDel="00000000" w:rsidR="00000000" w:rsidRPr="00000000">
        <w:rPr>
          <w:rFonts w:ascii="Times New Roman" w:cs="Times New Roman" w:eastAsia="Times New Roman" w:hAnsi="Times New Roman"/>
          <w:sz w:val="24"/>
          <w:szCs w:val="24"/>
          <w:vertAlign w:val="baseline"/>
          <w:rtl w:val="0"/>
        </w:rPr>
        <w:t xml:space="preserve"> and </w:t>
      </w:r>
      <w:r w:rsidDel="00000000" w:rsidR="00000000" w:rsidRPr="00000000">
        <w:rPr>
          <w:rFonts w:ascii="Times New Roman" w:cs="Times New Roman" w:eastAsia="Times New Roman" w:hAnsi="Times New Roman"/>
          <w:i w:val="1"/>
          <w:iCs w:val="1"/>
          <w:sz w:val="24"/>
          <w:szCs w:val="24"/>
          <w:vertAlign w:val="baseline"/>
          <w:rtl w:val="0"/>
        </w:rPr>
        <w:t xml:space="preserve">Enterococcus faecalis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Annals of Medical Research</w:t>
      </w:r>
      <w:r w:rsidDel="00000000" w:rsidR="00000000" w:rsidRPr="00000000">
        <w:rPr>
          <w:rFonts w:ascii="Times New Roman" w:cs="Times New Roman" w:eastAsia="Times New Roman" w:hAnsi="Times New Roman"/>
          <w:sz w:val="24"/>
          <w:szCs w:val="24"/>
          <w:vertAlign w:val="baseline"/>
          <w:rtl w:val="0"/>
        </w:rPr>
        <w:t xml:space="preserve">, 28(3), 516–519.</w:t>
      </w:r>
    </w:p>
    <w:p w:rsidR="00000000" w:rsidDel="00000000" w:rsidP="00000000" w:rsidRDefault="00000000" w:rsidRPr="00000000" w14:paraId="00000152">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Miklasinska-Majdanik, M., Kepa, M., Wojtyczka, R. D., Idzik, D. &amp; Wasik, T. J. (2018). Phenolic compounds diminish antibiotic resistance of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clinical strains. </w:t>
      </w:r>
      <w:r w:rsidDel="00000000" w:rsidR="00000000" w:rsidRPr="00000000">
        <w:rPr>
          <w:rFonts w:ascii="Times New Roman" w:cs="Times New Roman" w:eastAsia="Times New Roman" w:hAnsi="Times New Roman"/>
          <w:i w:val="1"/>
          <w:iCs w:val="1"/>
          <w:sz w:val="24"/>
          <w:szCs w:val="24"/>
          <w:vertAlign w:val="baseline"/>
          <w:rtl w:val="0"/>
        </w:rPr>
        <w:t xml:space="preserve">International Journal of Environmental Research and Public Health,</w:t>
      </w:r>
      <w:r w:rsidDel="00000000" w:rsidR="00000000" w:rsidRPr="00000000">
        <w:rPr>
          <w:rFonts w:ascii="Times New Roman" w:cs="Times New Roman" w:eastAsia="Times New Roman" w:hAnsi="Times New Roman"/>
          <w:sz w:val="24"/>
          <w:szCs w:val="24"/>
          <w:vertAlign w:val="baseline"/>
          <w:rtl w:val="0"/>
        </w:rPr>
        <w:t xml:space="preserve"> 15(10), 2321.</w:t>
      </w:r>
    </w:p>
    <w:p w:rsidR="00000000" w:rsidDel="00000000" w:rsidP="00000000" w:rsidRDefault="00000000" w:rsidRPr="00000000" w14:paraId="0000015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Moellering Jr, R. C. (2012). MRSA: the first half century. </w:t>
      </w:r>
      <w:r w:rsidDel="00000000" w:rsidR="00000000" w:rsidRPr="00000000">
        <w:rPr>
          <w:rFonts w:ascii="Times New Roman" w:cs="Times New Roman" w:eastAsia="Times New Roman" w:hAnsi="Times New Roman"/>
          <w:i w:val="1"/>
          <w:iCs w:val="1"/>
          <w:sz w:val="24"/>
          <w:szCs w:val="24"/>
          <w:vertAlign w:val="baseline"/>
          <w:rtl w:val="0"/>
        </w:rPr>
        <w:t xml:space="preserve">Journal of Antimicrobial Chemotherapy,</w:t>
      </w:r>
      <w:r w:rsidDel="00000000" w:rsidR="00000000" w:rsidRPr="00000000">
        <w:rPr>
          <w:rFonts w:ascii="Times New Roman" w:cs="Times New Roman" w:eastAsia="Times New Roman" w:hAnsi="Times New Roman"/>
          <w:sz w:val="24"/>
          <w:szCs w:val="24"/>
          <w:vertAlign w:val="baseline"/>
          <w:rtl w:val="0"/>
        </w:rPr>
        <w:t xml:space="preserve"> 67(1), 4-11.</w:t>
      </w:r>
    </w:p>
    <w:p w:rsidR="00000000" w:rsidDel="00000000" w:rsidP="00000000" w:rsidRDefault="00000000" w:rsidRPr="00000000" w14:paraId="0000015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Moghimipour, E. &amp; Handali, S. (2015). Saponin: Properties, methods of evaluation and applications. </w:t>
      </w:r>
      <w:r w:rsidDel="00000000" w:rsidR="00000000" w:rsidRPr="00000000">
        <w:rPr>
          <w:rFonts w:ascii="Times New Roman" w:cs="Times New Roman" w:eastAsia="Times New Roman" w:hAnsi="Times New Roman"/>
          <w:i w:val="1"/>
          <w:iCs w:val="1"/>
          <w:sz w:val="24"/>
          <w:szCs w:val="24"/>
          <w:vertAlign w:val="baseline"/>
          <w:rtl w:val="0"/>
        </w:rPr>
        <w:t xml:space="preserve">Annual Research &amp; Review in Biology,</w:t>
      </w:r>
      <w:r w:rsidDel="00000000" w:rsidR="00000000" w:rsidRPr="00000000">
        <w:rPr>
          <w:rFonts w:ascii="Times New Roman" w:cs="Times New Roman" w:eastAsia="Times New Roman" w:hAnsi="Times New Roman"/>
          <w:sz w:val="24"/>
          <w:szCs w:val="24"/>
          <w:vertAlign w:val="baseline"/>
          <w:rtl w:val="0"/>
        </w:rPr>
        <w:t xml:space="preserve"> 207-220.</w:t>
      </w:r>
    </w:p>
    <w:p w:rsidR="00000000" w:rsidDel="00000000" w:rsidP="00000000" w:rsidRDefault="00000000" w:rsidRPr="00000000" w14:paraId="00000155">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Mohammed, M. J., Anand, U., Altemimi, A. B., Tripathi, V., Guo, Y. &amp; Pratap-Singh, A. (2021). Phenolic composition, antioxidant capacity and antibacterial activity of white wormwood (Artemisia herba-alba). </w:t>
      </w:r>
      <w:r w:rsidDel="00000000" w:rsidR="00000000" w:rsidRPr="00000000">
        <w:rPr>
          <w:rFonts w:ascii="Times New Roman" w:cs="Times New Roman" w:eastAsia="Times New Roman" w:hAnsi="Times New Roman"/>
          <w:i w:val="1"/>
          <w:iCs w:val="1"/>
          <w:sz w:val="24"/>
          <w:szCs w:val="24"/>
          <w:vertAlign w:val="baseline"/>
          <w:rtl w:val="0"/>
        </w:rPr>
        <w:t xml:space="preserve">Plants,</w:t>
      </w:r>
      <w:r w:rsidDel="00000000" w:rsidR="00000000" w:rsidRPr="00000000">
        <w:rPr>
          <w:rFonts w:ascii="Times New Roman" w:cs="Times New Roman" w:eastAsia="Times New Roman" w:hAnsi="Times New Roman"/>
          <w:sz w:val="24"/>
          <w:szCs w:val="24"/>
          <w:vertAlign w:val="baseline"/>
          <w:rtl w:val="0"/>
        </w:rPr>
        <w:t xml:space="preserve"> 10(1), 164.</w:t>
      </w:r>
    </w:p>
    <w:p w:rsidR="00000000" w:rsidDel="00000000" w:rsidP="00000000" w:rsidRDefault="00000000" w:rsidRPr="00000000" w14:paraId="00000156">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Mohanasundari, L., Devi, G. B., Musthafa, M. S. &amp; Madhavi, M. (2022). Effects of </w:t>
      </w:r>
      <w:r w:rsidDel="00000000" w:rsidR="00000000" w:rsidRPr="00000000">
        <w:rPr>
          <w:rFonts w:ascii="Times New Roman" w:cs="Times New Roman" w:eastAsia="Times New Roman" w:hAnsi="Times New Roman"/>
          <w:i w:val="1"/>
          <w:iCs w:val="1"/>
          <w:sz w:val="24"/>
          <w:szCs w:val="24"/>
          <w:vertAlign w:val="baseline"/>
          <w:rtl w:val="0"/>
        </w:rPr>
        <w:t xml:space="preserve">Illicium verum</w:t>
      </w:r>
      <w:r w:rsidDel="00000000" w:rsidR="00000000" w:rsidRPr="00000000">
        <w:rPr>
          <w:rFonts w:ascii="Times New Roman" w:cs="Times New Roman" w:eastAsia="Times New Roman" w:hAnsi="Times New Roman"/>
          <w:sz w:val="24"/>
          <w:szCs w:val="24"/>
          <w:vertAlign w:val="baseline"/>
          <w:rtl w:val="0"/>
        </w:rPr>
        <w:t xml:space="preserve"> Hook. f.(Chinese herb) enriched diet on growth performance, immune response and disease resistance in </w:t>
      </w:r>
      <w:r w:rsidDel="00000000" w:rsidR="00000000" w:rsidRPr="00000000">
        <w:rPr>
          <w:rFonts w:ascii="Times New Roman" w:cs="Times New Roman" w:eastAsia="Times New Roman" w:hAnsi="Times New Roman"/>
          <w:i w:val="1"/>
          <w:iCs w:val="1"/>
          <w:sz w:val="24"/>
          <w:szCs w:val="24"/>
          <w:vertAlign w:val="baseline"/>
          <w:rtl w:val="0"/>
        </w:rPr>
        <w:t xml:space="preserve">Catla catla</w:t>
      </w:r>
      <w:r w:rsidDel="00000000" w:rsidR="00000000" w:rsidRPr="00000000">
        <w:rPr>
          <w:rFonts w:ascii="Times New Roman" w:cs="Times New Roman" w:eastAsia="Times New Roman" w:hAnsi="Times New Roman"/>
          <w:sz w:val="24"/>
          <w:szCs w:val="24"/>
          <w:vertAlign w:val="baseline"/>
          <w:rtl w:val="0"/>
        </w:rPr>
        <w:t xml:space="preserve"> [Hamilton] fingerlings against </w:t>
      </w:r>
      <w:r w:rsidDel="00000000" w:rsidR="00000000" w:rsidRPr="00000000">
        <w:rPr>
          <w:rFonts w:ascii="Times New Roman" w:cs="Times New Roman" w:eastAsia="Times New Roman" w:hAnsi="Times New Roman"/>
          <w:i w:val="1"/>
          <w:iCs w:val="1"/>
          <w:sz w:val="24"/>
          <w:szCs w:val="24"/>
          <w:vertAlign w:val="baseline"/>
          <w:rtl w:val="0"/>
        </w:rPr>
        <w:t xml:space="preserve">Aeromonas hydrophila</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Fish &amp; Shellfish Immunology</w:t>
      </w:r>
      <w:r w:rsidDel="00000000" w:rsidR="00000000" w:rsidRPr="00000000">
        <w:rPr>
          <w:rFonts w:ascii="Times New Roman" w:cs="Times New Roman" w:eastAsia="Times New Roman" w:hAnsi="Times New Roman"/>
          <w:sz w:val="24"/>
          <w:szCs w:val="24"/>
          <w:vertAlign w:val="baseline"/>
          <w:rtl w:val="0"/>
        </w:rPr>
        <w:t xml:space="preserve">, 127, 455-462.</w:t>
      </w:r>
    </w:p>
    <w:p w:rsidR="00000000" w:rsidDel="00000000" w:rsidP="00000000" w:rsidRDefault="00000000" w:rsidRPr="00000000" w14:paraId="00000157">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Munita, J. M. &amp; Arias, C. A. (2016). Mechanisms of antibiotic resistance. </w:t>
      </w:r>
      <w:r w:rsidDel="00000000" w:rsidR="00000000" w:rsidRPr="00000000">
        <w:rPr>
          <w:rFonts w:ascii="Times New Roman" w:cs="Times New Roman" w:eastAsia="Times New Roman" w:hAnsi="Times New Roman"/>
          <w:i w:val="1"/>
          <w:iCs w:val="1"/>
          <w:sz w:val="24"/>
          <w:szCs w:val="24"/>
          <w:vertAlign w:val="baseline"/>
          <w:rtl w:val="0"/>
        </w:rPr>
        <w:t xml:space="preserve">Microbiology Spectrum,</w:t>
      </w:r>
      <w:r w:rsidDel="00000000" w:rsidR="00000000" w:rsidRPr="00000000">
        <w:rPr>
          <w:rFonts w:ascii="Times New Roman" w:cs="Times New Roman" w:eastAsia="Times New Roman" w:hAnsi="Times New Roman"/>
          <w:sz w:val="24"/>
          <w:szCs w:val="24"/>
          <w:vertAlign w:val="baseline"/>
          <w:rtl w:val="0"/>
        </w:rPr>
        <w:t xml:space="preserve"> 4(2),481–511.</w:t>
      </w:r>
    </w:p>
    <w:p w:rsidR="00000000" w:rsidDel="00000000" w:rsidP="00000000" w:rsidRDefault="00000000" w:rsidRPr="00000000" w14:paraId="00000158">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Muniz, D.F., dos Santos Barbosa, C.R., de Menezes, I.R.A., de Sousa, E.O., Pereira, R.L.S., Junior, J.T.C., Pereira, P.S., de Matos, Y.M., da Costa, R.H., de Morais Oliveira-Tintino, C.D. &amp; Coutinho, H.D.M. (2021). In vitro and in silico inhibitory effects of synthetic and natural eugenol derivatives against the NorA efflux pump in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Food Chemistry, </w:t>
      </w:r>
      <w:r w:rsidDel="00000000" w:rsidR="00000000" w:rsidRPr="00000000">
        <w:rPr>
          <w:rFonts w:ascii="Times New Roman" w:cs="Times New Roman" w:eastAsia="Times New Roman" w:hAnsi="Times New Roman"/>
          <w:sz w:val="24"/>
          <w:szCs w:val="24"/>
          <w:vertAlign w:val="baseline"/>
          <w:rtl w:val="0"/>
        </w:rPr>
        <w:t xml:space="preserve">337, 127776.</w:t>
      </w:r>
    </w:p>
    <w:p w:rsidR="00000000" w:rsidDel="00000000" w:rsidP="00000000" w:rsidRDefault="00000000" w:rsidRPr="00000000" w14:paraId="00000159">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Mustapha, A., AlSharksi, A. N., Eze, U. A., Samaila, R. K., Ukwah, B. N., Anyiam, A. F., Samarasinghe, S., &amp; Ibrahim, M. A. (2024). Phytochemical Composition, </w:t>
      </w:r>
      <w:r w:rsidDel="00000000" w:rsidR="00000000" w:rsidRPr="00000000">
        <w:rPr>
          <w:rFonts w:ascii="Times New Roman" w:cs="Times New Roman" w:eastAsia="Times New Roman" w:hAnsi="Times New Roman"/>
          <w:i w:val="1"/>
          <w:iCs w:val="1"/>
          <w:sz w:val="24"/>
          <w:szCs w:val="24"/>
          <w:vertAlign w:val="baseline"/>
          <w:rtl w:val="0"/>
        </w:rPr>
        <w:t xml:space="preserve">In Silico</w:t>
      </w:r>
      <w:r w:rsidDel="00000000" w:rsidR="00000000" w:rsidRPr="00000000">
        <w:rPr>
          <w:rFonts w:ascii="Times New Roman" w:cs="Times New Roman" w:eastAsia="Times New Roman" w:hAnsi="Times New Roman"/>
          <w:sz w:val="24"/>
          <w:szCs w:val="24"/>
          <w:vertAlign w:val="baseline"/>
          <w:rtl w:val="0"/>
        </w:rPr>
        <w:t xml:space="preserve"> Molecular Docking Analysis and Antibacterial Activity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Linn Leaves Extracts against Extended Spectrum Beta-Lactamases-Producing Strains of </w:t>
      </w:r>
      <w:r w:rsidDel="00000000" w:rsidR="00000000" w:rsidRPr="00000000">
        <w:rPr>
          <w:rFonts w:ascii="Times New Roman" w:cs="Times New Roman" w:eastAsia="Times New Roman" w:hAnsi="Times New Roman"/>
          <w:i w:val="1"/>
          <w:iCs w:val="1"/>
          <w:sz w:val="24"/>
          <w:szCs w:val="24"/>
          <w:vertAlign w:val="baseline"/>
          <w:rtl w:val="0"/>
        </w:rPr>
        <w:t xml:space="preserve">Klebsiella pneumoniae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BioMed</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4</w:t>
      </w:r>
      <w:r w:rsidDel="00000000" w:rsidR="00000000" w:rsidRPr="00000000">
        <w:rPr>
          <w:rFonts w:ascii="Times New Roman" w:cs="Times New Roman" w:eastAsia="Times New Roman" w:hAnsi="Times New Roman"/>
          <w:sz w:val="24"/>
          <w:szCs w:val="24"/>
          <w:vertAlign w:val="baseline"/>
          <w:rtl w:val="0"/>
        </w:rPr>
        <w:t xml:space="preserve">(3), 277-292.</w:t>
      </w:r>
    </w:p>
    <w:p w:rsidR="00000000" w:rsidDel="00000000" w:rsidP="00000000" w:rsidRDefault="00000000" w:rsidRPr="00000000" w14:paraId="0000015A">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Musthafa, M. S., Asgari, S. M., Kurian, A., Elumalai, P., Ali, A. R. J., Paray, B. A. &amp; Al-Sadoon, M. K. (2018). Protective efficacy of </w:t>
      </w:r>
      <w:r w:rsidDel="00000000" w:rsidR="00000000" w:rsidRPr="00000000">
        <w:rPr>
          <w:rFonts w:ascii="Times New Roman" w:cs="Times New Roman" w:eastAsia="Times New Roman" w:hAnsi="Times New Roman"/>
          <w:i w:val="1"/>
          <w:iCs w:val="1"/>
          <w:sz w:val="24"/>
          <w:szCs w:val="24"/>
          <w:vertAlign w:val="baseline"/>
          <w:rtl w:val="0"/>
        </w:rPr>
        <w:t xml:space="preserve">Mucuna pruriens</w:t>
      </w:r>
      <w:r w:rsidDel="00000000" w:rsidR="00000000" w:rsidRPr="00000000">
        <w:rPr>
          <w:rFonts w:ascii="Times New Roman" w:cs="Times New Roman" w:eastAsia="Times New Roman" w:hAnsi="Times New Roman"/>
          <w:sz w:val="24"/>
          <w:szCs w:val="24"/>
          <w:vertAlign w:val="baseline"/>
          <w:rtl w:val="0"/>
        </w:rPr>
        <w:t xml:space="preserve"> (L.) seed meal enriched diet on growth performance, innate immunity, and disease resistance in </w:t>
      </w:r>
      <w:r w:rsidDel="00000000" w:rsidR="00000000" w:rsidRPr="00000000">
        <w:rPr>
          <w:rFonts w:ascii="Times New Roman" w:cs="Times New Roman" w:eastAsia="Times New Roman" w:hAnsi="Times New Roman"/>
          <w:i w:val="1"/>
          <w:iCs w:val="1"/>
          <w:sz w:val="24"/>
          <w:szCs w:val="24"/>
          <w:vertAlign w:val="baseline"/>
          <w:rtl w:val="0"/>
        </w:rPr>
        <w:t xml:space="preserve">Oreochromis mossambicus</w:t>
      </w:r>
      <w:r w:rsidDel="00000000" w:rsidR="00000000" w:rsidRPr="00000000">
        <w:rPr>
          <w:rFonts w:ascii="Times New Roman" w:cs="Times New Roman" w:eastAsia="Times New Roman" w:hAnsi="Times New Roman"/>
          <w:sz w:val="24"/>
          <w:szCs w:val="24"/>
          <w:vertAlign w:val="baseline"/>
          <w:rtl w:val="0"/>
        </w:rPr>
        <w:t xml:space="preserve"> against </w:t>
      </w:r>
      <w:r w:rsidDel="00000000" w:rsidR="00000000" w:rsidRPr="00000000">
        <w:rPr>
          <w:rFonts w:ascii="Times New Roman" w:cs="Times New Roman" w:eastAsia="Times New Roman" w:hAnsi="Times New Roman"/>
          <w:i w:val="1"/>
          <w:iCs w:val="1"/>
          <w:sz w:val="24"/>
          <w:szCs w:val="24"/>
          <w:vertAlign w:val="baseline"/>
          <w:rtl w:val="0"/>
        </w:rPr>
        <w:t xml:space="preserve">Aeromonas hydrophila</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Fish &amp; Shellfish Immunology,</w:t>
      </w:r>
      <w:r w:rsidDel="00000000" w:rsidR="00000000" w:rsidRPr="00000000">
        <w:rPr>
          <w:rFonts w:ascii="Times New Roman" w:cs="Times New Roman" w:eastAsia="Times New Roman" w:hAnsi="Times New Roman"/>
          <w:sz w:val="24"/>
          <w:szCs w:val="24"/>
          <w:vertAlign w:val="baseline"/>
          <w:rtl w:val="0"/>
        </w:rPr>
        <w:t xml:space="preserve"> 75, 374-380.</w:t>
      </w:r>
    </w:p>
    <w:p w:rsidR="00000000" w:rsidDel="00000000" w:rsidP="00000000" w:rsidRDefault="00000000" w:rsidRPr="00000000" w14:paraId="0000015B">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Nesa, L., Munira, S., Mollika, S., Islam, M., Choin, H., Chouduri, A. U., &amp; Naher, N. (2014). Evaluation of analgesic, anti-inflammatory and CNS depressant activities of methanolic extract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 </w:t>
      </w:r>
      <w:r w:rsidDel="00000000" w:rsidR="00000000" w:rsidRPr="00000000">
        <w:rPr>
          <w:rFonts w:ascii="Times New Roman" w:cs="Times New Roman" w:eastAsia="Times New Roman" w:hAnsi="Times New Roman"/>
          <w:sz w:val="24"/>
          <w:szCs w:val="24"/>
          <w:vertAlign w:val="baseline"/>
          <w:rtl w:val="0"/>
        </w:rPr>
        <w:t xml:space="preserve">barks in mice. </w:t>
      </w:r>
      <w:r w:rsidDel="00000000" w:rsidR="00000000" w:rsidRPr="00000000">
        <w:rPr>
          <w:rFonts w:ascii="Times New Roman" w:cs="Times New Roman" w:eastAsia="Times New Roman" w:hAnsi="Times New Roman"/>
          <w:i w:val="1"/>
          <w:iCs w:val="1"/>
          <w:sz w:val="24"/>
          <w:szCs w:val="24"/>
          <w:vertAlign w:val="baseline"/>
          <w:rtl w:val="0"/>
        </w:rPr>
        <w:t xml:space="preserve">Avicenna Journal of Phytomedicine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4</w:t>
      </w:r>
      <w:r w:rsidDel="00000000" w:rsidR="00000000" w:rsidRPr="00000000">
        <w:rPr>
          <w:rFonts w:ascii="Times New Roman" w:cs="Times New Roman" w:eastAsia="Times New Roman" w:hAnsi="Times New Roman"/>
          <w:sz w:val="24"/>
          <w:szCs w:val="24"/>
          <w:vertAlign w:val="baseline"/>
          <w:rtl w:val="0"/>
        </w:rPr>
        <w:t xml:space="preserve">(4), 287–296.</w:t>
      </w:r>
    </w:p>
    <w:p w:rsidR="00000000" w:rsidDel="00000000" w:rsidP="00000000" w:rsidRDefault="00000000" w:rsidRPr="00000000" w14:paraId="0000015C">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Nowacka, N., Nowak, R., Drozd, M., Olech, M., Los, R. &amp; Malm, A. (2015). Antibacterial, antiradical potential and phenolic compounds of thirty-one polish mushrooms. </w:t>
      </w:r>
      <w:r w:rsidDel="00000000" w:rsidR="00000000" w:rsidRPr="00000000">
        <w:rPr>
          <w:rFonts w:ascii="Times New Roman" w:cs="Times New Roman" w:eastAsia="Times New Roman" w:hAnsi="Times New Roman"/>
          <w:i w:val="1"/>
          <w:iCs w:val="1"/>
          <w:sz w:val="24"/>
          <w:szCs w:val="24"/>
          <w:vertAlign w:val="baseline"/>
          <w:rtl w:val="0"/>
        </w:rPr>
        <w:t xml:space="preserve">PloS one</w:t>
      </w:r>
      <w:r w:rsidDel="00000000" w:rsidR="00000000" w:rsidRPr="00000000">
        <w:rPr>
          <w:rFonts w:ascii="Times New Roman" w:cs="Times New Roman" w:eastAsia="Times New Roman" w:hAnsi="Times New Roman"/>
          <w:sz w:val="24"/>
          <w:szCs w:val="24"/>
          <w:vertAlign w:val="baseline"/>
          <w:rtl w:val="0"/>
        </w:rPr>
        <w:t xml:space="preserve">, 10(10), e0140355.</w:t>
      </w:r>
    </w:p>
    <w:p w:rsidR="00000000" w:rsidDel="00000000" w:rsidP="00000000" w:rsidRDefault="00000000" w:rsidRPr="00000000" w14:paraId="0000015D">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Osuagwu, G. G. E., Nwachukwu, C. N., &amp; Okeke, C. U. (2022). Phytochemical and antimicrobial screening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leaf extracts. </w:t>
      </w:r>
      <w:r w:rsidDel="00000000" w:rsidR="00000000" w:rsidRPr="00000000">
        <w:rPr>
          <w:rFonts w:ascii="Times New Roman" w:cs="Times New Roman" w:eastAsia="Times New Roman" w:hAnsi="Times New Roman"/>
          <w:i w:val="1"/>
          <w:iCs w:val="1"/>
          <w:sz w:val="24"/>
          <w:szCs w:val="24"/>
          <w:vertAlign w:val="baseline"/>
          <w:rtl w:val="0"/>
        </w:rPr>
        <w:t xml:space="preserve">Scientific Journal of Biological Sciences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11</w:t>
      </w:r>
      <w:r w:rsidDel="00000000" w:rsidR="00000000" w:rsidRPr="00000000">
        <w:rPr>
          <w:rFonts w:ascii="Times New Roman" w:cs="Times New Roman" w:eastAsia="Times New Roman" w:hAnsi="Times New Roman"/>
          <w:sz w:val="24"/>
          <w:szCs w:val="24"/>
          <w:vertAlign w:val="baseline"/>
          <w:rtl w:val="0"/>
        </w:rPr>
        <w:t xml:space="preserve">(3), 45–53.</w:t>
      </w:r>
    </w:p>
    <w:p w:rsidR="00000000" w:rsidDel="00000000" w:rsidP="00000000" w:rsidRDefault="00000000" w:rsidRPr="00000000" w14:paraId="0000015E">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Othman, A., Kutkat, O., Mabrouk, S. S., &amp; Amen, Y. (2025). Triterpene saponins from the halophyte </w:t>
      </w:r>
      <w:r w:rsidDel="00000000" w:rsidR="00000000" w:rsidRPr="00000000">
        <w:rPr>
          <w:rFonts w:ascii="Times New Roman" w:cs="Times New Roman" w:eastAsia="Times New Roman" w:hAnsi="Times New Roman"/>
          <w:i w:val="1"/>
          <w:iCs w:val="1"/>
          <w:sz w:val="24"/>
          <w:szCs w:val="24"/>
          <w:vertAlign w:val="baseline"/>
          <w:rtl w:val="0"/>
        </w:rPr>
        <w:t xml:space="preserve">Anabasis setifera</w:t>
      </w:r>
      <w:r w:rsidDel="00000000" w:rsidR="00000000" w:rsidRPr="00000000">
        <w:rPr>
          <w:rFonts w:ascii="Times New Roman" w:cs="Times New Roman" w:eastAsia="Times New Roman" w:hAnsi="Times New Roman"/>
          <w:sz w:val="24"/>
          <w:szCs w:val="24"/>
          <w:vertAlign w:val="baseline"/>
          <w:rtl w:val="0"/>
        </w:rPr>
        <w:t xml:space="preserve"> exhibit anti-SARS-CoV-2 properties. </w:t>
      </w:r>
      <w:r w:rsidDel="00000000" w:rsidR="00000000" w:rsidRPr="00000000">
        <w:rPr>
          <w:rFonts w:ascii="Times New Roman" w:cs="Times New Roman" w:eastAsia="Times New Roman" w:hAnsi="Times New Roman"/>
          <w:i w:val="1"/>
          <w:iCs w:val="1"/>
          <w:sz w:val="24"/>
          <w:szCs w:val="24"/>
          <w:vertAlign w:val="baseline"/>
          <w:rtl w:val="0"/>
        </w:rPr>
        <w:t xml:space="preserve">RSC Advances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15</w:t>
      </w:r>
      <w:r w:rsidDel="00000000" w:rsidR="00000000" w:rsidRPr="00000000">
        <w:rPr>
          <w:rFonts w:ascii="Times New Roman" w:cs="Times New Roman" w:eastAsia="Times New Roman" w:hAnsi="Times New Roman"/>
          <w:sz w:val="24"/>
          <w:szCs w:val="24"/>
          <w:vertAlign w:val="baseline"/>
          <w:rtl w:val="0"/>
        </w:rPr>
        <w:t xml:space="preserve">, 27623-27631.</w:t>
      </w:r>
    </w:p>
    <w:p w:rsidR="00000000" w:rsidDel="00000000" w:rsidP="00000000" w:rsidRDefault="00000000" w:rsidRPr="00000000" w14:paraId="0000015F">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Oyekale, A. S. &amp; Oyekale, T. O. (2017). Healthcare waste management practices and safety indicators in Nigeria. </w:t>
      </w:r>
      <w:r w:rsidDel="00000000" w:rsidR="00000000" w:rsidRPr="00000000">
        <w:rPr>
          <w:rFonts w:ascii="Times New Roman" w:cs="Times New Roman" w:eastAsia="Times New Roman" w:hAnsi="Times New Roman"/>
          <w:i w:val="1"/>
          <w:iCs w:val="1"/>
          <w:sz w:val="24"/>
          <w:szCs w:val="24"/>
          <w:vertAlign w:val="baseline"/>
          <w:rtl w:val="0"/>
        </w:rPr>
        <w:t xml:space="preserve">BMC public health</w:t>
      </w:r>
      <w:r w:rsidDel="00000000" w:rsidR="00000000" w:rsidRPr="00000000">
        <w:rPr>
          <w:rFonts w:ascii="Times New Roman" w:cs="Times New Roman" w:eastAsia="Times New Roman" w:hAnsi="Times New Roman"/>
          <w:sz w:val="24"/>
          <w:szCs w:val="24"/>
          <w:vertAlign w:val="baseline"/>
          <w:rtl w:val="0"/>
        </w:rPr>
        <w:t xml:space="preserve">, 17, 1-13.</w:t>
      </w:r>
    </w:p>
    <w:p w:rsidR="00000000" w:rsidDel="00000000" w:rsidP="00000000" w:rsidRDefault="00000000" w:rsidRPr="00000000" w14:paraId="00000160">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Pages, J. M., James, C. E. &amp; Winterhalter, M. (2008). The porin and the permeating antibiotic: a selective diffusion barrier in Gram-negative bacteria. </w:t>
      </w:r>
      <w:r w:rsidDel="00000000" w:rsidR="00000000" w:rsidRPr="00000000">
        <w:rPr>
          <w:rFonts w:ascii="Times New Roman" w:cs="Times New Roman" w:eastAsia="Times New Roman" w:hAnsi="Times New Roman"/>
          <w:i w:val="1"/>
          <w:iCs w:val="1"/>
          <w:sz w:val="24"/>
          <w:szCs w:val="24"/>
          <w:vertAlign w:val="baseline"/>
          <w:rtl w:val="0"/>
        </w:rPr>
        <w:t xml:space="preserve">Nature Reviews Microbiology,</w:t>
      </w:r>
      <w:r w:rsidDel="00000000" w:rsidR="00000000" w:rsidRPr="00000000">
        <w:rPr>
          <w:rFonts w:ascii="Times New Roman" w:cs="Times New Roman" w:eastAsia="Times New Roman" w:hAnsi="Times New Roman"/>
          <w:sz w:val="24"/>
          <w:szCs w:val="24"/>
          <w:vertAlign w:val="baseline"/>
          <w:rtl w:val="0"/>
        </w:rPr>
        <w:t xml:space="preserve"> 6(12), 893-903.</w:t>
      </w:r>
    </w:p>
    <w:p w:rsidR="00000000" w:rsidDel="00000000" w:rsidP="00000000" w:rsidRDefault="00000000" w:rsidRPr="00000000" w14:paraId="00000161">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Pandey, P. K., Kumar, B., Kumari, A., &amp; Kumari, S. (2025). Assessment of antifungal activity of henna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leaves extract (aqueous) with commercial antifungal drug by disc diffusion method against canine fungal dermatitis. </w:t>
      </w:r>
      <w:r w:rsidDel="00000000" w:rsidR="00000000" w:rsidRPr="00000000">
        <w:rPr>
          <w:rFonts w:ascii="Times New Roman" w:cs="Times New Roman" w:eastAsia="Times New Roman" w:hAnsi="Times New Roman"/>
          <w:i w:val="1"/>
          <w:iCs w:val="1"/>
          <w:sz w:val="24"/>
          <w:szCs w:val="24"/>
          <w:vertAlign w:val="baseline"/>
          <w:rtl w:val="0"/>
        </w:rPr>
        <w:t xml:space="preserve">Journal of Advances in Biology &amp; Biotechnology, 28</w:t>
      </w:r>
      <w:r w:rsidDel="00000000" w:rsidR="00000000" w:rsidRPr="00000000">
        <w:rPr>
          <w:rFonts w:ascii="Times New Roman" w:cs="Times New Roman" w:eastAsia="Times New Roman" w:hAnsi="Times New Roman"/>
          <w:sz w:val="24"/>
          <w:szCs w:val="24"/>
          <w:vertAlign w:val="baseline"/>
          <w:rtl w:val="0"/>
        </w:rPr>
        <w:t xml:space="preserve">(5), 394–398.</w:t>
      </w:r>
    </w:p>
    <w:p w:rsidR="00000000" w:rsidDel="00000000" w:rsidP="00000000" w:rsidRDefault="00000000" w:rsidRPr="00000000" w14:paraId="00000162">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Patel, H., Sharma, S., &amp; Thakor, A. (2023). A review on therapeutic potential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 (</w:t>
      </w:r>
      <w:r w:rsidDel="00000000" w:rsidR="00000000" w:rsidRPr="00000000">
        <w:rPr>
          <w:rFonts w:ascii="Times New Roman" w:cs="Times New Roman" w:eastAsia="Times New Roman" w:hAnsi="Times New Roman"/>
          <w:i w:val="1"/>
          <w:iCs w:val="1"/>
          <w:sz w:val="24"/>
          <w:szCs w:val="24"/>
          <w:vertAlign w:val="baseline"/>
          <w:rtl w:val="0"/>
        </w:rPr>
        <w:t xml:space="preserve">Henna</w:t>
      </w:r>
      <w:r w:rsidDel="00000000" w:rsidR="00000000" w:rsidRPr="00000000">
        <w:rPr>
          <w:rFonts w:ascii="Times New Roman" w:cs="Times New Roman" w:eastAsia="Times New Roman" w:hAnsi="Times New Roman"/>
          <w:sz w:val="24"/>
          <w:szCs w:val="24"/>
          <w:vertAlign w:val="baseline"/>
          <w:rtl w:val="0"/>
        </w:rPr>
        <w:t xml:space="preserve">): Traditional to pharmacological perspective. </w:t>
      </w:r>
      <w:r w:rsidDel="00000000" w:rsidR="00000000" w:rsidRPr="00000000">
        <w:rPr>
          <w:rFonts w:ascii="Times New Roman" w:cs="Times New Roman" w:eastAsia="Times New Roman" w:hAnsi="Times New Roman"/>
          <w:i w:val="1"/>
          <w:iCs w:val="1"/>
          <w:sz w:val="24"/>
          <w:szCs w:val="24"/>
          <w:vertAlign w:val="baseline"/>
          <w:rtl w:val="0"/>
        </w:rPr>
        <w:t xml:space="preserve">International Journal of Green Pharmacy</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17</w:t>
      </w:r>
      <w:r w:rsidDel="00000000" w:rsidR="00000000" w:rsidRPr="00000000">
        <w:rPr>
          <w:rFonts w:ascii="Times New Roman" w:cs="Times New Roman" w:eastAsia="Times New Roman" w:hAnsi="Times New Roman"/>
          <w:sz w:val="24"/>
          <w:szCs w:val="24"/>
          <w:vertAlign w:val="baseline"/>
          <w:rtl w:val="0"/>
        </w:rPr>
        <w:t xml:space="preserve">(1), 30–36.</w:t>
      </w:r>
    </w:p>
    <w:p w:rsidR="00000000" w:rsidDel="00000000" w:rsidP="00000000" w:rsidRDefault="00000000" w:rsidRPr="00000000" w14:paraId="0000016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Patra, J. K., Baek, K. H., &amp; Das, G. (2020). Chemical composition and biological activity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 A review. </w:t>
      </w:r>
      <w:r w:rsidDel="00000000" w:rsidR="00000000" w:rsidRPr="00000000">
        <w:rPr>
          <w:rFonts w:ascii="Times New Roman" w:cs="Times New Roman" w:eastAsia="Times New Roman" w:hAnsi="Times New Roman"/>
          <w:i w:val="1"/>
          <w:iCs w:val="1"/>
          <w:sz w:val="24"/>
          <w:szCs w:val="24"/>
          <w:vertAlign w:val="baseline"/>
          <w:rtl w:val="0"/>
        </w:rPr>
        <w:t xml:space="preserve">Biomedicine &amp; Pharmacotherapy</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128</w:t>
      </w:r>
      <w:r w:rsidDel="00000000" w:rsidR="00000000" w:rsidRPr="00000000">
        <w:rPr>
          <w:rFonts w:ascii="Times New Roman" w:cs="Times New Roman" w:eastAsia="Times New Roman" w:hAnsi="Times New Roman"/>
          <w:sz w:val="24"/>
          <w:szCs w:val="24"/>
          <w:vertAlign w:val="baseline"/>
          <w:rtl w:val="0"/>
        </w:rPr>
        <w:t xml:space="preserve">, 110301. </w:t>
      </w:r>
    </w:p>
    <w:p w:rsidR="00000000" w:rsidDel="00000000" w:rsidP="00000000" w:rsidRDefault="00000000" w:rsidRPr="00000000" w14:paraId="0000016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Perumal Samy, R. &amp; Gopalakrishnakone, P. (2010). Therapeutic potential of plants as anti-microbials for drug discovery. </w:t>
      </w:r>
      <w:r w:rsidDel="00000000" w:rsidR="00000000" w:rsidRPr="00000000">
        <w:rPr>
          <w:rFonts w:ascii="Times New Roman" w:cs="Times New Roman" w:eastAsia="Times New Roman" w:hAnsi="Times New Roman"/>
          <w:i w:val="1"/>
          <w:iCs w:val="1"/>
          <w:sz w:val="24"/>
          <w:szCs w:val="24"/>
          <w:vertAlign w:val="baseline"/>
          <w:rtl w:val="0"/>
        </w:rPr>
        <w:t xml:space="preserve">Evidence-based complementary and alternative medicine</w:t>
      </w:r>
      <w:r w:rsidDel="00000000" w:rsidR="00000000" w:rsidRPr="00000000">
        <w:rPr>
          <w:rFonts w:ascii="Times New Roman" w:cs="Times New Roman" w:eastAsia="Times New Roman" w:hAnsi="Times New Roman"/>
          <w:sz w:val="24"/>
          <w:szCs w:val="24"/>
          <w:vertAlign w:val="baseline"/>
          <w:rtl w:val="0"/>
        </w:rPr>
        <w:t xml:space="preserve">, 7(3), 283-294.</w:t>
      </w:r>
    </w:p>
    <w:p w:rsidR="00000000" w:rsidDel="00000000" w:rsidP="00000000" w:rsidRDefault="00000000" w:rsidRPr="00000000" w14:paraId="00000165">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Perumal, S., Mahmud, R., Pillai, S., Lee, W. C., &amp; Ramanathan, S. (2012). Antimicrobial activity and cytotoxicity evaluation of </w:t>
      </w:r>
      <w:r w:rsidDel="00000000" w:rsidR="00000000" w:rsidRPr="00000000">
        <w:rPr>
          <w:rFonts w:ascii="Times New Roman" w:cs="Times New Roman" w:eastAsia="Times New Roman" w:hAnsi="Times New Roman"/>
          <w:i w:val="1"/>
          <w:iCs w:val="1"/>
          <w:sz w:val="24"/>
          <w:szCs w:val="24"/>
          <w:vertAlign w:val="baseline"/>
          <w:rtl w:val="0"/>
        </w:rPr>
        <w:t xml:space="preserve">Euphorbia hirta</w:t>
      </w:r>
      <w:r w:rsidDel="00000000" w:rsidR="00000000" w:rsidRPr="00000000">
        <w:rPr>
          <w:rFonts w:ascii="Times New Roman" w:cs="Times New Roman" w:eastAsia="Times New Roman" w:hAnsi="Times New Roman"/>
          <w:sz w:val="24"/>
          <w:szCs w:val="24"/>
          <w:vertAlign w:val="baseline"/>
          <w:rtl w:val="0"/>
        </w:rPr>
        <w:t xml:space="preserve"> (L.) extracts from Malaysia. APCBEE </w:t>
      </w:r>
      <w:r w:rsidDel="00000000" w:rsidR="00000000" w:rsidRPr="00000000">
        <w:rPr>
          <w:rFonts w:ascii="Times New Roman" w:cs="Times New Roman" w:eastAsia="Times New Roman" w:hAnsi="Times New Roman"/>
          <w:i w:val="1"/>
          <w:iCs w:val="1"/>
          <w:sz w:val="24"/>
          <w:szCs w:val="24"/>
          <w:vertAlign w:val="baseline"/>
          <w:rtl w:val="0"/>
        </w:rPr>
        <w:t xml:space="preserve">Procedia</w:t>
      </w:r>
      <w:r w:rsidDel="00000000" w:rsidR="00000000" w:rsidRPr="00000000">
        <w:rPr>
          <w:rFonts w:ascii="Times New Roman" w:cs="Times New Roman" w:eastAsia="Times New Roman" w:hAnsi="Times New Roman"/>
          <w:sz w:val="24"/>
          <w:szCs w:val="24"/>
          <w:vertAlign w:val="baseline"/>
          <w:rtl w:val="0"/>
        </w:rPr>
        <w:t xml:space="preserve">, 2, 80-85.</w:t>
      </w:r>
    </w:p>
    <w:p w:rsidR="00000000" w:rsidDel="00000000" w:rsidP="00000000" w:rsidRDefault="00000000" w:rsidRPr="00000000" w14:paraId="00000166">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Pham, H. N. T., Sakoff, J. A., Vuong, Q. V., Bowyer, M. C. &amp; Scarlett, C. J. (2019). Phytochemical, antioxidant, anti-proliferative and antimicrobial properties of </w:t>
      </w:r>
      <w:r w:rsidDel="00000000" w:rsidR="00000000" w:rsidRPr="00000000">
        <w:rPr>
          <w:rFonts w:ascii="Times New Roman" w:cs="Times New Roman" w:eastAsia="Times New Roman" w:hAnsi="Times New Roman"/>
          <w:i w:val="1"/>
          <w:iCs w:val="1"/>
          <w:sz w:val="24"/>
          <w:szCs w:val="24"/>
          <w:vertAlign w:val="baseline"/>
          <w:rtl w:val="0"/>
        </w:rPr>
        <w:t xml:space="preserve">Catharanthus roseus </w:t>
      </w:r>
      <w:r w:rsidDel="00000000" w:rsidR="00000000" w:rsidRPr="00000000">
        <w:rPr>
          <w:rFonts w:ascii="Times New Roman" w:cs="Times New Roman" w:eastAsia="Times New Roman" w:hAnsi="Times New Roman"/>
          <w:sz w:val="24"/>
          <w:szCs w:val="24"/>
          <w:vertAlign w:val="baseline"/>
          <w:rtl w:val="0"/>
        </w:rPr>
        <w:t xml:space="preserve">root extract, saponin-enriched and aqueous fractions. </w:t>
      </w:r>
      <w:r w:rsidDel="00000000" w:rsidR="00000000" w:rsidRPr="00000000">
        <w:rPr>
          <w:rFonts w:ascii="Times New Roman" w:cs="Times New Roman" w:eastAsia="Times New Roman" w:hAnsi="Times New Roman"/>
          <w:i w:val="1"/>
          <w:iCs w:val="1"/>
          <w:sz w:val="24"/>
          <w:szCs w:val="24"/>
          <w:vertAlign w:val="baseline"/>
          <w:rtl w:val="0"/>
        </w:rPr>
        <w:t xml:space="preserve">Molecular biology reports</w:t>
      </w:r>
      <w:r w:rsidDel="00000000" w:rsidR="00000000" w:rsidRPr="00000000">
        <w:rPr>
          <w:rFonts w:ascii="Times New Roman" w:cs="Times New Roman" w:eastAsia="Times New Roman" w:hAnsi="Times New Roman"/>
          <w:sz w:val="24"/>
          <w:szCs w:val="24"/>
          <w:vertAlign w:val="baseline"/>
          <w:rtl w:val="0"/>
        </w:rPr>
        <w:t xml:space="preserve">, 46(3), 3265-3273.</w:t>
      </w:r>
    </w:p>
    <w:p w:rsidR="00000000" w:rsidDel="00000000" w:rsidP="00000000" w:rsidRDefault="00000000" w:rsidRPr="00000000" w14:paraId="00000167">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Prakash, B., Kumar, A., Singh, P. P. &amp; Songachan, L. S.(2020). Antimicrobial and antioxidant properties of phytochemicals: Current status and future perspective. In </w:t>
      </w:r>
      <w:r w:rsidDel="00000000" w:rsidR="00000000" w:rsidRPr="00000000">
        <w:rPr>
          <w:rFonts w:ascii="Times New Roman" w:cs="Times New Roman" w:eastAsia="Times New Roman" w:hAnsi="Times New Roman"/>
          <w:i w:val="1"/>
          <w:iCs w:val="1"/>
          <w:sz w:val="24"/>
          <w:szCs w:val="24"/>
          <w:vertAlign w:val="baseline"/>
          <w:rtl w:val="0"/>
        </w:rPr>
        <w:t xml:space="preserve">Functional and Preservative Properties of Phytochemicals, </w:t>
      </w:r>
      <w:r w:rsidDel="00000000" w:rsidR="00000000" w:rsidRPr="00000000">
        <w:rPr>
          <w:rFonts w:ascii="Times New Roman" w:cs="Times New Roman" w:eastAsia="Times New Roman" w:hAnsi="Times New Roman"/>
          <w:sz w:val="24"/>
          <w:szCs w:val="24"/>
          <w:vertAlign w:val="baseline"/>
          <w:rtl w:val="0"/>
        </w:rPr>
        <w:t xml:space="preserve">1-45.</w:t>
      </w:r>
    </w:p>
    <w:p w:rsidR="00000000" w:rsidDel="00000000" w:rsidP="00000000" w:rsidRDefault="00000000" w:rsidRPr="00000000" w14:paraId="00000168">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Pratt, D. E. (1992). Natural antioxidants from plant material.</w:t>
      </w:r>
    </w:p>
    <w:p w:rsidR="00000000" w:rsidDel="00000000" w:rsidP="00000000" w:rsidRDefault="00000000" w:rsidRPr="00000000" w14:paraId="00000169">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Rahman, S. U., Ahmad, S., &amp; Khan, I. (2018). Incidence of ESBL-producing-</w:t>
      </w:r>
      <w:r w:rsidDel="00000000" w:rsidR="00000000" w:rsidRPr="00000000">
        <w:rPr>
          <w:rFonts w:ascii="Times New Roman" w:cs="Times New Roman" w:eastAsia="Times New Roman" w:hAnsi="Times New Roman"/>
          <w:i w:val="1"/>
          <w:iCs w:val="1"/>
          <w:sz w:val="24"/>
          <w:szCs w:val="24"/>
          <w:vertAlign w:val="baseline"/>
          <w:rtl w:val="0"/>
        </w:rPr>
        <w:t xml:space="preserve">Escherichia coli </w:t>
      </w:r>
      <w:r w:rsidDel="00000000" w:rsidR="00000000" w:rsidRPr="00000000">
        <w:rPr>
          <w:rFonts w:ascii="Times New Roman" w:cs="Times New Roman" w:eastAsia="Times New Roman" w:hAnsi="Times New Roman"/>
          <w:sz w:val="24"/>
          <w:szCs w:val="24"/>
          <w:vertAlign w:val="baseline"/>
          <w:rtl w:val="0"/>
        </w:rPr>
        <w:t xml:space="preserve">in poultry farm environment and retail poultry meat. </w:t>
      </w:r>
      <w:r w:rsidDel="00000000" w:rsidR="00000000" w:rsidRPr="00000000">
        <w:rPr>
          <w:rFonts w:ascii="Times New Roman" w:cs="Times New Roman" w:eastAsia="Times New Roman" w:hAnsi="Times New Roman"/>
          <w:i w:val="1"/>
          <w:iCs w:val="1"/>
          <w:sz w:val="24"/>
          <w:szCs w:val="24"/>
          <w:vertAlign w:val="baseline"/>
          <w:rtl w:val="0"/>
        </w:rPr>
        <w:t xml:space="preserve">Pakistan Veterinary Journal</w:t>
      </w:r>
      <w:r w:rsidDel="00000000" w:rsidR="00000000" w:rsidRPr="00000000">
        <w:rPr>
          <w:rFonts w:ascii="Times New Roman" w:cs="Times New Roman" w:eastAsia="Times New Roman" w:hAnsi="Times New Roman"/>
          <w:sz w:val="24"/>
          <w:szCs w:val="24"/>
          <w:vertAlign w:val="baseline"/>
          <w:rtl w:val="0"/>
        </w:rPr>
        <w:t xml:space="preserve">, 39, 116-20.</w:t>
      </w:r>
    </w:p>
    <w:p w:rsidR="00000000" w:rsidDel="00000000" w:rsidP="00000000" w:rsidRDefault="00000000" w:rsidRPr="00000000" w14:paraId="0000016A">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Randhawa, H. K., Hundal, K. K., Ahirrao, P. N., Jachak, S. M. &amp; Nandanwar, H. S. (2016). Efflux pump inhibitory activity of flavonoids isolated from </w:t>
      </w:r>
      <w:r w:rsidDel="00000000" w:rsidR="00000000" w:rsidRPr="00000000">
        <w:rPr>
          <w:rFonts w:ascii="Times New Roman" w:cs="Times New Roman" w:eastAsia="Times New Roman" w:hAnsi="Times New Roman"/>
          <w:i w:val="1"/>
          <w:iCs w:val="1"/>
          <w:sz w:val="24"/>
          <w:szCs w:val="24"/>
          <w:vertAlign w:val="baseline"/>
          <w:rtl w:val="0"/>
        </w:rPr>
        <w:t xml:space="preserve">Alpinia calcarata</w:t>
      </w:r>
      <w:r w:rsidDel="00000000" w:rsidR="00000000" w:rsidRPr="00000000">
        <w:rPr>
          <w:rFonts w:ascii="Times New Roman" w:cs="Times New Roman" w:eastAsia="Times New Roman" w:hAnsi="Times New Roman"/>
          <w:sz w:val="24"/>
          <w:szCs w:val="24"/>
          <w:vertAlign w:val="baseline"/>
          <w:rtl w:val="0"/>
        </w:rPr>
        <w:t xml:space="preserve"> against methicillin-resistant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 Biologia,</w:t>
      </w:r>
      <w:r w:rsidDel="00000000" w:rsidR="00000000" w:rsidRPr="00000000">
        <w:rPr>
          <w:rFonts w:ascii="Times New Roman" w:cs="Times New Roman" w:eastAsia="Times New Roman" w:hAnsi="Times New Roman"/>
          <w:sz w:val="24"/>
          <w:szCs w:val="24"/>
          <w:vertAlign w:val="baseline"/>
          <w:rtl w:val="0"/>
        </w:rPr>
        <w:t xml:space="preserve"> 71, 484-493.</w:t>
      </w:r>
    </w:p>
    <w:p w:rsidR="00000000" w:rsidDel="00000000" w:rsidP="00000000" w:rsidRDefault="00000000" w:rsidRPr="00000000" w14:paraId="0000016B">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Reddy, Y. M., Kumar, S. J., Saritha, K. V., Gopal, P., Reddy, T. M. &amp; Simal-Gandara, J. (2021). Phytochemical profiling of methanolic fruit extract of </w:t>
      </w:r>
      <w:r w:rsidDel="00000000" w:rsidR="00000000" w:rsidRPr="00000000">
        <w:rPr>
          <w:rFonts w:ascii="Times New Roman" w:cs="Times New Roman" w:eastAsia="Times New Roman" w:hAnsi="Times New Roman"/>
          <w:i w:val="1"/>
          <w:iCs w:val="1"/>
          <w:sz w:val="24"/>
          <w:szCs w:val="24"/>
          <w:vertAlign w:val="baseline"/>
          <w:rtl w:val="0"/>
        </w:rPr>
        <w:t xml:space="preserve">Gardenia latifolia</w:t>
      </w:r>
      <w:r w:rsidDel="00000000" w:rsidR="00000000" w:rsidRPr="00000000">
        <w:rPr>
          <w:rFonts w:ascii="Times New Roman" w:cs="Times New Roman" w:eastAsia="Times New Roman" w:hAnsi="Times New Roman"/>
          <w:sz w:val="24"/>
          <w:szCs w:val="24"/>
          <w:vertAlign w:val="baseline"/>
          <w:rtl w:val="0"/>
        </w:rPr>
        <w:t xml:space="preserve"> Ait. by LC-MS/MS analysis and evaluation of its antioxidant and antimicrobial activity. </w:t>
      </w:r>
      <w:r w:rsidDel="00000000" w:rsidR="00000000" w:rsidRPr="00000000">
        <w:rPr>
          <w:rFonts w:ascii="Times New Roman" w:cs="Times New Roman" w:eastAsia="Times New Roman" w:hAnsi="Times New Roman"/>
          <w:i w:val="1"/>
          <w:iCs w:val="1"/>
          <w:sz w:val="24"/>
          <w:szCs w:val="24"/>
          <w:vertAlign w:val="baseline"/>
          <w:rtl w:val="0"/>
        </w:rPr>
        <w:t xml:space="preserve">Plants</w:t>
      </w:r>
      <w:r w:rsidDel="00000000" w:rsidR="00000000" w:rsidRPr="00000000">
        <w:rPr>
          <w:rFonts w:ascii="Times New Roman" w:cs="Times New Roman" w:eastAsia="Times New Roman" w:hAnsi="Times New Roman"/>
          <w:sz w:val="24"/>
          <w:szCs w:val="24"/>
          <w:vertAlign w:val="baseline"/>
          <w:rtl w:val="0"/>
        </w:rPr>
        <w:t xml:space="preserve">, 10(3), 545.</w:t>
      </w:r>
    </w:p>
    <w:p w:rsidR="00000000" w:rsidDel="00000000" w:rsidP="00000000" w:rsidRDefault="00000000" w:rsidRPr="00000000" w14:paraId="0000016C">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Saak, C. C., Dinh, C. B. &amp; Dutton, R. J. (2020). Experimental approaches to tracking mobile genetic elements in microbial communities. </w:t>
      </w:r>
      <w:r w:rsidDel="00000000" w:rsidR="00000000" w:rsidRPr="00000000">
        <w:rPr>
          <w:rFonts w:ascii="Times New Roman" w:cs="Times New Roman" w:eastAsia="Times New Roman" w:hAnsi="Times New Roman"/>
          <w:i w:val="1"/>
          <w:iCs w:val="1"/>
          <w:sz w:val="24"/>
          <w:szCs w:val="24"/>
          <w:vertAlign w:val="baseline"/>
          <w:rtl w:val="0"/>
        </w:rPr>
        <w:t xml:space="preserve">FEMS Microbiology Reviews</w:t>
      </w:r>
      <w:r w:rsidDel="00000000" w:rsidR="00000000" w:rsidRPr="00000000">
        <w:rPr>
          <w:rFonts w:ascii="Times New Roman" w:cs="Times New Roman" w:eastAsia="Times New Roman" w:hAnsi="Times New Roman"/>
          <w:sz w:val="24"/>
          <w:szCs w:val="24"/>
          <w:vertAlign w:val="baseline"/>
          <w:rtl w:val="0"/>
        </w:rPr>
        <w:t xml:space="preserve">, 44(5), 606-630.</w:t>
      </w:r>
    </w:p>
    <w:p w:rsidR="00000000" w:rsidDel="00000000" w:rsidP="00000000" w:rsidRDefault="00000000" w:rsidRPr="00000000" w14:paraId="0000016D">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Said, L. B., Jouini, A., Alonso, C. A., Klibi, N., Dziri, R., Boudabous, A., Slama, K.B. &amp; Torres, C. (2016). Characteristics of extended-spectrum β-lactamase (ESBL)-and pAmpC beta-lactamase-producing Enterobacteriaceae of water samples in Tunisia. </w:t>
      </w:r>
      <w:r w:rsidDel="00000000" w:rsidR="00000000" w:rsidRPr="00000000">
        <w:rPr>
          <w:rFonts w:ascii="Times New Roman" w:cs="Times New Roman" w:eastAsia="Times New Roman" w:hAnsi="Times New Roman"/>
          <w:i w:val="1"/>
          <w:iCs w:val="1"/>
          <w:sz w:val="24"/>
          <w:szCs w:val="24"/>
          <w:vertAlign w:val="baseline"/>
          <w:rtl w:val="0"/>
        </w:rPr>
        <w:t xml:space="preserve">Science of the Total Environment,</w:t>
      </w:r>
      <w:r w:rsidDel="00000000" w:rsidR="00000000" w:rsidRPr="00000000">
        <w:rPr>
          <w:rFonts w:ascii="Times New Roman" w:cs="Times New Roman" w:eastAsia="Times New Roman" w:hAnsi="Times New Roman"/>
          <w:sz w:val="24"/>
          <w:szCs w:val="24"/>
          <w:vertAlign w:val="baseline"/>
          <w:rtl w:val="0"/>
        </w:rPr>
        <w:t xml:space="preserve"> 550, 1103-1109.</w:t>
      </w:r>
    </w:p>
    <w:p w:rsidR="00000000" w:rsidDel="00000000" w:rsidP="00000000" w:rsidRDefault="00000000" w:rsidRPr="00000000" w14:paraId="0000016E">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Savithramma, N., Rao, M. L. &amp; Suhrulatha, D. (2011). Screening of medicinal plants for secondary metabolites. </w:t>
      </w:r>
      <w:r w:rsidDel="00000000" w:rsidR="00000000" w:rsidRPr="00000000">
        <w:rPr>
          <w:rFonts w:ascii="Times New Roman" w:cs="Times New Roman" w:eastAsia="Times New Roman" w:hAnsi="Times New Roman"/>
          <w:i w:val="1"/>
          <w:iCs w:val="1"/>
          <w:sz w:val="24"/>
          <w:szCs w:val="24"/>
          <w:vertAlign w:val="baseline"/>
          <w:rtl w:val="0"/>
        </w:rPr>
        <w:t xml:space="preserve">Middle-East Journal of Scientific Research</w:t>
      </w:r>
      <w:r w:rsidDel="00000000" w:rsidR="00000000" w:rsidRPr="00000000">
        <w:rPr>
          <w:rFonts w:ascii="Times New Roman" w:cs="Times New Roman" w:eastAsia="Times New Roman" w:hAnsi="Times New Roman"/>
          <w:sz w:val="24"/>
          <w:szCs w:val="24"/>
          <w:vertAlign w:val="baseline"/>
          <w:rtl w:val="0"/>
        </w:rPr>
        <w:t xml:space="preserve">, 8(3), 579-584.</w:t>
      </w:r>
    </w:p>
    <w:p w:rsidR="00000000" w:rsidDel="00000000" w:rsidP="00000000" w:rsidRDefault="00000000" w:rsidRPr="00000000" w14:paraId="0000016F">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Sengul, M., Ercisli, S., Yildiz, H., Gungor, N., Kavaz, A. &amp; Çetin, B. (2011). Antioxidant, antimicrobial activity and total phenolic content within the aerial parts of </w:t>
      </w:r>
      <w:r w:rsidDel="00000000" w:rsidR="00000000" w:rsidRPr="00000000">
        <w:rPr>
          <w:rFonts w:ascii="Times New Roman" w:cs="Times New Roman" w:eastAsia="Times New Roman" w:hAnsi="Times New Roman"/>
          <w:i w:val="1"/>
          <w:iCs w:val="1"/>
          <w:sz w:val="24"/>
          <w:szCs w:val="24"/>
          <w:vertAlign w:val="baseline"/>
          <w:rtl w:val="0"/>
        </w:rPr>
        <w:t xml:space="preserve">Artemisia absinthum,   Artemisia santonicum </w:t>
      </w:r>
      <w:r w:rsidDel="00000000" w:rsidR="00000000" w:rsidRPr="00000000">
        <w:rPr>
          <w:rFonts w:ascii="Times New Roman" w:cs="Times New Roman" w:eastAsia="Times New Roman" w:hAnsi="Times New Roman"/>
          <w:sz w:val="24"/>
          <w:szCs w:val="24"/>
          <w:vertAlign w:val="baseline"/>
          <w:rtl w:val="0"/>
        </w:rPr>
        <w:t xml:space="preserve">and</w:t>
      </w:r>
      <w:r w:rsidDel="00000000" w:rsidR="00000000" w:rsidRPr="00000000">
        <w:rPr>
          <w:rFonts w:ascii="Times New Roman" w:cs="Times New Roman" w:eastAsia="Times New Roman" w:hAnsi="Times New Roman"/>
          <w:i w:val="1"/>
          <w:iCs w:val="1"/>
          <w:sz w:val="24"/>
          <w:szCs w:val="24"/>
          <w:vertAlign w:val="baseline"/>
          <w:rtl w:val="0"/>
        </w:rPr>
        <w:t xml:space="preserve"> Saponaria officinalis</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Iranian Journal of Pharmaceutical Research:</w:t>
      </w:r>
      <w:r w:rsidDel="00000000" w:rsidR="00000000" w:rsidRPr="00000000">
        <w:rPr>
          <w:rFonts w:ascii="Times New Roman" w:cs="Times New Roman" w:eastAsia="Times New Roman" w:hAnsi="Times New Roman"/>
          <w:sz w:val="24"/>
          <w:szCs w:val="24"/>
          <w:vertAlign w:val="baseline"/>
          <w:rtl w:val="0"/>
        </w:rPr>
        <w:t xml:space="preserve"> 10(1), 49.</w:t>
      </w:r>
    </w:p>
    <w:p w:rsidR="00000000" w:rsidDel="00000000" w:rsidP="00000000" w:rsidRDefault="00000000" w:rsidRPr="00000000" w14:paraId="00000170">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Shahzad, M., Millhouse, E., Culshaw, S., Edwards, C. A., Ramage, G. &amp; Combet, E. (2015). Selected dietary (poly) phenols inhibit periodontal pathogen growth and biofilm formation. </w:t>
      </w:r>
      <w:r w:rsidDel="00000000" w:rsidR="00000000" w:rsidRPr="00000000">
        <w:rPr>
          <w:rFonts w:ascii="Times New Roman" w:cs="Times New Roman" w:eastAsia="Times New Roman" w:hAnsi="Times New Roman"/>
          <w:i w:val="1"/>
          <w:iCs w:val="1"/>
          <w:sz w:val="24"/>
          <w:szCs w:val="24"/>
          <w:vertAlign w:val="baseline"/>
          <w:rtl w:val="0"/>
        </w:rPr>
        <w:t xml:space="preserve">Food &amp; function</w:t>
      </w:r>
      <w:r w:rsidDel="00000000" w:rsidR="00000000" w:rsidRPr="00000000">
        <w:rPr>
          <w:rFonts w:ascii="Times New Roman" w:cs="Times New Roman" w:eastAsia="Times New Roman" w:hAnsi="Times New Roman"/>
          <w:sz w:val="24"/>
          <w:szCs w:val="24"/>
          <w:vertAlign w:val="baseline"/>
          <w:rtl w:val="0"/>
        </w:rPr>
        <w:t xml:space="preserve">, 6(3), 719-729.</w:t>
      </w:r>
    </w:p>
    <w:p w:rsidR="00000000" w:rsidDel="00000000" w:rsidP="00000000" w:rsidRDefault="00000000" w:rsidRPr="00000000" w14:paraId="00000171">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Shan, B., Cai, Y. Z., Sun, M. &amp; Corke, H. (2005). Antioxidant capacity of 26 spice extracts and characterization of their phenolic constituents. </w:t>
      </w:r>
      <w:r w:rsidDel="00000000" w:rsidR="00000000" w:rsidRPr="00000000">
        <w:rPr>
          <w:rFonts w:ascii="Times New Roman" w:cs="Times New Roman" w:eastAsia="Times New Roman" w:hAnsi="Times New Roman"/>
          <w:i w:val="1"/>
          <w:iCs w:val="1"/>
          <w:sz w:val="24"/>
          <w:szCs w:val="24"/>
          <w:vertAlign w:val="baseline"/>
          <w:rtl w:val="0"/>
        </w:rPr>
        <w:t xml:space="preserve">Journal of agricultural and food chemistry, </w:t>
      </w:r>
      <w:r w:rsidDel="00000000" w:rsidR="00000000" w:rsidRPr="00000000">
        <w:rPr>
          <w:rFonts w:ascii="Times New Roman" w:cs="Times New Roman" w:eastAsia="Times New Roman" w:hAnsi="Times New Roman"/>
          <w:sz w:val="24"/>
          <w:szCs w:val="24"/>
          <w:vertAlign w:val="baseline"/>
          <w:rtl w:val="0"/>
        </w:rPr>
        <w:t xml:space="preserve">53(20), 7749-7759.</w:t>
      </w:r>
    </w:p>
    <w:p w:rsidR="00000000" w:rsidDel="00000000" w:rsidP="00000000" w:rsidRDefault="00000000" w:rsidRPr="00000000" w14:paraId="00000172">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Sharma, S., &amp; Goel, R. (2018). Phytochemical screening and GC-MS analysis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leaf extracts for antimicrobial activity. </w:t>
      </w:r>
      <w:r w:rsidDel="00000000" w:rsidR="00000000" w:rsidRPr="00000000">
        <w:rPr>
          <w:rFonts w:ascii="Times New Roman" w:cs="Times New Roman" w:eastAsia="Times New Roman" w:hAnsi="Times New Roman"/>
          <w:i w:val="1"/>
          <w:iCs w:val="1"/>
          <w:sz w:val="24"/>
          <w:szCs w:val="24"/>
          <w:vertAlign w:val="baseline"/>
          <w:rtl w:val="0"/>
        </w:rPr>
        <w:t xml:space="preserve">International Journal of Pharmacognosy and Phytochemical Research, 10(5)</w:t>
      </w:r>
      <w:r w:rsidDel="00000000" w:rsidR="00000000" w:rsidRPr="00000000">
        <w:rPr>
          <w:rFonts w:ascii="Times New Roman" w:cs="Times New Roman" w:eastAsia="Times New Roman" w:hAnsi="Times New Roman"/>
          <w:sz w:val="24"/>
          <w:szCs w:val="24"/>
          <w:vertAlign w:val="baseline"/>
          <w:rtl w:val="0"/>
        </w:rPr>
        <w:t xml:space="preserve">, 174–181.</w:t>
      </w:r>
    </w:p>
    <w:p w:rsidR="00000000" w:rsidDel="00000000" w:rsidP="00000000" w:rsidRDefault="00000000" w:rsidRPr="00000000" w14:paraId="0000017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Shriram, V., Khare, T., Bhagwat, R., Shukla, R. &amp; Kumar, V. (2018). Inhibiting bacterial drug efflux pumps via phyto-therapeutics to combat threatening antimicrobial resistance. </w:t>
      </w:r>
      <w:r w:rsidDel="00000000" w:rsidR="00000000" w:rsidRPr="00000000">
        <w:rPr>
          <w:rFonts w:ascii="Times New Roman" w:cs="Times New Roman" w:eastAsia="Times New Roman" w:hAnsi="Times New Roman"/>
          <w:i w:val="1"/>
          <w:iCs w:val="1"/>
          <w:sz w:val="24"/>
          <w:szCs w:val="24"/>
          <w:vertAlign w:val="baseline"/>
          <w:rtl w:val="0"/>
        </w:rPr>
        <w:t xml:space="preserve">Frontiers in Microbiology,</w:t>
      </w:r>
      <w:r w:rsidDel="00000000" w:rsidR="00000000" w:rsidRPr="00000000">
        <w:rPr>
          <w:rFonts w:ascii="Times New Roman" w:cs="Times New Roman" w:eastAsia="Times New Roman" w:hAnsi="Times New Roman"/>
          <w:sz w:val="24"/>
          <w:szCs w:val="24"/>
          <w:vertAlign w:val="baseline"/>
          <w:rtl w:val="0"/>
        </w:rPr>
        <w:t xml:space="preserve"> 9, 2990.</w:t>
      </w:r>
    </w:p>
    <w:p w:rsidR="00000000" w:rsidDel="00000000" w:rsidP="00000000" w:rsidRDefault="00000000" w:rsidRPr="00000000" w14:paraId="0000017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Singh, R., Sharma, P., &amp; Mishra, A. (2021). Phytochemical constituents and antibacterial activity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leaf extracts. </w:t>
      </w:r>
      <w:r w:rsidDel="00000000" w:rsidR="00000000" w:rsidRPr="00000000">
        <w:rPr>
          <w:rFonts w:ascii="Times New Roman" w:cs="Times New Roman" w:eastAsia="Times New Roman" w:hAnsi="Times New Roman"/>
          <w:i w:val="1"/>
          <w:iCs w:val="1"/>
          <w:sz w:val="24"/>
          <w:szCs w:val="24"/>
          <w:vertAlign w:val="baseline"/>
          <w:rtl w:val="0"/>
        </w:rPr>
        <w:t xml:space="preserve">Journal of Ethnopharmacology</w:t>
      </w:r>
      <w:r w:rsidDel="00000000" w:rsidR="00000000" w:rsidRPr="00000000">
        <w:rPr>
          <w:rFonts w:ascii="Times New Roman" w:cs="Times New Roman" w:eastAsia="Times New Roman" w:hAnsi="Times New Roman"/>
          <w:sz w:val="24"/>
          <w:szCs w:val="24"/>
          <w:vertAlign w:val="baseline"/>
          <w:rtl w:val="0"/>
        </w:rPr>
        <w:t xml:space="preserve">, 267, 113558. </w:t>
      </w:r>
    </w:p>
    <w:p w:rsidR="00000000" w:rsidDel="00000000" w:rsidP="00000000" w:rsidRDefault="00000000" w:rsidRPr="00000000" w14:paraId="00000175">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Sparg, S.G., Light, M.E., van Staden, J. (2004). Biological activities and distribution of plant saponins. </w:t>
      </w:r>
      <w:r w:rsidDel="00000000" w:rsidR="00000000" w:rsidRPr="00000000">
        <w:rPr>
          <w:rFonts w:ascii="Times New Roman" w:cs="Times New Roman" w:eastAsia="Times New Roman" w:hAnsi="Times New Roman"/>
          <w:i w:val="1"/>
          <w:iCs w:val="1"/>
          <w:sz w:val="24"/>
          <w:szCs w:val="24"/>
          <w:vertAlign w:val="baseline"/>
          <w:rtl w:val="0"/>
        </w:rPr>
        <w:t xml:space="preserve">Journal of Ethnopharmacology,</w:t>
      </w:r>
      <w:r w:rsidDel="00000000" w:rsidR="00000000" w:rsidRPr="00000000">
        <w:rPr>
          <w:rFonts w:ascii="Times New Roman" w:cs="Times New Roman" w:eastAsia="Times New Roman" w:hAnsi="Times New Roman"/>
          <w:sz w:val="24"/>
          <w:szCs w:val="24"/>
          <w:vertAlign w:val="baseline"/>
          <w:rtl w:val="0"/>
        </w:rPr>
        <w:t xml:space="preserve"> 94 (2–3), 219–243.</w:t>
      </w:r>
    </w:p>
    <w:p w:rsidR="00000000" w:rsidDel="00000000" w:rsidP="00000000" w:rsidRDefault="00000000" w:rsidRPr="00000000" w14:paraId="00000176">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Srinivasan, K. (2014). Antioxidant potential of spices and their active constituents. </w:t>
      </w:r>
      <w:r w:rsidDel="00000000" w:rsidR="00000000" w:rsidRPr="00000000">
        <w:rPr>
          <w:rFonts w:ascii="Times New Roman" w:cs="Times New Roman" w:eastAsia="Times New Roman" w:hAnsi="Times New Roman"/>
          <w:i w:val="1"/>
          <w:iCs w:val="1"/>
          <w:sz w:val="24"/>
          <w:szCs w:val="24"/>
          <w:vertAlign w:val="baseline"/>
          <w:rtl w:val="0"/>
        </w:rPr>
        <w:t xml:space="preserve">Critical Reviews in Food Science and Nutrition, </w:t>
      </w:r>
      <w:r w:rsidDel="00000000" w:rsidR="00000000" w:rsidRPr="00000000">
        <w:rPr>
          <w:rFonts w:ascii="Times New Roman" w:cs="Times New Roman" w:eastAsia="Times New Roman" w:hAnsi="Times New Roman"/>
          <w:sz w:val="24"/>
          <w:szCs w:val="24"/>
          <w:vertAlign w:val="baseline"/>
          <w:rtl w:val="0"/>
        </w:rPr>
        <w:t xml:space="preserve">54(3), 352-372.</w:t>
      </w:r>
    </w:p>
    <w:p w:rsidR="00000000" w:rsidDel="00000000" w:rsidP="00000000" w:rsidRDefault="00000000" w:rsidRPr="00000000" w14:paraId="00000177">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Subapriya, R., &amp; Nagini, S. (2005). </w:t>
      </w:r>
      <w:r w:rsidDel="00000000" w:rsidR="00000000" w:rsidRPr="00000000">
        <w:rPr>
          <w:rFonts w:ascii="Times New Roman" w:cs="Times New Roman" w:eastAsia="Times New Roman" w:hAnsi="Times New Roman"/>
          <w:i w:val="1"/>
          <w:iCs w:val="1"/>
          <w:sz w:val="24"/>
          <w:szCs w:val="24"/>
          <w:vertAlign w:val="baseline"/>
          <w:rtl w:val="0"/>
        </w:rPr>
        <w:t xml:space="preserve">Medicinal properties of neem leaves: A review.</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Current Medicinal Chemistry – Anti-Cancer Agents, </w:t>
      </w:r>
      <w:r w:rsidDel="00000000" w:rsidR="00000000" w:rsidRPr="00000000">
        <w:rPr>
          <w:rFonts w:ascii="Times New Roman" w:cs="Times New Roman" w:eastAsia="Times New Roman" w:hAnsi="Times New Roman"/>
          <w:sz w:val="24"/>
          <w:szCs w:val="24"/>
          <w:vertAlign w:val="baseline"/>
          <w:rtl w:val="0"/>
        </w:rPr>
        <w:t xml:space="preserve">5(2), 149–156.</w:t>
      </w:r>
    </w:p>
    <w:p w:rsidR="00000000" w:rsidDel="00000000" w:rsidP="00000000" w:rsidRDefault="00000000" w:rsidRPr="00000000" w14:paraId="00000178">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Suntar, I. (2020). Importance of ethnopharmacological studies in drug discovery: role of medicinal plants. </w:t>
      </w:r>
      <w:r w:rsidDel="00000000" w:rsidR="00000000" w:rsidRPr="00000000">
        <w:rPr>
          <w:rFonts w:ascii="Times New Roman" w:cs="Times New Roman" w:eastAsia="Times New Roman" w:hAnsi="Times New Roman"/>
          <w:i w:val="1"/>
          <w:iCs w:val="1"/>
          <w:sz w:val="24"/>
          <w:szCs w:val="24"/>
          <w:vertAlign w:val="baseline"/>
          <w:rtl w:val="0"/>
        </w:rPr>
        <w:t xml:space="preserve">Phytochemistry Reviews</w:t>
      </w:r>
      <w:r w:rsidDel="00000000" w:rsidR="00000000" w:rsidRPr="00000000">
        <w:rPr>
          <w:rFonts w:ascii="Times New Roman" w:cs="Times New Roman" w:eastAsia="Times New Roman" w:hAnsi="Times New Roman"/>
          <w:sz w:val="24"/>
          <w:szCs w:val="24"/>
          <w:vertAlign w:val="baseline"/>
          <w:rtl w:val="0"/>
        </w:rPr>
        <w:t xml:space="preserve"> 19 (5), 1199-120.</w:t>
      </w:r>
    </w:p>
    <w:p w:rsidR="00000000" w:rsidDel="00000000" w:rsidP="00000000" w:rsidRDefault="00000000" w:rsidRPr="00000000" w14:paraId="00000179">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Tajer, L., Paillart, J.-C., Dib, H., Sabatier, J.-M., Fajloun, Z., &amp; Abi Khattar, Z. (2024). Molecular Mechanisms of Bacterial Resistance to Antimicrobial Peptides in the Modern Era: An Updated Review. </w:t>
      </w:r>
      <w:r w:rsidDel="00000000" w:rsidR="00000000" w:rsidRPr="00000000">
        <w:rPr>
          <w:rFonts w:ascii="Times New Roman" w:cs="Times New Roman" w:eastAsia="Times New Roman" w:hAnsi="Times New Roman"/>
          <w:i w:val="1"/>
          <w:iCs w:val="1"/>
          <w:sz w:val="24"/>
          <w:szCs w:val="24"/>
          <w:vertAlign w:val="baseline"/>
          <w:rtl w:val="0"/>
        </w:rPr>
        <w:t xml:space="preserve">Microorganisms</w:t>
      </w:r>
      <w:r w:rsidDel="00000000" w:rsidR="00000000" w:rsidRPr="00000000">
        <w:rPr>
          <w:rFonts w:ascii="Times New Roman" w:cs="Times New Roman" w:eastAsia="Times New Roman" w:hAnsi="Times New Roman"/>
          <w:sz w:val="24"/>
          <w:szCs w:val="24"/>
          <w:vertAlign w:val="baseline"/>
          <w:rtl w:val="0"/>
        </w:rPr>
        <w:t xml:space="preserve">, 12(7), 1259. </w:t>
      </w:r>
    </w:p>
    <w:p w:rsidR="00000000" w:rsidDel="00000000" w:rsidP="00000000" w:rsidRDefault="00000000" w:rsidRPr="00000000" w14:paraId="0000017A">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Taguri, T., Tanaka, T., &amp; Kouno, I. (2006). Antibacterial spectrum of plant polyphenols and extracts depending upon hydroxyphenyl structure. </w:t>
      </w:r>
      <w:r w:rsidDel="00000000" w:rsidR="00000000" w:rsidRPr="00000000">
        <w:rPr>
          <w:rFonts w:ascii="Times New Roman" w:cs="Times New Roman" w:eastAsia="Times New Roman" w:hAnsi="Times New Roman"/>
          <w:i w:val="1"/>
          <w:iCs w:val="1"/>
          <w:sz w:val="24"/>
          <w:szCs w:val="24"/>
          <w:vertAlign w:val="baseline"/>
          <w:rtl w:val="0"/>
        </w:rPr>
        <w:t xml:space="preserve">Biological and Pharmaceutical Bulletin, </w:t>
      </w:r>
      <w:r w:rsidDel="00000000" w:rsidR="00000000" w:rsidRPr="00000000">
        <w:rPr>
          <w:rFonts w:ascii="Times New Roman" w:cs="Times New Roman" w:eastAsia="Times New Roman" w:hAnsi="Times New Roman"/>
          <w:sz w:val="24"/>
          <w:szCs w:val="24"/>
          <w:vertAlign w:val="baseline"/>
          <w:rtl w:val="0"/>
        </w:rPr>
        <w:t xml:space="preserve">29(11), 2</w:t>
      </w:r>
    </w:p>
    <w:p w:rsidR="00000000" w:rsidDel="00000000" w:rsidP="00000000" w:rsidRDefault="00000000" w:rsidRPr="00000000" w14:paraId="0000017B">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Tan, N., Yazıcı-Tütüniş, S., Bilgin, M., Tan, E., Miski, M. (2017). Antibacterial activities of prenylated Coumarins from the roots of Prangos Hulusii. </w:t>
      </w:r>
      <w:r w:rsidDel="00000000" w:rsidR="00000000" w:rsidRPr="00000000">
        <w:rPr>
          <w:rFonts w:ascii="Times New Roman" w:cs="Times New Roman" w:eastAsia="Times New Roman" w:hAnsi="Times New Roman"/>
          <w:i w:val="1"/>
          <w:iCs w:val="1"/>
          <w:sz w:val="24"/>
          <w:szCs w:val="24"/>
          <w:vertAlign w:val="baseline"/>
          <w:rtl w:val="0"/>
        </w:rPr>
        <w:t xml:space="preserve">Molecules,</w:t>
      </w:r>
      <w:r w:rsidDel="00000000" w:rsidR="00000000" w:rsidRPr="00000000">
        <w:rPr>
          <w:rFonts w:ascii="Times New Roman" w:cs="Times New Roman" w:eastAsia="Times New Roman" w:hAnsi="Times New Roman"/>
          <w:sz w:val="24"/>
          <w:szCs w:val="24"/>
          <w:vertAlign w:val="baseline"/>
          <w:rtl w:val="0"/>
        </w:rPr>
        <w:t xml:space="preserve"> 22 (7), 1098.</w:t>
      </w:r>
    </w:p>
    <w:p w:rsidR="00000000" w:rsidDel="00000000" w:rsidP="00000000" w:rsidRDefault="00000000" w:rsidRPr="00000000" w14:paraId="0000017C">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Tauheed, A. M., Shittu, S. H., Suleiman, M. M., Habibu, B., Kawu, M. U., Kobo, P. I., &amp; Yusuf, P. O. (2016). </w:t>
      </w:r>
      <w:r w:rsidDel="00000000" w:rsidR="00000000" w:rsidRPr="00000000">
        <w:rPr>
          <w:rFonts w:ascii="Times New Roman" w:cs="Times New Roman" w:eastAsia="Times New Roman" w:hAnsi="Times New Roman"/>
          <w:i w:val="1"/>
          <w:iCs w:val="1"/>
          <w:sz w:val="24"/>
          <w:szCs w:val="24"/>
          <w:vertAlign w:val="baseline"/>
          <w:rtl w:val="0"/>
        </w:rPr>
        <w:t xml:space="preserve">In vivo</w:t>
      </w:r>
      <w:r w:rsidDel="00000000" w:rsidR="00000000" w:rsidRPr="00000000">
        <w:rPr>
          <w:rFonts w:ascii="Times New Roman" w:cs="Times New Roman" w:eastAsia="Times New Roman" w:hAnsi="Times New Roman"/>
          <w:sz w:val="24"/>
          <w:szCs w:val="24"/>
          <w:vertAlign w:val="baseline"/>
          <w:rtl w:val="0"/>
        </w:rPr>
        <w:t xml:space="preserve"> ameliorative effects of methanol leaf extract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Linn on experimental </w:t>
      </w:r>
      <w:r w:rsidDel="00000000" w:rsidR="00000000" w:rsidRPr="00000000">
        <w:rPr>
          <w:rFonts w:ascii="Times New Roman" w:cs="Times New Roman" w:eastAsia="Times New Roman" w:hAnsi="Times New Roman"/>
          <w:i w:val="1"/>
          <w:iCs w:val="1"/>
          <w:sz w:val="24"/>
          <w:szCs w:val="24"/>
          <w:vertAlign w:val="baseline"/>
          <w:rtl w:val="0"/>
        </w:rPr>
        <w:t xml:space="preserve">Trypanosoma congolense</w:t>
      </w:r>
      <w:r w:rsidDel="00000000" w:rsidR="00000000" w:rsidRPr="00000000">
        <w:rPr>
          <w:rFonts w:ascii="Times New Roman" w:cs="Times New Roman" w:eastAsia="Times New Roman" w:hAnsi="Times New Roman"/>
          <w:sz w:val="24"/>
          <w:szCs w:val="24"/>
          <w:vertAlign w:val="baseline"/>
          <w:rtl w:val="0"/>
        </w:rPr>
        <w:t xml:space="preserve"> infection in Wistar rats. </w:t>
      </w:r>
      <w:r w:rsidDel="00000000" w:rsidR="00000000" w:rsidRPr="00000000">
        <w:rPr>
          <w:rFonts w:ascii="Times New Roman" w:cs="Times New Roman" w:eastAsia="Times New Roman" w:hAnsi="Times New Roman"/>
          <w:i w:val="1"/>
          <w:iCs w:val="1"/>
          <w:sz w:val="24"/>
          <w:szCs w:val="24"/>
          <w:vertAlign w:val="baseline"/>
          <w:rtl w:val="0"/>
        </w:rPr>
        <w:t xml:space="preserve">International Journal of Veterinary Science and Medicine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4</w:t>
      </w:r>
      <w:r w:rsidDel="00000000" w:rsidR="00000000" w:rsidRPr="00000000">
        <w:rPr>
          <w:rFonts w:ascii="Times New Roman" w:cs="Times New Roman" w:eastAsia="Times New Roman" w:hAnsi="Times New Roman"/>
          <w:sz w:val="24"/>
          <w:szCs w:val="24"/>
          <w:vertAlign w:val="baseline"/>
          <w:rtl w:val="0"/>
        </w:rPr>
        <w:t xml:space="preserve">(2), 33–40.</w:t>
      </w:r>
    </w:p>
    <w:p w:rsidR="00000000" w:rsidDel="00000000" w:rsidP="00000000" w:rsidRDefault="00000000" w:rsidRPr="00000000" w14:paraId="0000017D">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Terreni, M., Taccani, M., &amp; Pregnolato, M. (2021). New antibiotics for multidrug-resistant bacterial strains: latest research developments and future perspectives. </w:t>
      </w:r>
      <w:r w:rsidDel="00000000" w:rsidR="00000000" w:rsidRPr="00000000">
        <w:rPr>
          <w:rFonts w:ascii="Times New Roman" w:cs="Times New Roman" w:eastAsia="Times New Roman" w:hAnsi="Times New Roman"/>
          <w:i w:val="1"/>
          <w:iCs w:val="1"/>
          <w:sz w:val="24"/>
          <w:szCs w:val="24"/>
          <w:vertAlign w:val="baseline"/>
          <w:rtl w:val="0"/>
        </w:rPr>
        <w:t xml:space="preserve">Molecules,</w:t>
      </w:r>
      <w:r w:rsidDel="00000000" w:rsidR="00000000" w:rsidRPr="00000000">
        <w:rPr>
          <w:rFonts w:ascii="Times New Roman" w:cs="Times New Roman" w:eastAsia="Times New Roman" w:hAnsi="Times New Roman"/>
          <w:sz w:val="24"/>
          <w:szCs w:val="24"/>
          <w:vertAlign w:val="baseline"/>
          <w:rtl w:val="0"/>
        </w:rPr>
        <w:t xml:space="preserve"> 26(9), 2671.</w:t>
      </w:r>
    </w:p>
    <w:p w:rsidR="00000000" w:rsidDel="00000000" w:rsidP="00000000" w:rsidRDefault="00000000" w:rsidRPr="00000000" w14:paraId="0000017E">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Togashi, N., Hamashima, H., Shiraishi, A., Inoue, Y., &amp; Takano, A. (2010). Antibacterial activities against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of terpene alcohols with aliphatic carbon chains. </w:t>
      </w:r>
      <w:r w:rsidDel="00000000" w:rsidR="00000000" w:rsidRPr="00000000">
        <w:rPr>
          <w:rFonts w:ascii="Times New Roman" w:cs="Times New Roman" w:eastAsia="Times New Roman" w:hAnsi="Times New Roman"/>
          <w:i w:val="1"/>
          <w:iCs w:val="1"/>
          <w:sz w:val="24"/>
          <w:szCs w:val="24"/>
          <w:vertAlign w:val="baseline"/>
          <w:rtl w:val="0"/>
        </w:rPr>
        <w:t xml:space="preserve">Journal of Essential Oil Research</w:t>
      </w:r>
      <w:r w:rsidDel="00000000" w:rsidR="00000000" w:rsidRPr="00000000">
        <w:rPr>
          <w:rFonts w:ascii="Times New Roman" w:cs="Times New Roman" w:eastAsia="Times New Roman" w:hAnsi="Times New Roman"/>
          <w:sz w:val="24"/>
          <w:szCs w:val="24"/>
          <w:vertAlign w:val="baseline"/>
          <w:rtl w:val="0"/>
        </w:rPr>
        <w:t xml:space="preserve">, 22(3), 263-269.</w:t>
      </w:r>
    </w:p>
    <w:p w:rsidR="00000000" w:rsidDel="00000000" w:rsidP="00000000" w:rsidRDefault="00000000" w:rsidRPr="00000000" w14:paraId="0000017F">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Trease, G.E., Evans, W.C.(1989). </w:t>
      </w:r>
      <w:r w:rsidDel="00000000" w:rsidR="00000000" w:rsidRPr="00000000">
        <w:rPr>
          <w:rFonts w:ascii="Times New Roman" w:cs="Times New Roman" w:eastAsia="Times New Roman" w:hAnsi="Times New Roman"/>
          <w:i w:val="1"/>
          <w:iCs w:val="1"/>
          <w:sz w:val="24"/>
          <w:szCs w:val="24"/>
          <w:vertAlign w:val="baseline"/>
          <w:rtl w:val="0"/>
        </w:rPr>
        <w:t xml:space="preserve">Pharmacognosy,</w:t>
      </w:r>
      <w:r w:rsidDel="00000000" w:rsidR="00000000" w:rsidRPr="00000000">
        <w:rPr>
          <w:rFonts w:ascii="Times New Roman" w:cs="Times New Roman" w:eastAsia="Times New Roman" w:hAnsi="Times New Roman"/>
          <w:sz w:val="24"/>
          <w:szCs w:val="24"/>
          <w:vertAlign w:val="baseline"/>
          <w:rtl w:val="0"/>
        </w:rPr>
        <w:t xml:space="preserve"> 11th edn., Bailliere Tindall, London, pp. 45-50.</w:t>
      </w:r>
    </w:p>
    <w:p w:rsidR="00000000" w:rsidDel="00000000" w:rsidP="00000000" w:rsidRDefault="00000000" w:rsidRPr="00000000" w14:paraId="00000180">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Ullah, U., Mumtaz, M. Z., Jaffar, T. H., Khaskheli, M. A., Imran, A., Zaib, A. A., Shehdad, S., Pervaiz,H., Bibi, A.,Malik, B., Haleem, M., Fakhir, M.,Sarwar, W., Alvi, A.H., Zahra, F.T., Qadir, F., &amp; Razzaq, A. (2025). Phytochemical constituents with antimicrobial activity from ethanolic extract of </w:t>
      </w:r>
      <w:r w:rsidDel="00000000" w:rsidR="00000000" w:rsidRPr="00000000">
        <w:rPr>
          <w:rFonts w:ascii="Times New Roman" w:cs="Times New Roman" w:eastAsia="Times New Roman" w:hAnsi="Times New Roman"/>
          <w:i w:val="1"/>
          <w:iCs w:val="1"/>
          <w:sz w:val="24"/>
          <w:szCs w:val="24"/>
          <w:vertAlign w:val="baseline"/>
          <w:rtl w:val="0"/>
        </w:rPr>
        <w:t xml:space="preserve">Lawsonia inermis </w:t>
      </w:r>
      <w:r w:rsidDel="00000000" w:rsidR="00000000" w:rsidRPr="00000000">
        <w:rPr>
          <w:rFonts w:ascii="Times New Roman" w:cs="Times New Roman" w:eastAsia="Times New Roman" w:hAnsi="Times New Roman"/>
          <w:sz w:val="24"/>
          <w:szCs w:val="24"/>
          <w:vertAlign w:val="baseline"/>
          <w:rtl w:val="0"/>
        </w:rPr>
        <w:t xml:space="preserve">leaves and stem extracts. </w:t>
      </w:r>
      <w:r w:rsidDel="00000000" w:rsidR="00000000" w:rsidRPr="00000000">
        <w:rPr>
          <w:rFonts w:ascii="Times New Roman" w:cs="Times New Roman" w:eastAsia="Times New Roman" w:hAnsi="Times New Roman"/>
          <w:i w:val="1"/>
          <w:iCs w:val="1"/>
          <w:sz w:val="24"/>
          <w:szCs w:val="24"/>
          <w:vertAlign w:val="baseline"/>
          <w:rtl w:val="0"/>
        </w:rPr>
        <w:t xml:space="preserve">Agrobiological Records, 20</w:t>
      </w:r>
      <w:r w:rsidDel="00000000" w:rsidR="00000000" w:rsidRPr="00000000">
        <w:rPr>
          <w:rFonts w:ascii="Times New Roman" w:cs="Times New Roman" w:eastAsia="Times New Roman" w:hAnsi="Times New Roman"/>
          <w:sz w:val="24"/>
          <w:szCs w:val="24"/>
          <w:vertAlign w:val="baseline"/>
          <w:rtl w:val="0"/>
        </w:rPr>
        <w:t xml:space="preserve">, 11–17.</w:t>
      </w:r>
    </w:p>
    <w:p w:rsidR="00000000" w:rsidDel="00000000" w:rsidP="00000000" w:rsidRDefault="00000000" w:rsidRPr="00000000" w14:paraId="00000181">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Veda, P. G., Mallikarjuna, R. T., &amp; Ganga, R. B. (2017). Antibacterial activity of </w:t>
      </w:r>
      <w:r w:rsidDel="00000000" w:rsidR="00000000" w:rsidRPr="00000000">
        <w:rPr>
          <w:rFonts w:ascii="Times New Roman" w:cs="Times New Roman" w:eastAsia="Times New Roman" w:hAnsi="Times New Roman"/>
          <w:i w:val="1"/>
          <w:iCs w:val="1"/>
          <w:sz w:val="24"/>
          <w:szCs w:val="24"/>
          <w:vertAlign w:val="baseline"/>
          <w:rtl w:val="0"/>
        </w:rPr>
        <w:t xml:space="preserve">Saponaria officinalis </w:t>
      </w:r>
      <w:r w:rsidDel="00000000" w:rsidR="00000000" w:rsidRPr="00000000">
        <w:rPr>
          <w:rFonts w:ascii="Times New Roman" w:cs="Times New Roman" w:eastAsia="Times New Roman" w:hAnsi="Times New Roman"/>
          <w:sz w:val="24"/>
          <w:szCs w:val="24"/>
          <w:vertAlign w:val="baseline"/>
          <w:rtl w:val="0"/>
        </w:rPr>
        <w:t xml:space="preserve">and</w:t>
      </w:r>
      <w:r w:rsidDel="00000000" w:rsidR="00000000" w:rsidRPr="00000000">
        <w:rPr>
          <w:rFonts w:ascii="Times New Roman" w:cs="Times New Roman" w:eastAsia="Times New Roman" w:hAnsi="Times New Roman"/>
          <w:i w:val="1"/>
          <w:iCs w:val="1"/>
          <w:sz w:val="24"/>
          <w:szCs w:val="24"/>
          <w:vertAlign w:val="baseline"/>
          <w:rtl w:val="0"/>
        </w:rPr>
        <w:t xml:space="preserve"> Zanthoxyllum aramatum</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International Journal of Pharmacology and Toxicology</w:t>
      </w:r>
      <w:r w:rsidDel="00000000" w:rsidR="00000000" w:rsidRPr="00000000">
        <w:rPr>
          <w:rFonts w:ascii="Times New Roman" w:cs="Times New Roman" w:eastAsia="Times New Roman" w:hAnsi="Times New Roman"/>
          <w:sz w:val="24"/>
          <w:szCs w:val="24"/>
          <w:vertAlign w:val="baseline"/>
          <w:rtl w:val="0"/>
        </w:rPr>
        <w:t xml:space="preserve">, 5(1), 1-4.</w:t>
      </w:r>
    </w:p>
    <w:p w:rsidR="00000000" w:rsidDel="00000000" w:rsidP="00000000" w:rsidRDefault="00000000" w:rsidRPr="00000000" w14:paraId="00000182">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Velmurugan, B.K., Rathinasamy, B., Lohanathan, B.P., Thiyagarajan, V., Weng, C.F.(2018). Neuroprotective role of phytochemicals. </w:t>
      </w:r>
      <w:r w:rsidDel="00000000" w:rsidR="00000000" w:rsidRPr="00000000">
        <w:rPr>
          <w:rFonts w:ascii="Times New Roman" w:cs="Times New Roman" w:eastAsia="Times New Roman" w:hAnsi="Times New Roman"/>
          <w:i w:val="1"/>
          <w:iCs w:val="1"/>
          <w:sz w:val="24"/>
          <w:szCs w:val="24"/>
          <w:vertAlign w:val="baseline"/>
          <w:rtl w:val="0"/>
        </w:rPr>
        <w:t xml:space="preserve">Molecules</w:t>
      </w:r>
      <w:r w:rsidDel="00000000" w:rsidR="00000000" w:rsidRPr="00000000">
        <w:rPr>
          <w:rFonts w:ascii="Times New Roman" w:cs="Times New Roman" w:eastAsia="Times New Roman" w:hAnsi="Times New Roman"/>
          <w:sz w:val="24"/>
          <w:szCs w:val="24"/>
          <w:vertAlign w:val="baseline"/>
          <w:rtl w:val="0"/>
        </w:rPr>
        <w:t xml:space="preserve">, 23 (10), 2485.</w:t>
      </w:r>
    </w:p>
    <w:p w:rsidR="00000000" w:rsidDel="00000000" w:rsidP="00000000" w:rsidRDefault="00000000" w:rsidRPr="00000000" w14:paraId="0000018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Vijayaraj, S., &amp; Kumaran, S. (2018). Protective effect of</w:t>
      </w:r>
      <w:r w:rsidDel="00000000" w:rsidR="00000000" w:rsidRPr="00000000">
        <w:rPr>
          <w:rFonts w:ascii="Times New Roman" w:cs="Times New Roman" w:eastAsia="Times New Roman" w:hAnsi="Times New Roman"/>
          <w:i w:val="1"/>
          <w:iCs w:val="1"/>
          <w:sz w:val="24"/>
          <w:szCs w:val="24"/>
          <w:vertAlign w:val="baseline"/>
          <w:rtl w:val="0"/>
        </w:rPr>
        <w:t xml:space="preserve"> Lawsonia inermis</w:t>
      </w:r>
      <w:r w:rsidDel="00000000" w:rsidR="00000000" w:rsidRPr="00000000">
        <w:rPr>
          <w:rFonts w:ascii="Times New Roman" w:cs="Times New Roman" w:eastAsia="Times New Roman" w:hAnsi="Times New Roman"/>
          <w:sz w:val="24"/>
          <w:szCs w:val="24"/>
          <w:vertAlign w:val="baseline"/>
          <w:rtl w:val="0"/>
        </w:rPr>
        <w:t xml:space="preserve"> Linn. on chronic inflammation in rats. </w:t>
      </w:r>
      <w:r w:rsidDel="00000000" w:rsidR="00000000" w:rsidRPr="00000000">
        <w:rPr>
          <w:rFonts w:ascii="Times New Roman" w:cs="Times New Roman" w:eastAsia="Times New Roman" w:hAnsi="Times New Roman"/>
          <w:i w:val="1"/>
          <w:iCs w:val="1"/>
          <w:sz w:val="24"/>
          <w:szCs w:val="24"/>
          <w:vertAlign w:val="baseline"/>
          <w:rtl w:val="0"/>
        </w:rPr>
        <w:t xml:space="preserve">International Journal of Green Pharmacy</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12</w:t>
      </w:r>
      <w:r w:rsidDel="00000000" w:rsidR="00000000" w:rsidRPr="00000000">
        <w:rPr>
          <w:rFonts w:ascii="Times New Roman" w:cs="Times New Roman" w:eastAsia="Times New Roman" w:hAnsi="Times New Roman"/>
          <w:sz w:val="24"/>
          <w:szCs w:val="24"/>
          <w:vertAlign w:val="baseline"/>
          <w:rtl w:val="0"/>
        </w:rPr>
        <w:t xml:space="preserve">(3), S553–S559.</w:t>
      </w:r>
    </w:p>
    <w:p w:rsidR="00000000" w:rsidDel="00000000" w:rsidP="00000000" w:rsidRDefault="00000000" w:rsidRPr="00000000" w14:paraId="0000018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Vincken, J.P., Heng, L., de Groot, A. &amp; Gruppen, H. (2007). Saponins, classification and occurrence in the plant kingdom.</w:t>
      </w:r>
      <w:r w:rsidDel="00000000" w:rsidR="00000000" w:rsidRPr="00000000">
        <w:rPr>
          <w:rFonts w:ascii="Times New Roman" w:cs="Times New Roman" w:eastAsia="Times New Roman" w:hAnsi="Times New Roman"/>
          <w:i w:val="1"/>
          <w:iCs w:val="1"/>
          <w:sz w:val="24"/>
          <w:szCs w:val="24"/>
          <w:vertAlign w:val="baseline"/>
          <w:rtl w:val="0"/>
        </w:rPr>
        <w:t xml:space="preserve"> Phytochemistry</w:t>
      </w:r>
      <w:r w:rsidDel="00000000" w:rsidR="00000000" w:rsidRPr="00000000">
        <w:rPr>
          <w:rFonts w:ascii="Times New Roman" w:cs="Times New Roman" w:eastAsia="Times New Roman" w:hAnsi="Times New Roman"/>
          <w:sz w:val="24"/>
          <w:szCs w:val="24"/>
          <w:vertAlign w:val="baseline"/>
          <w:rtl w:val="0"/>
        </w:rPr>
        <w:t xml:space="preserve"> 68 (3), 275–297.</w:t>
      </w:r>
    </w:p>
    <w:p w:rsidR="00000000" w:rsidDel="00000000" w:rsidP="00000000" w:rsidRDefault="00000000" w:rsidRPr="00000000" w14:paraId="00000185">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Wang, Y., Li, M. F., Wang, L., Tan, J., Li, R., Jiang, Z. T., Tang,S.H., &amp; Li, T. T. (2021). Improvement of the stabilities and antioxidant activities of polyphenols from the leaves of Chinese star anise (</w:t>
      </w:r>
      <w:r w:rsidDel="00000000" w:rsidR="00000000" w:rsidRPr="00000000">
        <w:rPr>
          <w:rFonts w:ascii="Times New Roman" w:cs="Times New Roman" w:eastAsia="Times New Roman" w:hAnsi="Times New Roman"/>
          <w:i w:val="1"/>
          <w:iCs w:val="1"/>
          <w:sz w:val="24"/>
          <w:szCs w:val="24"/>
          <w:vertAlign w:val="baseline"/>
          <w:rtl w:val="0"/>
        </w:rPr>
        <w:t xml:space="preserve">Illicium verum</w:t>
      </w:r>
      <w:r w:rsidDel="00000000" w:rsidR="00000000" w:rsidRPr="00000000">
        <w:rPr>
          <w:rFonts w:ascii="Times New Roman" w:cs="Times New Roman" w:eastAsia="Times New Roman" w:hAnsi="Times New Roman"/>
          <w:sz w:val="24"/>
          <w:szCs w:val="24"/>
          <w:vertAlign w:val="baseline"/>
          <w:rtl w:val="0"/>
        </w:rPr>
        <w:t xml:space="preserve"> Hook. f.) using β‐cyclodextrin‐based metal–organic frameworks. </w:t>
      </w:r>
      <w:r w:rsidDel="00000000" w:rsidR="00000000" w:rsidRPr="00000000">
        <w:rPr>
          <w:rFonts w:ascii="Times New Roman" w:cs="Times New Roman" w:eastAsia="Times New Roman" w:hAnsi="Times New Roman"/>
          <w:i w:val="1"/>
          <w:iCs w:val="1"/>
          <w:sz w:val="24"/>
          <w:szCs w:val="24"/>
          <w:vertAlign w:val="baseline"/>
          <w:rtl w:val="0"/>
        </w:rPr>
        <w:t xml:space="preserve">Journal of the Science of Food and Agriculture,</w:t>
      </w:r>
      <w:r w:rsidDel="00000000" w:rsidR="00000000" w:rsidRPr="00000000">
        <w:rPr>
          <w:rFonts w:ascii="Times New Roman" w:cs="Times New Roman" w:eastAsia="Times New Roman" w:hAnsi="Times New Roman"/>
          <w:sz w:val="24"/>
          <w:szCs w:val="24"/>
          <w:vertAlign w:val="baseline"/>
          <w:rtl w:val="0"/>
        </w:rPr>
        <w:t xml:space="preserve"> 101(1), 287-296.</w:t>
      </w:r>
    </w:p>
    <w:p w:rsidR="00000000" w:rsidDel="00000000" w:rsidP="00000000" w:rsidRDefault="00000000" w:rsidRPr="00000000" w14:paraId="00000186">
      <w:pPr>
        <w:spacing w:line="276" w:lineRule="auto"/>
        <w:jc w:val="both"/>
        <w:rPr>
          <w:rFonts w:ascii="Times New Roman" w:cs="Times New Roman" w:eastAsia="Times New Roman" w:hAnsi="Times New Roman"/>
          <w:i w:val="0"/>
          <w:iCs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Wiart, C. (2007). Ethnopharmacology of medicinal plants: Asia and the Pacific. </w:t>
      </w:r>
      <w:r w:rsidDel="00000000" w:rsidR="00000000" w:rsidRPr="00000000">
        <w:rPr>
          <w:rFonts w:ascii="Times New Roman" w:cs="Times New Roman" w:eastAsia="Times New Roman" w:hAnsi="Times New Roman"/>
          <w:i w:val="1"/>
          <w:iCs w:val="1"/>
          <w:sz w:val="24"/>
          <w:szCs w:val="24"/>
          <w:vertAlign w:val="baseline"/>
          <w:rtl w:val="0"/>
        </w:rPr>
        <w:t xml:space="preserve">Springer Science &amp; Business Media.</w:t>
      </w:r>
      <w:r w:rsidDel="00000000" w:rsidR="00000000" w:rsidRPr="00000000">
        <w:rPr>
          <w:rtl w:val="0"/>
        </w:rPr>
      </w:r>
    </w:p>
    <w:p w:rsidR="00000000" w:rsidDel="00000000" w:rsidP="00000000" w:rsidRDefault="00000000" w:rsidRPr="00000000" w14:paraId="00000187">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Wiedenbeck, J., &amp; Cohan, F. M. (2011). Origins of bacterial diversity through horizontal genetic transfer and adaptation to new ecological niches. </w:t>
      </w:r>
      <w:r w:rsidDel="00000000" w:rsidR="00000000" w:rsidRPr="00000000">
        <w:rPr>
          <w:rFonts w:ascii="Times New Roman" w:cs="Times New Roman" w:eastAsia="Times New Roman" w:hAnsi="Times New Roman"/>
          <w:i w:val="1"/>
          <w:iCs w:val="1"/>
          <w:sz w:val="24"/>
          <w:szCs w:val="24"/>
          <w:vertAlign w:val="baseline"/>
          <w:rtl w:val="0"/>
        </w:rPr>
        <w:t xml:space="preserve">FEMS Microbiology reviews</w:t>
      </w:r>
      <w:r w:rsidDel="00000000" w:rsidR="00000000" w:rsidRPr="00000000">
        <w:rPr>
          <w:rFonts w:ascii="Times New Roman" w:cs="Times New Roman" w:eastAsia="Times New Roman" w:hAnsi="Times New Roman"/>
          <w:sz w:val="24"/>
          <w:szCs w:val="24"/>
          <w:vertAlign w:val="baseline"/>
          <w:rtl w:val="0"/>
        </w:rPr>
        <w:t xml:space="preserve">, 35(5), 957-976.</w:t>
      </w:r>
    </w:p>
    <w:p w:rsidR="00000000" w:rsidDel="00000000" w:rsidP="00000000" w:rsidRDefault="00000000" w:rsidRPr="00000000" w14:paraId="00000188">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Wilson, D. N. (2014). Ribosome-targeting antibiotics and mechanisms of bacterial resistance. </w:t>
      </w:r>
      <w:r w:rsidDel="00000000" w:rsidR="00000000" w:rsidRPr="00000000">
        <w:rPr>
          <w:rFonts w:ascii="Times New Roman" w:cs="Times New Roman" w:eastAsia="Times New Roman" w:hAnsi="Times New Roman"/>
          <w:i w:val="1"/>
          <w:iCs w:val="1"/>
          <w:sz w:val="24"/>
          <w:szCs w:val="24"/>
          <w:vertAlign w:val="baseline"/>
          <w:rtl w:val="0"/>
        </w:rPr>
        <w:t xml:space="preserve">Nature Reviews Microbiology</w:t>
      </w:r>
      <w:r w:rsidDel="00000000" w:rsidR="00000000" w:rsidRPr="00000000">
        <w:rPr>
          <w:rFonts w:ascii="Times New Roman" w:cs="Times New Roman" w:eastAsia="Times New Roman" w:hAnsi="Times New Roman"/>
          <w:sz w:val="24"/>
          <w:szCs w:val="24"/>
          <w:vertAlign w:val="baseline"/>
          <w:rtl w:val="0"/>
        </w:rPr>
        <w:t xml:space="preserve">, 12(1), 35-48.</w:t>
      </w:r>
    </w:p>
    <w:p w:rsidR="00000000" w:rsidDel="00000000" w:rsidP="00000000" w:rsidRDefault="00000000" w:rsidRPr="00000000" w14:paraId="00000189">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WHO. (2020). </w:t>
      </w:r>
      <w:r w:rsidDel="00000000" w:rsidR="00000000" w:rsidRPr="00000000">
        <w:rPr>
          <w:rFonts w:ascii="Times New Roman" w:cs="Times New Roman" w:eastAsia="Times New Roman" w:hAnsi="Times New Roman"/>
          <w:i w:val="1"/>
          <w:iCs w:val="1"/>
          <w:sz w:val="24"/>
          <w:szCs w:val="24"/>
          <w:vertAlign w:val="baseline"/>
          <w:rtl w:val="0"/>
        </w:rPr>
        <w:t xml:space="preserve">Global report on antimicrobial resistance</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18A">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Woo, J., et al. (2023). Recent advances in plant-derived antimicrobial compounds. </w:t>
      </w:r>
      <w:r w:rsidDel="00000000" w:rsidR="00000000" w:rsidRPr="00000000">
        <w:rPr>
          <w:rFonts w:ascii="Times New Roman" w:cs="Times New Roman" w:eastAsia="Times New Roman" w:hAnsi="Times New Roman"/>
          <w:i w:val="1"/>
          <w:iCs w:val="1"/>
          <w:sz w:val="24"/>
          <w:szCs w:val="24"/>
          <w:vertAlign w:val="baseline"/>
          <w:rtl w:val="0"/>
        </w:rPr>
        <w:t xml:space="preserve">Natural Product Reports</w:t>
      </w:r>
      <w:r w:rsidDel="00000000" w:rsidR="00000000" w:rsidRPr="00000000">
        <w:rPr>
          <w:rFonts w:ascii="Times New Roman" w:cs="Times New Roman" w:eastAsia="Times New Roman" w:hAnsi="Times New Roman"/>
          <w:sz w:val="24"/>
          <w:szCs w:val="24"/>
          <w:vertAlign w:val="baseline"/>
          <w:rtl w:val="0"/>
        </w:rPr>
        <w:t xml:space="preserve">, 40, 157–210.</w:t>
      </w:r>
    </w:p>
    <w:p w:rsidR="00000000" w:rsidDel="00000000" w:rsidP="00000000" w:rsidRDefault="00000000" w:rsidRPr="00000000" w14:paraId="0000018B">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Wu, T., Zang, X., He, M., Pan, S., &amp; Xu, X. (2013). Structure–activity relationship of flavonoids on their anti-</w:t>
      </w:r>
      <w:r w:rsidDel="00000000" w:rsidR="00000000" w:rsidRPr="00000000">
        <w:rPr>
          <w:rFonts w:ascii="Times New Roman" w:cs="Times New Roman" w:eastAsia="Times New Roman" w:hAnsi="Times New Roman"/>
          <w:i w:val="1"/>
          <w:iCs w:val="1"/>
          <w:sz w:val="24"/>
          <w:szCs w:val="24"/>
          <w:vertAlign w:val="baseline"/>
          <w:rtl w:val="0"/>
        </w:rPr>
        <w:t xml:space="preserve">Escherichia coli </w:t>
      </w:r>
      <w:r w:rsidDel="00000000" w:rsidR="00000000" w:rsidRPr="00000000">
        <w:rPr>
          <w:rFonts w:ascii="Times New Roman" w:cs="Times New Roman" w:eastAsia="Times New Roman" w:hAnsi="Times New Roman"/>
          <w:sz w:val="24"/>
          <w:szCs w:val="24"/>
          <w:vertAlign w:val="baseline"/>
          <w:rtl w:val="0"/>
        </w:rPr>
        <w:t xml:space="preserve">activity and inhibition of DNA gyrase. </w:t>
      </w:r>
      <w:r w:rsidDel="00000000" w:rsidR="00000000" w:rsidRPr="00000000">
        <w:rPr>
          <w:rFonts w:ascii="Times New Roman" w:cs="Times New Roman" w:eastAsia="Times New Roman" w:hAnsi="Times New Roman"/>
          <w:i w:val="1"/>
          <w:iCs w:val="1"/>
          <w:sz w:val="24"/>
          <w:szCs w:val="24"/>
          <w:vertAlign w:val="baseline"/>
          <w:rtl w:val="0"/>
        </w:rPr>
        <w:t xml:space="preserve">Journal of Agricultural and Food Chemistry,</w:t>
      </w:r>
      <w:r w:rsidDel="00000000" w:rsidR="00000000" w:rsidRPr="00000000">
        <w:rPr>
          <w:rFonts w:ascii="Times New Roman" w:cs="Times New Roman" w:eastAsia="Times New Roman" w:hAnsi="Times New Roman"/>
          <w:sz w:val="24"/>
          <w:szCs w:val="24"/>
          <w:vertAlign w:val="baseline"/>
          <w:rtl w:val="0"/>
        </w:rPr>
        <w:t xml:space="preserve"> 61(34), 8185-8190.</w:t>
      </w:r>
    </w:p>
    <w:p w:rsidR="00000000" w:rsidDel="00000000" w:rsidP="00000000" w:rsidRDefault="00000000" w:rsidRPr="00000000" w14:paraId="0000018C">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Xu, M., Wu, P., Shen, F., Ji, J., &amp; Rakesh, K. P. (2019). Chalcone derivatives and their antibacterial activities: Current development. </w:t>
      </w:r>
      <w:r w:rsidDel="00000000" w:rsidR="00000000" w:rsidRPr="00000000">
        <w:rPr>
          <w:rFonts w:ascii="Times New Roman" w:cs="Times New Roman" w:eastAsia="Times New Roman" w:hAnsi="Times New Roman"/>
          <w:i w:val="1"/>
          <w:iCs w:val="1"/>
          <w:sz w:val="24"/>
          <w:szCs w:val="24"/>
          <w:vertAlign w:val="baseline"/>
          <w:rtl w:val="0"/>
        </w:rPr>
        <w:t xml:space="preserve">Bioorganic Chemistry,</w:t>
      </w:r>
      <w:r w:rsidDel="00000000" w:rsidR="00000000" w:rsidRPr="00000000">
        <w:rPr>
          <w:rFonts w:ascii="Times New Roman" w:cs="Times New Roman" w:eastAsia="Times New Roman" w:hAnsi="Times New Roman"/>
          <w:sz w:val="24"/>
          <w:szCs w:val="24"/>
          <w:vertAlign w:val="baseline"/>
          <w:rtl w:val="0"/>
        </w:rPr>
        <w:t xml:space="preserve"> 91, 103133.</w:t>
      </w:r>
    </w:p>
    <w:p w:rsidR="00000000" w:rsidDel="00000000" w:rsidP="00000000" w:rsidRDefault="00000000" w:rsidRPr="00000000" w14:paraId="0000018D">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Yadav, M. K., Chae, S. W., Im, G. J., Chung, J. W., &amp; Song, J. J. (2015). Eugenol: a phyto-compound effective against methicillin-resistant and methicillin-sensitive </w:t>
      </w:r>
      <w:r w:rsidDel="00000000" w:rsidR="00000000" w:rsidRPr="00000000">
        <w:rPr>
          <w:rFonts w:ascii="Times New Roman" w:cs="Times New Roman" w:eastAsia="Times New Roman" w:hAnsi="Times New Roman"/>
          <w:i w:val="1"/>
          <w:iCs w:val="1"/>
          <w:sz w:val="24"/>
          <w:szCs w:val="24"/>
          <w:vertAlign w:val="baseline"/>
          <w:rtl w:val="0"/>
        </w:rPr>
        <w:t xml:space="preserve">Staphylococcus aureus</w:t>
      </w:r>
      <w:r w:rsidDel="00000000" w:rsidR="00000000" w:rsidRPr="00000000">
        <w:rPr>
          <w:rFonts w:ascii="Times New Roman" w:cs="Times New Roman" w:eastAsia="Times New Roman" w:hAnsi="Times New Roman"/>
          <w:sz w:val="24"/>
          <w:szCs w:val="24"/>
          <w:vertAlign w:val="baseline"/>
          <w:rtl w:val="0"/>
        </w:rPr>
        <w:t xml:space="preserve"> clinical strain biofilms. </w:t>
      </w:r>
      <w:r w:rsidDel="00000000" w:rsidR="00000000" w:rsidRPr="00000000">
        <w:rPr>
          <w:rFonts w:ascii="Times New Roman" w:cs="Times New Roman" w:eastAsia="Times New Roman" w:hAnsi="Times New Roman"/>
          <w:i w:val="1"/>
          <w:iCs w:val="1"/>
          <w:sz w:val="24"/>
          <w:szCs w:val="24"/>
          <w:vertAlign w:val="baseline"/>
          <w:rtl w:val="0"/>
        </w:rPr>
        <w:t xml:space="preserve">PLoS One, </w:t>
      </w:r>
      <w:r w:rsidDel="00000000" w:rsidR="00000000" w:rsidRPr="00000000">
        <w:rPr>
          <w:rFonts w:ascii="Times New Roman" w:cs="Times New Roman" w:eastAsia="Times New Roman" w:hAnsi="Times New Roman"/>
          <w:sz w:val="24"/>
          <w:szCs w:val="24"/>
          <w:vertAlign w:val="baseline"/>
          <w:rtl w:val="0"/>
        </w:rPr>
        <w:t xml:space="preserve">10(3), e0119564.</w:t>
      </w:r>
    </w:p>
    <w:p w:rsidR="00000000" w:rsidDel="00000000" w:rsidP="00000000" w:rsidRDefault="00000000" w:rsidRPr="00000000" w14:paraId="0000018E">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Yang, J. Y., &amp; Lee, H. S. (2015). Antimicrobial activities of active component isolated from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leaves and structure-activity relationships of its analogues against food-borne bacteria. </w:t>
      </w:r>
      <w:r w:rsidDel="00000000" w:rsidR="00000000" w:rsidRPr="00000000">
        <w:rPr>
          <w:rFonts w:ascii="Times New Roman" w:cs="Times New Roman" w:eastAsia="Times New Roman" w:hAnsi="Times New Roman"/>
          <w:i w:val="1"/>
          <w:iCs w:val="1"/>
          <w:sz w:val="24"/>
          <w:szCs w:val="24"/>
          <w:vertAlign w:val="baseline"/>
          <w:rtl w:val="0"/>
        </w:rPr>
        <w:t xml:space="preserve">Journal of Food Science and Technology</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52</w:t>
      </w:r>
      <w:r w:rsidDel="00000000" w:rsidR="00000000" w:rsidRPr="00000000">
        <w:rPr>
          <w:rFonts w:ascii="Times New Roman" w:cs="Times New Roman" w:eastAsia="Times New Roman" w:hAnsi="Times New Roman"/>
          <w:sz w:val="24"/>
          <w:szCs w:val="24"/>
          <w:vertAlign w:val="baseline"/>
          <w:rtl w:val="0"/>
        </w:rPr>
        <w:t xml:space="preserve">(4), 2446–2451.</w:t>
      </w:r>
    </w:p>
    <w:p w:rsidR="00000000" w:rsidDel="00000000" w:rsidP="00000000" w:rsidRDefault="00000000" w:rsidRPr="00000000" w14:paraId="0000018F">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Yashin, A., Yashin, Y., Xia, X., &amp; Nemzer, B. (2017). Antioxidant activity of spices and their impact on human health: A review. </w:t>
      </w:r>
      <w:r w:rsidDel="00000000" w:rsidR="00000000" w:rsidRPr="00000000">
        <w:rPr>
          <w:rFonts w:ascii="Times New Roman" w:cs="Times New Roman" w:eastAsia="Times New Roman" w:hAnsi="Times New Roman"/>
          <w:i w:val="1"/>
          <w:iCs w:val="1"/>
          <w:sz w:val="24"/>
          <w:szCs w:val="24"/>
          <w:vertAlign w:val="baseline"/>
          <w:rtl w:val="0"/>
        </w:rPr>
        <w:t xml:space="preserve">Antioxidants</w:t>
      </w:r>
      <w:r w:rsidDel="00000000" w:rsidR="00000000" w:rsidRPr="00000000">
        <w:rPr>
          <w:rFonts w:ascii="Times New Roman" w:cs="Times New Roman" w:eastAsia="Times New Roman" w:hAnsi="Times New Roman"/>
          <w:sz w:val="24"/>
          <w:szCs w:val="24"/>
          <w:vertAlign w:val="baseline"/>
          <w:rtl w:val="0"/>
        </w:rPr>
        <w:t xml:space="preserve">, 6(3), 70.</w:t>
      </w:r>
    </w:p>
    <w:p w:rsidR="00000000" w:rsidDel="00000000" w:rsidP="00000000" w:rsidRDefault="00000000" w:rsidRPr="00000000" w14:paraId="00000190">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Yu, Z., Tang, J., Khare, T., &amp; Kumar, V. (2020). The alarming antimicrobial resistance in ESKAPEE pathogens: Can essential oils come to the rescue?. Fitoterapia, 140, 104433.</w:t>
      </w:r>
    </w:p>
    <w:p w:rsidR="00000000" w:rsidDel="00000000" w:rsidP="00000000" w:rsidRDefault="00000000" w:rsidRPr="00000000" w14:paraId="00000191">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Zacchino, S. A., Butassi, E., Di Liberto, M., Raimondi, M., Postigo, A., &amp; Sortino, M. (2017). Plant phenolics and terpenoids as adjuvants of antibacterial and antifungal drugs. </w:t>
      </w:r>
      <w:r w:rsidDel="00000000" w:rsidR="00000000" w:rsidRPr="00000000">
        <w:rPr>
          <w:rFonts w:ascii="Times New Roman" w:cs="Times New Roman" w:eastAsia="Times New Roman" w:hAnsi="Times New Roman"/>
          <w:i w:val="1"/>
          <w:iCs w:val="1"/>
          <w:sz w:val="24"/>
          <w:szCs w:val="24"/>
          <w:vertAlign w:val="baseline"/>
          <w:rtl w:val="0"/>
        </w:rPr>
        <w:t xml:space="preserve">Phytomedicine,</w:t>
      </w:r>
      <w:r w:rsidDel="00000000" w:rsidR="00000000" w:rsidRPr="00000000">
        <w:rPr>
          <w:rFonts w:ascii="Times New Roman" w:cs="Times New Roman" w:eastAsia="Times New Roman" w:hAnsi="Times New Roman"/>
          <w:sz w:val="24"/>
          <w:szCs w:val="24"/>
          <w:vertAlign w:val="baseline"/>
          <w:rtl w:val="0"/>
        </w:rPr>
        <w:t xml:space="preserve"> 37, 27-48.</w:t>
      </w:r>
    </w:p>
    <w:p w:rsidR="00000000" w:rsidDel="00000000" w:rsidP="00000000" w:rsidRDefault="00000000" w:rsidRPr="00000000" w14:paraId="00000192">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Zannat, K. E., Tanzim, S. M., Afrin, A., Saha, B. C., Joynal, J. B., Khanam, T. A., &amp; Nira, N. H. (2023). Antibacterial Effects of Methanolic Leaf Extracts of Henna (</w:t>
      </w:r>
      <w:r w:rsidDel="00000000" w:rsidR="00000000" w:rsidRPr="00000000">
        <w:rPr>
          <w:rFonts w:ascii="Times New Roman" w:cs="Times New Roman" w:eastAsia="Times New Roman" w:hAnsi="Times New Roman"/>
          <w:i w:val="1"/>
          <w:iCs w:val="1"/>
          <w:sz w:val="24"/>
          <w:szCs w:val="24"/>
          <w:vertAlign w:val="baseline"/>
          <w:rtl w:val="0"/>
        </w:rPr>
        <w:t xml:space="preserve">Lawsonia inermis</w:t>
      </w:r>
      <w:r w:rsidDel="00000000" w:rsidR="00000000" w:rsidRPr="00000000">
        <w:rPr>
          <w:rFonts w:ascii="Times New Roman" w:cs="Times New Roman" w:eastAsia="Times New Roman" w:hAnsi="Times New Roman"/>
          <w:sz w:val="24"/>
          <w:szCs w:val="24"/>
          <w:vertAlign w:val="baseline"/>
          <w:rtl w:val="0"/>
        </w:rPr>
        <w:t xml:space="preserve">) Against Two Most Common Pathogenic Organisms: Gram Positive</w:t>
      </w:r>
      <w:r w:rsidDel="00000000" w:rsidR="00000000" w:rsidRPr="00000000">
        <w:rPr>
          <w:rFonts w:ascii="Times New Roman" w:cs="Times New Roman" w:eastAsia="Times New Roman" w:hAnsi="Times New Roman"/>
          <w:i w:val="1"/>
          <w:iCs w:val="1"/>
          <w:sz w:val="24"/>
          <w:szCs w:val="24"/>
          <w:vertAlign w:val="baseline"/>
          <w:rtl w:val="0"/>
        </w:rPr>
        <w:t xml:space="preserve"> Staphylococcus aureus</w:t>
      </w:r>
      <w:r w:rsidDel="00000000" w:rsidR="00000000" w:rsidRPr="00000000">
        <w:rPr>
          <w:rFonts w:ascii="Times New Roman" w:cs="Times New Roman" w:eastAsia="Times New Roman" w:hAnsi="Times New Roman"/>
          <w:sz w:val="24"/>
          <w:szCs w:val="24"/>
          <w:vertAlign w:val="baseline"/>
          <w:rtl w:val="0"/>
        </w:rPr>
        <w:t xml:space="preserve"> and Gram-Negative Escherichia coli. </w:t>
      </w:r>
      <w:r w:rsidDel="00000000" w:rsidR="00000000" w:rsidRPr="00000000">
        <w:rPr>
          <w:rFonts w:ascii="Times New Roman" w:cs="Times New Roman" w:eastAsia="Times New Roman" w:hAnsi="Times New Roman"/>
          <w:i w:val="1"/>
          <w:iCs w:val="1"/>
          <w:sz w:val="24"/>
          <w:szCs w:val="24"/>
          <w:vertAlign w:val="baseline"/>
          <w:rtl w:val="0"/>
        </w:rPr>
        <w:t xml:space="preserve">Mymensingh Medical Journal: MMJ</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iCs w:val="1"/>
          <w:sz w:val="24"/>
          <w:szCs w:val="24"/>
          <w:vertAlign w:val="baseline"/>
          <w:rtl w:val="0"/>
        </w:rPr>
        <w:t xml:space="preserve">32</w:t>
      </w:r>
      <w:r w:rsidDel="00000000" w:rsidR="00000000" w:rsidRPr="00000000">
        <w:rPr>
          <w:rFonts w:ascii="Times New Roman" w:cs="Times New Roman" w:eastAsia="Times New Roman" w:hAnsi="Times New Roman"/>
          <w:sz w:val="24"/>
          <w:szCs w:val="24"/>
          <w:vertAlign w:val="baseline"/>
          <w:rtl w:val="0"/>
        </w:rPr>
        <w:t xml:space="preserve">(2), 296–302.</w:t>
      </w:r>
    </w:p>
    <w:p w:rsidR="00000000" w:rsidDel="00000000" w:rsidP="00000000" w:rsidRDefault="00000000" w:rsidRPr="00000000" w14:paraId="00000193">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Zeb, A., &amp; Zeb. (2021). Phenolic Antioxidants in Foods:</w:t>
      </w:r>
      <w:r w:rsidDel="00000000" w:rsidR="00000000" w:rsidRPr="00000000">
        <w:rPr>
          <w:rFonts w:ascii="Times New Roman" w:cs="Times New Roman" w:eastAsia="Times New Roman" w:hAnsi="Times New Roman"/>
          <w:i w:val="1"/>
          <w:iCs w:val="1"/>
          <w:sz w:val="24"/>
          <w:szCs w:val="24"/>
          <w:vertAlign w:val="baseline"/>
          <w:rtl w:val="0"/>
        </w:rPr>
        <w:t xml:space="preserve"> Chemistry, Biochemistry and Analysis</w:t>
      </w:r>
      <w:r w:rsidDel="00000000" w:rsidR="00000000" w:rsidRPr="00000000">
        <w:rPr>
          <w:rFonts w:ascii="Times New Roman" w:cs="Times New Roman" w:eastAsia="Times New Roman" w:hAnsi="Times New Roman"/>
          <w:sz w:val="24"/>
          <w:szCs w:val="24"/>
          <w:vertAlign w:val="baseline"/>
          <w:rtl w:val="0"/>
        </w:rPr>
        <w:t xml:space="preserve">, 385- 411. Berlin/Heidelberg, Germany: Springer.</w:t>
      </w:r>
    </w:p>
    <w:p w:rsidR="00000000" w:rsidDel="00000000" w:rsidP="00000000" w:rsidRDefault="00000000" w:rsidRPr="00000000" w14:paraId="00000194">
      <w:pPr>
        <w:spacing w:line="276"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Zhang, X. F., Dai, Y. C., Zhong, W., Tan, M., Lv, Z. P., Zhou, Y. C., &amp; Jiang, X. (2012). Tannic acid inhibited norovirus binding to HBGA receptors, a study of 50 Chinese medicinal herbs. </w:t>
      </w:r>
      <w:r w:rsidDel="00000000" w:rsidR="00000000" w:rsidRPr="00000000">
        <w:rPr>
          <w:rFonts w:ascii="Times New Roman" w:cs="Times New Roman" w:eastAsia="Times New Roman" w:hAnsi="Times New Roman"/>
          <w:i w:val="1"/>
          <w:iCs w:val="1"/>
          <w:sz w:val="24"/>
          <w:szCs w:val="24"/>
          <w:vertAlign w:val="baseline"/>
          <w:rtl w:val="0"/>
        </w:rPr>
        <w:t xml:space="preserve">Bioorganic &amp; Medicinal Chemistry</w:t>
      </w:r>
      <w:r w:rsidDel="00000000" w:rsidR="00000000" w:rsidRPr="00000000">
        <w:rPr>
          <w:rFonts w:ascii="Times New Roman" w:cs="Times New Roman" w:eastAsia="Times New Roman" w:hAnsi="Times New Roman"/>
          <w:sz w:val="24"/>
          <w:szCs w:val="24"/>
          <w:vertAlign w:val="baseline"/>
          <w:rtl w:val="0"/>
        </w:rPr>
        <w:t xml:space="preserve">, 20(4), 1616-1623.</w:t>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3" style="position:absolute;width:535.0pt;height:100.0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1" style="position:absolute;width:535.0pt;height:100.0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2" style="position:absolute;width:535.0pt;height:100.0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vertAlign w:val="baseline"/>
      </w:rPr>
    </w:lvl>
    <w:lvl w:ilvl="1">
      <w:start w:val="1"/>
      <w:numFmt w:val="decimal"/>
      <w:lvlText w:val="%1.%2."/>
      <w:lvlJc w:val="left"/>
      <w:pPr>
        <w:ind w:left="0" w:firstLine="0"/>
      </w:pPr>
      <w:rPr>
        <w:b w:val="1"/>
        <w:bCs w:val="1"/>
        <w:vertAlign w:val="baseline"/>
      </w:rPr>
    </w:lvl>
    <w:lvl w:ilvl="2">
      <w:start w:val="1"/>
      <w:numFmt w:val="decimal"/>
      <w:lvlText w:val="%1.%2.%3."/>
      <w:lvlJc w:val="left"/>
      <w:pPr>
        <w:ind w:left="0" w:firstLine="0"/>
      </w:pPr>
      <w:rPr>
        <w:vertAlign w:val="baseline"/>
      </w:rPr>
    </w:lvl>
    <w:lvl w:ilvl="3">
      <w:start w:val="1"/>
      <w:numFmt w:val="decimal"/>
      <w:lvlText w:val="%1.%2.%3.%4."/>
      <w:lvlJc w:val="left"/>
      <w:pPr>
        <w:ind w:left="0" w:firstLine="0"/>
      </w:pPr>
      <w:rPr>
        <w:vertAlign w:val="baseline"/>
      </w:rPr>
    </w:lvl>
    <w:lvl w:ilvl="4">
      <w:start w:val="1"/>
      <w:numFmt w:val="decimal"/>
      <w:lvlText w:val="%1.%2.%3.%4.%5."/>
      <w:lvlJc w:val="left"/>
      <w:pPr>
        <w:ind w:left="0" w:firstLine="0"/>
      </w:pPr>
      <w:rPr>
        <w:vertAlign w:val="baseline"/>
      </w:rPr>
    </w:lvl>
    <w:lvl w:ilvl="5">
      <w:start w:val="1"/>
      <w:numFmt w:val="decimal"/>
      <w:lvlText w:val="%1.%2.%3.%4.%5.%6."/>
      <w:lvlJc w:val="left"/>
      <w:pPr>
        <w:ind w:left="0" w:firstLine="0"/>
      </w:pPr>
      <w:rPr>
        <w:vertAlign w:val="baseline"/>
      </w:rPr>
    </w:lvl>
    <w:lvl w:ilvl="6">
      <w:start w:val="1"/>
      <w:numFmt w:val="decimal"/>
      <w:lvlText w:val="%1.%2.%3.%4.%5.%6.%7."/>
      <w:lvlJc w:val="left"/>
      <w:pPr>
        <w:ind w:left="0" w:firstLine="0"/>
      </w:pPr>
      <w:rPr>
        <w:vertAlign w:val="baseline"/>
      </w:rPr>
    </w:lvl>
    <w:lvl w:ilvl="7">
      <w:start w:val="1"/>
      <w:numFmt w:val="decimal"/>
      <w:lvlText w:val="%1.%2.%3.%4.%5.%6.%7.%8."/>
      <w:lvlJc w:val="left"/>
      <w:pPr>
        <w:ind w:left="0" w:firstLine="0"/>
      </w:pPr>
      <w:rPr>
        <w:vertAlign w:val="baseline"/>
      </w:rPr>
    </w:lvl>
    <w:lvl w:ilvl="8">
      <w:start w:val="1"/>
      <w:numFmt w:val="decimal"/>
      <w:lvlText w:val="%1.%2.%3.%4.%5.%6.%7.%8.%9."/>
      <w:lvlJc w:val="left"/>
      <w:pPr>
        <w:ind w:left="0" w:firstLine="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Calibri" w:cs="Calibri" w:eastAsia="Calibri" w:hAnsi="Calibri"/>
      <w:color w:val="2f5496"/>
      <w:sz w:val="40"/>
      <w:szCs w:val="40"/>
      <w:vertAlign w:val="baseline"/>
    </w:rPr>
  </w:style>
  <w:style w:type="paragraph" w:styleId="Heading2">
    <w:name w:val="heading 2"/>
    <w:basedOn w:val="Normal"/>
    <w:next w:val="Normal"/>
    <w:pPr>
      <w:keepNext w:val="1"/>
      <w:keepLines w:val="1"/>
      <w:spacing w:after="80" w:before="160" w:line="259" w:lineRule="auto"/>
    </w:pPr>
    <w:rPr>
      <w:rFonts w:ascii="Calibri" w:cs="Calibri" w:eastAsia="Calibri" w:hAnsi="Calibri"/>
      <w:color w:val="2f5496"/>
      <w:sz w:val="32"/>
      <w:szCs w:val="32"/>
      <w:vertAlign w:val="baseline"/>
    </w:rPr>
  </w:style>
  <w:style w:type="paragraph" w:styleId="Heading3">
    <w:name w:val="heading 3"/>
    <w:basedOn w:val="Normal"/>
    <w:next w:val="Normal"/>
    <w:pPr>
      <w:keepNext w:val="1"/>
      <w:keepLines w:val="1"/>
      <w:spacing w:after="80" w:before="160" w:line="259" w:lineRule="auto"/>
    </w:pPr>
    <w:rPr>
      <w:rFonts w:ascii="Calibri" w:cs="Calibri" w:eastAsia="Calibri" w:hAnsi="Calibri"/>
      <w:color w:val="2f5496"/>
      <w:sz w:val="28"/>
      <w:szCs w:val="28"/>
      <w:vertAlign w:val="baseline"/>
    </w:rPr>
  </w:style>
  <w:style w:type="paragraph" w:styleId="Heading4">
    <w:name w:val="heading 4"/>
    <w:basedOn w:val="Normal"/>
    <w:next w:val="Normal"/>
    <w:pPr>
      <w:keepNext w:val="1"/>
      <w:keepLines w:val="1"/>
      <w:spacing w:after="40" w:before="80" w:line="259" w:lineRule="auto"/>
    </w:pPr>
    <w:rPr>
      <w:rFonts w:ascii="Calibri" w:cs="Calibri" w:eastAsia="Calibri" w:hAnsi="Calibri"/>
      <w:i w:val="1"/>
      <w:iCs w:val="1"/>
      <w:color w:val="2f5496"/>
      <w:sz w:val="22"/>
      <w:szCs w:val="22"/>
      <w:vertAlign w:val="baseline"/>
    </w:rPr>
  </w:style>
  <w:style w:type="paragraph" w:styleId="Heading5">
    <w:name w:val="heading 5"/>
    <w:basedOn w:val="Normal"/>
    <w:next w:val="Normal"/>
    <w:pPr>
      <w:keepNext w:val="1"/>
      <w:keepLines w:val="1"/>
      <w:spacing w:after="40" w:before="80" w:line="259" w:lineRule="auto"/>
    </w:pPr>
    <w:rPr>
      <w:rFonts w:ascii="Calibri" w:cs="Calibri" w:eastAsia="Calibri" w:hAnsi="Calibri"/>
      <w:color w:val="2f5496"/>
      <w:sz w:val="22"/>
      <w:szCs w:val="22"/>
      <w:vertAlign w:val="baseline"/>
    </w:rPr>
  </w:style>
  <w:style w:type="paragraph" w:styleId="Heading6">
    <w:name w:val="heading 6"/>
    <w:basedOn w:val="Normal"/>
    <w:next w:val="Normal"/>
    <w:pPr>
      <w:keepNext w:val="1"/>
      <w:keepLines w:val="1"/>
      <w:spacing w:after="0" w:before="40" w:line="259" w:lineRule="auto"/>
    </w:pPr>
    <w:rPr>
      <w:rFonts w:ascii="Calibri" w:cs="Calibri" w:eastAsia="Calibri" w:hAnsi="Calibri"/>
      <w:i w:val="1"/>
      <w:iCs w:val="1"/>
      <w:color w:val="585858"/>
      <w:sz w:val="22"/>
      <w:szCs w:val="22"/>
      <w:vertAlign w:val="baseline"/>
    </w:rPr>
  </w:style>
  <w:style w:type="paragraph" w:styleId="Title">
    <w:name w:val="Title"/>
    <w:basedOn w:val="Normal"/>
    <w:next w:val="Normal"/>
    <w:pPr>
      <w:spacing w:after="80" w:line="240" w:lineRule="auto"/>
    </w:pPr>
    <w:rPr>
      <w:rFonts w:ascii="Calibri" w:cs="Calibri" w:eastAsia="Calibri" w:hAnsi="Calibri"/>
      <w:sz w:val="56"/>
      <w:szCs w:val="56"/>
      <w:vertAlign w:val="baseline"/>
    </w:rPr>
  </w:style>
  <w:style w:type="paragraph" w:styleId="Heading7">
    <w:name w:val="Heading 7"/>
    <w:basedOn w:val="Normal"/>
    <w:next w:val="Normal"/>
    <w:autoRedefine w:val="0"/>
    <w:hidden w:val="0"/>
    <w:qFormat w:val="0"/>
    <w:pPr>
      <w:keepNext w:val="1"/>
      <w:keepLines w:val="1"/>
      <w:suppressAutoHyphens w:val="0"/>
      <w:spacing w:after="0" w:before="40" w:line="259" w:lineRule="auto"/>
      <w:ind w:leftChars="-1" w:rightChars="0" w:firstLineChars="-1"/>
      <w:textDirection w:val="btLr"/>
      <w:textAlignment w:val="top"/>
      <w:outlineLvl w:val="6"/>
    </w:pPr>
    <w:rPr>
      <w:rFonts w:ascii="Calibri" w:cs="Times New Roman" w:eastAsia="DengXian Light" w:hAnsi="Calibri"/>
      <w:color w:val="585858"/>
      <w:w w:val="100"/>
      <w:kern w:val="2"/>
      <w:position w:val="-1"/>
      <w:sz w:val="22"/>
      <w:szCs w:val="22"/>
      <w:effect w:val="none"/>
      <w:vertAlign w:val="baseline"/>
      <w:cs w:val="0"/>
      <w:em w:val="none"/>
      <w:lang w:bidi="ar-SA" w:eastAsia="en-US" w:val="en-IN"/>
    </w:rPr>
  </w:style>
  <w:style w:type="paragraph" w:styleId="Heading8">
    <w:name w:val="Heading 8"/>
    <w:basedOn w:val="Normal"/>
    <w:next w:val="Normal"/>
    <w:autoRedefine w:val="0"/>
    <w:hidden w:val="0"/>
    <w:qFormat w:val="0"/>
    <w:pPr>
      <w:keepNext w:val="1"/>
      <w:keepLines w:val="1"/>
      <w:suppressAutoHyphens w:val="0"/>
      <w:spacing w:after="0" w:line="259" w:lineRule="auto"/>
      <w:ind w:leftChars="-1" w:rightChars="0" w:firstLineChars="-1"/>
      <w:textDirection w:val="btLr"/>
      <w:textAlignment w:val="top"/>
      <w:outlineLvl w:val="7"/>
    </w:pPr>
    <w:rPr>
      <w:rFonts w:ascii="Calibri" w:cs="Times New Roman" w:eastAsia="DengXian Light" w:hAnsi="Calibri"/>
      <w:i w:val="1"/>
      <w:iCs w:val="1"/>
      <w:color w:val="262626"/>
      <w:w w:val="100"/>
      <w:kern w:val="2"/>
      <w:position w:val="-1"/>
      <w:sz w:val="22"/>
      <w:szCs w:val="22"/>
      <w:effect w:val="none"/>
      <w:vertAlign w:val="baseline"/>
      <w:cs w:val="0"/>
      <w:em w:val="none"/>
      <w:lang w:bidi="ar-SA" w:eastAsia="en-US" w:val="en-IN"/>
    </w:rPr>
  </w:style>
  <w:style w:type="paragraph" w:styleId="Heading9">
    <w:name w:val="Heading 9"/>
    <w:basedOn w:val="Normal"/>
    <w:next w:val="Normal"/>
    <w:autoRedefine w:val="0"/>
    <w:hidden w:val="0"/>
    <w:qFormat w:val="0"/>
    <w:pPr>
      <w:keepNext w:val="1"/>
      <w:keepLines w:val="1"/>
      <w:suppressAutoHyphens w:val="0"/>
      <w:spacing w:after="0" w:line="259" w:lineRule="auto"/>
      <w:ind w:leftChars="-1" w:rightChars="0" w:firstLineChars="-1"/>
      <w:textDirection w:val="btLr"/>
      <w:textAlignment w:val="top"/>
      <w:outlineLvl w:val="8"/>
    </w:pPr>
    <w:rPr>
      <w:rFonts w:ascii="Calibri" w:cs="Times New Roman" w:eastAsia="DengXian Light" w:hAnsi="Calibri"/>
      <w:color w:val="262626"/>
      <w:w w:val="100"/>
      <w:kern w:val="2"/>
      <w:position w:val="-1"/>
      <w:sz w:val="22"/>
      <w:szCs w:val="22"/>
      <w:effect w:val="none"/>
      <w:vertAlign w:val="baseline"/>
      <w:cs w:val="0"/>
      <w:em w:val="none"/>
      <w:lang w:bidi="ar-SA" w:eastAsia="en-US" w:val="en-IN"/>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0">
    <w:name w:val="Table Normal"/>
    <w:next w:val="TableNormal0"/>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0"/>
      <w:jc w:val="left"/>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0"/>
    <w:pPr>
      <w:suppressAutoHyphens w:val="0"/>
      <w:spacing w:after="160" w:line="259" w:lineRule="auto"/>
      <w:ind w:leftChars="-1" w:rightChars="0" w:firstLineChars="-1"/>
      <w:textDirection w:val="btLr"/>
      <w:textAlignment w:val="top"/>
      <w:outlineLvl w:val="0"/>
    </w:pPr>
    <w:rPr>
      <w:rFonts w:ascii="Times New Roman" w:cs="Times New Roman" w:eastAsia="Calibri" w:hAnsi="Times New Roman"/>
      <w:w w:val="100"/>
      <w:kern w:val="2"/>
      <w:position w:val="-1"/>
      <w:sz w:val="24"/>
      <w:szCs w:val="24"/>
      <w:effect w:val="none"/>
      <w:vertAlign w:val="baseline"/>
      <w:cs w:val="0"/>
      <w:em w:val="none"/>
      <w:lang w:bidi="ar-SA" w:eastAsia="en-US" w:val="en-IN"/>
    </w:rPr>
  </w:style>
  <w:style w:type="table" w:styleId="TableGrid">
    <w:name w:val="Table Grid"/>
    <w:basedOn w:val="TableNormal"/>
    <w:next w:val="TableGrid"/>
    <w:autoRedefine w:val="0"/>
    <w:hidden w:val="0"/>
    <w:qFormat w:val="0"/>
    <w:pPr>
      <w:suppressAutoHyphens w:val="0"/>
      <w:spacing w:after="0" w:line="240" w:lineRule="auto"/>
      <w:ind w:leftChars="-1" w:rightChars="0" w:firstLineChars="-1"/>
      <w:textDirection w:val="btLr"/>
      <w:textAlignment w:val="top"/>
      <w:outlineLvl w:val="0"/>
    </w:pPr>
    <w:rPr>
      <w:w w:val="100"/>
      <w:position w:val="-1"/>
      <w:effect w:val="none"/>
      <w:vertAlign w:val="baseline"/>
      <w:cs w:val="0"/>
      <w:em w:val="none"/>
      <w:lang w:bidi="ar-SA" w:eastAsia="en-US" w:val="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
    <w:name w:val="Table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tblPr>
      <w:tblStyle w:val="TableNormal"/>
      <w:jc w:val="left"/>
      <w:tblCellMar>
        <w:top w:w="100.0" w:type="dxa"/>
        <w:left w:w="100.0" w:type="dxa"/>
        <w:bottom w:w="100.0" w:type="dxa"/>
        <w:right w:w="100.0" w:type="dxa"/>
      </w:tblCellMar>
    </w:tblPr>
  </w:style>
  <w:style w:type="table" w:styleId="TableNormal1">
    <w:name w:val="Table Normal1"/>
    <w:next w:val="TableNormal1"/>
    <w:autoRedefine w:val="0"/>
    <w:hidden w:val="0"/>
    <w:qFormat w:val="0"/>
    <w:pPr>
      <w:suppressAutoHyphens w:val="0"/>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tblPr>
      <w:tblStyle w:val="TableNormal1"/>
      <w:jc w:val="left"/>
      <w:tblCellMar>
        <w:top w:w="0.0" w:type="dxa"/>
        <w:left w:w="108.0" w:type="dxa"/>
        <w:bottom w:w="0.0" w:type="dxa"/>
        <w:right w:w="108.0" w:type="dxa"/>
      </w:tblCellMar>
    </w:tblPr>
  </w:style>
  <w:style w:type="character" w:styleId="Heading1Char">
    <w:name w:val="Heading 1 Char"/>
    <w:next w:val="Heading1Char"/>
    <w:autoRedefine w:val="0"/>
    <w:hidden w:val="0"/>
    <w:qFormat w:val="0"/>
    <w:rPr>
      <w:rFonts w:ascii="Calibri Light" w:cs="Times New Roman" w:eastAsia="DengXian Light" w:hAnsi="Calibri Light"/>
      <w:color w:val="2f5496"/>
      <w:w w:val="100"/>
      <w:position w:val="-1"/>
      <w:sz w:val="40"/>
      <w:szCs w:val="40"/>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DengXian Light" w:hAnsi="Calibri Light"/>
      <w:color w:val="2f5496"/>
      <w:w w:val="100"/>
      <w:position w:val="-1"/>
      <w:sz w:val="32"/>
      <w:szCs w:val="32"/>
      <w:effect w:val="none"/>
      <w:vertAlign w:val="baseline"/>
      <w:cs w:val="0"/>
      <w:em w:val="none"/>
      <w:lang/>
    </w:rPr>
  </w:style>
  <w:style w:type="character" w:styleId="Heading3Char">
    <w:name w:val="Heading 3 Char"/>
    <w:next w:val="Heading3Char"/>
    <w:autoRedefine w:val="0"/>
    <w:hidden w:val="0"/>
    <w:qFormat w:val="0"/>
    <w:rPr>
      <w:color w:val="2f5496"/>
      <w:w w:val="100"/>
      <w:position w:val="-1"/>
      <w:sz w:val="28"/>
      <w:szCs w:val="28"/>
      <w:effect w:val="none"/>
      <w:vertAlign w:val="baseline"/>
      <w:cs w:val="0"/>
      <w:em w:val="none"/>
      <w:lang/>
    </w:rPr>
  </w:style>
  <w:style w:type="character" w:styleId="Heading4Char">
    <w:name w:val="Heading 4 Char"/>
    <w:next w:val="Heading4Char"/>
    <w:autoRedefine w:val="0"/>
    <w:hidden w:val="0"/>
    <w:qFormat w:val="0"/>
    <w:rPr>
      <w:i w:val="1"/>
      <w:iCs w:val="1"/>
      <w:color w:val="2f5496"/>
      <w:w w:val="100"/>
      <w:position w:val="-1"/>
      <w:effect w:val="none"/>
      <w:vertAlign w:val="baseline"/>
      <w:cs w:val="0"/>
      <w:em w:val="none"/>
      <w:lang/>
    </w:rPr>
  </w:style>
  <w:style w:type="character" w:styleId="Heading5Char">
    <w:name w:val="Heading 5 Char"/>
    <w:next w:val="Heading5Char"/>
    <w:autoRedefine w:val="0"/>
    <w:hidden w:val="0"/>
    <w:qFormat w:val="0"/>
    <w:rPr>
      <w:color w:val="2f5496"/>
      <w:w w:val="100"/>
      <w:position w:val="-1"/>
      <w:effect w:val="none"/>
      <w:vertAlign w:val="baseline"/>
      <w:cs w:val="0"/>
      <w:em w:val="none"/>
      <w:lang/>
    </w:rPr>
  </w:style>
  <w:style w:type="character" w:styleId="Heading6Char">
    <w:name w:val="Heading 6 Char"/>
    <w:next w:val="Heading6Char"/>
    <w:autoRedefine w:val="0"/>
    <w:hidden w:val="0"/>
    <w:qFormat w:val="0"/>
    <w:rPr>
      <w:i w:val="1"/>
      <w:iCs w:val="1"/>
      <w:color w:val="585858"/>
      <w:w w:val="100"/>
      <w:position w:val="-1"/>
      <w:effect w:val="none"/>
      <w:vertAlign w:val="baseline"/>
      <w:cs w:val="0"/>
      <w:em w:val="none"/>
      <w:lang/>
    </w:rPr>
  </w:style>
  <w:style w:type="character" w:styleId="Heading7Char">
    <w:name w:val="Heading 7 Char"/>
    <w:next w:val="Heading7Char"/>
    <w:autoRedefine w:val="0"/>
    <w:hidden w:val="0"/>
    <w:qFormat w:val="0"/>
    <w:rPr>
      <w:color w:val="585858"/>
      <w:w w:val="100"/>
      <w:position w:val="-1"/>
      <w:effect w:val="none"/>
      <w:vertAlign w:val="baseline"/>
      <w:cs w:val="0"/>
      <w:em w:val="none"/>
      <w:lang/>
    </w:rPr>
  </w:style>
  <w:style w:type="character" w:styleId="Heading8Char">
    <w:name w:val="Heading 8 Char"/>
    <w:next w:val="Heading8Char"/>
    <w:autoRedefine w:val="0"/>
    <w:hidden w:val="0"/>
    <w:qFormat w:val="0"/>
    <w:rPr>
      <w:i w:val="1"/>
      <w:iCs w:val="1"/>
      <w:color w:val="262626"/>
      <w:w w:val="100"/>
      <w:position w:val="-1"/>
      <w:effect w:val="none"/>
      <w:vertAlign w:val="baseline"/>
      <w:cs w:val="0"/>
      <w:em w:val="none"/>
      <w:lang/>
    </w:rPr>
  </w:style>
  <w:style w:type="character" w:styleId="Heading9Char">
    <w:name w:val="Heading 9 Char"/>
    <w:next w:val="Heading9Char"/>
    <w:autoRedefine w:val="0"/>
    <w:hidden w:val="0"/>
    <w:qFormat w:val="0"/>
    <w:rPr>
      <w:color w:val="262626"/>
      <w:w w:val="100"/>
      <w:position w:val="-1"/>
      <w:effect w:val="none"/>
      <w:vertAlign w:val="baseline"/>
      <w:cs w:val="0"/>
      <w:em w:val="none"/>
      <w:lang/>
    </w:rPr>
  </w:style>
  <w:style w:type="character" w:styleId="SubtitleChar">
    <w:name w:val="Subtitle Char"/>
    <w:next w:val="SubtitleChar"/>
    <w:autoRedefine w:val="0"/>
    <w:hidden w:val="0"/>
    <w:qFormat w:val="0"/>
    <w:rPr>
      <w:color w:val="585858"/>
      <w:spacing w:val="15"/>
      <w:w w:val="100"/>
      <w:position w:val="-1"/>
      <w:sz w:val="28"/>
      <w:szCs w:val="28"/>
      <w:effect w:val="none"/>
      <w:vertAlign w:val="baseline"/>
      <w:cs w:val="0"/>
      <w:em w:val="none"/>
      <w:lang/>
    </w:rPr>
  </w:style>
  <w:style w:type="character" w:styleId="TitleChar">
    <w:name w:val="Title Char"/>
    <w:next w:val="TitleChar"/>
    <w:autoRedefine w:val="0"/>
    <w:hidden w:val="0"/>
    <w:qFormat w:val="0"/>
    <w:rPr>
      <w:rFonts w:ascii="Calibri Light" w:cs="Times New Roman" w:eastAsia="DengXian Light" w:hAnsi="Calibri Light"/>
      <w:spacing w:val="-10"/>
      <w:w w:val="100"/>
      <w:kern w:val="28"/>
      <w:position w:val="-1"/>
      <w:sz w:val="56"/>
      <w:szCs w:val="56"/>
      <w:effect w:val="none"/>
      <w:vertAlign w:val="baseline"/>
      <w:cs w:val="0"/>
      <w:em w:val="none"/>
      <w:lang/>
    </w:rPr>
  </w:style>
  <w:style w:type="paragraph" w:styleId="Quote">
    <w:name w:val="Quote"/>
    <w:basedOn w:val="Normal"/>
    <w:next w:val="Normal"/>
    <w:autoRedefine w:val="0"/>
    <w:hidden w:val="0"/>
    <w:qFormat w:val="0"/>
    <w:pPr>
      <w:suppressAutoHyphens w:val="0"/>
      <w:spacing w:after="160" w:before="160" w:line="259" w:lineRule="auto"/>
      <w:ind w:leftChars="-1" w:rightChars="0" w:firstLineChars="-1"/>
      <w:jc w:val="center"/>
      <w:textDirection w:val="btLr"/>
      <w:textAlignment w:val="top"/>
      <w:outlineLvl w:val="0"/>
    </w:pPr>
    <w:rPr>
      <w:rFonts w:ascii="Calibri" w:cs="Times New Roman" w:eastAsia="Calibri" w:hAnsi="Calibri"/>
      <w:i w:val="1"/>
      <w:iCs w:val="1"/>
      <w:color w:val="3f3f3f"/>
      <w:w w:val="100"/>
      <w:kern w:val="2"/>
      <w:position w:val="-1"/>
      <w:sz w:val="22"/>
      <w:szCs w:val="22"/>
      <w:effect w:val="none"/>
      <w:vertAlign w:val="baseline"/>
      <w:cs w:val="0"/>
      <w:em w:val="none"/>
      <w:lang w:bidi="ar-SA" w:eastAsia="en-US" w:val="en-IN"/>
    </w:rPr>
  </w:style>
  <w:style w:type="character" w:styleId="QuoteChar">
    <w:name w:val="Quote Char"/>
    <w:next w:val="QuoteChar"/>
    <w:autoRedefine w:val="0"/>
    <w:hidden w:val="0"/>
    <w:qFormat w:val="0"/>
    <w:rPr>
      <w:i w:val="1"/>
      <w:iCs w:val="1"/>
      <w:color w:val="3f3f3f"/>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0"/>
      <w:spacing w:after="160" w:line="259" w:lineRule="auto"/>
      <w:ind w:left="720" w:leftChars="-1" w:rightChars="0" w:firstLineChars="-1"/>
      <w:contextualSpacing w:val="1"/>
      <w:textDirection w:val="btLr"/>
      <w:textAlignment w:val="top"/>
      <w:outlineLvl w:val="0"/>
    </w:pPr>
    <w:rPr>
      <w:rFonts w:ascii="Calibri" w:cs="Times New Roman" w:eastAsia="Calibri" w:hAnsi="Calibri"/>
      <w:w w:val="100"/>
      <w:kern w:val="2"/>
      <w:position w:val="-1"/>
      <w:sz w:val="22"/>
      <w:szCs w:val="22"/>
      <w:effect w:val="none"/>
      <w:vertAlign w:val="baseline"/>
      <w:cs w:val="0"/>
      <w:em w:val="none"/>
      <w:lang w:bidi="ar-SA" w:eastAsia="en-US" w:val="en-IN"/>
    </w:rPr>
  </w:style>
  <w:style w:type="character" w:styleId="IntenseEmphasis">
    <w:name w:val="Intense Emphasis"/>
    <w:next w:val="IntenseEmphasis"/>
    <w:autoRedefine w:val="0"/>
    <w:hidden w:val="0"/>
    <w:qFormat w:val="0"/>
    <w:rPr>
      <w:i w:val="1"/>
      <w:iCs w:val="1"/>
      <w:color w:val="2f5496"/>
      <w:w w:val="100"/>
      <w:position w:val="-1"/>
      <w:effect w:val="none"/>
      <w:vertAlign w:val="baseline"/>
      <w:cs w:val="0"/>
      <w:em w:val="none"/>
      <w:lang/>
    </w:rPr>
  </w:style>
  <w:style w:type="paragraph" w:styleId="IntenseQuote">
    <w:name w:val="Intense Quote"/>
    <w:basedOn w:val="Normal"/>
    <w:next w:val="Normal"/>
    <w:autoRedefine w:val="0"/>
    <w:hidden w:val="0"/>
    <w:qFormat w:val="0"/>
    <w:pPr>
      <w:pBdr>
        <w:top w:color="2f5496" w:space="10" w:sz="4" w:val="single"/>
        <w:bottom w:color="2f5496" w:space="10" w:sz="4" w:val="single"/>
      </w:pBdr>
      <w:suppressAutoHyphens w:val="0"/>
      <w:spacing w:after="360" w:before="360" w:line="259" w:lineRule="auto"/>
      <w:ind w:left="864" w:right="864" w:leftChars="-1" w:rightChars="0" w:firstLineChars="-1"/>
      <w:jc w:val="center"/>
      <w:textDirection w:val="btLr"/>
      <w:textAlignment w:val="top"/>
      <w:outlineLvl w:val="0"/>
    </w:pPr>
    <w:rPr>
      <w:rFonts w:ascii="Calibri" w:cs="Times New Roman" w:eastAsia="Calibri" w:hAnsi="Calibri"/>
      <w:i w:val="1"/>
      <w:iCs w:val="1"/>
      <w:color w:val="2f5496"/>
      <w:w w:val="100"/>
      <w:kern w:val="2"/>
      <w:position w:val="-1"/>
      <w:sz w:val="22"/>
      <w:szCs w:val="22"/>
      <w:effect w:val="none"/>
      <w:vertAlign w:val="baseline"/>
      <w:cs w:val="0"/>
      <w:em w:val="none"/>
      <w:lang w:bidi="ar-SA" w:eastAsia="en-US" w:val="en-IN"/>
    </w:rPr>
  </w:style>
  <w:style w:type="character" w:styleId="IntenseQuoteChar">
    <w:name w:val="Intense Quote Char"/>
    <w:next w:val="IntenseQuoteChar"/>
    <w:autoRedefine w:val="0"/>
    <w:hidden w:val="0"/>
    <w:qFormat w:val="0"/>
    <w:rPr>
      <w:i w:val="1"/>
      <w:iCs w:val="1"/>
      <w:color w:val="2f5496"/>
      <w:w w:val="100"/>
      <w:position w:val="-1"/>
      <w:effect w:val="none"/>
      <w:vertAlign w:val="baseline"/>
      <w:cs w:val="0"/>
      <w:em w:val="none"/>
      <w:lang/>
    </w:rPr>
  </w:style>
  <w:style w:type="character" w:styleId="IntenseReference">
    <w:name w:val="Intense Reference"/>
    <w:next w:val="IntenseReference"/>
    <w:autoRedefine w:val="0"/>
    <w:hidden w:val="0"/>
    <w:qFormat w:val="0"/>
    <w:rPr>
      <w:b w:val="1"/>
      <w:bCs w:val="1"/>
      <w:smallCaps w:val="1"/>
      <w:color w:val="2f5496"/>
      <w:spacing w:val="5"/>
      <w:w w:val="100"/>
      <w:position w:val="-1"/>
      <w:effect w:val="none"/>
      <w:vertAlign w:val="baseline"/>
      <w:cs w:val="0"/>
      <w:em w:val="none"/>
      <w:lang/>
    </w:rPr>
  </w:style>
  <w:style w:type="character" w:styleId="PlaceholderText">
    <w:name w:val="Placeholder Text"/>
    <w:next w:val="PlaceholderText"/>
    <w:autoRedefine w:val="0"/>
    <w:hidden w:val="0"/>
    <w:qFormat w:val="0"/>
    <w:rPr>
      <w:color w:val="666666"/>
      <w:w w:val="100"/>
      <w:position w:val="-1"/>
      <w:effect w:val="none"/>
      <w:vertAlign w:val="baseline"/>
      <w:cs w:val="0"/>
      <w:em w:val="none"/>
      <w:lang/>
    </w:rPr>
  </w:style>
  <w:style w:type="table" w:styleId="_Style37">
    <w:name w:val="_Style 37"/>
    <w:basedOn w:val="TableNormal"/>
    <w:next w:val="_Style37"/>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bidi="ar-SA" w:eastAsia="en-US" w:val="en-US"/>
    </w:rPr>
    <w:tblPr>
      <w:tblStyle w:val="_Style37"/>
      <w:jc w:val="left"/>
      <w:tblCellMar>
        <w:top w:w="0.0" w:type="dxa"/>
        <w:left w:w="108.0" w:type="dxa"/>
        <w:bottom w:w="0.0" w:type="dxa"/>
        <w:right w:w="108.0" w:type="dxa"/>
      </w:tblCellMar>
    </w:tblPr>
  </w:style>
  <w:style w:type="table" w:styleId="_Style38">
    <w:name w:val="_Style 38"/>
    <w:basedOn w:val="TableNormal"/>
    <w:next w:val="_Style38"/>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bidi="ar-SA" w:eastAsia="en-US" w:val="en-US"/>
    </w:rPr>
    <w:tblPr>
      <w:tblStyle w:val="_Style38"/>
      <w:jc w:val="left"/>
      <w:tblCellMar>
        <w:top w:w="0.0" w:type="dxa"/>
        <w:left w:w="108.0" w:type="dxa"/>
        <w:bottom w:w="0.0" w:type="dxa"/>
        <w:right w:w="108.0" w:type="dxa"/>
      </w:tblCellMar>
    </w:tbl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IN"/>
    </w:rPr>
  </w:style>
  <w:style w:type="character" w:styleId="HeaderChar">
    <w:name w:val="Header Char"/>
    <w:next w:val="HeaderChar"/>
    <w:autoRedefine w:val="0"/>
    <w:hidden w:val="0"/>
    <w:qFormat w:val="0"/>
    <w:rPr>
      <w:w w:val="100"/>
      <w:position w:val="-1"/>
      <w:sz w:val="22"/>
      <w:szCs w:val="22"/>
      <w:effect w:val="none"/>
      <w:vertAlign w:val="baseline"/>
      <w:cs w:val="0"/>
      <w:em w:val="none"/>
      <w:lang w:val="en-IN"/>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IN"/>
    </w:rPr>
  </w:style>
  <w:style w:type="character" w:styleId="FooterChar">
    <w:name w:val="Footer Char"/>
    <w:next w:val="FooterChar"/>
    <w:autoRedefine w:val="0"/>
    <w:hidden w:val="0"/>
    <w:qFormat w:val="0"/>
    <w:rPr>
      <w:w w:val="100"/>
      <w:position w:val="-1"/>
      <w:sz w:val="22"/>
      <w:szCs w:val="22"/>
      <w:effect w:val="none"/>
      <w:vertAlign w:val="baseline"/>
      <w:cs w:val="0"/>
      <w:em w:val="none"/>
      <w:lang w:val="en-IN"/>
    </w:rPr>
  </w:style>
  <w:style w:type="paragraph" w:styleId="Subtitle">
    <w:name w:val="Subtitle"/>
    <w:basedOn w:val="Normal"/>
    <w:next w:val="Normal"/>
    <w:pPr>
      <w:spacing w:after="160" w:line="259" w:lineRule="auto"/>
    </w:pPr>
    <w:rPr>
      <w:rFonts w:ascii="Calibri" w:cs="Calibri" w:eastAsia="Calibri" w:hAnsi="Calibri"/>
      <w:color w:val="585858"/>
      <w:sz w:val="28"/>
      <w:szCs w:val="28"/>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7.jpg"/><Relationship Id="rId22" Type="http://schemas.openxmlformats.org/officeDocument/2006/relationships/footer" Target="footer2.xml"/><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9.png"/><Relationship Id="rId17" Type="http://schemas.openxmlformats.org/officeDocument/2006/relationships/header" Target="header3.xml"/><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38oE+jIziaFiuf8ASlLfKvyvUw==">CgMxLjAyDmgubmVma3JwbzBobWVpOAByITFtNkFDUVgtUmRaWjFHYmxrWXF0OHhjYmZ1aTg0alpZUQ==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2026-01-09T02:52:00Z</dcterms:created>
  <dc:creator>priya040721@gmail.com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1033-12.2.0.23196</vt:lpstr>
  </property>
  <property fmtid="{D5CDD505-2E9C-101B-9397-08002B2CF9AE}" pid="3" name="ICV">
    <vt:lpstr>C21FFDF20FBF489EAE762B5F3F155316_13</vt:lpstr>
  </property>
</Properties>
</file>