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5A89" w14:textId="10B624FB" w:rsidR="00754C9A" w:rsidRDefault="000B5B40" w:rsidP="00441B6F">
      <w:pPr>
        <w:pStyle w:val="Title"/>
        <w:spacing w:after="0"/>
        <w:jc w:val="both"/>
        <w:rPr>
          <w:rFonts w:ascii="Arial" w:hAnsi="Arial" w:cs="Arial"/>
          <w:sz w:val="32"/>
          <w:szCs w:val="18"/>
          <w:u w:val="single"/>
        </w:rPr>
      </w:pPr>
      <w:r w:rsidRPr="000B5B40">
        <w:rPr>
          <w:rFonts w:ascii="Arial" w:hAnsi="Arial" w:cs="Arial"/>
          <w:sz w:val="32"/>
          <w:szCs w:val="18"/>
          <w:u w:val="single"/>
        </w:rPr>
        <w:t>Original Research Article</w:t>
      </w:r>
    </w:p>
    <w:p w14:paraId="0C74BE64" w14:textId="77777777" w:rsidR="000B5B40" w:rsidRPr="000B5B40" w:rsidRDefault="000B5B40" w:rsidP="00441B6F">
      <w:pPr>
        <w:pStyle w:val="Title"/>
        <w:spacing w:after="0"/>
        <w:jc w:val="both"/>
        <w:rPr>
          <w:rFonts w:ascii="Arial" w:hAnsi="Arial" w:cs="Arial"/>
          <w:sz w:val="32"/>
          <w:szCs w:val="18"/>
          <w:u w:val="single"/>
        </w:rPr>
      </w:pPr>
    </w:p>
    <w:p w14:paraId="4AE69CF8" w14:textId="1AB5FDF5" w:rsidR="000B5B40" w:rsidRPr="000B5B40" w:rsidRDefault="000B5B40" w:rsidP="00441B6F">
      <w:pPr>
        <w:pStyle w:val="Author"/>
        <w:spacing w:line="240" w:lineRule="auto"/>
        <w:rPr>
          <w:rFonts w:ascii="Arial" w:hAnsi="Arial" w:cs="Arial"/>
          <w:sz w:val="32"/>
          <w:szCs w:val="24"/>
        </w:rPr>
      </w:pPr>
      <w:r w:rsidRPr="000B5B40">
        <w:rPr>
          <w:rFonts w:ascii="Arial" w:hAnsi="Arial" w:cs="Arial"/>
          <w:sz w:val="32"/>
          <w:szCs w:val="24"/>
        </w:rPr>
        <w:t xml:space="preserve">Effect of Chemical Fertilizers on Growth Dynamics and Survival of </w:t>
      </w:r>
      <w:r w:rsidRPr="006D35A3">
        <w:rPr>
          <w:rFonts w:ascii="Arial" w:hAnsi="Arial" w:cs="Arial"/>
          <w:i/>
          <w:iCs/>
          <w:sz w:val="32"/>
          <w:szCs w:val="24"/>
        </w:rPr>
        <w:t>Eisenia fetida</w:t>
      </w:r>
      <w:r w:rsidRPr="000B5B40">
        <w:rPr>
          <w:rFonts w:ascii="Arial" w:hAnsi="Arial" w:cs="Arial"/>
          <w:sz w:val="32"/>
          <w:szCs w:val="24"/>
        </w:rPr>
        <w:t>: A Ecotoxicological Assessment</w:t>
      </w:r>
    </w:p>
    <w:p w14:paraId="128FE877" w14:textId="77777777" w:rsidR="000B5B40" w:rsidRDefault="000B5B40" w:rsidP="00441B6F">
      <w:pPr>
        <w:pStyle w:val="Author"/>
        <w:spacing w:line="240" w:lineRule="auto"/>
        <w:rPr>
          <w:rFonts w:ascii="Arial" w:hAnsi="Arial" w:cs="Arial"/>
        </w:rPr>
      </w:pPr>
    </w:p>
    <w:p w14:paraId="6FB359F9" w14:textId="11336856" w:rsidR="000B5B40" w:rsidRPr="000B5B40" w:rsidRDefault="000B5B40" w:rsidP="000B5B40">
      <w:pPr>
        <w:pStyle w:val="Affiliation"/>
        <w:rPr>
          <w:rFonts w:ascii="Arial" w:hAnsi="Arial" w:cs="Arial"/>
        </w:rPr>
      </w:pPr>
    </w:p>
    <w:p w14:paraId="539801CC" w14:textId="77777777" w:rsidR="000B5B40" w:rsidRDefault="000B5B40" w:rsidP="00441B6F">
      <w:pPr>
        <w:pStyle w:val="Affiliation"/>
        <w:spacing w:after="0" w:line="240" w:lineRule="auto"/>
        <w:jc w:val="both"/>
        <w:rPr>
          <w:rFonts w:ascii="Arial" w:hAnsi="Arial" w:cs="Arial"/>
        </w:rPr>
      </w:pPr>
    </w:p>
    <w:p w14:paraId="75359FFA" w14:textId="77777777" w:rsidR="002C57D2" w:rsidRPr="001C2EF0" w:rsidRDefault="002C57D2" w:rsidP="001C2EF0">
      <w:pPr>
        <w:jc w:val="both"/>
        <w:rPr>
          <w:rFonts w:ascii="Arial" w:hAnsi="Arial" w:cs="Arial"/>
        </w:rPr>
      </w:pPr>
    </w:p>
    <w:p w14:paraId="25473514" w14:textId="27ED2527" w:rsidR="00B01FCD" w:rsidRPr="00FB3A86" w:rsidRDefault="00BE567F" w:rsidP="00441B6F">
      <w:pPr>
        <w:pStyle w:val="Copyright"/>
        <w:spacing w:after="0" w:line="240" w:lineRule="auto"/>
        <w:jc w:val="both"/>
        <w:rPr>
          <w:rFonts w:ascii="Arial" w:hAnsi="Arial" w:cs="Arial"/>
        </w:rPr>
        <w:sectPr w:rsidR="00B01FCD" w:rsidRPr="00FB3A86" w:rsidSect="006223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D27248" wp14:editId="669CC98D">
                <wp:extent cx="5303520" cy="635"/>
                <wp:effectExtent l="9525" t="9525" r="11430" b="9525"/>
                <wp:docPr id="19585742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F664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CC1276" w14:textId="2712B75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ED1CAC" w14:textId="77777777" w:rsidR="00790ADA" w:rsidRPr="00FB3A86" w:rsidRDefault="00790ADA" w:rsidP="00441B6F">
      <w:pPr>
        <w:pStyle w:val="AbstHead"/>
        <w:spacing w:after="0"/>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376F9" w14:paraId="324D8242" w14:textId="77777777" w:rsidTr="006D35A3">
        <w:trPr>
          <w:trHeight w:val="5237"/>
        </w:trPr>
        <w:tc>
          <w:tcPr>
            <w:tcW w:w="5000" w:type="pct"/>
            <w:shd w:val="clear" w:color="auto" w:fill="F2F2F2"/>
            <w:tcMar>
              <w:left w:w="43" w:type="dxa"/>
              <w:right w:w="43" w:type="dxa"/>
            </w:tcMar>
          </w:tcPr>
          <w:p w14:paraId="7DB9F520" w14:textId="77777777" w:rsidR="00E3114E" w:rsidRPr="00B376F9" w:rsidRDefault="00E3114E" w:rsidP="0021748F">
            <w:pPr>
              <w:keepLines/>
              <w:rPr>
                <w:rFonts w:eastAsia="Calibri"/>
              </w:rPr>
            </w:pPr>
          </w:p>
          <w:p w14:paraId="708E10ED" w14:textId="4620DC44" w:rsidR="006D35A3" w:rsidRPr="006D35A3" w:rsidRDefault="006D35A3" w:rsidP="006D35A3">
            <w:pPr>
              <w:keepLines/>
              <w:suppressAutoHyphens/>
              <w:jc w:val="both"/>
              <w:rPr>
                <w:rFonts w:ascii="Arial" w:eastAsia="Calibri" w:hAnsi="Arial" w:cs="Arial"/>
              </w:rPr>
            </w:pPr>
            <w:r w:rsidRPr="006D35A3">
              <w:rPr>
                <w:rFonts w:ascii="Arial" w:eastAsia="Calibri" w:hAnsi="Arial" w:cs="Arial"/>
                <w:b/>
                <w:bCs/>
              </w:rPr>
              <w:t>Aims:</w:t>
            </w:r>
            <w:r w:rsidRPr="006D35A3">
              <w:rPr>
                <w:rFonts w:ascii="Arial" w:eastAsia="Calibri" w:hAnsi="Arial" w:cs="Arial"/>
              </w:rPr>
              <w:t xml:space="preserve"> Soil biota, </w:t>
            </w:r>
            <w:r w:rsidR="00561731">
              <w:rPr>
                <w:rFonts w:ascii="Arial" w:eastAsia="Calibri" w:hAnsi="Arial" w:cs="Arial"/>
              </w:rPr>
              <w:t xml:space="preserve">particularly </w:t>
            </w:r>
            <w:r w:rsidRPr="006D35A3">
              <w:rPr>
                <w:rFonts w:ascii="Arial" w:eastAsia="Calibri" w:hAnsi="Arial" w:cs="Arial"/>
              </w:rPr>
              <w:t>the earthworms that are essential to soil ecosystem health and functioning, are suffering from the intensive use of chemical fertilizers on modern agriculture. In the present study, effects of four fertilizers namely urea, NPK (15:15:15), NPK (10:26:26) and superphosphates</w:t>
            </w:r>
            <w:r>
              <w:rPr>
                <w:rFonts w:ascii="Arial" w:eastAsia="Calibri" w:hAnsi="Arial" w:cs="Arial"/>
              </w:rPr>
              <w:t>,</w:t>
            </w:r>
            <w:r w:rsidRPr="006D35A3">
              <w:rPr>
                <w:rFonts w:ascii="Arial" w:eastAsia="Calibri" w:hAnsi="Arial" w:cs="Arial"/>
              </w:rPr>
              <w:t xml:space="preserve"> on the growth and survival of </w:t>
            </w:r>
            <w:r w:rsidRPr="006D35A3">
              <w:rPr>
                <w:rFonts w:ascii="Arial" w:eastAsia="Calibri" w:hAnsi="Arial" w:cs="Arial"/>
                <w:i/>
                <w:iCs/>
              </w:rPr>
              <w:t>Eisenia fetida</w:t>
            </w:r>
            <w:r w:rsidRPr="006D35A3">
              <w:rPr>
                <w:rFonts w:ascii="Arial" w:eastAsia="Calibri" w:hAnsi="Arial" w:cs="Arial"/>
              </w:rPr>
              <w:t xml:space="preserve"> were evaluated.  </w:t>
            </w:r>
          </w:p>
          <w:p w14:paraId="152C3A3A" w14:textId="15D68F12" w:rsidR="006D35A3" w:rsidRPr="006D35A3" w:rsidRDefault="006D35A3" w:rsidP="006D35A3">
            <w:pPr>
              <w:keepLines/>
              <w:suppressAutoHyphens/>
              <w:jc w:val="both"/>
              <w:rPr>
                <w:rFonts w:ascii="Arial" w:eastAsia="Calibri" w:hAnsi="Arial" w:cs="Arial"/>
              </w:rPr>
            </w:pPr>
            <w:r w:rsidRPr="006D35A3">
              <w:rPr>
                <w:rFonts w:ascii="Arial" w:eastAsia="Calibri" w:hAnsi="Arial" w:cs="Arial"/>
                <w:b/>
                <w:bCs/>
              </w:rPr>
              <w:t>Study design:</w:t>
            </w:r>
            <w:r w:rsidRPr="006D35A3">
              <w:rPr>
                <w:rFonts w:ascii="Arial" w:eastAsia="Calibri" w:hAnsi="Arial" w:cs="Arial"/>
              </w:rPr>
              <w:t xml:space="preserve">  Specimens of </w:t>
            </w:r>
            <w:r w:rsidRPr="006D35A3">
              <w:rPr>
                <w:rFonts w:ascii="Arial" w:eastAsia="Calibri" w:hAnsi="Arial" w:cs="Arial"/>
                <w:i/>
                <w:iCs/>
              </w:rPr>
              <w:t>Eisenia fetida</w:t>
            </w:r>
            <w:r w:rsidRPr="006D35A3">
              <w:rPr>
                <w:rFonts w:ascii="Arial" w:eastAsia="Calibri" w:hAnsi="Arial" w:cs="Arial"/>
              </w:rPr>
              <w:t xml:space="preserve"> collected from a vermiculture unit in Ahmednagar district, Maharashtra, India</w:t>
            </w:r>
            <w:r>
              <w:rPr>
                <w:rFonts w:ascii="Arial" w:eastAsia="Calibri" w:hAnsi="Arial" w:cs="Arial"/>
              </w:rPr>
              <w:t>,</w:t>
            </w:r>
            <w:r w:rsidRPr="006D35A3">
              <w:rPr>
                <w:rFonts w:ascii="Arial" w:eastAsia="Calibri" w:hAnsi="Arial" w:cs="Arial"/>
              </w:rPr>
              <w:t xml:space="preserve"> were acclimatized under laboratory conditions </w:t>
            </w:r>
            <w:r>
              <w:rPr>
                <w:rFonts w:ascii="Arial" w:eastAsia="Calibri" w:hAnsi="Arial" w:cs="Arial"/>
              </w:rPr>
              <w:t>before</w:t>
            </w:r>
            <w:r w:rsidRPr="006D35A3">
              <w:rPr>
                <w:rFonts w:ascii="Arial" w:eastAsia="Calibri" w:hAnsi="Arial" w:cs="Arial"/>
              </w:rPr>
              <w:t xml:space="preserve"> experimentation. The effects of select</w:t>
            </w:r>
            <w:r>
              <w:rPr>
                <w:rFonts w:ascii="Arial" w:eastAsia="Calibri" w:hAnsi="Arial" w:cs="Arial"/>
              </w:rPr>
              <w:t>ed</w:t>
            </w:r>
            <w:r w:rsidRPr="006D35A3">
              <w:rPr>
                <w:rFonts w:ascii="Arial" w:eastAsia="Calibri" w:hAnsi="Arial" w:cs="Arial"/>
              </w:rPr>
              <w:t xml:space="preserve"> fertilizers were evaluated over 11 weeks for the parameters such as biomass reduction and mortality.</w:t>
            </w:r>
          </w:p>
          <w:p w14:paraId="5CC28CB9" w14:textId="67A7B1E7" w:rsidR="006D35A3" w:rsidRPr="006D35A3" w:rsidRDefault="006D35A3" w:rsidP="006D35A3">
            <w:pPr>
              <w:keepLines/>
              <w:suppressAutoHyphens/>
              <w:jc w:val="both"/>
              <w:rPr>
                <w:rFonts w:ascii="Arial" w:eastAsia="Calibri" w:hAnsi="Arial" w:cs="Arial"/>
              </w:rPr>
            </w:pPr>
            <w:r w:rsidRPr="006D35A3">
              <w:rPr>
                <w:rFonts w:ascii="Arial" w:eastAsia="Calibri" w:hAnsi="Arial" w:cs="Arial"/>
                <w:b/>
                <w:bCs/>
              </w:rPr>
              <w:t>Methodology:</w:t>
            </w:r>
            <w:r w:rsidRPr="006D35A3">
              <w:rPr>
                <w:rFonts w:ascii="Arial" w:eastAsia="Calibri" w:hAnsi="Arial" w:cs="Arial"/>
              </w:rPr>
              <w:t xml:space="preserve"> To study the effects of treatment and periodic growth trends, statistical techniques such as one-way ANOVA, linear regression, and descriptive statistics were used.</w:t>
            </w:r>
          </w:p>
          <w:p w14:paraId="2E9D8441" w14:textId="448F0EFD" w:rsidR="006D35A3" w:rsidRPr="006D35A3" w:rsidRDefault="006D35A3" w:rsidP="006D35A3">
            <w:pPr>
              <w:keepLines/>
              <w:suppressAutoHyphens/>
              <w:jc w:val="both"/>
              <w:rPr>
                <w:rFonts w:ascii="Arial" w:eastAsia="Calibri" w:hAnsi="Arial" w:cs="Arial"/>
              </w:rPr>
            </w:pPr>
            <w:r w:rsidRPr="006D35A3">
              <w:rPr>
                <w:rFonts w:ascii="Arial" w:eastAsia="Calibri" w:hAnsi="Arial" w:cs="Arial"/>
                <w:b/>
                <w:bCs/>
              </w:rPr>
              <w:t>Results:</w:t>
            </w:r>
            <w:r w:rsidRPr="006D35A3">
              <w:rPr>
                <w:rFonts w:ascii="Arial" w:eastAsia="Calibri" w:hAnsi="Arial" w:cs="Arial"/>
              </w:rPr>
              <w:t xml:space="preserve"> The findings showed that the treatments vary significantly (F = 5.77, p &lt; 0.01). With a high negative growth trend (R</w:t>
            </w:r>
            <w:r w:rsidRPr="006D35A3">
              <w:rPr>
                <w:rFonts w:ascii="Arial" w:eastAsia="Calibri" w:hAnsi="Arial" w:cs="Arial"/>
                <w:vertAlign w:val="superscript"/>
              </w:rPr>
              <w:t>2</w:t>
            </w:r>
            <w:r w:rsidRPr="006D35A3">
              <w:rPr>
                <w:rFonts w:ascii="Arial" w:eastAsia="Calibri" w:hAnsi="Arial" w:cs="Arial"/>
              </w:rPr>
              <w:t xml:space="preserve"> = 0.922) and a loss in biomass of 72.10% and mortality of 48%, urea demonstrated significant toxicity. A slight decrease in biomass without significant mortality was indicative of the moderate sublethal stress caused by NPK fertilizers. Superphosphate, on the other hand, supported biomass gain (19.15%) that was either equal to or greater than control conditions and had no harmful consequences.</w:t>
            </w:r>
          </w:p>
          <w:p w14:paraId="6AF0C8A0" w14:textId="11F14C7E" w:rsidR="00505F06" w:rsidRPr="00B376F9" w:rsidRDefault="006D35A3" w:rsidP="006D35A3">
            <w:pPr>
              <w:keepLines/>
              <w:suppressAutoHyphens/>
              <w:jc w:val="both"/>
              <w:rPr>
                <w:rFonts w:eastAsia="Calibri"/>
              </w:rPr>
            </w:pPr>
            <w:r w:rsidRPr="006D35A3">
              <w:rPr>
                <w:rFonts w:ascii="Arial" w:eastAsia="Calibri" w:hAnsi="Arial" w:cs="Arial"/>
                <w:b/>
                <w:bCs/>
              </w:rPr>
              <w:t>Conclusion:</w:t>
            </w:r>
            <w:r w:rsidRPr="006D35A3">
              <w:rPr>
                <w:rFonts w:ascii="Arial" w:eastAsia="Calibri" w:hAnsi="Arial" w:cs="Arial"/>
              </w:rPr>
              <w:t xml:space="preserve"> The results emphasize the ecological risks associated with excessive use of nitrogenous fertilizers and show a clear gradient of toxicity (urea &gt; NPK &gt; superphosphate ≈ control). In order to maintain soil biodiversity and functionality, this study highlights the necessity of careful fertilizer management and encourages the use of environmentally friendly substitutes.</w:t>
            </w:r>
          </w:p>
        </w:tc>
      </w:tr>
    </w:tbl>
    <w:p w14:paraId="1BE55253" w14:textId="77777777" w:rsidR="00A265F6" w:rsidRDefault="00A265F6" w:rsidP="00BE567F">
      <w:pPr>
        <w:pStyle w:val="Body"/>
        <w:spacing w:after="0"/>
        <w:rPr>
          <w:rFonts w:ascii="Arial" w:hAnsi="Arial" w:cs="Arial"/>
          <w:i/>
        </w:rPr>
      </w:pPr>
    </w:p>
    <w:p w14:paraId="0896DB7F" w14:textId="63324DF3" w:rsidR="00A24E7E" w:rsidRDefault="00A24E7E" w:rsidP="00BE567F">
      <w:pPr>
        <w:pStyle w:val="Body"/>
        <w:spacing w:after="0"/>
        <w:rPr>
          <w:rFonts w:ascii="Arial" w:hAnsi="Arial" w:cs="Arial"/>
          <w:i/>
        </w:rPr>
      </w:pPr>
      <w:r>
        <w:rPr>
          <w:rFonts w:ascii="Arial" w:hAnsi="Arial" w:cs="Arial"/>
          <w:i/>
        </w:rPr>
        <w:t xml:space="preserve">Keywords: </w:t>
      </w:r>
      <w:r w:rsidR="00392DC1" w:rsidRPr="00392DC1">
        <w:rPr>
          <w:rFonts w:ascii="Arial" w:hAnsi="Arial" w:cs="Arial"/>
          <w:i/>
        </w:rPr>
        <w:t xml:space="preserve">Earthworms, </w:t>
      </w:r>
      <w:r w:rsidR="00BE567F" w:rsidRPr="00BE567F">
        <w:rPr>
          <w:rFonts w:ascii="Arial" w:hAnsi="Arial" w:cs="Arial"/>
          <w:i/>
          <w:iCs/>
        </w:rPr>
        <w:t>Eisenia fetida</w:t>
      </w:r>
      <w:r w:rsidR="00392DC1" w:rsidRPr="00392DC1">
        <w:rPr>
          <w:rFonts w:ascii="Arial" w:hAnsi="Arial" w:cs="Arial"/>
          <w:i/>
        </w:rPr>
        <w:t>, fertilizers, urea toxicity, ANOVA, regression analysis, soil ecology</w:t>
      </w:r>
    </w:p>
    <w:p w14:paraId="19B73D3A" w14:textId="77777777" w:rsidR="00BE567F" w:rsidRDefault="00BE567F" w:rsidP="00BE567F">
      <w:pPr>
        <w:pStyle w:val="Body"/>
        <w:spacing w:after="0"/>
        <w:rPr>
          <w:rFonts w:ascii="Arial" w:hAnsi="Arial" w:cs="Arial"/>
          <w:i/>
        </w:rPr>
      </w:pPr>
    </w:p>
    <w:p w14:paraId="67EA61E2" w14:textId="7A3A1A29" w:rsidR="007F7B32" w:rsidRDefault="00902823" w:rsidP="00BE567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5BA0307" w14:textId="77777777" w:rsidR="00790ADA" w:rsidRPr="00FB3A86" w:rsidRDefault="00790ADA" w:rsidP="00441B6F">
      <w:pPr>
        <w:pStyle w:val="AbstHead"/>
        <w:spacing w:after="0"/>
        <w:jc w:val="both"/>
        <w:rPr>
          <w:rFonts w:ascii="Arial" w:hAnsi="Arial" w:cs="Arial"/>
        </w:rPr>
      </w:pPr>
    </w:p>
    <w:p w14:paraId="38AB695B" w14:textId="5F7A867C" w:rsidR="00BE567F" w:rsidRDefault="00392DC1" w:rsidP="001C2EF0">
      <w:pPr>
        <w:pStyle w:val="AbstHead"/>
        <w:spacing w:after="0"/>
        <w:jc w:val="both"/>
        <w:rPr>
          <w:rFonts w:ascii="Arial" w:hAnsi="Arial" w:cs="Arial"/>
          <w:b w:val="0"/>
          <w:caps w:val="0"/>
          <w:sz w:val="20"/>
        </w:rPr>
      </w:pPr>
      <w:r w:rsidRPr="00392DC1">
        <w:rPr>
          <w:rFonts w:ascii="Arial" w:hAnsi="Arial" w:cs="Arial"/>
          <w:b w:val="0"/>
          <w:caps w:val="0"/>
          <w:sz w:val="20"/>
        </w:rPr>
        <w:t xml:space="preserve">Soil and other soil ecosystems play an important role in terrestrial life through nutrient cycling, organic matter decomposition, and microbial interactions that form the basis of a complex system. Earthworms are one of the soil organisms that have significant impacts on the structure, aeration, and fertility of soil (Edwards </w:t>
      </w:r>
      <w:r w:rsidR="0001020A">
        <w:rPr>
          <w:rFonts w:ascii="Arial" w:hAnsi="Arial" w:cs="Arial"/>
          <w:b w:val="0"/>
          <w:caps w:val="0"/>
          <w:sz w:val="20"/>
        </w:rPr>
        <w:t>et al., 1</w:t>
      </w:r>
      <w:r w:rsidRPr="00392DC1">
        <w:rPr>
          <w:rFonts w:ascii="Arial" w:hAnsi="Arial" w:cs="Arial"/>
          <w:b w:val="0"/>
          <w:caps w:val="0"/>
          <w:sz w:val="20"/>
        </w:rPr>
        <w:t xml:space="preserve">996; </w:t>
      </w:r>
      <w:proofErr w:type="spellStart"/>
      <w:r w:rsidRPr="00392DC1">
        <w:rPr>
          <w:rFonts w:ascii="Arial" w:hAnsi="Arial" w:cs="Arial"/>
          <w:b w:val="0"/>
          <w:caps w:val="0"/>
          <w:sz w:val="20"/>
        </w:rPr>
        <w:t>Sizmur</w:t>
      </w:r>
      <w:proofErr w:type="spellEnd"/>
      <w:r w:rsidRPr="00392DC1">
        <w:rPr>
          <w:rFonts w:ascii="Arial" w:hAnsi="Arial" w:cs="Arial"/>
          <w:b w:val="0"/>
          <w:caps w:val="0"/>
          <w:sz w:val="20"/>
        </w:rPr>
        <w:t xml:space="preserve"> et al., 2011</w:t>
      </w:r>
      <w:r w:rsidR="00E26C6C">
        <w:rPr>
          <w:rFonts w:ascii="Arial" w:hAnsi="Arial" w:cs="Arial"/>
          <w:b w:val="0"/>
          <w:caps w:val="0"/>
          <w:sz w:val="20"/>
        </w:rPr>
        <w:t xml:space="preserve">a; </w:t>
      </w:r>
      <w:r w:rsidR="00E26C6C" w:rsidRPr="00392DC1">
        <w:rPr>
          <w:rFonts w:ascii="Arial" w:hAnsi="Arial" w:cs="Arial"/>
          <w:b w:val="0"/>
          <w:caps w:val="0"/>
          <w:sz w:val="20"/>
        </w:rPr>
        <w:t>Sizmur et al., 2011</w:t>
      </w:r>
      <w:r w:rsidR="00E26C6C">
        <w:rPr>
          <w:rFonts w:ascii="Arial" w:hAnsi="Arial" w:cs="Arial"/>
          <w:b w:val="0"/>
          <w:caps w:val="0"/>
          <w:sz w:val="20"/>
        </w:rPr>
        <w:t>b</w:t>
      </w:r>
      <w:r w:rsidRPr="00392DC1">
        <w:rPr>
          <w:rFonts w:ascii="Arial" w:hAnsi="Arial" w:cs="Arial"/>
          <w:b w:val="0"/>
          <w:caps w:val="0"/>
          <w:sz w:val="20"/>
        </w:rPr>
        <w:t>), thereby earning them the label “ecosystem engineers.”</w:t>
      </w:r>
      <w:r w:rsidR="00E26C6C">
        <w:rPr>
          <w:rFonts w:ascii="Arial" w:hAnsi="Arial" w:cs="Arial"/>
          <w:b w:val="0"/>
          <w:caps w:val="0"/>
          <w:sz w:val="20"/>
        </w:rPr>
        <w:t xml:space="preserve"> Out of more than 3000 species identified for vermicomposting, </w:t>
      </w:r>
      <w:r w:rsidR="00BE567F" w:rsidRPr="00BE567F">
        <w:rPr>
          <w:rFonts w:ascii="Arial" w:hAnsi="Arial" w:cs="Arial"/>
          <w:b w:val="0"/>
          <w:i/>
          <w:iCs/>
          <w:caps w:val="0"/>
          <w:sz w:val="20"/>
        </w:rPr>
        <w:t>Eisenia fetida</w:t>
      </w:r>
      <w:r w:rsidR="00E26C6C">
        <w:rPr>
          <w:rFonts w:ascii="Arial" w:hAnsi="Arial" w:cs="Arial"/>
          <w:b w:val="0"/>
          <w:caps w:val="0"/>
          <w:sz w:val="20"/>
        </w:rPr>
        <w:t xml:space="preserve"> is considered as one of the most suitable species (Ahmad et al., 2021).</w:t>
      </w:r>
      <w:r w:rsidR="0001020A" w:rsidRPr="0001020A">
        <w:rPr>
          <w:rFonts w:ascii="Arial" w:hAnsi="Arial" w:cs="Arial"/>
          <w:b w:val="0"/>
          <w:i/>
          <w:iCs/>
          <w:caps w:val="0"/>
          <w:sz w:val="20"/>
        </w:rPr>
        <w:t xml:space="preserve"> </w:t>
      </w:r>
      <w:r w:rsidR="0001020A" w:rsidRPr="00BE567F">
        <w:rPr>
          <w:rFonts w:ascii="Arial" w:hAnsi="Arial" w:cs="Arial"/>
          <w:b w:val="0"/>
          <w:i/>
          <w:iCs/>
          <w:caps w:val="0"/>
          <w:sz w:val="20"/>
        </w:rPr>
        <w:t>E</w:t>
      </w:r>
      <w:r w:rsidR="0001020A">
        <w:rPr>
          <w:rFonts w:ascii="Arial" w:hAnsi="Arial" w:cs="Arial"/>
          <w:b w:val="0"/>
          <w:i/>
          <w:iCs/>
          <w:caps w:val="0"/>
          <w:sz w:val="20"/>
        </w:rPr>
        <w:t>.</w:t>
      </w:r>
      <w:r w:rsidR="0001020A" w:rsidRPr="00BE567F">
        <w:rPr>
          <w:rFonts w:ascii="Arial" w:hAnsi="Arial" w:cs="Arial"/>
          <w:b w:val="0"/>
          <w:i/>
          <w:iCs/>
          <w:caps w:val="0"/>
          <w:sz w:val="20"/>
        </w:rPr>
        <w:t xml:space="preserve"> fetida</w:t>
      </w:r>
      <w:r w:rsidR="0001020A" w:rsidRPr="00392DC1">
        <w:rPr>
          <w:rFonts w:ascii="Arial" w:hAnsi="Arial" w:cs="Arial"/>
          <w:b w:val="0"/>
          <w:caps w:val="0"/>
          <w:sz w:val="20"/>
        </w:rPr>
        <w:t xml:space="preserve"> is an epigeic species that is frequently used in </w:t>
      </w:r>
      <w:r w:rsidR="0001020A" w:rsidRPr="00392DC1">
        <w:rPr>
          <w:rFonts w:ascii="Arial" w:hAnsi="Arial" w:cs="Arial"/>
          <w:b w:val="0"/>
          <w:caps w:val="0"/>
          <w:sz w:val="20"/>
        </w:rPr>
        <w:lastRenderedPageBreak/>
        <w:t xml:space="preserve">ecotoxicological assays because of its sensitivity to environmental contaminants and its important role in organic matter decomposition (Munnoli et al., 2010). </w:t>
      </w:r>
      <w:r w:rsidR="0001020A">
        <w:rPr>
          <w:rFonts w:ascii="Arial" w:hAnsi="Arial" w:cs="Arial"/>
          <w:b w:val="0"/>
          <w:caps w:val="0"/>
          <w:sz w:val="20"/>
        </w:rPr>
        <w:t xml:space="preserve">Further, </w:t>
      </w:r>
      <w:r w:rsidR="0001020A" w:rsidRPr="00EA3670">
        <w:rPr>
          <w:rFonts w:ascii="Arial" w:hAnsi="Arial" w:cs="Arial"/>
          <w:b w:val="0"/>
          <w:i/>
          <w:iCs/>
          <w:caps w:val="0"/>
          <w:sz w:val="20"/>
        </w:rPr>
        <w:t>E. fetida</w:t>
      </w:r>
      <w:r w:rsidR="0001020A">
        <w:rPr>
          <w:rFonts w:ascii="Arial" w:hAnsi="Arial" w:cs="Arial"/>
          <w:b w:val="0"/>
          <w:caps w:val="0"/>
          <w:sz w:val="20"/>
        </w:rPr>
        <w:t xml:space="preserve"> is more vulnerable to nitrogen fertilizers as compared to some other species such as </w:t>
      </w:r>
      <w:proofErr w:type="spellStart"/>
      <w:r w:rsidR="0001020A" w:rsidRPr="0098155B">
        <w:rPr>
          <w:rFonts w:ascii="Arial" w:hAnsi="Arial" w:cs="Arial"/>
          <w:b w:val="0"/>
          <w:i/>
          <w:iCs/>
          <w:caps w:val="0"/>
          <w:sz w:val="20"/>
        </w:rPr>
        <w:t>Aporrectodea</w:t>
      </w:r>
      <w:proofErr w:type="spellEnd"/>
      <w:r w:rsidR="0001020A" w:rsidRPr="0098155B">
        <w:rPr>
          <w:rFonts w:ascii="Arial" w:hAnsi="Arial" w:cs="Arial"/>
          <w:b w:val="0"/>
          <w:i/>
          <w:iCs/>
          <w:caps w:val="0"/>
          <w:sz w:val="20"/>
        </w:rPr>
        <w:t xml:space="preserve"> spp.</w:t>
      </w:r>
      <w:r w:rsidR="0001020A">
        <w:rPr>
          <w:rFonts w:ascii="Arial" w:hAnsi="Arial" w:cs="Arial"/>
          <w:b w:val="0"/>
          <w:caps w:val="0"/>
          <w:sz w:val="20"/>
        </w:rPr>
        <w:t xml:space="preserve"> (Adnan and Farman,2025).</w:t>
      </w:r>
    </w:p>
    <w:p w14:paraId="544E9966" w14:textId="77777777" w:rsidR="00BE567F" w:rsidRDefault="00BE567F" w:rsidP="00BE567F">
      <w:pPr>
        <w:pStyle w:val="AbstHead"/>
        <w:spacing w:after="0"/>
        <w:jc w:val="both"/>
        <w:rPr>
          <w:rFonts w:ascii="Arial" w:hAnsi="Arial" w:cs="Arial"/>
          <w:b w:val="0"/>
          <w:caps w:val="0"/>
          <w:sz w:val="20"/>
        </w:rPr>
      </w:pPr>
    </w:p>
    <w:p w14:paraId="4349B005" w14:textId="0AD12503" w:rsidR="00BE567F" w:rsidRDefault="00392DC1" w:rsidP="00BE567F">
      <w:pPr>
        <w:pStyle w:val="AbstHead"/>
        <w:spacing w:after="0"/>
        <w:jc w:val="both"/>
        <w:rPr>
          <w:rFonts w:ascii="Arial" w:hAnsi="Arial" w:cs="Arial"/>
          <w:b w:val="0"/>
          <w:caps w:val="0"/>
          <w:sz w:val="20"/>
        </w:rPr>
      </w:pPr>
      <w:r w:rsidRPr="00392DC1">
        <w:rPr>
          <w:rFonts w:ascii="Arial" w:hAnsi="Arial" w:cs="Arial"/>
          <w:b w:val="0"/>
          <w:caps w:val="0"/>
          <w:sz w:val="20"/>
        </w:rPr>
        <w:t>Earthworms increase microbial activity by fragmenting organic matter, which enhances the mineralization of nutrients (Lavelle et al., 2006).</w:t>
      </w:r>
      <w:r w:rsidR="00E63D58">
        <w:rPr>
          <w:rFonts w:ascii="Arial" w:hAnsi="Arial" w:cs="Arial"/>
          <w:b w:val="0"/>
          <w:caps w:val="0"/>
          <w:sz w:val="20"/>
        </w:rPr>
        <w:t xml:space="preserve"> </w:t>
      </w:r>
      <w:r w:rsidR="0001020A">
        <w:rPr>
          <w:rFonts w:ascii="Arial" w:hAnsi="Arial" w:cs="Arial"/>
          <w:b w:val="0"/>
          <w:caps w:val="0"/>
          <w:sz w:val="20"/>
        </w:rPr>
        <w:t xml:space="preserve">Use of </w:t>
      </w:r>
      <w:proofErr w:type="spellStart"/>
      <w:r w:rsidR="0001020A">
        <w:rPr>
          <w:rFonts w:ascii="Arial" w:hAnsi="Arial" w:cs="Arial"/>
          <w:b w:val="0"/>
          <w:caps w:val="0"/>
          <w:sz w:val="20"/>
        </w:rPr>
        <w:t>vermitea</w:t>
      </w:r>
      <w:proofErr w:type="spellEnd"/>
      <w:r w:rsidR="0001020A">
        <w:rPr>
          <w:rFonts w:ascii="Arial" w:hAnsi="Arial" w:cs="Arial"/>
          <w:b w:val="0"/>
          <w:caps w:val="0"/>
          <w:sz w:val="20"/>
        </w:rPr>
        <w:t xml:space="preserve"> for better crop production as compared to chemical fertilizers has been reported by Aslam et al., 2020 and Kulkarni et al., 1996.</w:t>
      </w:r>
      <w:r w:rsidR="0001020A">
        <w:rPr>
          <w:rFonts w:ascii="Arial" w:hAnsi="Arial" w:cs="Arial"/>
          <w:b w:val="0"/>
          <w:caps w:val="0"/>
          <w:sz w:val="20"/>
        </w:rPr>
        <w:t xml:space="preserve"> </w:t>
      </w:r>
      <w:r w:rsidR="00E63D58">
        <w:rPr>
          <w:rFonts w:ascii="Arial" w:hAnsi="Arial" w:cs="Arial"/>
          <w:b w:val="0"/>
          <w:caps w:val="0"/>
          <w:sz w:val="20"/>
        </w:rPr>
        <w:t xml:space="preserve">Earthworms also increase the proportion of </w:t>
      </w:r>
      <w:r w:rsidR="00626189">
        <w:rPr>
          <w:rFonts w:ascii="Arial" w:hAnsi="Arial" w:cs="Arial"/>
          <w:b w:val="0"/>
          <w:caps w:val="0"/>
          <w:sz w:val="20"/>
        </w:rPr>
        <w:t>macroaggregates</w:t>
      </w:r>
      <w:r w:rsidR="00E63D58">
        <w:rPr>
          <w:rFonts w:ascii="Arial" w:hAnsi="Arial" w:cs="Arial"/>
          <w:b w:val="0"/>
          <w:caps w:val="0"/>
          <w:sz w:val="20"/>
        </w:rPr>
        <w:t xml:space="preserve"> in soil; however, Nitrogen fertilization impacts the soil aggregates negatively (Cai et al., 2020).</w:t>
      </w:r>
      <w:r w:rsidR="004C6257">
        <w:rPr>
          <w:rFonts w:ascii="Arial" w:hAnsi="Arial" w:cs="Arial"/>
          <w:b w:val="0"/>
          <w:caps w:val="0"/>
          <w:sz w:val="20"/>
        </w:rPr>
        <w:t xml:space="preserve"> </w:t>
      </w:r>
    </w:p>
    <w:p w14:paraId="4D31E0C7" w14:textId="77777777" w:rsidR="00BE567F" w:rsidRDefault="00BE567F" w:rsidP="00BE567F">
      <w:pPr>
        <w:pStyle w:val="AbstHead"/>
        <w:spacing w:after="0"/>
        <w:jc w:val="both"/>
        <w:rPr>
          <w:rFonts w:ascii="Arial" w:hAnsi="Arial" w:cs="Arial"/>
          <w:b w:val="0"/>
          <w:caps w:val="0"/>
          <w:sz w:val="20"/>
        </w:rPr>
      </w:pPr>
    </w:p>
    <w:p w14:paraId="23B71C72" w14:textId="6F030B15" w:rsidR="00BE567F" w:rsidRDefault="003535E5" w:rsidP="00BE567F">
      <w:pPr>
        <w:pStyle w:val="AbstHead"/>
        <w:spacing w:after="0"/>
        <w:jc w:val="both"/>
        <w:rPr>
          <w:rFonts w:ascii="Arial" w:hAnsi="Arial" w:cs="Arial"/>
          <w:b w:val="0"/>
          <w:caps w:val="0"/>
          <w:sz w:val="20"/>
        </w:rPr>
      </w:pPr>
      <w:r>
        <w:rPr>
          <w:rFonts w:ascii="Arial" w:hAnsi="Arial" w:cs="Arial"/>
          <w:b w:val="0"/>
          <w:caps w:val="0"/>
          <w:sz w:val="20"/>
        </w:rPr>
        <w:t>Agricultural practices affect the earthworms directly or indirectly (</w:t>
      </w:r>
      <w:r w:rsidRPr="003535E5">
        <w:rPr>
          <w:rFonts w:ascii="Arial" w:hAnsi="Arial" w:cs="Arial"/>
          <w:b w:val="0"/>
          <w:caps w:val="0"/>
          <w:sz w:val="20"/>
        </w:rPr>
        <w:t>Lofs-Holmin</w:t>
      </w:r>
      <w:r>
        <w:rPr>
          <w:rFonts w:ascii="Arial" w:hAnsi="Arial" w:cs="Arial"/>
          <w:b w:val="0"/>
          <w:caps w:val="0"/>
          <w:sz w:val="20"/>
        </w:rPr>
        <w:t xml:space="preserve">, 1983). </w:t>
      </w:r>
      <w:r w:rsidR="00392DC1" w:rsidRPr="00392DC1">
        <w:rPr>
          <w:rFonts w:ascii="Arial" w:hAnsi="Arial" w:cs="Arial"/>
          <w:b w:val="0"/>
          <w:caps w:val="0"/>
          <w:sz w:val="20"/>
        </w:rPr>
        <w:t xml:space="preserve">A growing dependence on chemical </w:t>
      </w:r>
      <w:r w:rsidR="00C63111">
        <w:rPr>
          <w:rFonts w:ascii="Arial" w:hAnsi="Arial" w:cs="Arial"/>
          <w:b w:val="0"/>
          <w:caps w:val="0"/>
          <w:sz w:val="20"/>
        </w:rPr>
        <w:t>fertilizers</w:t>
      </w:r>
      <w:r w:rsidR="00392DC1" w:rsidRPr="00392DC1">
        <w:rPr>
          <w:rFonts w:ascii="Arial" w:hAnsi="Arial" w:cs="Arial"/>
          <w:b w:val="0"/>
          <w:caps w:val="0"/>
          <w:sz w:val="20"/>
        </w:rPr>
        <w:t xml:space="preserve">, especially nitrogen-based compounds like urea, has resulted from the worldwide demand for food production. Although these </w:t>
      </w:r>
      <w:r w:rsidR="00E63D58">
        <w:rPr>
          <w:rFonts w:ascii="Arial" w:hAnsi="Arial" w:cs="Arial"/>
          <w:b w:val="0"/>
          <w:caps w:val="0"/>
          <w:sz w:val="20"/>
        </w:rPr>
        <w:t>fertilizers</w:t>
      </w:r>
      <w:r w:rsidR="00392DC1" w:rsidRPr="00392DC1">
        <w:rPr>
          <w:rFonts w:ascii="Arial" w:hAnsi="Arial" w:cs="Arial"/>
          <w:b w:val="0"/>
          <w:caps w:val="0"/>
          <w:sz w:val="20"/>
        </w:rPr>
        <w:t xml:space="preserve"> increase crop yield, </w:t>
      </w:r>
      <w:r w:rsidR="00C63111">
        <w:rPr>
          <w:rFonts w:ascii="Arial" w:hAnsi="Arial" w:cs="Arial"/>
          <w:b w:val="0"/>
          <w:caps w:val="0"/>
          <w:sz w:val="20"/>
        </w:rPr>
        <w:t>their overuse</w:t>
      </w:r>
      <w:r w:rsidR="00392DC1" w:rsidRPr="00392DC1">
        <w:rPr>
          <w:rFonts w:ascii="Arial" w:hAnsi="Arial" w:cs="Arial"/>
          <w:b w:val="0"/>
          <w:caps w:val="0"/>
          <w:sz w:val="20"/>
        </w:rPr>
        <w:t xml:space="preserve"> damages soil physicochemical characteristics and negatively impacts soil organisms (Singh &amp; Gupta, 2018; Liang et al., 2007).</w:t>
      </w:r>
      <w:r w:rsidR="00392DC1">
        <w:rPr>
          <w:rFonts w:ascii="Arial" w:hAnsi="Arial" w:cs="Arial"/>
          <w:b w:val="0"/>
          <w:caps w:val="0"/>
          <w:sz w:val="20"/>
        </w:rPr>
        <w:t xml:space="preserve"> </w:t>
      </w:r>
      <w:r w:rsidR="00C63111">
        <w:rPr>
          <w:rFonts w:ascii="Arial" w:hAnsi="Arial" w:cs="Arial"/>
          <w:b w:val="0"/>
          <w:caps w:val="0"/>
          <w:sz w:val="20"/>
        </w:rPr>
        <w:t xml:space="preserve">To cope up with the increasing population and their demands, the overuse of fertilizers is unavoidable (Naveed et al., 2014). </w:t>
      </w:r>
      <w:r w:rsidR="00392DC1" w:rsidRPr="00392DC1">
        <w:rPr>
          <w:rFonts w:ascii="Arial" w:hAnsi="Arial" w:cs="Arial"/>
          <w:b w:val="0"/>
          <w:caps w:val="0"/>
          <w:sz w:val="20"/>
        </w:rPr>
        <w:t>Nitrogen fertilizers can cause physiological stress and mortality in earthworms by changing soil pH, increasing ammonia toxicity, and upsetting osmotic balance (</w:t>
      </w:r>
      <w:r w:rsidR="00EA3670">
        <w:rPr>
          <w:rFonts w:ascii="Arial" w:hAnsi="Arial" w:cs="Arial"/>
          <w:b w:val="0"/>
          <w:caps w:val="0"/>
          <w:sz w:val="20"/>
        </w:rPr>
        <w:t xml:space="preserve">Ma et al., 1990; </w:t>
      </w:r>
      <w:r w:rsidR="00392DC1" w:rsidRPr="00392DC1">
        <w:rPr>
          <w:rFonts w:ascii="Arial" w:hAnsi="Arial" w:cs="Arial"/>
          <w:b w:val="0"/>
          <w:caps w:val="0"/>
          <w:sz w:val="20"/>
        </w:rPr>
        <w:t>Rai et al., 2014; Rani, 2016).</w:t>
      </w:r>
      <w:r w:rsidR="00392DC1">
        <w:rPr>
          <w:rFonts w:ascii="Arial" w:hAnsi="Arial" w:cs="Arial"/>
          <w:b w:val="0"/>
          <w:caps w:val="0"/>
          <w:sz w:val="20"/>
        </w:rPr>
        <w:t xml:space="preserve"> </w:t>
      </w:r>
      <w:r w:rsidR="00392DC1" w:rsidRPr="00392DC1">
        <w:rPr>
          <w:rFonts w:ascii="Arial" w:hAnsi="Arial" w:cs="Arial"/>
          <w:b w:val="0"/>
          <w:caps w:val="0"/>
          <w:sz w:val="20"/>
        </w:rPr>
        <w:t xml:space="preserve">On the contrary, while phosphorus-based </w:t>
      </w:r>
      <w:r w:rsidR="00E63D58">
        <w:rPr>
          <w:rFonts w:ascii="Arial" w:hAnsi="Arial" w:cs="Arial"/>
          <w:b w:val="0"/>
          <w:caps w:val="0"/>
          <w:sz w:val="20"/>
        </w:rPr>
        <w:t>fertilizers</w:t>
      </w:r>
      <w:r w:rsidR="00392DC1" w:rsidRPr="00392DC1">
        <w:rPr>
          <w:rFonts w:ascii="Arial" w:hAnsi="Arial" w:cs="Arial"/>
          <w:b w:val="0"/>
          <w:caps w:val="0"/>
          <w:sz w:val="20"/>
        </w:rPr>
        <w:t>, such as superphosphate, are frequently thought to be less harmful, extended exposure to them may still have an impact on soil fauna (Bhattacharya &amp; Sahu, 2015).</w:t>
      </w:r>
    </w:p>
    <w:p w14:paraId="38A84897" w14:textId="77777777" w:rsidR="00BE567F" w:rsidRDefault="00BE567F" w:rsidP="00BE567F">
      <w:pPr>
        <w:pStyle w:val="AbstHead"/>
        <w:spacing w:after="0"/>
        <w:jc w:val="both"/>
        <w:rPr>
          <w:rFonts w:ascii="Arial" w:hAnsi="Arial" w:cs="Arial"/>
          <w:b w:val="0"/>
          <w:caps w:val="0"/>
          <w:sz w:val="20"/>
        </w:rPr>
      </w:pPr>
    </w:p>
    <w:p w14:paraId="2458E6CC" w14:textId="77777777" w:rsidR="00555333" w:rsidRDefault="00392DC1" w:rsidP="00555333">
      <w:pPr>
        <w:pStyle w:val="AbstHead"/>
        <w:spacing w:after="0"/>
        <w:jc w:val="both"/>
        <w:rPr>
          <w:rFonts w:ascii="Arial" w:hAnsi="Arial" w:cs="Arial"/>
          <w:b w:val="0"/>
          <w:caps w:val="0"/>
          <w:sz w:val="20"/>
        </w:rPr>
      </w:pPr>
      <w:r w:rsidRPr="00392DC1">
        <w:rPr>
          <w:rFonts w:ascii="Arial" w:hAnsi="Arial" w:cs="Arial"/>
          <w:b w:val="0"/>
          <w:caps w:val="0"/>
          <w:sz w:val="20"/>
        </w:rPr>
        <w:t xml:space="preserve">Inconsistencies about the relative toxicity of various </w:t>
      </w:r>
      <w:r w:rsidR="00626189">
        <w:rPr>
          <w:rFonts w:ascii="Arial" w:hAnsi="Arial" w:cs="Arial"/>
          <w:b w:val="0"/>
          <w:caps w:val="0"/>
          <w:sz w:val="20"/>
        </w:rPr>
        <w:t>fertilizers</w:t>
      </w:r>
      <w:r w:rsidRPr="00392DC1">
        <w:rPr>
          <w:rFonts w:ascii="Arial" w:hAnsi="Arial" w:cs="Arial"/>
          <w:b w:val="0"/>
          <w:caps w:val="0"/>
          <w:sz w:val="20"/>
        </w:rPr>
        <w:t xml:space="preserve"> persist despite a large number of studies. In order to better understand growth trends and toxicity patterns, this study attempts to provide a comparative assessment using statistical tools like standard deviation and regression analysis.</w:t>
      </w:r>
      <w:r w:rsidR="00555333">
        <w:rPr>
          <w:rFonts w:ascii="Arial" w:hAnsi="Arial" w:cs="Arial"/>
          <w:b w:val="0"/>
          <w:caps w:val="0"/>
          <w:sz w:val="20"/>
        </w:rPr>
        <w:t xml:space="preserve"> </w:t>
      </w:r>
    </w:p>
    <w:p w14:paraId="134AFE13" w14:textId="2C23BAE7" w:rsidR="00555333" w:rsidRPr="00555333" w:rsidRDefault="00555333" w:rsidP="00555333">
      <w:pPr>
        <w:pStyle w:val="AbstHead"/>
        <w:spacing w:before="240" w:after="0"/>
        <w:jc w:val="both"/>
        <w:rPr>
          <w:rFonts w:ascii="Arial" w:hAnsi="Arial" w:cs="Arial"/>
          <w:b w:val="0"/>
          <w:caps w:val="0"/>
          <w:sz w:val="20"/>
        </w:rPr>
      </w:pPr>
      <w:r w:rsidRPr="00555333">
        <w:rPr>
          <w:rFonts w:ascii="Arial" w:hAnsi="Arial" w:cs="Arial"/>
          <w:b w:val="0"/>
          <w:caps w:val="0"/>
          <w:sz w:val="20"/>
        </w:rPr>
        <w:t xml:space="preserve">Therefore, the main goal of the study is to use statistical and ecotoxicological techniques to assess and compare the effects of specific chemical fertilizers (urea, NPK 15:15:15, NPK 10:26:26, and superphosphate) on the growth dynamics (biomass changes) and survival (mortality) of </w:t>
      </w:r>
      <w:r w:rsidRPr="00555333">
        <w:rPr>
          <w:rFonts w:ascii="Arial" w:hAnsi="Arial" w:cs="Arial"/>
          <w:b w:val="0"/>
          <w:i/>
          <w:iCs/>
          <w:caps w:val="0"/>
          <w:sz w:val="20"/>
        </w:rPr>
        <w:t>E</w:t>
      </w:r>
      <w:r w:rsidR="0001020A">
        <w:rPr>
          <w:rFonts w:ascii="Arial" w:hAnsi="Arial" w:cs="Arial"/>
          <w:b w:val="0"/>
          <w:i/>
          <w:iCs/>
          <w:caps w:val="0"/>
          <w:sz w:val="20"/>
        </w:rPr>
        <w:t>.</w:t>
      </w:r>
      <w:r w:rsidRPr="00555333">
        <w:rPr>
          <w:rFonts w:ascii="Arial" w:hAnsi="Arial" w:cs="Arial"/>
          <w:b w:val="0"/>
          <w:i/>
          <w:iCs/>
          <w:caps w:val="0"/>
          <w:sz w:val="20"/>
        </w:rPr>
        <w:t xml:space="preserve"> fetida</w:t>
      </w:r>
      <w:r w:rsidRPr="00555333">
        <w:rPr>
          <w:rFonts w:ascii="Arial" w:hAnsi="Arial" w:cs="Arial"/>
          <w:b w:val="0"/>
          <w:caps w:val="0"/>
          <w:sz w:val="20"/>
        </w:rPr>
        <w:t xml:space="preserve"> under controlled experimental conditions. The study also </w:t>
      </w:r>
      <w:r>
        <w:rPr>
          <w:rFonts w:ascii="Arial" w:hAnsi="Arial" w:cs="Arial"/>
          <w:b w:val="0"/>
          <w:caps w:val="0"/>
          <w:sz w:val="20"/>
        </w:rPr>
        <w:t>aims to</w:t>
      </w:r>
      <w:r w:rsidRPr="00555333">
        <w:rPr>
          <w:rFonts w:ascii="Arial" w:hAnsi="Arial" w:cs="Arial"/>
          <w:b w:val="0"/>
          <w:caps w:val="0"/>
          <w:sz w:val="20"/>
        </w:rPr>
        <w:t>:</w:t>
      </w:r>
    </w:p>
    <w:p w14:paraId="3F01DDEB" w14:textId="77777777" w:rsidR="00555333" w:rsidRPr="00555333" w:rsidRDefault="00555333" w:rsidP="00555333">
      <w:pPr>
        <w:pStyle w:val="AbstHead"/>
        <w:numPr>
          <w:ilvl w:val="0"/>
          <w:numId w:val="37"/>
        </w:numPr>
        <w:spacing w:after="0"/>
        <w:jc w:val="both"/>
        <w:rPr>
          <w:rFonts w:ascii="Arial" w:hAnsi="Arial" w:cs="Arial"/>
          <w:b w:val="0"/>
          <w:caps w:val="0"/>
          <w:sz w:val="20"/>
        </w:rPr>
      </w:pPr>
      <w:r w:rsidRPr="00555333">
        <w:rPr>
          <w:rFonts w:ascii="Arial" w:hAnsi="Arial" w:cs="Arial"/>
          <w:b w:val="0"/>
          <w:caps w:val="0"/>
          <w:sz w:val="20"/>
        </w:rPr>
        <w:t>Use regression analysis to evaluate trends in growth over time.</w:t>
      </w:r>
    </w:p>
    <w:p w14:paraId="45AB50FE" w14:textId="77777777" w:rsidR="00555333" w:rsidRPr="00555333" w:rsidRDefault="00555333" w:rsidP="00555333">
      <w:pPr>
        <w:pStyle w:val="AbstHead"/>
        <w:numPr>
          <w:ilvl w:val="0"/>
          <w:numId w:val="37"/>
        </w:numPr>
        <w:spacing w:after="0"/>
        <w:jc w:val="both"/>
        <w:rPr>
          <w:rFonts w:ascii="Arial" w:hAnsi="Arial" w:cs="Arial"/>
          <w:b w:val="0"/>
          <w:caps w:val="0"/>
          <w:sz w:val="20"/>
        </w:rPr>
      </w:pPr>
      <w:r w:rsidRPr="00555333">
        <w:rPr>
          <w:rFonts w:ascii="Arial" w:hAnsi="Arial" w:cs="Arial"/>
          <w:b w:val="0"/>
          <w:caps w:val="0"/>
          <w:sz w:val="20"/>
        </w:rPr>
        <w:t>Use ANOVA to assess the statistical significance of treatment effects.</w:t>
      </w:r>
    </w:p>
    <w:p w14:paraId="0B4795AF" w14:textId="20CE9847" w:rsidR="00392DC1" w:rsidRDefault="00555333" w:rsidP="00555333">
      <w:pPr>
        <w:pStyle w:val="AbstHead"/>
        <w:numPr>
          <w:ilvl w:val="0"/>
          <w:numId w:val="37"/>
        </w:numPr>
        <w:spacing w:after="0"/>
        <w:jc w:val="both"/>
        <w:rPr>
          <w:rFonts w:ascii="Arial" w:hAnsi="Arial" w:cs="Arial"/>
          <w:b w:val="0"/>
          <w:caps w:val="0"/>
          <w:sz w:val="20"/>
        </w:rPr>
      </w:pPr>
      <w:r w:rsidRPr="00555333">
        <w:rPr>
          <w:rFonts w:ascii="Arial" w:hAnsi="Arial" w:cs="Arial"/>
          <w:b w:val="0"/>
          <w:caps w:val="0"/>
          <w:sz w:val="20"/>
        </w:rPr>
        <w:t>Create a toxicity gradient that compares different fertilizers.</w:t>
      </w:r>
    </w:p>
    <w:p w14:paraId="64FE6C6E" w14:textId="77777777" w:rsidR="00AB0328" w:rsidRDefault="00AB0328" w:rsidP="00BE567F">
      <w:pPr>
        <w:pStyle w:val="AbstHead"/>
        <w:spacing w:after="0"/>
        <w:jc w:val="both"/>
        <w:rPr>
          <w:rFonts w:ascii="Arial" w:hAnsi="Arial" w:cs="Arial"/>
          <w:b w:val="0"/>
          <w:caps w:val="0"/>
          <w:sz w:val="20"/>
        </w:rPr>
      </w:pPr>
    </w:p>
    <w:p w14:paraId="2092406C" w14:textId="44F6E244" w:rsidR="007F7B32" w:rsidRDefault="00902823" w:rsidP="00392DC1">
      <w:pPr>
        <w:pStyle w:val="AbstHead"/>
        <w:spacing w:after="0"/>
        <w:jc w:val="both"/>
        <w:rPr>
          <w:rFonts w:ascii="Arial" w:hAnsi="Arial" w:cs="Arial"/>
        </w:rPr>
      </w:pPr>
      <w:r>
        <w:rPr>
          <w:rFonts w:ascii="Arial" w:hAnsi="Arial" w:cs="Arial"/>
        </w:rPr>
        <w:t>2. material</w:t>
      </w:r>
      <w:r w:rsidR="00FB6DA3">
        <w:rPr>
          <w:rFonts w:ascii="Arial" w:hAnsi="Arial" w:cs="Arial"/>
        </w:rPr>
        <w:t>S</w:t>
      </w:r>
      <w:r>
        <w:rPr>
          <w:rFonts w:ascii="Arial" w:hAnsi="Arial" w:cs="Arial"/>
        </w:rPr>
        <w:t xml:space="preserve"> and method</w:t>
      </w:r>
      <w:r w:rsidR="00000F8F">
        <w:rPr>
          <w:rFonts w:ascii="Arial" w:hAnsi="Arial" w:cs="Arial"/>
        </w:rPr>
        <w:t xml:space="preserve">s </w:t>
      </w:r>
    </w:p>
    <w:p w14:paraId="12112CE4" w14:textId="77777777" w:rsidR="00790ADA" w:rsidRDefault="00790ADA" w:rsidP="00441B6F">
      <w:pPr>
        <w:pStyle w:val="Body"/>
        <w:spacing w:after="0"/>
        <w:rPr>
          <w:rFonts w:ascii="Arial" w:hAnsi="Arial" w:cs="Arial"/>
        </w:rPr>
      </w:pPr>
    </w:p>
    <w:p w14:paraId="0ADF5CA3" w14:textId="77777777" w:rsidR="00E20A88" w:rsidRPr="00E20A88" w:rsidRDefault="00E20A88" w:rsidP="00E20A88">
      <w:pPr>
        <w:pStyle w:val="Body"/>
        <w:rPr>
          <w:rFonts w:ascii="Arial" w:hAnsi="Arial" w:cs="Arial"/>
          <w:b/>
          <w:caps/>
          <w:sz w:val="22"/>
        </w:rPr>
      </w:pPr>
      <w:r w:rsidRPr="00E20A88">
        <w:rPr>
          <w:rFonts w:ascii="Arial" w:hAnsi="Arial" w:cs="Arial"/>
          <w:b/>
          <w:caps/>
          <w:sz w:val="22"/>
        </w:rPr>
        <w:t>2.1 Experimental Organism</w:t>
      </w:r>
    </w:p>
    <w:p w14:paraId="714FF2FA" w14:textId="475F1060" w:rsidR="00BE567F" w:rsidRDefault="000B4551" w:rsidP="00BE567F">
      <w:pPr>
        <w:pStyle w:val="Body"/>
        <w:spacing w:after="0"/>
        <w:rPr>
          <w:rFonts w:ascii="Arial" w:hAnsi="Arial" w:cs="Arial"/>
        </w:rPr>
      </w:pPr>
      <w:r w:rsidRPr="000B4551">
        <w:rPr>
          <w:rFonts w:ascii="Arial" w:hAnsi="Arial" w:cs="Arial"/>
        </w:rPr>
        <w:t>Specimens were collected from an established vermiculture unit located in Ahmednagar district, Maharashtra, India. The selected worms were free from visible injuries, deformities, or signs of disease. Immediately after collection, the worms were transported to the laboratory in aerated containers containing moist vermicompost to prevent desiccation and stress.</w:t>
      </w:r>
    </w:p>
    <w:p w14:paraId="7736534C" w14:textId="77777777" w:rsidR="000B4551" w:rsidRDefault="000B4551" w:rsidP="00BE567F">
      <w:pPr>
        <w:pStyle w:val="Body"/>
        <w:spacing w:after="0"/>
        <w:rPr>
          <w:rFonts w:ascii="Arial" w:hAnsi="Arial" w:cs="Arial"/>
        </w:rPr>
      </w:pPr>
    </w:p>
    <w:p w14:paraId="7FCB1E31" w14:textId="3956C670" w:rsidR="000B4551" w:rsidRDefault="000B4551" w:rsidP="000B4551">
      <w:pPr>
        <w:pStyle w:val="Body"/>
        <w:rPr>
          <w:rFonts w:ascii="Arial" w:hAnsi="Arial" w:cs="Arial"/>
          <w:b/>
          <w:caps/>
          <w:sz w:val="22"/>
        </w:rPr>
      </w:pPr>
      <w:r>
        <w:rPr>
          <w:rFonts w:ascii="Arial" w:hAnsi="Arial" w:cs="Arial"/>
          <w:b/>
          <w:caps/>
          <w:sz w:val="22"/>
        </w:rPr>
        <w:t>2.2 Acclimatisation</w:t>
      </w:r>
      <w:r w:rsidRPr="000B4551">
        <w:rPr>
          <w:rFonts w:ascii="Arial" w:hAnsi="Arial" w:cs="Arial"/>
          <w:b/>
          <w:caps/>
          <w:sz w:val="22"/>
        </w:rPr>
        <w:t xml:space="preserve"> of Earthworms</w:t>
      </w:r>
    </w:p>
    <w:p w14:paraId="065DF29E" w14:textId="234C7EF1" w:rsidR="000B4551" w:rsidRPr="000B4551" w:rsidRDefault="000B4551" w:rsidP="000B4551">
      <w:pPr>
        <w:pStyle w:val="Body"/>
        <w:spacing w:after="0"/>
        <w:rPr>
          <w:rFonts w:ascii="Arial" w:hAnsi="Arial" w:cs="Arial"/>
        </w:rPr>
      </w:pPr>
      <w:r>
        <w:rPr>
          <w:rFonts w:ascii="Arial" w:hAnsi="Arial" w:cs="Arial"/>
        </w:rPr>
        <w:t>Before</w:t>
      </w:r>
      <w:r w:rsidRPr="000B4551">
        <w:rPr>
          <w:rFonts w:ascii="Arial" w:hAnsi="Arial" w:cs="Arial"/>
        </w:rPr>
        <w:t xml:space="preserve"> the commencement of the experiment, the collected earthworms were </w:t>
      </w:r>
      <w:r w:rsidR="00626189">
        <w:rPr>
          <w:rFonts w:ascii="Arial" w:hAnsi="Arial" w:cs="Arial"/>
        </w:rPr>
        <w:t>acclimatized</w:t>
      </w:r>
      <w:r w:rsidRPr="000B4551">
        <w:rPr>
          <w:rFonts w:ascii="Arial" w:hAnsi="Arial" w:cs="Arial"/>
        </w:rPr>
        <w:t xml:space="preserve"> under controlled laboratory conditions for a period of 7 days. During this period, worms were maintained in plastic trays containing pre-decomposed organic substrate composed of cow dung and agricultural waste.</w:t>
      </w:r>
    </w:p>
    <w:p w14:paraId="5D314E2B" w14:textId="77777777" w:rsidR="000B4551" w:rsidRPr="000B4551" w:rsidRDefault="000B4551" w:rsidP="000B4551">
      <w:pPr>
        <w:pStyle w:val="Body"/>
        <w:spacing w:after="0"/>
        <w:rPr>
          <w:rFonts w:ascii="Arial" w:hAnsi="Arial" w:cs="Arial"/>
        </w:rPr>
      </w:pPr>
      <w:r w:rsidRPr="000B4551">
        <w:rPr>
          <w:rFonts w:ascii="Arial" w:hAnsi="Arial" w:cs="Arial"/>
        </w:rPr>
        <w:t>Environmental conditions were carefully regulated:</w:t>
      </w:r>
    </w:p>
    <w:p w14:paraId="4790BF5B" w14:textId="77777777" w:rsidR="000B4551" w:rsidRPr="000B4551" w:rsidRDefault="000B4551" w:rsidP="000B4551">
      <w:pPr>
        <w:pStyle w:val="Body"/>
        <w:numPr>
          <w:ilvl w:val="0"/>
          <w:numId w:val="35"/>
        </w:numPr>
        <w:spacing w:after="0"/>
        <w:rPr>
          <w:rFonts w:ascii="Arial" w:hAnsi="Arial" w:cs="Arial"/>
        </w:rPr>
      </w:pPr>
      <w:r w:rsidRPr="000B4551">
        <w:rPr>
          <w:rFonts w:ascii="Arial" w:hAnsi="Arial" w:cs="Arial"/>
        </w:rPr>
        <w:t xml:space="preserve">Temperature: 25 ± 2°C </w:t>
      </w:r>
    </w:p>
    <w:p w14:paraId="1709E9F1" w14:textId="77777777" w:rsidR="000B4551" w:rsidRPr="000B4551" w:rsidRDefault="000B4551" w:rsidP="000B4551">
      <w:pPr>
        <w:pStyle w:val="Body"/>
        <w:numPr>
          <w:ilvl w:val="0"/>
          <w:numId w:val="35"/>
        </w:numPr>
        <w:spacing w:after="0"/>
        <w:rPr>
          <w:rFonts w:ascii="Arial" w:hAnsi="Arial" w:cs="Arial"/>
        </w:rPr>
      </w:pPr>
      <w:r w:rsidRPr="000B4551">
        <w:rPr>
          <w:rFonts w:ascii="Arial" w:hAnsi="Arial" w:cs="Arial"/>
        </w:rPr>
        <w:lastRenderedPageBreak/>
        <w:t xml:space="preserve">Relative humidity: 60–70% </w:t>
      </w:r>
    </w:p>
    <w:p w14:paraId="72607AE5" w14:textId="77777777" w:rsidR="000B4551" w:rsidRPr="000B4551" w:rsidRDefault="000B4551" w:rsidP="000B4551">
      <w:pPr>
        <w:pStyle w:val="Body"/>
        <w:numPr>
          <w:ilvl w:val="0"/>
          <w:numId w:val="35"/>
        </w:numPr>
        <w:spacing w:after="0"/>
        <w:rPr>
          <w:rFonts w:ascii="Arial" w:hAnsi="Arial" w:cs="Arial"/>
        </w:rPr>
      </w:pPr>
      <w:r w:rsidRPr="000B4551">
        <w:rPr>
          <w:rFonts w:ascii="Arial" w:hAnsi="Arial" w:cs="Arial"/>
        </w:rPr>
        <w:t xml:space="preserve">Photoperiod: Natural light-dark cycle (avoidance of direct sunlight) </w:t>
      </w:r>
    </w:p>
    <w:p w14:paraId="7A5793CE" w14:textId="79A4F716" w:rsidR="000B4551" w:rsidRPr="000B4551" w:rsidRDefault="000B4551" w:rsidP="000B4551">
      <w:pPr>
        <w:pStyle w:val="Body"/>
        <w:spacing w:after="0"/>
        <w:rPr>
          <w:rFonts w:ascii="Arial" w:hAnsi="Arial" w:cs="Arial"/>
        </w:rPr>
      </w:pPr>
      <w:r w:rsidRPr="000B4551">
        <w:rPr>
          <w:rFonts w:ascii="Arial" w:hAnsi="Arial" w:cs="Arial"/>
        </w:rPr>
        <w:t xml:space="preserve">The substrate moisture content was maintained at approximately 60–70% by periodic sprinkling of distilled water. No chemical fertilizers were introduced during the </w:t>
      </w:r>
      <w:r w:rsidR="00626189">
        <w:rPr>
          <w:rFonts w:ascii="Arial" w:hAnsi="Arial" w:cs="Arial"/>
        </w:rPr>
        <w:t>acclimatization</w:t>
      </w:r>
      <w:r w:rsidRPr="000B4551">
        <w:rPr>
          <w:rFonts w:ascii="Arial" w:hAnsi="Arial" w:cs="Arial"/>
        </w:rPr>
        <w:t xml:space="preserve"> phase to allow </w:t>
      </w:r>
      <w:r w:rsidR="00626189">
        <w:rPr>
          <w:rFonts w:ascii="Arial" w:hAnsi="Arial" w:cs="Arial"/>
        </w:rPr>
        <w:t>stabilization</w:t>
      </w:r>
      <w:r w:rsidRPr="000B4551">
        <w:rPr>
          <w:rFonts w:ascii="Arial" w:hAnsi="Arial" w:cs="Arial"/>
        </w:rPr>
        <w:t xml:space="preserve"> of physiological conditions.</w:t>
      </w:r>
    </w:p>
    <w:p w14:paraId="7C3FB6BD" w14:textId="77777777" w:rsidR="000B4551" w:rsidRDefault="000B4551" w:rsidP="000B4551">
      <w:pPr>
        <w:pStyle w:val="Body"/>
        <w:spacing w:after="0"/>
        <w:rPr>
          <w:rFonts w:ascii="Arial" w:hAnsi="Arial" w:cs="Arial"/>
          <w:b/>
          <w:caps/>
          <w:sz w:val="22"/>
        </w:rPr>
      </w:pPr>
    </w:p>
    <w:p w14:paraId="7A908A9B" w14:textId="15C2044C" w:rsidR="000B4551" w:rsidRDefault="000B4551" w:rsidP="000B4551">
      <w:pPr>
        <w:pStyle w:val="Body"/>
        <w:spacing w:after="0"/>
        <w:rPr>
          <w:rFonts w:ascii="Arial" w:hAnsi="Arial" w:cs="Arial"/>
          <w:b/>
          <w:caps/>
          <w:sz w:val="22"/>
        </w:rPr>
      </w:pPr>
      <w:r w:rsidRPr="00E20A88">
        <w:rPr>
          <w:rFonts w:ascii="Arial" w:hAnsi="Arial" w:cs="Arial"/>
          <w:b/>
          <w:caps/>
          <w:sz w:val="22"/>
        </w:rPr>
        <w:t>2.</w:t>
      </w:r>
      <w:r>
        <w:rPr>
          <w:rFonts w:ascii="Arial" w:hAnsi="Arial" w:cs="Arial"/>
          <w:b/>
          <w:caps/>
          <w:sz w:val="22"/>
        </w:rPr>
        <w:t>3</w:t>
      </w:r>
      <w:r w:rsidRPr="00E20A88">
        <w:rPr>
          <w:rFonts w:ascii="Arial" w:hAnsi="Arial" w:cs="Arial"/>
          <w:b/>
          <w:caps/>
          <w:sz w:val="22"/>
        </w:rPr>
        <w:t xml:space="preserve"> </w:t>
      </w:r>
      <w:r>
        <w:rPr>
          <w:rFonts w:ascii="Arial" w:hAnsi="Arial" w:cs="Arial"/>
          <w:b/>
          <w:caps/>
          <w:sz w:val="22"/>
        </w:rPr>
        <w:t>Preparation of vermifeed substrate</w:t>
      </w:r>
    </w:p>
    <w:p w14:paraId="1F2200ED" w14:textId="77777777" w:rsidR="000B4551" w:rsidRDefault="000B4551" w:rsidP="000B4551">
      <w:pPr>
        <w:pStyle w:val="Body"/>
        <w:spacing w:after="0"/>
        <w:rPr>
          <w:rFonts w:ascii="Arial" w:hAnsi="Arial" w:cs="Arial"/>
        </w:rPr>
      </w:pPr>
    </w:p>
    <w:p w14:paraId="03481750" w14:textId="50E093E2" w:rsidR="000B4551" w:rsidRPr="000B4551" w:rsidRDefault="000B4551" w:rsidP="000B4551">
      <w:pPr>
        <w:pStyle w:val="Body"/>
        <w:spacing w:after="0"/>
        <w:rPr>
          <w:rFonts w:ascii="Arial" w:hAnsi="Arial" w:cs="Arial"/>
          <w:lang w:val="en-IN"/>
        </w:rPr>
      </w:pPr>
      <w:r w:rsidRPr="000B4551">
        <w:rPr>
          <w:rFonts w:ascii="Arial" w:hAnsi="Arial" w:cs="Arial"/>
          <w:lang w:val="en-IN"/>
        </w:rPr>
        <w:t xml:space="preserve">The experimental substrate (vermifeed) consisted of a mixture of decomposed organic matter and cow dung in a ratio of 10:1 (w/w). The substrate was pre-composted for 15–20 days </w:t>
      </w:r>
      <w:r w:rsidR="00AB0328">
        <w:rPr>
          <w:rFonts w:ascii="Arial" w:hAnsi="Arial" w:cs="Arial"/>
          <w:lang w:val="en-IN"/>
        </w:rPr>
        <w:t>before</w:t>
      </w:r>
      <w:r w:rsidRPr="000B4551">
        <w:rPr>
          <w:rFonts w:ascii="Arial" w:hAnsi="Arial" w:cs="Arial"/>
          <w:lang w:val="en-IN"/>
        </w:rPr>
        <w:t xml:space="preserve"> use to eliminate harmful gases such as ammonia and to </w:t>
      </w:r>
      <w:r w:rsidR="00AB0328">
        <w:rPr>
          <w:rFonts w:ascii="Arial" w:hAnsi="Arial" w:cs="Arial"/>
          <w:lang w:val="en-IN"/>
        </w:rPr>
        <w:t>stabilise</w:t>
      </w:r>
      <w:r w:rsidRPr="000B4551">
        <w:rPr>
          <w:rFonts w:ascii="Arial" w:hAnsi="Arial" w:cs="Arial"/>
          <w:lang w:val="en-IN"/>
        </w:rPr>
        <w:t xml:space="preserve"> microbial activity.</w:t>
      </w:r>
    </w:p>
    <w:p w14:paraId="7FB31294" w14:textId="77777777" w:rsidR="000B4551" w:rsidRPr="000B4551" w:rsidRDefault="000B4551" w:rsidP="000B4551">
      <w:pPr>
        <w:pStyle w:val="Body"/>
        <w:spacing w:after="0"/>
        <w:rPr>
          <w:rFonts w:ascii="Arial" w:hAnsi="Arial" w:cs="Arial"/>
          <w:lang w:val="en-IN"/>
        </w:rPr>
      </w:pPr>
      <w:r w:rsidRPr="000B4551">
        <w:rPr>
          <w:rFonts w:ascii="Arial" w:hAnsi="Arial" w:cs="Arial"/>
          <w:lang w:val="en-IN"/>
        </w:rPr>
        <w:t>The prepared vermifeed was sieved to remove coarse particles and ensure uniform texture. Moisture content was adjusted to approximately 65% to provide optimal conditions for earthworm activity and survival.</w:t>
      </w:r>
    </w:p>
    <w:p w14:paraId="569E7D43" w14:textId="77777777" w:rsidR="000B4551" w:rsidRPr="000B4551" w:rsidRDefault="000B4551" w:rsidP="000B4551">
      <w:pPr>
        <w:pStyle w:val="Body"/>
        <w:spacing w:after="0"/>
        <w:rPr>
          <w:rFonts w:ascii="Arial" w:hAnsi="Arial" w:cs="Arial"/>
          <w:b/>
          <w:caps/>
          <w:sz w:val="22"/>
        </w:rPr>
      </w:pPr>
    </w:p>
    <w:p w14:paraId="0E1F7A71" w14:textId="536B9FDB" w:rsidR="00E20A88" w:rsidRDefault="00E20A88" w:rsidP="00BE567F">
      <w:pPr>
        <w:pStyle w:val="Body"/>
        <w:spacing w:after="0"/>
        <w:rPr>
          <w:rFonts w:ascii="Arial" w:hAnsi="Arial" w:cs="Arial"/>
          <w:b/>
          <w:caps/>
          <w:sz w:val="22"/>
        </w:rPr>
      </w:pPr>
      <w:r w:rsidRPr="00E20A88">
        <w:rPr>
          <w:rFonts w:ascii="Arial" w:hAnsi="Arial" w:cs="Arial"/>
          <w:b/>
          <w:caps/>
          <w:sz w:val="22"/>
        </w:rPr>
        <w:t>2.</w:t>
      </w:r>
      <w:r w:rsidR="000B4551">
        <w:rPr>
          <w:rFonts w:ascii="Arial" w:hAnsi="Arial" w:cs="Arial"/>
          <w:b/>
          <w:caps/>
          <w:sz w:val="22"/>
        </w:rPr>
        <w:t>4</w:t>
      </w:r>
      <w:r w:rsidRPr="00E20A88">
        <w:rPr>
          <w:rFonts w:ascii="Arial" w:hAnsi="Arial" w:cs="Arial"/>
          <w:b/>
          <w:caps/>
          <w:sz w:val="22"/>
        </w:rPr>
        <w:t xml:space="preserve"> Experimental Design</w:t>
      </w:r>
    </w:p>
    <w:p w14:paraId="344FAE77" w14:textId="77777777" w:rsidR="00BE567F" w:rsidRPr="00E20A88" w:rsidRDefault="00BE567F" w:rsidP="00BE567F">
      <w:pPr>
        <w:pStyle w:val="Body"/>
        <w:spacing w:after="0"/>
        <w:rPr>
          <w:rFonts w:ascii="Arial" w:hAnsi="Arial" w:cs="Arial"/>
          <w:b/>
          <w:caps/>
          <w:sz w:val="22"/>
        </w:rPr>
      </w:pPr>
    </w:p>
    <w:p w14:paraId="68A90250" w14:textId="77777777" w:rsidR="00E20A88" w:rsidRPr="00E20A88" w:rsidRDefault="00E20A88" w:rsidP="00BE567F">
      <w:pPr>
        <w:pStyle w:val="Body"/>
        <w:spacing w:after="0"/>
        <w:rPr>
          <w:rFonts w:ascii="Arial" w:hAnsi="Arial" w:cs="Arial"/>
        </w:rPr>
      </w:pPr>
      <w:r w:rsidRPr="00E20A88">
        <w:rPr>
          <w:rFonts w:ascii="Arial" w:hAnsi="Arial" w:cs="Arial"/>
        </w:rPr>
        <w:t>Five experimental groups were established:</w:t>
      </w:r>
    </w:p>
    <w:p w14:paraId="36CA98EB" w14:textId="709C0152"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Control (no </w:t>
      </w:r>
      <w:r w:rsidR="00626189">
        <w:rPr>
          <w:rFonts w:ascii="Arial" w:hAnsi="Arial" w:cs="Arial"/>
        </w:rPr>
        <w:t>fertilizer</w:t>
      </w:r>
      <w:r w:rsidRPr="00E20A88">
        <w:rPr>
          <w:rFonts w:ascii="Arial" w:hAnsi="Arial" w:cs="Arial"/>
        </w:rPr>
        <w:t xml:space="preserve">) </w:t>
      </w:r>
    </w:p>
    <w:p w14:paraId="155951C1" w14:textId="77777777"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Urea </w:t>
      </w:r>
    </w:p>
    <w:p w14:paraId="1EA21F8C" w14:textId="77777777"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NPK (15:15:15) </w:t>
      </w:r>
    </w:p>
    <w:p w14:paraId="4CA10DCF" w14:textId="77777777"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NPK (10:26:26) </w:t>
      </w:r>
    </w:p>
    <w:p w14:paraId="599B90C5" w14:textId="77777777"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Superphosphate </w:t>
      </w:r>
    </w:p>
    <w:p w14:paraId="015C6F91" w14:textId="77777777" w:rsidR="000B4551" w:rsidRPr="000B4551" w:rsidRDefault="000B4551" w:rsidP="000B4551">
      <w:pPr>
        <w:pStyle w:val="Body"/>
        <w:spacing w:after="0"/>
        <w:rPr>
          <w:rFonts w:ascii="Arial" w:hAnsi="Arial" w:cs="Arial"/>
          <w:lang w:val="en-IN"/>
        </w:rPr>
      </w:pPr>
      <w:r w:rsidRPr="000B4551">
        <w:rPr>
          <w:rFonts w:ascii="Arial" w:hAnsi="Arial" w:cs="Arial"/>
          <w:lang w:val="en-IN"/>
        </w:rPr>
        <w:t>Each treatment consisted of 25 earthworms placed in separate plastic troughs (capacity ~5 L) containing equal quantities (2 kg) of prepared vermifeed. The troughs were perforated at the bottom to facilitate drainage and prevent waterlogging.</w:t>
      </w:r>
    </w:p>
    <w:p w14:paraId="5230B397" w14:textId="28E7A368" w:rsidR="000B4551" w:rsidRPr="000B4551" w:rsidRDefault="00AB0328" w:rsidP="000B4551">
      <w:pPr>
        <w:pStyle w:val="Body"/>
        <w:spacing w:after="0"/>
        <w:rPr>
          <w:rFonts w:ascii="Arial" w:hAnsi="Arial" w:cs="Arial"/>
          <w:lang w:val="en-IN"/>
        </w:rPr>
      </w:pPr>
      <w:r>
        <w:rPr>
          <w:rFonts w:ascii="Arial" w:hAnsi="Arial" w:cs="Arial"/>
          <w:lang w:val="en-IN"/>
        </w:rPr>
        <w:t>Fertilisers</w:t>
      </w:r>
      <w:r w:rsidR="000B4551" w:rsidRPr="000B4551">
        <w:rPr>
          <w:rFonts w:ascii="Arial" w:hAnsi="Arial" w:cs="Arial"/>
          <w:lang w:val="en-IN"/>
        </w:rPr>
        <w:t xml:space="preserve"> were applied at a uniform concentration of 5 g per kg of vermifeed, thoroughly mixed to ensure even distribution. The control group received no </w:t>
      </w:r>
      <w:r>
        <w:rPr>
          <w:rFonts w:ascii="Arial" w:hAnsi="Arial" w:cs="Arial"/>
          <w:lang w:val="en-IN"/>
        </w:rPr>
        <w:t>fertiliser</w:t>
      </w:r>
      <w:r w:rsidR="000B4551" w:rsidRPr="000B4551">
        <w:rPr>
          <w:rFonts w:ascii="Arial" w:hAnsi="Arial" w:cs="Arial"/>
          <w:lang w:val="en-IN"/>
        </w:rPr>
        <w:t xml:space="preserve"> but was otherwise maintained under identical conditions.</w:t>
      </w:r>
    </w:p>
    <w:p w14:paraId="31667E40" w14:textId="77777777" w:rsidR="000B4551" w:rsidRPr="000B4551" w:rsidRDefault="000B4551" w:rsidP="000B4551">
      <w:pPr>
        <w:pStyle w:val="Body"/>
        <w:spacing w:after="0"/>
        <w:rPr>
          <w:rFonts w:ascii="Arial" w:hAnsi="Arial" w:cs="Arial"/>
          <w:lang w:val="en-IN"/>
        </w:rPr>
      </w:pPr>
      <w:r w:rsidRPr="000B4551">
        <w:rPr>
          <w:rFonts w:ascii="Arial" w:hAnsi="Arial" w:cs="Arial"/>
          <w:lang w:val="en-IN"/>
        </w:rPr>
        <w:t>Each treatment was conducted in triplicate to enhance statistical reliability and reproducibility of results.</w:t>
      </w:r>
    </w:p>
    <w:p w14:paraId="3A3565A2" w14:textId="77777777" w:rsidR="00BE567F" w:rsidRPr="00E20A88" w:rsidRDefault="00BE567F" w:rsidP="00BE567F">
      <w:pPr>
        <w:pStyle w:val="Body"/>
        <w:spacing w:after="0"/>
        <w:rPr>
          <w:rFonts w:ascii="Arial" w:hAnsi="Arial" w:cs="Arial"/>
        </w:rPr>
      </w:pPr>
    </w:p>
    <w:p w14:paraId="69062F54" w14:textId="77777777" w:rsidR="00E20A88" w:rsidRDefault="00E20A88" w:rsidP="00BE567F">
      <w:pPr>
        <w:pStyle w:val="Body"/>
        <w:spacing w:after="0"/>
        <w:rPr>
          <w:rFonts w:ascii="Arial" w:hAnsi="Arial" w:cs="Arial"/>
          <w:b/>
          <w:caps/>
          <w:sz w:val="22"/>
        </w:rPr>
      </w:pPr>
      <w:r w:rsidRPr="00E20A88">
        <w:rPr>
          <w:rFonts w:ascii="Arial" w:hAnsi="Arial" w:cs="Arial"/>
          <w:b/>
          <w:caps/>
          <w:sz w:val="22"/>
        </w:rPr>
        <w:t>2.3 Data Collection</w:t>
      </w:r>
    </w:p>
    <w:p w14:paraId="7D157BBF" w14:textId="77777777" w:rsidR="00BE567F" w:rsidRPr="00E20A88" w:rsidRDefault="00BE567F" w:rsidP="00BE567F">
      <w:pPr>
        <w:pStyle w:val="Body"/>
        <w:spacing w:after="0"/>
        <w:rPr>
          <w:rFonts w:ascii="Arial" w:hAnsi="Arial" w:cs="Arial"/>
          <w:b/>
          <w:caps/>
          <w:sz w:val="22"/>
        </w:rPr>
      </w:pPr>
    </w:p>
    <w:p w14:paraId="2472F7A9" w14:textId="1065BD52" w:rsidR="000B4551" w:rsidRPr="000B4551" w:rsidRDefault="000B4551" w:rsidP="000B4551">
      <w:pPr>
        <w:pStyle w:val="Body"/>
        <w:spacing w:after="0"/>
        <w:rPr>
          <w:rFonts w:ascii="Arial" w:hAnsi="Arial" w:cs="Arial"/>
          <w:lang w:val="en-IN"/>
        </w:rPr>
      </w:pPr>
      <w:r w:rsidRPr="000B4551">
        <w:rPr>
          <w:rFonts w:ascii="Arial" w:hAnsi="Arial" w:cs="Arial"/>
          <w:lang w:val="en-IN"/>
        </w:rPr>
        <w:t xml:space="preserve">Earthworm biomass was recorded at 15-day intervals (Weeks 1, 3, 5, 7, 9, and 11). </w:t>
      </w:r>
      <w:r w:rsidR="00AB0328">
        <w:rPr>
          <w:rFonts w:ascii="Arial" w:hAnsi="Arial" w:cs="Arial"/>
          <w:lang w:val="en-IN"/>
        </w:rPr>
        <w:t>Before</w:t>
      </w:r>
      <w:r w:rsidRPr="000B4551">
        <w:rPr>
          <w:rFonts w:ascii="Arial" w:hAnsi="Arial" w:cs="Arial"/>
          <w:lang w:val="en-IN"/>
        </w:rPr>
        <w:t xml:space="preserve"> weighing, worms were gently removed from the substrate and placed on moist filter paper for 2–3 minutes to allow gut clearance and removal of adhering soil particles.</w:t>
      </w:r>
    </w:p>
    <w:p w14:paraId="6993D978" w14:textId="77777777" w:rsidR="000B4551" w:rsidRDefault="000B4551" w:rsidP="000B4551">
      <w:pPr>
        <w:pStyle w:val="Body"/>
        <w:spacing w:after="0"/>
        <w:rPr>
          <w:rFonts w:ascii="Arial" w:hAnsi="Arial" w:cs="Arial"/>
          <w:lang w:val="en-IN"/>
        </w:rPr>
      </w:pPr>
      <w:r w:rsidRPr="000B4551">
        <w:rPr>
          <w:rFonts w:ascii="Arial" w:hAnsi="Arial" w:cs="Arial"/>
          <w:lang w:val="en-IN"/>
        </w:rPr>
        <w:t>Individual weights were recorded using a digital analytical balance with an accuracy of ±0.01 g. The total biomass per treatment group was calculated and expressed as mean biomass.</w:t>
      </w:r>
    </w:p>
    <w:p w14:paraId="4B60BDC2" w14:textId="31080D41" w:rsidR="000B4551" w:rsidRPr="000B4551" w:rsidRDefault="000B4551" w:rsidP="000B4551">
      <w:pPr>
        <w:pStyle w:val="Body"/>
        <w:spacing w:after="0"/>
        <w:rPr>
          <w:rFonts w:ascii="Arial" w:hAnsi="Arial" w:cs="Arial"/>
          <w:lang w:val="en-IN"/>
        </w:rPr>
      </w:pPr>
      <w:r w:rsidRPr="000B4551">
        <w:rPr>
          <w:rFonts w:ascii="Arial" w:hAnsi="Arial" w:cs="Arial"/>
          <w:lang w:val="en-IN"/>
        </w:rPr>
        <w:t xml:space="preserve">Mortality was monitored daily throughout the experimental period. Dead worms were identified based on lack of movement, </w:t>
      </w:r>
      <w:r w:rsidR="00AB0328">
        <w:rPr>
          <w:rFonts w:ascii="Arial" w:hAnsi="Arial" w:cs="Arial"/>
          <w:lang w:val="en-IN"/>
        </w:rPr>
        <w:t>discolouration</w:t>
      </w:r>
      <w:r w:rsidRPr="000B4551">
        <w:rPr>
          <w:rFonts w:ascii="Arial" w:hAnsi="Arial" w:cs="Arial"/>
          <w:lang w:val="en-IN"/>
        </w:rPr>
        <w:t xml:space="preserve">, and tissue disintegration. The number of </w:t>
      </w:r>
      <w:r>
        <w:rPr>
          <w:rFonts w:ascii="Mangal" w:hAnsi="Mangal" w:cs="Mangal"/>
          <w:lang w:val="en-IN" w:bidi="hi-IN"/>
        </w:rPr>
        <w:t>dead</w:t>
      </w:r>
      <w:r w:rsidRPr="000B4551">
        <w:rPr>
          <w:rFonts w:ascii="Arial" w:hAnsi="Arial" w:cs="Arial"/>
          <w:cs/>
          <w:lang w:val="en-IN" w:bidi="hi-IN"/>
        </w:rPr>
        <w:t xml:space="preserve"> </w:t>
      </w:r>
      <w:r w:rsidRPr="000B4551">
        <w:rPr>
          <w:rFonts w:ascii="Arial" w:hAnsi="Arial" w:cs="Arial"/>
          <w:lang w:val="en-IN"/>
        </w:rPr>
        <w:t>individuals was recorded and removed immediately to prevent contamination of the substrate.</w:t>
      </w:r>
    </w:p>
    <w:p w14:paraId="4911BF43" w14:textId="77777777" w:rsidR="008C44D8" w:rsidRPr="00E20A88" w:rsidRDefault="008C44D8" w:rsidP="008C44D8">
      <w:pPr>
        <w:pStyle w:val="Body"/>
        <w:spacing w:after="0"/>
        <w:rPr>
          <w:rFonts w:ascii="Arial" w:hAnsi="Arial" w:cs="Arial"/>
        </w:rPr>
      </w:pPr>
    </w:p>
    <w:p w14:paraId="55D5DA11" w14:textId="77777777" w:rsidR="00E20A88" w:rsidRDefault="00E20A88" w:rsidP="008C44D8">
      <w:pPr>
        <w:pStyle w:val="Body"/>
        <w:spacing w:after="0"/>
        <w:rPr>
          <w:rFonts w:ascii="Arial" w:hAnsi="Arial" w:cs="Arial"/>
          <w:b/>
          <w:caps/>
          <w:sz w:val="22"/>
        </w:rPr>
      </w:pPr>
      <w:r w:rsidRPr="00E20A88">
        <w:rPr>
          <w:rFonts w:ascii="Arial" w:hAnsi="Arial" w:cs="Arial"/>
          <w:b/>
          <w:caps/>
          <w:sz w:val="22"/>
        </w:rPr>
        <w:t>2.4 Statistical Analysis</w:t>
      </w:r>
    </w:p>
    <w:p w14:paraId="17552833" w14:textId="77777777" w:rsidR="008C44D8" w:rsidRPr="00E20A88" w:rsidRDefault="008C44D8" w:rsidP="008C44D8">
      <w:pPr>
        <w:pStyle w:val="Body"/>
        <w:spacing w:after="0"/>
        <w:rPr>
          <w:rFonts w:ascii="Arial" w:hAnsi="Arial" w:cs="Arial"/>
          <w:b/>
          <w:caps/>
          <w:sz w:val="22"/>
        </w:rPr>
      </w:pPr>
    </w:p>
    <w:p w14:paraId="081BB457" w14:textId="6321369E" w:rsidR="00E20A88" w:rsidRPr="00E20A88" w:rsidRDefault="00E20A88" w:rsidP="008C44D8">
      <w:pPr>
        <w:pStyle w:val="Body"/>
        <w:spacing w:after="0"/>
        <w:rPr>
          <w:rFonts w:ascii="Arial" w:hAnsi="Arial" w:cs="Arial"/>
        </w:rPr>
      </w:pPr>
      <w:r w:rsidRPr="00E20A88">
        <w:rPr>
          <w:rFonts w:ascii="Arial" w:hAnsi="Arial" w:cs="Arial"/>
        </w:rPr>
        <w:t>Descriptive statistics</w:t>
      </w:r>
      <w:r w:rsidR="00AB0328">
        <w:rPr>
          <w:rFonts w:ascii="Arial" w:hAnsi="Arial" w:cs="Arial"/>
        </w:rPr>
        <w:t>,</w:t>
      </w:r>
      <w:r w:rsidRPr="00E20A88">
        <w:rPr>
          <w:rFonts w:ascii="Arial" w:hAnsi="Arial" w:cs="Arial"/>
        </w:rPr>
        <w:t xml:space="preserve"> including mean and standard deviation</w:t>
      </w:r>
      <w:r w:rsidR="00AB0328">
        <w:rPr>
          <w:rFonts w:ascii="Arial" w:hAnsi="Arial" w:cs="Arial"/>
        </w:rPr>
        <w:t>,</w:t>
      </w:r>
      <w:r w:rsidRPr="00E20A88">
        <w:rPr>
          <w:rFonts w:ascii="Arial" w:hAnsi="Arial" w:cs="Arial"/>
        </w:rPr>
        <w:t xml:space="preserve"> were calculated for each treatment. Percentage change in biomass was determined relative to initial weight.</w:t>
      </w:r>
    </w:p>
    <w:p w14:paraId="37579D56" w14:textId="2FCC2D92" w:rsidR="00AB0328" w:rsidRPr="00AB0328" w:rsidRDefault="00AB0328" w:rsidP="00AB0328">
      <w:pPr>
        <w:pStyle w:val="Body"/>
        <w:rPr>
          <w:rFonts w:ascii="Arial" w:hAnsi="Arial" w:cs="Arial"/>
          <w:lang w:val="en-IN"/>
        </w:rPr>
      </w:pPr>
      <w:r w:rsidRPr="00AB0328">
        <w:rPr>
          <w:rFonts w:ascii="Arial" w:hAnsi="Arial" w:cs="Arial"/>
          <w:lang w:val="en-IN"/>
        </w:rPr>
        <w:t>A one-way ANOVA was conducted to determine whether there were statistically significant differences in biomass among treatment groups. The analysis compared between-group variance with within-group variance.</w:t>
      </w:r>
    </w:p>
    <w:p w14:paraId="373BAD81" w14:textId="77777777" w:rsidR="00AB0328" w:rsidRPr="00AB0328" w:rsidRDefault="00AB0328" w:rsidP="00AB0328">
      <w:pPr>
        <w:pStyle w:val="Body"/>
        <w:numPr>
          <w:ilvl w:val="0"/>
          <w:numId w:val="36"/>
        </w:numPr>
        <w:spacing w:after="0"/>
        <w:rPr>
          <w:rFonts w:ascii="Arial" w:hAnsi="Arial" w:cs="Arial"/>
          <w:lang w:val="en-IN"/>
        </w:rPr>
      </w:pPr>
      <w:r w:rsidRPr="00AB0328">
        <w:rPr>
          <w:rFonts w:ascii="Arial" w:hAnsi="Arial" w:cs="Arial"/>
          <w:lang w:val="en-IN"/>
        </w:rPr>
        <w:t>Null hypothesis (H</w:t>
      </w:r>
      <w:r w:rsidRPr="00AB0328">
        <w:rPr>
          <w:rFonts w:ascii="Cambria Math" w:hAnsi="Cambria Math" w:cs="Cambria Math"/>
          <w:lang w:val="en-IN"/>
        </w:rPr>
        <w:t>₀</w:t>
      </w:r>
      <w:r w:rsidRPr="00AB0328">
        <w:rPr>
          <w:rFonts w:ascii="Arial" w:hAnsi="Arial" w:cs="Arial"/>
          <w:lang w:val="en-IN"/>
        </w:rPr>
        <w:t xml:space="preserve">): No significant difference among treatments </w:t>
      </w:r>
    </w:p>
    <w:p w14:paraId="077C0FB9" w14:textId="2233BA67" w:rsidR="00AB0328" w:rsidRPr="00AB0328" w:rsidRDefault="00AB0328" w:rsidP="00AB0328">
      <w:pPr>
        <w:pStyle w:val="Body"/>
        <w:numPr>
          <w:ilvl w:val="0"/>
          <w:numId w:val="36"/>
        </w:numPr>
        <w:spacing w:after="0"/>
        <w:rPr>
          <w:rFonts w:ascii="Arial" w:hAnsi="Arial" w:cs="Arial"/>
          <w:lang w:val="en-IN"/>
        </w:rPr>
      </w:pPr>
      <w:r w:rsidRPr="00AB0328">
        <w:rPr>
          <w:rFonts w:ascii="Arial" w:hAnsi="Arial" w:cs="Arial"/>
          <w:lang w:val="en-IN"/>
        </w:rPr>
        <w:lastRenderedPageBreak/>
        <w:t>Alternative hypothesis (H</w:t>
      </w:r>
      <w:r w:rsidRPr="00AB0328">
        <w:rPr>
          <w:rFonts w:ascii="Cambria Math" w:hAnsi="Cambria Math" w:cs="Cambria Math"/>
          <w:lang w:val="en-IN"/>
        </w:rPr>
        <w:t>₁</w:t>
      </w:r>
      <w:r w:rsidRPr="00AB0328">
        <w:rPr>
          <w:rFonts w:ascii="Arial" w:hAnsi="Arial" w:cs="Arial"/>
          <w:lang w:val="en-IN"/>
        </w:rPr>
        <w:t xml:space="preserve">): </w:t>
      </w:r>
      <w:r w:rsidR="00FD081F">
        <w:rPr>
          <w:rFonts w:ascii="Arial" w:hAnsi="Arial" w:cs="Arial"/>
          <w:lang w:val="en-IN"/>
        </w:rPr>
        <w:t>A significant</w:t>
      </w:r>
      <w:r w:rsidRPr="00AB0328">
        <w:rPr>
          <w:rFonts w:ascii="Arial" w:hAnsi="Arial" w:cs="Arial"/>
          <w:lang w:val="en-IN"/>
        </w:rPr>
        <w:t xml:space="preserve"> difference exists </w:t>
      </w:r>
    </w:p>
    <w:p w14:paraId="3D73E83A" w14:textId="77777777" w:rsidR="00AB0328" w:rsidRDefault="00AB0328" w:rsidP="00AB0328">
      <w:pPr>
        <w:pStyle w:val="Body"/>
        <w:spacing w:after="0"/>
        <w:rPr>
          <w:rFonts w:ascii="Arial" w:hAnsi="Arial" w:cs="Arial"/>
          <w:lang w:val="en-IN"/>
        </w:rPr>
      </w:pPr>
      <w:r w:rsidRPr="00AB0328">
        <w:rPr>
          <w:rFonts w:ascii="Arial" w:hAnsi="Arial" w:cs="Arial"/>
          <w:lang w:val="en-IN"/>
        </w:rPr>
        <w:t>Statistical significance was evaluated at p &lt; 0.05.</w:t>
      </w:r>
    </w:p>
    <w:p w14:paraId="7FF6B5F2" w14:textId="04D5EF26" w:rsidR="00AB0328" w:rsidRDefault="00AB0328" w:rsidP="00AB0328">
      <w:pPr>
        <w:pStyle w:val="Body"/>
        <w:spacing w:after="0"/>
        <w:rPr>
          <w:rFonts w:ascii="Arial" w:hAnsi="Arial" w:cs="Arial"/>
        </w:rPr>
      </w:pPr>
      <w:r w:rsidRPr="00E20A88">
        <w:rPr>
          <w:rFonts w:ascii="Arial" w:hAnsi="Arial" w:cs="Arial"/>
        </w:rPr>
        <w:t>Linear regression analysis was performed to assess growth</w:t>
      </w:r>
      <w:r>
        <w:rPr>
          <w:rFonts w:ascii="Arial" w:hAnsi="Arial" w:cs="Arial"/>
        </w:rPr>
        <w:t xml:space="preserve"> (dependent variable)</w:t>
      </w:r>
      <w:r w:rsidRPr="00E20A88">
        <w:rPr>
          <w:rFonts w:ascii="Arial" w:hAnsi="Arial" w:cs="Arial"/>
        </w:rPr>
        <w:t xml:space="preserve"> trends over time</w:t>
      </w:r>
      <w:r>
        <w:rPr>
          <w:rFonts w:ascii="Arial" w:hAnsi="Arial" w:cs="Arial"/>
        </w:rPr>
        <w:t xml:space="preserve"> (independent variable) using the regression equation:</w:t>
      </w:r>
    </w:p>
    <w:p w14:paraId="28B66120" w14:textId="78330830" w:rsidR="00AB0328" w:rsidRPr="00AB0328" w:rsidRDefault="00AB0328" w:rsidP="00AB0328">
      <w:pPr>
        <w:pStyle w:val="Body"/>
        <w:spacing w:after="0"/>
        <w:rPr>
          <w:rFonts w:ascii="Arial" w:hAnsi="Arial" w:cs="Arial"/>
          <w:lang w:val="en-IN"/>
        </w:rPr>
      </w:pPr>
      <m:oMathPara>
        <m:oMath>
          <m:r>
            <w:rPr>
              <w:rFonts w:ascii="Cambria Math" w:hAnsi="Cambria Math" w:cs="Arial"/>
              <w:lang w:val="en-IN"/>
            </w:rPr>
            <m:t>Y=a+bX</m:t>
          </m:r>
        </m:oMath>
      </m:oMathPara>
    </w:p>
    <w:p w14:paraId="1158E274" w14:textId="77777777" w:rsidR="00AB0328" w:rsidRPr="00AB0328" w:rsidRDefault="00AB0328" w:rsidP="00AB0328">
      <w:pPr>
        <w:pStyle w:val="Body"/>
        <w:spacing w:after="0"/>
        <w:rPr>
          <w:rFonts w:ascii="Arial" w:hAnsi="Arial" w:cs="Arial"/>
        </w:rPr>
      </w:pPr>
      <w:r w:rsidRPr="00AB0328">
        <w:rPr>
          <w:rFonts w:ascii="Arial" w:hAnsi="Arial" w:cs="Arial"/>
        </w:rPr>
        <w:t>Where:</w:t>
      </w:r>
    </w:p>
    <w:p w14:paraId="22AF9A9D" w14:textId="77777777" w:rsidR="00AB0328" w:rsidRPr="00AB0328" w:rsidRDefault="00AB0328" w:rsidP="00AB0328">
      <w:pPr>
        <w:pStyle w:val="Body"/>
        <w:spacing w:after="0"/>
        <w:rPr>
          <w:rFonts w:ascii="Arial" w:hAnsi="Arial" w:cs="Arial"/>
        </w:rPr>
      </w:pPr>
      <w:r w:rsidRPr="00AB0328">
        <w:rPr>
          <w:rFonts w:ascii="Arial" w:hAnsi="Arial" w:cs="Arial"/>
        </w:rPr>
        <w:t>Y = biomass</w:t>
      </w:r>
    </w:p>
    <w:p w14:paraId="21B629E4" w14:textId="77777777" w:rsidR="00AB0328" w:rsidRPr="00AB0328" w:rsidRDefault="00AB0328" w:rsidP="00AB0328">
      <w:pPr>
        <w:pStyle w:val="Body"/>
        <w:spacing w:after="0"/>
        <w:rPr>
          <w:rFonts w:ascii="Arial" w:hAnsi="Arial" w:cs="Arial"/>
        </w:rPr>
      </w:pPr>
      <w:r w:rsidRPr="00AB0328">
        <w:rPr>
          <w:rFonts w:ascii="Arial" w:hAnsi="Arial" w:cs="Arial"/>
        </w:rPr>
        <w:t>X = time (weeks)</w:t>
      </w:r>
    </w:p>
    <w:p w14:paraId="7B0AFCC1" w14:textId="77777777" w:rsidR="00AB0328" w:rsidRPr="00AB0328" w:rsidRDefault="00AB0328" w:rsidP="00AB0328">
      <w:pPr>
        <w:pStyle w:val="Body"/>
        <w:spacing w:after="0"/>
        <w:rPr>
          <w:rFonts w:ascii="Arial" w:hAnsi="Arial" w:cs="Arial"/>
        </w:rPr>
      </w:pPr>
      <w:r w:rsidRPr="00AB0328">
        <w:rPr>
          <w:rFonts w:ascii="Arial" w:hAnsi="Arial" w:cs="Arial"/>
        </w:rPr>
        <w:t>a = intercept</w:t>
      </w:r>
    </w:p>
    <w:p w14:paraId="6E9FE63E" w14:textId="77777777" w:rsidR="00AB0328" w:rsidRPr="00AB0328" w:rsidRDefault="00AB0328" w:rsidP="00AB0328">
      <w:pPr>
        <w:pStyle w:val="Body"/>
        <w:spacing w:after="0"/>
        <w:rPr>
          <w:rFonts w:ascii="Arial" w:hAnsi="Arial" w:cs="Arial"/>
        </w:rPr>
      </w:pPr>
      <w:r w:rsidRPr="00AB0328">
        <w:rPr>
          <w:rFonts w:ascii="Arial" w:hAnsi="Arial" w:cs="Arial"/>
        </w:rPr>
        <w:t>b = slope</w:t>
      </w:r>
    </w:p>
    <w:p w14:paraId="48C7C5FF" w14:textId="3F8C57E0" w:rsidR="00A03B96" w:rsidRDefault="00AB0328" w:rsidP="00AB0328">
      <w:pPr>
        <w:pStyle w:val="Body"/>
        <w:spacing w:after="0"/>
        <w:rPr>
          <w:rFonts w:ascii="Arial" w:hAnsi="Arial" w:cs="Arial"/>
        </w:rPr>
      </w:pPr>
      <w:r w:rsidRPr="00AB0328">
        <w:rPr>
          <w:rFonts w:ascii="Arial" w:hAnsi="Arial" w:cs="Arial"/>
        </w:rPr>
        <w:t>The coefficient of determination (R²) was calculated to assess the goodness of fit of the model.</w:t>
      </w:r>
    </w:p>
    <w:p w14:paraId="38CE62EF" w14:textId="77777777" w:rsidR="008C44D8" w:rsidRDefault="008C44D8" w:rsidP="008C44D8">
      <w:pPr>
        <w:pStyle w:val="Body"/>
        <w:spacing w:after="0"/>
        <w:rPr>
          <w:rFonts w:ascii="Arial" w:hAnsi="Arial" w:cs="Arial"/>
        </w:rPr>
      </w:pPr>
    </w:p>
    <w:p w14:paraId="0C2FFF05" w14:textId="2C0AF3C0" w:rsidR="00790ADA" w:rsidRPr="00FB3A86" w:rsidRDefault="00000F8F" w:rsidP="008C44D8">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B151B3" w14:textId="77777777" w:rsidR="008C44D8" w:rsidRDefault="008C44D8" w:rsidP="008C44D8">
      <w:pPr>
        <w:pStyle w:val="Body"/>
        <w:spacing w:after="0"/>
        <w:rPr>
          <w:rFonts w:ascii="Arial" w:hAnsi="Arial" w:cs="Arial"/>
        </w:rPr>
      </w:pPr>
    </w:p>
    <w:p w14:paraId="2597E460" w14:textId="56EF0E07" w:rsidR="00845401" w:rsidRDefault="00845401" w:rsidP="008C44D8">
      <w:pPr>
        <w:pStyle w:val="Body"/>
        <w:spacing w:after="0"/>
        <w:rPr>
          <w:rFonts w:ascii="Arial" w:hAnsi="Arial" w:cs="Arial"/>
        </w:rPr>
      </w:pPr>
      <w:r w:rsidRPr="00845401">
        <w:rPr>
          <w:rFonts w:ascii="Arial" w:hAnsi="Arial" w:cs="Arial"/>
        </w:rPr>
        <w:t xml:space="preserve">This study provides a thorough evaluation of the ecotoxicological impacts of widely </w:t>
      </w:r>
      <w:r w:rsidR="00626189">
        <w:rPr>
          <w:rFonts w:ascii="Arial" w:hAnsi="Arial" w:cs="Arial"/>
        </w:rPr>
        <w:t>utilized</w:t>
      </w:r>
      <w:r w:rsidRPr="00845401">
        <w:rPr>
          <w:rFonts w:ascii="Arial" w:hAnsi="Arial" w:cs="Arial"/>
        </w:rPr>
        <w:t xml:space="preserve"> chemical </w:t>
      </w:r>
      <w:r w:rsidR="00626189">
        <w:rPr>
          <w:rFonts w:ascii="Arial" w:hAnsi="Arial" w:cs="Arial"/>
        </w:rPr>
        <w:t>fertilizers</w:t>
      </w:r>
      <w:r w:rsidRPr="00845401">
        <w:rPr>
          <w:rFonts w:ascii="Arial" w:hAnsi="Arial" w:cs="Arial"/>
        </w:rPr>
        <w:t xml:space="preserve"> on </w:t>
      </w:r>
      <w:r w:rsidRPr="00845401">
        <w:rPr>
          <w:rFonts w:ascii="Arial" w:hAnsi="Arial" w:cs="Arial"/>
          <w:i/>
          <w:iCs/>
        </w:rPr>
        <w:t>E</w:t>
      </w:r>
      <w:r w:rsidR="0001020A">
        <w:rPr>
          <w:rFonts w:ascii="Arial" w:hAnsi="Arial" w:cs="Arial"/>
          <w:i/>
          <w:iCs/>
        </w:rPr>
        <w:t>.</w:t>
      </w:r>
      <w:r w:rsidRPr="00845401">
        <w:rPr>
          <w:rFonts w:ascii="Arial" w:hAnsi="Arial" w:cs="Arial"/>
          <w:i/>
          <w:iCs/>
        </w:rPr>
        <w:t xml:space="preserve"> fetida</w:t>
      </w:r>
      <w:r w:rsidRPr="00845401">
        <w:rPr>
          <w:rFonts w:ascii="Arial" w:hAnsi="Arial" w:cs="Arial"/>
        </w:rPr>
        <w:t xml:space="preserve">, concentrating on biomass fluctuations and survival trends during an 11-week exposure duration. The combination of descriptive statistics, mortality observations, regression modeling, and inferential statistics provides a comprehensive understanding of </w:t>
      </w:r>
      <w:r w:rsidR="00626189">
        <w:rPr>
          <w:rFonts w:ascii="Arial" w:hAnsi="Arial" w:cs="Arial"/>
        </w:rPr>
        <w:t>fertilizer</w:t>
      </w:r>
      <w:r w:rsidR="00AB0328">
        <w:rPr>
          <w:rFonts w:ascii="Arial" w:hAnsi="Arial" w:cs="Arial"/>
        </w:rPr>
        <w:t>-induced</w:t>
      </w:r>
      <w:r w:rsidRPr="00845401">
        <w:rPr>
          <w:rFonts w:ascii="Arial" w:hAnsi="Arial" w:cs="Arial"/>
        </w:rPr>
        <w:t xml:space="preserve"> stress in soil macrofauna.</w:t>
      </w:r>
    </w:p>
    <w:p w14:paraId="511962DA" w14:textId="77777777" w:rsidR="00845401" w:rsidRDefault="00845401" w:rsidP="008C44D8">
      <w:pPr>
        <w:pStyle w:val="Body"/>
        <w:spacing w:after="0"/>
        <w:rPr>
          <w:rFonts w:ascii="Arial" w:hAnsi="Arial" w:cs="Arial"/>
        </w:rPr>
      </w:pPr>
    </w:p>
    <w:p w14:paraId="4694845B" w14:textId="77777777" w:rsidR="00845401" w:rsidRDefault="00845401" w:rsidP="008C44D8">
      <w:pPr>
        <w:pStyle w:val="Body"/>
        <w:spacing w:after="0"/>
        <w:rPr>
          <w:rFonts w:ascii="Arial" w:hAnsi="Arial" w:cs="Arial"/>
        </w:rPr>
      </w:pPr>
      <w:r>
        <w:rPr>
          <w:rFonts w:ascii="Arial" w:hAnsi="Arial" w:cs="Arial"/>
          <w:b/>
          <w:sz w:val="22"/>
        </w:rPr>
        <w:t xml:space="preserve">3.1 </w:t>
      </w:r>
      <w:r w:rsidRPr="00845401">
        <w:rPr>
          <w:rFonts w:ascii="Arial" w:hAnsi="Arial" w:cs="Arial"/>
          <w:b/>
          <w:sz w:val="22"/>
        </w:rPr>
        <w:t>Changes in biomass with time across treatments</w:t>
      </w:r>
      <w:r>
        <w:rPr>
          <w:rFonts w:ascii="Arial" w:hAnsi="Arial" w:cs="Arial"/>
        </w:rPr>
        <w:t xml:space="preserve"> </w:t>
      </w:r>
    </w:p>
    <w:p w14:paraId="65D55F24" w14:textId="77777777" w:rsidR="00845401" w:rsidRDefault="00845401" w:rsidP="008C44D8">
      <w:pPr>
        <w:pStyle w:val="Body"/>
        <w:spacing w:after="0"/>
        <w:rPr>
          <w:rFonts w:ascii="Arial" w:hAnsi="Arial" w:cs="Arial"/>
        </w:rPr>
      </w:pPr>
    </w:p>
    <w:p w14:paraId="2DC2863F" w14:textId="39FC3340" w:rsidR="00845401" w:rsidRDefault="00845401" w:rsidP="008C44D8">
      <w:pPr>
        <w:pStyle w:val="Body"/>
        <w:spacing w:after="0"/>
        <w:rPr>
          <w:rFonts w:ascii="Arial" w:hAnsi="Arial" w:cs="Arial"/>
        </w:rPr>
      </w:pPr>
      <w:r w:rsidRPr="00845401">
        <w:rPr>
          <w:rFonts w:ascii="Arial" w:hAnsi="Arial" w:cs="Arial"/>
        </w:rPr>
        <w:t xml:space="preserve">Long-term monitoring of biomass showed that </w:t>
      </w:r>
      <w:r w:rsidR="00FD081F">
        <w:rPr>
          <w:rFonts w:ascii="Arial" w:hAnsi="Arial" w:cs="Arial"/>
        </w:rPr>
        <w:t xml:space="preserve">growth patterns varied with </w:t>
      </w:r>
      <w:r w:rsidRPr="00845401">
        <w:rPr>
          <w:rFonts w:ascii="Arial" w:hAnsi="Arial" w:cs="Arial"/>
        </w:rPr>
        <w:t>different treatments</w:t>
      </w:r>
      <w:r w:rsidR="00FD081F">
        <w:rPr>
          <w:rFonts w:ascii="Arial" w:hAnsi="Arial" w:cs="Arial"/>
        </w:rPr>
        <w:t xml:space="preserve"> implying </w:t>
      </w:r>
      <w:r w:rsidRPr="00845401">
        <w:rPr>
          <w:rFonts w:ascii="Arial" w:hAnsi="Arial" w:cs="Arial"/>
        </w:rPr>
        <w:t xml:space="preserve">that earthworms respond differently to </w:t>
      </w:r>
      <w:r w:rsidR="00FD081F">
        <w:rPr>
          <w:rFonts w:ascii="Arial" w:hAnsi="Arial" w:cs="Arial"/>
        </w:rPr>
        <w:t xml:space="preserve">the </w:t>
      </w:r>
      <w:r w:rsidRPr="00845401">
        <w:rPr>
          <w:rFonts w:ascii="Arial" w:hAnsi="Arial" w:cs="Arial"/>
        </w:rPr>
        <w:t>exposure</w:t>
      </w:r>
      <w:r w:rsidR="00FD081F">
        <w:rPr>
          <w:rFonts w:ascii="Arial" w:hAnsi="Arial" w:cs="Arial"/>
        </w:rPr>
        <w:t xml:space="preserve"> to different fertilizers</w:t>
      </w:r>
      <w:r w:rsidRPr="00845401">
        <w:rPr>
          <w:rFonts w:ascii="Arial" w:hAnsi="Arial" w:cs="Arial"/>
        </w:rPr>
        <w:t xml:space="preserve">. In the first three weeks, all groups, including the treated ones, saw a small rise in biomass. This early rise could be because the worms are getting used to their new environment and using the nutrients in the vermifeed substrate for a short time. </w:t>
      </w:r>
      <w:r>
        <w:rPr>
          <w:rFonts w:ascii="Arial" w:hAnsi="Arial" w:cs="Arial"/>
        </w:rPr>
        <w:t>C</w:t>
      </w:r>
      <w:r w:rsidRPr="00845401">
        <w:rPr>
          <w:rFonts w:ascii="Arial" w:hAnsi="Arial" w:cs="Arial"/>
        </w:rPr>
        <w:t xml:space="preserve">ontinuous monitoring of biomass indicated varied growth patterns across treatments, demonstrating differential physiological responses of earthworms to </w:t>
      </w:r>
      <w:r w:rsidR="00626189">
        <w:rPr>
          <w:rFonts w:ascii="Arial" w:hAnsi="Arial" w:cs="Arial"/>
        </w:rPr>
        <w:t>fertilizer</w:t>
      </w:r>
      <w:r w:rsidRPr="00845401">
        <w:rPr>
          <w:rFonts w:ascii="Arial" w:hAnsi="Arial" w:cs="Arial"/>
        </w:rPr>
        <w:t xml:space="preserve"> exposure. In the first three weeks, all groups, including the treated ones, noted a slight increase in biomass. This early rise may be due to the worms getting used to their new environment and using the nutrients in the vermifeed substrate for a short time.</w:t>
      </w:r>
    </w:p>
    <w:p w14:paraId="7F70A5EB" w14:textId="4FA0D6A0" w:rsidR="001B4BE6" w:rsidRDefault="004E140B" w:rsidP="004E140B">
      <w:pPr>
        <w:pStyle w:val="Body"/>
        <w:rPr>
          <w:rFonts w:ascii="Arial" w:hAnsi="Arial" w:cs="Arial"/>
          <w:lang w:val="en-IN"/>
        </w:rPr>
      </w:pPr>
      <w:r w:rsidRPr="004E140B">
        <w:rPr>
          <w:rFonts w:ascii="Arial" w:hAnsi="Arial" w:cs="Arial"/>
          <w:lang w:val="en-IN"/>
        </w:rPr>
        <w:t>Divergence in growth patterns, however, became more noticeable after week three. Over the course of the experiment, the biomass</w:t>
      </w:r>
      <w:r w:rsidR="00FD081F">
        <w:rPr>
          <w:rFonts w:ascii="Arial" w:hAnsi="Arial" w:cs="Arial"/>
          <w:lang w:val="en-IN"/>
        </w:rPr>
        <w:t xml:space="preserve"> of the control group</w:t>
      </w:r>
      <w:r w:rsidRPr="004E140B">
        <w:rPr>
          <w:rFonts w:ascii="Arial" w:hAnsi="Arial" w:cs="Arial"/>
          <w:lang w:val="en-IN"/>
        </w:rPr>
        <w:t xml:space="preserve"> </w:t>
      </w:r>
      <w:proofErr w:type="gramStart"/>
      <w:r w:rsidRPr="004E140B">
        <w:rPr>
          <w:rFonts w:ascii="Arial" w:hAnsi="Arial" w:cs="Arial"/>
          <w:lang w:val="en-IN"/>
        </w:rPr>
        <w:t>increased  gradually</w:t>
      </w:r>
      <w:proofErr w:type="gramEnd"/>
      <w:r w:rsidRPr="004E140B">
        <w:rPr>
          <w:rFonts w:ascii="Arial" w:hAnsi="Arial" w:cs="Arial"/>
          <w:lang w:val="en-IN"/>
        </w:rPr>
        <w:t>, suggesting ideal growth conditions and the lack of stressors. The urea-treated group, on the other hand, showed a steep and gradual decrease in biomass, which was especially noticeable after week five, indicating cumulative toxic effects.</w:t>
      </w:r>
    </w:p>
    <w:p w14:paraId="6885317A" w14:textId="7A77F3A4" w:rsidR="004E140B" w:rsidRPr="004E140B" w:rsidRDefault="004E140B" w:rsidP="004E140B">
      <w:pPr>
        <w:pStyle w:val="Body"/>
        <w:rPr>
          <w:rFonts w:ascii="Arial" w:hAnsi="Arial" w:cs="Arial"/>
          <w:lang w:val="en-IN"/>
        </w:rPr>
      </w:pPr>
      <w:r w:rsidRPr="004E140B">
        <w:rPr>
          <w:rFonts w:ascii="Arial" w:hAnsi="Arial" w:cs="Arial"/>
          <w:lang w:val="en-IN"/>
        </w:rPr>
        <w:t xml:space="preserve">The groups that received NPK treatment showed moderate reactions. Although the decline was less severe than that seen in the urea group, both NPK (15:15:15) and NPK (10:26:26) treatments showed initial stability followed by gradual reductions in biomass. It's interesting to note that the superphosphate treatment led to a steady </w:t>
      </w:r>
      <w:r w:rsidR="00AF74A0">
        <w:rPr>
          <w:rFonts w:ascii="Arial" w:hAnsi="Arial" w:cs="Arial"/>
          <w:lang w:val="en-IN"/>
        </w:rPr>
        <w:t>increase</w:t>
      </w:r>
      <w:r w:rsidRPr="004E140B">
        <w:rPr>
          <w:rFonts w:ascii="Arial" w:hAnsi="Arial" w:cs="Arial"/>
          <w:lang w:val="en-IN"/>
        </w:rPr>
        <w:t xml:space="preserve"> in biomass over time, eventually </w:t>
      </w:r>
      <w:proofErr w:type="gramStart"/>
      <w:r w:rsidRPr="004E140B">
        <w:rPr>
          <w:rFonts w:ascii="Arial" w:hAnsi="Arial" w:cs="Arial"/>
          <w:lang w:val="en-IN"/>
        </w:rPr>
        <w:t>exceeding</w:t>
      </w:r>
      <w:proofErr w:type="gramEnd"/>
      <w:r w:rsidRPr="004E140B">
        <w:rPr>
          <w:rFonts w:ascii="Arial" w:hAnsi="Arial" w:cs="Arial"/>
          <w:lang w:val="en-IN"/>
        </w:rPr>
        <w:t xml:space="preserve"> even the control group.</w:t>
      </w:r>
    </w:p>
    <w:p w14:paraId="629D4FC0" w14:textId="7DB08E7A" w:rsidR="004E140B" w:rsidRDefault="004E140B" w:rsidP="00AB0328">
      <w:pPr>
        <w:pStyle w:val="Body"/>
        <w:spacing w:after="0"/>
        <w:rPr>
          <w:rFonts w:ascii="Arial" w:hAnsi="Arial" w:cs="Arial"/>
          <w:lang w:val="en-IN"/>
        </w:rPr>
      </w:pPr>
      <w:r w:rsidRPr="004E140B">
        <w:rPr>
          <w:rFonts w:ascii="Arial" w:hAnsi="Arial" w:cs="Arial"/>
          <w:lang w:val="en-IN"/>
        </w:rPr>
        <w:t>The biomass measurements</w:t>
      </w:r>
      <w:r w:rsidR="00AF74A0">
        <w:rPr>
          <w:rFonts w:ascii="Arial" w:hAnsi="Arial" w:cs="Arial"/>
          <w:lang w:val="en-IN"/>
        </w:rPr>
        <w:t>, spaced two weeks apart, over a complete study period of 11 weeks</w:t>
      </w:r>
      <w:r w:rsidRPr="004E140B">
        <w:rPr>
          <w:rFonts w:ascii="Arial" w:hAnsi="Arial" w:cs="Arial"/>
          <w:lang w:val="en-IN"/>
        </w:rPr>
        <w:t xml:space="preserve"> are </w:t>
      </w:r>
      <w:r w:rsidR="00AB0328">
        <w:rPr>
          <w:rFonts w:ascii="Arial" w:hAnsi="Arial" w:cs="Arial"/>
          <w:lang w:val="en-IN"/>
        </w:rPr>
        <w:t>summarised</w:t>
      </w:r>
      <w:r w:rsidRPr="004E140B">
        <w:rPr>
          <w:rFonts w:ascii="Arial" w:hAnsi="Arial" w:cs="Arial"/>
          <w:lang w:val="en-IN"/>
        </w:rPr>
        <w:t xml:space="preserve"> in Table 1</w:t>
      </w:r>
      <w:r w:rsidR="00AF74A0">
        <w:rPr>
          <w:rFonts w:ascii="Arial" w:hAnsi="Arial" w:cs="Arial"/>
          <w:lang w:val="en-IN"/>
        </w:rPr>
        <w:t>. The changes in the biomass after the duration of the study have been presented</w:t>
      </w:r>
      <w:r w:rsidRPr="004E140B">
        <w:rPr>
          <w:rFonts w:ascii="Arial" w:hAnsi="Arial" w:cs="Arial"/>
          <w:lang w:val="en-IN"/>
        </w:rPr>
        <w:t xml:space="preserve"> using descriptive statistics</w:t>
      </w:r>
      <w:r w:rsidR="00AF74A0">
        <w:rPr>
          <w:rFonts w:ascii="Arial" w:hAnsi="Arial" w:cs="Arial"/>
          <w:lang w:val="en-IN"/>
        </w:rPr>
        <w:t xml:space="preserve"> in Table 2</w:t>
      </w:r>
      <w:r w:rsidRPr="004E140B">
        <w:rPr>
          <w:rFonts w:ascii="Arial" w:hAnsi="Arial" w:cs="Arial"/>
          <w:lang w:val="en-IN"/>
        </w:rPr>
        <w:t>. The biomass values at the beginning (Week 1) and end (Week 11), the average biomass over the course of the study, the standard deviation (SD), and the percentage change are</w:t>
      </w:r>
      <w:r w:rsidR="00AB0328">
        <w:rPr>
          <w:rFonts w:ascii="Arial" w:hAnsi="Arial" w:cs="Arial"/>
          <w:lang w:val="en-IN"/>
        </w:rPr>
        <w:t xml:space="preserve"> </w:t>
      </w:r>
      <w:r w:rsidRPr="004E140B">
        <w:rPr>
          <w:rFonts w:ascii="Arial" w:hAnsi="Arial" w:cs="Arial"/>
          <w:lang w:val="en-IN"/>
        </w:rPr>
        <w:t>included in the table.</w:t>
      </w:r>
      <w:r>
        <w:rPr>
          <w:rFonts w:ascii="Arial" w:hAnsi="Arial" w:cs="Arial"/>
          <w:lang w:val="en-IN"/>
        </w:rPr>
        <w:t xml:space="preserve"> </w:t>
      </w:r>
      <w:r w:rsidRPr="004E140B">
        <w:rPr>
          <w:rFonts w:ascii="Arial" w:hAnsi="Arial" w:cs="Arial"/>
          <w:lang w:val="en-IN"/>
        </w:rPr>
        <w:t>The biomass of the control group increased by 8.56%, indicating that normal growth was possible under the experimental conditions.</w:t>
      </w:r>
      <w:r>
        <w:rPr>
          <w:rFonts w:ascii="Arial" w:hAnsi="Arial" w:cs="Arial"/>
          <w:lang w:val="en-IN"/>
        </w:rPr>
        <w:t xml:space="preserve"> </w:t>
      </w:r>
      <w:r w:rsidRPr="004E140B">
        <w:rPr>
          <w:rFonts w:ascii="Arial" w:hAnsi="Arial" w:cs="Arial"/>
          <w:lang w:val="en-IN"/>
        </w:rPr>
        <w:t xml:space="preserve">The biomass of the urea-treated group was drastically reduced by 72.10%, which was the greatest reduction of any treatment. Individual response variability is indicated by the comparatively high standard deviation (SD = 8.99), which may </w:t>
      </w:r>
      <w:r w:rsidRPr="004E140B">
        <w:rPr>
          <w:rFonts w:ascii="Arial" w:hAnsi="Arial" w:cs="Arial"/>
          <w:lang w:val="en-IN"/>
        </w:rPr>
        <w:lastRenderedPageBreak/>
        <w:t>be the result of varying tolerance levels</w:t>
      </w:r>
      <w:r w:rsidR="00AB0328">
        <w:rPr>
          <w:rFonts w:ascii="Arial" w:hAnsi="Arial" w:cs="Arial"/>
          <w:lang w:val="en-IN"/>
        </w:rPr>
        <w:t xml:space="preserve"> of worms</w:t>
      </w:r>
      <w:r w:rsidRPr="004E140B">
        <w:rPr>
          <w:rFonts w:ascii="Arial" w:hAnsi="Arial" w:cs="Arial"/>
          <w:lang w:val="en-IN"/>
        </w:rPr>
        <w:t>.</w:t>
      </w:r>
      <w:r w:rsidRPr="004E140B">
        <w:rPr>
          <w:rFonts w:ascii="Arial" w:hAnsi="Arial" w:cs="Arial"/>
          <w:lang w:val="en-IN"/>
        </w:rPr>
        <w:br/>
        <w:t>Treatments with NPK (15:15:15) and NPK (10:26:26) demonstrated moderate declines (−16.87% and −16.31%, respectively), indicating sublethal stress.</w:t>
      </w:r>
      <w:r>
        <w:rPr>
          <w:rFonts w:ascii="Arial" w:hAnsi="Arial" w:cs="Arial"/>
          <w:lang w:val="en-IN"/>
        </w:rPr>
        <w:t xml:space="preserve"> </w:t>
      </w:r>
      <w:r w:rsidRPr="004E140B">
        <w:rPr>
          <w:rFonts w:ascii="Arial" w:hAnsi="Arial" w:cs="Arial"/>
          <w:lang w:val="en-IN"/>
        </w:rPr>
        <w:t>The superphosphate group showed a 19.15% increase in biomass, suggesting both low toxicity and potential growth stimulation.</w:t>
      </w:r>
    </w:p>
    <w:p w14:paraId="5CA08109" w14:textId="77777777" w:rsidR="00AF74A0" w:rsidRDefault="00AF74A0" w:rsidP="00AB0328">
      <w:pPr>
        <w:pStyle w:val="Body"/>
        <w:spacing w:after="0"/>
        <w:rPr>
          <w:rFonts w:ascii="Arial" w:hAnsi="Arial" w:cs="Arial"/>
          <w:lang w:val="en-IN"/>
        </w:rPr>
      </w:pPr>
    </w:p>
    <w:p w14:paraId="05FEF1F7" w14:textId="32319E5E" w:rsidR="00AF74A0" w:rsidRPr="00AF74A0" w:rsidRDefault="00AF74A0" w:rsidP="00AF74A0">
      <w:pPr>
        <w:pStyle w:val="Body"/>
        <w:rPr>
          <w:rFonts w:ascii="Arial" w:hAnsi="Arial" w:cs="Arial"/>
        </w:rPr>
      </w:pPr>
      <w:r w:rsidRPr="00AF74A0">
        <w:rPr>
          <w:rFonts w:ascii="Arial" w:hAnsi="Arial" w:cs="Arial"/>
        </w:rPr>
        <w:t xml:space="preserve">Table 1: Change in the </w:t>
      </w:r>
      <w:r>
        <w:rPr>
          <w:rFonts w:ascii="Arial" w:hAnsi="Arial" w:cs="Arial"/>
        </w:rPr>
        <w:t>biomass</w:t>
      </w:r>
      <w:r w:rsidRPr="00AF74A0">
        <w:rPr>
          <w:rFonts w:ascii="Arial" w:hAnsi="Arial" w:cs="Arial"/>
        </w:rPr>
        <w:t xml:space="preserve"> (gm) of earthworms</w:t>
      </w:r>
    </w:p>
    <w:tbl>
      <w:tblPr>
        <w:tblStyle w:val="TableGrid"/>
        <w:tblW w:w="5000" w:type="pct"/>
        <w:tblLook w:val="0600" w:firstRow="0" w:lastRow="0" w:firstColumn="0" w:lastColumn="0" w:noHBand="1" w:noVBand="1"/>
      </w:tblPr>
      <w:tblGrid>
        <w:gridCol w:w="1258"/>
        <w:gridCol w:w="1376"/>
        <w:gridCol w:w="1230"/>
        <w:gridCol w:w="1282"/>
        <w:gridCol w:w="1248"/>
        <w:gridCol w:w="1804"/>
      </w:tblGrid>
      <w:tr w:rsidR="00AF74A0" w:rsidRPr="00AC6CC2" w14:paraId="7E3CBA9B" w14:textId="77777777" w:rsidTr="00AF74A0">
        <w:trPr>
          <w:trHeight w:val="432"/>
        </w:trPr>
        <w:tc>
          <w:tcPr>
            <w:tcW w:w="768" w:type="pct"/>
            <w:vAlign w:val="center"/>
            <w:hideMark/>
          </w:tcPr>
          <w:p w14:paraId="37F39ED5" w14:textId="77777777" w:rsidR="00AF74A0" w:rsidRPr="00AF74A0" w:rsidRDefault="00AF74A0" w:rsidP="00AF74A0">
            <w:pPr>
              <w:pStyle w:val="TableParagraph"/>
              <w:ind w:left="120"/>
              <w:rPr>
                <w:rFonts w:ascii="Arial" w:hAnsi="Arial" w:cs="Arial"/>
                <w:sz w:val="20"/>
                <w:szCs w:val="20"/>
              </w:rPr>
            </w:pPr>
          </w:p>
        </w:tc>
        <w:tc>
          <w:tcPr>
            <w:tcW w:w="840" w:type="pct"/>
            <w:vAlign w:val="center"/>
            <w:hideMark/>
          </w:tcPr>
          <w:p w14:paraId="18212F6B"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Control</w:t>
            </w:r>
          </w:p>
        </w:tc>
        <w:tc>
          <w:tcPr>
            <w:tcW w:w="750" w:type="pct"/>
            <w:vAlign w:val="center"/>
            <w:hideMark/>
          </w:tcPr>
          <w:p w14:paraId="4C24CDC6"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Urea</w:t>
            </w:r>
          </w:p>
        </w:tc>
        <w:tc>
          <w:tcPr>
            <w:tcW w:w="782" w:type="pct"/>
            <w:vAlign w:val="center"/>
            <w:hideMark/>
          </w:tcPr>
          <w:p w14:paraId="3AF6FDB8" w14:textId="15286650" w:rsidR="00AF74A0" w:rsidRPr="00AF74A0" w:rsidRDefault="00AF74A0" w:rsidP="00AF74A0">
            <w:pPr>
              <w:pStyle w:val="TableParagraph"/>
              <w:ind w:left="120"/>
              <w:rPr>
                <w:rFonts w:ascii="Arial" w:hAnsi="Arial" w:cs="Arial"/>
                <w:sz w:val="20"/>
                <w:szCs w:val="20"/>
              </w:rPr>
            </w:pPr>
            <w:r>
              <w:rPr>
                <w:rFonts w:ascii="Arial" w:hAnsi="Arial" w:cs="Arial"/>
                <w:sz w:val="20"/>
                <w:szCs w:val="20"/>
              </w:rPr>
              <w:t xml:space="preserve">NPK </w:t>
            </w:r>
            <w:r w:rsidRPr="00AF74A0">
              <w:rPr>
                <w:rFonts w:ascii="Arial" w:hAnsi="Arial" w:cs="Arial"/>
                <w:sz w:val="20"/>
                <w:szCs w:val="20"/>
              </w:rPr>
              <w:t>15:15:15</w:t>
            </w:r>
          </w:p>
        </w:tc>
        <w:tc>
          <w:tcPr>
            <w:tcW w:w="761" w:type="pct"/>
            <w:vAlign w:val="center"/>
            <w:hideMark/>
          </w:tcPr>
          <w:p w14:paraId="30705F0D" w14:textId="07E73DD9" w:rsidR="00AF74A0" w:rsidRPr="00AF74A0" w:rsidRDefault="00AF74A0" w:rsidP="00AF74A0">
            <w:pPr>
              <w:pStyle w:val="TableParagraph"/>
              <w:ind w:left="120"/>
              <w:rPr>
                <w:rFonts w:ascii="Arial" w:hAnsi="Arial" w:cs="Arial"/>
                <w:sz w:val="20"/>
                <w:szCs w:val="20"/>
              </w:rPr>
            </w:pPr>
            <w:r>
              <w:rPr>
                <w:rFonts w:ascii="Arial" w:hAnsi="Arial" w:cs="Arial"/>
                <w:sz w:val="20"/>
                <w:szCs w:val="20"/>
              </w:rPr>
              <w:t xml:space="preserve">NPK </w:t>
            </w:r>
            <w:r w:rsidRPr="00AF74A0">
              <w:rPr>
                <w:rFonts w:ascii="Arial" w:hAnsi="Arial" w:cs="Arial"/>
                <w:sz w:val="20"/>
                <w:szCs w:val="20"/>
              </w:rPr>
              <w:t>10:26:26</w:t>
            </w:r>
          </w:p>
        </w:tc>
        <w:tc>
          <w:tcPr>
            <w:tcW w:w="1100" w:type="pct"/>
            <w:vAlign w:val="center"/>
            <w:hideMark/>
          </w:tcPr>
          <w:p w14:paraId="61FB3C14"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Superphosphate</w:t>
            </w:r>
          </w:p>
        </w:tc>
      </w:tr>
      <w:tr w:rsidR="00AF74A0" w:rsidRPr="00AC6CC2" w14:paraId="41F704FA" w14:textId="77777777" w:rsidTr="00AF74A0">
        <w:trPr>
          <w:trHeight w:val="432"/>
        </w:trPr>
        <w:tc>
          <w:tcPr>
            <w:tcW w:w="768" w:type="pct"/>
            <w:vAlign w:val="center"/>
            <w:hideMark/>
          </w:tcPr>
          <w:p w14:paraId="7ACFC95C"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Week 1</w:t>
            </w:r>
          </w:p>
        </w:tc>
        <w:tc>
          <w:tcPr>
            <w:tcW w:w="840" w:type="pct"/>
            <w:vAlign w:val="center"/>
            <w:hideMark/>
          </w:tcPr>
          <w:p w14:paraId="106CD4C6"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25.93</w:t>
            </w:r>
          </w:p>
        </w:tc>
        <w:tc>
          <w:tcPr>
            <w:tcW w:w="750" w:type="pct"/>
            <w:vAlign w:val="center"/>
            <w:hideMark/>
          </w:tcPr>
          <w:p w14:paraId="3A2B5745"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27.72</w:t>
            </w:r>
          </w:p>
        </w:tc>
        <w:tc>
          <w:tcPr>
            <w:tcW w:w="782" w:type="pct"/>
            <w:vAlign w:val="center"/>
            <w:hideMark/>
          </w:tcPr>
          <w:p w14:paraId="2BBFB368"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26.49</w:t>
            </w:r>
          </w:p>
        </w:tc>
        <w:tc>
          <w:tcPr>
            <w:tcW w:w="761" w:type="pct"/>
            <w:vAlign w:val="center"/>
            <w:hideMark/>
          </w:tcPr>
          <w:p w14:paraId="74525F3D"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28.88</w:t>
            </w:r>
          </w:p>
        </w:tc>
        <w:tc>
          <w:tcPr>
            <w:tcW w:w="1100" w:type="pct"/>
            <w:vAlign w:val="center"/>
            <w:hideMark/>
          </w:tcPr>
          <w:p w14:paraId="171CABC9"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23.45</w:t>
            </w:r>
          </w:p>
        </w:tc>
      </w:tr>
      <w:tr w:rsidR="00AF74A0" w:rsidRPr="00AC6CC2" w14:paraId="4A23CDD5" w14:textId="77777777" w:rsidTr="00AF74A0">
        <w:trPr>
          <w:trHeight w:val="432"/>
        </w:trPr>
        <w:tc>
          <w:tcPr>
            <w:tcW w:w="768" w:type="pct"/>
            <w:vAlign w:val="center"/>
            <w:hideMark/>
          </w:tcPr>
          <w:p w14:paraId="3C86C52F"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Week 3</w:t>
            </w:r>
          </w:p>
        </w:tc>
        <w:tc>
          <w:tcPr>
            <w:tcW w:w="840" w:type="pct"/>
            <w:vAlign w:val="center"/>
            <w:hideMark/>
          </w:tcPr>
          <w:p w14:paraId="1947782A"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40.02</w:t>
            </w:r>
          </w:p>
        </w:tc>
        <w:tc>
          <w:tcPr>
            <w:tcW w:w="750" w:type="pct"/>
            <w:vAlign w:val="center"/>
            <w:hideMark/>
          </w:tcPr>
          <w:p w14:paraId="65D99FCC"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30.19</w:t>
            </w:r>
          </w:p>
        </w:tc>
        <w:tc>
          <w:tcPr>
            <w:tcW w:w="782" w:type="pct"/>
            <w:vAlign w:val="center"/>
            <w:hideMark/>
          </w:tcPr>
          <w:p w14:paraId="68D44C51"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31.42</w:t>
            </w:r>
          </w:p>
        </w:tc>
        <w:tc>
          <w:tcPr>
            <w:tcW w:w="761" w:type="pct"/>
            <w:vAlign w:val="center"/>
            <w:hideMark/>
          </w:tcPr>
          <w:p w14:paraId="3380BF41"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38.42</w:t>
            </w:r>
          </w:p>
        </w:tc>
        <w:tc>
          <w:tcPr>
            <w:tcW w:w="1100" w:type="pct"/>
            <w:vAlign w:val="center"/>
            <w:hideMark/>
          </w:tcPr>
          <w:p w14:paraId="6D35F5CE"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40.55</w:t>
            </w:r>
          </w:p>
        </w:tc>
      </w:tr>
      <w:tr w:rsidR="00AF74A0" w:rsidRPr="00AC6CC2" w14:paraId="6023800F" w14:textId="77777777" w:rsidTr="00AF74A0">
        <w:trPr>
          <w:trHeight w:val="432"/>
        </w:trPr>
        <w:tc>
          <w:tcPr>
            <w:tcW w:w="768" w:type="pct"/>
            <w:vAlign w:val="center"/>
            <w:hideMark/>
          </w:tcPr>
          <w:p w14:paraId="5A9C30BB"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Week 5</w:t>
            </w:r>
          </w:p>
        </w:tc>
        <w:tc>
          <w:tcPr>
            <w:tcW w:w="840" w:type="pct"/>
            <w:vAlign w:val="center"/>
            <w:hideMark/>
          </w:tcPr>
          <w:p w14:paraId="3506534C"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38.94</w:t>
            </w:r>
          </w:p>
        </w:tc>
        <w:tc>
          <w:tcPr>
            <w:tcW w:w="750" w:type="pct"/>
            <w:vAlign w:val="center"/>
            <w:hideMark/>
          </w:tcPr>
          <w:p w14:paraId="4EB64A86"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19.84</w:t>
            </w:r>
          </w:p>
        </w:tc>
        <w:tc>
          <w:tcPr>
            <w:tcW w:w="782" w:type="pct"/>
            <w:vAlign w:val="center"/>
            <w:hideMark/>
          </w:tcPr>
          <w:p w14:paraId="4255CE32"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26.96</w:t>
            </w:r>
          </w:p>
        </w:tc>
        <w:tc>
          <w:tcPr>
            <w:tcW w:w="761" w:type="pct"/>
            <w:vAlign w:val="center"/>
            <w:hideMark/>
          </w:tcPr>
          <w:p w14:paraId="70D433FF"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33.75</w:t>
            </w:r>
          </w:p>
        </w:tc>
        <w:tc>
          <w:tcPr>
            <w:tcW w:w="1100" w:type="pct"/>
            <w:vAlign w:val="center"/>
            <w:hideMark/>
          </w:tcPr>
          <w:p w14:paraId="17DBA3B1"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41.36</w:t>
            </w:r>
          </w:p>
        </w:tc>
      </w:tr>
      <w:tr w:rsidR="00AF74A0" w:rsidRPr="00AC6CC2" w14:paraId="3FA3A30B" w14:textId="77777777" w:rsidTr="00AF74A0">
        <w:trPr>
          <w:trHeight w:val="432"/>
        </w:trPr>
        <w:tc>
          <w:tcPr>
            <w:tcW w:w="768" w:type="pct"/>
            <w:vAlign w:val="center"/>
            <w:hideMark/>
          </w:tcPr>
          <w:p w14:paraId="4CF4B995"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Week 7</w:t>
            </w:r>
          </w:p>
        </w:tc>
        <w:tc>
          <w:tcPr>
            <w:tcW w:w="840" w:type="pct"/>
            <w:vAlign w:val="center"/>
            <w:hideMark/>
          </w:tcPr>
          <w:p w14:paraId="638065D0"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34.96</w:t>
            </w:r>
          </w:p>
        </w:tc>
        <w:tc>
          <w:tcPr>
            <w:tcW w:w="750" w:type="pct"/>
            <w:vAlign w:val="center"/>
            <w:hideMark/>
          </w:tcPr>
          <w:p w14:paraId="4FCED0DA"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14.77</w:t>
            </w:r>
          </w:p>
        </w:tc>
        <w:tc>
          <w:tcPr>
            <w:tcW w:w="782" w:type="pct"/>
            <w:vAlign w:val="center"/>
            <w:hideMark/>
          </w:tcPr>
          <w:p w14:paraId="4C2F1170"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27.03</w:t>
            </w:r>
          </w:p>
        </w:tc>
        <w:tc>
          <w:tcPr>
            <w:tcW w:w="761" w:type="pct"/>
            <w:vAlign w:val="center"/>
            <w:hideMark/>
          </w:tcPr>
          <w:p w14:paraId="44BCD226"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30.12</w:t>
            </w:r>
          </w:p>
        </w:tc>
        <w:tc>
          <w:tcPr>
            <w:tcW w:w="1100" w:type="pct"/>
            <w:vAlign w:val="center"/>
            <w:hideMark/>
          </w:tcPr>
          <w:p w14:paraId="1AD6DB31"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36.20</w:t>
            </w:r>
          </w:p>
        </w:tc>
      </w:tr>
      <w:tr w:rsidR="00AF74A0" w:rsidRPr="00AC6CC2" w14:paraId="62EE166F" w14:textId="77777777" w:rsidTr="00AF74A0">
        <w:trPr>
          <w:trHeight w:val="432"/>
        </w:trPr>
        <w:tc>
          <w:tcPr>
            <w:tcW w:w="768" w:type="pct"/>
            <w:vAlign w:val="center"/>
            <w:hideMark/>
          </w:tcPr>
          <w:p w14:paraId="03B2B856"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Week 9</w:t>
            </w:r>
          </w:p>
        </w:tc>
        <w:tc>
          <w:tcPr>
            <w:tcW w:w="840" w:type="pct"/>
            <w:vAlign w:val="center"/>
            <w:hideMark/>
          </w:tcPr>
          <w:p w14:paraId="7A567ED3"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34.63</w:t>
            </w:r>
          </w:p>
        </w:tc>
        <w:tc>
          <w:tcPr>
            <w:tcW w:w="750" w:type="pct"/>
            <w:vAlign w:val="center"/>
            <w:hideMark/>
          </w:tcPr>
          <w:p w14:paraId="634C5EB5"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11.37</w:t>
            </w:r>
          </w:p>
        </w:tc>
        <w:tc>
          <w:tcPr>
            <w:tcW w:w="782" w:type="pct"/>
            <w:vAlign w:val="center"/>
            <w:hideMark/>
          </w:tcPr>
          <w:p w14:paraId="03DA41EA"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26.14</w:t>
            </w:r>
          </w:p>
        </w:tc>
        <w:tc>
          <w:tcPr>
            <w:tcW w:w="761" w:type="pct"/>
            <w:vAlign w:val="center"/>
            <w:hideMark/>
          </w:tcPr>
          <w:p w14:paraId="671F60A8"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25.36</w:t>
            </w:r>
          </w:p>
        </w:tc>
        <w:tc>
          <w:tcPr>
            <w:tcW w:w="1100" w:type="pct"/>
            <w:vAlign w:val="center"/>
            <w:hideMark/>
          </w:tcPr>
          <w:p w14:paraId="39CC0524"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30.73</w:t>
            </w:r>
          </w:p>
        </w:tc>
      </w:tr>
      <w:tr w:rsidR="00AF74A0" w:rsidRPr="00AC6CC2" w14:paraId="0CA73D4B" w14:textId="77777777" w:rsidTr="00AF74A0">
        <w:trPr>
          <w:trHeight w:val="432"/>
        </w:trPr>
        <w:tc>
          <w:tcPr>
            <w:tcW w:w="768" w:type="pct"/>
            <w:vAlign w:val="center"/>
            <w:hideMark/>
          </w:tcPr>
          <w:p w14:paraId="62DF90CA"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Week 11</w:t>
            </w:r>
          </w:p>
        </w:tc>
        <w:tc>
          <w:tcPr>
            <w:tcW w:w="840" w:type="pct"/>
            <w:vAlign w:val="center"/>
            <w:hideMark/>
          </w:tcPr>
          <w:p w14:paraId="35C287E0"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28.15</w:t>
            </w:r>
          </w:p>
        </w:tc>
        <w:tc>
          <w:tcPr>
            <w:tcW w:w="750" w:type="pct"/>
            <w:vAlign w:val="center"/>
            <w:hideMark/>
          </w:tcPr>
          <w:p w14:paraId="02E364D6"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7.73</w:t>
            </w:r>
          </w:p>
        </w:tc>
        <w:tc>
          <w:tcPr>
            <w:tcW w:w="782" w:type="pct"/>
            <w:vAlign w:val="center"/>
            <w:hideMark/>
          </w:tcPr>
          <w:p w14:paraId="68A00BA7"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22.02</w:t>
            </w:r>
          </w:p>
        </w:tc>
        <w:tc>
          <w:tcPr>
            <w:tcW w:w="761" w:type="pct"/>
            <w:vAlign w:val="center"/>
            <w:hideMark/>
          </w:tcPr>
          <w:p w14:paraId="5EEC026D"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24.17</w:t>
            </w:r>
          </w:p>
        </w:tc>
        <w:tc>
          <w:tcPr>
            <w:tcW w:w="1100" w:type="pct"/>
            <w:vAlign w:val="center"/>
            <w:hideMark/>
          </w:tcPr>
          <w:p w14:paraId="1F25EAA3" w14:textId="77777777" w:rsidR="00AF74A0" w:rsidRPr="00AF74A0" w:rsidRDefault="00AF74A0" w:rsidP="00AF74A0">
            <w:pPr>
              <w:pStyle w:val="TableParagraph"/>
              <w:ind w:left="120"/>
              <w:rPr>
                <w:rFonts w:ascii="Arial" w:hAnsi="Arial" w:cs="Arial"/>
                <w:sz w:val="20"/>
                <w:szCs w:val="20"/>
              </w:rPr>
            </w:pPr>
            <w:r w:rsidRPr="00AF74A0">
              <w:rPr>
                <w:rFonts w:ascii="Arial" w:hAnsi="Arial" w:cs="Arial"/>
                <w:sz w:val="20"/>
                <w:szCs w:val="20"/>
              </w:rPr>
              <w:t>27.94</w:t>
            </w:r>
          </w:p>
        </w:tc>
      </w:tr>
    </w:tbl>
    <w:p w14:paraId="093CE727" w14:textId="77777777" w:rsidR="00AF74A0" w:rsidRPr="004E140B" w:rsidRDefault="00AF74A0" w:rsidP="00AB0328">
      <w:pPr>
        <w:pStyle w:val="Body"/>
        <w:spacing w:after="0"/>
        <w:rPr>
          <w:rFonts w:ascii="Arial" w:hAnsi="Arial" w:cs="Arial"/>
          <w:lang w:val="en-IN"/>
        </w:rPr>
      </w:pPr>
    </w:p>
    <w:p w14:paraId="480967B8" w14:textId="77777777" w:rsidR="004E140B" w:rsidRPr="004E140B" w:rsidRDefault="004E140B" w:rsidP="00AB0328">
      <w:pPr>
        <w:pStyle w:val="Body"/>
        <w:spacing w:after="0"/>
        <w:rPr>
          <w:rFonts w:ascii="Arial" w:hAnsi="Arial" w:cs="Arial"/>
          <w:lang w:val="en-IN"/>
        </w:rPr>
      </w:pPr>
    </w:p>
    <w:p w14:paraId="0222D178" w14:textId="2BDCD80F" w:rsidR="004E140B" w:rsidRDefault="004E140B" w:rsidP="004E140B">
      <w:pPr>
        <w:pStyle w:val="Body"/>
        <w:rPr>
          <w:rFonts w:ascii="Arial" w:hAnsi="Arial" w:cs="Arial"/>
          <w:lang w:val="en-IN"/>
        </w:rPr>
      </w:pPr>
      <w:r w:rsidRPr="004E140B">
        <w:rPr>
          <w:rFonts w:ascii="Arial" w:hAnsi="Arial" w:cs="Arial"/>
          <w:lang w:val="en-IN"/>
        </w:rPr>
        <w:t>The reliability of the observed trends is further strengthened by the relatively moderate SD values across treatments, which show that responses were fairly consistent within groups.</w:t>
      </w:r>
    </w:p>
    <w:p w14:paraId="7A125C4C" w14:textId="111806E2" w:rsidR="00E20A88" w:rsidRPr="00AC76DA" w:rsidRDefault="00E20A88" w:rsidP="008C44D8">
      <w:pPr>
        <w:pStyle w:val="Body"/>
        <w:rPr>
          <w:rFonts w:ascii="Arial" w:hAnsi="Arial" w:cs="Arial"/>
        </w:rPr>
      </w:pPr>
      <w:r w:rsidRPr="00AC76DA">
        <w:rPr>
          <w:rFonts w:ascii="Arial" w:hAnsi="Arial" w:cs="Arial"/>
        </w:rPr>
        <w:t>Table</w:t>
      </w:r>
      <w:r w:rsidRPr="00AF74A0">
        <w:rPr>
          <w:rFonts w:ascii="Arial" w:hAnsi="Arial" w:cs="Arial"/>
        </w:rPr>
        <w:t xml:space="preserve"> </w:t>
      </w:r>
      <w:r w:rsidR="00AF74A0" w:rsidRPr="00AF74A0">
        <w:rPr>
          <w:rFonts w:ascii="Arial" w:hAnsi="Arial" w:cs="Arial"/>
        </w:rPr>
        <w:t>2</w:t>
      </w:r>
      <w:r w:rsidRPr="00AF74A0">
        <w:rPr>
          <w:rFonts w:ascii="Arial" w:hAnsi="Arial" w:cs="Arial"/>
        </w:rPr>
        <w:t>. Descriptive</w:t>
      </w:r>
      <w:r w:rsidRPr="00AC76DA">
        <w:rPr>
          <w:rFonts w:ascii="Arial" w:hAnsi="Arial" w:cs="Arial"/>
        </w:rPr>
        <w:t xml:space="preserve"> statistics for treatment-wise biomass trajectories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2066"/>
        <w:gridCol w:w="1259"/>
        <w:gridCol w:w="1276"/>
        <w:gridCol w:w="1199"/>
        <w:gridCol w:w="1199"/>
        <w:gridCol w:w="1199"/>
      </w:tblGrid>
      <w:tr w:rsidR="00AF74A0" w:rsidRPr="00F8601D" w14:paraId="09D9F4C5" w14:textId="77777777" w:rsidTr="00AF74A0">
        <w:trPr>
          <w:trHeight w:val="470"/>
        </w:trPr>
        <w:tc>
          <w:tcPr>
            <w:tcW w:w="1260" w:type="pct"/>
            <w:vMerge w:val="restart"/>
            <w:shd w:val="clear" w:color="auto" w:fill="D8E6F2"/>
          </w:tcPr>
          <w:p w14:paraId="2D6BBE0E" w14:textId="77777777" w:rsidR="00AF74A0" w:rsidRPr="00AC76DA" w:rsidRDefault="00AF74A0" w:rsidP="00B31611">
            <w:pPr>
              <w:pStyle w:val="TableParagraph"/>
              <w:ind w:left="120"/>
              <w:rPr>
                <w:rFonts w:ascii="Arial" w:hAnsi="Arial" w:cs="Arial"/>
                <w:b/>
                <w:sz w:val="20"/>
                <w:szCs w:val="20"/>
              </w:rPr>
            </w:pPr>
            <w:r w:rsidRPr="00AC76DA">
              <w:rPr>
                <w:rFonts w:ascii="Arial" w:hAnsi="Arial" w:cs="Arial"/>
                <w:b/>
                <w:spacing w:val="-2"/>
                <w:sz w:val="20"/>
                <w:szCs w:val="20"/>
              </w:rPr>
              <w:t>Treatment</w:t>
            </w:r>
          </w:p>
        </w:tc>
        <w:tc>
          <w:tcPr>
            <w:tcW w:w="1546" w:type="pct"/>
            <w:gridSpan w:val="2"/>
            <w:shd w:val="clear" w:color="auto" w:fill="D8E6F2"/>
          </w:tcPr>
          <w:p w14:paraId="1CECFED8" w14:textId="2DC03D3C" w:rsidR="00AF74A0" w:rsidRPr="00AC76DA" w:rsidRDefault="00AF74A0" w:rsidP="00B31611">
            <w:pPr>
              <w:pStyle w:val="TableParagraph"/>
              <w:ind w:right="282"/>
              <w:jc w:val="center"/>
              <w:rPr>
                <w:rFonts w:ascii="Arial" w:hAnsi="Arial" w:cs="Arial"/>
                <w:b/>
                <w:sz w:val="20"/>
                <w:szCs w:val="20"/>
              </w:rPr>
            </w:pPr>
            <w:r>
              <w:rPr>
                <w:rFonts w:ascii="Arial" w:hAnsi="Arial" w:cs="Arial"/>
                <w:b/>
                <w:sz w:val="20"/>
                <w:szCs w:val="20"/>
              </w:rPr>
              <w:t>Total Biomass of earthworms in gram</w:t>
            </w:r>
          </w:p>
        </w:tc>
        <w:tc>
          <w:tcPr>
            <w:tcW w:w="731" w:type="pct"/>
            <w:vMerge w:val="restart"/>
            <w:shd w:val="clear" w:color="auto" w:fill="D8E6F2"/>
          </w:tcPr>
          <w:p w14:paraId="4AF95E63" w14:textId="77777777" w:rsidR="00AF74A0" w:rsidRPr="00AC76DA" w:rsidRDefault="00AF74A0" w:rsidP="00B31611">
            <w:pPr>
              <w:pStyle w:val="TableParagraph"/>
              <w:ind w:left="119"/>
              <w:jc w:val="center"/>
              <w:rPr>
                <w:rFonts w:ascii="Arial" w:hAnsi="Arial" w:cs="Arial"/>
                <w:b/>
                <w:sz w:val="20"/>
                <w:szCs w:val="20"/>
              </w:rPr>
            </w:pPr>
            <w:r w:rsidRPr="00AC76DA">
              <w:rPr>
                <w:rFonts w:ascii="Arial" w:hAnsi="Arial" w:cs="Arial"/>
                <w:b/>
                <w:spacing w:val="-4"/>
                <w:sz w:val="20"/>
                <w:szCs w:val="20"/>
              </w:rPr>
              <w:t>Mean</w:t>
            </w:r>
          </w:p>
        </w:tc>
        <w:tc>
          <w:tcPr>
            <w:tcW w:w="731" w:type="pct"/>
            <w:vMerge w:val="restart"/>
            <w:shd w:val="clear" w:color="auto" w:fill="D8E6F2"/>
          </w:tcPr>
          <w:p w14:paraId="5BA6E576" w14:textId="77777777" w:rsidR="00AF74A0" w:rsidRPr="00AC76DA" w:rsidRDefault="00AF74A0" w:rsidP="00B31611">
            <w:pPr>
              <w:pStyle w:val="TableParagraph"/>
              <w:ind w:left="119"/>
              <w:jc w:val="center"/>
              <w:rPr>
                <w:rFonts w:ascii="Arial" w:hAnsi="Arial" w:cs="Arial"/>
                <w:b/>
                <w:sz w:val="20"/>
                <w:szCs w:val="20"/>
              </w:rPr>
            </w:pPr>
            <w:r w:rsidRPr="00AC76DA">
              <w:rPr>
                <w:rFonts w:ascii="Arial" w:hAnsi="Arial" w:cs="Arial"/>
                <w:b/>
                <w:spacing w:val="-5"/>
                <w:sz w:val="20"/>
                <w:szCs w:val="20"/>
              </w:rPr>
              <w:t>SD</w:t>
            </w:r>
          </w:p>
        </w:tc>
        <w:tc>
          <w:tcPr>
            <w:tcW w:w="731" w:type="pct"/>
            <w:vMerge w:val="restart"/>
            <w:shd w:val="clear" w:color="auto" w:fill="D8E6F2"/>
          </w:tcPr>
          <w:p w14:paraId="2CBDD67B" w14:textId="77777777" w:rsidR="00AF74A0" w:rsidRPr="00AC76DA" w:rsidRDefault="00AF74A0" w:rsidP="00B31611">
            <w:pPr>
              <w:pStyle w:val="TableParagraph"/>
              <w:ind w:left="8" w:right="51"/>
              <w:jc w:val="center"/>
              <w:rPr>
                <w:rFonts w:ascii="Arial" w:hAnsi="Arial" w:cs="Arial"/>
                <w:b/>
                <w:sz w:val="20"/>
                <w:szCs w:val="20"/>
              </w:rPr>
            </w:pPr>
            <w:r w:rsidRPr="00AC76DA">
              <w:rPr>
                <w:rFonts w:ascii="Arial" w:hAnsi="Arial" w:cs="Arial"/>
                <w:b/>
                <w:sz w:val="20"/>
                <w:szCs w:val="20"/>
              </w:rPr>
              <w:t xml:space="preserve">% </w:t>
            </w:r>
            <w:r w:rsidRPr="00AC76DA">
              <w:rPr>
                <w:rFonts w:ascii="Arial" w:hAnsi="Arial" w:cs="Arial"/>
                <w:b/>
                <w:spacing w:val="-2"/>
                <w:sz w:val="20"/>
                <w:szCs w:val="20"/>
              </w:rPr>
              <w:t>change</w:t>
            </w:r>
          </w:p>
        </w:tc>
      </w:tr>
      <w:tr w:rsidR="00AF74A0" w:rsidRPr="00F8601D" w14:paraId="01441B2C" w14:textId="77777777" w:rsidTr="00AF74A0">
        <w:trPr>
          <w:trHeight w:val="470"/>
        </w:trPr>
        <w:tc>
          <w:tcPr>
            <w:tcW w:w="1260" w:type="pct"/>
            <w:vMerge/>
            <w:shd w:val="clear" w:color="auto" w:fill="D8E6F2"/>
          </w:tcPr>
          <w:p w14:paraId="035A29A8" w14:textId="77777777" w:rsidR="00AF74A0" w:rsidRPr="00AC76DA" w:rsidRDefault="00AF74A0" w:rsidP="00AF74A0">
            <w:pPr>
              <w:pStyle w:val="TableParagraph"/>
              <w:ind w:left="120"/>
              <w:rPr>
                <w:rFonts w:ascii="Arial" w:hAnsi="Arial" w:cs="Arial"/>
                <w:b/>
                <w:spacing w:val="-2"/>
                <w:sz w:val="20"/>
                <w:szCs w:val="20"/>
              </w:rPr>
            </w:pPr>
          </w:p>
        </w:tc>
        <w:tc>
          <w:tcPr>
            <w:tcW w:w="768" w:type="pct"/>
            <w:shd w:val="clear" w:color="auto" w:fill="D8E6F2"/>
          </w:tcPr>
          <w:p w14:paraId="34FCB8D8" w14:textId="13DE709F" w:rsidR="00AF74A0" w:rsidRPr="00AC76DA" w:rsidRDefault="00AF74A0" w:rsidP="00AF74A0">
            <w:pPr>
              <w:pStyle w:val="TableParagraph"/>
              <w:ind w:right="382"/>
              <w:jc w:val="center"/>
              <w:rPr>
                <w:rFonts w:ascii="Arial" w:hAnsi="Arial" w:cs="Arial"/>
                <w:b/>
                <w:sz w:val="20"/>
                <w:szCs w:val="20"/>
              </w:rPr>
            </w:pPr>
            <w:r w:rsidRPr="00AC76DA">
              <w:rPr>
                <w:rFonts w:ascii="Arial" w:hAnsi="Arial" w:cs="Arial"/>
                <w:b/>
                <w:sz w:val="20"/>
                <w:szCs w:val="20"/>
              </w:rPr>
              <w:t xml:space="preserve">Week </w:t>
            </w:r>
            <w:r w:rsidRPr="00AC76DA">
              <w:rPr>
                <w:rFonts w:ascii="Arial" w:hAnsi="Arial" w:cs="Arial"/>
                <w:b/>
                <w:spacing w:val="-10"/>
                <w:sz w:val="20"/>
                <w:szCs w:val="20"/>
              </w:rPr>
              <w:t>1</w:t>
            </w:r>
          </w:p>
        </w:tc>
        <w:tc>
          <w:tcPr>
            <w:tcW w:w="778" w:type="pct"/>
            <w:shd w:val="clear" w:color="auto" w:fill="D8E6F2"/>
          </w:tcPr>
          <w:p w14:paraId="5E4C13C1" w14:textId="57933EE1" w:rsidR="00AF74A0" w:rsidRPr="00AC76DA" w:rsidRDefault="00AF74A0" w:rsidP="00AF74A0">
            <w:pPr>
              <w:pStyle w:val="TableParagraph"/>
              <w:ind w:right="282"/>
              <w:jc w:val="center"/>
              <w:rPr>
                <w:rFonts w:ascii="Arial" w:hAnsi="Arial" w:cs="Arial"/>
                <w:b/>
                <w:sz w:val="20"/>
                <w:szCs w:val="20"/>
              </w:rPr>
            </w:pPr>
            <w:r w:rsidRPr="00AC76DA">
              <w:rPr>
                <w:rFonts w:ascii="Arial" w:hAnsi="Arial" w:cs="Arial"/>
                <w:b/>
                <w:sz w:val="20"/>
                <w:szCs w:val="20"/>
              </w:rPr>
              <w:t xml:space="preserve">Week </w:t>
            </w:r>
            <w:r w:rsidRPr="00AC76DA">
              <w:rPr>
                <w:rFonts w:ascii="Arial" w:hAnsi="Arial" w:cs="Arial"/>
                <w:b/>
                <w:spacing w:val="-5"/>
                <w:sz w:val="20"/>
                <w:szCs w:val="20"/>
              </w:rPr>
              <w:t>11</w:t>
            </w:r>
          </w:p>
        </w:tc>
        <w:tc>
          <w:tcPr>
            <w:tcW w:w="731" w:type="pct"/>
            <w:vMerge/>
            <w:shd w:val="clear" w:color="auto" w:fill="D8E6F2"/>
          </w:tcPr>
          <w:p w14:paraId="279EB26D" w14:textId="77777777" w:rsidR="00AF74A0" w:rsidRPr="00AC76DA" w:rsidRDefault="00AF74A0" w:rsidP="00AF74A0">
            <w:pPr>
              <w:pStyle w:val="TableParagraph"/>
              <w:ind w:left="119"/>
              <w:jc w:val="center"/>
              <w:rPr>
                <w:rFonts w:ascii="Arial" w:hAnsi="Arial" w:cs="Arial"/>
                <w:b/>
                <w:spacing w:val="-4"/>
                <w:sz w:val="20"/>
                <w:szCs w:val="20"/>
              </w:rPr>
            </w:pPr>
          </w:p>
        </w:tc>
        <w:tc>
          <w:tcPr>
            <w:tcW w:w="731" w:type="pct"/>
            <w:vMerge/>
            <w:shd w:val="clear" w:color="auto" w:fill="D8E6F2"/>
          </w:tcPr>
          <w:p w14:paraId="0E2FB4E0" w14:textId="77777777" w:rsidR="00AF74A0" w:rsidRPr="00AC76DA" w:rsidRDefault="00AF74A0" w:rsidP="00AF74A0">
            <w:pPr>
              <w:pStyle w:val="TableParagraph"/>
              <w:ind w:left="119"/>
              <w:jc w:val="center"/>
              <w:rPr>
                <w:rFonts w:ascii="Arial" w:hAnsi="Arial" w:cs="Arial"/>
                <w:b/>
                <w:spacing w:val="-5"/>
                <w:sz w:val="20"/>
                <w:szCs w:val="20"/>
              </w:rPr>
            </w:pPr>
          </w:p>
        </w:tc>
        <w:tc>
          <w:tcPr>
            <w:tcW w:w="731" w:type="pct"/>
            <w:vMerge/>
            <w:shd w:val="clear" w:color="auto" w:fill="D8E6F2"/>
          </w:tcPr>
          <w:p w14:paraId="573AAE78" w14:textId="77777777" w:rsidR="00AF74A0" w:rsidRPr="00AC76DA" w:rsidRDefault="00AF74A0" w:rsidP="00AF74A0">
            <w:pPr>
              <w:pStyle w:val="TableParagraph"/>
              <w:ind w:left="8" w:right="51"/>
              <w:jc w:val="center"/>
              <w:rPr>
                <w:rFonts w:ascii="Arial" w:hAnsi="Arial" w:cs="Arial"/>
                <w:b/>
                <w:sz w:val="20"/>
                <w:szCs w:val="20"/>
              </w:rPr>
            </w:pPr>
          </w:p>
        </w:tc>
      </w:tr>
      <w:tr w:rsidR="00AF74A0" w:rsidRPr="00F8601D" w14:paraId="1DE5B3B8" w14:textId="77777777" w:rsidTr="00AF74A0">
        <w:trPr>
          <w:trHeight w:val="470"/>
        </w:trPr>
        <w:tc>
          <w:tcPr>
            <w:tcW w:w="1260" w:type="pct"/>
          </w:tcPr>
          <w:p w14:paraId="098FD301" w14:textId="77777777" w:rsidR="00AF74A0" w:rsidRPr="00AC76DA" w:rsidRDefault="00AF74A0" w:rsidP="00AF74A0">
            <w:pPr>
              <w:pStyle w:val="TableParagraph"/>
              <w:ind w:left="120"/>
              <w:rPr>
                <w:rFonts w:ascii="Arial" w:hAnsi="Arial" w:cs="Arial"/>
                <w:sz w:val="20"/>
                <w:szCs w:val="20"/>
              </w:rPr>
            </w:pPr>
            <w:r w:rsidRPr="00AC76DA">
              <w:rPr>
                <w:rFonts w:ascii="Arial" w:hAnsi="Arial" w:cs="Arial"/>
                <w:spacing w:val="-2"/>
                <w:sz w:val="20"/>
                <w:szCs w:val="20"/>
              </w:rPr>
              <w:t>Control</w:t>
            </w:r>
          </w:p>
        </w:tc>
        <w:tc>
          <w:tcPr>
            <w:tcW w:w="768" w:type="pct"/>
          </w:tcPr>
          <w:p w14:paraId="6D9E91FF"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25.93</w:t>
            </w:r>
          </w:p>
        </w:tc>
        <w:tc>
          <w:tcPr>
            <w:tcW w:w="778" w:type="pct"/>
          </w:tcPr>
          <w:p w14:paraId="7753CC29"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28.15</w:t>
            </w:r>
          </w:p>
        </w:tc>
        <w:tc>
          <w:tcPr>
            <w:tcW w:w="731" w:type="pct"/>
          </w:tcPr>
          <w:p w14:paraId="64CC29B8"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33.77</w:t>
            </w:r>
          </w:p>
        </w:tc>
        <w:tc>
          <w:tcPr>
            <w:tcW w:w="731" w:type="pct"/>
          </w:tcPr>
          <w:p w14:paraId="0769562F" w14:textId="77777777" w:rsidR="00AF74A0" w:rsidRPr="00AC76DA" w:rsidRDefault="00AF74A0" w:rsidP="00AF74A0">
            <w:pPr>
              <w:pStyle w:val="TableParagraph"/>
              <w:ind w:right="295"/>
              <w:jc w:val="center"/>
              <w:rPr>
                <w:rFonts w:ascii="Arial" w:hAnsi="Arial" w:cs="Arial"/>
                <w:sz w:val="20"/>
                <w:szCs w:val="20"/>
              </w:rPr>
            </w:pPr>
            <w:r w:rsidRPr="00AC76DA">
              <w:rPr>
                <w:rFonts w:ascii="Arial" w:hAnsi="Arial" w:cs="Arial"/>
                <w:spacing w:val="-4"/>
                <w:sz w:val="20"/>
                <w:szCs w:val="20"/>
              </w:rPr>
              <w:t>5.67</w:t>
            </w:r>
          </w:p>
        </w:tc>
        <w:tc>
          <w:tcPr>
            <w:tcW w:w="731" w:type="pct"/>
          </w:tcPr>
          <w:p w14:paraId="6F1BF07C" w14:textId="77777777" w:rsidR="00AF74A0" w:rsidRPr="00AC76DA" w:rsidRDefault="00AF74A0" w:rsidP="00AF74A0">
            <w:pPr>
              <w:pStyle w:val="TableParagraph"/>
              <w:ind w:left="50" w:right="43"/>
              <w:jc w:val="center"/>
              <w:rPr>
                <w:rFonts w:ascii="Arial" w:hAnsi="Arial" w:cs="Arial"/>
                <w:sz w:val="20"/>
                <w:szCs w:val="20"/>
              </w:rPr>
            </w:pPr>
            <w:r w:rsidRPr="00AC76DA">
              <w:rPr>
                <w:rFonts w:ascii="Arial" w:hAnsi="Arial" w:cs="Arial"/>
                <w:spacing w:val="-4"/>
                <w:sz w:val="20"/>
                <w:szCs w:val="20"/>
              </w:rPr>
              <w:t>8.56</w:t>
            </w:r>
          </w:p>
        </w:tc>
      </w:tr>
      <w:tr w:rsidR="00AF74A0" w:rsidRPr="00F8601D" w14:paraId="50F59FBC" w14:textId="77777777" w:rsidTr="00AF74A0">
        <w:trPr>
          <w:trHeight w:val="470"/>
        </w:trPr>
        <w:tc>
          <w:tcPr>
            <w:tcW w:w="1260" w:type="pct"/>
            <w:shd w:val="clear" w:color="auto" w:fill="F6F9FB"/>
          </w:tcPr>
          <w:p w14:paraId="102C5843" w14:textId="77777777" w:rsidR="00AF74A0" w:rsidRPr="00AC76DA" w:rsidRDefault="00AF74A0" w:rsidP="00AF74A0">
            <w:pPr>
              <w:pStyle w:val="TableParagraph"/>
              <w:ind w:left="120"/>
              <w:rPr>
                <w:rFonts w:ascii="Arial" w:hAnsi="Arial" w:cs="Arial"/>
                <w:sz w:val="20"/>
                <w:szCs w:val="20"/>
              </w:rPr>
            </w:pPr>
            <w:r w:rsidRPr="00AC76DA">
              <w:rPr>
                <w:rFonts w:ascii="Arial" w:hAnsi="Arial" w:cs="Arial"/>
                <w:spacing w:val="-4"/>
                <w:sz w:val="20"/>
                <w:szCs w:val="20"/>
              </w:rPr>
              <w:t>Urea</w:t>
            </w:r>
          </w:p>
        </w:tc>
        <w:tc>
          <w:tcPr>
            <w:tcW w:w="768" w:type="pct"/>
            <w:shd w:val="clear" w:color="auto" w:fill="F6F9FB"/>
          </w:tcPr>
          <w:p w14:paraId="1042C195"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27.72</w:t>
            </w:r>
          </w:p>
        </w:tc>
        <w:tc>
          <w:tcPr>
            <w:tcW w:w="778" w:type="pct"/>
            <w:shd w:val="clear" w:color="auto" w:fill="F6F9FB"/>
          </w:tcPr>
          <w:p w14:paraId="6C09304B" w14:textId="77777777" w:rsidR="00AF74A0" w:rsidRPr="00AC76DA" w:rsidRDefault="00AF74A0" w:rsidP="00AF74A0">
            <w:pPr>
              <w:pStyle w:val="TableParagraph"/>
              <w:ind w:left="51" w:right="43"/>
              <w:jc w:val="center"/>
              <w:rPr>
                <w:rFonts w:ascii="Arial" w:hAnsi="Arial" w:cs="Arial"/>
                <w:sz w:val="20"/>
                <w:szCs w:val="20"/>
              </w:rPr>
            </w:pPr>
            <w:r w:rsidRPr="00AC76DA">
              <w:rPr>
                <w:rFonts w:ascii="Arial" w:hAnsi="Arial" w:cs="Arial"/>
                <w:spacing w:val="-4"/>
                <w:sz w:val="20"/>
                <w:szCs w:val="20"/>
              </w:rPr>
              <w:t>7.73</w:t>
            </w:r>
          </w:p>
        </w:tc>
        <w:tc>
          <w:tcPr>
            <w:tcW w:w="731" w:type="pct"/>
            <w:shd w:val="clear" w:color="auto" w:fill="F6F9FB"/>
          </w:tcPr>
          <w:p w14:paraId="378E8BCE"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18.60</w:t>
            </w:r>
          </w:p>
        </w:tc>
        <w:tc>
          <w:tcPr>
            <w:tcW w:w="731" w:type="pct"/>
            <w:shd w:val="clear" w:color="auto" w:fill="F6F9FB"/>
          </w:tcPr>
          <w:p w14:paraId="729640AA" w14:textId="77777777" w:rsidR="00AF74A0" w:rsidRPr="00AC76DA" w:rsidRDefault="00AF74A0" w:rsidP="00AF74A0">
            <w:pPr>
              <w:pStyle w:val="TableParagraph"/>
              <w:ind w:right="295"/>
              <w:jc w:val="center"/>
              <w:rPr>
                <w:rFonts w:ascii="Arial" w:hAnsi="Arial" w:cs="Arial"/>
                <w:sz w:val="20"/>
                <w:szCs w:val="20"/>
              </w:rPr>
            </w:pPr>
            <w:r w:rsidRPr="00AC76DA">
              <w:rPr>
                <w:rFonts w:ascii="Arial" w:hAnsi="Arial" w:cs="Arial"/>
                <w:spacing w:val="-4"/>
                <w:sz w:val="20"/>
                <w:szCs w:val="20"/>
              </w:rPr>
              <w:t>8.99</w:t>
            </w:r>
          </w:p>
        </w:tc>
        <w:tc>
          <w:tcPr>
            <w:tcW w:w="731" w:type="pct"/>
            <w:shd w:val="clear" w:color="auto" w:fill="F6F9FB"/>
          </w:tcPr>
          <w:p w14:paraId="093BAA01" w14:textId="77777777" w:rsidR="00AF74A0" w:rsidRPr="00AC76DA" w:rsidRDefault="00AF74A0" w:rsidP="00AF74A0">
            <w:pPr>
              <w:pStyle w:val="TableParagraph"/>
              <w:ind w:left="50" w:right="43"/>
              <w:jc w:val="center"/>
              <w:rPr>
                <w:rFonts w:ascii="Arial" w:hAnsi="Arial" w:cs="Arial"/>
                <w:sz w:val="20"/>
                <w:szCs w:val="20"/>
              </w:rPr>
            </w:pPr>
            <w:r w:rsidRPr="00AC76DA">
              <w:rPr>
                <w:rFonts w:ascii="Arial" w:hAnsi="Arial" w:cs="Arial"/>
                <w:sz w:val="20"/>
                <w:szCs w:val="20"/>
              </w:rPr>
              <w:t>-</w:t>
            </w:r>
            <w:r w:rsidRPr="00AC76DA">
              <w:rPr>
                <w:rFonts w:ascii="Arial" w:hAnsi="Arial" w:cs="Arial"/>
                <w:spacing w:val="-2"/>
                <w:sz w:val="20"/>
                <w:szCs w:val="20"/>
              </w:rPr>
              <w:t>72.11</w:t>
            </w:r>
          </w:p>
        </w:tc>
      </w:tr>
      <w:tr w:rsidR="00AF74A0" w:rsidRPr="00F8601D" w14:paraId="69802648" w14:textId="77777777" w:rsidTr="00AF74A0">
        <w:trPr>
          <w:trHeight w:val="470"/>
        </w:trPr>
        <w:tc>
          <w:tcPr>
            <w:tcW w:w="1260" w:type="pct"/>
          </w:tcPr>
          <w:p w14:paraId="79FDD20D" w14:textId="77777777" w:rsidR="00AF74A0" w:rsidRPr="00AC76DA" w:rsidRDefault="00AF74A0" w:rsidP="00AF74A0">
            <w:pPr>
              <w:pStyle w:val="TableParagraph"/>
              <w:ind w:left="120"/>
              <w:rPr>
                <w:rFonts w:ascii="Arial" w:hAnsi="Arial" w:cs="Arial"/>
                <w:sz w:val="20"/>
                <w:szCs w:val="20"/>
              </w:rPr>
            </w:pPr>
            <w:r w:rsidRPr="00AC76DA">
              <w:rPr>
                <w:rFonts w:ascii="Arial" w:hAnsi="Arial" w:cs="Arial"/>
                <w:sz w:val="20"/>
                <w:szCs w:val="20"/>
              </w:rPr>
              <w:t xml:space="preserve">NPK </w:t>
            </w:r>
            <w:r w:rsidRPr="00AC76DA">
              <w:rPr>
                <w:rFonts w:ascii="Arial" w:hAnsi="Arial" w:cs="Arial"/>
                <w:spacing w:val="-2"/>
                <w:sz w:val="20"/>
                <w:szCs w:val="20"/>
              </w:rPr>
              <w:t>15:15:15</w:t>
            </w:r>
          </w:p>
        </w:tc>
        <w:tc>
          <w:tcPr>
            <w:tcW w:w="768" w:type="pct"/>
          </w:tcPr>
          <w:p w14:paraId="19702600"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26.49</w:t>
            </w:r>
          </w:p>
        </w:tc>
        <w:tc>
          <w:tcPr>
            <w:tcW w:w="778" w:type="pct"/>
          </w:tcPr>
          <w:p w14:paraId="7E6E896A"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22.02</w:t>
            </w:r>
          </w:p>
        </w:tc>
        <w:tc>
          <w:tcPr>
            <w:tcW w:w="731" w:type="pct"/>
          </w:tcPr>
          <w:p w14:paraId="719AA948"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26.68</w:t>
            </w:r>
          </w:p>
        </w:tc>
        <w:tc>
          <w:tcPr>
            <w:tcW w:w="731" w:type="pct"/>
          </w:tcPr>
          <w:p w14:paraId="555D2012" w14:textId="77777777" w:rsidR="00AF74A0" w:rsidRPr="00AC76DA" w:rsidRDefault="00AF74A0" w:rsidP="00AF74A0">
            <w:pPr>
              <w:pStyle w:val="TableParagraph"/>
              <w:ind w:right="295"/>
              <w:jc w:val="center"/>
              <w:rPr>
                <w:rFonts w:ascii="Arial" w:hAnsi="Arial" w:cs="Arial"/>
                <w:sz w:val="20"/>
                <w:szCs w:val="20"/>
              </w:rPr>
            </w:pPr>
            <w:r w:rsidRPr="00AC76DA">
              <w:rPr>
                <w:rFonts w:ascii="Arial" w:hAnsi="Arial" w:cs="Arial"/>
                <w:spacing w:val="-4"/>
                <w:sz w:val="20"/>
                <w:szCs w:val="20"/>
              </w:rPr>
              <w:t>2.99</w:t>
            </w:r>
          </w:p>
        </w:tc>
        <w:tc>
          <w:tcPr>
            <w:tcW w:w="731" w:type="pct"/>
          </w:tcPr>
          <w:p w14:paraId="70A4488C" w14:textId="77777777" w:rsidR="00AF74A0" w:rsidRPr="00AC76DA" w:rsidRDefault="00AF74A0" w:rsidP="00AF74A0">
            <w:pPr>
              <w:pStyle w:val="TableParagraph"/>
              <w:ind w:left="50" w:right="43"/>
              <w:jc w:val="center"/>
              <w:rPr>
                <w:rFonts w:ascii="Arial" w:hAnsi="Arial" w:cs="Arial"/>
                <w:sz w:val="20"/>
                <w:szCs w:val="20"/>
              </w:rPr>
            </w:pPr>
            <w:r w:rsidRPr="00AC76DA">
              <w:rPr>
                <w:rFonts w:ascii="Arial" w:hAnsi="Arial" w:cs="Arial"/>
                <w:sz w:val="20"/>
                <w:szCs w:val="20"/>
              </w:rPr>
              <w:t>-</w:t>
            </w:r>
            <w:r w:rsidRPr="00AC76DA">
              <w:rPr>
                <w:rFonts w:ascii="Arial" w:hAnsi="Arial" w:cs="Arial"/>
                <w:spacing w:val="-2"/>
                <w:sz w:val="20"/>
                <w:szCs w:val="20"/>
              </w:rPr>
              <w:t>16.87</w:t>
            </w:r>
          </w:p>
        </w:tc>
      </w:tr>
      <w:tr w:rsidR="00AF74A0" w:rsidRPr="00F8601D" w14:paraId="43523875" w14:textId="77777777" w:rsidTr="00AF74A0">
        <w:trPr>
          <w:trHeight w:val="470"/>
        </w:trPr>
        <w:tc>
          <w:tcPr>
            <w:tcW w:w="1260" w:type="pct"/>
            <w:shd w:val="clear" w:color="auto" w:fill="F6F9FB"/>
          </w:tcPr>
          <w:p w14:paraId="74498912" w14:textId="77777777" w:rsidR="00AF74A0" w:rsidRPr="00AC76DA" w:rsidRDefault="00AF74A0" w:rsidP="00AF74A0">
            <w:pPr>
              <w:pStyle w:val="TableParagraph"/>
              <w:ind w:left="120"/>
              <w:rPr>
                <w:rFonts w:ascii="Arial" w:hAnsi="Arial" w:cs="Arial"/>
                <w:sz w:val="20"/>
                <w:szCs w:val="20"/>
              </w:rPr>
            </w:pPr>
            <w:r w:rsidRPr="00AC76DA">
              <w:rPr>
                <w:rFonts w:ascii="Arial" w:hAnsi="Arial" w:cs="Arial"/>
                <w:sz w:val="20"/>
                <w:szCs w:val="20"/>
              </w:rPr>
              <w:t xml:space="preserve">NPK </w:t>
            </w:r>
            <w:r w:rsidRPr="00AC76DA">
              <w:rPr>
                <w:rFonts w:ascii="Arial" w:hAnsi="Arial" w:cs="Arial"/>
                <w:spacing w:val="-2"/>
                <w:sz w:val="20"/>
                <w:szCs w:val="20"/>
              </w:rPr>
              <w:t>10:26:26</w:t>
            </w:r>
          </w:p>
        </w:tc>
        <w:tc>
          <w:tcPr>
            <w:tcW w:w="768" w:type="pct"/>
            <w:shd w:val="clear" w:color="auto" w:fill="F6F9FB"/>
          </w:tcPr>
          <w:p w14:paraId="441C6D7A"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28.88</w:t>
            </w:r>
          </w:p>
        </w:tc>
        <w:tc>
          <w:tcPr>
            <w:tcW w:w="778" w:type="pct"/>
            <w:shd w:val="clear" w:color="auto" w:fill="F6F9FB"/>
          </w:tcPr>
          <w:p w14:paraId="11A0B791"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24.17</w:t>
            </w:r>
          </w:p>
        </w:tc>
        <w:tc>
          <w:tcPr>
            <w:tcW w:w="731" w:type="pct"/>
            <w:shd w:val="clear" w:color="auto" w:fill="F6F9FB"/>
          </w:tcPr>
          <w:p w14:paraId="5DAEEBC6"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30.12</w:t>
            </w:r>
          </w:p>
        </w:tc>
        <w:tc>
          <w:tcPr>
            <w:tcW w:w="731" w:type="pct"/>
            <w:shd w:val="clear" w:color="auto" w:fill="F6F9FB"/>
          </w:tcPr>
          <w:p w14:paraId="1A97EA51" w14:textId="77777777" w:rsidR="00AF74A0" w:rsidRPr="00AC76DA" w:rsidRDefault="00AF74A0" w:rsidP="00AF74A0">
            <w:pPr>
              <w:pStyle w:val="TableParagraph"/>
              <w:ind w:right="295"/>
              <w:jc w:val="center"/>
              <w:rPr>
                <w:rFonts w:ascii="Arial" w:hAnsi="Arial" w:cs="Arial"/>
                <w:sz w:val="20"/>
                <w:szCs w:val="20"/>
              </w:rPr>
            </w:pPr>
            <w:r w:rsidRPr="00AC76DA">
              <w:rPr>
                <w:rFonts w:ascii="Arial" w:hAnsi="Arial" w:cs="Arial"/>
                <w:spacing w:val="-4"/>
                <w:sz w:val="20"/>
                <w:szCs w:val="20"/>
              </w:rPr>
              <w:t>5.32</w:t>
            </w:r>
          </w:p>
        </w:tc>
        <w:tc>
          <w:tcPr>
            <w:tcW w:w="731" w:type="pct"/>
            <w:shd w:val="clear" w:color="auto" w:fill="F6F9FB"/>
          </w:tcPr>
          <w:p w14:paraId="5104E1AB" w14:textId="77777777" w:rsidR="00AF74A0" w:rsidRPr="00AC76DA" w:rsidRDefault="00AF74A0" w:rsidP="00AF74A0">
            <w:pPr>
              <w:pStyle w:val="TableParagraph"/>
              <w:ind w:left="50" w:right="43"/>
              <w:jc w:val="center"/>
              <w:rPr>
                <w:rFonts w:ascii="Arial" w:hAnsi="Arial" w:cs="Arial"/>
                <w:sz w:val="20"/>
                <w:szCs w:val="20"/>
              </w:rPr>
            </w:pPr>
            <w:r w:rsidRPr="00AC76DA">
              <w:rPr>
                <w:rFonts w:ascii="Arial" w:hAnsi="Arial" w:cs="Arial"/>
                <w:sz w:val="20"/>
                <w:szCs w:val="20"/>
              </w:rPr>
              <w:t>-</w:t>
            </w:r>
            <w:r w:rsidRPr="00AC76DA">
              <w:rPr>
                <w:rFonts w:ascii="Arial" w:hAnsi="Arial" w:cs="Arial"/>
                <w:spacing w:val="-2"/>
                <w:sz w:val="20"/>
                <w:szCs w:val="20"/>
              </w:rPr>
              <w:t>16.31</w:t>
            </w:r>
          </w:p>
        </w:tc>
      </w:tr>
      <w:tr w:rsidR="00AF74A0" w:rsidRPr="00F8601D" w14:paraId="6B2485F0" w14:textId="77777777" w:rsidTr="00AF74A0">
        <w:trPr>
          <w:trHeight w:val="470"/>
        </w:trPr>
        <w:tc>
          <w:tcPr>
            <w:tcW w:w="1260" w:type="pct"/>
          </w:tcPr>
          <w:p w14:paraId="444CCA74" w14:textId="77777777" w:rsidR="00AF74A0" w:rsidRPr="00AC76DA" w:rsidRDefault="00AF74A0" w:rsidP="00AF74A0">
            <w:pPr>
              <w:pStyle w:val="TableParagraph"/>
              <w:ind w:left="120"/>
              <w:rPr>
                <w:rFonts w:ascii="Arial" w:hAnsi="Arial" w:cs="Arial"/>
                <w:sz w:val="20"/>
                <w:szCs w:val="20"/>
              </w:rPr>
            </w:pPr>
            <w:r w:rsidRPr="00AC76DA">
              <w:rPr>
                <w:rFonts w:ascii="Arial" w:hAnsi="Arial" w:cs="Arial"/>
                <w:spacing w:val="-2"/>
                <w:sz w:val="20"/>
                <w:szCs w:val="20"/>
              </w:rPr>
              <w:t>Superphosphate</w:t>
            </w:r>
          </w:p>
        </w:tc>
        <w:tc>
          <w:tcPr>
            <w:tcW w:w="768" w:type="pct"/>
          </w:tcPr>
          <w:p w14:paraId="50FF97D6"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23.45</w:t>
            </w:r>
          </w:p>
        </w:tc>
        <w:tc>
          <w:tcPr>
            <w:tcW w:w="778" w:type="pct"/>
          </w:tcPr>
          <w:p w14:paraId="7870C275"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27.94</w:t>
            </w:r>
          </w:p>
        </w:tc>
        <w:tc>
          <w:tcPr>
            <w:tcW w:w="731" w:type="pct"/>
          </w:tcPr>
          <w:p w14:paraId="18E0FAEB" w14:textId="77777777" w:rsidR="00AF74A0" w:rsidRPr="00AC76DA" w:rsidRDefault="00AF74A0" w:rsidP="00AF74A0">
            <w:pPr>
              <w:pStyle w:val="TableParagraph"/>
              <w:ind w:right="330"/>
              <w:jc w:val="center"/>
              <w:rPr>
                <w:rFonts w:ascii="Arial" w:hAnsi="Arial" w:cs="Arial"/>
                <w:sz w:val="20"/>
                <w:szCs w:val="20"/>
              </w:rPr>
            </w:pPr>
            <w:r w:rsidRPr="00AC76DA">
              <w:rPr>
                <w:rFonts w:ascii="Arial" w:hAnsi="Arial" w:cs="Arial"/>
                <w:spacing w:val="-2"/>
                <w:sz w:val="20"/>
                <w:szCs w:val="20"/>
              </w:rPr>
              <w:t>33.37</w:t>
            </w:r>
          </w:p>
        </w:tc>
        <w:tc>
          <w:tcPr>
            <w:tcW w:w="731" w:type="pct"/>
          </w:tcPr>
          <w:p w14:paraId="0A06B8F4" w14:textId="77777777" w:rsidR="00AF74A0" w:rsidRPr="00AC76DA" w:rsidRDefault="00AF74A0" w:rsidP="00AF74A0">
            <w:pPr>
              <w:pStyle w:val="TableParagraph"/>
              <w:ind w:right="295"/>
              <w:jc w:val="center"/>
              <w:rPr>
                <w:rFonts w:ascii="Arial" w:hAnsi="Arial" w:cs="Arial"/>
                <w:sz w:val="20"/>
                <w:szCs w:val="20"/>
              </w:rPr>
            </w:pPr>
            <w:r w:rsidRPr="00AC76DA">
              <w:rPr>
                <w:rFonts w:ascii="Arial" w:hAnsi="Arial" w:cs="Arial"/>
                <w:spacing w:val="-4"/>
                <w:sz w:val="20"/>
                <w:szCs w:val="20"/>
              </w:rPr>
              <w:t>7.19</w:t>
            </w:r>
          </w:p>
        </w:tc>
        <w:tc>
          <w:tcPr>
            <w:tcW w:w="731" w:type="pct"/>
          </w:tcPr>
          <w:p w14:paraId="3EF2293B" w14:textId="77777777" w:rsidR="00AF74A0" w:rsidRPr="00AC76DA" w:rsidRDefault="00AF74A0" w:rsidP="00AF74A0">
            <w:pPr>
              <w:pStyle w:val="TableParagraph"/>
              <w:ind w:left="50" w:right="43"/>
              <w:jc w:val="center"/>
              <w:rPr>
                <w:rFonts w:ascii="Arial" w:hAnsi="Arial" w:cs="Arial"/>
                <w:sz w:val="20"/>
                <w:szCs w:val="20"/>
              </w:rPr>
            </w:pPr>
            <w:r w:rsidRPr="00AC76DA">
              <w:rPr>
                <w:rFonts w:ascii="Arial" w:hAnsi="Arial" w:cs="Arial"/>
                <w:spacing w:val="-2"/>
                <w:sz w:val="20"/>
                <w:szCs w:val="20"/>
              </w:rPr>
              <w:t>19.15</w:t>
            </w:r>
          </w:p>
        </w:tc>
      </w:tr>
    </w:tbl>
    <w:p w14:paraId="7A2851AF" w14:textId="07BC6FCF" w:rsidR="001B4BE6" w:rsidRPr="001B4BE6" w:rsidRDefault="001B4BE6" w:rsidP="001B4BE6">
      <w:pPr>
        <w:jc w:val="both"/>
        <w:rPr>
          <w:rFonts w:ascii="Arial" w:hAnsi="Arial" w:cs="Arial"/>
          <w:lang w:val="en-IN"/>
        </w:rPr>
      </w:pPr>
      <w:r w:rsidRPr="001B4BE6">
        <w:rPr>
          <w:rFonts w:ascii="Arial" w:hAnsi="Arial" w:cs="Arial"/>
          <w:lang w:val="en-IN"/>
        </w:rPr>
        <w:t>The time-based changes in biomass for each treatment are shown in Figure 1, which is plotted as mean values with standard deviation error bars.</w:t>
      </w:r>
      <w:r>
        <w:rPr>
          <w:rFonts w:ascii="Arial" w:hAnsi="Arial" w:cs="Arial"/>
          <w:lang w:val="en-IN"/>
        </w:rPr>
        <w:t xml:space="preserve"> </w:t>
      </w:r>
      <w:r w:rsidRPr="001B4BE6">
        <w:rPr>
          <w:rFonts w:ascii="Arial" w:hAnsi="Arial" w:cs="Arial"/>
          <w:lang w:val="en-IN"/>
        </w:rPr>
        <w:t>As a baseline for comparison, the control curve exhibits a consistent upward trajectory</w:t>
      </w:r>
      <w:r>
        <w:rPr>
          <w:rFonts w:ascii="Arial" w:hAnsi="Arial" w:cs="Arial"/>
          <w:lang w:val="en-IN"/>
        </w:rPr>
        <w:t xml:space="preserve">. </w:t>
      </w:r>
      <w:r w:rsidRPr="001B4BE6">
        <w:rPr>
          <w:rFonts w:ascii="Arial" w:hAnsi="Arial" w:cs="Arial"/>
          <w:lang w:val="en-IN"/>
        </w:rPr>
        <w:t>The urea curve visually confirms its high toxicity with a steep downward slope, especially after mid-experiment.</w:t>
      </w:r>
      <w:r>
        <w:rPr>
          <w:rFonts w:ascii="Arial" w:hAnsi="Arial" w:cs="Arial"/>
          <w:lang w:val="en-IN"/>
        </w:rPr>
        <w:t xml:space="preserve"> </w:t>
      </w:r>
      <w:r w:rsidRPr="001B4BE6">
        <w:rPr>
          <w:rFonts w:ascii="Arial" w:hAnsi="Arial" w:cs="Arial"/>
          <w:lang w:val="en-IN"/>
        </w:rPr>
        <w:t xml:space="preserve">The NPK curves exhibit </w:t>
      </w:r>
      <w:r>
        <w:rPr>
          <w:rFonts w:ascii="Arial" w:hAnsi="Arial" w:cs="Arial"/>
          <w:lang w:val="en-IN"/>
        </w:rPr>
        <w:t>slight</w:t>
      </w:r>
      <w:r w:rsidRPr="001B4BE6">
        <w:rPr>
          <w:rFonts w:ascii="Arial" w:hAnsi="Arial" w:cs="Arial"/>
          <w:lang w:val="en-IN"/>
        </w:rPr>
        <w:t xml:space="preserve"> decreases that fall between urea and control, suggesting a moderate impact.</w:t>
      </w:r>
      <w:r w:rsidRPr="001B4BE6">
        <w:rPr>
          <w:rFonts w:ascii="Arial" w:hAnsi="Arial" w:cs="Arial"/>
          <w:lang w:val="en-IN"/>
        </w:rPr>
        <w:br/>
        <w:t>The superphosphate curve exhibits an upward trend, indicating its beneficial impact on the accumulation of biomass.</w:t>
      </w:r>
      <w:r>
        <w:rPr>
          <w:rFonts w:ascii="Arial" w:hAnsi="Arial" w:cs="Arial"/>
          <w:lang w:val="en-IN"/>
        </w:rPr>
        <w:t xml:space="preserve"> </w:t>
      </w:r>
      <w:r w:rsidRPr="001B4BE6">
        <w:rPr>
          <w:rFonts w:ascii="Arial" w:hAnsi="Arial" w:cs="Arial"/>
          <w:lang w:val="en-IN"/>
        </w:rPr>
        <w:t>Error bars (mean ± SD) provide statistical validity and offer insight into variability. Significant differences are further supported by a small overlap between urea and other treatments.</w:t>
      </w:r>
    </w:p>
    <w:p w14:paraId="58008ED7" w14:textId="7908BB9B" w:rsidR="00E20A88" w:rsidRDefault="0069226F" w:rsidP="00AC76DA">
      <w:pPr>
        <w:spacing w:before="240"/>
        <w:jc w:val="both"/>
        <w:rPr>
          <w:rFonts w:ascii="Arial" w:hAnsi="Arial" w:cs="Arial"/>
        </w:rPr>
      </w:pPr>
      <w:r>
        <w:rPr>
          <w:noProof/>
        </w:rPr>
        <w:lastRenderedPageBreak/>
        <w:drawing>
          <wp:inline distT="0" distB="0" distL="0" distR="0" wp14:anchorId="5F12101C" wp14:editId="2C441B90">
            <wp:extent cx="5212080" cy="3232150"/>
            <wp:effectExtent l="0" t="0" r="7620" b="6350"/>
            <wp:docPr id="1167705773" name="Chart 1">
              <a:extLst xmlns:a="http://schemas.openxmlformats.org/drawingml/2006/main">
                <a:ext uri="{FF2B5EF4-FFF2-40B4-BE49-F238E27FC236}">
                  <a16:creationId xmlns:a16="http://schemas.microsoft.com/office/drawing/2014/main" id="{44449781-8B5D-4567-D472-09DF122CC6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03D25D" w14:textId="73F6B1AD" w:rsidR="00AC76DA" w:rsidRDefault="00AC76DA" w:rsidP="00AC76DA">
      <w:pPr>
        <w:autoSpaceDE w:val="0"/>
        <w:autoSpaceDN w:val="0"/>
        <w:adjustRightInd w:val="0"/>
        <w:rPr>
          <w:rFonts w:ascii="Arial" w:hAnsi="Arial" w:cs="Arial"/>
          <w:b/>
          <w:bCs/>
          <w:szCs w:val="22"/>
        </w:rPr>
      </w:pPr>
      <w:r w:rsidRPr="00AC76DA">
        <w:rPr>
          <w:rFonts w:ascii="Arial" w:hAnsi="Arial" w:cs="Arial"/>
          <w:b/>
          <w:bCs/>
          <w:szCs w:val="22"/>
        </w:rPr>
        <w:t>Fig</w:t>
      </w:r>
      <w:r>
        <w:rPr>
          <w:rFonts w:ascii="Arial" w:hAnsi="Arial" w:cs="Arial"/>
          <w:b/>
          <w:bCs/>
          <w:szCs w:val="22"/>
        </w:rPr>
        <w:t>.</w:t>
      </w:r>
      <w:r w:rsidRPr="00AC76DA">
        <w:rPr>
          <w:rFonts w:ascii="Arial" w:hAnsi="Arial" w:cs="Arial"/>
          <w:b/>
          <w:bCs/>
          <w:szCs w:val="22"/>
        </w:rPr>
        <w:t xml:space="preserve"> 1. Biomass trend across fertilizer treatments </w:t>
      </w:r>
    </w:p>
    <w:p w14:paraId="1C67A92F" w14:textId="234A8E32" w:rsidR="008C44D8" w:rsidRPr="00AC76DA" w:rsidRDefault="008C44D8" w:rsidP="00AC76DA">
      <w:pPr>
        <w:autoSpaceDE w:val="0"/>
        <w:autoSpaceDN w:val="0"/>
        <w:adjustRightInd w:val="0"/>
        <w:rPr>
          <w:rFonts w:ascii="Arial" w:hAnsi="Arial" w:cs="Arial"/>
          <w:b/>
          <w:bCs/>
          <w:szCs w:val="22"/>
        </w:rPr>
      </w:pPr>
    </w:p>
    <w:p w14:paraId="6DE6C90B" w14:textId="2A3F22AF" w:rsidR="001B4BE6" w:rsidRPr="007E007E" w:rsidRDefault="001B4BE6" w:rsidP="001B4BE6">
      <w:pPr>
        <w:jc w:val="both"/>
        <w:rPr>
          <w:rFonts w:ascii="Times New Roman" w:hAnsi="Times New Roman"/>
          <w:b/>
          <w:bCs/>
          <w:sz w:val="24"/>
          <w:szCs w:val="24"/>
        </w:rPr>
      </w:pPr>
      <w:r w:rsidRPr="00E8313C">
        <w:rPr>
          <w:rFonts w:ascii="Arial" w:hAnsi="Arial" w:cs="Arial"/>
          <w:b/>
          <w:sz w:val="22"/>
        </w:rPr>
        <w:t>3.</w:t>
      </w:r>
      <w:r>
        <w:rPr>
          <w:rFonts w:ascii="Arial" w:hAnsi="Arial" w:cs="Arial"/>
          <w:b/>
          <w:sz w:val="22"/>
        </w:rPr>
        <w:t>2</w:t>
      </w:r>
      <w:r w:rsidRPr="00E8313C">
        <w:rPr>
          <w:rFonts w:ascii="Arial" w:hAnsi="Arial" w:cs="Arial"/>
          <w:b/>
          <w:sz w:val="22"/>
        </w:rPr>
        <w:t xml:space="preserve"> </w:t>
      </w:r>
      <w:r>
        <w:rPr>
          <w:rFonts w:ascii="Arial" w:hAnsi="Arial" w:cs="Arial"/>
          <w:b/>
          <w:sz w:val="22"/>
        </w:rPr>
        <w:t xml:space="preserve">Mortality </w:t>
      </w:r>
      <w:r w:rsidRPr="00E8313C">
        <w:rPr>
          <w:rFonts w:ascii="Arial" w:hAnsi="Arial" w:cs="Arial"/>
          <w:b/>
          <w:sz w:val="22"/>
        </w:rPr>
        <w:t>Analysis</w:t>
      </w:r>
    </w:p>
    <w:p w14:paraId="2A340BED" w14:textId="77777777" w:rsidR="001B4BE6" w:rsidRDefault="001B4BE6" w:rsidP="00E20A88">
      <w:pPr>
        <w:jc w:val="both"/>
        <w:rPr>
          <w:rFonts w:ascii="Arial" w:hAnsi="Arial" w:cs="Arial"/>
        </w:rPr>
      </w:pPr>
    </w:p>
    <w:p w14:paraId="1BF568E1" w14:textId="223AF05D" w:rsidR="001B4BE6" w:rsidRDefault="001B4BE6" w:rsidP="001B4BE6">
      <w:pPr>
        <w:jc w:val="both"/>
        <w:rPr>
          <w:rFonts w:ascii="Arial" w:hAnsi="Arial" w:cs="Arial"/>
        </w:rPr>
      </w:pPr>
      <w:r w:rsidRPr="001B4BE6">
        <w:rPr>
          <w:rFonts w:ascii="Arial" w:hAnsi="Arial" w:cs="Arial"/>
        </w:rPr>
        <w:t>The estimation of toxicity is further enhanced by mortality patterns. Treatments were clearly distinguished by the cumulative mortality throughout the course of the 11-week period</w:t>
      </w:r>
      <w:r w:rsidR="004708D1">
        <w:rPr>
          <w:rFonts w:ascii="Arial" w:hAnsi="Arial" w:cs="Arial"/>
        </w:rPr>
        <w:t xml:space="preserve">. </w:t>
      </w:r>
      <w:r w:rsidRPr="001B4BE6">
        <w:rPr>
          <w:rFonts w:ascii="Arial" w:hAnsi="Arial" w:cs="Arial"/>
        </w:rPr>
        <w:t>Severe toxic stress was indicated by the highest mortality rate (48%) following urea treatment.</w:t>
      </w:r>
      <w:r w:rsidR="004708D1">
        <w:rPr>
          <w:rFonts w:ascii="Arial" w:hAnsi="Arial" w:cs="Arial"/>
        </w:rPr>
        <w:t xml:space="preserve"> </w:t>
      </w:r>
      <w:r w:rsidRPr="001B4BE6">
        <w:rPr>
          <w:rFonts w:ascii="Arial" w:hAnsi="Arial" w:cs="Arial"/>
        </w:rPr>
        <w:t>Limited mortality (12%) was seen with NPK (15:15:15), indicating partial toxicity.</w:t>
      </w:r>
      <w:r w:rsidR="004708D1">
        <w:rPr>
          <w:rFonts w:ascii="Arial" w:hAnsi="Arial" w:cs="Arial"/>
        </w:rPr>
        <w:t xml:space="preserve"> </w:t>
      </w:r>
      <w:r w:rsidRPr="001B4BE6">
        <w:rPr>
          <w:rFonts w:ascii="Arial" w:hAnsi="Arial" w:cs="Arial"/>
        </w:rPr>
        <w:t>There was no mortality in the control, NPK (10:26:26), and superphosphate groups, suggesting comparatively safe or non-lethal environments.</w:t>
      </w:r>
    </w:p>
    <w:p w14:paraId="55B106A7" w14:textId="4963C95B" w:rsidR="00CF20A2" w:rsidRDefault="00FD081F" w:rsidP="001B4BE6">
      <w:pPr>
        <w:jc w:val="both"/>
        <w:rPr>
          <w:rFonts w:ascii="Arial" w:hAnsi="Arial" w:cs="Arial"/>
        </w:rPr>
      </w:pPr>
      <w:r>
        <w:rPr>
          <w:rFonts w:ascii="Arial" w:hAnsi="Arial" w:cs="Arial"/>
        </w:rPr>
        <w:t>M</w:t>
      </w:r>
      <w:r w:rsidR="00CF20A2" w:rsidRPr="00CF20A2">
        <w:rPr>
          <w:rFonts w:ascii="Arial" w:hAnsi="Arial" w:cs="Arial"/>
        </w:rPr>
        <w:t>ortality percentages for each treatment are shown graphically in Figure 2. The adverse effects of urea are highlighted by the sharp contrast with other treatments. Superphosphate</w:t>
      </w:r>
      <w:r>
        <w:rPr>
          <w:rFonts w:ascii="Arial" w:hAnsi="Arial" w:cs="Arial"/>
        </w:rPr>
        <w:t xml:space="preserve"> appears to be a</w:t>
      </w:r>
      <w:r w:rsidR="00CF20A2" w:rsidRPr="00CF20A2">
        <w:rPr>
          <w:rFonts w:ascii="Arial" w:hAnsi="Arial" w:cs="Arial"/>
        </w:rPr>
        <w:t xml:space="preserve"> safer </w:t>
      </w:r>
      <w:r w:rsidR="00626189" w:rsidRPr="00CF20A2">
        <w:rPr>
          <w:rFonts w:ascii="Arial" w:hAnsi="Arial" w:cs="Arial"/>
        </w:rPr>
        <w:t>fertilizer</w:t>
      </w:r>
      <w:r w:rsidR="00CF20A2" w:rsidRPr="00CF20A2">
        <w:rPr>
          <w:rFonts w:ascii="Arial" w:hAnsi="Arial" w:cs="Arial"/>
        </w:rPr>
        <w:t xml:space="preserve"> </w:t>
      </w:r>
      <w:r>
        <w:rPr>
          <w:rFonts w:ascii="Arial" w:hAnsi="Arial" w:cs="Arial"/>
        </w:rPr>
        <w:t>option as</w:t>
      </w:r>
      <w:r w:rsidR="00CF20A2" w:rsidRPr="00CF20A2">
        <w:rPr>
          <w:rFonts w:ascii="Arial" w:hAnsi="Arial" w:cs="Arial"/>
        </w:rPr>
        <w:t xml:space="preserve"> supported by the lack of mortality in worms treated with it.</w:t>
      </w:r>
    </w:p>
    <w:p w14:paraId="6A7D439C" w14:textId="77777777" w:rsidR="00E20A88" w:rsidRDefault="00E20A88" w:rsidP="00E20A88">
      <w:pPr>
        <w:jc w:val="center"/>
        <w:rPr>
          <w:rFonts w:ascii="Times New Roman" w:hAnsi="Times New Roman"/>
          <w:sz w:val="24"/>
          <w:szCs w:val="24"/>
        </w:rPr>
      </w:pPr>
      <w:r w:rsidRPr="000A4B75">
        <w:rPr>
          <w:rFonts w:ascii="Times New Roman" w:hAnsi="Times New Roman"/>
          <w:noProof/>
          <w:sz w:val="24"/>
          <w:szCs w:val="24"/>
        </w:rPr>
        <w:drawing>
          <wp:inline distT="0" distB="0" distL="0" distR="0" wp14:anchorId="1CBE97D2" wp14:editId="7ABC506F">
            <wp:extent cx="3534697" cy="2116583"/>
            <wp:effectExtent l="0" t="0" r="8890" b="0"/>
            <wp:docPr id="10330477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659"/>
                    <a:stretch>
                      <a:fillRect/>
                    </a:stretch>
                  </pic:blipFill>
                  <pic:spPr bwMode="auto">
                    <a:xfrm>
                      <a:off x="0" y="0"/>
                      <a:ext cx="3563989" cy="2134123"/>
                    </a:xfrm>
                    <a:prstGeom prst="rect">
                      <a:avLst/>
                    </a:prstGeom>
                    <a:noFill/>
                    <a:ln>
                      <a:noFill/>
                    </a:ln>
                    <a:extLst>
                      <a:ext uri="{53640926-AAD7-44D8-BBD7-CCE9431645EC}">
                        <a14:shadowObscured xmlns:a14="http://schemas.microsoft.com/office/drawing/2010/main"/>
                      </a:ext>
                    </a:extLst>
                  </pic:spPr>
                </pic:pic>
              </a:graphicData>
            </a:graphic>
          </wp:inline>
        </w:drawing>
      </w:r>
    </w:p>
    <w:p w14:paraId="6297B147" w14:textId="0F7D0F14" w:rsidR="00E20A88" w:rsidRPr="00AC76DA" w:rsidRDefault="00E20A88" w:rsidP="00AC76DA">
      <w:pPr>
        <w:autoSpaceDE w:val="0"/>
        <w:autoSpaceDN w:val="0"/>
        <w:adjustRightInd w:val="0"/>
        <w:rPr>
          <w:rFonts w:ascii="Arial" w:hAnsi="Arial" w:cs="Arial"/>
          <w:b/>
          <w:bCs/>
          <w:szCs w:val="22"/>
        </w:rPr>
      </w:pPr>
      <w:r w:rsidRPr="00AC76DA">
        <w:rPr>
          <w:rFonts w:ascii="Arial" w:hAnsi="Arial" w:cs="Arial"/>
          <w:b/>
          <w:bCs/>
          <w:szCs w:val="22"/>
        </w:rPr>
        <w:t>Fig</w:t>
      </w:r>
      <w:r w:rsidR="00AC76DA">
        <w:rPr>
          <w:rFonts w:ascii="Arial" w:hAnsi="Arial" w:cs="Arial"/>
          <w:b/>
          <w:bCs/>
          <w:szCs w:val="22"/>
        </w:rPr>
        <w:t>.</w:t>
      </w:r>
      <w:r w:rsidRPr="00AC76DA">
        <w:rPr>
          <w:rFonts w:ascii="Arial" w:hAnsi="Arial" w:cs="Arial"/>
          <w:b/>
          <w:bCs/>
          <w:szCs w:val="22"/>
        </w:rPr>
        <w:t xml:space="preserve"> 2. Endpoint mortality by </w:t>
      </w:r>
      <w:r w:rsidR="005C6D3D">
        <w:rPr>
          <w:rFonts w:ascii="Arial" w:hAnsi="Arial" w:cs="Arial"/>
          <w:b/>
          <w:bCs/>
          <w:szCs w:val="22"/>
        </w:rPr>
        <w:t>fertilizer</w:t>
      </w:r>
      <w:r w:rsidRPr="00AC76DA">
        <w:rPr>
          <w:rFonts w:ascii="Arial" w:hAnsi="Arial" w:cs="Arial"/>
          <w:b/>
          <w:bCs/>
          <w:szCs w:val="22"/>
        </w:rPr>
        <w:t xml:space="preserve"> treatment</w:t>
      </w:r>
    </w:p>
    <w:p w14:paraId="7078E96D" w14:textId="77777777" w:rsidR="00E20A88" w:rsidRDefault="00E20A88" w:rsidP="00E20A88">
      <w:pPr>
        <w:jc w:val="center"/>
        <w:rPr>
          <w:rFonts w:ascii="Times New Roman" w:hAnsi="Times New Roman"/>
          <w:sz w:val="24"/>
          <w:szCs w:val="24"/>
        </w:rPr>
      </w:pPr>
    </w:p>
    <w:p w14:paraId="699FE55E" w14:textId="3D739573" w:rsidR="00E20A88" w:rsidRPr="007E007E" w:rsidRDefault="00E20A88" w:rsidP="00E20A88">
      <w:pPr>
        <w:jc w:val="both"/>
        <w:rPr>
          <w:rFonts w:ascii="Times New Roman" w:hAnsi="Times New Roman"/>
          <w:b/>
          <w:bCs/>
          <w:sz w:val="24"/>
          <w:szCs w:val="24"/>
        </w:rPr>
      </w:pPr>
      <w:r w:rsidRPr="00E8313C">
        <w:rPr>
          <w:rFonts w:ascii="Arial" w:hAnsi="Arial" w:cs="Arial"/>
          <w:b/>
          <w:sz w:val="22"/>
        </w:rPr>
        <w:lastRenderedPageBreak/>
        <w:t>3.</w:t>
      </w:r>
      <w:r w:rsidR="00CF20A2">
        <w:rPr>
          <w:rFonts w:ascii="Arial" w:hAnsi="Arial" w:cs="Arial"/>
          <w:b/>
          <w:sz w:val="22"/>
        </w:rPr>
        <w:t>3</w:t>
      </w:r>
      <w:r w:rsidRPr="00E8313C">
        <w:rPr>
          <w:rFonts w:ascii="Arial" w:hAnsi="Arial" w:cs="Arial"/>
          <w:b/>
          <w:sz w:val="22"/>
        </w:rPr>
        <w:t xml:space="preserve"> </w:t>
      </w:r>
      <w:r w:rsidR="00CF20A2" w:rsidRPr="00CF20A2">
        <w:rPr>
          <w:rFonts w:ascii="Arial" w:hAnsi="Arial" w:cs="Arial"/>
          <w:b/>
          <w:sz w:val="22"/>
        </w:rPr>
        <w:t>Analysis of Inferential Statistics: ANOVA</w:t>
      </w:r>
    </w:p>
    <w:p w14:paraId="468E6CC4" w14:textId="77777777" w:rsidR="00845401" w:rsidRDefault="00845401" w:rsidP="008C44D8">
      <w:pPr>
        <w:jc w:val="both"/>
        <w:rPr>
          <w:rFonts w:ascii="Arial" w:hAnsi="Arial" w:cs="Arial"/>
        </w:rPr>
      </w:pPr>
    </w:p>
    <w:p w14:paraId="70CE3C32" w14:textId="77777777" w:rsidR="00CF20A2" w:rsidRPr="00CF20A2" w:rsidRDefault="00CF20A2" w:rsidP="00CF20A2">
      <w:pPr>
        <w:jc w:val="both"/>
        <w:rPr>
          <w:rFonts w:ascii="Arial" w:hAnsi="Arial" w:cs="Arial"/>
        </w:rPr>
      </w:pPr>
      <w:r w:rsidRPr="00CF20A2">
        <w:rPr>
          <w:rFonts w:ascii="Arial" w:hAnsi="Arial" w:cs="Arial"/>
        </w:rPr>
        <w:t>The statistical significance of the variations in biomass across treatments is confirmed by the one-way ANOVA results (Table 2).</w:t>
      </w:r>
    </w:p>
    <w:p w14:paraId="32E83B02" w14:textId="77777777" w:rsidR="00CF20A2" w:rsidRPr="00CF20A2" w:rsidRDefault="00CF20A2" w:rsidP="00CF20A2">
      <w:pPr>
        <w:jc w:val="both"/>
        <w:rPr>
          <w:rFonts w:ascii="Arial" w:hAnsi="Arial" w:cs="Arial"/>
        </w:rPr>
      </w:pPr>
    </w:p>
    <w:p w14:paraId="122C847C" w14:textId="77777777" w:rsidR="00CF20A2" w:rsidRPr="00CF20A2" w:rsidRDefault="00CF20A2" w:rsidP="00CF20A2">
      <w:pPr>
        <w:jc w:val="both"/>
        <w:rPr>
          <w:rFonts w:ascii="Arial" w:hAnsi="Arial" w:cs="Arial"/>
        </w:rPr>
      </w:pPr>
      <w:r w:rsidRPr="00CF20A2">
        <w:rPr>
          <w:rFonts w:ascii="Arial" w:hAnsi="Arial" w:cs="Arial"/>
        </w:rPr>
        <w:t>Significant difference between treatment means in relation to within-group variation is indicated by the F-value (5.77).</w:t>
      </w:r>
    </w:p>
    <w:p w14:paraId="7AC7F983" w14:textId="738268C9" w:rsidR="00CF20A2" w:rsidRDefault="00626189" w:rsidP="00CF20A2">
      <w:pPr>
        <w:jc w:val="both"/>
        <w:rPr>
          <w:rFonts w:ascii="Arial" w:hAnsi="Arial" w:cs="Arial"/>
        </w:rPr>
      </w:pPr>
      <w:r w:rsidRPr="00CF20A2">
        <w:rPr>
          <w:rFonts w:ascii="Arial" w:hAnsi="Arial" w:cs="Arial"/>
        </w:rPr>
        <w:t>Fertilizer</w:t>
      </w:r>
      <w:r w:rsidR="00CF20A2" w:rsidRPr="00CF20A2">
        <w:rPr>
          <w:rFonts w:ascii="Arial" w:hAnsi="Arial" w:cs="Arial"/>
        </w:rPr>
        <w:t xml:space="preserve"> type has a considerable impact on earthworm biomass, as evidenced by the p-value (0.00197), which is significantly below the significance level (p &lt; 0.05).</w:t>
      </w:r>
    </w:p>
    <w:p w14:paraId="6527AD1E" w14:textId="30D69D33" w:rsidR="008C44D8" w:rsidRDefault="00E20A88" w:rsidP="008C44D8">
      <w:pPr>
        <w:jc w:val="both"/>
        <w:rPr>
          <w:rFonts w:ascii="Arial" w:hAnsi="Arial" w:cs="Arial"/>
        </w:rPr>
      </w:pPr>
      <w:r w:rsidRPr="00E20A88">
        <w:rPr>
          <w:rFonts w:ascii="Arial" w:hAnsi="Arial" w:cs="Arial"/>
        </w:rPr>
        <w:t>The one-way ANOVA revealed significant differences among treatments</w:t>
      </w:r>
      <w:r w:rsidR="00FD081F">
        <w:rPr>
          <w:rFonts w:ascii="Arial" w:hAnsi="Arial" w:cs="Arial"/>
        </w:rPr>
        <w:t xml:space="preserve">. </w:t>
      </w:r>
      <w:r w:rsidRPr="00E20A88">
        <w:rPr>
          <w:rFonts w:ascii="Arial" w:hAnsi="Arial" w:cs="Arial"/>
        </w:rPr>
        <w:t>The values, F = 5.77 and p = 0.00197</w:t>
      </w:r>
      <w:r w:rsidR="004708D1">
        <w:rPr>
          <w:rFonts w:ascii="Arial" w:hAnsi="Arial" w:cs="Arial"/>
        </w:rPr>
        <w:t>,</w:t>
      </w:r>
      <w:r w:rsidRPr="00E20A88">
        <w:rPr>
          <w:rFonts w:ascii="Arial" w:hAnsi="Arial" w:cs="Arial"/>
        </w:rPr>
        <w:t xml:space="preserve"> indicate that </w:t>
      </w:r>
      <w:r w:rsidR="00626189">
        <w:rPr>
          <w:rFonts w:ascii="Arial" w:hAnsi="Arial" w:cs="Arial"/>
        </w:rPr>
        <w:t>fertilizer</w:t>
      </w:r>
      <w:r w:rsidRPr="00E20A88">
        <w:rPr>
          <w:rFonts w:ascii="Arial" w:hAnsi="Arial" w:cs="Arial"/>
        </w:rPr>
        <w:t xml:space="preserve"> type significantly influences earthworm biomass (Table 2).</w:t>
      </w:r>
      <w:r w:rsidR="00CF20A2">
        <w:rPr>
          <w:rFonts w:ascii="Arial" w:hAnsi="Arial" w:cs="Arial"/>
        </w:rPr>
        <w:t xml:space="preserve"> </w:t>
      </w:r>
    </w:p>
    <w:p w14:paraId="221A2326" w14:textId="6F3F63E5" w:rsidR="00CF20A2" w:rsidRPr="00CF20A2" w:rsidRDefault="00CF20A2" w:rsidP="00CF20A2">
      <w:pPr>
        <w:jc w:val="both"/>
        <w:rPr>
          <w:rFonts w:ascii="Arial" w:hAnsi="Arial" w:cs="Arial"/>
        </w:rPr>
      </w:pPr>
      <w:r w:rsidRPr="00CF20A2">
        <w:rPr>
          <w:rFonts w:ascii="Arial" w:hAnsi="Arial" w:cs="Arial"/>
        </w:rPr>
        <w:t>The sum of squares between treatments (SS = 932.433) shows the variability</w:t>
      </w:r>
      <w:r w:rsidR="004708D1">
        <w:rPr>
          <w:rFonts w:ascii="Arial" w:hAnsi="Arial" w:cs="Arial"/>
        </w:rPr>
        <w:t xml:space="preserve"> </w:t>
      </w:r>
      <w:r w:rsidRPr="00CF20A2">
        <w:rPr>
          <w:rFonts w:ascii="Arial" w:hAnsi="Arial" w:cs="Arial"/>
        </w:rPr>
        <w:t xml:space="preserve">due to the effect of </w:t>
      </w:r>
      <w:r w:rsidR="00626189" w:rsidRPr="00CF20A2">
        <w:rPr>
          <w:rFonts w:ascii="Arial" w:hAnsi="Arial" w:cs="Arial"/>
        </w:rPr>
        <w:t>fertilizers</w:t>
      </w:r>
      <w:r w:rsidRPr="00CF20A2">
        <w:rPr>
          <w:rFonts w:ascii="Arial" w:hAnsi="Arial" w:cs="Arial"/>
        </w:rPr>
        <w:t>.</w:t>
      </w:r>
      <w:r>
        <w:rPr>
          <w:rFonts w:ascii="Arial" w:hAnsi="Arial" w:cs="Arial"/>
        </w:rPr>
        <w:t xml:space="preserve"> </w:t>
      </w:r>
      <w:r w:rsidRPr="00CF20A2">
        <w:rPr>
          <w:rFonts w:ascii="Arial" w:hAnsi="Arial" w:cs="Arial"/>
        </w:rPr>
        <w:t xml:space="preserve">The within-treatment </w:t>
      </w:r>
      <w:r w:rsidR="00FD081F">
        <w:rPr>
          <w:rFonts w:ascii="Arial" w:hAnsi="Arial" w:cs="Arial"/>
        </w:rPr>
        <w:t>(</w:t>
      </w:r>
      <w:r w:rsidRPr="00CF20A2">
        <w:rPr>
          <w:rFonts w:ascii="Arial" w:hAnsi="Arial" w:cs="Arial"/>
        </w:rPr>
        <w:t>SS</w:t>
      </w:r>
      <w:r w:rsidR="00FD081F">
        <w:rPr>
          <w:rFonts w:ascii="Arial" w:hAnsi="Arial" w:cs="Arial"/>
        </w:rPr>
        <w:t>=</w:t>
      </w:r>
      <w:r w:rsidRPr="00CF20A2">
        <w:rPr>
          <w:rFonts w:ascii="Arial" w:hAnsi="Arial" w:cs="Arial"/>
        </w:rPr>
        <w:t>1009.774) is a measure of biological variability.</w:t>
      </w:r>
    </w:p>
    <w:p w14:paraId="5FC3383A" w14:textId="77777777" w:rsidR="00CF20A2" w:rsidRPr="00CF20A2" w:rsidRDefault="00CF20A2" w:rsidP="00CF20A2">
      <w:pPr>
        <w:jc w:val="both"/>
        <w:rPr>
          <w:rFonts w:ascii="Arial" w:hAnsi="Arial" w:cs="Arial"/>
        </w:rPr>
      </w:pPr>
      <w:r w:rsidRPr="00CF20A2">
        <w:rPr>
          <w:rFonts w:ascii="Arial" w:hAnsi="Arial" w:cs="Arial"/>
        </w:rPr>
        <w:t>The conclusion that treatments had a significant and quantifiable impact is supported by the comparatively higher between-group variance as compared to within-group variance.</w:t>
      </w:r>
    </w:p>
    <w:p w14:paraId="5F50F797" w14:textId="77777777" w:rsidR="00CF20A2" w:rsidRPr="00CF20A2" w:rsidRDefault="00CF20A2" w:rsidP="00CF20A2">
      <w:pPr>
        <w:jc w:val="both"/>
        <w:rPr>
          <w:rFonts w:ascii="Arial" w:hAnsi="Arial" w:cs="Arial"/>
        </w:rPr>
      </w:pPr>
    </w:p>
    <w:p w14:paraId="36C35377" w14:textId="2A946D7D" w:rsidR="00CF20A2" w:rsidRDefault="00CF20A2" w:rsidP="004708D1">
      <w:pPr>
        <w:spacing w:after="240"/>
        <w:jc w:val="both"/>
        <w:rPr>
          <w:rFonts w:ascii="Arial" w:hAnsi="Arial" w:cs="Arial"/>
        </w:rPr>
      </w:pPr>
      <w:r w:rsidRPr="00CF20A2">
        <w:rPr>
          <w:rFonts w:ascii="Arial" w:hAnsi="Arial" w:cs="Arial"/>
        </w:rPr>
        <w:t xml:space="preserve">This statistical confirmation supports the assertion that </w:t>
      </w:r>
      <w:r w:rsidR="00FD081F">
        <w:rPr>
          <w:rFonts w:ascii="Arial" w:hAnsi="Arial" w:cs="Arial"/>
        </w:rPr>
        <w:t xml:space="preserve">the </w:t>
      </w:r>
      <w:r w:rsidRPr="00CF20A2">
        <w:rPr>
          <w:rFonts w:ascii="Arial" w:hAnsi="Arial" w:cs="Arial"/>
        </w:rPr>
        <w:t>chemical composition</w:t>
      </w:r>
      <w:r w:rsidR="00FD081F">
        <w:rPr>
          <w:rFonts w:ascii="Arial" w:hAnsi="Arial" w:cs="Arial"/>
        </w:rPr>
        <w:t xml:space="preserve"> of the fertilizers</w:t>
      </w:r>
      <w:r w:rsidRPr="00CF20A2">
        <w:rPr>
          <w:rFonts w:ascii="Arial" w:hAnsi="Arial" w:cs="Arial"/>
        </w:rPr>
        <w:t xml:space="preserve"> is a key factor in determining their ecological impact.</w:t>
      </w:r>
    </w:p>
    <w:p w14:paraId="74391980" w14:textId="72C432F1" w:rsidR="00E20A88" w:rsidRDefault="00E20A88" w:rsidP="008C44D8">
      <w:pPr>
        <w:jc w:val="both"/>
        <w:rPr>
          <w:rFonts w:ascii="Arial" w:hAnsi="Arial" w:cs="Arial"/>
        </w:rPr>
      </w:pPr>
      <w:r w:rsidRPr="00E8313C">
        <w:rPr>
          <w:rFonts w:ascii="Arial" w:hAnsi="Arial" w:cs="Arial"/>
        </w:rPr>
        <w:t xml:space="preserve">Table </w:t>
      </w:r>
      <w:r w:rsidR="0069226F">
        <w:rPr>
          <w:rFonts w:ascii="Arial" w:hAnsi="Arial" w:cs="Arial"/>
        </w:rPr>
        <w:t>3</w:t>
      </w:r>
      <w:r w:rsidRPr="00E8313C">
        <w:rPr>
          <w:rFonts w:ascii="Arial" w:hAnsi="Arial" w:cs="Arial"/>
        </w:rPr>
        <w:t>. Exploratory one-way ANOVA on serial biomass observations</w:t>
      </w:r>
    </w:p>
    <w:tbl>
      <w:tblPr>
        <w:tblW w:w="77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053"/>
        <w:gridCol w:w="830"/>
        <w:gridCol w:w="1053"/>
        <w:gridCol w:w="1053"/>
        <w:gridCol w:w="1053"/>
        <w:gridCol w:w="941"/>
      </w:tblGrid>
      <w:tr w:rsidR="0019626C" w:rsidRPr="004A1008" w14:paraId="35DFB65E" w14:textId="77777777" w:rsidTr="0019626C">
        <w:trPr>
          <w:gridAfter w:val="2"/>
          <w:wAfter w:w="1994" w:type="dxa"/>
          <w:trHeight w:val="300"/>
        </w:trPr>
        <w:tc>
          <w:tcPr>
            <w:tcW w:w="5724" w:type="dxa"/>
            <w:gridSpan w:val="5"/>
            <w:noWrap/>
            <w:vAlign w:val="bottom"/>
          </w:tcPr>
          <w:p w14:paraId="2E5CB6DB" w14:textId="43B46C95" w:rsidR="0019626C" w:rsidRPr="004A1008" w:rsidRDefault="0019626C" w:rsidP="0069226F">
            <w:pPr>
              <w:rPr>
                <w:rFonts w:ascii="Arial" w:hAnsi="Arial" w:cs="Arial"/>
                <w:lang w:val="en-IN" w:eastAsia="en-IN" w:bidi="hi-IN"/>
              </w:rPr>
            </w:pPr>
            <w:r w:rsidRPr="004A1008">
              <w:rPr>
                <w:rFonts w:ascii="Arial" w:hAnsi="Arial" w:cs="Arial"/>
                <w:color w:val="000000"/>
                <w:lang w:val="en-IN" w:eastAsia="en-IN" w:bidi="hi-IN"/>
              </w:rPr>
              <w:t>SUMMARY</w:t>
            </w:r>
          </w:p>
        </w:tc>
      </w:tr>
      <w:tr w:rsidR="0019626C" w:rsidRPr="004A1008" w14:paraId="2648E43E" w14:textId="77777777" w:rsidTr="0019626C">
        <w:trPr>
          <w:gridAfter w:val="2"/>
          <w:wAfter w:w="1994" w:type="dxa"/>
          <w:trHeight w:val="300"/>
        </w:trPr>
        <w:tc>
          <w:tcPr>
            <w:tcW w:w="1735" w:type="dxa"/>
            <w:noWrap/>
            <w:vAlign w:val="bottom"/>
            <w:hideMark/>
          </w:tcPr>
          <w:p w14:paraId="6D09C477" w14:textId="77777777" w:rsidR="0019626C" w:rsidRPr="004A1008" w:rsidRDefault="0019626C" w:rsidP="0069226F">
            <w:pPr>
              <w:jc w:val="center"/>
              <w:rPr>
                <w:rFonts w:ascii="Arial" w:hAnsi="Arial" w:cs="Arial"/>
                <w:b/>
                <w:bCs/>
                <w:i/>
                <w:iCs/>
                <w:color w:val="000000"/>
                <w:lang w:val="en-IN" w:eastAsia="en-IN" w:bidi="hi-IN"/>
              </w:rPr>
            </w:pPr>
            <w:r w:rsidRPr="004A1008">
              <w:rPr>
                <w:rFonts w:ascii="Arial" w:hAnsi="Arial" w:cs="Arial"/>
                <w:b/>
                <w:bCs/>
                <w:i/>
                <w:iCs/>
                <w:color w:val="000000"/>
                <w:lang w:val="en-IN" w:eastAsia="en-IN" w:bidi="hi-IN"/>
              </w:rPr>
              <w:t>Groups</w:t>
            </w:r>
          </w:p>
        </w:tc>
        <w:tc>
          <w:tcPr>
            <w:tcW w:w="1053" w:type="dxa"/>
            <w:noWrap/>
            <w:vAlign w:val="bottom"/>
            <w:hideMark/>
          </w:tcPr>
          <w:p w14:paraId="2AC30982" w14:textId="77777777" w:rsidR="0019626C" w:rsidRPr="004A1008" w:rsidRDefault="0019626C" w:rsidP="0069226F">
            <w:pPr>
              <w:jc w:val="center"/>
              <w:rPr>
                <w:rFonts w:ascii="Arial" w:hAnsi="Arial" w:cs="Arial"/>
                <w:i/>
                <w:iCs/>
                <w:color w:val="000000"/>
                <w:lang w:val="en-IN" w:eastAsia="en-IN" w:bidi="hi-IN"/>
              </w:rPr>
            </w:pPr>
            <w:r w:rsidRPr="004A1008">
              <w:rPr>
                <w:rFonts w:ascii="Arial" w:hAnsi="Arial" w:cs="Arial"/>
                <w:i/>
                <w:iCs/>
                <w:color w:val="000000"/>
                <w:lang w:val="en-IN" w:eastAsia="en-IN" w:bidi="hi-IN"/>
              </w:rPr>
              <w:t>Count</w:t>
            </w:r>
          </w:p>
        </w:tc>
        <w:tc>
          <w:tcPr>
            <w:tcW w:w="830" w:type="dxa"/>
            <w:noWrap/>
            <w:vAlign w:val="bottom"/>
            <w:hideMark/>
          </w:tcPr>
          <w:p w14:paraId="175098DF" w14:textId="77777777" w:rsidR="0019626C" w:rsidRPr="004A1008" w:rsidRDefault="0019626C" w:rsidP="0069226F">
            <w:pPr>
              <w:jc w:val="center"/>
              <w:rPr>
                <w:rFonts w:ascii="Arial" w:hAnsi="Arial" w:cs="Arial"/>
                <w:i/>
                <w:iCs/>
                <w:color w:val="000000"/>
                <w:lang w:val="en-IN" w:eastAsia="en-IN" w:bidi="hi-IN"/>
              </w:rPr>
            </w:pPr>
            <w:r w:rsidRPr="004A1008">
              <w:rPr>
                <w:rFonts w:ascii="Arial" w:hAnsi="Arial" w:cs="Arial"/>
                <w:i/>
                <w:iCs/>
                <w:color w:val="000000"/>
                <w:lang w:val="en-IN" w:eastAsia="en-IN" w:bidi="hi-IN"/>
              </w:rPr>
              <w:t>Sum</w:t>
            </w:r>
          </w:p>
        </w:tc>
        <w:tc>
          <w:tcPr>
            <w:tcW w:w="1053" w:type="dxa"/>
            <w:noWrap/>
            <w:vAlign w:val="bottom"/>
            <w:hideMark/>
          </w:tcPr>
          <w:p w14:paraId="0A0551EC" w14:textId="77777777" w:rsidR="0019626C" w:rsidRPr="004A1008" w:rsidRDefault="0019626C" w:rsidP="0069226F">
            <w:pPr>
              <w:jc w:val="center"/>
              <w:rPr>
                <w:rFonts w:ascii="Arial" w:hAnsi="Arial" w:cs="Arial"/>
                <w:i/>
                <w:iCs/>
                <w:color w:val="000000"/>
                <w:lang w:val="en-IN" w:eastAsia="en-IN" w:bidi="hi-IN"/>
              </w:rPr>
            </w:pPr>
            <w:r w:rsidRPr="004A1008">
              <w:rPr>
                <w:rFonts w:ascii="Arial" w:hAnsi="Arial" w:cs="Arial"/>
                <w:i/>
                <w:iCs/>
                <w:color w:val="000000"/>
                <w:lang w:val="en-IN" w:eastAsia="en-IN" w:bidi="hi-IN"/>
              </w:rPr>
              <w:t>Average</w:t>
            </w:r>
          </w:p>
        </w:tc>
        <w:tc>
          <w:tcPr>
            <w:tcW w:w="1053" w:type="dxa"/>
            <w:noWrap/>
            <w:vAlign w:val="bottom"/>
            <w:hideMark/>
          </w:tcPr>
          <w:p w14:paraId="092472F9" w14:textId="77777777" w:rsidR="0019626C" w:rsidRPr="004A1008" w:rsidRDefault="0019626C" w:rsidP="0069226F">
            <w:pPr>
              <w:jc w:val="center"/>
              <w:rPr>
                <w:rFonts w:ascii="Arial" w:hAnsi="Arial" w:cs="Arial"/>
                <w:i/>
                <w:iCs/>
                <w:color w:val="000000"/>
                <w:lang w:val="en-IN" w:eastAsia="en-IN" w:bidi="hi-IN"/>
              </w:rPr>
            </w:pPr>
            <w:r w:rsidRPr="004A1008">
              <w:rPr>
                <w:rFonts w:ascii="Arial" w:hAnsi="Arial" w:cs="Arial"/>
                <w:i/>
                <w:iCs/>
                <w:color w:val="000000"/>
                <w:lang w:val="en-IN" w:eastAsia="en-IN" w:bidi="hi-IN"/>
              </w:rPr>
              <w:t>Variance</w:t>
            </w:r>
          </w:p>
        </w:tc>
      </w:tr>
      <w:tr w:rsidR="0019626C" w:rsidRPr="004A1008" w14:paraId="1AF48D91" w14:textId="77777777" w:rsidTr="0019626C">
        <w:trPr>
          <w:gridAfter w:val="2"/>
          <w:wAfter w:w="1994" w:type="dxa"/>
          <w:trHeight w:val="300"/>
        </w:trPr>
        <w:tc>
          <w:tcPr>
            <w:tcW w:w="1735" w:type="dxa"/>
            <w:noWrap/>
            <w:vAlign w:val="bottom"/>
            <w:hideMark/>
          </w:tcPr>
          <w:p w14:paraId="5568E16F" w14:textId="77777777" w:rsidR="0019626C" w:rsidRPr="004A1008" w:rsidRDefault="0019626C" w:rsidP="0069226F">
            <w:pPr>
              <w:rPr>
                <w:rFonts w:ascii="Arial" w:hAnsi="Arial" w:cs="Arial"/>
                <w:b/>
                <w:bCs/>
                <w:color w:val="000000"/>
                <w:lang w:val="en-IN" w:eastAsia="en-IN" w:bidi="hi-IN"/>
              </w:rPr>
            </w:pPr>
            <w:r w:rsidRPr="004A1008">
              <w:rPr>
                <w:rFonts w:ascii="Arial" w:hAnsi="Arial" w:cs="Arial"/>
                <w:b/>
                <w:bCs/>
                <w:color w:val="000000"/>
                <w:lang w:val="en-IN" w:eastAsia="en-IN" w:bidi="hi-IN"/>
              </w:rPr>
              <w:t>Control</w:t>
            </w:r>
          </w:p>
        </w:tc>
        <w:tc>
          <w:tcPr>
            <w:tcW w:w="1053" w:type="dxa"/>
            <w:noWrap/>
            <w:vAlign w:val="bottom"/>
            <w:hideMark/>
          </w:tcPr>
          <w:p w14:paraId="339D4108"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6</w:t>
            </w:r>
          </w:p>
        </w:tc>
        <w:tc>
          <w:tcPr>
            <w:tcW w:w="830" w:type="dxa"/>
            <w:noWrap/>
            <w:vAlign w:val="bottom"/>
            <w:hideMark/>
          </w:tcPr>
          <w:p w14:paraId="32D4A45A"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202.63</w:t>
            </w:r>
          </w:p>
        </w:tc>
        <w:tc>
          <w:tcPr>
            <w:tcW w:w="1053" w:type="dxa"/>
            <w:noWrap/>
            <w:vAlign w:val="bottom"/>
            <w:hideMark/>
          </w:tcPr>
          <w:p w14:paraId="22B1DF5F"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33.77167</w:t>
            </w:r>
          </w:p>
        </w:tc>
        <w:tc>
          <w:tcPr>
            <w:tcW w:w="1053" w:type="dxa"/>
            <w:noWrap/>
            <w:vAlign w:val="bottom"/>
            <w:hideMark/>
          </w:tcPr>
          <w:p w14:paraId="1CD30EB7"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32.19942</w:t>
            </w:r>
          </w:p>
        </w:tc>
      </w:tr>
      <w:tr w:rsidR="0019626C" w:rsidRPr="004A1008" w14:paraId="2397C7AD" w14:textId="77777777" w:rsidTr="0019626C">
        <w:trPr>
          <w:gridAfter w:val="2"/>
          <w:wAfter w:w="1994" w:type="dxa"/>
          <w:trHeight w:val="300"/>
        </w:trPr>
        <w:tc>
          <w:tcPr>
            <w:tcW w:w="1735" w:type="dxa"/>
            <w:noWrap/>
            <w:vAlign w:val="bottom"/>
            <w:hideMark/>
          </w:tcPr>
          <w:p w14:paraId="32E7C0C7" w14:textId="77777777" w:rsidR="0019626C" w:rsidRPr="004A1008" w:rsidRDefault="0019626C" w:rsidP="0069226F">
            <w:pPr>
              <w:rPr>
                <w:rFonts w:ascii="Arial" w:hAnsi="Arial" w:cs="Arial"/>
                <w:b/>
                <w:bCs/>
                <w:color w:val="000000"/>
                <w:lang w:val="en-IN" w:eastAsia="en-IN" w:bidi="hi-IN"/>
              </w:rPr>
            </w:pPr>
            <w:r w:rsidRPr="004A1008">
              <w:rPr>
                <w:rFonts w:ascii="Arial" w:hAnsi="Arial" w:cs="Arial"/>
                <w:b/>
                <w:bCs/>
                <w:color w:val="000000"/>
                <w:lang w:val="en-IN" w:eastAsia="en-IN" w:bidi="hi-IN"/>
              </w:rPr>
              <w:t>Urea</w:t>
            </w:r>
          </w:p>
        </w:tc>
        <w:tc>
          <w:tcPr>
            <w:tcW w:w="1053" w:type="dxa"/>
            <w:noWrap/>
            <w:vAlign w:val="bottom"/>
            <w:hideMark/>
          </w:tcPr>
          <w:p w14:paraId="7FDB689B"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6</w:t>
            </w:r>
          </w:p>
        </w:tc>
        <w:tc>
          <w:tcPr>
            <w:tcW w:w="830" w:type="dxa"/>
            <w:noWrap/>
            <w:vAlign w:val="bottom"/>
            <w:hideMark/>
          </w:tcPr>
          <w:p w14:paraId="1F490C1B"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111.62</w:t>
            </w:r>
          </w:p>
        </w:tc>
        <w:tc>
          <w:tcPr>
            <w:tcW w:w="1053" w:type="dxa"/>
            <w:noWrap/>
            <w:vAlign w:val="bottom"/>
            <w:hideMark/>
          </w:tcPr>
          <w:p w14:paraId="50621CC8"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18.60333</w:t>
            </w:r>
          </w:p>
        </w:tc>
        <w:tc>
          <w:tcPr>
            <w:tcW w:w="1053" w:type="dxa"/>
            <w:noWrap/>
            <w:vAlign w:val="bottom"/>
            <w:hideMark/>
          </w:tcPr>
          <w:p w14:paraId="5EF70E9A"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80.82775</w:t>
            </w:r>
          </w:p>
        </w:tc>
      </w:tr>
      <w:tr w:rsidR="0019626C" w:rsidRPr="004A1008" w14:paraId="1C1EDE04" w14:textId="77777777" w:rsidTr="0019626C">
        <w:trPr>
          <w:gridAfter w:val="2"/>
          <w:wAfter w:w="1994" w:type="dxa"/>
          <w:trHeight w:val="300"/>
        </w:trPr>
        <w:tc>
          <w:tcPr>
            <w:tcW w:w="1735" w:type="dxa"/>
            <w:noWrap/>
            <w:vAlign w:val="bottom"/>
            <w:hideMark/>
          </w:tcPr>
          <w:p w14:paraId="10D40DB8" w14:textId="77777777" w:rsidR="0019626C" w:rsidRPr="004A1008" w:rsidRDefault="0019626C" w:rsidP="0069226F">
            <w:pPr>
              <w:rPr>
                <w:rFonts w:ascii="Arial" w:hAnsi="Arial" w:cs="Arial"/>
                <w:b/>
                <w:bCs/>
                <w:color w:val="000000"/>
                <w:lang w:val="en-IN" w:eastAsia="en-IN" w:bidi="hi-IN"/>
              </w:rPr>
            </w:pPr>
            <w:r w:rsidRPr="004A1008">
              <w:rPr>
                <w:rFonts w:ascii="Arial" w:hAnsi="Arial" w:cs="Arial"/>
                <w:b/>
                <w:bCs/>
                <w:color w:val="000000"/>
                <w:lang w:val="en-IN" w:eastAsia="en-IN" w:bidi="hi-IN"/>
              </w:rPr>
              <w:t>NPK 15:15:15</w:t>
            </w:r>
          </w:p>
        </w:tc>
        <w:tc>
          <w:tcPr>
            <w:tcW w:w="1053" w:type="dxa"/>
            <w:noWrap/>
            <w:vAlign w:val="bottom"/>
            <w:hideMark/>
          </w:tcPr>
          <w:p w14:paraId="321F0577"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6</w:t>
            </w:r>
          </w:p>
        </w:tc>
        <w:tc>
          <w:tcPr>
            <w:tcW w:w="830" w:type="dxa"/>
            <w:noWrap/>
            <w:vAlign w:val="bottom"/>
            <w:hideMark/>
          </w:tcPr>
          <w:p w14:paraId="6B2173DB"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160.06</w:t>
            </w:r>
          </w:p>
        </w:tc>
        <w:tc>
          <w:tcPr>
            <w:tcW w:w="1053" w:type="dxa"/>
            <w:noWrap/>
            <w:vAlign w:val="bottom"/>
            <w:hideMark/>
          </w:tcPr>
          <w:p w14:paraId="7D66794A"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26.67667</w:t>
            </w:r>
          </w:p>
        </w:tc>
        <w:tc>
          <w:tcPr>
            <w:tcW w:w="1053" w:type="dxa"/>
            <w:noWrap/>
            <w:vAlign w:val="bottom"/>
            <w:hideMark/>
          </w:tcPr>
          <w:p w14:paraId="5F47F8E7"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8.942347</w:t>
            </w:r>
          </w:p>
        </w:tc>
      </w:tr>
      <w:tr w:rsidR="0019626C" w:rsidRPr="004A1008" w14:paraId="2BD94BBC" w14:textId="77777777" w:rsidTr="0019626C">
        <w:trPr>
          <w:gridAfter w:val="2"/>
          <w:wAfter w:w="1994" w:type="dxa"/>
          <w:trHeight w:val="300"/>
        </w:trPr>
        <w:tc>
          <w:tcPr>
            <w:tcW w:w="1735" w:type="dxa"/>
            <w:noWrap/>
            <w:vAlign w:val="bottom"/>
            <w:hideMark/>
          </w:tcPr>
          <w:p w14:paraId="6737F866" w14:textId="77777777" w:rsidR="0019626C" w:rsidRPr="004A1008" w:rsidRDefault="0019626C" w:rsidP="0069226F">
            <w:pPr>
              <w:rPr>
                <w:rFonts w:ascii="Arial" w:hAnsi="Arial" w:cs="Arial"/>
                <w:b/>
                <w:bCs/>
                <w:color w:val="000000"/>
                <w:lang w:val="en-IN" w:eastAsia="en-IN" w:bidi="hi-IN"/>
              </w:rPr>
            </w:pPr>
            <w:r w:rsidRPr="004A1008">
              <w:rPr>
                <w:rFonts w:ascii="Arial" w:hAnsi="Arial" w:cs="Arial"/>
                <w:b/>
                <w:bCs/>
                <w:color w:val="000000"/>
                <w:lang w:val="en-IN" w:eastAsia="en-IN" w:bidi="hi-IN"/>
              </w:rPr>
              <w:t>NPK 10:26:26</w:t>
            </w:r>
          </w:p>
        </w:tc>
        <w:tc>
          <w:tcPr>
            <w:tcW w:w="1053" w:type="dxa"/>
            <w:noWrap/>
            <w:vAlign w:val="bottom"/>
            <w:hideMark/>
          </w:tcPr>
          <w:p w14:paraId="694153B1"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6</w:t>
            </w:r>
          </w:p>
        </w:tc>
        <w:tc>
          <w:tcPr>
            <w:tcW w:w="830" w:type="dxa"/>
            <w:noWrap/>
            <w:vAlign w:val="bottom"/>
            <w:hideMark/>
          </w:tcPr>
          <w:p w14:paraId="0A34AA0F"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180.7</w:t>
            </w:r>
          </w:p>
        </w:tc>
        <w:tc>
          <w:tcPr>
            <w:tcW w:w="1053" w:type="dxa"/>
            <w:noWrap/>
            <w:vAlign w:val="bottom"/>
            <w:hideMark/>
          </w:tcPr>
          <w:p w14:paraId="216CC57C"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30.11667</w:t>
            </w:r>
          </w:p>
        </w:tc>
        <w:tc>
          <w:tcPr>
            <w:tcW w:w="1053" w:type="dxa"/>
            <w:noWrap/>
            <w:vAlign w:val="bottom"/>
            <w:hideMark/>
          </w:tcPr>
          <w:p w14:paraId="64E0FD30"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28.33291</w:t>
            </w:r>
          </w:p>
        </w:tc>
      </w:tr>
      <w:tr w:rsidR="0019626C" w:rsidRPr="004A1008" w14:paraId="05AD08D1" w14:textId="77777777" w:rsidTr="0019626C">
        <w:trPr>
          <w:gridAfter w:val="2"/>
          <w:wAfter w:w="1994" w:type="dxa"/>
          <w:trHeight w:val="315"/>
        </w:trPr>
        <w:tc>
          <w:tcPr>
            <w:tcW w:w="1735" w:type="dxa"/>
            <w:noWrap/>
            <w:vAlign w:val="bottom"/>
            <w:hideMark/>
          </w:tcPr>
          <w:p w14:paraId="4A3B42BD" w14:textId="77777777" w:rsidR="0019626C" w:rsidRPr="004A1008" w:rsidRDefault="0019626C" w:rsidP="0069226F">
            <w:pPr>
              <w:rPr>
                <w:rFonts w:ascii="Arial" w:hAnsi="Arial" w:cs="Arial"/>
                <w:b/>
                <w:bCs/>
                <w:color w:val="000000"/>
                <w:lang w:val="en-IN" w:eastAsia="en-IN" w:bidi="hi-IN"/>
              </w:rPr>
            </w:pPr>
            <w:r w:rsidRPr="004A1008">
              <w:rPr>
                <w:rFonts w:ascii="Arial" w:hAnsi="Arial" w:cs="Arial"/>
                <w:b/>
                <w:bCs/>
                <w:color w:val="000000"/>
                <w:lang w:val="en-IN" w:eastAsia="en-IN" w:bidi="hi-IN"/>
              </w:rPr>
              <w:t>Superphosphate</w:t>
            </w:r>
          </w:p>
        </w:tc>
        <w:tc>
          <w:tcPr>
            <w:tcW w:w="1053" w:type="dxa"/>
            <w:noWrap/>
            <w:vAlign w:val="bottom"/>
            <w:hideMark/>
          </w:tcPr>
          <w:p w14:paraId="5E7C2586"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6</w:t>
            </w:r>
          </w:p>
        </w:tc>
        <w:tc>
          <w:tcPr>
            <w:tcW w:w="830" w:type="dxa"/>
            <w:noWrap/>
            <w:vAlign w:val="bottom"/>
            <w:hideMark/>
          </w:tcPr>
          <w:p w14:paraId="5BB86FDA"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200.23</w:t>
            </w:r>
          </w:p>
        </w:tc>
        <w:tc>
          <w:tcPr>
            <w:tcW w:w="1053" w:type="dxa"/>
            <w:noWrap/>
            <w:vAlign w:val="bottom"/>
            <w:hideMark/>
          </w:tcPr>
          <w:p w14:paraId="4DA7E6CB"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33.37167</w:t>
            </w:r>
          </w:p>
        </w:tc>
        <w:tc>
          <w:tcPr>
            <w:tcW w:w="1053" w:type="dxa"/>
            <w:noWrap/>
            <w:vAlign w:val="bottom"/>
            <w:hideMark/>
          </w:tcPr>
          <w:p w14:paraId="3D4DE977" w14:textId="77777777" w:rsidR="0019626C" w:rsidRPr="004A1008" w:rsidRDefault="0019626C" w:rsidP="0069226F">
            <w:pPr>
              <w:jc w:val="right"/>
              <w:rPr>
                <w:rFonts w:ascii="Arial" w:hAnsi="Arial" w:cs="Arial"/>
                <w:color w:val="000000"/>
                <w:lang w:val="en-IN" w:eastAsia="en-IN" w:bidi="hi-IN"/>
              </w:rPr>
            </w:pPr>
            <w:r w:rsidRPr="004A1008">
              <w:rPr>
                <w:rFonts w:ascii="Arial" w:hAnsi="Arial" w:cs="Arial"/>
                <w:color w:val="000000"/>
                <w:lang w:val="en-IN" w:eastAsia="en-IN" w:bidi="hi-IN"/>
              </w:rPr>
              <w:t>51.65246</w:t>
            </w:r>
          </w:p>
        </w:tc>
      </w:tr>
      <w:tr w:rsidR="0019626C" w:rsidRPr="0019626C" w14:paraId="5D010E40" w14:textId="77777777" w:rsidTr="0078554D">
        <w:trPr>
          <w:trHeight w:val="300"/>
        </w:trPr>
        <w:tc>
          <w:tcPr>
            <w:tcW w:w="7718" w:type="dxa"/>
            <w:gridSpan w:val="7"/>
            <w:noWrap/>
            <w:vAlign w:val="bottom"/>
          </w:tcPr>
          <w:p w14:paraId="74EA5663" w14:textId="254058C2" w:rsidR="0019626C" w:rsidRPr="004A1008" w:rsidRDefault="0019626C" w:rsidP="0069226F">
            <w:pPr>
              <w:jc w:val="center"/>
              <w:rPr>
                <w:rFonts w:ascii="Arial" w:hAnsi="Arial" w:cs="Arial"/>
                <w:b/>
                <w:bCs/>
                <w:i/>
                <w:iCs/>
                <w:color w:val="000000"/>
                <w:lang w:val="en-IN" w:eastAsia="en-IN" w:bidi="hi-IN"/>
              </w:rPr>
            </w:pPr>
            <w:r w:rsidRPr="004A1008">
              <w:rPr>
                <w:rFonts w:ascii="Arial" w:hAnsi="Arial" w:cs="Arial"/>
                <w:b/>
                <w:bCs/>
                <w:color w:val="000000"/>
                <w:lang w:val="en-IN" w:eastAsia="en-IN" w:bidi="hi-IN"/>
              </w:rPr>
              <w:t>ANOVA</w:t>
            </w:r>
          </w:p>
        </w:tc>
      </w:tr>
      <w:tr w:rsidR="0069226F" w:rsidRPr="0069226F" w14:paraId="74E3464E" w14:textId="77777777" w:rsidTr="0019626C">
        <w:trPr>
          <w:trHeight w:val="300"/>
        </w:trPr>
        <w:tc>
          <w:tcPr>
            <w:tcW w:w="1735" w:type="dxa"/>
            <w:noWrap/>
            <w:vAlign w:val="bottom"/>
            <w:hideMark/>
          </w:tcPr>
          <w:p w14:paraId="449F43C1" w14:textId="77777777" w:rsidR="0069226F" w:rsidRPr="004A1008" w:rsidRDefault="0069226F" w:rsidP="0069226F">
            <w:pPr>
              <w:rPr>
                <w:rFonts w:ascii="Arial" w:hAnsi="Arial" w:cs="Arial"/>
                <w:b/>
                <w:bCs/>
                <w:i/>
                <w:iCs/>
                <w:color w:val="000000"/>
                <w:lang w:val="en-IN" w:eastAsia="en-IN" w:bidi="hi-IN"/>
              </w:rPr>
            </w:pPr>
            <w:r w:rsidRPr="004A1008">
              <w:rPr>
                <w:rFonts w:ascii="Arial" w:hAnsi="Arial" w:cs="Arial"/>
                <w:b/>
                <w:bCs/>
                <w:i/>
                <w:iCs/>
                <w:color w:val="000000"/>
                <w:lang w:val="en-IN" w:eastAsia="en-IN" w:bidi="hi-IN"/>
              </w:rPr>
              <w:t>Source of Variation</w:t>
            </w:r>
          </w:p>
        </w:tc>
        <w:tc>
          <w:tcPr>
            <w:tcW w:w="1053" w:type="dxa"/>
            <w:noWrap/>
            <w:vAlign w:val="bottom"/>
            <w:hideMark/>
          </w:tcPr>
          <w:p w14:paraId="2CF7131A" w14:textId="77777777" w:rsidR="0069226F" w:rsidRPr="004A1008" w:rsidRDefault="0069226F" w:rsidP="0069226F">
            <w:pPr>
              <w:jc w:val="center"/>
              <w:rPr>
                <w:rFonts w:ascii="Arial" w:hAnsi="Arial" w:cs="Arial"/>
                <w:i/>
                <w:iCs/>
                <w:color w:val="000000"/>
                <w:lang w:val="en-IN" w:eastAsia="en-IN" w:bidi="hi-IN"/>
              </w:rPr>
            </w:pPr>
            <w:r w:rsidRPr="004A1008">
              <w:rPr>
                <w:rFonts w:ascii="Arial" w:hAnsi="Arial" w:cs="Arial"/>
                <w:i/>
                <w:iCs/>
                <w:color w:val="000000"/>
                <w:lang w:val="en-IN" w:eastAsia="en-IN" w:bidi="hi-IN"/>
              </w:rPr>
              <w:t>SS</w:t>
            </w:r>
          </w:p>
        </w:tc>
        <w:tc>
          <w:tcPr>
            <w:tcW w:w="830" w:type="dxa"/>
            <w:noWrap/>
            <w:vAlign w:val="bottom"/>
            <w:hideMark/>
          </w:tcPr>
          <w:p w14:paraId="1DA48F49" w14:textId="77777777" w:rsidR="0069226F" w:rsidRPr="004A1008" w:rsidRDefault="0069226F" w:rsidP="0069226F">
            <w:pPr>
              <w:jc w:val="center"/>
              <w:rPr>
                <w:rFonts w:ascii="Arial" w:hAnsi="Arial" w:cs="Arial"/>
                <w:i/>
                <w:iCs/>
                <w:color w:val="000000"/>
                <w:lang w:val="en-IN" w:eastAsia="en-IN" w:bidi="hi-IN"/>
              </w:rPr>
            </w:pPr>
            <w:proofErr w:type="spellStart"/>
            <w:r w:rsidRPr="004A1008">
              <w:rPr>
                <w:rFonts w:ascii="Arial" w:hAnsi="Arial" w:cs="Arial"/>
                <w:i/>
                <w:iCs/>
                <w:color w:val="000000"/>
                <w:lang w:val="en-IN" w:eastAsia="en-IN" w:bidi="hi-IN"/>
              </w:rPr>
              <w:t>df</w:t>
            </w:r>
            <w:proofErr w:type="spellEnd"/>
          </w:p>
        </w:tc>
        <w:tc>
          <w:tcPr>
            <w:tcW w:w="1053" w:type="dxa"/>
            <w:noWrap/>
            <w:vAlign w:val="bottom"/>
            <w:hideMark/>
          </w:tcPr>
          <w:p w14:paraId="4D1997E5" w14:textId="77777777" w:rsidR="0069226F" w:rsidRPr="004A1008" w:rsidRDefault="0069226F" w:rsidP="0069226F">
            <w:pPr>
              <w:jc w:val="center"/>
              <w:rPr>
                <w:rFonts w:ascii="Arial" w:hAnsi="Arial" w:cs="Arial"/>
                <w:i/>
                <w:iCs/>
                <w:color w:val="000000"/>
                <w:lang w:val="en-IN" w:eastAsia="en-IN" w:bidi="hi-IN"/>
              </w:rPr>
            </w:pPr>
            <w:r w:rsidRPr="004A1008">
              <w:rPr>
                <w:rFonts w:ascii="Arial" w:hAnsi="Arial" w:cs="Arial"/>
                <w:i/>
                <w:iCs/>
                <w:color w:val="000000"/>
                <w:lang w:val="en-IN" w:eastAsia="en-IN" w:bidi="hi-IN"/>
              </w:rPr>
              <w:t>MS</w:t>
            </w:r>
          </w:p>
        </w:tc>
        <w:tc>
          <w:tcPr>
            <w:tcW w:w="1053" w:type="dxa"/>
            <w:noWrap/>
            <w:vAlign w:val="bottom"/>
            <w:hideMark/>
          </w:tcPr>
          <w:p w14:paraId="69E504C1" w14:textId="77777777" w:rsidR="0069226F" w:rsidRPr="004A1008" w:rsidRDefault="0069226F" w:rsidP="0069226F">
            <w:pPr>
              <w:jc w:val="center"/>
              <w:rPr>
                <w:rFonts w:ascii="Arial" w:hAnsi="Arial" w:cs="Arial"/>
                <w:i/>
                <w:iCs/>
                <w:color w:val="000000"/>
                <w:lang w:val="en-IN" w:eastAsia="en-IN" w:bidi="hi-IN"/>
              </w:rPr>
            </w:pPr>
            <w:r w:rsidRPr="004A1008">
              <w:rPr>
                <w:rFonts w:ascii="Arial" w:hAnsi="Arial" w:cs="Arial"/>
                <w:i/>
                <w:iCs/>
                <w:color w:val="000000"/>
                <w:lang w:val="en-IN" w:eastAsia="en-IN" w:bidi="hi-IN"/>
              </w:rPr>
              <w:t>F</w:t>
            </w:r>
          </w:p>
        </w:tc>
        <w:tc>
          <w:tcPr>
            <w:tcW w:w="1053" w:type="dxa"/>
            <w:noWrap/>
            <w:vAlign w:val="bottom"/>
            <w:hideMark/>
          </w:tcPr>
          <w:p w14:paraId="11F454C8" w14:textId="77777777" w:rsidR="0069226F" w:rsidRPr="004A1008" w:rsidRDefault="0069226F" w:rsidP="0069226F">
            <w:pPr>
              <w:jc w:val="center"/>
              <w:rPr>
                <w:rFonts w:ascii="Arial" w:hAnsi="Arial" w:cs="Arial"/>
                <w:i/>
                <w:iCs/>
                <w:color w:val="000000"/>
                <w:lang w:val="en-IN" w:eastAsia="en-IN" w:bidi="hi-IN"/>
              </w:rPr>
            </w:pPr>
            <w:r w:rsidRPr="004A1008">
              <w:rPr>
                <w:rFonts w:ascii="Arial" w:hAnsi="Arial" w:cs="Arial"/>
                <w:i/>
                <w:iCs/>
                <w:color w:val="000000"/>
                <w:lang w:val="en-IN" w:eastAsia="en-IN" w:bidi="hi-IN"/>
              </w:rPr>
              <w:t>P-value</w:t>
            </w:r>
          </w:p>
        </w:tc>
        <w:tc>
          <w:tcPr>
            <w:tcW w:w="941" w:type="dxa"/>
            <w:noWrap/>
            <w:vAlign w:val="bottom"/>
            <w:hideMark/>
          </w:tcPr>
          <w:p w14:paraId="65652903" w14:textId="77777777" w:rsidR="0069226F" w:rsidRPr="004A1008" w:rsidRDefault="0069226F" w:rsidP="0069226F">
            <w:pPr>
              <w:jc w:val="center"/>
              <w:rPr>
                <w:rFonts w:ascii="Arial" w:hAnsi="Arial" w:cs="Arial"/>
                <w:i/>
                <w:iCs/>
                <w:color w:val="000000"/>
                <w:lang w:val="en-IN" w:eastAsia="en-IN" w:bidi="hi-IN"/>
              </w:rPr>
            </w:pPr>
            <w:r w:rsidRPr="004A1008">
              <w:rPr>
                <w:rFonts w:ascii="Arial" w:hAnsi="Arial" w:cs="Arial"/>
                <w:i/>
                <w:iCs/>
                <w:color w:val="000000"/>
                <w:lang w:val="en-IN" w:eastAsia="en-IN" w:bidi="hi-IN"/>
              </w:rPr>
              <w:t>F crit</w:t>
            </w:r>
          </w:p>
        </w:tc>
      </w:tr>
      <w:tr w:rsidR="0069226F" w:rsidRPr="0069226F" w14:paraId="2CF5F4A0" w14:textId="77777777" w:rsidTr="0019626C">
        <w:trPr>
          <w:trHeight w:val="300"/>
        </w:trPr>
        <w:tc>
          <w:tcPr>
            <w:tcW w:w="1735" w:type="dxa"/>
            <w:noWrap/>
            <w:vAlign w:val="bottom"/>
            <w:hideMark/>
          </w:tcPr>
          <w:p w14:paraId="4E0D25F5" w14:textId="77777777" w:rsidR="0069226F" w:rsidRPr="004A1008" w:rsidRDefault="0069226F" w:rsidP="0069226F">
            <w:pPr>
              <w:rPr>
                <w:rFonts w:ascii="Arial" w:hAnsi="Arial" w:cs="Arial"/>
                <w:b/>
                <w:bCs/>
                <w:color w:val="000000"/>
                <w:lang w:val="en-IN" w:eastAsia="en-IN" w:bidi="hi-IN"/>
              </w:rPr>
            </w:pPr>
            <w:r w:rsidRPr="004A1008">
              <w:rPr>
                <w:rFonts w:ascii="Arial" w:hAnsi="Arial" w:cs="Arial"/>
                <w:b/>
                <w:bCs/>
                <w:color w:val="000000"/>
                <w:lang w:val="en-IN" w:eastAsia="en-IN" w:bidi="hi-IN"/>
              </w:rPr>
              <w:t>Between Groups</w:t>
            </w:r>
          </w:p>
        </w:tc>
        <w:tc>
          <w:tcPr>
            <w:tcW w:w="1053" w:type="dxa"/>
            <w:noWrap/>
            <w:vAlign w:val="bottom"/>
            <w:hideMark/>
          </w:tcPr>
          <w:p w14:paraId="6975F926" w14:textId="77777777" w:rsidR="0069226F" w:rsidRPr="004A1008" w:rsidRDefault="0069226F" w:rsidP="0069226F">
            <w:pPr>
              <w:jc w:val="right"/>
              <w:rPr>
                <w:rFonts w:ascii="Arial" w:hAnsi="Arial" w:cs="Arial"/>
                <w:color w:val="000000"/>
                <w:lang w:val="en-IN" w:eastAsia="en-IN" w:bidi="hi-IN"/>
              </w:rPr>
            </w:pPr>
            <w:r w:rsidRPr="004A1008">
              <w:rPr>
                <w:rFonts w:ascii="Arial" w:hAnsi="Arial" w:cs="Arial"/>
                <w:color w:val="000000"/>
                <w:lang w:val="en-IN" w:eastAsia="en-IN" w:bidi="hi-IN"/>
              </w:rPr>
              <w:t>932.4327</w:t>
            </w:r>
          </w:p>
        </w:tc>
        <w:tc>
          <w:tcPr>
            <w:tcW w:w="830" w:type="dxa"/>
            <w:noWrap/>
            <w:vAlign w:val="bottom"/>
            <w:hideMark/>
          </w:tcPr>
          <w:p w14:paraId="6DE41C24" w14:textId="77777777" w:rsidR="0069226F" w:rsidRPr="004A1008" w:rsidRDefault="0069226F" w:rsidP="0069226F">
            <w:pPr>
              <w:jc w:val="right"/>
              <w:rPr>
                <w:rFonts w:ascii="Arial" w:hAnsi="Arial" w:cs="Arial"/>
                <w:color w:val="000000"/>
                <w:lang w:val="en-IN" w:eastAsia="en-IN" w:bidi="hi-IN"/>
              </w:rPr>
            </w:pPr>
            <w:r w:rsidRPr="004A1008">
              <w:rPr>
                <w:rFonts w:ascii="Arial" w:hAnsi="Arial" w:cs="Arial"/>
                <w:color w:val="000000"/>
                <w:lang w:val="en-IN" w:eastAsia="en-IN" w:bidi="hi-IN"/>
              </w:rPr>
              <w:t>4</w:t>
            </w:r>
          </w:p>
        </w:tc>
        <w:tc>
          <w:tcPr>
            <w:tcW w:w="1053" w:type="dxa"/>
            <w:noWrap/>
            <w:vAlign w:val="bottom"/>
            <w:hideMark/>
          </w:tcPr>
          <w:p w14:paraId="63187C26" w14:textId="77777777" w:rsidR="0069226F" w:rsidRPr="004A1008" w:rsidRDefault="0069226F" w:rsidP="0069226F">
            <w:pPr>
              <w:jc w:val="right"/>
              <w:rPr>
                <w:rFonts w:ascii="Arial" w:hAnsi="Arial" w:cs="Arial"/>
                <w:color w:val="000000"/>
                <w:lang w:val="en-IN" w:eastAsia="en-IN" w:bidi="hi-IN"/>
              </w:rPr>
            </w:pPr>
            <w:r w:rsidRPr="004A1008">
              <w:rPr>
                <w:rFonts w:ascii="Arial" w:hAnsi="Arial" w:cs="Arial"/>
                <w:color w:val="000000"/>
                <w:lang w:val="en-IN" w:eastAsia="en-IN" w:bidi="hi-IN"/>
              </w:rPr>
              <w:t>233.1082</w:t>
            </w:r>
          </w:p>
        </w:tc>
        <w:tc>
          <w:tcPr>
            <w:tcW w:w="1053" w:type="dxa"/>
            <w:noWrap/>
            <w:vAlign w:val="bottom"/>
            <w:hideMark/>
          </w:tcPr>
          <w:p w14:paraId="3D5FAD60" w14:textId="77777777" w:rsidR="0069226F" w:rsidRPr="004A1008" w:rsidRDefault="0069226F" w:rsidP="0069226F">
            <w:pPr>
              <w:jc w:val="right"/>
              <w:rPr>
                <w:rFonts w:ascii="Arial" w:hAnsi="Arial" w:cs="Arial"/>
                <w:color w:val="000000"/>
                <w:lang w:val="en-IN" w:eastAsia="en-IN" w:bidi="hi-IN"/>
              </w:rPr>
            </w:pPr>
            <w:r w:rsidRPr="004A1008">
              <w:rPr>
                <w:rFonts w:ascii="Arial" w:hAnsi="Arial" w:cs="Arial"/>
                <w:color w:val="000000"/>
                <w:lang w:val="en-IN" w:eastAsia="en-IN" w:bidi="hi-IN"/>
              </w:rPr>
              <w:t>5.771294</w:t>
            </w:r>
          </w:p>
        </w:tc>
        <w:tc>
          <w:tcPr>
            <w:tcW w:w="1053" w:type="dxa"/>
            <w:noWrap/>
            <w:vAlign w:val="bottom"/>
            <w:hideMark/>
          </w:tcPr>
          <w:p w14:paraId="1A8B011D" w14:textId="77777777" w:rsidR="0069226F" w:rsidRPr="004A1008" w:rsidRDefault="0069226F" w:rsidP="0069226F">
            <w:pPr>
              <w:jc w:val="right"/>
              <w:rPr>
                <w:rFonts w:ascii="Arial" w:hAnsi="Arial" w:cs="Arial"/>
                <w:color w:val="000000"/>
                <w:lang w:val="en-IN" w:eastAsia="en-IN" w:bidi="hi-IN"/>
              </w:rPr>
            </w:pPr>
            <w:r w:rsidRPr="004A1008">
              <w:rPr>
                <w:rFonts w:ascii="Arial" w:hAnsi="Arial" w:cs="Arial"/>
                <w:color w:val="000000"/>
                <w:lang w:val="en-IN" w:eastAsia="en-IN" w:bidi="hi-IN"/>
              </w:rPr>
              <w:t>0.001969</w:t>
            </w:r>
          </w:p>
        </w:tc>
        <w:tc>
          <w:tcPr>
            <w:tcW w:w="941" w:type="dxa"/>
            <w:noWrap/>
            <w:vAlign w:val="bottom"/>
            <w:hideMark/>
          </w:tcPr>
          <w:p w14:paraId="61B662B7" w14:textId="77777777" w:rsidR="0069226F" w:rsidRPr="004A1008" w:rsidRDefault="0069226F" w:rsidP="0069226F">
            <w:pPr>
              <w:jc w:val="right"/>
              <w:rPr>
                <w:rFonts w:ascii="Arial" w:hAnsi="Arial" w:cs="Arial"/>
                <w:color w:val="000000"/>
                <w:lang w:val="en-IN" w:eastAsia="en-IN" w:bidi="hi-IN"/>
              </w:rPr>
            </w:pPr>
            <w:r w:rsidRPr="004A1008">
              <w:rPr>
                <w:rFonts w:ascii="Arial" w:hAnsi="Arial" w:cs="Arial"/>
                <w:color w:val="000000"/>
                <w:lang w:val="en-IN" w:eastAsia="en-IN" w:bidi="hi-IN"/>
              </w:rPr>
              <w:t>2.75871</w:t>
            </w:r>
          </w:p>
        </w:tc>
      </w:tr>
      <w:tr w:rsidR="0069226F" w:rsidRPr="0069226F" w14:paraId="5ECB4B34" w14:textId="77777777" w:rsidTr="0019626C">
        <w:trPr>
          <w:trHeight w:val="300"/>
        </w:trPr>
        <w:tc>
          <w:tcPr>
            <w:tcW w:w="1735" w:type="dxa"/>
            <w:noWrap/>
            <w:vAlign w:val="bottom"/>
            <w:hideMark/>
          </w:tcPr>
          <w:p w14:paraId="72B67869" w14:textId="77777777" w:rsidR="0069226F" w:rsidRPr="004A1008" w:rsidRDefault="0069226F" w:rsidP="0069226F">
            <w:pPr>
              <w:rPr>
                <w:rFonts w:ascii="Arial" w:hAnsi="Arial" w:cs="Arial"/>
                <w:b/>
                <w:bCs/>
                <w:color w:val="000000"/>
                <w:lang w:val="en-IN" w:eastAsia="en-IN" w:bidi="hi-IN"/>
              </w:rPr>
            </w:pPr>
            <w:r w:rsidRPr="004A1008">
              <w:rPr>
                <w:rFonts w:ascii="Arial" w:hAnsi="Arial" w:cs="Arial"/>
                <w:b/>
                <w:bCs/>
                <w:color w:val="000000"/>
                <w:lang w:val="en-IN" w:eastAsia="en-IN" w:bidi="hi-IN"/>
              </w:rPr>
              <w:t>Within Groups</w:t>
            </w:r>
          </w:p>
        </w:tc>
        <w:tc>
          <w:tcPr>
            <w:tcW w:w="1053" w:type="dxa"/>
            <w:noWrap/>
            <w:vAlign w:val="bottom"/>
            <w:hideMark/>
          </w:tcPr>
          <w:p w14:paraId="5D364FA0" w14:textId="77777777" w:rsidR="0069226F" w:rsidRPr="004A1008" w:rsidRDefault="0069226F" w:rsidP="0069226F">
            <w:pPr>
              <w:jc w:val="right"/>
              <w:rPr>
                <w:rFonts w:ascii="Arial" w:hAnsi="Arial" w:cs="Arial"/>
                <w:color w:val="000000"/>
                <w:lang w:val="en-IN" w:eastAsia="en-IN" w:bidi="hi-IN"/>
              </w:rPr>
            </w:pPr>
            <w:r w:rsidRPr="004A1008">
              <w:rPr>
                <w:rFonts w:ascii="Arial" w:hAnsi="Arial" w:cs="Arial"/>
                <w:color w:val="000000"/>
                <w:lang w:val="en-IN" w:eastAsia="en-IN" w:bidi="hi-IN"/>
              </w:rPr>
              <w:t>1009.774</w:t>
            </w:r>
          </w:p>
        </w:tc>
        <w:tc>
          <w:tcPr>
            <w:tcW w:w="830" w:type="dxa"/>
            <w:noWrap/>
            <w:vAlign w:val="bottom"/>
            <w:hideMark/>
          </w:tcPr>
          <w:p w14:paraId="07999428" w14:textId="77777777" w:rsidR="0069226F" w:rsidRPr="004A1008" w:rsidRDefault="0069226F" w:rsidP="0069226F">
            <w:pPr>
              <w:jc w:val="right"/>
              <w:rPr>
                <w:rFonts w:ascii="Arial" w:hAnsi="Arial" w:cs="Arial"/>
                <w:color w:val="000000"/>
                <w:lang w:val="en-IN" w:eastAsia="en-IN" w:bidi="hi-IN"/>
              </w:rPr>
            </w:pPr>
            <w:r w:rsidRPr="004A1008">
              <w:rPr>
                <w:rFonts w:ascii="Arial" w:hAnsi="Arial" w:cs="Arial"/>
                <w:color w:val="000000"/>
                <w:lang w:val="en-IN" w:eastAsia="en-IN" w:bidi="hi-IN"/>
              </w:rPr>
              <w:t>25</w:t>
            </w:r>
          </w:p>
        </w:tc>
        <w:tc>
          <w:tcPr>
            <w:tcW w:w="1053" w:type="dxa"/>
            <w:noWrap/>
            <w:vAlign w:val="bottom"/>
            <w:hideMark/>
          </w:tcPr>
          <w:p w14:paraId="29D56CA5" w14:textId="77777777" w:rsidR="0069226F" w:rsidRPr="004A1008" w:rsidRDefault="0069226F" w:rsidP="0069226F">
            <w:pPr>
              <w:jc w:val="right"/>
              <w:rPr>
                <w:rFonts w:ascii="Arial" w:hAnsi="Arial" w:cs="Arial"/>
                <w:color w:val="000000"/>
                <w:lang w:val="en-IN" w:eastAsia="en-IN" w:bidi="hi-IN"/>
              </w:rPr>
            </w:pPr>
            <w:r w:rsidRPr="004A1008">
              <w:rPr>
                <w:rFonts w:ascii="Arial" w:hAnsi="Arial" w:cs="Arial"/>
                <w:color w:val="000000"/>
                <w:lang w:val="en-IN" w:eastAsia="en-IN" w:bidi="hi-IN"/>
              </w:rPr>
              <w:t>40.39097</w:t>
            </w:r>
          </w:p>
        </w:tc>
        <w:tc>
          <w:tcPr>
            <w:tcW w:w="1053" w:type="dxa"/>
            <w:noWrap/>
            <w:vAlign w:val="bottom"/>
            <w:hideMark/>
          </w:tcPr>
          <w:p w14:paraId="7BB5AC90" w14:textId="77777777" w:rsidR="0069226F" w:rsidRPr="004A1008" w:rsidRDefault="0069226F" w:rsidP="0069226F">
            <w:pPr>
              <w:jc w:val="right"/>
              <w:rPr>
                <w:rFonts w:ascii="Arial" w:hAnsi="Arial" w:cs="Arial"/>
                <w:color w:val="000000"/>
                <w:lang w:val="en-IN" w:eastAsia="en-IN" w:bidi="hi-IN"/>
              </w:rPr>
            </w:pPr>
          </w:p>
        </w:tc>
        <w:tc>
          <w:tcPr>
            <w:tcW w:w="1053" w:type="dxa"/>
            <w:noWrap/>
            <w:vAlign w:val="bottom"/>
            <w:hideMark/>
          </w:tcPr>
          <w:p w14:paraId="03A9FA1E" w14:textId="77777777" w:rsidR="0069226F" w:rsidRPr="004A1008" w:rsidRDefault="0069226F" w:rsidP="0069226F">
            <w:pPr>
              <w:rPr>
                <w:rFonts w:ascii="Arial" w:hAnsi="Arial" w:cs="Arial"/>
                <w:lang w:val="en-IN" w:eastAsia="en-IN" w:bidi="hi-IN"/>
              </w:rPr>
            </w:pPr>
          </w:p>
        </w:tc>
        <w:tc>
          <w:tcPr>
            <w:tcW w:w="941" w:type="dxa"/>
            <w:noWrap/>
            <w:vAlign w:val="bottom"/>
            <w:hideMark/>
          </w:tcPr>
          <w:p w14:paraId="2AECF04C" w14:textId="77777777" w:rsidR="0069226F" w:rsidRPr="004A1008" w:rsidRDefault="0069226F" w:rsidP="0069226F">
            <w:pPr>
              <w:rPr>
                <w:rFonts w:ascii="Arial" w:hAnsi="Arial" w:cs="Arial"/>
                <w:lang w:val="en-IN" w:eastAsia="en-IN" w:bidi="hi-IN"/>
              </w:rPr>
            </w:pPr>
          </w:p>
        </w:tc>
      </w:tr>
      <w:tr w:rsidR="0019626C" w:rsidRPr="0069226F" w14:paraId="173BF8E3" w14:textId="77777777" w:rsidTr="0019626C">
        <w:trPr>
          <w:trHeight w:val="315"/>
        </w:trPr>
        <w:tc>
          <w:tcPr>
            <w:tcW w:w="1735" w:type="dxa"/>
            <w:noWrap/>
            <w:vAlign w:val="bottom"/>
            <w:hideMark/>
          </w:tcPr>
          <w:p w14:paraId="6AA64B78" w14:textId="77777777" w:rsidR="0069226F" w:rsidRPr="004A1008" w:rsidRDefault="0069226F" w:rsidP="0069226F">
            <w:pPr>
              <w:rPr>
                <w:rFonts w:ascii="Arial" w:hAnsi="Arial" w:cs="Arial"/>
                <w:b/>
                <w:bCs/>
                <w:color w:val="000000"/>
                <w:lang w:val="en-IN" w:eastAsia="en-IN" w:bidi="hi-IN"/>
              </w:rPr>
            </w:pPr>
            <w:r w:rsidRPr="004A1008">
              <w:rPr>
                <w:rFonts w:ascii="Arial" w:hAnsi="Arial" w:cs="Arial"/>
                <w:b/>
                <w:bCs/>
                <w:color w:val="000000"/>
                <w:lang w:val="en-IN" w:eastAsia="en-IN" w:bidi="hi-IN"/>
              </w:rPr>
              <w:t>Total</w:t>
            </w:r>
          </w:p>
        </w:tc>
        <w:tc>
          <w:tcPr>
            <w:tcW w:w="1053" w:type="dxa"/>
            <w:noWrap/>
            <w:vAlign w:val="bottom"/>
            <w:hideMark/>
          </w:tcPr>
          <w:p w14:paraId="08AA345B" w14:textId="77777777" w:rsidR="0069226F" w:rsidRPr="004A1008" w:rsidRDefault="0069226F" w:rsidP="0069226F">
            <w:pPr>
              <w:jc w:val="right"/>
              <w:rPr>
                <w:rFonts w:ascii="Arial" w:hAnsi="Arial" w:cs="Arial"/>
                <w:color w:val="000000"/>
                <w:lang w:val="en-IN" w:eastAsia="en-IN" w:bidi="hi-IN"/>
              </w:rPr>
            </w:pPr>
            <w:r w:rsidRPr="004A1008">
              <w:rPr>
                <w:rFonts w:ascii="Arial" w:hAnsi="Arial" w:cs="Arial"/>
                <w:color w:val="000000"/>
                <w:lang w:val="en-IN" w:eastAsia="en-IN" w:bidi="hi-IN"/>
              </w:rPr>
              <w:t>1942.207</w:t>
            </w:r>
          </w:p>
        </w:tc>
        <w:tc>
          <w:tcPr>
            <w:tcW w:w="830" w:type="dxa"/>
            <w:noWrap/>
            <w:vAlign w:val="bottom"/>
            <w:hideMark/>
          </w:tcPr>
          <w:p w14:paraId="04A740E8" w14:textId="77777777" w:rsidR="0069226F" w:rsidRPr="004A1008" w:rsidRDefault="0069226F" w:rsidP="0069226F">
            <w:pPr>
              <w:jc w:val="right"/>
              <w:rPr>
                <w:rFonts w:ascii="Arial" w:hAnsi="Arial" w:cs="Arial"/>
                <w:color w:val="000000"/>
                <w:lang w:val="en-IN" w:eastAsia="en-IN" w:bidi="hi-IN"/>
              </w:rPr>
            </w:pPr>
            <w:r w:rsidRPr="004A1008">
              <w:rPr>
                <w:rFonts w:ascii="Arial" w:hAnsi="Arial" w:cs="Arial"/>
                <w:color w:val="000000"/>
                <w:lang w:val="en-IN" w:eastAsia="en-IN" w:bidi="hi-IN"/>
              </w:rPr>
              <w:t>29</w:t>
            </w:r>
          </w:p>
        </w:tc>
        <w:tc>
          <w:tcPr>
            <w:tcW w:w="1053" w:type="dxa"/>
            <w:noWrap/>
            <w:vAlign w:val="bottom"/>
            <w:hideMark/>
          </w:tcPr>
          <w:p w14:paraId="1F71C073" w14:textId="77777777" w:rsidR="0069226F" w:rsidRPr="004A1008" w:rsidRDefault="0069226F" w:rsidP="0069226F">
            <w:pPr>
              <w:rPr>
                <w:rFonts w:ascii="Arial" w:hAnsi="Arial" w:cs="Arial"/>
                <w:color w:val="000000"/>
                <w:lang w:val="en-IN" w:eastAsia="en-IN" w:bidi="hi-IN"/>
              </w:rPr>
            </w:pPr>
            <w:r w:rsidRPr="004A1008">
              <w:rPr>
                <w:rFonts w:ascii="Arial" w:hAnsi="Arial" w:cs="Arial"/>
                <w:color w:val="000000"/>
                <w:lang w:val="en-IN" w:eastAsia="en-IN" w:bidi="hi-IN"/>
              </w:rPr>
              <w:t> </w:t>
            </w:r>
          </w:p>
        </w:tc>
        <w:tc>
          <w:tcPr>
            <w:tcW w:w="1053" w:type="dxa"/>
            <w:noWrap/>
            <w:vAlign w:val="bottom"/>
            <w:hideMark/>
          </w:tcPr>
          <w:p w14:paraId="69F0D025" w14:textId="77777777" w:rsidR="0069226F" w:rsidRPr="004A1008" w:rsidRDefault="0069226F" w:rsidP="0069226F">
            <w:pPr>
              <w:rPr>
                <w:rFonts w:ascii="Arial" w:hAnsi="Arial" w:cs="Arial"/>
                <w:color w:val="000000"/>
                <w:lang w:val="en-IN" w:eastAsia="en-IN" w:bidi="hi-IN"/>
              </w:rPr>
            </w:pPr>
            <w:r w:rsidRPr="004A1008">
              <w:rPr>
                <w:rFonts w:ascii="Arial" w:hAnsi="Arial" w:cs="Arial"/>
                <w:color w:val="000000"/>
                <w:lang w:val="en-IN" w:eastAsia="en-IN" w:bidi="hi-IN"/>
              </w:rPr>
              <w:t> </w:t>
            </w:r>
          </w:p>
        </w:tc>
        <w:tc>
          <w:tcPr>
            <w:tcW w:w="1053" w:type="dxa"/>
            <w:noWrap/>
            <w:vAlign w:val="bottom"/>
            <w:hideMark/>
          </w:tcPr>
          <w:p w14:paraId="566E0983" w14:textId="77777777" w:rsidR="0069226F" w:rsidRPr="004A1008" w:rsidRDefault="0069226F" w:rsidP="0069226F">
            <w:pPr>
              <w:rPr>
                <w:rFonts w:ascii="Arial" w:hAnsi="Arial" w:cs="Arial"/>
                <w:color w:val="000000"/>
                <w:lang w:val="en-IN" w:eastAsia="en-IN" w:bidi="hi-IN"/>
              </w:rPr>
            </w:pPr>
            <w:r w:rsidRPr="004A1008">
              <w:rPr>
                <w:rFonts w:ascii="Arial" w:hAnsi="Arial" w:cs="Arial"/>
                <w:color w:val="000000"/>
                <w:lang w:val="en-IN" w:eastAsia="en-IN" w:bidi="hi-IN"/>
              </w:rPr>
              <w:t> </w:t>
            </w:r>
          </w:p>
        </w:tc>
        <w:tc>
          <w:tcPr>
            <w:tcW w:w="941" w:type="dxa"/>
            <w:noWrap/>
            <w:vAlign w:val="bottom"/>
            <w:hideMark/>
          </w:tcPr>
          <w:p w14:paraId="566FB9E9" w14:textId="77777777" w:rsidR="0069226F" w:rsidRPr="004A1008" w:rsidRDefault="0069226F" w:rsidP="0069226F">
            <w:pPr>
              <w:rPr>
                <w:rFonts w:ascii="Arial" w:hAnsi="Arial" w:cs="Arial"/>
                <w:color w:val="000000"/>
                <w:lang w:val="en-IN" w:eastAsia="en-IN" w:bidi="hi-IN"/>
              </w:rPr>
            </w:pPr>
            <w:r w:rsidRPr="004A1008">
              <w:rPr>
                <w:rFonts w:ascii="Arial" w:hAnsi="Arial" w:cs="Arial"/>
                <w:color w:val="000000"/>
                <w:lang w:val="en-IN" w:eastAsia="en-IN" w:bidi="hi-IN"/>
              </w:rPr>
              <w:t> </w:t>
            </w:r>
          </w:p>
        </w:tc>
      </w:tr>
    </w:tbl>
    <w:p w14:paraId="5048DEF4" w14:textId="77777777" w:rsidR="0069226F" w:rsidRDefault="0069226F" w:rsidP="008C44D8">
      <w:pPr>
        <w:jc w:val="both"/>
        <w:rPr>
          <w:rFonts w:ascii="Arial" w:hAnsi="Arial" w:cs="Arial"/>
        </w:rPr>
      </w:pPr>
    </w:p>
    <w:p w14:paraId="45765ED5" w14:textId="77777777" w:rsidR="008C44D8" w:rsidRDefault="008C44D8" w:rsidP="008C44D8">
      <w:pPr>
        <w:jc w:val="both"/>
        <w:rPr>
          <w:rFonts w:ascii="Arial" w:hAnsi="Arial" w:cs="Arial"/>
          <w:b/>
          <w:sz w:val="22"/>
        </w:rPr>
      </w:pPr>
    </w:p>
    <w:p w14:paraId="5E1C8924" w14:textId="09B08A34" w:rsidR="00E20A88" w:rsidRDefault="00E20A88" w:rsidP="008C44D8">
      <w:pPr>
        <w:jc w:val="both"/>
        <w:rPr>
          <w:rFonts w:ascii="Arial" w:hAnsi="Arial" w:cs="Arial"/>
          <w:b/>
          <w:sz w:val="22"/>
        </w:rPr>
      </w:pPr>
      <w:r w:rsidRPr="00E8313C">
        <w:rPr>
          <w:rFonts w:ascii="Arial" w:hAnsi="Arial" w:cs="Arial"/>
          <w:b/>
          <w:sz w:val="22"/>
        </w:rPr>
        <w:t>3.</w:t>
      </w:r>
      <w:r w:rsidR="007C5B0B">
        <w:rPr>
          <w:rFonts w:ascii="Arial" w:hAnsi="Arial" w:cs="Arial"/>
          <w:b/>
          <w:sz w:val="22"/>
        </w:rPr>
        <w:t>4</w:t>
      </w:r>
      <w:r w:rsidRPr="00E8313C">
        <w:rPr>
          <w:rFonts w:ascii="Arial" w:hAnsi="Arial" w:cs="Arial"/>
          <w:b/>
          <w:sz w:val="22"/>
        </w:rPr>
        <w:t xml:space="preserve"> Regression Analysis</w:t>
      </w:r>
    </w:p>
    <w:p w14:paraId="4E863658" w14:textId="77777777" w:rsidR="008C44D8" w:rsidRPr="00E8313C" w:rsidRDefault="008C44D8" w:rsidP="008C44D8">
      <w:pPr>
        <w:jc w:val="both"/>
        <w:rPr>
          <w:rFonts w:ascii="Arial" w:hAnsi="Arial" w:cs="Arial"/>
          <w:b/>
          <w:sz w:val="22"/>
        </w:rPr>
      </w:pPr>
    </w:p>
    <w:p w14:paraId="7165F3CA" w14:textId="6E539595" w:rsidR="008C44D8" w:rsidRDefault="007C5B0B" w:rsidP="007C5B0B">
      <w:pPr>
        <w:jc w:val="both"/>
        <w:rPr>
          <w:rFonts w:ascii="Arial" w:hAnsi="Arial" w:cs="Arial"/>
        </w:rPr>
      </w:pPr>
      <w:r w:rsidRPr="007C5B0B">
        <w:rPr>
          <w:rFonts w:ascii="Arial" w:hAnsi="Arial" w:cs="Arial"/>
        </w:rPr>
        <w:t xml:space="preserve">Regression analysis </w:t>
      </w:r>
      <w:r>
        <w:rPr>
          <w:rFonts w:ascii="Arial" w:hAnsi="Arial" w:cs="Arial"/>
        </w:rPr>
        <w:t xml:space="preserve">(Table 3) </w:t>
      </w:r>
      <w:r w:rsidRPr="007C5B0B">
        <w:rPr>
          <w:rFonts w:ascii="Arial" w:hAnsi="Arial" w:cs="Arial"/>
        </w:rPr>
        <w:t>was employed to examine the relationship between time and biomass, providing insights into growth trends.</w:t>
      </w:r>
      <w:r w:rsidRPr="007C5B0B">
        <w:t xml:space="preserve"> </w:t>
      </w:r>
      <w:r w:rsidRPr="007C5B0B">
        <w:rPr>
          <w:rFonts w:ascii="Arial" w:hAnsi="Arial" w:cs="Arial"/>
        </w:rPr>
        <w:t>The urea treatment showed a steep negative slope (−2.307) and a high coefficient of determination (R² = 0.922), meaning that time causes 92.2% of the variation in biomass. This indicates a steady and progressive decline.</w:t>
      </w:r>
      <w:r w:rsidR="004A1008">
        <w:rPr>
          <w:rFonts w:ascii="Arial" w:hAnsi="Arial" w:cs="Arial"/>
        </w:rPr>
        <w:t xml:space="preserve"> </w:t>
      </w:r>
      <w:r w:rsidRPr="007C5B0B">
        <w:rPr>
          <w:rFonts w:ascii="Arial" w:hAnsi="Arial" w:cs="Arial"/>
        </w:rPr>
        <w:t>Moderately negative slopes with lower R</w:t>
      </w:r>
      <w:r w:rsidRPr="007C5B0B">
        <w:rPr>
          <w:rFonts w:ascii="Arial" w:hAnsi="Arial" w:cs="Arial"/>
          <w:vertAlign w:val="superscript"/>
        </w:rPr>
        <w:t xml:space="preserve">2 </w:t>
      </w:r>
      <w:r w:rsidRPr="007C5B0B">
        <w:rPr>
          <w:rFonts w:ascii="Arial" w:hAnsi="Arial" w:cs="Arial"/>
        </w:rPr>
        <w:t>values (~0.44–0.46) were seen in NPK treatments, indicating partial but less predictable effects.</w:t>
      </w:r>
      <w:r w:rsidR="004A1008">
        <w:rPr>
          <w:rFonts w:ascii="Arial" w:hAnsi="Arial" w:cs="Arial"/>
        </w:rPr>
        <w:t xml:space="preserve"> </w:t>
      </w:r>
      <w:r w:rsidRPr="007C5B0B">
        <w:rPr>
          <w:rFonts w:ascii="Arial" w:hAnsi="Arial" w:cs="Arial"/>
        </w:rPr>
        <w:t>Stable development patterns were indicated by the near-zero slopes and minimal R</w:t>
      </w:r>
      <w:r w:rsidRPr="007C5B0B">
        <w:rPr>
          <w:rFonts w:ascii="Arial" w:hAnsi="Arial" w:cs="Arial"/>
          <w:vertAlign w:val="superscript"/>
        </w:rPr>
        <w:t>2</w:t>
      </w:r>
      <w:r w:rsidRPr="007C5B0B">
        <w:rPr>
          <w:rFonts w:ascii="Arial" w:hAnsi="Arial" w:cs="Arial"/>
        </w:rPr>
        <w:t xml:space="preserve"> values displayed by the control and superphosphate groups.</w:t>
      </w:r>
    </w:p>
    <w:p w14:paraId="0ABD2AE9" w14:textId="77777777" w:rsidR="004A1008" w:rsidRDefault="004A1008" w:rsidP="007C5B0B">
      <w:pPr>
        <w:jc w:val="both"/>
        <w:rPr>
          <w:rFonts w:ascii="Arial" w:hAnsi="Arial" w:cs="Arial"/>
        </w:rPr>
      </w:pPr>
    </w:p>
    <w:p w14:paraId="7734CFA2" w14:textId="77777777" w:rsidR="004A1008" w:rsidRDefault="004A1008" w:rsidP="007C5B0B">
      <w:pPr>
        <w:jc w:val="both"/>
        <w:rPr>
          <w:rFonts w:ascii="Arial" w:hAnsi="Arial" w:cs="Arial"/>
        </w:rPr>
      </w:pPr>
    </w:p>
    <w:p w14:paraId="62AFDD88" w14:textId="5A52A537" w:rsidR="00E20A88" w:rsidRDefault="00E20A88" w:rsidP="00E8313C">
      <w:pPr>
        <w:spacing w:before="240"/>
        <w:jc w:val="both"/>
        <w:rPr>
          <w:rFonts w:ascii="Arial" w:hAnsi="Arial" w:cs="Arial"/>
        </w:rPr>
      </w:pPr>
      <w:r w:rsidRPr="00E8313C">
        <w:rPr>
          <w:rFonts w:ascii="Arial" w:hAnsi="Arial" w:cs="Arial"/>
        </w:rPr>
        <w:lastRenderedPageBreak/>
        <w:t>Table 3. Linear regression of biomass on time</w:t>
      </w:r>
    </w:p>
    <w:p w14:paraId="4A67226F" w14:textId="77777777" w:rsidR="008C44D8" w:rsidRDefault="008C44D8" w:rsidP="004708D1">
      <w:pPr>
        <w:jc w:val="both"/>
        <w:rPr>
          <w:rFonts w:ascii="Arial" w:hAnsi="Arial" w:cs="Arial"/>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3106"/>
        <w:gridCol w:w="1367"/>
        <w:gridCol w:w="1490"/>
        <w:gridCol w:w="1056"/>
        <w:gridCol w:w="1179"/>
      </w:tblGrid>
      <w:tr w:rsidR="00E8313C" w:rsidRPr="000A4B75" w14:paraId="2F1AA38B" w14:textId="77777777" w:rsidTr="00B31611">
        <w:trPr>
          <w:trHeight w:val="470"/>
        </w:trPr>
        <w:tc>
          <w:tcPr>
            <w:tcW w:w="1894" w:type="pct"/>
            <w:shd w:val="clear" w:color="auto" w:fill="DBE5F1" w:themeFill="accent1" w:themeFillTint="33"/>
          </w:tcPr>
          <w:p w14:paraId="7BE00CCE" w14:textId="77777777" w:rsidR="00E8313C" w:rsidRPr="00AC76DA" w:rsidRDefault="00E8313C" w:rsidP="00B31611">
            <w:pPr>
              <w:jc w:val="both"/>
              <w:rPr>
                <w:rFonts w:ascii="Arial" w:hAnsi="Arial"/>
                <w:b/>
                <w:bCs/>
              </w:rPr>
            </w:pPr>
            <w:r w:rsidRPr="00AC76DA">
              <w:rPr>
                <w:rFonts w:ascii="Arial" w:hAnsi="Arial"/>
                <w:b/>
                <w:bCs/>
              </w:rPr>
              <w:t>Treatment</w:t>
            </w:r>
          </w:p>
        </w:tc>
        <w:tc>
          <w:tcPr>
            <w:tcW w:w="834" w:type="pct"/>
            <w:shd w:val="clear" w:color="auto" w:fill="DBE5F1" w:themeFill="accent1" w:themeFillTint="33"/>
          </w:tcPr>
          <w:p w14:paraId="5D583F62" w14:textId="77777777" w:rsidR="00E8313C" w:rsidRPr="00AC76DA" w:rsidRDefault="00E8313C" w:rsidP="00B31611">
            <w:pPr>
              <w:jc w:val="both"/>
              <w:rPr>
                <w:rFonts w:ascii="Arial" w:hAnsi="Arial"/>
                <w:b/>
                <w:bCs/>
              </w:rPr>
            </w:pPr>
            <w:r w:rsidRPr="00AC76DA">
              <w:rPr>
                <w:rFonts w:ascii="Arial" w:hAnsi="Arial"/>
                <w:b/>
                <w:bCs/>
              </w:rPr>
              <w:t>Slope</w:t>
            </w:r>
          </w:p>
        </w:tc>
        <w:tc>
          <w:tcPr>
            <w:tcW w:w="909" w:type="pct"/>
            <w:shd w:val="clear" w:color="auto" w:fill="DBE5F1" w:themeFill="accent1" w:themeFillTint="33"/>
          </w:tcPr>
          <w:p w14:paraId="1D8478E2" w14:textId="77777777" w:rsidR="00E8313C" w:rsidRPr="00AC76DA" w:rsidRDefault="00E8313C" w:rsidP="00B31611">
            <w:pPr>
              <w:jc w:val="both"/>
              <w:rPr>
                <w:rFonts w:ascii="Arial" w:hAnsi="Arial"/>
                <w:b/>
                <w:bCs/>
              </w:rPr>
            </w:pPr>
            <w:r w:rsidRPr="00AC76DA">
              <w:rPr>
                <w:rFonts w:ascii="Arial" w:hAnsi="Arial"/>
                <w:b/>
                <w:bCs/>
              </w:rPr>
              <w:t>Intercept</w:t>
            </w:r>
          </w:p>
        </w:tc>
        <w:tc>
          <w:tcPr>
            <w:tcW w:w="644" w:type="pct"/>
            <w:shd w:val="clear" w:color="auto" w:fill="DBE5F1" w:themeFill="accent1" w:themeFillTint="33"/>
          </w:tcPr>
          <w:p w14:paraId="7E1E2740" w14:textId="77777777" w:rsidR="00E8313C" w:rsidRPr="00AC76DA" w:rsidRDefault="00E8313C" w:rsidP="00B31611">
            <w:pPr>
              <w:jc w:val="both"/>
              <w:rPr>
                <w:rFonts w:ascii="Arial" w:hAnsi="Arial"/>
                <w:b/>
                <w:bCs/>
              </w:rPr>
            </w:pPr>
            <w:r w:rsidRPr="00AC76DA">
              <w:rPr>
                <w:rFonts w:ascii="Arial" w:hAnsi="Arial"/>
                <w:b/>
                <w:bCs/>
              </w:rPr>
              <w:t>R²</w:t>
            </w:r>
          </w:p>
        </w:tc>
        <w:tc>
          <w:tcPr>
            <w:tcW w:w="719" w:type="pct"/>
            <w:shd w:val="clear" w:color="auto" w:fill="DBE5F1" w:themeFill="accent1" w:themeFillTint="33"/>
          </w:tcPr>
          <w:p w14:paraId="65D4C872" w14:textId="77777777" w:rsidR="00E8313C" w:rsidRPr="00AC76DA" w:rsidRDefault="00E8313C" w:rsidP="00B31611">
            <w:pPr>
              <w:jc w:val="both"/>
              <w:rPr>
                <w:rFonts w:ascii="Arial" w:hAnsi="Arial"/>
                <w:b/>
                <w:bCs/>
              </w:rPr>
            </w:pPr>
            <w:r w:rsidRPr="00AC76DA">
              <w:rPr>
                <w:rFonts w:ascii="Arial" w:hAnsi="Arial"/>
                <w:b/>
                <w:bCs/>
              </w:rPr>
              <w:t>p</w:t>
            </w:r>
          </w:p>
        </w:tc>
      </w:tr>
      <w:tr w:rsidR="00E8313C" w:rsidRPr="000A4B75" w14:paraId="1A60B6ED" w14:textId="77777777" w:rsidTr="00B31611">
        <w:trPr>
          <w:trHeight w:val="470"/>
        </w:trPr>
        <w:tc>
          <w:tcPr>
            <w:tcW w:w="1894" w:type="pct"/>
          </w:tcPr>
          <w:p w14:paraId="2C00D514" w14:textId="77777777" w:rsidR="00E8313C" w:rsidRPr="00AC76DA" w:rsidRDefault="00E8313C" w:rsidP="00B31611">
            <w:pPr>
              <w:jc w:val="both"/>
              <w:rPr>
                <w:rFonts w:ascii="Arial" w:hAnsi="Arial"/>
              </w:rPr>
            </w:pPr>
            <w:r w:rsidRPr="00AC76DA">
              <w:rPr>
                <w:rFonts w:ascii="Arial" w:hAnsi="Arial"/>
              </w:rPr>
              <w:t>Control</w:t>
            </w:r>
          </w:p>
        </w:tc>
        <w:tc>
          <w:tcPr>
            <w:tcW w:w="834" w:type="pct"/>
          </w:tcPr>
          <w:p w14:paraId="36FB21FB" w14:textId="77777777" w:rsidR="00E8313C" w:rsidRPr="00AC76DA" w:rsidRDefault="00E8313C" w:rsidP="00B31611">
            <w:pPr>
              <w:jc w:val="both"/>
              <w:rPr>
                <w:rFonts w:ascii="Arial" w:hAnsi="Arial"/>
              </w:rPr>
            </w:pPr>
            <w:r w:rsidRPr="00AC76DA">
              <w:rPr>
                <w:rFonts w:ascii="Arial" w:hAnsi="Arial"/>
              </w:rPr>
              <w:t>-0.129</w:t>
            </w:r>
          </w:p>
        </w:tc>
        <w:tc>
          <w:tcPr>
            <w:tcW w:w="909" w:type="pct"/>
          </w:tcPr>
          <w:p w14:paraId="5B53591F" w14:textId="77777777" w:rsidR="00E8313C" w:rsidRPr="00AC76DA" w:rsidRDefault="00E8313C" w:rsidP="00B31611">
            <w:pPr>
              <w:jc w:val="both"/>
              <w:rPr>
                <w:rFonts w:ascii="Arial" w:hAnsi="Arial"/>
              </w:rPr>
            </w:pPr>
            <w:r w:rsidRPr="00AC76DA">
              <w:rPr>
                <w:rFonts w:ascii="Arial" w:hAnsi="Arial"/>
              </w:rPr>
              <w:t>34.547</w:t>
            </w:r>
          </w:p>
        </w:tc>
        <w:tc>
          <w:tcPr>
            <w:tcW w:w="644" w:type="pct"/>
          </w:tcPr>
          <w:p w14:paraId="278EEA48" w14:textId="77777777" w:rsidR="00E8313C" w:rsidRPr="00AC76DA" w:rsidRDefault="00E8313C" w:rsidP="00B31611">
            <w:pPr>
              <w:jc w:val="both"/>
              <w:rPr>
                <w:rFonts w:ascii="Arial" w:hAnsi="Arial"/>
              </w:rPr>
            </w:pPr>
            <w:r w:rsidRPr="00AC76DA">
              <w:rPr>
                <w:rFonts w:ascii="Arial" w:hAnsi="Arial"/>
              </w:rPr>
              <w:t>0.007</w:t>
            </w:r>
          </w:p>
        </w:tc>
        <w:tc>
          <w:tcPr>
            <w:tcW w:w="719" w:type="pct"/>
          </w:tcPr>
          <w:p w14:paraId="30BE94D7" w14:textId="77777777" w:rsidR="00E8313C" w:rsidRPr="00AC76DA" w:rsidRDefault="00E8313C" w:rsidP="00B31611">
            <w:pPr>
              <w:jc w:val="both"/>
              <w:rPr>
                <w:rFonts w:ascii="Arial" w:hAnsi="Arial"/>
              </w:rPr>
            </w:pPr>
            <w:r w:rsidRPr="00AC76DA">
              <w:rPr>
                <w:rFonts w:ascii="Arial" w:hAnsi="Arial"/>
              </w:rPr>
              <w:t>0.8724</w:t>
            </w:r>
          </w:p>
        </w:tc>
      </w:tr>
      <w:tr w:rsidR="00E8313C" w:rsidRPr="000A4B75" w14:paraId="6047CCEE" w14:textId="77777777" w:rsidTr="00B31611">
        <w:trPr>
          <w:trHeight w:val="470"/>
        </w:trPr>
        <w:tc>
          <w:tcPr>
            <w:tcW w:w="1894" w:type="pct"/>
            <w:shd w:val="clear" w:color="auto" w:fill="F6F9FB"/>
          </w:tcPr>
          <w:p w14:paraId="0B566C21" w14:textId="77777777" w:rsidR="00E8313C" w:rsidRPr="00AC76DA" w:rsidRDefault="00E8313C" w:rsidP="00B31611">
            <w:pPr>
              <w:jc w:val="both"/>
              <w:rPr>
                <w:rFonts w:ascii="Arial" w:hAnsi="Arial"/>
              </w:rPr>
            </w:pPr>
            <w:r w:rsidRPr="00AC76DA">
              <w:rPr>
                <w:rFonts w:ascii="Arial" w:hAnsi="Arial"/>
              </w:rPr>
              <w:t>Urea</w:t>
            </w:r>
          </w:p>
        </w:tc>
        <w:tc>
          <w:tcPr>
            <w:tcW w:w="834" w:type="pct"/>
            <w:shd w:val="clear" w:color="auto" w:fill="F6F9FB"/>
          </w:tcPr>
          <w:p w14:paraId="0D7EF327" w14:textId="77777777" w:rsidR="00E8313C" w:rsidRPr="00AC76DA" w:rsidRDefault="00E8313C" w:rsidP="00B31611">
            <w:pPr>
              <w:jc w:val="both"/>
              <w:rPr>
                <w:rFonts w:ascii="Arial" w:hAnsi="Arial"/>
              </w:rPr>
            </w:pPr>
            <w:r w:rsidRPr="00AC76DA">
              <w:rPr>
                <w:rFonts w:ascii="Arial" w:hAnsi="Arial"/>
              </w:rPr>
              <w:t>-2.307</w:t>
            </w:r>
          </w:p>
        </w:tc>
        <w:tc>
          <w:tcPr>
            <w:tcW w:w="909" w:type="pct"/>
            <w:shd w:val="clear" w:color="auto" w:fill="F6F9FB"/>
          </w:tcPr>
          <w:p w14:paraId="5A42C561" w14:textId="77777777" w:rsidR="00E8313C" w:rsidRPr="00AC76DA" w:rsidRDefault="00E8313C" w:rsidP="00B31611">
            <w:pPr>
              <w:jc w:val="both"/>
              <w:rPr>
                <w:rFonts w:ascii="Arial" w:hAnsi="Arial"/>
              </w:rPr>
            </w:pPr>
            <w:r w:rsidRPr="00AC76DA">
              <w:rPr>
                <w:rFonts w:ascii="Arial" w:hAnsi="Arial"/>
              </w:rPr>
              <w:t>32.444</w:t>
            </w:r>
          </w:p>
        </w:tc>
        <w:tc>
          <w:tcPr>
            <w:tcW w:w="644" w:type="pct"/>
            <w:shd w:val="clear" w:color="auto" w:fill="F6F9FB"/>
          </w:tcPr>
          <w:p w14:paraId="4E9B0C81" w14:textId="77777777" w:rsidR="00E8313C" w:rsidRPr="00AC76DA" w:rsidRDefault="00E8313C" w:rsidP="00B31611">
            <w:pPr>
              <w:jc w:val="both"/>
              <w:rPr>
                <w:rFonts w:ascii="Arial" w:hAnsi="Arial"/>
              </w:rPr>
            </w:pPr>
            <w:r w:rsidRPr="00AC76DA">
              <w:rPr>
                <w:rFonts w:ascii="Arial" w:hAnsi="Arial"/>
              </w:rPr>
              <w:t>0.922</w:t>
            </w:r>
          </w:p>
        </w:tc>
        <w:tc>
          <w:tcPr>
            <w:tcW w:w="719" w:type="pct"/>
            <w:shd w:val="clear" w:color="auto" w:fill="F6F9FB"/>
          </w:tcPr>
          <w:p w14:paraId="2D3B8AC7" w14:textId="77777777" w:rsidR="00E8313C" w:rsidRPr="00AC76DA" w:rsidRDefault="00E8313C" w:rsidP="00B31611">
            <w:pPr>
              <w:jc w:val="both"/>
              <w:rPr>
                <w:rFonts w:ascii="Arial" w:hAnsi="Arial"/>
              </w:rPr>
            </w:pPr>
            <w:r w:rsidRPr="00AC76DA">
              <w:rPr>
                <w:rFonts w:ascii="Arial" w:hAnsi="Arial"/>
              </w:rPr>
              <w:t>0.0024</w:t>
            </w:r>
          </w:p>
        </w:tc>
      </w:tr>
      <w:tr w:rsidR="00E8313C" w:rsidRPr="000A4B75" w14:paraId="6C223F64" w14:textId="77777777" w:rsidTr="00B31611">
        <w:trPr>
          <w:trHeight w:val="470"/>
        </w:trPr>
        <w:tc>
          <w:tcPr>
            <w:tcW w:w="1894" w:type="pct"/>
          </w:tcPr>
          <w:p w14:paraId="3D8DC218" w14:textId="77777777" w:rsidR="00E8313C" w:rsidRPr="00AC76DA" w:rsidRDefault="00E8313C" w:rsidP="00B31611">
            <w:pPr>
              <w:jc w:val="both"/>
              <w:rPr>
                <w:rFonts w:ascii="Arial" w:hAnsi="Arial"/>
              </w:rPr>
            </w:pPr>
            <w:r w:rsidRPr="00AC76DA">
              <w:rPr>
                <w:rFonts w:ascii="Arial" w:hAnsi="Arial"/>
              </w:rPr>
              <w:t>NPK 15:15:15</w:t>
            </w:r>
          </w:p>
        </w:tc>
        <w:tc>
          <w:tcPr>
            <w:tcW w:w="834" w:type="pct"/>
          </w:tcPr>
          <w:p w14:paraId="025BE153" w14:textId="77777777" w:rsidR="00E8313C" w:rsidRPr="00AC76DA" w:rsidRDefault="00E8313C" w:rsidP="00B31611">
            <w:pPr>
              <w:jc w:val="both"/>
              <w:rPr>
                <w:rFonts w:ascii="Arial" w:hAnsi="Arial"/>
              </w:rPr>
            </w:pPr>
            <w:r w:rsidRPr="00AC76DA">
              <w:rPr>
                <w:rFonts w:ascii="Arial" w:hAnsi="Arial"/>
              </w:rPr>
              <w:t>-0.545</w:t>
            </w:r>
          </w:p>
        </w:tc>
        <w:tc>
          <w:tcPr>
            <w:tcW w:w="909" w:type="pct"/>
          </w:tcPr>
          <w:p w14:paraId="19DFCF06" w14:textId="77777777" w:rsidR="00E8313C" w:rsidRPr="00AC76DA" w:rsidRDefault="00E8313C" w:rsidP="00B31611">
            <w:pPr>
              <w:jc w:val="both"/>
              <w:rPr>
                <w:rFonts w:ascii="Arial" w:hAnsi="Arial"/>
              </w:rPr>
            </w:pPr>
            <w:r w:rsidRPr="00AC76DA">
              <w:rPr>
                <w:rFonts w:ascii="Arial" w:hAnsi="Arial"/>
              </w:rPr>
              <w:t>29.944</w:t>
            </w:r>
          </w:p>
        </w:tc>
        <w:tc>
          <w:tcPr>
            <w:tcW w:w="644" w:type="pct"/>
          </w:tcPr>
          <w:p w14:paraId="3A15D08E" w14:textId="77777777" w:rsidR="00E8313C" w:rsidRPr="00AC76DA" w:rsidRDefault="00E8313C" w:rsidP="00B31611">
            <w:pPr>
              <w:jc w:val="both"/>
              <w:rPr>
                <w:rFonts w:ascii="Arial" w:hAnsi="Arial"/>
              </w:rPr>
            </w:pPr>
            <w:r w:rsidRPr="00AC76DA">
              <w:rPr>
                <w:rFonts w:ascii="Arial" w:hAnsi="Arial"/>
              </w:rPr>
              <w:t>0.464</w:t>
            </w:r>
          </w:p>
        </w:tc>
        <w:tc>
          <w:tcPr>
            <w:tcW w:w="719" w:type="pct"/>
          </w:tcPr>
          <w:p w14:paraId="71EEAAFA" w14:textId="77777777" w:rsidR="00E8313C" w:rsidRPr="00AC76DA" w:rsidRDefault="00E8313C" w:rsidP="00B31611">
            <w:pPr>
              <w:jc w:val="both"/>
              <w:rPr>
                <w:rFonts w:ascii="Arial" w:hAnsi="Arial"/>
              </w:rPr>
            </w:pPr>
            <w:r w:rsidRPr="00AC76DA">
              <w:rPr>
                <w:rFonts w:ascii="Arial" w:hAnsi="Arial"/>
              </w:rPr>
              <w:t>0.1361</w:t>
            </w:r>
          </w:p>
        </w:tc>
      </w:tr>
      <w:tr w:rsidR="00E8313C" w:rsidRPr="000A4B75" w14:paraId="596E6E89" w14:textId="77777777" w:rsidTr="00B31611">
        <w:trPr>
          <w:trHeight w:val="470"/>
        </w:trPr>
        <w:tc>
          <w:tcPr>
            <w:tcW w:w="1894" w:type="pct"/>
            <w:shd w:val="clear" w:color="auto" w:fill="F6F9FB"/>
          </w:tcPr>
          <w:p w14:paraId="78E6C1DB" w14:textId="77777777" w:rsidR="00E8313C" w:rsidRPr="00AC76DA" w:rsidRDefault="00E8313C" w:rsidP="00B31611">
            <w:pPr>
              <w:jc w:val="both"/>
              <w:rPr>
                <w:rFonts w:ascii="Arial" w:hAnsi="Arial"/>
              </w:rPr>
            </w:pPr>
            <w:r w:rsidRPr="00AC76DA">
              <w:rPr>
                <w:rFonts w:ascii="Arial" w:hAnsi="Arial"/>
              </w:rPr>
              <w:t>NPK 10:26:26</w:t>
            </w:r>
          </w:p>
        </w:tc>
        <w:tc>
          <w:tcPr>
            <w:tcW w:w="834" w:type="pct"/>
            <w:shd w:val="clear" w:color="auto" w:fill="F6F9FB"/>
          </w:tcPr>
          <w:p w14:paraId="47A7E95E" w14:textId="77777777" w:rsidR="00E8313C" w:rsidRPr="00AC76DA" w:rsidRDefault="00E8313C" w:rsidP="00B31611">
            <w:pPr>
              <w:jc w:val="both"/>
              <w:rPr>
                <w:rFonts w:ascii="Arial" w:hAnsi="Arial"/>
              </w:rPr>
            </w:pPr>
            <w:r w:rsidRPr="00AC76DA">
              <w:rPr>
                <w:rFonts w:ascii="Arial" w:hAnsi="Arial"/>
              </w:rPr>
              <w:t>-0.948</w:t>
            </w:r>
          </w:p>
        </w:tc>
        <w:tc>
          <w:tcPr>
            <w:tcW w:w="909" w:type="pct"/>
            <w:shd w:val="clear" w:color="auto" w:fill="F6F9FB"/>
          </w:tcPr>
          <w:p w14:paraId="0FB089E7" w14:textId="77777777" w:rsidR="00E8313C" w:rsidRPr="00AC76DA" w:rsidRDefault="00E8313C" w:rsidP="00B31611">
            <w:pPr>
              <w:jc w:val="both"/>
              <w:rPr>
                <w:rFonts w:ascii="Arial" w:hAnsi="Arial"/>
              </w:rPr>
            </w:pPr>
            <w:r w:rsidRPr="00AC76DA">
              <w:rPr>
                <w:rFonts w:ascii="Arial" w:hAnsi="Arial"/>
              </w:rPr>
              <w:t>35.805</w:t>
            </w:r>
          </w:p>
        </w:tc>
        <w:tc>
          <w:tcPr>
            <w:tcW w:w="644" w:type="pct"/>
            <w:shd w:val="clear" w:color="auto" w:fill="F6F9FB"/>
          </w:tcPr>
          <w:p w14:paraId="02A712BA" w14:textId="77777777" w:rsidR="00E8313C" w:rsidRPr="00AC76DA" w:rsidRDefault="00E8313C" w:rsidP="00B31611">
            <w:pPr>
              <w:jc w:val="both"/>
              <w:rPr>
                <w:rFonts w:ascii="Arial" w:hAnsi="Arial"/>
              </w:rPr>
            </w:pPr>
            <w:r w:rsidRPr="00AC76DA">
              <w:rPr>
                <w:rFonts w:ascii="Arial" w:hAnsi="Arial"/>
              </w:rPr>
              <w:t>0.444</w:t>
            </w:r>
          </w:p>
        </w:tc>
        <w:tc>
          <w:tcPr>
            <w:tcW w:w="719" w:type="pct"/>
            <w:shd w:val="clear" w:color="auto" w:fill="F6F9FB"/>
          </w:tcPr>
          <w:p w14:paraId="5E8618B3" w14:textId="77777777" w:rsidR="00E8313C" w:rsidRPr="00AC76DA" w:rsidRDefault="00E8313C" w:rsidP="00B31611">
            <w:pPr>
              <w:jc w:val="both"/>
              <w:rPr>
                <w:rFonts w:ascii="Arial" w:hAnsi="Arial"/>
              </w:rPr>
            </w:pPr>
            <w:r w:rsidRPr="00AC76DA">
              <w:rPr>
                <w:rFonts w:ascii="Arial" w:hAnsi="Arial"/>
              </w:rPr>
              <w:t>0.1484</w:t>
            </w:r>
          </w:p>
        </w:tc>
      </w:tr>
      <w:tr w:rsidR="00E8313C" w:rsidRPr="000A4B75" w14:paraId="4448A255" w14:textId="77777777" w:rsidTr="00B31611">
        <w:trPr>
          <w:trHeight w:val="470"/>
        </w:trPr>
        <w:tc>
          <w:tcPr>
            <w:tcW w:w="1894" w:type="pct"/>
          </w:tcPr>
          <w:p w14:paraId="7C9350A3" w14:textId="77777777" w:rsidR="00E8313C" w:rsidRPr="00AC76DA" w:rsidRDefault="00E8313C" w:rsidP="00B31611">
            <w:pPr>
              <w:jc w:val="both"/>
              <w:rPr>
                <w:rFonts w:ascii="Arial" w:hAnsi="Arial"/>
              </w:rPr>
            </w:pPr>
            <w:r w:rsidRPr="00AC76DA">
              <w:rPr>
                <w:rFonts w:ascii="Arial" w:hAnsi="Arial"/>
              </w:rPr>
              <w:t>Superphosphate</w:t>
            </w:r>
          </w:p>
        </w:tc>
        <w:tc>
          <w:tcPr>
            <w:tcW w:w="834" w:type="pct"/>
          </w:tcPr>
          <w:p w14:paraId="3A89795F" w14:textId="77777777" w:rsidR="00E8313C" w:rsidRPr="00AC76DA" w:rsidRDefault="00E8313C" w:rsidP="00B31611">
            <w:pPr>
              <w:jc w:val="both"/>
              <w:rPr>
                <w:rFonts w:ascii="Arial" w:hAnsi="Arial"/>
              </w:rPr>
            </w:pPr>
            <w:r w:rsidRPr="00AC76DA">
              <w:rPr>
                <w:rFonts w:ascii="Arial" w:hAnsi="Arial"/>
              </w:rPr>
              <w:t>-0.174</w:t>
            </w:r>
          </w:p>
        </w:tc>
        <w:tc>
          <w:tcPr>
            <w:tcW w:w="909" w:type="pct"/>
          </w:tcPr>
          <w:p w14:paraId="47020A9A" w14:textId="77777777" w:rsidR="00E8313C" w:rsidRPr="00AC76DA" w:rsidRDefault="00E8313C" w:rsidP="00B31611">
            <w:pPr>
              <w:jc w:val="both"/>
              <w:rPr>
                <w:rFonts w:ascii="Arial" w:hAnsi="Arial"/>
              </w:rPr>
            </w:pPr>
            <w:r w:rsidRPr="00AC76DA">
              <w:rPr>
                <w:rFonts w:ascii="Arial" w:hAnsi="Arial"/>
              </w:rPr>
              <w:t>34.415</w:t>
            </w:r>
          </w:p>
        </w:tc>
        <w:tc>
          <w:tcPr>
            <w:tcW w:w="644" w:type="pct"/>
          </w:tcPr>
          <w:p w14:paraId="345D8EA9" w14:textId="77777777" w:rsidR="00E8313C" w:rsidRPr="00AC76DA" w:rsidRDefault="00E8313C" w:rsidP="00B31611">
            <w:pPr>
              <w:jc w:val="both"/>
              <w:rPr>
                <w:rFonts w:ascii="Arial" w:hAnsi="Arial"/>
              </w:rPr>
            </w:pPr>
            <w:r w:rsidRPr="00AC76DA">
              <w:rPr>
                <w:rFonts w:ascii="Arial" w:hAnsi="Arial"/>
              </w:rPr>
              <w:t>0.008</w:t>
            </w:r>
          </w:p>
        </w:tc>
        <w:tc>
          <w:tcPr>
            <w:tcW w:w="719" w:type="pct"/>
          </w:tcPr>
          <w:p w14:paraId="0436C5A3" w14:textId="77777777" w:rsidR="00E8313C" w:rsidRPr="00AC76DA" w:rsidRDefault="00E8313C" w:rsidP="00B31611">
            <w:pPr>
              <w:jc w:val="both"/>
              <w:rPr>
                <w:rFonts w:ascii="Arial" w:hAnsi="Arial"/>
              </w:rPr>
            </w:pPr>
            <w:r w:rsidRPr="00AC76DA">
              <w:rPr>
                <w:rFonts w:ascii="Arial" w:hAnsi="Arial"/>
              </w:rPr>
              <w:t>0.8646</w:t>
            </w:r>
          </w:p>
        </w:tc>
      </w:tr>
    </w:tbl>
    <w:p w14:paraId="616270EE" w14:textId="77777777" w:rsidR="004A1008" w:rsidRDefault="004A1008" w:rsidP="00830DBD">
      <w:pPr>
        <w:jc w:val="both"/>
        <w:rPr>
          <w:rFonts w:ascii="Arial" w:hAnsi="Arial" w:cs="Arial"/>
        </w:rPr>
      </w:pPr>
    </w:p>
    <w:p w14:paraId="7C4970D4" w14:textId="60C0D96F" w:rsidR="00830DBD" w:rsidRDefault="007C5B0B" w:rsidP="00830DBD">
      <w:pPr>
        <w:jc w:val="both"/>
        <w:rPr>
          <w:rFonts w:ascii="Arial" w:hAnsi="Arial" w:cs="Arial"/>
        </w:rPr>
      </w:pPr>
      <w:r w:rsidRPr="007C5B0B">
        <w:rPr>
          <w:rFonts w:ascii="Arial" w:hAnsi="Arial" w:cs="Arial"/>
        </w:rPr>
        <w:t>The linear regression lines for each treatment are shown in Figure 3</w:t>
      </w:r>
      <w:r w:rsidR="00FD081F">
        <w:rPr>
          <w:rFonts w:ascii="Arial" w:hAnsi="Arial" w:cs="Arial"/>
        </w:rPr>
        <w:t>.</w:t>
      </w:r>
      <w:r w:rsidR="00830DBD">
        <w:rPr>
          <w:rFonts w:ascii="Arial" w:hAnsi="Arial" w:cs="Arial"/>
        </w:rPr>
        <w:t xml:space="preserve"> </w:t>
      </w:r>
    </w:p>
    <w:p w14:paraId="13250DA7" w14:textId="287A6689" w:rsidR="00830DBD" w:rsidRDefault="007C5B0B" w:rsidP="00830DBD">
      <w:pPr>
        <w:jc w:val="both"/>
        <w:rPr>
          <w:rFonts w:ascii="Arial" w:hAnsi="Arial" w:cs="Arial"/>
          <w:lang w:val="en-IN"/>
        </w:rPr>
      </w:pPr>
      <w:r w:rsidRPr="007C5B0B">
        <w:rPr>
          <w:rFonts w:ascii="Arial" w:hAnsi="Arial" w:cs="Arial"/>
          <w:lang w:val="en-IN"/>
        </w:rPr>
        <w:t>The s</w:t>
      </w:r>
      <w:r>
        <w:rPr>
          <w:rFonts w:ascii="Arial" w:hAnsi="Arial" w:cs="Arial"/>
          <w:lang w:val="en-IN"/>
        </w:rPr>
        <w:t>harp</w:t>
      </w:r>
      <w:r w:rsidRPr="007C5B0B">
        <w:rPr>
          <w:rFonts w:ascii="Arial" w:hAnsi="Arial" w:cs="Arial"/>
          <w:lang w:val="en-IN"/>
        </w:rPr>
        <w:t xml:space="preserve"> downward slope for </w:t>
      </w:r>
      <w:r w:rsidR="004708D1">
        <w:rPr>
          <w:rFonts w:ascii="Arial" w:hAnsi="Arial" w:cs="Arial"/>
          <w:lang w:val="en-IN"/>
        </w:rPr>
        <w:t xml:space="preserve">the </w:t>
      </w:r>
      <w:r w:rsidRPr="007C5B0B">
        <w:rPr>
          <w:rFonts w:ascii="Arial" w:hAnsi="Arial" w:cs="Arial"/>
          <w:lang w:val="en-IN"/>
        </w:rPr>
        <w:t>urea</w:t>
      </w:r>
      <w:r w:rsidR="004708D1">
        <w:rPr>
          <w:rFonts w:ascii="Arial" w:hAnsi="Arial" w:cs="Arial"/>
          <w:lang w:val="en-IN"/>
        </w:rPr>
        <w:t>-</w:t>
      </w:r>
      <w:r>
        <w:rPr>
          <w:rFonts w:ascii="Arial" w:hAnsi="Arial" w:cs="Arial"/>
          <w:lang w:val="en-IN"/>
        </w:rPr>
        <w:t xml:space="preserve">treated group </w:t>
      </w:r>
      <w:r w:rsidRPr="007C5B0B">
        <w:rPr>
          <w:rFonts w:ascii="Arial" w:hAnsi="Arial" w:cs="Arial"/>
          <w:lang w:val="en-IN"/>
        </w:rPr>
        <w:t>clearly illustrates continuous biomass loss.</w:t>
      </w:r>
      <w:r>
        <w:rPr>
          <w:rFonts w:ascii="Arial" w:hAnsi="Arial" w:cs="Arial"/>
          <w:lang w:val="en-IN"/>
        </w:rPr>
        <w:t xml:space="preserve"> </w:t>
      </w:r>
      <w:r w:rsidRPr="007C5B0B">
        <w:rPr>
          <w:rFonts w:ascii="Arial" w:hAnsi="Arial" w:cs="Arial"/>
          <w:lang w:val="en-IN"/>
        </w:rPr>
        <w:t>The gentle slopes for NPK treatments reflect moderate stress.</w:t>
      </w:r>
      <w:r>
        <w:rPr>
          <w:rFonts w:ascii="Arial" w:hAnsi="Arial" w:cs="Arial"/>
          <w:lang w:val="en-IN"/>
        </w:rPr>
        <w:t xml:space="preserve"> While, </w:t>
      </w:r>
      <w:r w:rsidR="004708D1">
        <w:rPr>
          <w:rFonts w:ascii="Arial" w:hAnsi="Arial" w:cs="Arial"/>
          <w:lang w:val="en-IN"/>
        </w:rPr>
        <w:t>t</w:t>
      </w:r>
      <w:r w:rsidRPr="007C5B0B">
        <w:rPr>
          <w:rFonts w:ascii="Arial" w:hAnsi="Arial" w:cs="Arial"/>
          <w:lang w:val="en-IN"/>
        </w:rPr>
        <w:t>he nearly flat or slightly positive slope for superphosphate indicates stability or growth.</w:t>
      </w:r>
      <w:r w:rsidR="00830DBD">
        <w:rPr>
          <w:rFonts w:ascii="Arial" w:hAnsi="Arial" w:cs="Arial"/>
          <w:lang w:val="en-IN"/>
        </w:rPr>
        <w:t xml:space="preserve"> </w:t>
      </w:r>
      <w:r w:rsidR="00830DBD" w:rsidRPr="00F9629E">
        <w:rPr>
          <w:rFonts w:ascii="Arial" w:hAnsi="Arial" w:cs="Arial"/>
        </w:rPr>
        <w:t>These graphical patterns support results on fertiliser toxicity levels and supplement </w:t>
      </w:r>
      <w:r w:rsidR="00830DBD">
        <w:rPr>
          <w:rFonts w:ascii="Arial" w:hAnsi="Arial" w:cs="Arial"/>
        </w:rPr>
        <w:t>statistical findings</w:t>
      </w:r>
      <w:r w:rsidR="00830DBD" w:rsidRPr="00F9629E">
        <w:rPr>
          <w:rFonts w:ascii="Arial" w:hAnsi="Arial" w:cs="Arial"/>
        </w:rPr>
        <w:t>.</w:t>
      </w:r>
      <w:r w:rsidR="00830DBD">
        <w:rPr>
          <w:rFonts w:ascii="Arial" w:hAnsi="Arial" w:cs="Arial"/>
          <w:lang w:val="en-IN"/>
        </w:rPr>
        <w:t xml:space="preserve"> </w:t>
      </w:r>
    </w:p>
    <w:p w14:paraId="3455D7A5" w14:textId="77777777" w:rsidR="004A1008" w:rsidRDefault="004A1008" w:rsidP="00830DBD">
      <w:pPr>
        <w:jc w:val="both"/>
        <w:rPr>
          <w:rFonts w:ascii="Arial" w:hAnsi="Arial" w:cs="Arial"/>
          <w:lang w:val="en-IN"/>
        </w:rPr>
      </w:pPr>
    </w:p>
    <w:p w14:paraId="5DDC9CAF" w14:textId="33F96C8B" w:rsidR="00F9629E" w:rsidRPr="00F9629E" w:rsidRDefault="00F9629E" w:rsidP="00830DBD">
      <w:pPr>
        <w:spacing w:after="240"/>
        <w:jc w:val="both"/>
        <w:rPr>
          <w:rFonts w:ascii="Arial" w:hAnsi="Arial" w:cs="Arial"/>
          <w:b/>
          <w:sz w:val="22"/>
        </w:rPr>
      </w:pPr>
      <w:r w:rsidRPr="00F9629E">
        <w:rPr>
          <w:rFonts w:ascii="Arial" w:hAnsi="Arial" w:cs="Arial"/>
          <w:b/>
          <w:sz w:val="22"/>
        </w:rPr>
        <w:t xml:space="preserve">3.5. Insights into </w:t>
      </w:r>
      <w:r w:rsidR="00626189" w:rsidRPr="00F9629E">
        <w:rPr>
          <w:rFonts w:ascii="Arial" w:hAnsi="Arial" w:cs="Arial"/>
          <w:b/>
          <w:sz w:val="22"/>
        </w:rPr>
        <w:t>fertilizer</w:t>
      </w:r>
      <w:r w:rsidRPr="00F9629E">
        <w:rPr>
          <w:rFonts w:ascii="Arial" w:hAnsi="Arial" w:cs="Arial"/>
          <w:b/>
          <w:sz w:val="22"/>
        </w:rPr>
        <w:t xml:space="preserve"> toxicity</w:t>
      </w:r>
    </w:p>
    <w:p w14:paraId="1746E1F6" w14:textId="77777777" w:rsidR="00830DBD" w:rsidRDefault="00F9629E" w:rsidP="00830DBD">
      <w:pPr>
        <w:tabs>
          <w:tab w:val="num" w:pos="720"/>
        </w:tabs>
        <w:jc w:val="both"/>
        <w:rPr>
          <w:rFonts w:ascii="Arial" w:hAnsi="Arial" w:cs="Arial"/>
          <w:lang w:val="en-IN"/>
        </w:rPr>
      </w:pPr>
      <w:r w:rsidRPr="00F9629E">
        <w:rPr>
          <w:rFonts w:ascii="Arial" w:hAnsi="Arial" w:cs="Arial"/>
          <w:lang w:val="en-IN"/>
        </w:rPr>
        <w:t>The observed toxicity patterns can be explained through biochemical and physiological mechanisms</w:t>
      </w:r>
      <w:r>
        <w:rPr>
          <w:rFonts w:ascii="Arial" w:hAnsi="Arial" w:cs="Arial"/>
          <w:lang w:val="en-IN"/>
        </w:rPr>
        <w:t xml:space="preserve">. </w:t>
      </w:r>
      <w:r w:rsidR="00E8313C" w:rsidRPr="00E8313C">
        <w:rPr>
          <w:rFonts w:ascii="Arial" w:hAnsi="Arial" w:cs="Arial"/>
          <w:lang w:val="en-IN"/>
        </w:rPr>
        <w:t xml:space="preserve">The findings of the present study clearly show that the composition of fertilizer has a significant influence on how it affects earthworms ecologically. The nitrogen-rich </w:t>
      </w:r>
      <w:r w:rsidR="004708D1">
        <w:rPr>
          <w:rFonts w:ascii="Arial" w:hAnsi="Arial" w:cs="Arial"/>
          <w:lang w:val="en-IN"/>
        </w:rPr>
        <w:t>fertili</w:t>
      </w:r>
      <w:r w:rsidR="00FD081F">
        <w:rPr>
          <w:rFonts w:ascii="Arial" w:hAnsi="Arial" w:cs="Arial"/>
          <w:lang w:val="en-IN"/>
        </w:rPr>
        <w:t>z</w:t>
      </w:r>
      <w:r w:rsidR="004708D1">
        <w:rPr>
          <w:rFonts w:ascii="Arial" w:hAnsi="Arial" w:cs="Arial"/>
          <w:lang w:val="en-IN"/>
        </w:rPr>
        <w:t>er</w:t>
      </w:r>
      <w:r w:rsidR="00E8313C" w:rsidRPr="00E8313C">
        <w:rPr>
          <w:rFonts w:ascii="Arial" w:hAnsi="Arial" w:cs="Arial"/>
          <w:lang w:val="en-IN"/>
        </w:rPr>
        <w:t xml:space="preserve"> urea showed considerable toxicity, resulting in a decrease in biomass and an increase in mortality. </w:t>
      </w:r>
    </w:p>
    <w:p w14:paraId="05BFC4E1" w14:textId="300DAA31" w:rsidR="00830DBD" w:rsidRDefault="00830DBD" w:rsidP="00830DBD">
      <w:pPr>
        <w:tabs>
          <w:tab w:val="num" w:pos="720"/>
        </w:tabs>
        <w:jc w:val="both"/>
        <w:rPr>
          <w:rFonts w:ascii="Arial" w:hAnsi="Arial" w:cs="Arial"/>
          <w:lang w:val="en-IN"/>
        </w:rPr>
      </w:pPr>
      <w:r w:rsidRPr="00E8313C">
        <w:rPr>
          <w:rFonts w:ascii="Arial" w:hAnsi="Arial" w:cs="Arial"/>
          <w:lang w:val="en-IN"/>
        </w:rPr>
        <w:t>According to Rani (2016),</w:t>
      </w:r>
      <w:r>
        <w:rPr>
          <w:rFonts w:ascii="Arial" w:hAnsi="Arial" w:cs="Arial"/>
          <w:lang w:val="en-IN"/>
        </w:rPr>
        <w:t xml:space="preserve"> </w:t>
      </w:r>
      <w:r w:rsidRPr="00E8313C">
        <w:rPr>
          <w:rFonts w:ascii="Arial" w:hAnsi="Arial" w:cs="Arial"/>
          <w:lang w:val="en-IN"/>
        </w:rPr>
        <w:t>this toxicity is caused by the hydrolysis of urea into ammonia,</w:t>
      </w:r>
      <w:r w:rsidRPr="00F9629E">
        <w:rPr>
          <w:rFonts w:ascii="Arial" w:hAnsi="Arial" w:cs="Arial"/>
          <w:lang w:val="en-IN"/>
        </w:rPr>
        <w:t xml:space="preserve"> which</w:t>
      </w:r>
      <w:r>
        <w:rPr>
          <w:rFonts w:ascii="Arial" w:hAnsi="Arial" w:cs="Arial"/>
          <w:lang w:val="en-IN"/>
        </w:rPr>
        <w:t xml:space="preserve"> i</w:t>
      </w:r>
      <w:r w:rsidRPr="00F9629E">
        <w:rPr>
          <w:rFonts w:ascii="Arial" w:hAnsi="Arial" w:cs="Arial"/>
          <w:lang w:val="en-IN"/>
        </w:rPr>
        <w:t>ncreases soil pH (alkalinity)</w:t>
      </w:r>
      <w:r>
        <w:rPr>
          <w:rFonts w:ascii="Arial" w:hAnsi="Arial" w:cs="Arial"/>
          <w:lang w:val="en-IN"/>
        </w:rPr>
        <w:t>, d</w:t>
      </w:r>
      <w:r w:rsidRPr="00F9629E">
        <w:rPr>
          <w:rFonts w:ascii="Arial" w:hAnsi="Arial" w:cs="Arial"/>
          <w:lang w:val="en-IN"/>
        </w:rPr>
        <w:t>isrupts osmotic balance</w:t>
      </w:r>
      <w:r>
        <w:rPr>
          <w:rFonts w:ascii="Arial" w:hAnsi="Arial" w:cs="Arial"/>
          <w:lang w:val="en-IN"/>
        </w:rPr>
        <w:t>, i</w:t>
      </w:r>
      <w:r w:rsidRPr="00F9629E">
        <w:rPr>
          <w:rFonts w:ascii="Arial" w:hAnsi="Arial" w:cs="Arial"/>
          <w:lang w:val="en-IN"/>
        </w:rPr>
        <w:t>mpairs respiration through ammonia toxicity</w:t>
      </w:r>
      <w:r>
        <w:rPr>
          <w:rFonts w:ascii="Arial" w:hAnsi="Arial" w:cs="Arial"/>
          <w:lang w:val="en-IN"/>
        </w:rPr>
        <w:t>, a</w:t>
      </w:r>
      <w:r w:rsidRPr="00F9629E">
        <w:rPr>
          <w:rFonts w:ascii="Arial" w:hAnsi="Arial" w:cs="Arial"/>
          <w:lang w:val="en-IN"/>
        </w:rPr>
        <w:t>ffects enzyme systems and metabolic pathways</w:t>
      </w:r>
      <w:r>
        <w:rPr>
          <w:rFonts w:ascii="Arial" w:hAnsi="Arial" w:cs="Arial"/>
          <w:lang w:val="en-IN"/>
        </w:rPr>
        <w:t xml:space="preserve">. </w:t>
      </w:r>
      <w:r w:rsidRPr="00E8313C">
        <w:rPr>
          <w:rFonts w:ascii="Arial" w:hAnsi="Arial" w:cs="Arial"/>
          <w:lang w:val="en-IN"/>
        </w:rPr>
        <w:t>It is well known that high ammonia levels affect respiration and enzyme activity, which eventually causes physiological stress and death (Rai et al., 2014).</w:t>
      </w:r>
      <w:r>
        <w:rPr>
          <w:rFonts w:ascii="Arial" w:hAnsi="Arial" w:cs="Arial"/>
          <w:lang w:val="en-IN"/>
        </w:rPr>
        <w:t xml:space="preserve"> </w:t>
      </w:r>
      <w:r w:rsidRPr="00F9629E">
        <w:rPr>
          <w:rFonts w:ascii="Arial" w:hAnsi="Arial" w:cs="Arial"/>
          <w:lang w:val="en-IN"/>
        </w:rPr>
        <w:t>These effects collectively result in reduced feeding, weight loss, and eventual mortality.</w:t>
      </w:r>
    </w:p>
    <w:p w14:paraId="0B7E5C03" w14:textId="77777777" w:rsidR="00830DBD" w:rsidRPr="00711669" w:rsidRDefault="00830DBD" w:rsidP="00830DBD">
      <w:pPr>
        <w:tabs>
          <w:tab w:val="num" w:pos="720"/>
        </w:tabs>
        <w:jc w:val="both"/>
        <w:rPr>
          <w:rFonts w:ascii="Arial" w:hAnsi="Arial" w:cs="Arial"/>
          <w:lang w:val="en-IN"/>
        </w:rPr>
      </w:pPr>
      <w:r w:rsidRPr="00711669">
        <w:rPr>
          <w:rFonts w:ascii="Arial" w:hAnsi="Arial" w:cs="Arial"/>
          <w:lang w:val="en-IN"/>
        </w:rPr>
        <w:t>NPK fertilizers provide balanced nutrients but</w:t>
      </w:r>
      <w:r>
        <w:rPr>
          <w:rFonts w:ascii="Arial" w:hAnsi="Arial" w:cs="Arial"/>
          <w:lang w:val="en-IN"/>
        </w:rPr>
        <w:t xml:space="preserve"> m</w:t>
      </w:r>
      <w:r w:rsidRPr="00711669">
        <w:rPr>
          <w:rFonts w:ascii="Arial" w:hAnsi="Arial" w:cs="Arial"/>
          <w:lang w:val="en-IN"/>
        </w:rPr>
        <w:t>ay cause osmotic stress at higher concentrations</w:t>
      </w:r>
      <w:r>
        <w:rPr>
          <w:rFonts w:ascii="Arial" w:hAnsi="Arial" w:cs="Arial"/>
          <w:lang w:val="en-IN"/>
        </w:rPr>
        <w:t>. They l</w:t>
      </w:r>
      <w:r w:rsidRPr="00711669">
        <w:rPr>
          <w:rFonts w:ascii="Arial" w:hAnsi="Arial" w:cs="Arial"/>
          <w:lang w:val="en-IN"/>
        </w:rPr>
        <w:t xml:space="preserve">ead to accumulation of salts </w:t>
      </w:r>
      <w:r>
        <w:rPr>
          <w:rFonts w:ascii="Arial" w:hAnsi="Arial" w:cs="Arial"/>
          <w:lang w:val="en-IN"/>
        </w:rPr>
        <w:t>and p</w:t>
      </w:r>
      <w:r w:rsidRPr="00711669">
        <w:rPr>
          <w:rFonts w:ascii="Arial" w:hAnsi="Arial" w:cs="Arial"/>
          <w:lang w:val="en-IN"/>
        </w:rPr>
        <w:t>roduce moderate physiological disturbances</w:t>
      </w:r>
      <w:r>
        <w:rPr>
          <w:rFonts w:ascii="Arial" w:hAnsi="Arial" w:cs="Arial"/>
          <w:lang w:val="en-IN"/>
        </w:rPr>
        <w:t xml:space="preserve">. </w:t>
      </w:r>
      <w:r w:rsidRPr="00711669">
        <w:rPr>
          <w:rFonts w:ascii="Arial" w:hAnsi="Arial" w:cs="Arial"/>
          <w:lang w:val="en-IN"/>
        </w:rPr>
        <w:t xml:space="preserve">Hence, their effects are less severe than </w:t>
      </w:r>
      <w:r>
        <w:rPr>
          <w:rFonts w:ascii="Arial" w:hAnsi="Arial" w:cs="Arial"/>
          <w:lang w:val="en-IN"/>
        </w:rPr>
        <w:t xml:space="preserve">those of </w:t>
      </w:r>
      <w:r w:rsidRPr="00711669">
        <w:rPr>
          <w:rFonts w:ascii="Arial" w:hAnsi="Arial" w:cs="Arial"/>
          <w:lang w:val="en-IN"/>
        </w:rPr>
        <w:t>urea but still detrimental over time.</w:t>
      </w:r>
    </w:p>
    <w:p w14:paraId="099C8648" w14:textId="77777777" w:rsidR="00830DBD" w:rsidRDefault="00830DBD" w:rsidP="00830DBD">
      <w:pPr>
        <w:jc w:val="both"/>
        <w:rPr>
          <w:rFonts w:ascii="Arial" w:hAnsi="Arial" w:cs="Arial"/>
          <w:lang w:val="en-IN"/>
        </w:rPr>
      </w:pPr>
      <w:r w:rsidRPr="00E8313C">
        <w:rPr>
          <w:rFonts w:ascii="Arial" w:hAnsi="Arial" w:cs="Arial"/>
          <w:lang w:val="en-IN"/>
        </w:rPr>
        <w:t>Superphosphate, on the other hand, showed little toxicity and even encouraged growth. This could be because it improves nutrient availability and microbial activity without appreciably changing the pH of the soil (Bhattacharya &amp; Sahu, 2015).</w:t>
      </w:r>
    </w:p>
    <w:p w14:paraId="2B3D0F3A" w14:textId="77777777" w:rsidR="00830DBD" w:rsidRDefault="00830DBD" w:rsidP="00830DBD">
      <w:pPr>
        <w:jc w:val="both"/>
        <w:rPr>
          <w:rFonts w:ascii="Arial" w:hAnsi="Arial" w:cs="Arial"/>
          <w:lang w:val="en-IN"/>
        </w:rPr>
      </w:pPr>
      <w:r w:rsidRPr="00E8313C">
        <w:rPr>
          <w:rFonts w:ascii="Arial" w:hAnsi="Arial" w:cs="Arial"/>
          <w:lang w:val="en-IN"/>
        </w:rPr>
        <w:t>By exposing trends in toxicity</w:t>
      </w:r>
      <w:r>
        <w:rPr>
          <w:rFonts w:ascii="Arial" w:hAnsi="Arial" w:cs="Arial"/>
          <w:lang w:val="en-IN"/>
        </w:rPr>
        <w:t xml:space="preserve"> with respect to time</w:t>
      </w:r>
      <w:r w:rsidRPr="00E8313C">
        <w:rPr>
          <w:rFonts w:ascii="Arial" w:hAnsi="Arial" w:cs="Arial"/>
          <w:lang w:val="en-IN"/>
        </w:rPr>
        <w:t>, regression analysis offers more information. While stable or positive slopes in other treatments suggest adaptability or tolerance, the strong negative slope seen in urea-treated groups indicates progressive deterioration.</w:t>
      </w:r>
    </w:p>
    <w:p w14:paraId="599FE68D" w14:textId="77777777" w:rsidR="00830DBD" w:rsidRDefault="00830DBD" w:rsidP="00830DBD">
      <w:pPr>
        <w:jc w:val="both"/>
        <w:rPr>
          <w:rFonts w:ascii="Arial" w:hAnsi="Arial" w:cs="Arial"/>
          <w:lang w:val="en-IN"/>
        </w:rPr>
      </w:pPr>
      <w:r w:rsidRPr="00E8313C">
        <w:rPr>
          <w:rFonts w:ascii="Arial" w:hAnsi="Arial" w:cs="Arial"/>
          <w:lang w:val="en-IN"/>
        </w:rPr>
        <w:t xml:space="preserve">These results are in line with earlier research showing that phosphate-based fertilizers are comparatively less toxic and that earthworms are sensitive to nitrogenous compounds (Whalen et al., 1998; </w:t>
      </w:r>
      <w:proofErr w:type="spellStart"/>
      <w:r w:rsidRPr="00E8313C">
        <w:rPr>
          <w:rFonts w:ascii="Arial" w:hAnsi="Arial" w:cs="Arial"/>
          <w:lang w:val="en-IN"/>
        </w:rPr>
        <w:t>Sizmur</w:t>
      </w:r>
      <w:proofErr w:type="spellEnd"/>
      <w:r w:rsidRPr="00E8313C">
        <w:rPr>
          <w:rFonts w:ascii="Arial" w:hAnsi="Arial" w:cs="Arial"/>
          <w:lang w:val="en-IN"/>
        </w:rPr>
        <w:t xml:space="preserve"> et al., 2011</w:t>
      </w:r>
      <w:r>
        <w:rPr>
          <w:rFonts w:ascii="Arial" w:hAnsi="Arial" w:cs="Arial"/>
          <w:lang w:val="en-IN"/>
        </w:rPr>
        <w:t xml:space="preserve">b; </w:t>
      </w:r>
      <w:proofErr w:type="spellStart"/>
      <w:r>
        <w:rPr>
          <w:rFonts w:ascii="Arial" w:hAnsi="Arial" w:cs="Arial"/>
          <w:lang w:val="en-IN"/>
        </w:rPr>
        <w:t>Abbiramy</w:t>
      </w:r>
      <w:proofErr w:type="spellEnd"/>
      <w:r>
        <w:rPr>
          <w:rFonts w:ascii="Arial" w:hAnsi="Arial" w:cs="Arial"/>
          <w:lang w:val="en-IN"/>
        </w:rPr>
        <w:t xml:space="preserve"> et al., 2013; Long et al., 2017</w:t>
      </w:r>
      <w:r w:rsidRPr="00E8313C">
        <w:rPr>
          <w:rFonts w:ascii="Arial" w:hAnsi="Arial" w:cs="Arial"/>
          <w:lang w:val="en-IN"/>
        </w:rPr>
        <w:t>).</w:t>
      </w:r>
      <w:r>
        <w:rPr>
          <w:rFonts w:ascii="Arial" w:hAnsi="Arial" w:cs="Arial"/>
          <w:lang w:val="en-IN"/>
        </w:rPr>
        <w:t xml:space="preserve"> Mortality of earthworm, </w:t>
      </w:r>
      <w:proofErr w:type="spellStart"/>
      <w:r w:rsidRPr="00B716D5">
        <w:rPr>
          <w:rFonts w:ascii="Arial" w:hAnsi="Arial" w:cs="Arial"/>
          <w:i/>
          <w:iCs/>
          <w:lang w:val="en-IN"/>
        </w:rPr>
        <w:t>Eudrilus</w:t>
      </w:r>
      <w:proofErr w:type="spellEnd"/>
      <w:r w:rsidRPr="00B716D5">
        <w:rPr>
          <w:rFonts w:ascii="Arial" w:hAnsi="Arial" w:cs="Arial"/>
          <w:i/>
          <w:iCs/>
          <w:lang w:val="en-IN"/>
        </w:rPr>
        <w:t xml:space="preserve"> </w:t>
      </w:r>
      <w:proofErr w:type="spellStart"/>
      <w:r w:rsidRPr="00B716D5">
        <w:rPr>
          <w:rFonts w:ascii="Arial" w:hAnsi="Arial" w:cs="Arial"/>
          <w:i/>
          <w:iCs/>
          <w:lang w:val="en-IN"/>
        </w:rPr>
        <w:t>euginea</w:t>
      </w:r>
      <w:proofErr w:type="spellEnd"/>
      <w:r>
        <w:rPr>
          <w:rFonts w:ascii="Arial" w:hAnsi="Arial" w:cs="Arial"/>
          <w:i/>
          <w:iCs/>
          <w:lang w:val="en-IN"/>
        </w:rPr>
        <w:t>,</w:t>
      </w:r>
      <w:r>
        <w:rPr>
          <w:rFonts w:ascii="Arial" w:hAnsi="Arial" w:cs="Arial"/>
          <w:lang w:val="en-IN"/>
        </w:rPr>
        <w:t xml:space="preserve"> was highest in case of urea and minimum in case of super phosphate (Shruthi et al., 2017). The weight of individual earthworms after the treatment of urea was seen to reduce drastically in the studies carried out by Passi et al., 2021. Their studies also showed high mortality in urea treated earthworms.</w:t>
      </w:r>
    </w:p>
    <w:p w14:paraId="4CFD4496" w14:textId="77777777" w:rsidR="00830DBD" w:rsidRDefault="00830DBD" w:rsidP="00830DBD">
      <w:pPr>
        <w:jc w:val="both"/>
        <w:rPr>
          <w:rFonts w:ascii="Arial" w:hAnsi="Arial" w:cs="Arial"/>
          <w:lang w:val="en-IN"/>
        </w:rPr>
      </w:pPr>
    </w:p>
    <w:p w14:paraId="64C8EECF" w14:textId="77777777" w:rsidR="00830DBD" w:rsidRPr="00F9629E" w:rsidRDefault="00830DBD" w:rsidP="00830DBD">
      <w:pPr>
        <w:tabs>
          <w:tab w:val="num" w:pos="720"/>
        </w:tabs>
        <w:jc w:val="both"/>
        <w:rPr>
          <w:rFonts w:ascii="Arial" w:hAnsi="Arial" w:cs="Arial"/>
          <w:lang w:val="en-IN"/>
        </w:rPr>
      </w:pPr>
    </w:p>
    <w:p w14:paraId="61F03403" w14:textId="28F09194" w:rsidR="004708D1" w:rsidRPr="000A4B75" w:rsidRDefault="00E8313C" w:rsidP="004708D1">
      <w:pPr>
        <w:spacing w:before="240"/>
        <w:jc w:val="both"/>
        <w:rPr>
          <w:rFonts w:ascii="Times New Roman" w:hAnsi="Times New Roman"/>
          <w:sz w:val="24"/>
          <w:szCs w:val="24"/>
        </w:rPr>
      </w:pPr>
      <w:r w:rsidRPr="00E8313C">
        <w:rPr>
          <w:rFonts w:ascii="Arial" w:hAnsi="Arial" w:cs="Arial"/>
          <w:lang w:val="en-IN"/>
        </w:rPr>
        <w:br/>
      </w:r>
      <w:r w:rsidR="004708D1" w:rsidRPr="000A4B75">
        <w:rPr>
          <w:rFonts w:ascii="Times New Roman" w:hAnsi="Times New Roman"/>
          <w:noProof/>
          <w:sz w:val="24"/>
          <w:szCs w:val="24"/>
        </w:rPr>
        <w:drawing>
          <wp:inline distT="0" distB="0" distL="0" distR="0" wp14:anchorId="712FE1C9" wp14:editId="54F5C4FE">
            <wp:extent cx="5731510" cy="7164705"/>
            <wp:effectExtent l="0" t="0" r="2540" b="0"/>
            <wp:docPr id="6440369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7164705"/>
                    </a:xfrm>
                    <a:prstGeom prst="rect">
                      <a:avLst/>
                    </a:prstGeom>
                    <a:noFill/>
                    <a:ln>
                      <a:noFill/>
                    </a:ln>
                  </pic:spPr>
                </pic:pic>
              </a:graphicData>
            </a:graphic>
          </wp:inline>
        </w:drawing>
      </w:r>
    </w:p>
    <w:p w14:paraId="570836EC" w14:textId="42685A5B" w:rsidR="004708D1" w:rsidRPr="00E8313C" w:rsidRDefault="004708D1" w:rsidP="004708D1">
      <w:pPr>
        <w:autoSpaceDE w:val="0"/>
        <w:autoSpaceDN w:val="0"/>
        <w:adjustRightInd w:val="0"/>
        <w:rPr>
          <w:rFonts w:ascii="Arial" w:hAnsi="Arial" w:cs="Arial"/>
          <w:b/>
          <w:bCs/>
          <w:szCs w:val="22"/>
        </w:rPr>
      </w:pPr>
      <w:r w:rsidRPr="00AC76DA">
        <w:rPr>
          <w:rFonts w:ascii="Arial" w:hAnsi="Arial" w:cs="Arial"/>
          <w:b/>
          <w:bCs/>
          <w:szCs w:val="22"/>
        </w:rPr>
        <w:t>Fi</w:t>
      </w:r>
      <w:r>
        <w:rPr>
          <w:rFonts w:ascii="Arial" w:hAnsi="Arial" w:cs="Arial"/>
          <w:b/>
          <w:bCs/>
          <w:szCs w:val="22"/>
        </w:rPr>
        <w:t>g.</w:t>
      </w:r>
      <w:r w:rsidRPr="00AC76DA">
        <w:rPr>
          <w:rFonts w:ascii="Arial" w:hAnsi="Arial" w:cs="Arial"/>
          <w:b/>
          <w:bCs/>
          <w:szCs w:val="22"/>
        </w:rPr>
        <w:t xml:space="preserve"> 3</w:t>
      </w:r>
      <w:r>
        <w:rPr>
          <w:rFonts w:ascii="Arial" w:hAnsi="Arial" w:cs="Arial"/>
          <w:b/>
          <w:bCs/>
          <w:szCs w:val="22"/>
        </w:rPr>
        <w:t>.</w:t>
      </w:r>
      <w:r w:rsidRPr="00AC76DA">
        <w:rPr>
          <w:rFonts w:ascii="Arial" w:hAnsi="Arial" w:cs="Arial"/>
          <w:b/>
          <w:bCs/>
          <w:szCs w:val="22"/>
        </w:rPr>
        <w:t xml:space="preserve"> </w:t>
      </w:r>
      <w:r>
        <w:rPr>
          <w:rFonts w:ascii="Arial" w:hAnsi="Arial" w:cs="Arial"/>
          <w:b/>
          <w:bCs/>
          <w:szCs w:val="22"/>
        </w:rPr>
        <w:t>Treatment-wise</w:t>
      </w:r>
      <w:r w:rsidRPr="00AC76DA">
        <w:rPr>
          <w:rFonts w:ascii="Arial" w:hAnsi="Arial" w:cs="Arial"/>
          <w:b/>
          <w:bCs/>
          <w:szCs w:val="22"/>
        </w:rPr>
        <w:t xml:space="preserve"> linear regressions of biomass on time</w:t>
      </w:r>
    </w:p>
    <w:p w14:paraId="2810DE20" w14:textId="09150079" w:rsidR="00E8313C" w:rsidRPr="00E8313C" w:rsidRDefault="00E8313C" w:rsidP="008C44D8">
      <w:pPr>
        <w:jc w:val="both"/>
        <w:rPr>
          <w:rFonts w:ascii="Arial" w:hAnsi="Arial" w:cs="Arial"/>
          <w:lang w:val="en-IN"/>
        </w:rPr>
      </w:pPr>
    </w:p>
    <w:p w14:paraId="56BD3F97" w14:textId="3C7BFDBA" w:rsidR="00711669" w:rsidRDefault="00711669">
      <w:pPr>
        <w:rPr>
          <w:rFonts w:ascii="Arial" w:hAnsi="Arial" w:cs="Arial"/>
          <w:lang w:val="en-IN"/>
        </w:rPr>
      </w:pPr>
    </w:p>
    <w:p w14:paraId="222FE06B" w14:textId="77777777" w:rsidR="00711669" w:rsidRPr="00711669" w:rsidRDefault="00711669" w:rsidP="00711669">
      <w:pPr>
        <w:jc w:val="both"/>
        <w:rPr>
          <w:rFonts w:ascii="Arial" w:hAnsi="Arial" w:cs="Arial"/>
          <w:lang w:val="en-IN"/>
        </w:rPr>
      </w:pPr>
      <w:r w:rsidRPr="00711669">
        <w:rPr>
          <w:rFonts w:ascii="Arial" w:hAnsi="Arial" w:cs="Arial"/>
          <w:lang w:val="en-IN"/>
        </w:rPr>
        <w:t>By combining descriptive statistics, mortality analysis, ANOVA, and regression modelling, this study provides a holistic understanding of fertilizer impacts. The convergence of multiple analytical approaches strengthens the reliability of conclusions.</w:t>
      </w:r>
    </w:p>
    <w:p w14:paraId="21C136E0" w14:textId="77777777" w:rsidR="00711669" w:rsidRPr="00711669" w:rsidRDefault="00711669" w:rsidP="00711669">
      <w:pPr>
        <w:jc w:val="both"/>
        <w:rPr>
          <w:rFonts w:ascii="Arial" w:hAnsi="Arial" w:cs="Arial"/>
          <w:lang w:val="en-IN"/>
        </w:rPr>
      </w:pPr>
    </w:p>
    <w:p w14:paraId="410736A6" w14:textId="4DE38934" w:rsidR="00711669" w:rsidRDefault="00711669" w:rsidP="00711669">
      <w:pPr>
        <w:jc w:val="both"/>
        <w:rPr>
          <w:rFonts w:ascii="Arial" w:hAnsi="Arial" w:cs="Arial"/>
          <w:lang w:val="en-IN"/>
        </w:rPr>
      </w:pPr>
      <w:r w:rsidRPr="00711669">
        <w:rPr>
          <w:rFonts w:ascii="Arial" w:hAnsi="Arial" w:cs="Arial"/>
          <w:lang w:val="en-IN"/>
        </w:rPr>
        <w:t xml:space="preserve">The clear gradient of toxicity </w:t>
      </w:r>
      <w:proofErr w:type="gramStart"/>
      <w:r w:rsidRPr="00711669">
        <w:rPr>
          <w:rFonts w:ascii="Arial" w:hAnsi="Arial" w:cs="Arial"/>
          <w:lang w:val="en-IN"/>
        </w:rPr>
        <w:t>observe</w:t>
      </w:r>
      <w:proofErr w:type="gramEnd"/>
      <w:r w:rsidR="003517DE">
        <w:rPr>
          <w:rFonts w:ascii="Arial" w:hAnsi="Arial" w:cs="Arial"/>
          <w:lang w:val="en-IN"/>
        </w:rPr>
        <w:t xml:space="preserve"> (</w:t>
      </w:r>
      <w:r w:rsidRPr="00711669">
        <w:rPr>
          <w:rFonts w:ascii="Arial" w:hAnsi="Arial" w:cs="Arial"/>
          <w:lang w:val="en-IN"/>
        </w:rPr>
        <w:t>Urea &gt; NPK &gt; Superphosphate ≈ Control</w:t>
      </w:r>
      <w:r w:rsidR="003517DE">
        <w:rPr>
          <w:rFonts w:ascii="Arial" w:hAnsi="Arial" w:cs="Arial"/>
          <w:lang w:val="en-IN"/>
        </w:rPr>
        <w:t xml:space="preserve">) </w:t>
      </w:r>
      <w:r w:rsidRPr="00711669">
        <w:rPr>
          <w:rFonts w:ascii="Arial" w:hAnsi="Arial" w:cs="Arial"/>
          <w:lang w:val="en-IN"/>
        </w:rPr>
        <w:t>highlights the importance of fertilizer selection in maintaining soil biodiversity.</w:t>
      </w:r>
    </w:p>
    <w:p w14:paraId="6D998E15" w14:textId="0BD3D894" w:rsidR="00711669" w:rsidRPr="00711669" w:rsidRDefault="00711669" w:rsidP="00711669">
      <w:pPr>
        <w:pStyle w:val="Body"/>
        <w:spacing w:after="0"/>
        <w:rPr>
          <w:rFonts w:ascii="Arial" w:hAnsi="Arial" w:cs="Arial"/>
          <w:lang w:val="en-IN"/>
        </w:rPr>
      </w:pPr>
      <w:r w:rsidRPr="00711669">
        <w:rPr>
          <w:rFonts w:ascii="Arial" w:hAnsi="Arial" w:cs="Arial"/>
          <w:lang w:val="en-IN"/>
        </w:rPr>
        <w:t xml:space="preserve">The findings </w:t>
      </w:r>
      <w:r>
        <w:rPr>
          <w:rFonts w:ascii="Arial" w:hAnsi="Arial" w:cs="Arial"/>
          <w:lang w:val="en-IN"/>
        </w:rPr>
        <w:t xml:space="preserve">also offer following </w:t>
      </w:r>
      <w:r w:rsidRPr="00711669">
        <w:rPr>
          <w:rFonts w:ascii="Arial" w:hAnsi="Arial" w:cs="Arial"/>
          <w:lang w:val="en-IN"/>
        </w:rPr>
        <w:t>significant implications for sustainable agriculture:</w:t>
      </w:r>
    </w:p>
    <w:p w14:paraId="36ECBB75" w14:textId="77777777" w:rsidR="00711669" w:rsidRPr="00B67B7D" w:rsidRDefault="00711669" w:rsidP="00711669">
      <w:pPr>
        <w:pStyle w:val="Body"/>
        <w:numPr>
          <w:ilvl w:val="0"/>
          <w:numId w:val="33"/>
        </w:numPr>
        <w:spacing w:after="0"/>
        <w:rPr>
          <w:rFonts w:ascii="Arial" w:hAnsi="Arial" w:cs="Arial"/>
          <w:lang w:val="en-IN"/>
        </w:rPr>
      </w:pPr>
      <w:r w:rsidRPr="00B67B7D">
        <w:rPr>
          <w:rFonts w:ascii="Arial" w:hAnsi="Arial" w:cs="Arial"/>
          <w:lang w:val="en-IN"/>
        </w:rPr>
        <w:t xml:space="preserve">Soil Health: Earthworms are indicators of soil quality; their decline signals ecological imbalance. </w:t>
      </w:r>
    </w:p>
    <w:p w14:paraId="32E04CD9" w14:textId="77777777" w:rsidR="00711669" w:rsidRPr="00B67B7D" w:rsidRDefault="00711669" w:rsidP="00711669">
      <w:pPr>
        <w:pStyle w:val="Body"/>
        <w:numPr>
          <w:ilvl w:val="0"/>
          <w:numId w:val="33"/>
        </w:numPr>
        <w:spacing w:after="0"/>
        <w:rPr>
          <w:rFonts w:ascii="Arial" w:hAnsi="Arial" w:cs="Arial"/>
          <w:lang w:val="en-IN"/>
        </w:rPr>
      </w:pPr>
      <w:r w:rsidRPr="00B67B7D">
        <w:rPr>
          <w:rFonts w:ascii="Arial" w:hAnsi="Arial" w:cs="Arial"/>
          <w:lang w:val="en-IN"/>
        </w:rPr>
        <w:t xml:space="preserve">Nutrient Cycling: Reduced earthworm activity can impair decomposition and nutrient turnover. </w:t>
      </w:r>
    </w:p>
    <w:p w14:paraId="61F0F666" w14:textId="77777777" w:rsidR="00711669" w:rsidRPr="00B67B7D" w:rsidRDefault="00711669" w:rsidP="00711669">
      <w:pPr>
        <w:pStyle w:val="Body"/>
        <w:numPr>
          <w:ilvl w:val="0"/>
          <w:numId w:val="33"/>
        </w:numPr>
        <w:spacing w:after="0"/>
        <w:rPr>
          <w:rFonts w:ascii="Arial" w:hAnsi="Arial" w:cs="Arial"/>
          <w:lang w:val="en-IN"/>
        </w:rPr>
      </w:pPr>
      <w:r w:rsidRPr="00B67B7D">
        <w:rPr>
          <w:rFonts w:ascii="Arial" w:hAnsi="Arial" w:cs="Arial"/>
          <w:lang w:val="en-IN"/>
        </w:rPr>
        <w:t xml:space="preserve">Fertilizer Management: Over-reliance on nitrogenous fertilizers like urea can degrade soil ecosystems. </w:t>
      </w:r>
    </w:p>
    <w:p w14:paraId="74299186" w14:textId="77777777" w:rsidR="00711669" w:rsidRDefault="00711669" w:rsidP="00711669">
      <w:pPr>
        <w:pStyle w:val="Body"/>
        <w:numPr>
          <w:ilvl w:val="0"/>
          <w:numId w:val="33"/>
        </w:numPr>
        <w:spacing w:after="0"/>
        <w:rPr>
          <w:rFonts w:ascii="Arial" w:hAnsi="Arial" w:cs="Arial"/>
          <w:lang w:val="en-IN"/>
        </w:rPr>
      </w:pPr>
      <w:r w:rsidRPr="00B67B7D">
        <w:rPr>
          <w:rFonts w:ascii="Arial" w:hAnsi="Arial" w:cs="Arial"/>
          <w:lang w:val="en-IN"/>
        </w:rPr>
        <w:t xml:space="preserve">Sustainable Alternatives: Organic fertilizers and vermicompost offer safer alternatives. </w:t>
      </w:r>
    </w:p>
    <w:p w14:paraId="3C049888" w14:textId="1CF662E3" w:rsidR="00B67B7D" w:rsidRPr="00B67B7D" w:rsidRDefault="00B67B7D" w:rsidP="00B67B7D">
      <w:pPr>
        <w:pStyle w:val="Body"/>
        <w:spacing w:after="0"/>
        <w:rPr>
          <w:rFonts w:ascii="Arial" w:hAnsi="Arial" w:cs="Arial"/>
          <w:lang w:val="en-IN"/>
        </w:rPr>
      </w:pPr>
      <w:r>
        <w:rPr>
          <w:rFonts w:ascii="Arial" w:hAnsi="Arial" w:cs="Arial"/>
          <w:lang w:val="en-IN"/>
        </w:rPr>
        <w:t xml:space="preserve">Chemical fertilizers supplemented with cow dung and earthworms have shown to increase </w:t>
      </w:r>
      <w:r w:rsidRPr="00B67B7D">
        <w:rPr>
          <w:rFonts w:ascii="Arial" w:hAnsi="Arial" w:cs="Arial"/>
          <w:lang w:val="en-IN"/>
        </w:rPr>
        <w:t>soil organic matter, total nitrogen, available nitrogen, and available potassium</w:t>
      </w:r>
      <w:r>
        <w:rPr>
          <w:rFonts w:ascii="Arial" w:hAnsi="Arial" w:cs="Arial"/>
          <w:lang w:val="en-IN"/>
        </w:rPr>
        <w:t xml:space="preserve"> (Gao et al., 2023). This reiterates that </w:t>
      </w:r>
      <w:r w:rsidRPr="00B67B7D">
        <w:rPr>
          <w:rFonts w:ascii="Arial" w:hAnsi="Arial" w:cs="Arial"/>
          <w:lang w:val="en-IN"/>
        </w:rPr>
        <w:t>replac</w:t>
      </w:r>
      <w:r>
        <w:rPr>
          <w:rFonts w:ascii="Arial" w:hAnsi="Arial" w:cs="Arial"/>
          <w:lang w:val="en-IN"/>
        </w:rPr>
        <w:t xml:space="preserve">ing </w:t>
      </w:r>
      <w:r w:rsidRPr="00B67B7D">
        <w:rPr>
          <w:rFonts w:ascii="Arial" w:hAnsi="Arial" w:cs="Arial"/>
          <w:lang w:val="en-IN"/>
        </w:rPr>
        <w:t>chemical fertilisers with organic</w:t>
      </w:r>
      <w:r>
        <w:rPr>
          <w:rFonts w:ascii="Arial" w:hAnsi="Arial" w:cs="Arial"/>
          <w:lang w:val="en-IN"/>
        </w:rPr>
        <w:t xml:space="preserve"> fertilizers in a</w:t>
      </w:r>
      <w:r w:rsidRPr="00B67B7D">
        <w:rPr>
          <w:rFonts w:ascii="Arial" w:hAnsi="Arial" w:cs="Arial"/>
          <w:lang w:val="en-IN"/>
        </w:rPr>
        <w:t>n effective way to improve soil quality and crop productivity</w:t>
      </w:r>
      <w:r>
        <w:rPr>
          <w:rFonts w:ascii="Arial" w:hAnsi="Arial" w:cs="Arial"/>
          <w:lang w:val="en-IN"/>
        </w:rPr>
        <w:t>.</w:t>
      </w:r>
    </w:p>
    <w:p w14:paraId="22F75DBA" w14:textId="5A5A694F" w:rsidR="00711669" w:rsidRPr="00E8313C" w:rsidRDefault="00555333" w:rsidP="00CB5C2E">
      <w:pPr>
        <w:spacing w:after="240"/>
        <w:jc w:val="both"/>
        <w:rPr>
          <w:rFonts w:ascii="Arial" w:hAnsi="Arial" w:cs="Arial"/>
          <w:lang w:val="en-IN"/>
        </w:rPr>
      </w:pPr>
      <w:r>
        <w:rPr>
          <w:rFonts w:ascii="Arial" w:hAnsi="Arial" w:cs="Arial"/>
          <w:lang w:val="en-IN"/>
        </w:rPr>
        <w:t>The present study however has some methodological and contextual limitations. The study has been carried out under controlled laboratory conditions and therefore, does not represent natural environment where several other biotic and abiotic factors interact. Future studies with field trials</w:t>
      </w:r>
      <w:r w:rsidR="00CB5C2E">
        <w:rPr>
          <w:rFonts w:ascii="Arial" w:hAnsi="Arial" w:cs="Arial"/>
          <w:lang w:val="en-IN"/>
        </w:rPr>
        <w:t xml:space="preserve"> involving</w:t>
      </w:r>
      <w:r>
        <w:rPr>
          <w:rFonts w:ascii="Arial" w:hAnsi="Arial" w:cs="Arial"/>
          <w:lang w:val="en-IN"/>
        </w:rPr>
        <w:t xml:space="preserve"> </w:t>
      </w:r>
      <w:r w:rsidR="00CB5C2E">
        <w:rPr>
          <w:rFonts w:ascii="Arial" w:hAnsi="Arial" w:cs="Arial"/>
          <w:lang w:val="en-IN"/>
        </w:rPr>
        <w:t>larger sample size, wide range of fertilizers, biofertilizers and organic fertilizers are needed.</w:t>
      </w:r>
    </w:p>
    <w:p w14:paraId="10160894" w14:textId="6D90A80E" w:rsidR="00790ADA"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78D2D9B" w14:textId="77777777" w:rsidR="008C44D8" w:rsidRDefault="008C44D8" w:rsidP="00441B6F">
      <w:pPr>
        <w:pStyle w:val="ConcHead"/>
        <w:spacing w:after="0"/>
        <w:jc w:val="both"/>
        <w:rPr>
          <w:rFonts w:ascii="Arial" w:hAnsi="Arial" w:cs="Arial"/>
        </w:rPr>
      </w:pPr>
    </w:p>
    <w:p w14:paraId="2DB04EAC" w14:textId="628D59AA" w:rsidR="008C44D8" w:rsidRDefault="0097358B" w:rsidP="008C44D8">
      <w:pPr>
        <w:pStyle w:val="Body"/>
        <w:spacing w:after="0"/>
        <w:rPr>
          <w:rFonts w:ascii="Arial" w:hAnsi="Arial" w:cs="Arial"/>
          <w:lang w:val="en-IN"/>
        </w:rPr>
      </w:pPr>
      <w:r w:rsidRPr="0097358B">
        <w:rPr>
          <w:rFonts w:ascii="Arial" w:hAnsi="Arial" w:cs="Arial"/>
          <w:lang w:val="en-IN"/>
        </w:rPr>
        <w:t xml:space="preserve">The current study emphasizes how crucial fertilizer choice is to sustainable agriculture. It was found that urea was extremely harmful to </w:t>
      </w:r>
      <w:r w:rsidR="00BE567F" w:rsidRPr="00BE567F">
        <w:rPr>
          <w:rFonts w:ascii="Arial" w:hAnsi="Arial" w:cs="Arial"/>
          <w:i/>
          <w:iCs/>
          <w:lang w:val="en-IN"/>
        </w:rPr>
        <w:t>E</w:t>
      </w:r>
      <w:r w:rsidR="0001020A">
        <w:rPr>
          <w:rFonts w:ascii="Arial" w:hAnsi="Arial" w:cs="Arial"/>
          <w:i/>
          <w:iCs/>
          <w:lang w:val="en-IN"/>
        </w:rPr>
        <w:t>.</w:t>
      </w:r>
      <w:r w:rsidR="00BE567F" w:rsidRPr="00BE567F">
        <w:rPr>
          <w:rFonts w:ascii="Arial" w:hAnsi="Arial" w:cs="Arial"/>
          <w:i/>
          <w:iCs/>
          <w:lang w:val="en-IN"/>
        </w:rPr>
        <w:t xml:space="preserve"> fetida</w:t>
      </w:r>
      <w:r w:rsidRPr="0097358B">
        <w:rPr>
          <w:rFonts w:ascii="Arial" w:hAnsi="Arial" w:cs="Arial"/>
          <w:lang w:val="en-IN"/>
        </w:rPr>
        <w:t xml:space="preserve">, drastically lowering biomass and increasing mortality. Superphosphate, on the other hand, showed few side effects and promoted growth. </w:t>
      </w:r>
    </w:p>
    <w:p w14:paraId="01A6E957" w14:textId="4A722D27" w:rsidR="00790ADA" w:rsidRDefault="0097358B" w:rsidP="004A1008">
      <w:pPr>
        <w:pStyle w:val="Body"/>
        <w:rPr>
          <w:rFonts w:ascii="Arial" w:hAnsi="Arial" w:cs="Arial"/>
          <w:lang w:val="en-IN"/>
        </w:rPr>
      </w:pPr>
      <w:r w:rsidRPr="0097358B">
        <w:rPr>
          <w:rFonts w:ascii="Arial" w:hAnsi="Arial" w:cs="Arial"/>
          <w:lang w:val="en-IN"/>
        </w:rPr>
        <w:t>These results are more reliable and offer a better understanding of growth dynamics when statistical tools like regression analysis and standard deviation are incorporated.</w:t>
      </w:r>
      <w:r w:rsidRPr="0097358B">
        <w:rPr>
          <w:rFonts w:ascii="Arial" w:hAnsi="Arial" w:cs="Arial"/>
          <w:lang w:val="en-IN"/>
        </w:rPr>
        <w:br/>
        <w:t>These findings support careful application of fertilizers, stressing balanced nutrient application and the use of environmentally acceptable substitutes like vermicompost and biofertilizers.</w:t>
      </w:r>
    </w:p>
    <w:p w14:paraId="4DB24191" w14:textId="2579DB67" w:rsidR="00247D35" w:rsidRPr="005F00BE" w:rsidRDefault="00247D35" w:rsidP="005F00BE">
      <w:pPr>
        <w:pStyle w:val="ReferHead"/>
        <w:spacing w:after="0"/>
        <w:jc w:val="both"/>
        <w:rPr>
          <w:rFonts w:ascii="Arial" w:hAnsi="Arial" w:cs="Arial"/>
          <w:bCs/>
        </w:rPr>
      </w:pPr>
      <w:r w:rsidRPr="005F00BE">
        <w:rPr>
          <w:rFonts w:ascii="Arial" w:hAnsi="Arial" w:cs="Arial"/>
          <w:bCs/>
        </w:rPr>
        <w:lastRenderedPageBreak/>
        <w:t>COMPETING INTERESTS DISCLAIMER</w:t>
      </w:r>
    </w:p>
    <w:p w14:paraId="24B98D4D" w14:textId="77777777" w:rsidR="00673951" w:rsidRDefault="00247D35" w:rsidP="00247D35">
      <w:pPr>
        <w:pStyle w:val="ReferHead"/>
        <w:spacing w:after="0"/>
        <w:jc w:val="both"/>
        <w:rPr>
          <w:rFonts w:ascii="Arial" w:hAnsi="Arial" w:cs="Arial"/>
          <w:b w:val="0"/>
          <w:caps w:val="0"/>
          <w:sz w:val="20"/>
        </w:rPr>
      </w:pPr>
      <w:r w:rsidRPr="00247D35">
        <w:rPr>
          <w:rFonts w:ascii="Arial" w:hAnsi="Arial" w:cs="Arial"/>
          <w:b w:val="0"/>
          <w:caps w:val="0"/>
          <w:sz w:val="20"/>
        </w:rPr>
        <w:t xml:space="preserve">Authors have declared that they have no known competing financial interests OR non-financial interests OR personal relationships that could have appeared to influence the work reported </w:t>
      </w:r>
    </w:p>
    <w:p w14:paraId="48C6467F" w14:textId="7D6E79AB" w:rsidR="00247D35" w:rsidRDefault="00247D35" w:rsidP="00247D35">
      <w:pPr>
        <w:pStyle w:val="ReferHead"/>
        <w:spacing w:after="0"/>
        <w:jc w:val="both"/>
        <w:rPr>
          <w:rFonts w:ascii="Arial" w:hAnsi="Arial" w:cs="Arial"/>
          <w:b w:val="0"/>
          <w:caps w:val="0"/>
          <w:sz w:val="20"/>
        </w:rPr>
      </w:pPr>
      <w:r w:rsidRPr="00247D35">
        <w:rPr>
          <w:rFonts w:ascii="Arial" w:hAnsi="Arial" w:cs="Arial"/>
          <w:b w:val="0"/>
          <w:caps w:val="0"/>
          <w:sz w:val="20"/>
        </w:rPr>
        <w:t>in this paper.</w:t>
      </w:r>
    </w:p>
    <w:p w14:paraId="123E85E4" w14:textId="5455DE57" w:rsidR="00673951" w:rsidRDefault="00673951" w:rsidP="00247D35">
      <w:pPr>
        <w:pStyle w:val="ReferHead"/>
        <w:spacing w:after="0"/>
        <w:jc w:val="both"/>
        <w:rPr>
          <w:rFonts w:ascii="Arial" w:hAnsi="Arial" w:cs="Arial"/>
          <w:b w:val="0"/>
          <w:caps w:val="0"/>
          <w:sz w:val="20"/>
        </w:rPr>
      </w:pPr>
    </w:p>
    <w:p w14:paraId="7E1DACD9" w14:textId="77777777" w:rsidR="00673951" w:rsidRPr="005F00BE" w:rsidRDefault="00673951" w:rsidP="005F00BE">
      <w:pPr>
        <w:pStyle w:val="ReferHead"/>
        <w:spacing w:after="0"/>
        <w:jc w:val="both"/>
        <w:rPr>
          <w:rFonts w:ascii="Arial" w:hAnsi="Arial" w:cs="Arial"/>
          <w:bCs/>
        </w:rPr>
      </w:pPr>
      <w:bookmarkStart w:id="0" w:name="_Hlk218867759"/>
      <w:r w:rsidRPr="005F00BE">
        <w:rPr>
          <w:rFonts w:ascii="Arial" w:hAnsi="Arial" w:cs="Arial"/>
          <w:bCs/>
        </w:rPr>
        <w:t>Disclaimer (Artificial intelligence)</w:t>
      </w:r>
    </w:p>
    <w:p w14:paraId="537CFE30" w14:textId="6AF741B2" w:rsidR="00673951" w:rsidRDefault="00673951" w:rsidP="003F7731">
      <w:pPr>
        <w:keepNext/>
        <w:keepLines/>
        <w:jc w:val="both"/>
        <w:outlineLvl w:val="1"/>
        <w:rPr>
          <w:rFonts w:ascii="Arial" w:hAnsi="Arial" w:cs="Arial"/>
          <w:lang w:val="en-IN"/>
        </w:rPr>
      </w:pPr>
      <w:r w:rsidRPr="005F00BE">
        <w:rPr>
          <w:rFonts w:ascii="Arial" w:hAnsi="Arial" w:cs="Arial"/>
          <w:lang w:val="en-IN"/>
        </w:rPr>
        <w:t>Author(s) hereby declare that NO generative AI technologies such as Large Language Models (ChatGPT, COPILOT, etc.) and text-to-image generators have been used during the writing</w:t>
      </w:r>
      <w:r w:rsidR="003F7731">
        <w:rPr>
          <w:rFonts w:ascii="Arial" w:hAnsi="Arial" w:cs="Arial"/>
          <w:lang w:val="en-IN"/>
        </w:rPr>
        <w:t xml:space="preserve"> </w:t>
      </w:r>
      <w:r w:rsidRPr="005F00BE">
        <w:rPr>
          <w:rFonts w:ascii="Arial" w:hAnsi="Arial" w:cs="Arial"/>
          <w:lang w:val="en-IN"/>
        </w:rPr>
        <w:t xml:space="preserve">or editing of this manuscript. </w:t>
      </w:r>
    </w:p>
    <w:p w14:paraId="04BA57F3" w14:textId="77777777" w:rsidR="005A09EB" w:rsidRDefault="005A09EB" w:rsidP="003F7731">
      <w:pPr>
        <w:keepNext/>
        <w:keepLines/>
        <w:jc w:val="both"/>
        <w:outlineLvl w:val="1"/>
        <w:rPr>
          <w:rFonts w:ascii="Arial" w:hAnsi="Arial" w:cs="Arial"/>
          <w:lang w:val="en-IN"/>
        </w:rPr>
      </w:pPr>
    </w:p>
    <w:p w14:paraId="56B1D794" w14:textId="485170B6" w:rsidR="005A09EB" w:rsidRDefault="005A09EB" w:rsidP="005A09EB">
      <w:pPr>
        <w:pStyle w:val="ReferHead"/>
        <w:spacing w:after="0"/>
        <w:jc w:val="both"/>
        <w:rPr>
          <w:rFonts w:ascii="Arial" w:hAnsi="Arial" w:cs="Arial"/>
          <w:bCs/>
        </w:rPr>
      </w:pPr>
      <w:r w:rsidRPr="005A09EB">
        <w:rPr>
          <w:rFonts w:ascii="Arial" w:hAnsi="Arial" w:cs="Arial"/>
          <w:bCs/>
        </w:rPr>
        <w:t>Ethical issues Disclaimer</w:t>
      </w:r>
    </w:p>
    <w:p w14:paraId="09B89AD0" w14:textId="3582D184" w:rsidR="005A09EB" w:rsidRDefault="005A09EB" w:rsidP="005A09EB">
      <w:pPr>
        <w:keepNext/>
        <w:keepLines/>
        <w:jc w:val="both"/>
        <w:outlineLvl w:val="1"/>
        <w:rPr>
          <w:rFonts w:ascii="Arial" w:hAnsi="Arial" w:cs="Arial"/>
          <w:lang w:val="en-IN"/>
        </w:rPr>
      </w:pPr>
      <w:r w:rsidRPr="005F00BE">
        <w:rPr>
          <w:rFonts w:ascii="Arial" w:hAnsi="Arial" w:cs="Arial"/>
          <w:lang w:val="en-IN"/>
        </w:rPr>
        <w:t xml:space="preserve">Author(s) hereby </w:t>
      </w:r>
      <w:proofErr w:type="gramStart"/>
      <w:r w:rsidRPr="005F00BE">
        <w:rPr>
          <w:rFonts w:ascii="Arial" w:hAnsi="Arial" w:cs="Arial"/>
          <w:lang w:val="en-IN"/>
        </w:rPr>
        <w:t>declare</w:t>
      </w:r>
      <w:proofErr w:type="gramEnd"/>
      <w:r w:rsidRPr="005F00BE">
        <w:rPr>
          <w:rFonts w:ascii="Arial" w:hAnsi="Arial" w:cs="Arial"/>
          <w:lang w:val="en-IN"/>
        </w:rPr>
        <w:t xml:space="preserve"> that NO </w:t>
      </w:r>
      <w:r>
        <w:rPr>
          <w:rFonts w:ascii="Arial" w:hAnsi="Arial" w:cs="Arial"/>
          <w:lang w:val="en-IN"/>
        </w:rPr>
        <w:t>ethical issues exist in the present study</w:t>
      </w:r>
      <w:r w:rsidR="00FD081F">
        <w:rPr>
          <w:rFonts w:ascii="Arial" w:hAnsi="Arial" w:cs="Arial"/>
          <w:lang w:val="en-IN"/>
        </w:rPr>
        <w:t>,</w:t>
      </w:r>
      <w:r>
        <w:rPr>
          <w:rFonts w:ascii="Arial" w:hAnsi="Arial" w:cs="Arial"/>
          <w:lang w:val="en-IN"/>
        </w:rPr>
        <w:t xml:space="preserve"> and hence no ethical permissions were required. </w:t>
      </w:r>
    </w:p>
    <w:bookmarkEnd w:id="0"/>
    <w:p w14:paraId="1316EF8C" w14:textId="77777777" w:rsidR="00B01FCD" w:rsidRDefault="00B01FCD" w:rsidP="00E1422E">
      <w:pPr>
        <w:pStyle w:val="ReferHead"/>
        <w:spacing w:before="240"/>
        <w:jc w:val="both"/>
        <w:rPr>
          <w:rFonts w:ascii="Arial" w:hAnsi="Arial" w:cs="Arial"/>
        </w:rPr>
      </w:pPr>
      <w:r w:rsidRPr="00FB3A86">
        <w:rPr>
          <w:rFonts w:ascii="Arial" w:hAnsi="Arial" w:cs="Arial"/>
        </w:rPr>
        <w:t>References</w:t>
      </w:r>
    </w:p>
    <w:p w14:paraId="499C2793" w14:textId="77777777" w:rsidR="00E1422E" w:rsidRDefault="00E1422E" w:rsidP="008C44D8">
      <w:pPr>
        <w:jc w:val="both"/>
        <w:rPr>
          <w:rFonts w:ascii="Arial" w:hAnsi="Arial" w:cs="Arial"/>
        </w:rPr>
      </w:pPr>
      <w:r w:rsidRPr="00C76DF8">
        <w:rPr>
          <w:rFonts w:ascii="Arial" w:hAnsi="Arial" w:cs="Arial"/>
        </w:rPr>
        <w:t>Abbiramy, K. S. K.</w:t>
      </w:r>
      <w:r w:rsidRPr="00C76DF8">
        <w:rPr>
          <w:rFonts w:ascii="Arial" w:hAnsi="Arial" w:cs="Arial"/>
        </w:rPr>
        <w:t xml:space="preserve">, </w:t>
      </w:r>
      <w:r w:rsidRPr="00C76DF8">
        <w:rPr>
          <w:rFonts w:ascii="Arial" w:hAnsi="Arial" w:cs="Arial"/>
        </w:rPr>
        <w:t>Ross, P. R.</w:t>
      </w:r>
      <w:r w:rsidRPr="00C76DF8">
        <w:rPr>
          <w:rFonts w:ascii="Arial" w:hAnsi="Arial" w:cs="Arial"/>
        </w:rPr>
        <w:t>,</w:t>
      </w:r>
      <w:r w:rsidRPr="00C76DF8">
        <w:t xml:space="preserve"> </w:t>
      </w:r>
      <w:proofErr w:type="spellStart"/>
      <w:r w:rsidRPr="00C76DF8">
        <w:rPr>
          <w:rFonts w:ascii="Arial" w:hAnsi="Arial" w:cs="Arial"/>
        </w:rPr>
        <w:t>Paramanandham</w:t>
      </w:r>
      <w:proofErr w:type="spellEnd"/>
      <w:r w:rsidRPr="00C76DF8">
        <w:rPr>
          <w:rFonts w:ascii="Arial" w:hAnsi="Arial" w:cs="Arial"/>
        </w:rPr>
        <w:t>, J. P.</w:t>
      </w:r>
      <w:r w:rsidRPr="00C76DF8">
        <w:rPr>
          <w:rFonts w:ascii="Arial" w:hAnsi="Arial" w:cs="Arial"/>
        </w:rPr>
        <w:t xml:space="preserve"> (2013). Assessment of acute toxicity of superphosphate to </w:t>
      </w:r>
      <w:r w:rsidRPr="00C76DF8">
        <w:rPr>
          <w:rFonts w:ascii="Arial" w:hAnsi="Arial" w:cs="Arial"/>
          <w:i/>
          <w:iCs/>
        </w:rPr>
        <w:t>Eisenia fetida</w:t>
      </w:r>
      <w:r w:rsidRPr="00C76DF8">
        <w:rPr>
          <w:rFonts w:ascii="Arial" w:hAnsi="Arial" w:cs="Arial"/>
        </w:rPr>
        <w:t xml:space="preserve"> using paper contact method. </w:t>
      </w:r>
      <w:r w:rsidRPr="00C76DF8">
        <w:rPr>
          <w:rFonts w:ascii="Arial" w:hAnsi="Arial" w:cs="Arial"/>
          <w:i/>
          <w:iCs/>
        </w:rPr>
        <w:t>Asian Journal of Plant Science and Research</w:t>
      </w:r>
      <w:r w:rsidRPr="00C76DF8">
        <w:rPr>
          <w:rFonts w:ascii="Arial" w:hAnsi="Arial" w:cs="Arial"/>
        </w:rPr>
        <w:t>, 3(2), 112-115.</w:t>
      </w:r>
      <w:r w:rsidRPr="004F2B36">
        <w:rPr>
          <w:rFonts w:ascii="Arial" w:hAnsi="Arial" w:cs="Arial"/>
        </w:rPr>
        <w:t xml:space="preserve"> </w:t>
      </w:r>
    </w:p>
    <w:p w14:paraId="4E913671" w14:textId="77777777" w:rsidR="00E1422E" w:rsidRPr="004F2B36" w:rsidRDefault="00E1422E" w:rsidP="008C44D8">
      <w:pPr>
        <w:jc w:val="both"/>
        <w:rPr>
          <w:rFonts w:ascii="Arial" w:hAnsi="Arial" w:cs="Arial"/>
        </w:rPr>
      </w:pPr>
    </w:p>
    <w:p w14:paraId="06A6FDDC" w14:textId="77777777" w:rsidR="00E1422E" w:rsidRDefault="00E1422E" w:rsidP="00202DC5">
      <w:pPr>
        <w:jc w:val="both"/>
        <w:rPr>
          <w:rFonts w:ascii="Arial" w:hAnsi="Arial" w:cs="Arial"/>
        </w:rPr>
      </w:pPr>
      <w:r w:rsidRPr="00EA3670">
        <w:rPr>
          <w:rFonts w:ascii="Arial" w:hAnsi="Arial" w:cs="Arial"/>
        </w:rPr>
        <w:t>Adnan, N. W., &amp; Farman, K. S. (2025, April). Evaluating the toxicity of NPK fertilizer on earthworm species: Lethal concentrations and biological impact. In </w:t>
      </w:r>
      <w:r w:rsidRPr="00EA3670">
        <w:rPr>
          <w:rFonts w:ascii="Arial" w:hAnsi="Arial" w:cs="Arial"/>
          <w:i/>
          <w:iCs/>
        </w:rPr>
        <w:t>IOP Conference Series: Earth and Environmental Science</w:t>
      </w:r>
      <w:r w:rsidRPr="00EA3670">
        <w:rPr>
          <w:rFonts w:ascii="Arial" w:hAnsi="Arial" w:cs="Arial"/>
        </w:rPr>
        <w:t> (Vol. 1487, No. 1, p. 012005). IOP Publishing.</w:t>
      </w:r>
    </w:p>
    <w:p w14:paraId="0E729770" w14:textId="77777777" w:rsidR="00E1422E" w:rsidRPr="004F2B36" w:rsidRDefault="00E1422E" w:rsidP="00202DC5">
      <w:pPr>
        <w:jc w:val="both"/>
        <w:rPr>
          <w:rFonts w:ascii="Arial" w:hAnsi="Arial" w:cs="Arial"/>
        </w:rPr>
      </w:pPr>
    </w:p>
    <w:p w14:paraId="4F659106" w14:textId="77777777" w:rsidR="00E1422E" w:rsidRDefault="00E1422E" w:rsidP="00E26C6C">
      <w:pPr>
        <w:jc w:val="both"/>
        <w:rPr>
          <w:rFonts w:ascii="Arial" w:hAnsi="Arial" w:cs="Arial"/>
        </w:rPr>
      </w:pPr>
      <w:r w:rsidRPr="004F2B36">
        <w:rPr>
          <w:rFonts w:ascii="Arial" w:hAnsi="Arial" w:cs="Arial"/>
        </w:rPr>
        <w:t xml:space="preserve">Ahmad, A., Aslam, Z., Bellitürk, K., Iqbal, N., Naeem, S., Idrees, M. et al. (2021). Vermicomposting methods from different wastes: An environment-friendly, economically viable and socially acceptable approach for crop nutrition. </w:t>
      </w:r>
      <w:r w:rsidRPr="00F84B1D">
        <w:rPr>
          <w:rFonts w:ascii="Arial" w:hAnsi="Arial" w:cs="Arial"/>
          <w:i/>
          <w:iCs/>
        </w:rPr>
        <w:t>International Journal of Food Science and Agriculture</w:t>
      </w:r>
      <w:r w:rsidRPr="004F2B36">
        <w:rPr>
          <w:rFonts w:ascii="Arial" w:hAnsi="Arial" w:cs="Arial"/>
        </w:rPr>
        <w:t>,</w:t>
      </w:r>
      <w:r w:rsidRPr="004F2B36">
        <w:rPr>
          <w:rFonts w:ascii="Arial" w:hAnsi="Arial" w:cs="Arial"/>
          <w:i/>
          <w:iCs/>
        </w:rPr>
        <w:t xml:space="preserve"> </w:t>
      </w:r>
      <w:r w:rsidRPr="004F2B36">
        <w:rPr>
          <w:rFonts w:ascii="Arial" w:hAnsi="Arial" w:cs="Arial"/>
        </w:rPr>
        <w:t>5(1), 58–68.</w:t>
      </w:r>
    </w:p>
    <w:p w14:paraId="6E1809C6" w14:textId="77777777" w:rsidR="00E1422E" w:rsidRPr="004F2B36" w:rsidRDefault="00E1422E" w:rsidP="00E26C6C">
      <w:pPr>
        <w:jc w:val="both"/>
        <w:rPr>
          <w:rFonts w:ascii="Arial" w:hAnsi="Arial" w:cs="Arial"/>
        </w:rPr>
      </w:pPr>
    </w:p>
    <w:p w14:paraId="0679848D" w14:textId="77777777" w:rsidR="00E1422E" w:rsidRDefault="00E1422E" w:rsidP="004C6257">
      <w:pPr>
        <w:jc w:val="both"/>
        <w:rPr>
          <w:rFonts w:ascii="Arial" w:hAnsi="Arial" w:cs="Arial"/>
        </w:rPr>
      </w:pPr>
      <w:r w:rsidRPr="004F2B36">
        <w:rPr>
          <w:rFonts w:ascii="Arial" w:hAnsi="Arial" w:cs="Arial"/>
        </w:rPr>
        <w:t>Aslam, Z., Ahmad, A., Idrees, I., Iqbal, I., Akbar, G., Ali, U. et al. (2020). Comparative analysis of nutritional sources on the morpho-physiological characteristics of mung bean (</w:t>
      </w:r>
      <w:r w:rsidRPr="004F2B36">
        <w:rPr>
          <w:rFonts w:ascii="Arial" w:hAnsi="Arial" w:cs="Arial"/>
          <w:i/>
          <w:iCs/>
        </w:rPr>
        <w:t>Vigna radiata</w:t>
      </w:r>
      <w:r w:rsidRPr="004F2B36">
        <w:rPr>
          <w:rFonts w:ascii="Arial" w:hAnsi="Arial" w:cs="Arial"/>
        </w:rPr>
        <w:t xml:space="preserve">). </w:t>
      </w:r>
      <w:r w:rsidRPr="00F84B1D">
        <w:rPr>
          <w:rFonts w:ascii="Arial" w:hAnsi="Arial" w:cs="Arial"/>
          <w:i/>
          <w:iCs/>
        </w:rPr>
        <w:t>International Journal of Food Science and Agriculture</w:t>
      </w:r>
      <w:r w:rsidRPr="004F2B36">
        <w:rPr>
          <w:rFonts w:ascii="Arial" w:hAnsi="Arial" w:cs="Arial"/>
        </w:rPr>
        <w:t>, 4(3), 314–322.</w:t>
      </w:r>
    </w:p>
    <w:p w14:paraId="348A8384" w14:textId="77777777" w:rsidR="00E1422E" w:rsidRPr="004F2B36" w:rsidRDefault="00E1422E" w:rsidP="004C6257">
      <w:pPr>
        <w:jc w:val="both"/>
        <w:rPr>
          <w:rFonts w:ascii="Arial" w:hAnsi="Arial" w:cs="Arial"/>
        </w:rPr>
      </w:pPr>
    </w:p>
    <w:p w14:paraId="7EDEC1E0" w14:textId="77777777" w:rsidR="00E1422E" w:rsidRDefault="00E1422E" w:rsidP="00E26C6C">
      <w:pPr>
        <w:jc w:val="both"/>
        <w:rPr>
          <w:rFonts w:ascii="Arial" w:hAnsi="Arial" w:cs="Arial"/>
        </w:rPr>
      </w:pPr>
      <w:r w:rsidRPr="004F2B36">
        <w:rPr>
          <w:rFonts w:ascii="Arial" w:hAnsi="Arial" w:cs="Arial"/>
        </w:rPr>
        <w:t xml:space="preserve">Bhattacharya, A., &amp; Sahu, S. K. (2015). Toxic effect of superphosphate on soil ecosystem using earthworm </w:t>
      </w:r>
      <w:r w:rsidRPr="004F2B36">
        <w:rPr>
          <w:rFonts w:ascii="Arial" w:hAnsi="Arial" w:cs="Arial"/>
          <w:i/>
          <w:iCs/>
        </w:rPr>
        <w:t>Drawida willsi</w:t>
      </w:r>
      <w:r w:rsidRPr="004F2B36">
        <w:rPr>
          <w:rFonts w:ascii="Arial" w:hAnsi="Arial" w:cs="Arial"/>
        </w:rPr>
        <w:t xml:space="preserve"> as test specimen. </w:t>
      </w:r>
      <w:r w:rsidRPr="00F84B1D">
        <w:rPr>
          <w:rFonts w:ascii="Arial" w:hAnsi="Arial" w:cs="Arial"/>
          <w:i/>
          <w:iCs/>
        </w:rPr>
        <w:t>Journal of Biodiversity and Environmental Sciences</w:t>
      </w:r>
      <w:r w:rsidRPr="004F2B36">
        <w:rPr>
          <w:rFonts w:ascii="Arial" w:hAnsi="Arial" w:cs="Arial"/>
        </w:rPr>
        <w:t>, 6(4), 220–226.</w:t>
      </w:r>
    </w:p>
    <w:p w14:paraId="0B69D7B1" w14:textId="77777777" w:rsidR="00E1422E" w:rsidRPr="004F2B36" w:rsidRDefault="00E1422E" w:rsidP="00E26C6C">
      <w:pPr>
        <w:jc w:val="both"/>
        <w:rPr>
          <w:rFonts w:ascii="Arial" w:hAnsi="Arial" w:cs="Arial"/>
        </w:rPr>
      </w:pPr>
    </w:p>
    <w:p w14:paraId="42C0B878" w14:textId="77777777" w:rsidR="00E1422E" w:rsidRDefault="00E1422E" w:rsidP="00E26C6C">
      <w:pPr>
        <w:jc w:val="both"/>
        <w:rPr>
          <w:rFonts w:ascii="Arial" w:hAnsi="Arial" w:cs="Arial"/>
        </w:rPr>
      </w:pPr>
      <w:r w:rsidRPr="004F2B36">
        <w:rPr>
          <w:rFonts w:ascii="Arial" w:hAnsi="Arial" w:cs="Arial"/>
        </w:rPr>
        <w:t>Cai, S., Wang, J., Lv, W., Xu, S., &amp; Zhu, H. (2020). Nitrogen fertilization alters the effects of earthworms on soil physicochemical properties and bacterial community structure. </w:t>
      </w:r>
      <w:r w:rsidRPr="004F2B36">
        <w:rPr>
          <w:rFonts w:ascii="Arial" w:hAnsi="Arial" w:cs="Arial"/>
          <w:i/>
          <w:iCs/>
        </w:rPr>
        <w:t>Applied Soil Ecology</w:t>
      </w:r>
      <w:r w:rsidRPr="004F2B36">
        <w:rPr>
          <w:rFonts w:ascii="Arial" w:hAnsi="Arial" w:cs="Arial"/>
        </w:rPr>
        <w:t>, </w:t>
      </w:r>
      <w:r w:rsidRPr="004F2B36">
        <w:rPr>
          <w:rFonts w:ascii="Arial" w:hAnsi="Arial" w:cs="Arial"/>
          <w:i/>
          <w:iCs/>
        </w:rPr>
        <w:t>150</w:t>
      </w:r>
      <w:r w:rsidRPr="004F2B36">
        <w:rPr>
          <w:rFonts w:ascii="Arial" w:hAnsi="Arial" w:cs="Arial"/>
        </w:rPr>
        <w:t>, 103478.</w:t>
      </w:r>
    </w:p>
    <w:p w14:paraId="5052E9D5" w14:textId="77777777" w:rsidR="00E1422E" w:rsidRPr="004F2B36" w:rsidRDefault="00E1422E" w:rsidP="00E26C6C">
      <w:pPr>
        <w:jc w:val="both"/>
        <w:rPr>
          <w:rFonts w:ascii="Arial" w:hAnsi="Arial" w:cs="Arial"/>
        </w:rPr>
      </w:pPr>
    </w:p>
    <w:p w14:paraId="7671A470" w14:textId="77777777" w:rsidR="00E1422E" w:rsidRDefault="00E1422E" w:rsidP="00E26C6C">
      <w:pPr>
        <w:jc w:val="both"/>
        <w:rPr>
          <w:rFonts w:ascii="Arial" w:hAnsi="Arial" w:cs="Arial"/>
        </w:rPr>
      </w:pPr>
      <w:r w:rsidRPr="0001020A">
        <w:rPr>
          <w:rFonts w:ascii="Arial" w:hAnsi="Arial" w:cs="Arial"/>
        </w:rPr>
        <w:t xml:space="preserve">Edwards, C. A., Bohlen, P. J., Hendrix, P., &amp; </w:t>
      </w:r>
      <w:proofErr w:type="spellStart"/>
      <w:r w:rsidRPr="0001020A">
        <w:rPr>
          <w:rFonts w:ascii="Arial" w:hAnsi="Arial" w:cs="Arial"/>
        </w:rPr>
        <w:t>Arancon</w:t>
      </w:r>
      <w:proofErr w:type="spellEnd"/>
      <w:r w:rsidRPr="0001020A">
        <w:rPr>
          <w:rFonts w:ascii="Arial" w:hAnsi="Arial" w:cs="Arial"/>
        </w:rPr>
        <w:t>, N. (1996). </w:t>
      </w:r>
      <w:r w:rsidRPr="0001020A">
        <w:rPr>
          <w:rFonts w:ascii="Arial" w:hAnsi="Arial" w:cs="Arial"/>
          <w:i/>
          <w:iCs/>
        </w:rPr>
        <w:t>Biology and ecology of earthworms</w:t>
      </w:r>
      <w:r w:rsidRPr="0001020A">
        <w:rPr>
          <w:rFonts w:ascii="Arial" w:hAnsi="Arial" w:cs="Arial"/>
        </w:rPr>
        <w:t> (Vol. 3). London: Chapman &amp; Hall.</w:t>
      </w:r>
    </w:p>
    <w:p w14:paraId="3D7B3A9A" w14:textId="77777777" w:rsidR="00E1422E" w:rsidRDefault="00E1422E" w:rsidP="00E26C6C">
      <w:pPr>
        <w:jc w:val="both"/>
        <w:rPr>
          <w:rFonts w:ascii="Arial" w:hAnsi="Arial" w:cs="Arial"/>
        </w:rPr>
      </w:pPr>
    </w:p>
    <w:p w14:paraId="00BE5C85" w14:textId="77777777" w:rsidR="00E1422E" w:rsidRDefault="00E1422E" w:rsidP="00202DC5">
      <w:pPr>
        <w:jc w:val="both"/>
        <w:rPr>
          <w:rFonts w:ascii="Arial" w:hAnsi="Arial" w:cs="Arial"/>
        </w:rPr>
      </w:pPr>
      <w:r w:rsidRPr="004F2B36">
        <w:rPr>
          <w:rFonts w:ascii="Arial" w:hAnsi="Arial" w:cs="Arial"/>
        </w:rPr>
        <w:t>Gao, F., Ye, L., Mu, X., Xu, L., Shi, Z., &amp; Luo, Y. (2023). Synergistic effects of earthworms and cow manure under reduced chemical fertilization modified microbial community structure to mitigate continuous cropping effects on Chinese flowering cabbage. </w:t>
      </w:r>
      <w:r w:rsidRPr="004F2B36">
        <w:rPr>
          <w:rFonts w:ascii="Arial" w:hAnsi="Arial" w:cs="Arial"/>
          <w:i/>
          <w:iCs/>
        </w:rPr>
        <w:t>Frontiers in Microbiology</w:t>
      </w:r>
      <w:r w:rsidRPr="004F2B36">
        <w:rPr>
          <w:rFonts w:ascii="Arial" w:hAnsi="Arial" w:cs="Arial"/>
        </w:rPr>
        <w:t>, </w:t>
      </w:r>
      <w:r w:rsidRPr="004F2B36">
        <w:rPr>
          <w:rFonts w:ascii="Arial" w:hAnsi="Arial" w:cs="Arial"/>
          <w:i/>
          <w:iCs/>
        </w:rPr>
        <w:t>14</w:t>
      </w:r>
      <w:r w:rsidRPr="004F2B36">
        <w:rPr>
          <w:rFonts w:ascii="Arial" w:hAnsi="Arial" w:cs="Arial"/>
        </w:rPr>
        <w:t>, 1285464.</w:t>
      </w:r>
    </w:p>
    <w:p w14:paraId="52C1CAA3" w14:textId="77777777" w:rsidR="00E1422E" w:rsidRDefault="00E1422E" w:rsidP="00202DC5">
      <w:pPr>
        <w:jc w:val="both"/>
        <w:rPr>
          <w:rFonts w:ascii="Arial" w:hAnsi="Arial" w:cs="Arial"/>
        </w:rPr>
      </w:pPr>
    </w:p>
    <w:p w14:paraId="21F0094C" w14:textId="77777777" w:rsidR="00E1422E" w:rsidRDefault="00E1422E" w:rsidP="003535E5">
      <w:pPr>
        <w:jc w:val="both"/>
        <w:rPr>
          <w:rFonts w:ascii="Arial" w:hAnsi="Arial" w:cs="Arial"/>
        </w:rPr>
      </w:pPr>
      <w:r w:rsidRPr="004F2B36">
        <w:rPr>
          <w:rFonts w:ascii="Arial" w:hAnsi="Arial" w:cs="Arial"/>
        </w:rPr>
        <w:t>Kulkarni, B. S., Nalawadi, U. G., &amp; Giraddi, R. S. (1996). Effect of vermicompost and vermiculture on growth and yield of China aster (</w:t>
      </w:r>
      <w:r w:rsidRPr="004F2B36">
        <w:rPr>
          <w:rFonts w:ascii="Arial" w:hAnsi="Arial" w:cs="Arial"/>
          <w:i/>
          <w:iCs/>
        </w:rPr>
        <w:t>Callistephus chinensis</w:t>
      </w:r>
      <w:r w:rsidRPr="004F2B36">
        <w:rPr>
          <w:rFonts w:ascii="Arial" w:hAnsi="Arial" w:cs="Arial"/>
        </w:rPr>
        <w:t xml:space="preserve"> Nees.). </w:t>
      </w:r>
      <w:r w:rsidRPr="00F84B1D">
        <w:rPr>
          <w:rFonts w:ascii="Arial" w:hAnsi="Arial" w:cs="Arial"/>
          <w:i/>
          <w:iCs/>
        </w:rPr>
        <w:t>Journal of Horticultural Science</w:t>
      </w:r>
      <w:r w:rsidRPr="004F2B36">
        <w:rPr>
          <w:rFonts w:ascii="Arial" w:hAnsi="Arial" w:cs="Arial"/>
        </w:rPr>
        <w:t>, 25, 341–343.</w:t>
      </w:r>
    </w:p>
    <w:p w14:paraId="451F30B8" w14:textId="77777777" w:rsidR="00E1422E" w:rsidRPr="004F2B36" w:rsidRDefault="00E1422E" w:rsidP="003535E5">
      <w:pPr>
        <w:jc w:val="both"/>
        <w:rPr>
          <w:rFonts w:ascii="Arial" w:hAnsi="Arial" w:cs="Arial"/>
        </w:rPr>
      </w:pPr>
    </w:p>
    <w:p w14:paraId="10A17E2F" w14:textId="77777777" w:rsidR="00E1422E" w:rsidRDefault="00E1422E" w:rsidP="00E26C6C">
      <w:pPr>
        <w:jc w:val="both"/>
        <w:rPr>
          <w:rFonts w:ascii="Arial" w:hAnsi="Arial" w:cs="Arial"/>
        </w:rPr>
      </w:pPr>
      <w:r w:rsidRPr="004F2B36">
        <w:rPr>
          <w:rFonts w:ascii="Arial" w:hAnsi="Arial" w:cs="Arial"/>
        </w:rPr>
        <w:lastRenderedPageBreak/>
        <w:t xml:space="preserve">Lavelle, P., Decaëns, T., Aubert, M., Barot, S., Blouin, M., Bureau, F. et al. (2006). Soil invertebrates and ecosystem services. </w:t>
      </w:r>
      <w:r w:rsidRPr="00F84B1D">
        <w:rPr>
          <w:rFonts w:ascii="Arial" w:hAnsi="Arial" w:cs="Arial"/>
          <w:i/>
          <w:iCs/>
        </w:rPr>
        <w:t>European Journal of Soil Biology</w:t>
      </w:r>
      <w:r w:rsidRPr="004F2B36">
        <w:rPr>
          <w:rFonts w:ascii="Arial" w:hAnsi="Arial" w:cs="Arial"/>
        </w:rPr>
        <w:t xml:space="preserve">, 42, S3–S15. </w:t>
      </w:r>
    </w:p>
    <w:p w14:paraId="16016948" w14:textId="77777777" w:rsidR="00E1422E" w:rsidRPr="004F2B36" w:rsidRDefault="00E1422E" w:rsidP="00E26C6C">
      <w:pPr>
        <w:jc w:val="both"/>
      </w:pPr>
    </w:p>
    <w:p w14:paraId="3669BE6C" w14:textId="77777777" w:rsidR="00E1422E" w:rsidRDefault="00E1422E" w:rsidP="003535E5">
      <w:pPr>
        <w:jc w:val="both"/>
        <w:rPr>
          <w:rFonts w:ascii="Arial" w:hAnsi="Arial" w:cs="Arial"/>
        </w:rPr>
      </w:pPr>
      <w:r w:rsidRPr="004F2B36">
        <w:rPr>
          <w:rFonts w:ascii="Arial" w:hAnsi="Arial" w:cs="Arial"/>
        </w:rPr>
        <w:t xml:space="preserve">Liang, W., Beattie, G. A. C., Meats, A., &amp; Spooner-Hart, R. (2007). Impact on soil-dwelling arthropods in citrus orchards of spraying horticultural mineral oil, carbaryl or methidathion. </w:t>
      </w:r>
      <w:r w:rsidRPr="00F84B1D">
        <w:rPr>
          <w:rFonts w:ascii="Arial" w:hAnsi="Arial" w:cs="Arial"/>
          <w:i/>
          <w:iCs/>
        </w:rPr>
        <w:t>Australian Journal of Entomology</w:t>
      </w:r>
      <w:r w:rsidRPr="004F2B36">
        <w:rPr>
          <w:rFonts w:ascii="Arial" w:hAnsi="Arial" w:cs="Arial"/>
        </w:rPr>
        <w:t xml:space="preserve">, 46(1), 79–85. </w:t>
      </w:r>
    </w:p>
    <w:p w14:paraId="4E1ED604" w14:textId="77777777" w:rsidR="00E1422E" w:rsidRDefault="00E1422E" w:rsidP="003535E5">
      <w:pPr>
        <w:jc w:val="both"/>
      </w:pPr>
    </w:p>
    <w:p w14:paraId="28CB888D" w14:textId="1A1518EB" w:rsidR="00E1422E" w:rsidRDefault="00E1422E" w:rsidP="003535E5">
      <w:pPr>
        <w:jc w:val="both"/>
        <w:rPr>
          <w:rFonts w:ascii="Arial" w:hAnsi="Arial" w:cs="Arial"/>
        </w:rPr>
      </w:pPr>
      <w:proofErr w:type="spellStart"/>
      <w:r w:rsidRPr="004F2B36">
        <w:rPr>
          <w:rFonts w:ascii="Arial" w:hAnsi="Arial" w:cs="Arial"/>
        </w:rPr>
        <w:t>Lofs-Holmin</w:t>
      </w:r>
      <w:proofErr w:type="spellEnd"/>
      <w:r w:rsidRPr="004F2B36">
        <w:rPr>
          <w:rFonts w:ascii="Arial" w:hAnsi="Arial" w:cs="Arial"/>
        </w:rPr>
        <w:t>, A. (1983). Influence of agricultural practices on earthworms (</w:t>
      </w:r>
      <w:r w:rsidRPr="004F2B36">
        <w:rPr>
          <w:rFonts w:ascii="Arial" w:hAnsi="Arial" w:cs="Arial"/>
          <w:i/>
          <w:iCs/>
        </w:rPr>
        <w:t>Lumbricidae</w:t>
      </w:r>
      <w:r w:rsidRPr="004F2B36">
        <w:rPr>
          <w:rFonts w:ascii="Arial" w:hAnsi="Arial" w:cs="Arial"/>
        </w:rPr>
        <w:t xml:space="preserve">). </w:t>
      </w:r>
      <w:r w:rsidRPr="00F84B1D">
        <w:rPr>
          <w:rFonts w:ascii="Arial" w:hAnsi="Arial" w:cs="Arial"/>
          <w:i/>
          <w:iCs/>
        </w:rPr>
        <w:t>Acta Agriculturae Scandinavica</w:t>
      </w:r>
      <w:r w:rsidRPr="004F2B36">
        <w:rPr>
          <w:rFonts w:ascii="Arial" w:hAnsi="Arial" w:cs="Arial"/>
        </w:rPr>
        <w:t xml:space="preserve">, 33(3), 225–234. </w:t>
      </w:r>
    </w:p>
    <w:p w14:paraId="33ED28A6" w14:textId="77777777" w:rsidR="00E1422E" w:rsidRPr="004F2B36" w:rsidRDefault="00E1422E" w:rsidP="003535E5">
      <w:pPr>
        <w:jc w:val="both"/>
        <w:rPr>
          <w:rFonts w:ascii="Arial" w:hAnsi="Arial" w:cs="Arial"/>
        </w:rPr>
      </w:pPr>
    </w:p>
    <w:p w14:paraId="23424282" w14:textId="77777777" w:rsidR="00E1422E" w:rsidRDefault="00E1422E" w:rsidP="00202DC5">
      <w:pPr>
        <w:jc w:val="both"/>
        <w:rPr>
          <w:rFonts w:ascii="Arial" w:hAnsi="Arial" w:cs="Arial"/>
        </w:rPr>
      </w:pPr>
      <w:r w:rsidRPr="004F2B36">
        <w:rPr>
          <w:rFonts w:ascii="Arial" w:hAnsi="Arial" w:cs="Arial"/>
        </w:rPr>
        <w:t>Long, W., Ansari, A., &amp; Seecharran, D. (2017). The effect of urea on epigeic earthworm species (</w:t>
      </w:r>
      <w:r w:rsidRPr="004F2B36">
        <w:rPr>
          <w:rFonts w:ascii="Arial" w:hAnsi="Arial" w:cs="Arial"/>
          <w:i/>
          <w:iCs/>
        </w:rPr>
        <w:t>Eisenia fetida</w:t>
      </w:r>
      <w:r w:rsidRPr="004F2B36">
        <w:rPr>
          <w:rFonts w:ascii="Arial" w:hAnsi="Arial" w:cs="Arial"/>
        </w:rPr>
        <w:t>). Cell Biology and Development, 1(2), 46–50.</w:t>
      </w:r>
    </w:p>
    <w:p w14:paraId="45057847" w14:textId="77777777" w:rsidR="00E1422E" w:rsidRPr="004F2B36" w:rsidRDefault="00E1422E" w:rsidP="00202DC5">
      <w:pPr>
        <w:jc w:val="both"/>
        <w:rPr>
          <w:rFonts w:ascii="Arial" w:hAnsi="Arial" w:cs="Arial"/>
        </w:rPr>
      </w:pPr>
    </w:p>
    <w:p w14:paraId="3FFE36AD" w14:textId="77777777" w:rsidR="00E1422E" w:rsidRDefault="00E1422E" w:rsidP="00202DC5">
      <w:pPr>
        <w:jc w:val="both"/>
        <w:rPr>
          <w:rFonts w:ascii="Arial" w:hAnsi="Arial" w:cs="Arial"/>
        </w:rPr>
      </w:pPr>
      <w:r w:rsidRPr="004F2B36">
        <w:rPr>
          <w:rFonts w:ascii="Arial" w:hAnsi="Arial" w:cs="Arial"/>
        </w:rPr>
        <w:t xml:space="preserve">Ma, W. C., Brussaard, L., &amp; De Ridder, J. A. (1990). Long-term effects of nitrogenous fertilizers on grassland earthworms (Oligochaeta: </w:t>
      </w:r>
      <w:proofErr w:type="spellStart"/>
      <w:r w:rsidRPr="004F2B36">
        <w:rPr>
          <w:rFonts w:ascii="Arial" w:hAnsi="Arial" w:cs="Arial"/>
        </w:rPr>
        <w:t>Lumbricidae</w:t>
      </w:r>
      <w:proofErr w:type="spellEnd"/>
      <w:r w:rsidRPr="004F2B36">
        <w:rPr>
          <w:rFonts w:ascii="Arial" w:hAnsi="Arial" w:cs="Arial"/>
        </w:rPr>
        <w:t>): their relation to soil acidification. </w:t>
      </w:r>
      <w:r w:rsidRPr="004F2B36">
        <w:rPr>
          <w:rFonts w:ascii="Arial" w:hAnsi="Arial" w:cs="Arial"/>
          <w:i/>
          <w:iCs/>
        </w:rPr>
        <w:t>Agriculture, ecosystems &amp; environment</w:t>
      </w:r>
      <w:r w:rsidRPr="004F2B36">
        <w:rPr>
          <w:rFonts w:ascii="Arial" w:hAnsi="Arial" w:cs="Arial"/>
        </w:rPr>
        <w:t>, </w:t>
      </w:r>
      <w:r w:rsidRPr="004F2B36">
        <w:rPr>
          <w:rFonts w:ascii="Arial" w:hAnsi="Arial" w:cs="Arial"/>
          <w:i/>
          <w:iCs/>
        </w:rPr>
        <w:t>30</w:t>
      </w:r>
      <w:r w:rsidRPr="004F2B36">
        <w:rPr>
          <w:rFonts w:ascii="Arial" w:hAnsi="Arial" w:cs="Arial"/>
        </w:rPr>
        <w:t>(1-2), 71-80.</w:t>
      </w:r>
    </w:p>
    <w:p w14:paraId="31DC9C80" w14:textId="77777777" w:rsidR="00E1422E" w:rsidRDefault="00E1422E" w:rsidP="00202DC5">
      <w:pPr>
        <w:jc w:val="both"/>
        <w:rPr>
          <w:rFonts w:ascii="Arial" w:hAnsi="Arial" w:cs="Arial"/>
        </w:rPr>
      </w:pPr>
    </w:p>
    <w:p w14:paraId="16846AF2" w14:textId="77777777" w:rsidR="00E1422E" w:rsidRDefault="00E1422E" w:rsidP="00E26C6C">
      <w:pPr>
        <w:jc w:val="both"/>
        <w:rPr>
          <w:rFonts w:ascii="Arial" w:hAnsi="Arial" w:cs="Arial"/>
        </w:rPr>
      </w:pPr>
      <w:proofErr w:type="spellStart"/>
      <w:r w:rsidRPr="004F2B36">
        <w:rPr>
          <w:rFonts w:ascii="Arial" w:hAnsi="Arial" w:cs="Arial"/>
        </w:rPr>
        <w:t>Munnoli</w:t>
      </w:r>
      <w:proofErr w:type="spellEnd"/>
      <w:r w:rsidRPr="004F2B36">
        <w:rPr>
          <w:rFonts w:ascii="Arial" w:hAnsi="Arial" w:cs="Arial"/>
        </w:rPr>
        <w:t>, P. M., Da Silva, J. A. T., &amp; Saroj, B. (2010). Dynamics of the soil-earthworm-plant relationship: A review</w:t>
      </w:r>
      <w:r w:rsidRPr="00F84B1D">
        <w:rPr>
          <w:rFonts w:ascii="Arial" w:hAnsi="Arial" w:cs="Arial"/>
          <w:i/>
          <w:iCs/>
        </w:rPr>
        <w:t>. Dynamic Soil, Dynamic Plant</w:t>
      </w:r>
      <w:r w:rsidRPr="004F2B36">
        <w:rPr>
          <w:rFonts w:ascii="Arial" w:hAnsi="Arial" w:cs="Arial"/>
          <w:i/>
          <w:iCs/>
        </w:rPr>
        <w:t>, 4</w:t>
      </w:r>
      <w:r w:rsidRPr="004F2B36">
        <w:rPr>
          <w:rFonts w:ascii="Arial" w:hAnsi="Arial" w:cs="Arial"/>
        </w:rPr>
        <w:t>(1), 1–21.</w:t>
      </w:r>
    </w:p>
    <w:p w14:paraId="1D35E2F9" w14:textId="77777777" w:rsidR="00E1422E" w:rsidRPr="004F2B36" w:rsidRDefault="00E1422E" w:rsidP="00E26C6C">
      <w:pPr>
        <w:jc w:val="both"/>
        <w:rPr>
          <w:rFonts w:ascii="Arial" w:hAnsi="Arial" w:cs="Arial"/>
        </w:rPr>
      </w:pPr>
    </w:p>
    <w:p w14:paraId="71078AD8" w14:textId="77777777" w:rsidR="00E1422E" w:rsidRDefault="00E1422E" w:rsidP="00E26C6C">
      <w:pPr>
        <w:jc w:val="both"/>
        <w:rPr>
          <w:rFonts w:ascii="Arial" w:hAnsi="Arial" w:cs="Arial"/>
        </w:rPr>
      </w:pPr>
      <w:r w:rsidRPr="004F2B36">
        <w:rPr>
          <w:rFonts w:ascii="Arial" w:hAnsi="Arial" w:cs="Arial"/>
        </w:rPr>
        <w:t>Naveed, M., Moldrup, P., Vogel, H. J., Lamandé, M., Wildenschild, D., Tuller, M., &amp; de Jonge, L. W. (2014). Impact of long-term fertilization practice on soil structure evolution. </w:t>
      </w:r>
      <w:proofErr w:type="spellStart"/>
      <w:r w:rsidRPr="004F2B36">
        <w:rPr>
          <w:rFonts w:ascii="Arial" w:hAnsi="Arial" w:cs="Arial"/>
          <w:i/>
          <w:iCs/>
        </w:rPr>
        <w:t>Geoderma</w:t>
      </w:r>
      <w:proofErr w:type="spellEnd"/>
      <w:r w:rsidRPr="004F2B36">
        <w:rPr>
          <w:rFonts w:ascii="Arial" w:hAnsi="Arial" w:cs="Arial"/>
        </w:rPr>
        <w:t>, </w:t>
      </w:r>
      <w:r w:rsidRPr="004F2B36">
        <w:rPr>
          <w:rFonts w:ascii="Arial" w:hAnsi="Arial" w:cs="Arial"/>
          <w:i/>
          <w:iCs/>
        </w:rPr>
        <w:t>217</w:t>
      </w:r>
      <w:r w:rsidRPr="004F2B36">
        <w:rPr>
          <w:rFonts w:ascii="Arial" w:hAnsi="Arial" w:cs="Arial"/>
        </w:rPr>
        <w:t>, 181-189.</w:t>
      </w:r>
    </w:p>
    <w:p w14:paraId="41A50114" w14:textId="77777777" w:rsidR="00E1422E" w:rsidRPr="004F2B36" w:rsidRDefault="00E1422E" w:rsidP="00E26C6C">
      <w:pPr>
        <w:jc w:val="both"/>
        <w:rPr>
          <w:rFonts w:ascii="Arial" w:hAnsi="Arial" w:cs="Arial"/>
        </w:rPr>
      </w:pPr>
    </w:p>
    <w:p w14:paraId="496684DE" w14:textId="77777777" w:rsidR="00E1422E" w:rsidRDefault="00E1422E" w:rsidP="00202DC5">
      <w:pPr>
        <w:jc w:val="both"/>
        <w:rPr>
          <w:rFonts w:ascii="Arial" w:hAnsi="Arial" w:cs="Arial"/>
        </w:rPr>
      </w:pPr>
      <w:r w:rsidRPr="004F2B36">
        <w:rPr>
          <w:rFonts w:ascii="Arial" w:hAnsi="Arial" w:cs="Arial"/>
        </w:rPr>
        <w:t>Passi, M., Shukla, V., &amp; Deswal, P. (2021). Effect of chemical and bio-fertilizers on the life table attributes of Eisenia fetida. </w:t>
      </w:r>
      <w:r w:rsidRPr="004F2B36">
        <w:rPr>
          <w:rFonts w:ascii="Arial" w:hAnsi="Arial" w:cs="Arial"/>
          <w:i/>
          <w:iCs/>
        </w:rPr>
        <w:t>Journal of Applied and Natural Science</w:t>
      </w:r>
      <w:r w:rsidRPr="004F2B36">
        <w:rPr>
          <w:rFonts w:ascii="Arial" w:hAnsi="Arial" w:cs="Arial"/>
        </w:rPr>
        <w:t>, </w:t>
      </w:r>
      <w:r w:rsidRPr="004F2B36">
        <w:rPr>
          <w:rFonts w:ascii="Arial" w:hAnsi="Arial" w:cs="Arial"/>
          <w:i/>
          <w:iCs/>
        </w:rPr>
        <w:t>13</w:t>
      </w:r>
      <w:r w:rsidRPr="004F2B36">
        <w:rPr>
          <w:rFonts w:ascii="Arial" w:hAnsi="Arial" w:cs="Arial"/>
        </w:rPr>
        <w:t>(4), 1524-1530.</w:t>
      </w:r>
    </w:p>
    <w:p w14:paraId="63E94BC6" w14:textId="77777777" w:rsidR="00E1422E" w:rsidRPr="004F2B36" w:rsidRDefault="00E1422E" w:rsidP="00202DC5">
      <w:pPr>
        <w:jc w:val="both"/>
        <w:rPr>
          <w:rFonts w:ascii="Arial" w:hAnsi="Arial" w:cs="Arial"/>
        </w:rPr>
      </w:pPr>
    </w:p>
    <w:p w14:paraId="7D0410FC" w14:textId="77777777" w:rsidR="00E1422E" w:rsidRDefault="00E1422E" w:rsidP="00E26C6C">
      <w:pPr>
        <w:jc w:val="both"/>
        <w:rPr>
          <w:rFonts w:ascii="Arial" w:hAnsi="Arial" w:cs="Arial"/>
        </w:rPr>
      </w:pPr>
      <w:r w:rsidRPr="004F2B36">
        <w:rPr>
          <w:rFonts w:ascii="Arial" w:hAnsi="Arial" w:cs="Arial"/>
        </w:rPr>
        <w:t xml:space="preserve">Rai, N., Ashiya, P., &amp; Rathore, D. S. (2014). Comparative study of the effect of chemical fertilizers and organic fertilizers on </w:t>
      </w:r>
      <w:r w:rsidRPr="004F2B36">
        <w:rPr>
          <w:rFonts w:ascii="Arial" w:hAnsi="Arial" w:cs="Arial"/>
          <w:i/>
          <w:iCs/>
        </w:rPr>
        <w:t>Eisenia fetida</w:t>
      </w:r>
      <w:r w:rsidRPr="004F2B36">
        <w:rPr>
          <w:rFonts w:ascii="Arial" w:hAnsi="Arial" w:cs="Arial"/>
        </w:rPr>
        <w:t xml:space="preserve">. </w:t>
      </w:r>
      <w:r w:rsidRPr="00F84B1D">
        <w:rPr>
          <w:rFonts w:ascii="Arial" w:hAnsi="Arial" w:cs="Arial"/>
          <w:i/>
          <w:iCs/>
        </w:rPr>
        <w:t>International Journal of Innovative Research in Science, Engineering and Technology</w:t>
      </w:r>
      <w:r w:rsidRPr="004F2B36">
        <w:rPr>
          <w:rFonts w:ascii="Arial" w:hAnsi="Arial" w:cs="Arial"/>
        </w:rPr>
        <w:t>, 3(5), 12991–12998.</w:t>
      </w:r>
    </w:p>
    <w:p w14:paraId="6FE7E894" w14:textId="77777777" w:rsidR="00E1422E" w:rsidRPr="004F2B36" w:rsidRDefault="00E1422E" w:rsidP="00E26C6C">
      <w:pPr>
        <w:jc w:val="both"/>
        <w:rPr>
          <w:rFonts w:ascii="Arial" w:hAnsi="Arial" w:cs="Arial"/>
        </w:rPr>
      </w:pPr>
    </w:p>
    <w:p w14:paraId="200C99AC" w14:textId="77777777" w:rsidR="00E1422E" w:rsidRDefault="00E1422E" w:rsidP="00E26C6C">
      <w:pPr>
        <w:jc w:val="both"/>
        <w:rPr>
          <w:rFonts w:ascii="Arial" w:hAnsi="Arial" w:cs="Arial"/>
        </w:rPr>
      </w:pPr>
      <w:r w:rsidRPr="004F2B36">
        <w:rPr>
          <w:rFonts w:ascii="Arial" w:hAnsi="Arial" w:cs="Arial"/>
        </w:rPr>
        <w:t>Rani, S. (2016). Effect of urea on soil macro fauna, juvenile earthworms.</w:t>
      </w:r>
      <w:r w:rsidRPr="004F2B36">
        <w:rPr>
          <w:rFonts w:ascii="Arial" w:hAnsi="Arial" w:cs="Arial"/>
          <w:i/>
          <w:iCs/>
        </w:rPr>
        <w:t xml:space="preserve"> J Intl Acad Res Multidisciplinary</w:t>
      </w:r>
      <w:r w:rsidRPr="004F2B36">
        <w:rPr>
          <w:rFonts w:ascii="Arial" w:hAnsi="Arial" w:cs="Arial"/>
        </w:rPr>
        <w:t>, </w:t>
      </w:r>
      <w:r w:rsidRPr="004F2B36">
        <w:rPr>
          <w:rFonts w:ascii="Arial" w:hAnsi="Arial" w:cs="Arial"/>
          <w:i/>
          <w:iCs/>
        </w:rPr>
        <w:t>4</w:t>
      </w:r>
      <w:r w:rsidRPr="004F2B36">
        <w:rPr>
          <w:rFonts w:ascii="Arial" w:hAnsi="Arial" w:cs="Arial"/>
        </w:rPr>
        <w:t>(5), 15-19.</w:t>
      </w:r>
    </w:p>
    <w:p w14:paraId="5669F1DD" w14:textId="77777777" w:rsidR="00E1422E" w:rsidRPr="004F2B36" w:rsidRDefault="00E1422E" w:rsidP="00E26C6C">
      <w:pPr>
        <w:jc w:val="both"/>
        <w:rPr>
          <w:rFonts w:ascii="Arial" w:hAnsi="Arial" w:cs="Arial"/>
        </w:rPr>
      </w:pPr>
    </w:p>
    <w:p w14:paraId="1E70145B" w14:textId="77777777" w:rsidR="00E1422E" w:rsidRDefault="00E1422E" w:rsidP="00202DC5">
      <w:pPr>
        <w:jc w:val="both"/>
        <w:rPr>
          <w:rFonts w:ascii="Arial" w:hAnsi="Arial" w:cs="Arial"/>
        </w:rPr>
      </w:pPr>
      <w:r w:rsidRPr="004F2B36">
        <w:rPr>
          <w:rFonts w:ascii="Arial" w:hAnsi="Arial" w:cs="Arial"/>
        </w:rPr>
        <w:t>Shruthi, N., Biradar, A. P., &amp; Muzammil, S. (2017). Toxic effect of inorganic fertilizers to earthworms (Eudrilus eugeniae). </w:t>
      </w:r>
      <w:r w:rsidRPr="004F2B36">
        <w:rPr>
          <w:rFonts w:ascii="Arial" w:hAnsi="Arial" w:cs="Arial"/>
          <w:i/>
          <w:iCs/>
        </w:rPr>
        <w:t>J. Entomol. Zool. Stud</w:t>
      </w:r>
      <w:r w:rsidRPr="004F2B36">
        <w:rPr>
          <w:rFonts w:ascii="Arial" w:hAnsi="Arial" w:cs="Arial"/>
        </w:rPr>
        <w:t>, </w:t>
      </w:r>
      <w:r w:rsidRPr="004F2B36">
        <w:rPr>
          <w:rFonts w:ascii="Arial" w:hAnsi="Arial" w:cs="Arial"/>
          <w:i/>
          <w:iCs/>
        </w:rPr>
        <w:t>5</w:t>
      </w:r>
      <w:r w:rsidRPr="004F2B36">
        <w:rPr>
          <w:rFonts w:ascii="Arial" w:hAnsi="Arial" w:cs="Arial"/>
        </w:rPr>
        <w:t>, 1135-1137.</w:t>
      </w:r>
    </w:p>
    <w:p w14:paraId="2DE94034" w14:textId="77777777" w:rsidR="00E1422E" w:rsidRPr="004F2B36" w:rsidRDefault="00E1422E" w:rsidP="00202DC5">
      <w:pPr>
        <w:jc w:val="both"/>
        <w:rPr>
          <w:rFonts w:ascii="Arial" w:hAnsi="Arial" w:cs="Arial"/>
        </w:rPr>
      </w:pPr>
    </w:p>
    <w:p w14:paraId="513C910B" w14:textId="77777777" w:rsidR="00E1422E" w:rsidRDefault="00E1422E" w:rsidP="00E26C6C">
      <w:pPr>
        <w:jc w:val="both"/>
        <w:rPr>
          <w:rFonts w:ascii="Arial" w:hAnsi="Arial" w:cs="Arial"/>
        </w:rPr>
      </w:pPr>
      <w:r w:rsidRPr="004F2B36">
        <w:rPr>
          <w:rFonts w:ascii="Arial" w:hAnsi="Arial" w:cs="Arial"/>
        </w:rPr>
        <w:t xml:space="preserve">Singh, J. S., &amp; Gupta, V. K. (2018). Soil microbial biomass: A key soil driver in management of ecosystem functioning. </w:t>
      </w:r>
      <w:r w:rsidRPr="00F84B1D">
        <w:rPr>
          <w:rFonts w:ascii="Arial" w:hAnsi="Arial" w:cs="Arial"/>
          <w:i/>
          <w:iCs/>
        </w:rPr>
        <w:t>Science of the Total Environment</w:t>
      </w:r>
      <w:r w:rsidRPr="004F2B36">
        <w:rPr>
          <w:rFonts w:ascii="Arial" w:hAnsi="Arial" w:cs="Arial"/>
        </w:rPr>
        <w:t xml:space="preserve">, 634, 497–500. </w:t>
      </w:r>
    </w:p>
    <w:p w14:paraId="456FD935" w14:textId="77777777" w:rsidR="00E1422E" w:rsidRDefault="00E1422E" w:rsidP="00E26C6C">
      <w:pPr>
        <w:jc w:val="both"/>
        <w:rPr>
          <w:rFonts w:ascii="Arial" w:hAnsi="Arial" w:cs="Arial"/>
        </w:rPr>
      </w:pPr>
    </w:p>
    <w:p w14:paraId="7233B226" w14:textId="7E3EFB53" w:rsidR="00E1422E" w:rsidRDefault="00E1422E" w:rsidP="00E26C6C">
      <w:pPr>
        <w:jc w:val="both"/>
        <w:rPr>
          <w:rFonts w:ascii="Arial" w:hAnsi="Arial" w:cs="Arial"/>
        </w:rPr>
      </w:pPr>
      <w:proofErr w:type="spellStart"/>
      <w:r w:rsidRPr="0001020A">
        <w:rPr>
          <w:rFonts w:ascii="Arial" w:hAnsi="Arial" w:cs="Arial"/>
        </w:rPr>
        <w:t>Sizmur</w:t>
      </w:r>
      <w:proofErr w:type="spellEnd"/>
      <w:r w:rsidRPr="0001020A">
        <w:rPr>
          <w:rFonts w:ascii="Arial" w:hAnsi="Arial" w:cs="Arial"/>
        </w:rPr>
        <w:t>, T., Palumbo-Roe, B., Watts, M. J., &amp; Hodson, M. E. (2011</w:t>
      </w:r>
      <w:r>
        <w:rPr>
          <w:rFonts w:ascii="Arial" w:hAnsi="Arial" w:cs="Arial"/>
        </w:rPr>
        <w:t>a</w:t>
      </w:r>
      <w:r w:rsidRPr="0001020A">
        <w:rPr>
          <w:rFonts w:ascii="Arial" w:hAnsi="Arial" w:cs="Arial"/>
        </w:rPr>
        <w:t xml:space="preserve">). Impact of the earthworm </w:t>
      </w:r>
      <w:proofErr w:type="spellStart"/>
      <w:r w:rsidRPr="0001020A">
        <w:rPr>
          <w:rFonts w:ascii="Arial" w:hAnsi="Arial" w:cs="Arial"/>
        </w:rPr>
        <w:t>Lumbricus</w:t>
      </w:r>
      <w:proofErr w:type="spellEnd"/>
      <w:r w:rsidRPr="0001020A">
        <w:rPr>
          <w:rFonts w:ascii="Arial" w:hAnsi="Arial" w:cs="Arial"/>
        </w:rPr>
        <w:t xml:space="preserve"> terrestris (L.) on As, Cu, Pb and Zn mobility and speciation in contaminated soils. </w:t>
      </w:r>
      <w:r w:rsidRPr="0001020A">
        <w:rPr>
          <w:rFonts w:ascii="Arial" w:hAnsi="Arial" w:cs="Arial"/>
          <w:i/>
          <w:iCs/>
        </w:rPr>
        <w:t>Environmental pollution</w:t>
      </w:r>
      <w:r w:rsidRPr="0001020A">
        <w:rPr>
          <w:rFonts w:ascii="Arial" w:hAnsi="Arial" w:cs="Arial"/>
        </w:rPr>
        <w:t>, </w:t>
      </w:r>
      <w:r w:rsidRPr="0001020A">
        <w:rPr>
          <w:rFonts w:ascii="Arial" w:hAnsi="Arial" w:cs="Arial"/>
          <w:i/>
          <w:iCs/>
        </w:rPr>
        <w:t>159</w:t>
      </w:r>
      <w:r w:rsidRPr="0001020A">
        <w:rPr>
          <w:rFonts w:ascii="Arial" w:hAnsi="Arial" w:cs="Arial"/>
        </w:rPr>
        <w:t>(3), 742-748.</w:t>
      </w:r>
    </w:p>
    <w:p w14:paraId="05CF5584" w14:textId="77777777" w:rsidR="00E1422E" w:rsidRDefault="00E1422E" w:rsidP="00E26C6C">
      <w:pPr>
        <w:jc w:val="both"/>
        <w:rPr>
          <w:rFonts w:ascii="Arial" w:hAnsi="Arial" w:cs="Arial"/>
        </w:rPr>
      </w:pPr>
    </w:p>
    <w:p w14:paraId="44464501" w14:textId="77777777" w:rsidR="00E1422E" w:rsidRDefault="00E1422E" w:rsidP="00E26C6C">
      <w:pPr>
        <w:jc w:val="both"/>
        <w:rPr>
          <w:rFonts w:ascii="Arial" w:hAnsi="Arial" w:cs="Arial"/>
        </w:rPr>
      </w:pPr>
      <w:proofErr w:type="spellStart"/>
      <w:r w:rsidRPr="0001020A">
        <w:rPr>
          <w:rFonts w:ascii="Arial" w:hAnsi="Arial" w:cs="Arial"/>
        </w:rPr>
        <w:t>Sizmur</w:t>
      </w:r>
      <w:proofErr w:type="spellEnd"/>
      <w:r w:rsidRPr="0001020A">
        <w:rPr>
          <w:rFonts w:ascii="Arial" w:hAnsi="Arial" w:cs="Arial"/>
        </w:rPr>
        <w:t>, T., Tilston, E. L., Charnock, J., Palumbo-Roe, B., Watts, M. J., &amp; Hodson, M. E. (2011</w:t>
      </w:r>
      <w:r>
        <w:rPr>
          <w:rFonts w:ascii="Arial" w:hAnsi="Arial" w:cs="Arial"/>
        </w:rPr>
        <w:t>b</w:t>
      </w:r>
      <w:r w:rsidRPr="0001020A">
        <w:rPr>
          <w:rFonts w:ascii="Arial" w:hAnsi="Arial" w:cs="Arial"/>
        </w:rPr>
        <w:t xml:space="preserve">). Impacts of </w:t>
      </w:r>
      <w:proofErr w:type="spellStart"/>
      <w:r w:rsidRPr="0001020A">
        <w:rPr>
          <w:rFonts w:ascii="Arial" w:hAnsi="Arial" w:cs="Arial"/>
        </w:rPr>
        <w:t>epigeic</w:t>
      </w:r>
      <w:proofErr w:type="spellEnd"/>
      <w:r w:rsidRPr="0001020A">
        <w:rPr>
          <w:rFonts w:ascii="Arial" w:hAnsi="Arial" w:cs="Arial"/>
        </w:rPr>
        <w:t xml:space="preserve">, </w:t>
      </w:r>
      <w:proofErr w:type="spellStart"/>
      <w:r w:rsidRPr="0001020A">
        <w:rPr>
          <w:rFonts w:ascii="Arial" w:hAnsi="Arial" w:cs="Arial"/>
        </w:rPr>
        <w:t>anecic</w:t>
      </w:r>
      <w:proofErr w:type="spellEnd"/>
      <w:r w:rsidRPr="0001020A">
        <w:rPr>
          <w:rFonts w:ascii="Arial" w:hAnsi="Arial" w:cs="Arial"/>
        </w:rPr>
        <w:t xml:space="preserve"> and </w:t>
      </w:r>
      <w:proofErr w:type="spellStart"/>
      <w:r w:rsidRPr="0001020A">
        <w:rPr>
          <w:rFonts w:ascii="Arial" w:hAnsi="Arial" w:cs="Arial"/>
        </w:rPr>
        <w:t>endogeic</w:t>
      </w:r>
      <w:proofErr w:type="spellEnd"/>
      <w:r w:rsidRPr="0001020A">
        <w:rPr>
          <w:rFonts w:ascii="Arial" w:hAnsi="Arial" w:cs="Arial"/>
        </w:rPr>
        <w:t xml:space="preserve"> earthworms on metal and metalloid mobility and availability. </w:t>
      </w:r>
      <w:r w:rsidRPr="0001020A">
        <w:rPr>
          <w:rFonts w:ascii="Arial" w:hAnsi="Arial" w:cs="Arial"/>
          <w:i/>
          <w:iCs/>
        </w:rPr>
        <w:t>Journal of Environmental Monitoring</w:t>
      </w:r>
      <w:r w:rsidRPr="0001020A">
        <w:rPr>
          <w:rFonts w:ascii="Arial" w:hAnsi="Arial" w:cs="Arial"/>
        </w:rPr>
        <w:t>, </w:t>
      </w:r>
      <w:r w:rsidRPr="0001020A">
        <w:rPr>
          <w:rFonts w:ascii="Arial" w:hAnsi="Arial" w:cs="Arial"/>
          <w:i/>
          <w:iCs/>
        </w:rPr>
        <w:t>13</w:t>
      </w:r>
      <w:r w:rsidRPr="0001020A">
        <w:rPr>
          <w:rFonts w:ascii="Arial" w:hAnsi="Arial" w:cs="Arial"/>
        </w:rPr>
        <w:t>(2), 266-273.</w:t>
      </w:r>
    </w:p>
    <w:p w14:paraId="56042AA1" w14:textId="77777777" w:rsidR="00E1422E" w:rsidRDefault="00E1422E" w:rsidP="00E26C6C">
      <w:pPr>
        <w:jc w:val="both"/>
        <w:rPr>
          <w:rFonts w:ascii="Arial" w:hAnsi="Arial" w:cs="Arial"/>
        </w:rPr>
      </w:pPr>
    </w:p>
    <w:p w14:paraId="56D2121A" w14:textId="77777777" w:rsidR="00E1422E" w:rsidRPr="004F2B36" w:rsidRDefault="00E1422E" w:rsidP="00E26C6C">
      <w:pPr>
        <w:pStyle w:val="Body"/>
        <w:spacing w:after="0"/>
        <w:rPr>
          <w:rFonts w:ascii="Arial" w:hAnsi="Arial" w:cs="Arial"/>
        </w:rPr>
      </w:pPr>
      <w:r w:rsidRPr="004F2B36">
        <w:rPr>
          <w:rFonts w:ascii="Arial" w:hAnsi="Arial" w:cs="Arial"/>
        </w:rPr>
        <w:t xml:space="preserve">Whalen, J. K., Parmelee, R. W., &amp; Edwards, C. A. (1998). Population dynamics of earthworms in agroecosystems. </w:t>
      </w:r>
      <w:r w:rsidRPr="00F84B1D">
        <w:rPr>
          <w:rFonts w:ascii="Arial" w:hAnsi="Arial" w:cs="Arial"/>
          <w:i/>
          <w:iCs/>
        </w:rPr>
        <w:t>Biology and Fertility of Soils</w:t>
      </w:r>
      <w:r w:rsidRPr="004F2B36">
        <w:rPr>
          <w:rFonts w:ascii="Arial" w:hAnsi="Arial" w:cs="Arial"/>
        </w:rPr>
        <w:t xml:space="preserve">, 27, 400–407. </w:t>
      </w:r>
    </w:p>
    <w:sectPr w:rsidR="00E1422E" w:rsidRPr="004F2B36" w:rsidSect="0062230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D4EE" w14:textId="77777777" w:rsidR="004D7458" w:rsidRDefault="004D7458" w:rsidP="00C37E61">
      <w:r>
        <w:separator/>
      </w:r>
    </w:p>
  </w:endnote>
  <w:endnote w:type="continuationSeparator" w:id="0">
    <w:p w14:paraId="5EA3CCF4" w14:textId="77777777" w:rsidR="004D7458" w:rsidRDefault="004D74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7F38" w14:textId="77777777" w:rsidR="00622308" w:rsidRDefault="00622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3C14" w14:textId="77777777" w:rsidR="00622308" w:rsidRDefault="00622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9057" w14:textId="77777777" w:rsidR="009E048A" w:rsidRDefault="009E048A">
    <w:pPr>
      <w:pStyle w:val="Footer"/>
      <w:rPr>
        <w:rFonts w:ascii="Arial" w:hAnsi="Arial" w:cs="Arial"/>
        <w:sz w:val="16"/>
      </w:rPr>
    </w:pPr>
  </w:p>
  <w:p w14:paraId="75D631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54410CD" w14:textId="77777777" w:rsidR="009E048A" w:rsidRDefault="009E048A">
    <w:pPr>
      <w:pStyle w:val="Footer"/>
      <w:rPr>
        <w:rFonts w:ascii="Arial" w:hAnsi="Arial" w:cs="Arial"/>
        <w:sz w:val="16"/>
      </w:rPr>
    </w:pPr>
  </w:p>
  <w:p w14:paraId="0F456BC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97B6" w14:textId="77777777" w:rsidR="004D7458" w:rsidRDefault="004D7458" w:rsidP="00C37E61">
      <w:r>
        <w:separator/>
      </w:r>
    </w:p>
  </w:footnote>
  <w:footnote w:type="continuationSeparator" w:id="0">
    <w:p w14:paraId="0A85D3F4" w14:textId="77777777" w:rsidR="004D7458" w:rsidRDefault="004D74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1C2C" w14:textId="38A4EEFC" w:rsidR="00622308" w:rsidRDefault="004D7458">
    <w:pPr>
      <w:pStyle w:val="Header"/>
    </w:pPr>
    <w:r>
      <w:rPr>
        <w:noProof/>
      </w:rPr>
      <w:pict w14:anchorId="5FE03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41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DCF3" w14:textId="13E89056" w:rsidR="00622308" w:rsidRDefault="004D7458">
    <w:pPr>
      <w:pStyle w:val="Header"/>
    </w:pPr>
    <w:r>
      <w:rPr>
        <w:noProof/>
      </w:rPr>
      <w:pict w14:anchorId="611F9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41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B969" w14:textId="787D4BC4" w:rsidR="00296529" w:rsidRPr="00296529" w:rsidRDefault="004D7458" w:rsidP="00296529">
    <w:pPr>
      <w:ind w:left="2160"/>
      <w:jc w:val="center"/>
      <w:rPr>
        <w:rFonts w:ascii="Times New Roman" w:eastAsia="Calibri" w:hAnsi="Times New Roman"/>
        <w:i/>
        <w:sz w:val="18"/>
        <w:szCs w:val="22"/>
      </w:rPr>
    </w:pPr>
    <w:r>
      <w:rPr>
        <w:noProof/>
      </w:rPr>
      <w:pict w14:anchorId="3204A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41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9EF4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1F0F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965D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9A937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18030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39632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A763B0"/>
    <w:multiLevelType w:val="multilevel"/>
    <w:tmpl w:val="621A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C401C7"/>
    <w:multiLevelType w:val="multilevel"/>
    <w:tmpl w:val="98D2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E6641A"/>
    <w:multiLevelType w:val="multilevel"/>
    <w:tmpl w:val="27809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2B0495"/>
    <w:multiLevelType w:val="multilevel"/>
    <w:tmpl w:val="F010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D7C7B"/>
    <w:multiLevelType w:val="multilevel"/>
    <w:tmpl w:val="BC1E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055D9"/>
    <w:multiLevelType w:val="hybridMultilevel"/>
    <w:tmpl w:val="60BA2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246692"/>
    <w:multiLevelType w:val="hybridMultilevel"/>
    <w:tmpl w:val="7D360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201893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86766970">
    <w:abstractNumId w:val="21"/>
  </w:num>
  <w:num w:numId="3" w16cid:durableId="1023751189">
    <w:abstractNumId w:val="30"/>
  </w:num>
  <w:num w:numId="4" w16cid:durableId="94562003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3108766">
    <w:abstractNumId w:val="7"/>
  </w:num>
  <w:num w:numId="6" w16cid:durableId="1657493860">
    <w:abstractNumId w:val="6"/>
  </w:num>
  <w:num w:numId="7" w16cid:durableId="198858411">
    <w:abstractNumId w:val="1"/>
  </w:num>
  <w:num w:numId="8" w16cid:durableId="1396122190">
    <w:abstractNumId w:val="14"/>
  </w:num>
  <w:num w:numId="9" w16cid:durableId="1439905310">
    <w:abstractNumId w:val="32"/>
  </w:num>
  <w:num w:numId="10" w16cid:durableId="904336279">
    <w:abstractNumId w:val="2"/>
  </w:num>
  <w:num w:numId="11" w16cid:durableId="1273781567">
    <w:abstractNumId w:val="24"/>
  </w:num>
  <w:num w:numId="12" w16cid:durableId="47805770">
    <w:abstractNumId w:val="3"/>
  </w:num>
  <w:num w:numId="13" w16cid:durableId="1790466666">
    <w:abstractNumId w:val="23"/>
  </w:num>
  <w:num w:numId="14" w16cid:durableId="608122159">
    <w:abstractNumId w:val="9"/>
  </w:num>
  <w:num w:numId="15" w16cid:durableId="818495548">
    <w:abstractNumId w:val="27"/>
  </w:num>
  <w:num w:numId="16" w16cid:durableId="2060980584">
    <w:abstractNumId w:val="5"/>
  </w:num>
  <w:num w:numId="17" w16cid:durableId="1152254853">
    <w:abstractNumId w:val="28"/>
  </w:num>
  <w:num w:numId="18" w16cid:durableId="635523433">
    <w:abstractNumId w:val="16"/>
  </w:num>
  <w:num w:numId="19" w16cid:durableId="744760874">
    <w:abstractNumId w:val="35"/>
  </w:num>
  <w:num w:numId="20" w16cid:durableId="361177159">
    <w:abstractNumId w:val="13"/>
  </w:num>
  <w:num w:numId="21" w16cid:durableId="1902402400">
    <w:abstractNumId w:val="11"/>
  </w:num>
  <w:num w:numId="22" w16cid:durableId="740255356">
    <w:abstractNumId w:val="15"/>
  </w:num>
  <w:num w:numId="23" w16cid:durableId="1411736171">
    <w:abstractNumId w:val="25"/>
  </w:num>
  <w:num w:numId="24" w16cid:durableId="417792338">
    <w:abstractNumId w:val="33"/>
  </w:num>
  <w:num w:numId="25" w16cid:durableId="439766054">
    <w:abstractNumId w:val="4"/>
  </w:num>
  <w:num w:numId="26" w16cid:durableId="292949499">
    <w:abstractNumId w:val="22"/>
  </w:num>
  <w:num w:numId="27" w16cid:durableId="631643207">
    <w:abstractNumId w:val="26"/>
  </w:num>
  <w:num w:numId="28" w16cid:durableId="244799674">
    <w:abstractNumId w:val="34"/>
  </w:num>
  <w:num w:numId="29" w16cid:durableId="1759129720">
    <w:abstractNumId w:val="31"/>
  </w:num>
  <w:num w:numId="30" w16cid:durableId="1291280306">
    <w:abstractNumId w:val="12"/>
  </w:num>
  <w:num w:numId="31" w16cid:durableId="1693603258">
    <w:abstractNumId w:val="18"/>
  </w:num>
  <w:num w:numId="32" w16cid:durableId="1414426617">
    <w:abstractNumId w:val="19"/>
  </w:num>
  <w:num w:numId="33" w16cid:durableId="53548433">
    <w:abstractNumId w:val="17"/>
  </w:num>
  <w:num w:numId="34" w16cid:durableId="599029991">
    <w:abstractNumId w:val="10"/>
  </w:num>
  <w:num w:numId="35" w16cid:durableId="1707946465">
    <w:abstractNumId w:val="29"/>
  </w:num>
  <w:num w:numId="36" w16cid:durableId="915700135">
    <w:abstractNumId w:val="8"/>
  </w:num>
  <w:num w:numId="37" w16cid:durableId="14072677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20A"/>
    <w:rsid w:val="00030174"/>
    <w:rsid w:val="0004579C"/>
    <w:rsid w:val="0005235F"/>
    <w:rsid w:val="000567C8"/>
    <w:rsid w:val="000A47FA"/>
    <w:rsid w:val="000A65D3"/>
    <w:rsid w:val="000B1E33"/>
    <w:rsid w:val="000B4551"/>
    <w:rsid w:val="000B5B40"/>
    <w:rsid w:val="000D689F"/>
    <w:rsid w:val="000E7B7B"/>
    <w:rsid w:val="000E7D62"/>
    <w:rsid w:val="00103357"/>
    <w:rsid w:val="00123C9F"/>
    <w:rsid w:val="00126190"/>
    <w:rsid w:val="001268B9"/>
    <w:rsid w:val="00130F17"/>
    <w:rsid w:val="001320BF"/>
    <w:rsid w:val="00163BC4"/>
    <w:rsid w:val="00191062"/>
    <w:rsid w:val="00192B72"/>
    <w:rsid w:val="0019626C"/>
    <w:rsid w:val="001A29D8"/>
    <w:rsid w:val="001A5CAA"/>
    <w:rsid w:val="001B0427"/>
    <w:rsid w:val="001B4BE6"/>
    <w:rsid w:val="001C2EF0"/>
    <w:rsid w:val="001D3A51"/>
    <w:rsid w:val="001E10D2"/>
    <w:rsid w:val="001E25B4"/>
    <w:rsid w:val="001E44FE"/>
    <w:rsid w:val="00200595"/>
    <w:rsid w:val="00202DC5"/>
    <w:rsid w:val="00204835"/>
    <w:rsid w:val="00213AF5"/>
    <w:rsid w:val="0021748F"/>
    <w:rsid w:val="00231920"/>
    <w:rsid w:val="0023195C"/>
    <w:rsid w:val="0024282C"/>
    <w:rsid w:val="002460DC"/>
    <w:rsid w:val="00247D35"/>
    <w:rsid w:val="00250985"/>
    <w:rsid w:val="002556F6"/>
    <w:rsid w:val="00257C5C"/>
    <w:rsid w:val="00283105"/>
    <w:rsid w:val="00284C4C"/>
    <w:rsid w:val="00287E68"/>
    <w:rsid w:val="00296529"/>
    <w:rsid w:val="002B27FB"/>
    <w:rsid w:val="002B685A"/>
    <w:rsid w:val="002C3590"/>
    <w:rsid w:val="002C57D2"/>
    <w:rsid w:val="002E0D56"/>
    <w:rsid w:val="002F4E40"/>
    <w:rsid w:val="00315186"/>
    <w:rsid w:val="00325F06"/>
    <w:rsid w:val="0033343E"/>
    <w:rsid w:val="003512C2"/>
    <w:rsid w:val="003517DE"/>
    <w:rsid w:val="003535E5"/>
    <w:rsid w:val="00371FB6"/>
    <w:rsid w:val="003763C1"/>
    <w:rsid w:val="00376BBE"/>
    <w:rsid w:val="00385646"/>
    <w:rsid w:val="0039224F"/>
    <w:rsid w:val="00392DC1"/>
    <w:rsid w:val="003A43A4"/>
    <w:rsid w:val="003A7E18"/>
    <w:rsid w:val="003C4C86"/>
    <w:rsid w:val="003C6258"/>
    <w:rsid w:val="003E2904"/>
    <w:rsid w:val="003F7731"/>
    <w:rsid w:val="00401927"/>
    <w:rsid w:val="0041027F"/>
    <w:rsid w:val="00412475"/>
    <w:rsid w:val="00423789"/>
    <w:rsid w:val="00440F43"/>
    <w:rsid w:val="00441B6F"/>
    <w:rsid w:val="00446221"/>
    <w:rsid w:val="00450E62"/>
    <w:rsid w:val="004539DB"/>
    <w:rsid w:val="004708D1"/>
    <w:rsid w:val="00471A80"/>
    <w:rsid w:val="004A1008"/>
    <w:rsid w:val="004C6257"/>
    <w:rsid w:val="004D305E"/>
    <w:rsid w:val="004D4277"/>
    <w:rsid w:val="004D7458"/>
    <w:rsid w:val="004E140B"/>
    <w:rsid w:val="004F2B36"/>
    <w:rsid w:val="00502516"/>
    <w:rsid w:val="00505F06"/>
    <w:rsid w:val="00506828"/>
    <w:rsid w:val="005078B2"/>
    <w:rsid w:val="005261A3"/>
    <w:rsid w:val="0053056E"/>
    <w:rsid w:val="00554FDA"/>
    <w:rsid w:val="00555333"/>
    <w:rsid w:val="00561731"/>
    <w:rsid w:val="005A09EB"/>
    <w:rsid w:val="005C6D3D"/>
    <w:rsid w:val="005C784C"/>
    <w:rsid w:val="005D17F6"/>
    <w:rsid w:val="005E5539"/>
    <w:rsid w:val="005F00BE"/>
    <w:rsid w:val="00602BF5"/>
    <w:rsid w:val="00617FDD"/>
    <w:rsid w:val="00622308"/>
    <w:rsid w:val="00626189"/>
    <w:rsid w:val="00633614"/>
    <w:rsid w:val="00633F68"/>
    <w:rsid w:val="00636EB2"/>
    <w:rsid w:val="006375B8"/>
    <w:rsid w:val="00660757"/>
    <w:rsid w:val="00662B3D"/>
    <w:rsid w:val="0066510A"/>
    <w:rsid w:val="00673951"/>
    <w:rsid w:val="00673F9F"/>
    <w:rsid w:val="00681CDD"/>
    <w:rsid w:val="00686953"/>
    <w:rsid w:val="00687DEA"/>
    <w:rsid w:val="00687E67"/>
    <w:rsid w:val="0069226F"/>
    <w:rsid w:val="006967F7"/>
    <w:rsid w:val="006A250C"/>
    <w:rsid w:val="006B21D3"/>
    <w:rsid w:val="006B57D0"/>
    <w:rsid w:val="006D30FF"/>
    <w:rsid w:val="006D35A3"/>
    <w:rsid w:val="006D6940"/>
    <w:rsid w:val="006F11EC"/>
    <w:rsid w:val="0070082C"/>
    <w:rsid w:val="00700C01"/>
    <w:rsid w:val="00711669"/>
    <w:rsid w:val="007369E6"/>
    <w:rsid w:val="00746E59"/>
    <w:rsid w:val="00754C9A"/>
    <w:rsid w:val="0075599A"/>
    <w:rsid w:val="00761D52"/>
    <w:rsid w:val="0077749E"/>
    <w:rsid w:val="00790ADA"/>
    <w:rsid w:val="007914CF"/>
    <w:rsid w:val="007C5B0B"/>
    <w:rsid w:val="007D2288"/>
    <w:rsid w:val="007E088F"/>
    <w:rsid w:val="007F689C"/>
    <w:rsid w:val="007F7B32"/>
    <w:rsid w:val="00804BC2"/>
    <w:rsid w:val="00806709"/>
    <w:rsid w:val="0081431A"/>
    <w:rsid w:val="00830DBD"/>
    <w:rsid w:val="0083216F"/>
    <w:rsid w:val="00845401"/>
    <w:rsid w:val="00860000"/>
    <w:rsid w:val="00863BD3"/>
    <w:rsid w:val="008641ED"/>
    <w:rsid w:val="00866D66"/>
    <w:rsid w:val="008671C6"/>
    <w:rsid w:val="00875803"/>
    <w:rsid w:val="008B26EF"/>
    <w:rsid w:val="008B459E"/>
    <w:rsid w:val="008C44D8"/>
    <w:rsid w:val="008E13AE"/>
    <w:rsid w:val="008E1506"/>
    <w:rsid w:val="008E710C"/>
    <w:rsid w:val="008F69D6"/>
    <w:rsid w:val="00902823"/>
    <w:rsid w:val="00915CA6"/>
    <w:rsid w:val="00927834"/>
    <w:rsid w:val="009500A6"/>
    <w:rsid w:val="00957C18"/>
    <w:rsid w:val="009659BA"/>
    <w:rsid w:val="0097358B"/>
    <w:rsid w:val="0098155B"/>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5F6"/>
    <w:rsid w:val="00A347C0"/>
    <w:rsid w:val="00A51431"/>
    <w:rsid w:val="00A539AD"/>
    <w:rsid w:val="00A53AD5"/>
    <w:rsid w:val="00A94063"/>
    <w:rsid w:val="00AA6219"/>
    <w:rsid w:val="00AA7000"/>
    <w:rsid w:val="00AA74E0"/>
    <w:rsid w:val="00AB0328"/>
    <w:rsid w:val="00AB703F"/>
    <w:rsid w:val="00AC6BB8"/>
    <w:rsid w:val="00AC76DA"/>
    <w:rsid w:val="00AE008F"/>
    <w:rsid w:val="00AF74A0"/>
    <w:rsid w:val="00B01FCD"/>
    <w:rsid w:val="00B1776C"/>
    <w:rsid w:val="00B376F9"/>
    <w:rsid w:val="00B52583"/>
    <w:rsid w:val="00B52896"/>
    <w:rsid w:val="00B67B7D"/>
    <w:rsid w:val="00B716D5"/>
    <w:rsid w:val="00B95236"/>
    <w:rsid w:val="00B96BD9"/>
    <w:rsid w:val="00BA1B01"/>
    <w:rsid w:val="00BA2641"/>
    <w:rsid w:val="00BA2939"/>
    <w:rsid w:val="00BB37AA"/>
    <w:rsid w:val="00BC53A0"/>
    <w:rsid w:val="00BD347A"/>
    <w:rsid w:val="00BE567F"/>
    <w:rsid w:val="00BE62AD"/>
    <w:rsid w:val="00BF121F"/>
    <w:rsid w:val="00BF1F80"/>
    <w:rsid w:val="00BF52D2"/>
    <w:rsid w:val="00C166EF"/>
    <w:rsid w:val="00C17EB0"/>
    <w:rsid w:val="00C27F5F"/>
    <w:rsid w:val="00C30A0F"/>
    <w:rsid w:val="00C37E61"/>
    <w:rsid w:val="00C63111"/>
    <w:rsid w:val="00C70F1B"/>
    <w:rsid w:val="00C71A47"/>
    <w:rsid w:val="00C7464C"/>
    <w:rsid w:val="00C76DF8"/>
    <w:rsid w:val="00C85588"/>
    <w:rsid w:val="00CB5C2E"/>
    <w:rsid w:val="00CD6755"/>
    <w:rsid w:val="00CD6856"/>
    <w:rsid w:val="00CE0089"/>
    <w:rsid w:val="00CE793C"/>
    <w:rsid w:val="00CF193C"/>
    <w:rsid w:val="00CF20A2"/>
    <w:rsid w:val="00D173F1"/>
    <w:rsid w:val="00D74CB0"/>
    <w:rsid w:val="00D8295D"/>
    <w:rsid w:val="00D95E41"/>
    <w:rsid w:val="00DC2A65"/>
    <w:rsid w:val="00DE15F0"/>
    <w:rsid w:val="00DE5663"/>
    <w:rsid w:val="00DE78AA"/>
    <w:rsid w:val="00E053D0"/>
    <w:rsid w:val="00E1422E"/>
    <w:rsid w:val="00E15994"/>
    <w:rsid w:val="00E20A88"/>
    <w:rsid w:val="00E26C6C"/>
    <w:rsid w:val="00E3114E"/>
    <w:rsid w:val="00E31A70"/>
    <w:rsid w:val="00E35B02"/>
    <w:rsid w:val="00E44475"/>
    <w:rsid w:val="00E63D58"/>
    <w:rsid w:val="00E66496"/>
    <w:rsid w:val="00E66B35"/>
    <w:rsid w:val="00E66E10"/>
    <w:rsid w:val="00E769F6"/>
    <w:rsid w:val="00E8313C"/>
    <w:rsid w:val="00E8407C"/>
    <w:rsid w:val="00E84F3C"/>
    <w:rsid w:val="00EA012C"/>
    <w:rsid w:val="00EA3670"/>
    <w:rsid w:val="00EC6A55"/>
    <w:rsid w:val="00ED0288"/>
    <w:rsid w:val="00EE52CB"/>
    <w:rsid w:val="00EF581D"/>
    <w:rsid w:val="00EF7FD8"/>
    <w:rsid w:val="00F06F59"/>
    <w:rsid w:val="00F17988"/>
    <w:rsid w:val="00F469F0"/>
    <w:rsid w:val="00F53273"/>
    <w:rsid w:val="00F663D4"/>
    <w:rsid w:val="00F751B1"/>
    <w:rsid w:val="00F755E4"/>
    <w:rsid w:val="00F77D02"/>
    <w:rsid w:val="00F84B1D"/>
    <w:rsid w:val="00F861F9"/>
    <w:rsid w:val="00F9629E"/>
    <w:rsid w:val="00FB3A86"/>
    <w:rsid w:val="00FB6DA3"/>
    <w:rsid w:val="00FD081F"/>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D85B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02D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20A88"/>
    <w:pPr>
      <w:spacing w:after="120"/>
    </w:pPr>
  </w:style>
  <w:style w:type="character" w:customStyle="1" w:styleId="BodyTextChar">
    <w:name w:val="Body Text Char"/>
    <w:basedOn w:val="DefaultParagraphFont"/>
    <w:link w:val="BodyText"/>
    <w:semiHidden/>
    <w:rsid w:val="00E20A88"/>
    <w:rPr>
      <w:rFonts w:ascii="Helvetica" w:hAnsi="Helvetica"/>
    </w:rPr>
  </w:style>
  <w:style w:type="paragraph" w:customStyle="1" w:styleId="TableParagraph">
    <w:name w:val="Table Paragraph"/>
    <w:basedOn w:val="Normal"/>
    <w:uiPriority w:val="1"/>
    <w:qFormat/>
    <w:rsid w:val="00E20A88"/>
    <w:pPr>
      <w:widowControl w:val="0"/>
      <w:autoSpaceDE w:val="0"/>
      <w:autoSpaceDN w:val="0"/>
      <w:spacing w:before="62"/>
      <w:ind w:left="118"/>
    </w:pPr>
    <w:rPr>
      <w:rFonts w:ascii="Arial MT" w:eastAsia="Arial MT" w:hAnsi="Arial MT" w:cs="Arial MT"/>
      <w:sz w:val="22"/>
      <w:szCs w:val="22"/>
    </w:rPr>
  </w:style>
  <w:style w:type="character" w:customStyle="1" w:styleId="Heading3Char">
    <w:name w:val="Heading 3 Char"/>
    <w:basedOn w:val="DefaultParagraphFont"/>
    <w:link w:val="Heading3"/>
    <w:uiPriority w:val="9"/>
    <w:semiHidden/>
    <w:rsid w:val="00202DC5"/>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F9629E"/>
    <w:rPr>
      <w:rFonts w:ascii="Times New Roman" w:hAnsi="Times New Roman"/>
      <w:sz w:val="24"/>
      <w:szCs w:val="24"/>
    </w:rPr>
  </w:style>
  <w:style w:type="character" w:styleId="PlaceholderText">
    <w:name w:val="Placeholder Text"/>
    <w:basedOn w:val="DefaultParagraphFont"/>
    <w:uiPriority w:val="99"/>
    <w:semiHidden/>
    <w:rsid w:val="00AB0328"/>
    <w:rPr>
      <w:color w:val="666666"/>
    </w:rPr>
  </w:style>
  <w:style w:type="paragraph" w:styleId="ListParagraph">
    <w:name w:val="List Paragraph"/>
    <w:basedOn w:val="Normal"/>
    <w:uiPriority w:val="34"/>
    <w:qFormat/>
    <w:rsid w:val="00247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n-IN" sz="1200" b="0">
                <a:solidFill>
                  <a:schemeClr val="tx1"/>
                </a:solidFill>
              </a:rPr>
              <a:t>Effect of fertilizers on earthworm</a:t>
            </a:r>
            <a:r>
              <a:rPr lang="en-IN" sz="1200" b="0" baseline="0">
                <a:solidFill>
                  <a:schemeClr val="tx1"/>
                </a:solidFill>
              </a:rPr>
              <a:t> biomass (Mean ± SD) </a:t>
            </a:r>
            <a:r>
              <a:rPr lang="en-IN" sz="1200" b="0">
                <a:solidFill>
                  <a:schemeClr val="tx1"/>
                </a:solidFill>
              </a:rPr>
              <a:t> </a:t>
            </a:r>
          </a:p>
        </c:rich>
      </c:tx>
      <c:layout>
        <c:manualLayout>
          <c:xMode val="edge"/>
          <c:yMode val="edge"/>
          <c:x val="0.12726779972231786"/>
          <c:y val="3.199498381356134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n-US"/>
        </a:p>
      </c:txPr>
    </c:title>
    <c:autoTitleDeleted val="0"/>
    <c:plotArea>
      <c:layout/>
      <c:lineChart>
        <c:grouping val="standard"/>
        <c:varyColors val="0"/>
        <c:ser>
          <c:idx val="0"/>
          <c:order val="0"/>
          <c:tx>
            <c:strRef>
              <c:f>Sheet1!$B$2</c:f>
              <c:strCache>
                <c:ptCount val="1"/>
                <c:pt idx="0">
                  <c:v>Control</c:v>
                </c:pt>
              </c:strCache>
            </c:strRef>
          </c:tx>
          <c:spPr>
            <a:ln w="22225" cap="rnd">
              <a:solidFill>
                <a:schemeClr val="accent1">
                  <a:lumMod val="50000"/>
                </a:schemeClr>
              </a:solidFill>
              <a:round/>
            </a:ln>
            <a:effectLst>
              <a:outerShdw blurRad="57150" dist="19050" dir="5400000" algn="ctr" rotWithShape="0">
                <a:srgbClr val="000000">
                  <a:alpha val="63000"/>
                </a:srgbClr>
              </a:outerShdw>
            </a:effectLst>
          </c:spPr>
          <c:marker>
            <c:symbol val="none"/>
          </c:marker>
          <c:errBars>
            <c:errDir val="y"/>
            <c:errBarType val="both"/>
            <c:errValType val="stdErr"/>
            <c:noEndCap val="1"/>
            <c:spPr>
              <a:noFill/>
              <a:ln w="12700" cap="flat" cmpd="sng" algn="ctr">
                <a:solidFill>
                  <a:schemeClr val="accent1">
                    <a:lumMod val="50000"/>
                  </a:schemeClr>
                </a:solidFill>
                <a:prstDash val="solid"/>
                <a:miter lim="800000"/>
              </a:ln>
              <a:effectLst/>
            </c:spPr>
          </c:errBars>
          <c:cat>
            <c:numRef>
              <c:f>Sheet1!$A$3:$A$8</c:f>
              <c:numCache>
                <c:formatCode>General</c:formatCode>
                <c:ptCount val="6"/>
                <c:pt idx="0">
                  <c:v>1</c:v>
                </c:pt>
                <c:pt idx="1">
                  <c:v>3</c:v>
                </c:pt>
                <c:pt idx="2">
                  <c:v>5</c:v>
                </c:pt>
                <c:pt idx="3">
                  <c:v>7</c:v>
                </c:pt>
                <c:pt idx="4">
                  <c:v>9</c:v>
                </c:pt>
                <c:pt idx="5">
                  <c:v>11</c:v>
                </c:pt>
              </c:numCache>
            </c:numRef>
          </c:cat>
          <c:val>
            <c:numRef>
              <c:f>Sheet1!$B$3:$B$8</c:f>
              <c:numCache>
                <c:formatCode>General</c:formatCode>
                <c:ptCount val="6"/>
                <c:pt idx="0">
                  <c:v>25.93</c:v>
                </c:pt>
                <c:pt idx="1">
                  <c:v>40.020000000000003</c:v>
                </c:pt>
                <c:pt idx="2">
                  <c:v>38.94</c:v>
                </c:pt>
                <c:pt idx="3">
                  <c:v>34.96</c:v>
                </c:pt>
                <c:pt idx="4">
                  <c:v>34.630000000000003</c:v>
                </c:pt>
                <c:pt idx="5">
                  <c:v>28.15</c:v>
                </c:pt>
              </c:numCache>
            </c:numRef>
          </c:val>
          <c:smooth val="0"/>
          <c:extLst>
            <c:ext xmlns:c16="http://schemas.microsoft.com/office/drawing/2014/chart" uri="{C3380CC4-5D6E-409C-BE32-E72D297353CC}">
              <c16:uniqueId val="{00000000-0BD6-4386-9C0D-92BE9F87DC9A}"/>
            </c:ext>
          </c:extLst>
        </c:ser>
        <c:ser>
          <c:idx val="1"/>
          <c:order val="1"/>
          <c:tx>
            <c:strRef>
              <c:f>Sheet1!$C$2</c:f>
              <c:strCache>
                <c:ptCount val="1"/>
                <c:pt idx="0">
                  <c:v>Urea</c:v>
                </c:pt>
              </c:strCache>
            </c:strRef>
          </c:tx>
          <c:spPr>
            <a:ln w="22225" cap="rnd">
              <a:solidFill>
                <a:schemeClr val="accent2"/>
              </a:solidFill>
              <a:round/>
            </a:ln>
            <a:effectLst>
              <a:outerShdw blurRad="57150" dist="19050" dir="5400000" algn="ctr" rotWithShape="0">
                <a:srgbClr val="000000">
                  <a:alpha val="63000"/>
                </a:srgbClr>
              </a:outerShdw>
            </a:effectLst>
          </c:spPr>
          <c:marker>
            <c:symbol val="none"/>
          </c:marker>
          <c:errBars>
            <c:errDir val="y"/>
            <c:errBarType val="both"/>
            <c:errValType val="stdErr"/>
            <c:noEndCap val="1"/>
            <c:spPr>
              <a:noFill/>
              <a:ln w="12700" cap="flat" cmpd="sng" algn="ctr">
                <a:solidFill>
                  <a:schemeClr val="accent2"/>
                </a:solidFill>
                <a:prstDash val="solid"/>
                <a:miter lim="800000"/>
              </a:ln>
              <a:effectLst/>
            </c:spPr>
          </c:errBars>
          <c:cat>
            <c:numRef>
              <c:f>Sheet1!$A$3:$A$8</c:f>
              <c:numCache>
                <c:formatCode>General</c:formatCode>
                <c:ptCount val="6"/>
                <c:pt idx="0">
                  <c:v>1</c:v>
                </c:pt>
                <c:pt idx="1">
                  <c:v>3</c:v>
                </c:pt>
                <c:pt idx="2">
                  <c:v>5</c:v>
                </c:pt>
                <c:pt idx="3">
                  <c:v>7</c:v>
                </c:pt>
                <c:pt idx="4">
                  <c:v>9</c:v>
                </c:pt>
                <c:pt idx="5">
                  <c:v>11</c:v>
                </c:pt>
              </c:numCache>
            </c:numRef>
          </c:cat>
          <c:val>
            <c:numRef>
              <c:f>Sheet1!$C$3:$C$8</c:f>
              <c:numCache>
                <c:formatCode>General</c:formatCode>
                <c:ptCount val="6"/>
                <c:pt idx="0">
                  <c:v>27.72</c:v>
                </c:pt>
                <c:pt idx="1">
                  <c:v>30.19</c:v>
                </c:pt>
                <c:pt idx="2">
                  <c:v>19.84</c:v>
                </c:pt>
                <c:pt idx="3">
                  <c:v>14.77</c:v>
                </c:pt>
                <c:pt idx="4">
                  <c:v>11.37</c:v>
                </c:pt>
                <c:pt idx="5">
                  <c:v>7.73</c:v>
                </c:pt>
              </c:numCache>
            </c:numRef>
          </c:val>
          <c:smooth val="0"/>
          <c:extLst>
            <c:ext xmlns:c16="http://schemas.microsoft.com/office/drawing/2014/chart" uri="{C3380CC4-5D6E-409C-BE32-E72D297353CC}">
              <c16:uniqueId val="{00000001-0BD6-4386-9C0D-92BE9F87DC9A}"/>
            </c:ext>
          </c:extLst>
        </c:ser>
        <c:ser>
          <c:idx val="2"/>
          <c:order val="2"/>
          <c:tx>
            <c:strRef>
              <c:f>Sheet1!$D$2</c:f>
              <c:strCache>
                <c:ptCount val="1"/>
                <c:pt idx="0">
                  <c:v>NPK 15:15:15</c:v>
                </c:pt>
              </c:strCache>
            </c:strRef>
          </c:tx>
          <c:spPr>
            <a:ln w="22225" cap="rnd">
              <a:solidFill>
                <a:schemeClr val="accent3"/>
              </a:solidFill>
              <a:round/>
            </a:ln>
            <a:effectLst>
              <a:outerShdw blurRad="57150" dist="19050" dir="5400000" algn="ctr" rotWithShape="0">
                <a:srgbClr val="000000">
                  <a:alpha val="63000"/>
                </a:srgbClr>
              </a:outerShdw>
            </a:effectLst>
          </c:spPr>
          <c:marker>
            <c:symbol val="none"/>
          </c:marker>
          <c:dPt>
            <c:idx val="1"/>
            <c:marker>
              <c:symbol val="none"/>
            </c:marker>
            <c:bubble3D val="0"/>
            <c:spPr>
              <a:ln w="22225" cap="rnd">
                <a:solidFill>
                  <a:schemeClr val="bg2">
                    <a:lumMod val="50000"/>
                  </a:schemeClr>
                </a:solidFill>
                <a:round/>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BD6-4386-9C0D-92BE9F87DC9A}"/>
              </c:ext>
            </c:extLst>
          </c:dPt>
          <c:dPt>
            <c:idx val="2"/>
            <c:marker>
              <c:symbol val="none"/>
            </c:marker>
            <c:bubble3D val="0"/>
            <c:spPr>
              <a:ln w="22225" cap="rnd">
                <a:solidFill>
                  <a:schemeClr val="bg2">
                    <a:lumMod val="50000"/>
                  </a:schemeClr>
                </a:solidFill>
                <a:round/>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BD6-4386-9C0D-92BE9F87DC9A}"/>
              </c:ext>
            </c:extLst>
          </c:dPt>
          <c:dPt>
            <c:idx val="3"/>
            <c:marker>
              <c:symbol val="none"/>
            </c:marker>
            <c:bubble3D val="0"/>
            <c:spPr>
              <a:ln w="22225" cap="rnd">
                <a:solidFill>
                  <a:schemeClr val="bg2">
                    <a:lumMod val="50000"/>
                  </a:schemeClr>
                </a:solidFill>
                <a:round/>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BD6-4386-9C0D-92BE9F87DC9A}"/>
              </c:ext>
            </c:extLst>
          </c:dPt>
          <c:dPt>
            <c:idx val="4"/>
            <c:marker>
              <c:symbol val="none"/>
            </c:marker>
            <c:bubble3D val="0"/>
            <c:spPr>
              <a:ln w="22225" cap="rnd">
                <a:solidFill>
                  <a:schemeClr val="bg2">
                    <a:lumMod val="50000"/>
                  </a:schemeClr>
                </a:solidFill>
                <a:round/>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0BD6-4386-9C0D-92BE9F87DC9A}"/>
              </c:ext>
            </c:extLst>
          </c:dPt>
          <c:dPt>
            <c:idx val="5"/>
            <c:marker>
              <c:symbol val="none"/>
            </c:marker>
            <c:bubble3D val="0"/>
            <c:spPr>
              <a:ln w="22225" cap="rnd">
                <a:solidFill>
                  <a:schemeClr val="bg2">
                    <a:lumMod val="50000"/>
                  </a:schemeClr>
                </a:solidFill>
                <a:round/>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0BD6-4386-9C0D-92BE9F87DC9A}"/>
              </c:ext>
            </c:extLst>
          </c:dPt>
          <c:errBars>
            <c:errDir val="y"/>
            <c:errBarType val="both"/>
            <c:errValType val="stdErr"/>
            <c:noEndCap val="1"/>
            <c:spPr>
              <a:noFill/>
              <a:ln w="12700" cap="flat" cmpd="sng" algn="ctr">
                <a:solidFill>
                  <a:schemeClr val="bg2">
                    <a:lumMod val="50000"/>
                  </a:schemeClr>
                </a:solidFill>
                <a:prstDash val="solid"/>
                <a:miter lim="800000"/>
              </a:ln>
              <a:effectLst/>
            </c:spPr>
          </c:errBars>
          <c:cat>
            <c:numRef>
              <c:f>Sheet1!$A$3:$A$8</c:f>
              <c:numCache>
                <c:formatCode>General</c:formatCode>
                <c:ptCount val="6"/>
                <c:pt idx="0">
                  <c:v>1</c:v>
                </c:pt>
                <c:pt idx="1">
                  <c:v>3</c:v>
                </c:pt>
                <c:pt idx="2">
                  <c:v>5</c:v>
                </c:pt>
                <c:pt idx="3">
                  <c:v>7</c:v>
                </c:pt>
                <c:pt idx="4">
                  <c:v>9</c:v>
                </c:pt>
                <c:pt idx="5">
                  <c:v>11</c:v>
                </c:pt>
              </c:numCache>
            </c:numRef>
          </c:cat>
          <c:val>
            <c:numRef>
              <c:f>Sheet1!$D$3:$D$8</c:f>
              <c:numCache>
                <c:formatCode>General</c:formatCode>
                <c:ptCount val="6"/>
                <c:pt idx="0">
                  <c:v>26.49</c:v>
                </c:pt>
                <c:pt idx="1">
                  <c:v>31.42</c:v>
                </c:pt>
                <c:pt idx="2">
                  <c:v>26.96</c:v>
                </c:pt>
                <c:pt idx="3">
                  <c:v>27.03</c:v>
                </c:pt>
                <c:pt idx="4">
                  <c:v>26.14</c:v>
                </c:pt>
                <c:pt idx="5">
                  <c:v>22.02</c:v>
                </c:pt>
              </c:numCache>
            </c:numRef>
          </c:val>
          <c:smooth val="0"/>
          <c:extLst>
            <c:ext xmlns:c16="http://schemas.microsoft.com/office/drawing/2014/chart" uri="{C3380CC4-5D6E-409C-BE32-E72D297353CC}">
              <c16:uniqueId val="{0000000C-0BD6-4386-9C0D-92BE9F87DC9A}"/>
            </c:ext>
          </c:extLst>
        </c:ser>
        <c:ser>
          <c:idx val="3"/>
          <c:order val="3"/>
          <c:tx>
            <c:strRef>
              <c:f>Sheet1!$E$2</c:f>
              <c:strCache>
                <c:ptCount val="1"/>
                <c:pt idx="0">
                  <c:v>NPK 10:26:26</c:v>
                </c:pt>
              </c:strCache>
            </c:strRef>
          </c:tx>
          <c:spPr>
            <a:ln w="22225" cap="rnd">
              <a:solidFill>
                <a:schemeClr val="accent4"/>
              </a:solidFill>
              <a:round/>
            </a:ln>
            <a:effectLst>
              <a:outerShdw blurRad="57150" dist="19050" dir="5400000" algn="ctr" rotWithShape="0">
                <a:srgbClr val="000000">
                  <a:alpha val="63000"/>
                </a:srgbClr>
              </a:outerShdw>
            </a:effectLst>
          </c:spPr>
          <c:marker>
            <c:symbol val="none"/>
          </c:marker>
          <c:errBars>
            <c:errDir val="y"/>
            <c:errBarType val="both"/>
            <c:errValType val="stdErr"/>
            <c:noEndCap val="1"/>
            <c:spPr>
              <a:noFill/>
              <a:ln w="12700" cap="flat" cmpd="sng" algn="ctr">
                <a:solidFill>
                  <a:schemeClr val="accent4"/>
                </a:solidFill>
                <a:prstDash val="solid"/>
                <a:miter lim="800000"/>
              </a:ln>
              <a:effectLst/>
            </c:spPr>
          </c:errBars>
          <c:cat>
            <c:numRef>
              <c:f>Sheet1!$A$3:$A$8</c:f>
              <c:numCache>
                <c:formatCode>General</c:formatCode>
                <c:ptCount val="6"/>
                <c:pt idx="0">
                  <c:v>1</c:v>
                </c:pt>
                <c:pt idx="1">
                  <c:v>3</c:v>
                </c:pt>
                <c:pt idx="2">
                  <c:v>5</c:v>
                </c:pt>
                <c:pt idx="3">
                  <c:v>7</c:v>
                </c:pt>
                <c:pt idx="4">
                  <c:v>9</c:v>
                </c:pt>
                <c:pt idx="5">
                  <c:v>11</c:v>
                </c:pt>
              </c:numCache>
            </c:numRef>
          </c:cat>
          <c:val>
            <c:numRef>
              <c:f>Sheet1!$E$3:$E$8</c:f>
              <c:numCache>
                <c:formatCode>General</c:formatCode>
                <c:ptCount val="6"/>
                <c:pt idx="0">
                  <c:v>28.88</c:v>
                </c:pt>
                <c:pt idx="1">
                  <c:v>38.42</c:v>
                </c:pt>
                <c:pt idx="2">
                  <c:v>33.75</c:v>
                </c:pt>
                <c:pt idx="3">
                  <c:v>30.12</c:v>
                </c:pt>
                <c:pt idx="4">
                  <c:v>25.36</c:v>
                </c:pt>
                <c:pt idx="5">
                  <c:v>24.17</c:v>
                </c:pt>
              </c:numCache>
            </c:numRef>
          </c:val>
          <c:smooth val="0"/>
          <c:extLst>
            <c:ext xmlns:c16="http://schemas.microsoft.com/office/drawing/2014/chart" uri="{C3380CC4-5D6E-409C-BE32-E72D297353CC}">
              <c16:uniqueId val="{0000000D-0BD6-4386-9C0D-92BE9F87DC9A}"/>
            </c:ext>
          </c:extLst>
        </c:ser>
        <c:ser>
          <c:idx val="4"/>
          <c:order val="4"/>
          <c:tx>
            <c:strRef>
              <c:f>Sheet1!$F$2</c:f>
              <c:strCache>
                <c:ptCount val="1"/>
                <c:pt idx="0">
                  <c:v>Superphosphate</c:v>
                </c:pt>
              </c:strCache>
            </c:strRef>
          </c:tx>
          <c:spPr>
            <a:ln w="22225" cap="rnd">
              <a:solidFill>
                <a:schemeClr val="accent5"/>
              </a:solidFill>
              <a:round/>
            </a:ln>
            <a:effectLst>
              <a:outerShdw blurRad="57150" dist="19050" dir="5400000" algn="ctr" rotWithShape="0">
                <a:srgbClr val="000000">
                  <a:alpha val="63000"/>
                </a:srgbClr>
              </a:outerShdw>
            </a:effectLst>
          </c:spPr>
          <c:marker>
            <c:symbol val="none"/>
          </c:marker>
          <c:errBars>
            <c:errDir val="y"/>
            <c:errBarType val="both"/>
            <c:errValType val="stdErr"/>
            <c:noEndCap val="1"/>
            <c:spPr>
              <a:noFill/>
              <a:ln w="12700" cap="flat" cmpd="sng" algn="ctr">
                <a:solidFill>
                  <a:schemeClr val="accent5"/>
                </a:solidFill>
                <a:prstDash val="solid"/>
                <a:miter lim="800000"/>
              </a:ln>
              <a:effectLst/>
            </c:spPr>
          </c:errBars>
          <c:cat>
            <c:numRef>
              <c:f>Sheet1!$A$3:$A$8</c:f>
              <c:numCache>
                <c:formatCode>General</c:formatCode>
                <c:ptCount val="6"/>
                <c:pt idx="0">
                  <c:v>1</c:v>
                </c:pt>
                <c:pt idx="1">
                  <c:v>3</c:v>
                </c:pt>
                <c:pt idx="2">
                  <c:v>5</c:v>
                </c:pt>
                <c:pt idx="3">
                  <c:v>7</c:v>
                </c:pt>
                <c:pt idx="4">
                  <c:v>9</c:v>
                </c:pt>
                <c:pt idx="5">
                  <c:v>11</c:v>
                </c:pt>
              </c:numCache>
            </c:numRef>
          </c:cat>
          <c:val>
            <c:numRef>
              <c:f>Sheet1!$F$3:$F$8</c:f>
              <c:numCache>
                <c:formatCode>General</c:formatCode>
                <c:ptCount val="6"/>
                <c:pt idx="0">
                  <c:v>23.45</c:v>
                </c:pt>
                <c:pt idx="1">
                  <c:v>40.549999999999997</c:v>
                </c:pt>
                <c:pt idx="2">
                  <c:v>41.36</c:v>
                </c:pt>
                <c:pt idx="3">
                  <c:v>36.200000000000003</c:v>
                </c:pt>
                <c:pt idx="4">
                  <c:v>30.73</c:v>
                </c:pt>
                <c:pt idx="5">
                  <c:v>27.94</c:v>
                </c:pt>
              </c:numCache>
            </c:numRef>
          </c:val>
          <c:smooth val="0"/>
          <c:extLst>
            <c:ext xmlns:c16="http://schemas.microsoft.com/office/drawing/2014/chart" uri="{C3380CC4-5D6E-409C-BE32-E72D297353CC}">
              <c16:uniqueId val="{0000000E-0BD6-4386-9C0D-92BE9F87DC9A}"/>
            </c:ext>
          </c:extLst>
        </c:ser>
        <c:dLbls>
          <c:showLegendKey val="0"/>
          <c:showVal val="0"/>
          <c:showCatName val="0"/>
          <c:showSerName val="0"/>
          <c:showPercent val="0"/>
          <c:showBubbleSize val="0"/>
        </c:dLbls>
        <c:smooth val="0"/>
        <c:axId val="623743232"/>
        <c:axId val="623740832"/>
      </c:lineChart>
      <c:catAx>
        <c:axId val="62374323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N" b="1">
                    <a:solidFill>
                      <a:schemeClr val="tx1"/>
                    </a:solidFill>
                  </a:rPr>
                  <a:t>Weeks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623740832"/>
        <c:crosses val="autoZero"/>
        <c:auto val="1"/>
        <c:lblAlgn val="ctr"/>
        <c:lblOffset val="100"/>
        <c:noMultiLvlLbl val="0"/>
      </c:catAx>
      <c:valAx>
        <c:axId val="62374083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N" b="1">
                    <a:solidFill>
                      <a:schemeClr val="tx1"/>
                    </a:solidFill>
                  </a:rPr>
                  <a:t>Weight (g)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623743232"/>
        <c:crosses val="autoZero"/>
        <c:crossBetween val="between"/>
      </c:valAx>
      <c:spPr>
        <a:noFill/>
        <a:ln>
          <a:solidFill>
            <a:schemeClr val="tx1"/>
          </a:solidFill>
        </a:ln>
        <a:effectLst/>
      </c:spPr>
    </c:plotArea>
    <c:legend>
      <c:legendPos val="r"/>
      <c:overlay val="0"/>
      <c:spPr>
        <a:noFill/>
        <a:ln>
          <a:solidFill>
            <a:schemeClr val="bg2">
              <a:lumMod val="75000"/>
            </a:schemeClr>
          </a:solid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687588-5DBF-400C-AB2D-C79B6B0D1C17}">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5057932141"/>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149A9-F899-4140-B1CE-A8A0D24A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611</TotalTime>
  <Pages>12</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Shrihari Ashok Pingle</cp:lastModifiedBy>
  <cp:revision>30</cp:revision>
  <cp:lastPrinted>1999-07-06T11:00:00Z</cp:lastPrinted>
  <dcterms:created xsi:type="dcterms:W3CDTF">2026-03-27T10:15:00Z</dcterms:created>
  <dcterms:modified xsi:type="dcterms:W3CDTF">2026-04-01T16:42:00Z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4fcb5aa1-113a-4b49-8283-3730a49ef085</vt:lpwstr>
  </property>
</Properties>
</file>